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E2" w:rsidRDefault="00972E30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Załącznik nr 2 B</w:t>
      </w:r>
    </w:p>
    <w:tbl>
      <w:tblPr>
        <w:tblW w:w="8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4"/>
        <w:gridCol w:w="6876"/>
        <w:gridCol w:w="960"/>
      </w:tblGrid>
      <w:tr w:rsidR="00B177E2"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  <w:tc>
          <w:tcPr>
            <w:tcW w:w="6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WARUNKI GRANICZNE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Tak</w:t>
            </w: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Aparat nie starszy niż r</w:t>
            </w:r>
            <w:bookmarkStart w:id="1" w:name="_GoBack11"/>
            <w:bookmarkEnd w:id="1"/>
            <w:r>
              <w:rPr>
                <w:rFonts w:ascii="Arial" w:hAnsi="Arial"/>
              </w:rPr>
              <w:t>ok produkcji 2017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2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System w postaci jednego zintegrowanego aparatu lub niezależnych modułów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3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Skaner wysokorozdzielczy współpracujący z oprogramowaniem do analizy żeli z możliwością skanowania żeli/materiałów przeźroczystych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4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wykonania następujących oznaczeń:</w:t>
            </w:r>
          </w:p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rozdział białek surowicy krwi na 6 frakcji </w:t>
            </w:r>
          </w:p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- rozdział białek w moczu na 6 frakcji, z wykorzystaniem moczu natywnego, bez konieczności stosowania zagęszczaczy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5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Objętość próbki badanej nie większa niż 40 µL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6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Brak buforu w postaci ciekłej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7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Automatyczne pobieranie próbek  i aplikowanie na żel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8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Aplikacja próbek za pomocą </w:t>
            </w:r>
            <w:proofErr w:type="spellStart"/>
            <w:r>
              <w:rPr>
                <w:rFonts w:ascii="Arial" w:hAnsi="Arial"/>
              </w:rPr>
              <w:t>aplikatorów</w:t>
            </w:r>
            <w:proofErr w:type="spellEnd"/>
            <w:r>
              <w:rPr>
                <w:rFonts w:ascii="Arial" w:hAnsi="Arial"/>
              </w:rPr>
              <w:t xml:space="preserve"> jednorazowych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9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Aplikatory</w:t>
            </w:r>
            <w:proofErr w:type="spellEnd"/>
            <w:r>
              <w:rPr>
                <w:rFonts w:ascii="Arial" w:hAnsi="Arial"/>
              </w:rPr>
              <w:t xml:space="preserve"> bez membran lub dyfuzji próbki przez </w:t>
            </w:r>
            <w:proofErr w:type="spellStart"/>
            <w:r>
              <w:rPr>
                <w:rFonts w:ascii="Arial" w:hAnsi="Arial"/>
              </w:rPr>
              <w:t>aplikator</w:t>
            </w:r>
            <w:proofErr w:type="spellEnd"/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10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Wszystkie odczynniki w zestawie do proteinogramów gotowe do użycia, a także pozbawione substancji toksycznych i teratogennych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11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Zautomatyzowane procesy barwienia, odbarwiania i suszenia żeli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12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Kontrola temperatury dla etapu rozdziału elektroforetycznego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13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Możliwość zaprogramowania kilkukrotnego nałożenia próbki na żel (wielokrotna aplikacja tej samej próbki)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14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Żele do rozdziału białek w surowicy/moczu pozwalające wykonać do 25 rozdziałów na jednym żelu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15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Wbudowany system kontroli jakości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16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Komputer z monitorem, z aktualnym oprogramowaniem Windows, UPS, drukarka zewnętrzna laserowa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17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Aparat musi posiadać certyfikat CE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lastRenderedPageBreak/>
              <w:t>18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Oprogramowanie do analizy żeli w języku polskim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pStyle w:val="Zawartotabeli"/>
            </w:pPr>
            <w:r>
              <w:t>19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Instrukcja obsługi w języku polskim 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177E2" w:rsidRDefault="009B12A5">
            <w:pPr>
              <w:pStyle w:val="Zawartotabeli"/>
            </w:pPr>
            <w:r>
              <w:t>20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Wykonawca zapewni szkolenie merytoryczne i praktyczne personelu niezwłocznie po instalacji aparatu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177E2" w:rsidRDefault="009B12A5">
            <w:pPr>
              <w:pStyle w:val="Zawartotabeli"/>
            </w:pPr>
            <w:r>
              <w:t>21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Wykonawca zapewni na własny koszt kontrolę międzynarodową do oferowanych badań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  <w:tr w:rsidR="00B177E2"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177E2" w:rsidRDefault="009B12A5">
            <w:pPr>
              <w:pStyle w:val="Zawartotabeli"/>
            </w:pPr>
            <w:r>
              <w:t>22</w:t>
            </w:r>
          </w:p>
        </w:tc>
        <w:tc>
          <w:tcPr>
            <w:tcW w:w="687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B177E2" w:rsidRDefault="009B12A5">
            <w:pPr>
              <w:ind w:left="709" w:hanging="709"/>
              <w:rPr>
                <w:rFonts w:ascii="Arial" w:hAnsi="Arial"/>
              </w:rPr>
            </w:pPr>
            <w:r>
              <w:rPr>
                <w:rFonts w:ascii="Arial" w:hAnsi="Arial"/>
              </w:rPr>
              <w:t>Wykonawca zapewni na własny koszt podłączenie do LIS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E2" w:rsidRDefault="00B177E2">
            <w:pPr>
              <w:ind w:left="709" w:hanging="709"/>
              <w:rPr>
                <w:rFonts w:ascii="Arial" w:hAnsi="Arial"/>
              </w:rPr>
            </w:pPr>
          </w:p>
        </w:tc>
      </w:tr>
    </w:tbl>
    <w:p w:rsidR="00B177E2" w:rsidRDefault="00B177E2">
      <w:pPr>
        <w:rPr>
          <w:rFonts w:ascii="Arial" w:hAnsi="Arial"/>
        </w:rPr>
      </w:pPr>
    </w:p>
    <w:p w:rsidR="00B177E2" w:rsidRDefault="00B177E2">
      <w:pPr>
        <w:rPr>
          <w:rFonts w:ascii="Arial" w:hAnsi="Arial"/>
        </w:rPr>
      </w:pPr>
    </w:p>
    <w:p w:rsidR="00B177E2" w:rsidRDefault="00B177E2">
      <w:pPr>
        <w:rPr>
          <w:rFonts w:ascii="Arial" w:hAnsi="Arial"/>
        </w:rPr>
      </w:pPr>
    </w:p>
    <w:p w:rsidR="00B177E2" w:rsidRDefault="00B177E2">
      <w:pPr>
        <w:rPr>
          <w:rFonts w:ascii="Arial" w:hAnsi="Arial"/>
        </w:rPr>
      </w:pPr>
    </w:p>
    <w:p w:rsidR="00B177E2" w:rsidRDefault="00B177E2">
      <w:pPr>
        <w:rPr>
          <w:rFonts w:ascii="Arial" w:hAnsi="Arial"/>
        </w:rPr>
      </w:pPr>
    </w:p>
    <w:p w:rsidR="00B177E2" w:rsidRDefault="00B177E2">
      <w:pPr>
        <w:rPr>
          <w:rFonts w:ascii="Arial" w:hAnsi="Arial"/>
        </w:rPr>
      </w:pPr>
    </w:p>
    <w:p w:rsidR="00B177E2" w:rsidRDefault="00B177E2">
      <w:pPr>
        <w:ind w:left="709" w:hanging="709"/>
        <w:rPr>
          <w:rFonts w:ascii="Arial" w:hAnsi="Arial"/>
        </w:rPr>
      </w:pPr>
    </w:p>
    <w:sectPr w:rsidR="00B17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EA" w:rsidRDefault="008D32EA">
      <w:pPr>
        <w:spacing w:after="0" w:line="240" w:lineRule="auto"/>
      </w:pPr>
      <w:r>
        <w:separator/>
      </w:r>
    </w:p>
  </w:endnote>
  <w:endnote w:type="continuationSeparator" w:id="0">
    <w:p w:rsidR="008D32EA" w:rsidRDefault="008D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E2" w:rsidRDefault="00B177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E2" w:rsidRDefault="00B177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E2" w:rsidRDefault="00B17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EA" w:rsidRDefault="008D32EA">
      <w:pPr>
        <w:spacing w:after="0" w:line="240" w:lineRule="auto"/>
      </w:pPr>
      <w:r>
        <w:separator/>
      </w:r>
    </w:p>
  </w:footnote>
  <w:footnote w:type="continuationSeparator" w:id="0">
    <w:p w:rsidR="008D32EA" w:rsidRDefault="008D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E2" w:rsidRDefault="00B177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E2" w:rsidRDefault="00B177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E2" w:rsidRDefault="00B177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E2"/>
    <w:rsid w:val="007A202B"/>
    <w:rsid w:val="008D32EA"/>
    <w:rsid w:val="00972E30"/>
    <w:rsid w:val="009B12A5"/>
    <w:rsid w:val="00B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19F5"/>
  </w:style>
  <w:style w:type="character" w:customStyle="1" w:styleId="StopkaZnak">
    <w:name w:val="Stopka Znak"/>
    <w:basedOn w:val="Domylnaczcionkaakapitu"/>
    <w:link w:val="Stopka"/>
    <w:uiPriority w:val="99"/>
    <w:qFormat/>
    <w:rsid w:val="002E19F5"/>
  </w:style>
  <w:style w:type="paragraph" w:styleId="Nagwek">
    <w:name w:val="header"/>
    <w:basedOn w:val="Normalny"/>
    <w:next w:val="Tekstpodstawowy"/>
    <w:link w:val="NagwekZnak"/>
    <w:uiPriority w:val="99"/>
    <w:unhideWhenUsed/>
    <w:rsid w:val="002E19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969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E19F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E19F5"/>
  </w:style>
  <w:style w:type="character" w:customStyle="1" w:styleId="StopkaZnak">
    <w:name w:val="Stopka Znak"/>
    <w:basedOn w:val="Domylnaczcionkaakapitu"/>
    <w:link w:val="Stopka"/>
    <w:uiPriority w:val="99"/>
    <w:qFormat/>
    <w:rsid w:val="002E19F5"/>
  </w:style>
  <w:style w:type="paragraph" w:styleId="Nagwek">
    <w:name w:val="header"/>
    <w:basedOn w:val="Normalny"/>
    <w:next w:val="Tekstpodstawowy"/>
    <w:link w:val="NagwekZnak"/>
    <w:uiPriority w:val="99"/>
    <w:unhideWhenUsed/>
    <w:rsid w:val="002E19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969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E19F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Stołba</dc:creator>
  <cp:lastModifiedBy>Elwira Stołba</cp:lastModifiedBy>
  <cp:revision>9</cp:revision>
  <cp:lastPrinted>2022-07-05T07:46:00Z</cp:lastPrinted>
  <dcterms:created xsi:type="dcterms:W3CDTF">2022-06-22T10:37:00Z</dcterms:created>
  <dcterms:modified xsi:type="dcterms:W3CDTF">2022-07-05T07:47:00Z</dcterms:modified>
  <dc:language>pl-PL</dc:language>
</cp:coreProperties>
</file>