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71"/>
        <w:tblW w:w="10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06"/>
      </w:tblGrid>
      <w:tr w:rsidR="00A80738" w:rsidRPr="00E0119C" w:rsidTr="00F360DA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0738" w:rsidRPr="00134218" w:rsidRDefault="00A80738" w:rsidP="00F360DA">
            <w:pPr>
              <w:pStyle w:val="Etykietadokumentu"/>
              <w:ind w:left="1080"/>
              <w:outlineLvl w:val="0"/>
              <w:rPr>
                <w:sz w:val="20"/>
              </w:rPr>
            </w:pPr>
            <w:r>
              <w:rPr>
                <w:sz w:val="28"/>
              </w:rPr>
              <w:t>SZAFA METALOWA</w:t>
            </w:r>
            <w:r w:rsidR="006E3006">
              <w:rPr>
                <w:sz w:val="28"/>
              </w:rPr>
              <w:t xml:space="preserve"> DWUDRZWIOWA</w:t>
            </w:r>
            <w:r>
              <w:rPr>
                <w:sz w:val="28"/>
              </w:rPr>
              <w:t xml:space="preserve"> klasa S2</w:t>
            </w:r>
          </w:p>
          <w:p w:rsidR="00A80738" w:rsidRPr="00103438" w:rsidRDefault="00A80738" w:rsidP="00F360DA">
            <w:pPr>
              <w:rPr>
                <w:rFonts w:ascii="Tahoma" w:hAnsi="Tahoma" w:cs="Tahoma"/>
                <w:color w:val="0070C0"/>
                <w:sz w:val="18"/>
                <w:szCs w:val="18"/>
              </w:rPr>
            </w:pPr>
          </w:p>
          <w:p w:rsidR="00A80738" w:rsidRPr="00501109" w:rsidRDefault="00A80738" w:rsidP="00F360DA">
            <w:pPr>
              <w:jc w:val="center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noProof/>
                <w:color w:val="0070C0"/>
                <w:lang w:eastAsia="pl-PL"/>
              </w:rPr>
              <w:drawing>
                <wp:inline distT="0" distB="0" distL="0" distR="0">
                  <wp:extent cx="1313180" cy="2172970"/>
                  <wp:effectExtent l="0" t="0" r="1270" b="0"/>
                  <wp:docPr id="2" name="Obraz 2" descr="s2_otw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2_otw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217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Toc456777963"/>
          </w:p>
          <w:p w:rsidR="00A80738" w:rsidRDefault="00A80738" w:rsidP="00F360DA">
            <w:pPr>
              <w:tabs>
                <w:tab w:val="left" w:pos="12049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A80738" w:rsidRPr="008E7C0F" w:rsidRDefault="00A80738" w:rsidP="00F360DA">
            <w:pPr>
              <w:tabs>
                <w:tab w:val="left" w:pos="12049"/>
              </w:tabs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F03CD7">
              <w:rPr>
                <w:b/>
                <w:bCs/>
                <w:iCs/>
                <w:sz w:val="18"/>
                <w:szCs w:val="18"/>
              </w:rPr>
              <w:t>(zdjęcie poglądowe)</w:t>
            </w:r>
          </w:p>
          <w:p w:rsidR="00A80738" w:rsidRDefault="00A80738" w:rsidP="00F360DA">
            <w:pPr>
              <w:pStyle w:val="Nagwek1"/>
              <w:keepNext w:val="0"/>
              <w:tabs>
                <w:tab w:val="num" w:pos="0"/>
              </w:tabs>
              <w:spacing w:before="0" w:after="0"/>
              <w:jc w:val="both"/>
              <w:rPr>
                <w:rFonts w:ascii="Tahoma" w:hAnsi="Tahoma"/>
              </w:rPr>
            </w:pPr>
          </w:p>
          <w:p w:rsidR="00A80738" w:rsidRPr="008E7C0F" w:rsidRDefault="00A80738" w:rsidP="00F360DA">
            <w:pPr>
              <w:pStyle w:val="Nagwek1"/>
              <w:keepNext w:val="0"/>
              <w:tabs>
                <w:tab w:val="num" w:pos="0"/>
              </w:tabs>
              <w:spacing w:before="0" w:after="0"/>
              <w:jc w:val="both"/>
              <w:rPr>
                <w:rFonts w:ascii="Tahoma" w:hAnsi="Tahoma"/>
                <w:sz w:val="24"/>
                <w:szCs w:val="24"/>
              </w:rPr>
            </w:pPr>
            <w:r w:rsidRPr="008E7C0F">
              <w:rPr>
                <w:rFonts w:ascii="Tahoma" w:hAnsi="Tahoma"/>
                <w:sz w:val="24"/>
                <w:szCs w:val="24"/>
              </w:rPr>
              <w:t>Przeznaczenie</w:t>
            </w:r>
            <w:bookmarkEnd w:id="0"/>
          </w:p>
          <w:p w:rsidR="00A80738" w:rsidRPr="007D28A1" w:rsidRDefault="00075E69" w:rsidP="00F360D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Szafa przeznaczona</w:t>
            </w:r>
            <w:r w:rsidR="00A80738" w:rsidRPr="007D28A1">
              <w:rPr>
                <w:rFonts w:ascii="Tahoma" w:hAnsi="Tahoma" w:cs="Tahoma"/>
                <w:sz w:val="18"/>
                <w:szCs w:val="18"/>
              </w:rPr>
              <w:t xml:space="preserve"> do przechowywania</w:t>
            </w:r>
            <w:r w:rsidR="00A80738" w:rsidRPr="007D28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dokumentów i materiałów niejawnych, oznaczonych klauzulą „ściśle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tajne”. Szafa wykorzystywana </w:t>
            </w:r>
            <w:r w:rsidR="00A80738" w:rsidRPr="007D28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pomieszczeniach biurowych i archiwach. Dostosowane do przechowywania ważnych dokumentów, akt, a także sprzętu komputerowego. </w:t>
            </w:r>
          </w:p>
          <w:p w:rsidR="00A80738" w:rsidRPr="007D28A1" w:rsidRDefault="00A80738" w:rsidP="00F360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80738" w:rsidRPr="008427F4" w:rsidRDefault="00A80738" w:rsidP="00F360DA">
            <w:pPr>
              <w:pStyle w:val="Nagwek1"/>
              <w:rPr>
                <w:rFonts w:ascii="Tahoma" w:hAnsi="Tahoma"/>
                <w:sz w:val="28"/>
                <w:szCs w:val="28"/>
              </w:rPr>
            </w:pPr>
            <w:bookmarkStart w:id="1" w:name="_Toc456777967"/>
            <w:r w:rsidRPr="008427F4">
              <w:rPr>
                <w:rFonts w:ascii="Tahoma" w:hAnsi="Tahoma"/>
                <w:sz w:val="28"/>
                <w:szCs w:val="28"/>
              </w:rPr>
              <w:t>Wyposażenie podstawowe</w:t>
            </w:r>
            <w:bookmarkEnd w:id="1"/>
          </w:p>
          <w:p w:rsidR="00A80738" w:rsidRPr="00F360DA" w:rsidRDefault="00A80738" w:rsidP="00F360DA">
            <w:pPr>
              <w:numPr>
                <w:ilvl w:val="0"/>
                <w:numId w:val="1"/>
              </w:numPr>
              <w:spacing w:after="120"/>
              <w:ind w:left="425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60DA">
              <w:rPr>
                <w:rFonts w:ascii="Tahoma" w:hAnsi="Tahoma" w:cs="Tahoma"/>
                <w:sz w:val="18"/>
                <w:szCs w:val="18"/>
              </w:rPr>
              <w:t xml:space="preserve">Drzwi główne: zamek kluczowy w kl. A w </w:t>
            </w:r>
            <w:proofErr w:type="spellStart"/>
            <w:r w:rsidRPr="00F360DA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F360DA">
              <w:rPr>
                <w:rFonts w:ascii="Tahoma" w:hAnsi="Tahoma" w:cs="Tahoma"/>
                <w:sz w:val="18"/>
                <w:szCs w:val="18"/>
              </w:rPr>
              <w:t xml:space="preserve">. 2 klucze i zamek szyfrowy mechaniczny kl. B </w:t>
            </w:r>
            <w:r w:rsidRPr="00F360DA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S&amp;G8550</w:t>
            </w:r>
            <w:r w:rsidR="00F360DA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(Typ3)</w:t>
            </w:r>
          </w:p>
          <w:p w:rsidR="00A80738" w:rsidRDefault="00A80738" w:rsidP="00F360DA">
            <w:pPr>
              <w:numPr>
                <w:ilvl w:val="0"/>
                <w:numId w:val="1"/>
              </w:numPr>
              <w:spacing w:after="120"/>
              <w:ind w:left="425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p</w:t>
            </w:r>
            <w:r w:rsidRPr="007D28A1">
              <w:rPr>
                <w:rFonts w:ascii="Tahoma" w:hAnsi="Tahoma" w:cs="Tahoma"/>
                <w:sz w:val="18"/>
                <w:szCs w:val="18"/>
              </w:rPr>
              <w:t>ółki.</w:t>
            </w:r>
          </w:p>
          <w:p w:rsidR="00A80738" w:rsidRPr="007D28A1" w:rsidRDefault="006E3006" w:rsidP="00F360DA">
            <w:pPr>
              <w:numPr>
                <w:ilvl w:val="0"/>
                <w:numId w:val="1"/>
              </w:numPr>
              <w:spacing w:after="120"/>
              <w:ind w:left="425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bookmarkStart w:id="2" w:name="_GoBack"/>
            <w:bookmarkEnd w:id="2"/>
            <w:r w:rsidR="00A80738">
              <w:rPr>
                <w:rFonts w:ascii="Tahoma" w:hAnsi="Tahoma" w:cs="Tahoma"/>
                <w:sz w:val="18"/>
                <w:szCs w:val="18"/>
              </w:rPr>
              <w:t xml:space="preserve">wa </w:t>
            </w:r>
            <w:r w:rsidR="002A14DF">
              <w:rPr>
                <w:rFonts w:ascii="Tahoma" w:hAnsi="Tahoma" w:cs="Tahoma"/>
                <w:sz w:val="18"/>
                <w:szCs w:val="18"/>
              </w:rPr>
              <w:t xml:space="preserve">oddzielne </w:t>
            </w:r>
            <w:r w:rsidR="00A80738">
              <w:rPr>
                <w:rFonts w:ascii="Tahoma" w:hAnsi="Tahoma" w:cs="Tahoma"/>
                <w:sz w:val="18"/>
                <w:szCs w:val="18"/>
              </w:rPr>
              <w:t xml:space="preserve">skarbczyki jeden obok drugiego, każdy zamykany na zamek kluczowy kl. A w </w:t>
            </w:r>
            <w:proofErr w:type="spellStart"/>
            <w:r w:rsidR="00A80738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="00A80738">
              <w:rPr>
                <w:rFonts w:ascii="Tahoma" w:hAnsi="Tahoma" w:cs="Tahoma"/>
                <w:sz w:val="18"/>
                <w:szCs w:val="18"/>
              </w:rPr>
              <w:t>. 2 klucze</w:t>
            </w:r>
          </w:p>
          <w:p w:rsidR="00A80738" w:rsidRPr="007D28A1" w:rsidRDefault="00A80738" w:rsidP="00F360DA">
            <w:pPr>
              <w:numPr>
                <w:ilvl w:val="0"/>
                <w:numId w:val="1"/>
              </w:numPr>
              <w:spacing w:after="120"/>
              <w:ind w:left="425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28A1">
              <w:rPr>
                <w:rFonts w:ascii="Tahoma" w:hAnsi="Tahoma" w:cs="Tahoma"/>
                <w:sz w:val="18"/>
                <w:szCs w:val="18"/>
              </w:rPr>
              <w:t xml:space="preserve">Instrukcja obsługi i użytkowania wyrobu z kartą gwarancyjną. </w:t>
            </w:r>
          </w:p>
          <w:p w:rsidR="00A80738" w:rsidRPr="00F360DA" w:rsidRDefault="00A80738" w:rsidP="00F360DA">
            <w:pPr>
              <w:numPr>
                <w:ilvl w:val="0"/>
                <w:numId w:val="1"/>
              </w:numPr>
              <w:spacing w:after="120"/>
              <w:ind w:left="425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28A1">
              <w:rPr>
                <w:rFonts w:ascii="Tahoma" w:hAnsi="Tahoma" w:cs="Tahoma"/>
                <w:sz w:val="18"/>
                <w:szCs w:val="18"/>
              </w:rPr>
              <w:t>Dwa otwory montażowe w dnie szafy.</w:t>
            </w:r>
          </w:p>
          <w:p w:rsidR="00A80738" w:rsidRDefault="00A80738" w:rsidP="00F360DA">
            <w:pPr>
              <w:spacing w:line="276" w:lineRule="auto"/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A80738" w:rsidRPr="008E7C0F" w:rsidRDefault="00A80738" w:rsidP="00F360DA">
            <w:pPr>
              <w:pStyle w:val="Nagwek1"/>
              <w:keepNext w:val="0"/>
              <w:tabs>
                <w:tab w:val="num" w:pos="0"/>
              </w:tabs>
              <w:spacing w:before="0" w:after="0"/>
              <w:jc w:val="both"/>
              <w:rPr>
                <w:rFonts w:ascii="Tahoma" w:hAnsi="Tahoma"/>
                <w:sz w:val="24"/>
                <w:szCs w:val="24"/>
              </w:rPr>
            </w:pPr>
            <w:bookmarkStart w:id="3" w:name="_Toc456777969"/>
            <w:r w:rsidRPr="008E7C0F">
              <w:rPr>
                <w:rFonts w:ascii="Tahoma" w:hAnsi="Tahoma"/>
                <w:sz w:val="24"/>
                <w:szCs w:val="24"/>
              </w:rPr>
              <w:t>Standardowe kolory</w:t>
            </w:r>
            <w:bookmarkEnd w:id="3"/>
          </w:p>
          <w:p w:rsidR="00A80738" w:rsidRPr="007D28A1" w:rsidRDefault="00A80738" w:rsidP="00F360DA">
            <w:pPr>
              <w:numPr>
                <w:ilvl w:val="0"/>
                <w:numId w:val="2"/>
              </w:numPr>
              <w:ind w:left="426"/>
              <w:jc w:val="both"/>
              <w:rPr>
                <w:rFonts w:ascii="Tahoma" w:hAnsi="Tahoma" w:cs="Tahoma"/>
                <w:i/>
                <w:color w:val="0070C0"/>
              </w:rPr>
            </w:pPr>
            <w:r w:rsidRPr="007D28A1">
              <w:rPr>
                <w:rFonts w:ascii="Tahoma" w:hAnsi="Tahoma" w:cs="Tahoma"/>
                <w:sz w:val="18"/>
              </w:rPr>
              <w:t>Jasnoszary RAL 7035.</w:t>
            </w:r>
          </w:p>
          <w:p w:rsidR="00A80738" w:rsidRPr="007D28A1" w:rsidRDefault="00A80738" w:rsidP="00F360DA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A80738" w:rsidRPr="00F360DA" w:rsidRDefault="00A80738" w:rsidP="00F360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28A1">
              <w:rPr>
                <w:rFonts w:ascii="Tahoma" w:hAnsi="Tahoma" w:cs="Tahoma"/>
                <w:color w:val="0070C0"/>
                <w:sz w:val="18"/>
                <w:szCs w:val="18"/>
              </w:rPr>
              <w:tab/>
              <w:t xml:space="preserve">      </w:t>
            </w:r>
            <w:r w:rsidRPr="007D28A1">
              <w:rPr>
                <w:rFonts w:ascii="Tahoma" w:hAnsi="Tahoma" w:cs="Tahoma"/>
                <w:color w:val="0070C0"/>
                <w:sz w:val="18"/>
                <w:szCs w:val="18"/>
              </w:rPr>
              <w:tab/>
              <w:t xml:space="preserve">         </w:t>
            </w:r>
          </w:p>
          <w:tbl>
            <w:tblPr>
              <w:tblW w:w="892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8"/>
              <w:gridCol w:w="772"/>
              <w:gridCol w:w="709"/>
              <w:gridCol w:w="850"/>
              <w:gridCol w:w="709"/>
              <w:gridCol w:w="851"/>
              <w:gridCol w:w="1275"/>
              <w:gridCol w:w="851"/>
              <w:gridCol w:w="1417"/>
            </w:tblGrid>
            <w:tr w:rsidR="00A80738" w:rsidRPr="00525773" w:rsidTr="00F360DA">
              <w:trPr>
                <w:trHeight w:val="315"/>
              </w:trPr>
              <w:tc>
                <w:tcPr>
                  <w:tcW w:w="1488" w:type="dxa"/>
                  <w:vMerge w:val="restart"/>
                  <w:tcBorders>
                    <w:top w:val="single" w:sz="8" w:space="0" w:color="0070C0"/>
                    <w:left w:val="single" w:sz="8" w:space="0" w:color="0070C0"/>
                    <w:bottom w:val="single" w:sz="8" w:space="0" w:color="0070C0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747A9C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2E74B5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Model</w:t>
                  </w:r>
                </w:p>
              </w:tc>
              <w:tc>
                <w:tcPr>
                  <w:tcW w:w="2331" w:type="dxa"/>
                  <w:gridSpan w:val="3"/>
                  <w:tcBorders>
                    <w:top w:val="single" w:sz="8" w:space="0" w:color="0070C0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Wymiary zewnętrzne [mm]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8" w:space="0" w:color="0070C0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Wymiary wewnętrzne [mm]</w:t>
                  </w:r>
                </w:p>
              </w:tc>
              <w:tc>
                <w:tcPr>
                  <w:tcW w:w="851" w:type="dxa"/>
                  <w:tcBorders>
                    <w:top w:val="single" w:sz="8" w:space="0" w:color="0070C0"/>
                    <w:left w:val="nil"/>
                    <w:bottom w:val="nil"/>
                    <w:right w:val="single" w:sz="4" w:space="0" w:color="auto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 xml:space="preserve">Waga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Pojemność [l]</w:t>
                  </w:r>
                </w:p>
              </w:tc>
            </w:tr>
            <w:tr w:rsidR="00A80738" w:rsidRPr="00525773" w:rsidTr="00F360DA">
              <w:trPr>
                <w:trHeight w:val="315"/>
              </w:trPr>
              <w:tc>
                <w:tcPr>
                  <w:tcW w:w="1488" w:type="dxa"/>
                  <w:vMerge/>
                  <w:tcBorders>
                    <w:top w:val="single" w:sz="8" w:space="0" w:color="0070C0"/>
                    <w:left w:val="single" w:sz="8" w:space="0" w:color="0070C0"/>
                    <w:bottom w:val="single" w:sz="4" w:space="0" w:color="auto"/>
                    <w:right w:val="single" w:sz="8" w:space="0" w:color="FFFFFF"/>
                  </w:tcBorders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W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FFFFFF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70C0"/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  <w:r w:rsidRPr="00525773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  <w:t>[kg]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0738" w:rsidRPr="00525773" w:rsidRDefault="00A80738" w:rsidP="00F360DA">
                  <w:pPr>
                    <w:framePr w:hSpace="141" w:wrap="around" w:vAnchor="page" w:hAnchor="margin" w:y="371"/>
                    <w:suppressAutoHyphens w:val="0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80738" w:rsidRPr="00525773" w:rsidTr="00F360DA">
              <w:trPr>
                <w:trHeight w:val="315"/>
              </w:trPr>
              <w:tc>
                <w:tcPr>
                  <w:tcW w:w="8922" w:type="dxa"/>
                  <w:gridSpan w:val="9"/>
                  <w:tcBorders>
                    <w:top w:val="single" w:sz="8" w:space="0" w:color="0070C0"/>
                    <w:left w:val="single" w:sz="8" w:space="0" w:color="0070C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738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b/>
                      <w:color w:val="2E74B5"/>
                      <w:sz w:val="18"/>
                      <w:szCs w:val="18"/>
                    </w:rPr>
                  </w:pPr>
                </w:p>
                <w:p w:rsidR="00A80738" w:rsidRPr="00F360DA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b/>
                      <w:color w:val="2E74B5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2E74B5"/>
                      <w:sz w:val="18"/>
                      <w:szCs w:val="18"/>
                    </w:rPr>
                    <w:t>SZAFA DWUDRZWIOWA</w:t>
                  </w:r>
                </w:p>
              </w:tc>
            </w:tr>
            <w:tr w:rsidR="00A80738" w:rsidRPr="00525773" w:rsidTr="00F360DA">
              <w:trPr>
                <w:trHeight w:val="315"/>
              </w:trPr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Default="00A80738" w:rsidP="00F360DA">
                  <w:pPr>
                    <w:framePr w:hSpace="141" w:wrap="around" w:vAnchor="page" w:hAnchor="margin" w:y="371"/>
                    <w:suppressAutoHyphens w:val="0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SD2/S2</w:t>
                  </w:r>
                  <w:r w:rsidR="00F360DA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  <w:r w:rsidRPr="00E7165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185</w:t>
                  </w: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D</w:t>
                  </w:r>
                </w:p>
                <w:p w:rsidR="00F360DA" w:rsidRPr="00E71655" w:rsidRDefault="00F360DA" w:rsidP="00F360DA">
                  <w:pPr>
                    <w:framePr w:hSpace="141" w:wrap="around" w:vAnchor="page" w:hAnchor="margin" w:y="371"/>
                    <w:suppressAutoHyphens w:val="0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E71655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185</w:t>
                  </w:r>
                  <w:r w:rsidRPr="00E7165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E71655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7165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1000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854EE1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44</w:t>
                  </w:r>
                  <w:r w:rsidRPr="00854EE1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854EE1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1750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854EE1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900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854EE1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316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0738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255</w:t>
                  </w:r>
                </w:p>
                <w:p w:rsidR="00F360DA" w:rsidRPr="00854EE1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60DA" w:rsidRDefault="00F360DA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A80738" w:rsidRPr="002B16F5" w:rsidRDefault="00A80738" w:rsidP="00F360DA">
                  <w:pPr>
                    <w:framePr w:hSpace="141" w:wrap="around" w:vAnchor="page" w:hAnchor="margin" w:y="371"/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l-PL"/>
                    </w:rPr>
                    <w:t>498</w:t>
                  </w:r>
                </w:p>
              </w:tc>
            </w:tr>
          </w:tbl>
          <w:p w:rsidR="00A80738" w:rsidRPr="00E0119C" w:rsidRDefault="00A80738" w:rsidP="00F360DA">
            <w:pPr>
              <w:suppressAutoHyphens w:val="0"/>
              <w:rPr>
                <w:rFonts w:ascii="Candara" w:hAnsi="Candara"/>
                <w:color w:val="000000"/>
                <w:lang w:eastAsia="pl-PL"/>
              </w:rPr>
            </w:pPr>
          </w:p>
        </w:tc>
      </w:tr>
    </w:tbl>
    <w:p w:rsidR="00A80738" w:rsidRPr="00F360DA" w:rsidRDefault="00A80738" w:rsidP="00F360DA">
      <w:pPr>
        <w:tabs>
          <w:tab w:val="left" w:pos="12049"/>
        </w:tabs>
        <w:outlineLvl w:val="0"/>
        <w:rPr>
          <w:b/>
          <w:bCs/>
          <w:iCs/>
          <w:sz w:val="28"/>
        </w:rPr>
      </w:pPr>
    </w:p>
    <w:p w:rsidR="00054C31" w:rsidRDefault="00A70189">
      <w:r>
        <w:t>Termin realizacji: do 20.12.2023r. (bez możliwości wydłużenia)</w:t>
      </w:r>
    </w:p>
    <w:p w:rsidR="00A70189" w:rsidRPr="00A80738" w:rsidRDefault="00A70189">
      <w:r>
        <w:t>Wniesienie i ustawienie szafy -  I piętro bez windy</w:t>
      </w:r>
    </w:p>
    <w:sectPr w:rsidR="00A70189" w:rsidRPr="00A80738" w:rsidSect="00DE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8.3pt;height:271.4pt" o:bullet="t">
        <v:imagedata r:id="rId1" o:title="znaczek2"/>
      </v:shape>
    </w:pict>
  </w:numPicBullet>
  <w:abstractNum w:abstractNumId="0">
    <w:nsid w:val="06FC3265"/>
    <w:multiLevelType w:val="hybridMultilevel"/>
    <w:tmpl w:val="23EA0FFA"/>
    <w:lvl w:ilvl="0" w:tplc="4CE09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21"/>
    <w:multiLevelType w:val="hybridMultilevel"/>
    <w:tmpl w:val="ABCE8BBC"/>
    <w:lvl w:ilvl="0" w:tplc="278C99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A80738"/>
    <w:rsid w:val="00054C31"/>
    <w:rsid w:val="00075E69"/>
    <w:rsid w:val="002A14DF"/>
    <w:rsid w:val="002E181E"/>
    <w:rsid w:val="006E3006"/>
    <w:rsid w:val="00A70189"/>
    <w:rsid w:val="00A80738"/>
    <w:rsid w:val="00DD459B"/>
    <w:rsid w:val="00DE4C31"/>
    <w:rsid w:val="00F3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07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73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myslniki">
    <w:name w:val="myslniki"/>
    <w:basedOn w:val="Normalny"/>
    <w:rsid w:val="00A80738"/>
    <w:pPr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szCs w:val="20"/>
      <w:lang w:eastAsia="pl-PL"/>
    </w:rPr>
  </w:style>
  <w:style w:type="paragraph" w:customStyle="1" w:styleId="Etykietadokumentu">
    <w:name w:val="Etykieta dokumentu"/>
    <w:next w:val="Normalny"/>
    <w:rsid w:val="00A80738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character" w:customStyle="1" w:styleId="A2">
    <w:name w:val="A2"/>
    <w:rsid w:val="00A80738"/>
    <w:rPr>
      <w:rFonts w:cs="Myriad Pro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4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833694</cp:lastModifiedBy>
  <cp:revision>4</cp:revision>
  <dcterms:created xsi:type="dcterms:W3CDTF">2023-11-14T12:29:00Z</dcterms:created>
  <dcterms:modified xsi:type="dcterms:W3CDTF">2023-11-16T06:23:00Z</dcterms:modified>
</cp:coreProperties>
</file>