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27" w:rsidRPr="003B6427" w:rsidRDefault="003B6427" w:rsidP="003B642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Kraków, dn</w:t>
      </w:r>
      <w:r w:rsidR="00F91236">
        <w:rPr>
          <w:rFonts w:ascii="Times New Roman" w:eastAsia="Calibri" w:hAnsi="Times New Roman" w:cs="Times New Roman"/>
          <w:sz w:val="24"/>
          <w:szCs w:val="24"/>
        </w:rPr>
        <w:t>ia.</w:t>
      </w:r>
      <w:r w:rsidR="00D245D6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A808A1">
        <w:rPr>
          <w:rFonts w:ascii="Times New Roman" w:eastAsia="Calibri" w:hAnsi="Times New Roman" w:cs="Times New Roman"/>
          <w:sz w:val="24"/>
          <w:szCs w:val="24"/>
        </w:rPr>
        <w:t>.0</w:t>
      </w:r>
      <w:r w:rsidR="00D245D6">
        <w:rPr>
          <w:rFonts w:ascii="Times New Roman" w:eastAsia="Calibri" w:hAnsi="Times New Roman" w:cs="Times New Roman"/>
          <w:sz w:val="24"/>
          <w:szCs w:val="24"/>
        </w:rPr>
        <w:t>2</w:t>
      </w:r>
      <w:r w:rsidR="00A808A1">
        <w:rPr>
          <w:rFonts w:ascii="Times New Roman" w:eastAsia="Calibri" w:hAnsi="Times New Roman" w:cs="Times New Roman"/>
          <w:sz w:val="24"/>
          <w:szCs w:val="24"/>
        </w:rPr>
        <w:t>.2022</w:t>
      </w:r>
      <w:r w:rsidRPr="003B6427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3B6427" w:rsidRDefault="003B6427" w:rsidP="008A122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A808A1" w:rsidRDefault="003B6427" w:rsidP="00627A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6427">
        <w:rPr>
          <w:rFonts w:ascii="Times New Roman" w:eastAsia="Calibri" w:hAnsi="Times New Roman" w:cs="Times New Roman"/>
          <w:b/>
          <w:sz w:val="28"/>
          <w:szCs w:val="24"/>
        </w:rPr>
        <w:t xml:space="preserve">INFORMACJA </w:t>
      </w:r>
      <w:r w:rsidR="005D0F34">
        <w:rPr>
          <w:rFonts w:ascii="Times New Roman" w:eastAsia="Calibri" w:hAnsi="Times New Roman" w:cs="Times New Roman"/>
          <w:b/>
          <w:sz w:val="28"/>
          <w:szCs w:val="24"/>
        </w:rPr>
        <w:t>dla wykonawców</w:t>
      </w:r>
    </w:p>
    <w:p w:rsidR="003B6427" w:rsidRDefault="00A808A1" w:rsidP="00627A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na stronę</w:t>
      </w:r>
      <w:r w:rsidR="008A1221">
        <w:rPr>
          <w:rFonts w:ascii="Times New Roman" w:eastAsia="Calibri" w:hAnsi="Times New Roman" w:cs="Times New Roman"/>
          <w:b/>
          <w:sz w:val="28"/>
          <w:szCs w:val="24"/>
        </w:rPr>
        <w:t xml:space="preserve"> internetową prowadzonego postępowania</w:t>
      </w:r>
    </w:p>
    <w:p w:rsidR="003B6427" w:rsidRPr="003B6427" w:rsidRDefault="003B6427" w:rsidP="003B64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01AF1" w:rsidRPr="00D245D6" w:rsidRDefault="0055712D" w:rsidP="00C0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245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Dotyczy: </w:t>
      </w:r>
      <w:r w:rsidR="00C01AF1" w:rsidRPr="00D245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postępowania prowadzonego w trybie przetargu ograniczonego </w:t>
      </w:r>
      <w:r w:rsidR="00C01AF1" w:rsidRPr="00D245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z dziedziny obronności i bezpieczeństwa pn. „</w:t>
      </w:r>
      <w:r w:rsidR="00D245D6" w:rsidRPr="00D245D6">
        <w:rPr>
          <w:rFonts w:ascii="Times New Roman" w:hAnsi="Times New Roman"/>
          <w:b/>
          <w:bCs/>
          <w:i/>
          <w:sz w:val="24"/>
          <w:szCs w:val="24"/>
        </w:rPr>
        <w:t xml:space="preserve">Dostawa części do </w:t>
      </w:r>
      <w:proofErr w:type="spellStart"/>
      <w:r w:rsidR="00D245D6" w:rsidRPr="00D245D6">
        <w:rPr>
          <w:rFonts w:ascii="Times New Roman" w:hAnsi="Times New Roman"/>
          <w:b/>
          <w:bCs/>
          <w:i/>
          <w:sz w:val="24"/>
          <w:szCs w:val="24"/>
        </w:rPr>
        <w:t>SpW</w:t>
      </w:r>
      <w:proofErr w:type="spellEnd"/>
      <w:r w:rsidR="00D245D6" w:rsidRPr="00D245D6">
        <w:rPr>
          <w:rFonts w:ascii="Times New Roman" w:hAnsi="Times New Roman"/>
          <w:b/>
          <w:bCs/>
          <w:i/>
          <w:sz w:val="24"/>
          <w:szCs w:val="24"/>
        </w:rPr>
        <w:t xml:space="preserve"> – podwozi pojazdów bojowych (pojazdów gąsienicowych i kołowych transporterów opancerzonych</w:t>
      </w:r>
      <w:r w:rsidR="005245B3">
        <w:rPr>
          <w:rFonts w:ascii="Times New Roman" w:hAnsi="Times New Roman"/>
          <w:b/>
          <w:bCs/>
          <w:i/>
          <w:sz w:val="24"/>
          <w:szCs w:val="24"/>
        </w:rPr>
        <w:t>)</w:t>
      </w:r>
      <w:bookmarkStart w:id="0" w:name="_GoBack"/>
      <w:bookmarkEnd w:id="0"/>
      <w:r w:rsidR="00A808A1" w:rsidRPr="00D245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”, sprawa nr </w:t>
      </w:r>
      <w:r w:rsidR="00D245D6" w:rsidRPr="00D245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39</w:t>
      </w:r>
      <w:r w:rsidR="00A808A1" w:rsidRPr="00D245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/2022</w:t>
      </w:r>
    </w:p>
    <w:p w:rsidR="00C01AF1" w:rsidRPr="00C01AF1" w:rsidRDefault="00C01AF1" w:rsidP="00C0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B6427" w:rsidRPr="00357BBE" w:rsidRDefault="003B6427" w:rsidP="003B6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Zamawiający – </w:t>
      </w:r>
      <w:r w:rsidRPr="003B6427">
        <w:rPr>
          <w:rFonts w:ascii="Times New Roman" w:eastAsia="Calibri" w:hAnsi="Times New Roman" w:cs="Times New Roman"/>
          <w:sz w:val="24"/>
          <w:szCs w:val="24"/>
        </w:rPr>
        <w:t xml:space="preserve">3 Regionalna Baza Logistyczna, ul. Montelupich 3, 30-901 Kraków, </w:t>
      </w:r>
      <w:r>
        <w:rPr>
          <w:rFonts w:ascii="Times New Roman" w:eastAsia="Calibri" w:hAnsi="Times New Roman" w:cs="Times New Roman"/>
          <w:sz w:val="24"/>
          <w:szCs w:val="24"/>
        </w:rPr>
        <w:br/>
        <w:t>informuje</w:t>
      </w:r>
      <w:r w:rsidR="00A808A1">
        <w:rPr>
          <w:rFonts w:ascii="Times New Roman" w:eastAsia="Calibri" w:hAnsi="Times New Roman" w:cs="Times New Roman"/>
          <w:sz w:val="24"/>
          <w:szCs w:val="24"/>
        </w:rPr>
        <w:t xml:space="preserve">, że w związku ze </w:t>
      </w:r>
      <w:r w:rsidR="00357BBE">
        <w:rPr>
          <w:rFonts w:ascii="Times New Roman" w:eastAsia="Calibri" w:hAnsi="Times New Roman" w:cs="Times New Roman"/>
          <w:sz w:val="24"/>
          <w:szCs w:val="24"/>
        </w:rPr>
        <w:t>wejściem</w:t>
      </w:r>
      <w:r w:rsidR="00357BBE" w:rsidRPr="00357BBE">
        <w:rPr>
          <w:rFonts w:ascii="Times New Roman" w:eastAsia="Calibri" w:hAnsi="Times New Roman" w:cs="Times New Roman"/>
          <w:sz w:val="24"/>
          <w:szCs w:val="24"/>
        </w:rPr>
        <w:t xml:space="preserve"> w życie z dniem </w:t>
      </w:r>
      <w:r w:rsidR="00357BBE" w:rsidRPr="00357BBE">
        <w:rPr>
          <w:rFonts w:ascii="Times New Roman" w:eastAsia="Calibri" w:hAnsi="Times New Roman" w:cs="Times New Roman"/>
          <w:b/>
          <w:bCs/>
          <w:sz w:val="24"/>
          <w:szCs w:val="24"/>
        </w:rPr>
        <w:t>1 stycznia 2022 r</w:t>
      </w:r>
      <w:r w:rsidR="00357BBE" w:rsidRPr="00357BBE">
        <w:rPr>
          <w:rFonts w:ascii="Times New Roman" w:eastAsia="Calibri" w:hAnsi="Times New Roman" w:cs="Times New Roman"/>
          <w:sz w:val="24"/>
          <w:szCs w:val="24"/>
        </w:rPr>
        <w:t>.</w:t>
      </w:r>
      <w:r w:rsidR="00357BBE" w:rsidRPr="00357BBE">
        <w:rPr>
          <w:b/>
          <w:bCs/>
        </w:rPr>
        <w:t xml:space="preserve"> </w:t>
      </w:r>
      <w:r w:rsidR="00357BBE">
        <w:rPr>
          <w:rFonts w:ascii="Times New Roman" w:eastAsia="Calibri" w:hAnsi="Times New Roman" w:cs="Times New Roman"/>
          <w:bCs/>
          <w:sz w:val="24"/>
          <w:szCs w:val="24"/>
        </w:rPr>
        <w:t>zmiany</w:t>
      </w:r>
      <w:r w:rsidR="00357BBE" w:rsidRPr="00357B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7BBE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357BBE" w:rsidRPr="00357BBE">
        <w:rPr>
          <w:rFonts w:ascii="Times New Roman" w:eastAsia="Calibri" w:hAnsi="Times New Roman" w:cs="Times New Roman"/>
          <w:bCs/>
          <w:sz w:val="24"/>
          <w:szCs w:val="24"/>
        </w:rPr>
        <w:t xml:space="preserve"> art. 108 w ust. 1 w pkt 1 lit. c</w:t>
      </w:r>
      <w:r w:rsidR="00E413C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57B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7BBE" w:rsidRPr="00357BBE">
        <w:rPr>
          <w:rFonts w:ascii="Times New Roman" w:eastAsia="Calibri" w:hAnsi="Times New Roman" w:cs="Times New Roman"/>
          <w:bCs/>
          <w:sz w:val="24"/>
          <w:szCs w:val="24"/>
        </w:rPr>
        <w:t xml:space="preserve"> ustawy z dnia 11 września 2019 r. – Prawo zamówień publicznych</w:t>
      </w:r>
      <w:r w:rsidR="00357BB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57BBE" w:rsidRPr="00357BBE">
        <w:rPr>
          <w:rFonts w:ascii="Times New Roman" w:eastAsia="Calibri" w:hAnsi="Times New Roman" w:cs="Times New Roman"/>
          <w:bCs/>
          <w:sz w:val="24"/>
          <w:szCs w:val="24"/>
        </w:rPr>
        <w:t xml:space="preserve"> została rozszerzona obligatoryjna podstawa wykluczenia z postępowania </w:t>
      </w:r>
      <w:r w:rsidR="005D0F34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357BBE" w:rsidRPr="00357BBE">
        <w:rPr>
          <w:rFonts w:ascii="Times New Roman" w:eastAsia="Calibri" w:hAnsi="Times New Roman" w:cs="Times New Roman"/>
          <w:bCs/>
          <w:sz w:val="24"/>
          <w:szCs w:val="24"/>
        </w:rPr>
        <w:t>o udzielenie zamówienia poprzez dodanie odesłania</w:t>
      </w:r>
      <w:r w:rsidR="00357BBE" w:rsidRPr="00E413C2">
        <w:rPr>
          <w:rFonts w:ascii="Times New Roman" w:eastAsia="Calibri" w:hAnsi="Times New Roman" w:cs="Times New Roman"/>
          <w:bCs/>
          <w:sz w:val="24"/>
          <w:szCs w:val="24"/>
        </w:rPr>
        <w:t xml:space="preserve"> do art. 47 ustawy z dnia 25 czerwca 2010 r. o sporcie oraz art. 54 ust. 1–4 ustawy z dnia 12 maja 2011 r. o refundacji leków, środków spożywczych specjalnego przeznaczenia żywieniowego oraz wyrobów medycznych.</w:t>
      </w:r>
    </w:p>
    <w:p w:rsidR="00357BBE" w:rsidRPr="00357BBE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BE">
        <w:rPr>
          <w:rFonts w:ascii="Times New Roman" w:eastAsia="Calibri" w:hAnsi="Times New Roman" w:cs="Times New Roman"/>
          <w:sz w:val="24"/>
          <w:szCs w:val="24"/>
        </w:rPr>
        <w:t>W następstwie zmiany art. 108 ust. 1 pkt 1 lit. c</w:t>
      </w:r>
      <w:r w:rsidR="00E413C2">
        <w:rPr>
          <w:rFonts w:ascii="Times New Roman" w:eastAsia="Calibri" w:hAnsi="Times New Roman" w:cs="Times New Roman"/>
          <w:sz w:val="24"/>
          <w:szCs w:val="24"/>
        </w:rPr>
        <w:t>)</w:t>
      </w:r>
      <w:r w:rsidRPr="00357BBE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Pr="00357BBE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357BBE">
        <w:rPr>
          <w:rFonts w:ascii="Times New Roman" w:eastAsia="Calibri" w:hAnsi="Times New Roman" w:cs="Times New Roman"/>
          <w:sz w:val="24"/>
          <w:szCs w:val="24"/>
        </w:rPr>
        <w:t xml:space="preserve"> otrzymał następujące brzmienie:</w:t>
      </w:r>
    </w:p>
    <w:p w:rsidR="00357BBE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BE">
        <w:rPr>
          <w:rFonts w:ascii="Times New Roman" w:eastAsia="Calibri" w:hAnsi="Times New Roman" w:cs="Times New Roman"/>
          <w:sz w:val="24"/>
          <w:szCs w:val="24"/>
        </w:rPr>
        <w:t>„c) 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2054),”.</w:t>
      </w:r>
    </w:p>
    <w:p w:rsidR="00424EBA" w:rsidRDefault="00424EBA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BBE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 tym, że</w:t>
      </w:r>
      <w:r w:rsidR="00E742B4">
        <w:rPr>
          <w:rFonts w:ascii="Times New Roman" w:eastAsia="Calibri" w:hAnsi="Times New Roman" w:cs="Times New Roman"/>
          <w:sz w:val="24"/>
          <w:szCs w:val="24"/>
        </w:rPr>
        <w:t xml:space="preserve"> ustawa wprowadzająca powyższą zmianę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2B4">
        <w:rPr>
          <w:rFonts w:ascii="Times New Roman" w:eastAsia="Calibri" w:hAnsi="Times New Roman" w:cs="Times New Roman"/>
          <w:sz w:val="24"/>
          <w:szCs w:val="24"/>
        </w:rPr>
        <w:t>nie zawiera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przepisów przejściowych</w:t>
      </w:r>
      <w:r w:rsidR="005D0F34">
        <w:rPr>
          <w:rFonts w:ascii="Times New Roman" w:eastAsia="Calibri" w:hAnsi="Times New Roman" w:cs="Times New Roman"/>
          <w:sz w:val="24"/>
          <w:szCs w:val="24"/>
        </w:rPr>
        <w:t>,</w:t>
      </w:r>
      <w:r w:rsidR="000A4D1E" w:rsidRPr="000A4D1E">
        <w:rPr>
          <w:rFonts w:ascii="Times New Roman" w:eastAsia="Calibri" w:hAnsi="Times New Roman" w:cs="Times New Roman"/>
          <w:sz w:val="24"/>
          <w:szCs w:val="24"/>
        </w:rPr>
        <w:t xml:space="preserve"> nowa przesłanka wykluczenia </w:t>
      </w:r>
      <w:r w:rsidR="000A4D1E">
        <w:rPr>
          <w:rFonts w:ascii="Times New Roman" w:eastAsia="Calibri" w:hAnsi="Times New Roman" w:cs="Times New Roman"/>
          <w:sz w:val="24"/>
          <w:szCs w:val="24"/>
        </w:rPr>
        <w:t>ma</w:t>
      </w:r>
      <w:r w:rsidR="000A4D1E" w:rsidRPr="000A4D1E">
        <w:rPr>
          <w:rFonts w:ascii="Times New Roman" w:eastAsia="Calibri" w:hAnsi="Times New Roman" w:cs="Times New Roman"/>
          <w:sz w:val="24"/>
          <w:szCs w:val="24"/>
        </w:rPr>
        <w:t xml:space="preserve"> zastosow</w:t>
      </w:r>
      <w:r w:rsidR="005D0F34">
        <w:rPr>
          <w:rFonts w:ascii="Times New Roman" w:eastAsia="Calibri" w:hAnsi="Times New Roman" w:cs="Times New Roman"/>
          <w:sz w:val="24"/>
          <w:szCs w:val="24"/>
        </w:rPr>
        <w:t>anie od dnia 1 stycznia 2022r.</w:t>
      </w:r>
      <w:r w:rsidR="000A4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EBA">
        <w:rPr>
          <w:rFonts w:ascii="Times New Roman" w:eastAsia="Calibri" w:hAnsi="Times New Roman" w:cs="Times New Roman"/>
          <w:sz w:val="24"/>
          <w:szCs w:val="24"/>
        </w:rPr>
        <w:t>(</w:t>
      </w:r>
      <w:r w:rsidR="000A4D1E">
        <w:rPr>
          <w:rFonts w:ascii="Times New Roman" w:eastAsia="Calibri" w:hAnsi="Times New Roman" w:cs="Times New Roman"/>
          <w:sz w:val="24"/>
          <w:szCs w:val="24"/>
        </w:rPr>
        <w:t>a więc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dotyczy </w:t>
      </w:r>
      <w:r w:rsidR="005D0F34">
        <w:rPr>
          <w:rFonts w:ascii="Times New Roman" w:eastAsia="Calibri" w:hAnsi="Times New Roman" w:cs="Times New Roman"/>
          <w:sz w:val="24"/>
          <w:szCs w:val="24"/>
        </w:rPr>
        <w:t xml:space="preserve">wszczynanych jak i toczących się </w:t>
      </w:r>
      <w:r w:rsidR="005D0F34" w:rsidRPr="005D0F34">
        <w:rPr>
          <w:rFonts w:ascii="Times New Roman" w:eastAsia="Calibri" w:hAnsi="Times New Roman" w:cs="Times New Roman"/>
          <w:sz w:val="24"/>
          <w:szCs w:val="24"/>
        </w:rPr>
        <w:t xml:space="preserve">postępowań </w:t>
      </w:r>
      <w:r w:rsidR="00553768">
        <w:rPr>
          <w:rFonts w:ascii="Times New Roman" w:eastAsia="Calibri" w:hAnsi="Times New Roman" w:cs="Times New Roman"/>
          <w:sz w:val="24"/>
          <w:szCs w:val="24"/>
        </w:rPr>
        <w:t>o udzielenie zamówienia</w:t>
      </w:r>
      <w:r w:rsidR="005D0F34">
        <w:rPr>
          <w:rFonts w:ascii="Times New Roman" w:eastAsia="Calibri" w:hAnsi="Times New Roman" w:cs="Times New Roman"/>
          <w:sz w:val="24"/>
          <w:szCs w:val="24"/>
        </w:rPr>
        <w:t xml:space="preserve"> publicznego</w:t>
      </w:r>
      <w:r w:rsidR="00553768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4EBA" w:rsidRDefault="00424EBA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527" w:rsidRDefault="000A4D1E" w:rsidP="00FA54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związku z powyższym każdy wykonawca składający wniosek o dopuszczenie do udziału w niniejszym postępowaniu powinien wraz z </w:t>
      </w:r>
      <w:r w:rsidR="00E742B4">
        <w:rPr>
          <w:rFonts w:ascii="Times New Roman" w:eastAsia="Calibri" w:hAnsi="Times New Roman" w:cs="Times New Roman"/>
          <w:sz w:val="24"/>
          <w:szCs w:val="24"/>
        </w:rPr>
        <w:t>wnioskie</w:t>
      </w:r>
      <w:r>
        <w:rPr>
          <w:rFonts w:ascii="Times New Roman" w:eastAsia="Calibri" w:hAnsi="Times New Roman" w:cs="Times New Roman"/>
          <w:sz w:val="24"/>
          <w:szCs w:val="24"/>
        </w:rPr>
        <w:t xml:space="preserve">m złożyć </w:t>
      </w:r>
      <w:r w:rsidR="0055712D">
        <w:rPr>
          <w:rFonts w:ascii="Times New Roman" w:eastAsia="Calibri" w:hAnsi="Times New Roman" w:cs="Times New Roman"/>
          <w:sz w:val="24"/>
          <w:szCs w:val="24"/>
        </w:rPr>
        <w:t>podmiotowy środek dowodowy</w:t>
      </w:r>
      <w:r w:rsidR="00553768" w:rsidRPr="00553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768">
        <w:rPr>
          <w:rFonts w:ascii="Times New Roman" w:eastAsia="Calibri" w:hAnsi="Times New Roman" w:cs="Times New Roman"/>
          <w:sz w:val="24"/>
          <w:szCs w:val="24"/>
        </w:rPr>
        <w:t xml:space="preserve">o którym </w:t>
      </w:r>
      <w:r w:rsidR="00553768" w:rsidRPr="00553768">
        <w:rPr>
          <w:rFonts w:ascii="Times New Roman" w:eastAsia="Calibri" w:hAnsi="Times New Roman" w:cs="Times New Roman"/>
          <w:sz w:val="24"/>
          <w:szCs w:val="24"/>
        </w:rPr>
        <w:t xml:space="preserve">mowa w </w:t>
      </w:r>
      <w:r w:rsidR="00553768" w:rsidRPr="00E742B4">
        <w:rPr>
          <w:rFonts w:ascii="Times New Roman" w:eastAsia="Calibri" w:hAnsi="Times New Roman" w:cs="Times New Roman"/>
          <w:i/>
          <w:sz w:val="24"/>
          <w:szCs w:val="24"/>
        </w:rPr>
        <w:t>Opisie sposobu przygotowania wniosku</w:t>
      </w:r>
      <w:r w:rsidR="00E742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53768" w:rsidRPr="00553768">
        <w:rPr>
          <w:rFonts w:ascii="Times New Roman" w:eastAsia="Calibri" w:hAnsi="Times New Roman" w:cs="Times New Roman"/>
          <w:sz w:val="24"/>
          <w:szCs w:val="24"/>
        </w:rPr>
        <w:t xml:space="preserve"> pkt 6 </w:t>
      </w:r>
      <w:proofErr w:type="spellStart"/>
      <w:r w:rsidR="00553768" w:rsidRPr="00553768">
        <w:rPr>
          <w:rFonts w:ascii="Times New Roman" w:eastAsia="Calibri" w:hAnsi="Times New Roman" w:cs="Times New Roman"/>
          <w:sz w:val="24"/>
          <w:szCs w:val="24"/>
        </w:rPr>
        <w:t>ppkt</w:t>
      </w:r>
      <w:proofErr w:type="spellEnd"/>
      <w:r w:rsidR="00553768" w:rsidRPr="00553768">
        <w:rPr>
          <w:rFonts w:ascii="Times New Roman" w:eastAsia="Calibri" w:hAnsi="Times New Roman" w:cs="Times New Roman"/>
          <w:sz w:val="24"/>
          <w:szCs w:val="24"/>
        </w:rPr>
        <w:t xml:space="preserve"> 6.1. lit b)</w:t>
      </w:r>
      <w:r w:rsidR="00553768">
        <w:rPr>
          <w:rFonts w:ascii="Times New Roman" w:eastAsia="Calibri" w:hAnsi="Times New Roman" w:cs="Times New Roman"/>
          <w:sz w:val="24"/>
          <w:szCs w:val="24"/>
        </w:rPr>
        <w:t>, tj.</w:t>
      </w:r>
      <w:r w:rsidR="0055712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53768">
        <w:rPr>
          <w:rFonts w:ascii="Times New Roman" w:eastAsia="Calibri" w:hAnsi="Times New Roman" w:cs="Times New Roman"/>
          <w:sz w:val="24"/>
          <w:szCs w:val="24"/>
        </w:rPr>
        <w:t xml:space="preserve">informację z </w:t>
      </w:r>
      <w:r w:rsidRPr="005D0F34">
        <w:rPr>
          <w:rFonts w:ascii="Times New Roman" w:eastAsia="Calibri" w:hAnsi="Times New Roman" w:cs="Times New Roman"/>
          <w:b/>
          <w:sz w:val="24"/>
          <w:szCs w:val="24"/>
        </w:rPr>
        <w:t>Krajowego Rejestru Karnego</w:t>
      </w:r>
      <w:r w:rsidR="00E742B4" w:rsidRPr="005D0F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3768" w:rsidRPr="005D0F34">
        <w:rPr>
          <w:rFonts w:ascii="Times New Roman" w:eastAsia="Calibri" w:hAnsi="Times New Roman" w:cs="Times New Roman"/>
          <w:b/>
          <w:sz w:val="24"/>
          <w:szCs w:val="24"/>
          <w:u w:val="single"/>
        </w:rPr>
        <w:t>wystawiony</w:t>
      </w:r>
      <w:r w:rsidRPr="005D0F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53768" w:rsidRPr="005D0F34">
        <w:rPr>
          <w:rFonts w:ascii="Times New Roman" w:eastAsia="Calibri" w:hAnsi="Times New Roman" w:cs="Times New Roman"/>
          <w:b/>
          <w:sz w:val="24"/>
          <w:szCs w:val="24"/>
          <w:u w:val="single"/>
        </w:rPr>
        <w:t>po 01.01.2022 r</w:t>
      </w:r>
      <w:r w:rsidRPr="005D0F34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FA54BE" w:rsidRPr="0055376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53768">
        <w:rPr>
          <w:rFonts w:ascii="Times New Roman" w:eastAsia="Calibri" w:hAnsi="Times New Roman" w:cs="Times New Roman"/>
          <w:sz w:val="24"/>
          <w:szCs w:val="24"/>
        </w:rPr>
        <w:t>(i</w:t>
      </w:r>
      <w:r w:rsidR="00FA54BE" w:rsidRPr="00553768">
        <w:rPr>
          <w:rFonts w:ascii="Times New Roman" w:eastAsia="Calibri" w:hAnsi="Times New Roman" w:cs="Times New Roman"/>
          <w:sz w:val="24"/>
          <w:szCs w:val="24"/>
        </w:rPr>
        <w:t>nformacja z KRK winna potwierdzać brak podstaw wykluczenia z postępowania</w:t>
      </w:r>
      <w:r w:rsidR="00FA54BE" w:rsidRPr="00FA5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768">
        <w:rPr>
          <w:rFonts w:ascii="Times New Roman" w:eastAsia="Calibri" w:hAnsi="Times New Roman" w:cs="Times New Roman"/>
          <w:sz w:val="24"/>
          <w:szCs w:val="24"/>
        </w:rPr>
        <w:br/>
      </w:r>
      <w:r w:rsidR="00D03527">
        <w:rPr>
          <w:rFonts w:ascii="Times New Roman" w:eastAsia="Calibri" w:hAnsi="Times New Roman" w:cs="Times New Roman"/>
          <w:sz w:val="24"/>
          <w:szCs w:val="24"/>
        </w:rPr>
        <w:t xml:space="preserve">w oparciu o przesłankę wykluczenia </w:t>
      </w:r>
      <w:r w:rsidR="00E413C2">
        <w:rPr>
          <w:rFonts w:ascii="Times New Roman" w:eastAsia="Calibri" w:hAnsi="Times New Roman" w:cs="Times New Roman"/>
          <w:sz w:val="24"/>
          <w:szCs w:val="24"/>
        </w:rPr>
        <w:t xml:space="preserve"> o której mowa w art. 108 ust 1 pkt 1c) ustawy </w:t>
      </w:r>
      <w:proofErr w:type="spellStart"/>
      <w:r w:rsidR="00E413C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E41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2B4">
        <w:rPr>
          <w:rFonts w:ascii="Times New Roman" w:eastAsia="Calibri" w:hAnsi="Times New Roman" w:cs="Times New Roman"/>
          <w:sz w:val="24"/>
          <w:szCs w:val="24"/>
        </w:rPr>
        <w:t xml:space="preserve">już </w:t>
      </w:r>
      <w:r w:rsidR="00D03527" w:rsidRPr="00E413C2">
        <w:rPr>
          <w:rFonts w:ascii="Times New Roman" w:eastAsia="Calibri" w:hAnsi="Times New Roman" w:cs="Times New Roman"/>
          <w:sz w:val="24"/>
          <w:szCs w:val="24"/>
          <w:u w:val="single"/>
        </w:rPr>
        <w:t>w nowym brzmieniu</w:t>
      </w:r>
      <w:r w:rsidR="005537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3527">
        <w:rPr>
          <w:rFonts w:ascii="Times New Roman" w:eastAsia="Calibri" w:hAnsi="Times New Roman" w:cs="Times New Roman"/>
          <w:sz w:val="24"/>
          <w:szCs w:val="24"/>
        </w:rPr>
        <w:t xml:space="preserve">w związku z czym informacja </w:t>
      </w:r>
      <w:r w:rsidR="00553768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D03527">
        <w:rPr>
          <w:rFonts w:ascii="Times New Roman" w:eastAsia="Calibri" w:hAnsi="Times New Roman" w:cs="Times New Roman"/>
          <w:sz w:val="24"/>
          <w:szCs w:val="24"/>
        </w:rPr>
        <w:t xml:space="preserve">KRK uzyskana </w:t>
      </w:r>
      <w:r w:rsidR="00E413C2">
        <w:rPr>
          <w:rFonts w:ascii="Times New Roman" w:eastAsia="Calibri" w:hAnsi="Times New Roman" w:cs="Times New Roman"/>
          <w:sz w:val="24"/>
          <w:szCs w:val="24"/>
        </w:rPr>
        <w:t xml:space="preserve">przez wykonawcę </w:t>
      </w:r>
      <w:r w:rsidR="00D03527">
        <w:rPr>
          <w:rFonts w:ascii="Times New Roman" w:eastAsia="Calibri" w:hAnsi="Times New Roman" w:cs="Times New Roman"/>
          <w:sz w:val="24"/>
          <w:szCs w:val="24"/>
        </w:rPr>
        <w:t xml:space="preserve">w roku 2021 </w:t>
      </w:r>
      <w:r w:rsidR="00E742B4">
        <w:rPr>
          <w:rFonts w:ascii="Times New Roman" w:eastAsia="Calibri" w:hAnsi="Times New Roman" w:cs="Times New Roman"/>
          <w:sz w:val="24"/>
          <w:szCs w:val="24"/>
        </w:rPr>
        <w:t xml:space="preserve">nie jest już aktualna i </w:t>
      </w:r>
      <w:r w:rsidR="00D03527">
        <w:rPr>
          <w:rFonts w:ascii="Times New Roman" w:eastAsia="Calibri" w:hAnsi="Times New Roman" w:cs="Times New Roman"/>
          <w:sz w:val="24"/>
          <w:szCs w:val="24"/>
        </w:rPr>
        <w:t>nie będzie potwierdzała braku podstaw do wykluczenia</w:t>
      </w:r>
      <w:r w:rsidR="00E413C2">
        <w:rPr>
          <w:rFonts w:ascii="Times New Roman" w:eastAsia="Calibri" w:hAnsi="Times New Roman" w:cs="Times New Roman"/>
          <w:sz w:val="24"/>
          <w:szCs w:val="24"/>
        </w:rPr>
        <w:t xml:space="preserve"> wykonawcy z postępowania</w:t>
      </w:r>
      <w:r w:rsidR="00D03527">
        <w:rPr>
          <w:rFonts w:ascii="Times New Roman" w:eastAsia="Calibri" w:hAnsi="Times New Roman" w:cs="Times New Roman"/>
          <w:sz w:val="24"/>
          <w:szCs w:val="24"/>
        </w:rPr>
        <w:t>)</w:t>
      </w:r>
      <w:r w:rsidR="00E413C2">
        <w:rPr>
          <w:rFonts w:ascii="Times New Roman" w:eastAsia="Calibri" w:hAnsi="Times New Roman" w:cs="Times New Roman"/>
          <w:sz w:val="24"/>
          <w:szCs w:val="24"/>
        </w:rPr>
        <w:t>.</w:t>
      </w:r>
      <w:r w:rsidR="00D035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42B4" w:rsidRDefault="00E742B4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EC2" w:rsidRPr="00357BBE" w:rsidRDefault="008D2EC2" w:rsidP="003B6427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10"/>
          <w:szCs w:val="10"/>
        </w:rPr>
      </w:pPr>
    </w:p>
    <w:p w:rsidR="003B6427" w:rsidRPr="00357BBE" w:rsidRDefault="003B6427" w:rsidP="003B642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BBE">
        <w:rPr>
          <w:rFonts w:ascii="Times New Roman" w:eastAsia="Calibri" w:hAnsi="Times New Roman" w:cs="Times New Roman"/>
          <w:sz w:val="24"/>
          <w:szCs w:val="24"/>
        </w:rPr>
        <w:t>KIEROWNIK</w:t>
      </w:r>
    </w:p>
    <w:p w:rsidR="003B6427" w:rsidRPr="00357BBE" w:rsidRDefault="003B6427" w:rsidP="003B642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BBE">
        <w:rPr>
          <w:rFonts w:ascii="Times New Roman" w:eastAsia="Calibri" w:hAnsi="Times New Roman" w:cs="Times New Roman"/>
          <w:sz w:val="24"/>
          <w:szCs w:val="24"/>
        </w:rPr>
        <w:t>Sekcji Zamówień Publicznych</w:t>
      </w:r>
    </w:p>
    <w:p w:rsidR="003B6427" w:rsidRPr="00357BBE" w:rsidRDefault="003B6427" w:rsidP="003B642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2EC2" w:rsidRPr="00D60197" w:rsidRDefault="001A60F7" w:rsidP="00D6019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/-/ </w:t>
      </w:r>
      <w:r w:rsidR="00357BBE" w:rsidRPr="00357BBE">
        <w:rPr>
          <w:rFonts w:ascii="Times New Roman" w:eastAsia="Calibri" w:hAnsi="Times New Roman" w:cs="Times New Roman"/>
          <w:sz w:val="24"/>
          <w:szCs w:val="24"/>
        </w:rPr>
        <w:t xml:space="preserve">wz. Agnieszka GNIECIAK </w:t>
      </w:r>
    </w:p>
    <w:p w:rsidR="008A1221" w:rsidRPr="003B6427" w:rsidRDefault="008A1221" w:rsidP="000614ED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1F8" w:rsidRPr="00F91236" w:rsidRDefault="007D41F8" w:rsidP="00F9123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sectPr w:rsidR="007D41F8" w:rsidRPr="00F91236" w:rsidSect="00A808A1">
      <w:footerReference w:type="default" r:id="rId7"/>
      <w:pgSz w:w="11906" w:h="16838"/>
      <w:pgMar w:top="1135" w:right="1417" w:bottom="851" w:left="1985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F5" w:rsidRDefault="00E738F5" w:rsidP="00F91236">
      <w:pPr>
        <w:spacing w:after="0" w:line="240" w:lineRule="auto"/>
      </w:pPr>
      <w:r>
        <w:separator/>
      </w:r>
    </w:p>
  </w:endnote>
  <w:endnote w:type="continuationSeparator" w:id="0">
    <w:p w:rsidR="00E738F5" w:rsidRDefault="00E738F5" w:rsidP="00F9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36" w:rsidRDefault="00F91236" w:rsidP="00627A23">
    <w:pPr>
      <w:pStyle w:val="Stopka"/>
      <w:jc w:val="center"/>
    </w:pPr>
  </w:p>
  <w:p w:rsidR="00F91236" w:rsidRDefault="00F91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F5" w:rsidRDefault="00E738F5" w:rsidP="00F91236">
      <w:pPr>
        <w:spacing w:after="0" w:line="240" w:lineRule="auto"/>
      </w:pPr>
      <w:r>
        <w:separator/>
      </w:r>
    </w:p>
  </w:footnote>
  <w:footnote w:type="continuationSeparator" w:id="0">
    <w:p w:rsidR="00E738F5" w:rsidRDefault="00E738F5" w:rsidP="00F9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87C"/>
    <w:multiLevelType w:val="hybridMultilevel"/>
    <w:tmpl w:val="D61C7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A01"/>
    <w:multiLevelType w:val="hybridMultilevel"/>
    <w:tmpl w:val="F6000102"/>
    <w:lvl w:ilvl="0" w:tplc="6A48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4D4E"/>
    <w:multiLevelType w:val="hybridMultilevel"/>
    <w:tmpl w:val="B8AA0480"/>
    <w:lvl w:ilvl="0" w:tplc="18AE51A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B"/>
    <w:rsid w:val="000614ED"/>
    <w:rsid w:val="0006641F"/>
    <w:rsid w:val="00086A06"/>
    <w:rsid w:val="000923B0"/>
    <w:rsid w:val="000A4D1E"/>
    <w:rsid w:val="00114AEB"/>
    <w:rsid w:val="00114C5D"/>
    <w:rsid w:val="001A60F7"/>
    <w:rsid w:val="001B04B0"/>
    <w:rsid w:val="00357BBE"/>
    <w:rsid w:val="00382398"/>
    <w:rsid w:val="003B6427"/>
    <w:rsid w:val="00424EBA"/>
    <w:rsid w:val="00493278"/>
    <w:rsid w:val="004E72B1"/>
    <w:rsid w:val="005123F9"/>
    <w:rsid w:val="005245B3"/>
    <w:rsid w:val="00553768"/>
    <w:rsid w:val="0055712D"/>
    <w:rsid w:val="005D0F34"/>
    <w:rsid w:val="00627A23"/>
    <w:rsid w:val="00682F70"/>
    <w:rsid w:val="007D41F8"/>
    <w:rsid w:val="008A1221"/>
    <w:rsid w:val="008D2EC2"/>
    <w:rsid w:val="009C31C3"/>
    <w:rsid w:val="009F6334"/>
    <w:rsid w:val="00A27B0C"/>
    <w:rsid w:val="00A808A1"/>
    <w:rsid w:val="00AD5C33"/>
    <w:rsid w:val="00AE445C"/>
    <w:rsid w:val="00B471BC"/>
    <w:rsid w:val="00C01AF1"/>
    <w:rsid w:val="00C975A5"/>
    <w:rsid w:val="00D03527"/>
    <w:rsid w:val="00D245D6"/>
    <w:rsid w:val="00D60197"/>
    <w:rsid w:val="00DE3325"/>
    <w:rsid w:val="00E36740"/>
    <w:rsid w:val="00E413C2"/>
    <w:rsid w:val="00E54ED1"/>
    <w:rsid w:val="00E738F5"/>
    <w:rsid w:val="00E742B4"/>
    <w:rsid w:val="00F91236"/>
    <w:rsid w:val="00FA54BE"/>
    <w:rsid w:val="00FC5997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7A37F"/>
  <w15:chartTrackingRefBased/>
  <w15:docId w15:val="{4F472328-AB8E-4EC6-B90F-098E613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42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236"/>
  </w:style>
  <w:style w:type="paragraph" w:styleId="Stopka">
    <w:name w:val="footer"/>
    <w:basedOn w:val="Normalny"/>
    <w:link w:val="Stopka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236"/>
  </w:style>
  <w:style w:type="paragraph" w:styleId="Tekstdymka">
    <w:name w:val="Balloon Text"/>
    <w:basedOn w:val="Normalny"/>
    <w:link w:val="TekstdymkaZnak"/>
    <w:uiPriority w:val="99"/>
    <w:semiHidden/>
    <w:unhideWhenUsed/>
    <w:rsid w:val="00FC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AUGUSTYN Roman</cp:lastModifiedBy>
  <cp:revision>5</cp:revision>
  <cp:lastPrinted>2022-01-04T08:08:00Z</cp:lastPrinted>
  <dcterms:created xsi:type="dcterms:W3CDTF">2022-02-25T06:33:00Z</dcterms:created>
  <dcterms:modified xsi:type="dcterms:W3CDTF">2022-03-02T07:25:00Z</dcterms:modified>
</cp:coreProperties>
</file>