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A3" w:rsidRDefault="004037A3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</w:p>
    <w:p w:rsidR="005E3BFB" w:rsidRPr="005E3BFB" w:rsidRDefault="005E3BFB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69420F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.2</w:t>
      </w:r>
      <w:r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69420F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9420F">
        <w:rPr>
          <w:rFonts w:ascii="Times New Roman" w:eastAsia="Times New Roman" w:hAnsi="Times New Roman" w:cs="Times New Roman"/>
          <w:b/>
          <w:szCs w:val="20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parametrów oferowanych Część II 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>– Nosze główne wraz z transporterem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116"/>
        <w:gridCol w:w="3964"/>
      </w:tblGrid>
      <w:tr w:rsidR="0069420F" w:rsidRPr="001914D1" w:rsidTr="0069420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Nosze główne</w:t>
            </w:r>
          </w:p>
        </w:tc>
      </w:tr>
      <w:tr w:rsidR="0069420F" w:rsidRPr="001914D1" w:rsidTr="0069420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markę, model oraz dołączyć folder wraz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opisem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Przystosowane do prowadzenia ucisków klatki piersiowej, wyposażone w twardą płytę na całej długości pod materacem umożliwiającą ustawienie wszystkich dostępnych funkcji.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Uchylny stabilizator głowy pacjenta z możliwością wyjęcia i ułożenia głowy na wznak do pozycji węszącej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zestawem pasów zabezpieczających pacjenta o regulowanej długości mocowanych bezpośrednio do ramy noszy.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składanymi wzdłużnie lub na boki poręczami bocznymi.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wysuwanymi rączkami do przenoszenia umieszczonymi z przodu i tyłu noszy.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wprowadzania noszy przodem i tyłem do kierunku jazdy.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0652E7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rekomenduje fabrycznie zamontowany gumowy odbojnik na całej długości bocznej ramy noszy chroniący przed uszkodzeniami przy otarciach lub uderzeniach podczas przenoszenia lub prowadzenia na transporterze.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dopuszcza na zasadzie równoważności nosze nie posiadające fabrycznie zamontowanego gumowego odbojnika w których zastosowano profile niwelujące ryzyko otarć dużych powierzchni.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Trwałe oznakowanie najlepiej graficzne z elementów związanych z obsługą noszy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Dodatkowy zestaw pasów lub uprzęży służący do transportu małych dzieci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 obciążenie dopuszczalne min 227 kg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Nosze główne wyposażone w systemem umożliwiający zdjęcie blokady z goleni w momencie wprowadzania noszy na lawetę.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4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EN 1865-1:2010 (lub norm równoważnych)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4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Transporter noszy głównych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Szybki, bezpieczny i łatwy system połączenia z noszami.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Transporter noszy głównych wyposażony w mechanizm umożliwiający przesuwanie w płaszczy horyzontalnej wzdłuż najszerszego boku podstawy, umożliwiając dostęp do szafek znajdującej się na ścianie bocznej ambulansu.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Transporter noszy głównych wyposażony w mechanizm umożliwiający przesuwanie w płaszczy horyzontalnej wzdłuż najkrótszego boku podstawy, w taki sposób, żeby płyta transportera noszy głównych wyjeżdżała poza obrys stopnia zewnętrznego pojazdu.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ustawienia pozycji </w:t>
            </w:r>
            <w:proofErr w:type="spellStart"/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Trendelenburga</w:t>
            </w:r>
            <w:proofErr w:type="spellEnd"/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Fowlera na minimum trzech poziomach pochylenia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Możliwości zapięcia noszy przodem lub nogami do kierunku jazdy.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 główne uchwyty transportera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Dodatkowe uchylne uchwyty transportera  ułatwiające manewrowanie z możliwością odblokowania goleni,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dopuści na zasadzie równoważności inne rozwiązania techniczne ułatwiające manewrowanie z możliwością odblokowania goleni.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Rama noszy wykonana z profili o przekroju podwyższającym wytrzymałość na ekstremalne obciążenia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Przyciski blokady goleni kodowane kolorami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materiału odpornego na korozję, lub z materiału zabezpieczonego przed korozją.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 obciążenie dopuszczalne transportera min. 227 kg.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Mocowanie transportera do lawety ambulansu zgodne z wymogami PN EN 1789. Poświadczone odpowiednim dokumentem wystawionym przez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niezależną badawczą jednostkę notyfikowaną zgodnie z uprawnieniami wg dyrektywy medycznej 93/42/EEC- dostarczyć przy dostawie. (lub równoważne)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6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F333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oferowany system transportowy (nosze i transporter) - </w:t>
            </w:r>
            <w:r w:rsidR="00F333FA" w:rsidRPr="00F333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EN 1865-1:2010 (lub norm równoważnych)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E3BFB" w:rsidRDefault="005E3BFB"/>
    <w:p w:rsidR="0069420F" w:rsidRDefault="0069420F" w:rsidP="0069420F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69420F" w:rsidRDefault="0069420F"/>
    <w:sectPr w:rsidR="00694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B" w:rsidRDefault="005E3BFB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  <w:color w:val="002060"/>
        <w:sz w:val="24"/>
      </w:rPr>
    </w:pPr>
    <w:r w:rsidRPr="005E3BFB">
      <w:rPr>
        <w:rFonts w:ascii="Times New Roman" w:hAnsi="Times New Roman" w:cs="Times New Roman"/>
        <w:b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5E3BFB">
      <w:rPr>
        <w:rFonts w:ascii="Times New Roman" w:hAnsi="Times New Roman" w:cs="Times New Roman"/>
        <w:b/>
        <w:color w:val="002060"/>
        <w:sz w:val="24"/>
      </w:rPr>
      <w:t>POIiŚ</w:t>
    </w:r>
    <w:proofErr w:type="spellEnd"/>
    <w:r w:rsidRPr="005E3BFB">
      <w:rPr>
        <w:rFonts w:ascii="Times New Roman" w:hAnsi="Times New Roman" w:cs="Times New Roman"/>
        <w:b/>
        <w:color w:val="002060"/>
        <w:sz w:val="24"/>
      </w:rPr>
      <w:t xml:space="preserve"> na lata 2014 – 2020) w związku </w:t>
    </w:r>
    <w:r w:rsidRPr="005E3BFB">
      <w:rPr>
        <w:rFonts w:ascii="Times New Roman" w:hAnsi="Times New Roman" w:cs="Times New Roman"/>
        <w:b/>
        <w:color w:val="002060"/>
        <w:sz w:val="24"/>
      </w:rPr>
      <w:br/>
      <w:t>z realizacją działań związanych z zapobieganiem, przeciwdziałaniem i zwalczaniem „COVID-19” oraz innych chorób zakaźnych.</w:t>
    </w:r>
  </w:p>
  <w:p w:rsidR="00C566F8" w:rsidRDefault="00C566F8" w:rsidP="00C566F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C566F8" w:rsidRDefault="00C566F8" w:rsidP="00C566F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</w:t>
    </w:r>
    <w:r w:rsidR="00F333FA">
      <w:rPr>
        <w:rFonts w:ascii="Times New Roman" w:hAnsi="Times New Roman" w:cs="Times New Roman"/>
        <w:b/>
        <w:color w:val="002060"/>
        <w:sz w:val="24"/>
      </w:rPr>
      <w:t>-P</w:t>
    </w:r>
    <w:r w:rsidRPr="004F57C5">
      <w:rPr>
        <w:rFonts w:ascii="Times New Roman" w:hAnsi="Times New Roman" w:cs="Times New Roman"/>
        <w:b/>
        <w:color w:val="002060"/>
        <w:sz w:val="24"/>
      </w:rPr>
      <w:t>.2021-COVID19</w:t>
    </w:r>
    <w:r w:rsidR="0069420F">
      <w:rPr>
        <w:rFonts w:ascii="Times New Roman" w:hAnsi="Times New Roman" w:cs="Times New Roman"/>
        <w:b/>
        <w:color w:val="002060"/>
        <w:sz w:val="24"/>
      </w:rPr>
      <w:t xml:space="preserve"> </w:t>
    </w:r>
    <w:r w:rsidR="0069420F">
      <w:rPr>
        <w:rFonts w:ascii="Times New Roman" w:hAnsi="Times New Roman" w:cs="Times New Roman"/>
        <w:b/>
        <w:color w:val="002060"/>
        <w:sz w:val="24"/>
      </w:rPr>
      <w:tab/>
    </w:r>
    <w:r w:rsidR="0069420F">
      <w:rPr>
        <w:rFonts w:ascii="Times New Roman" w:hAnsi="Times New Roman" w:cs="Times New Roman"/>
        <w:b/>
        <w:color w:val="002060"/>
        <w:sz w:val="24"/>
      </w:rPr>
      <w:tab/>
      <w:t>Załącznik 11.2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283799"/>
    <w:rsid w:val="004037A3"/>
    <w:rsid w:val="005E3BFB"/>
    <w:rsid w:val="0069420F"/>
    <w:rsid w:val="00C566F8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2021-05-20T10:39:00Z</dcterms:created>
  <dcterms:modified xsi:type="dcterms:W3CDTF">2021-05-20T10:39:00Z</dcterms:modified>
</cp:coreProperties>
</file>