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0397914E" w14:textId="4A547155" w:rsidR="000D2DAE" w:rsidRDefault="000D2DAE" w:rsidP="000D2DAE">
      <w:pPr>
        <w:jc w:val="right"/>
        <w:rPr>
          <w:rFonts w:ascii="Arial" w:hAnsi="Arial" w:cs="Arial"/>
          <w:b/>
          <w:bCs/>
        </w:rPr>
      </w:pPr>
      <w:r w:rsidRPr="0088500D">
        <w:rPr>
          <w:rFonts w:ascii="Arial" w:hAnsi="Arial" w:cs="Arial"/>
          <w:b/>
          <w:bCs/>
        </w:rPr>
        <w:t>271.1</w:t>
      </w:r>
      <w:r w:rsidR="00965CF5">
        <w:rPr>
          <w:rFonts w:ascii="Arial" w:hAnsi="Arial" w:cs="Arial"/>
          <w:b/>
          <w:bCs/>
        </w:rPr>
        <w:t>.4</w:t>
      </w:r>
      <w:r w:rsidR="00B6233A">
        <w:rPr>
          <w:rFonts w:ascii="Arial" w:hAnsi="Arial" w:cs="Arial"/>
          <w:b/>
          <w:bCs/>
        </w:rPr>
        <w:t>.202</w:t>
      </w:r>
      <w:r w:rsidR="00965CF5">
        <w:rPr>
          <w:rFonts w:ascii="Arial" w:hAnsi="Arial" w:cs="Arial"/>
          <w:b/>
          <w:bCs/>
        </w:rPr>
        <w:t>4</w:t>
      </w:r>
    </w:p>
    <w:p w14:paraId="68AE1335" w14:textId="77777777" w:rsidR="000D2DAE" w:rsidRPr="0088500D" w:rsidRDefault="000D2DAE" w:rsidP="000D2DAE">
      <w:pPr>
        <w:jc w:val="center"/>
        <w:rPr>
          <w:rFonts w:ascii="Arial" w:hAnsi="Arial" w:cs="Arial"/>
          <w:b/>
          <w:sz w:val="24"/>
          <w:szCs w:val="24"/>
        </w:rPr>
      </w:pPr>
    </w:p>
    <w:p w14:paraId="7923C918" w14:textId="68195906" w:rsidR="000D2DAE" w:rsidRDefault="000D2DAE" w:rsidP="000D2DAE">
      <w:pPr>
        <w:jc w:val="center"/>
        <w:rPr>
          <w:rFonts w:ascii="Arial" w:hAnsi="Arial" w:cs="Arial"/>
          <w:b/>
        </w:rPr>
      </w:pPr>
      <w:r w:rsidRPr="0088500D">
        <w:rPr>
          <w:rFonts w:ascii="Arial" w:hAnsi="Arial" w:cs="Arial"/>
          <w:b/>
        </w:rPr>
        <w:t xml:space="preserve">WYKAZ PODSTAW WYKLUCZENIA  </w:t>
      </w:r>
    </w:p>
    <w:p w14:paraId="2B2982DB" w14:textId="60ABE41F" w:rsidR="00B6233A" w:rsidRPr="00B6233A" w:rsidRDefault="00965CF5" w:rsidP="00E35B1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bookmarkStart w:id="0" w:name="_Hlk106609427"/>
      <w:r>
        <w:rPr>
          <w:rStyle w:val="Uwydatnienie"/>
          <w:rFonts w:ascii="Arial" w:hAnsi="Arial" w:cs="Arial"/>
          <w:sz w:val="24"/>
          <w:szCs w:val="24"/>
        </w:rPr>
        <w:t xml:space="preserve">   </w:t>
      </w:r>
      <w:bookmarkStart w:id="1" w:name="_Hlk92786347"/>
      <w:bookmarkStart w:id="2" w:name="_Hlk89676447"/>
      <w:r w:rsidRPr="00A3363B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„</w:t>
      </w:r>
      <w:bookmarkEnd w:id="1"/>
      <w:bookmarkEnd w:id="2"/>
      <w:r w:rsidR="00E35B10" w:rsidRPr="00E35B10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Renowacja zabytkowego dworu w Mierzwinie</w:t>
      </w:r>
      <w:r w:rsidRPr="00A3363B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2B63E00" w14:textId="77777777" w:rsidR="00B6233A" w:rsidRDefault="00B6233A" w:rsidP="00417815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3C7C211F" w14:textId="77777777" w:rsidR="00B6233A" w:rsidRDefault="00B6233A" w:rsidP="00417815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bookmarkEnd w:id="0"/>
    <w:p w14:paraId="51DE104D" w14:textId="1221A2F9" w:rsidR="000D2DAE" w:rsidRPr="003F72C3" w:rsidRDefault="000D2DAE" w:rsidP="003F72C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108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wykonawcę:</w:t>
      </w:r>
    </w:p>
    <w:p w14:paraId="2B1037CD" w14:textId="6AF4B9DC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>1) będącego osobą fizyczną, którego prawomocnie skazano za przestępstwo:</w:t>
      </w:r>
    </w:p>
    <w:p w14:paraId="73437B6D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    a) udziału w zorganizowanej grupie przestępczej albo związku mającym na celu </w:t>
      </w:r>
    </w:p>
    <w:p w14:paraId="762C5E69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popełnienie przestępstwa lub przestępstwa skarbowego, o którym mowa w </w:t>
      </w:r>
      <w:hyperlink r:id="rId8" w:anchor="/document/16798683?unitId=art(258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258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14E3A7D" w14:textId="297E0F37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Kodeksu karnego,</w:t>
      </w:r>
    </w:p>
    <w:p w14:paraId="706A10C2" w14:textId="22CBD939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b) handlu ludźmi, o którym mowa w </w:t>
      </w:r>
      <w:hyperlink r:id="rId9" w:anchor="/document/16798683?unitId=art(189(a)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189a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</w:t>
      </w:r>
    </w:p>
    <w:p w14:paraId="68C9B12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c) o którym mowa w </w:t>
      </w:r>
      <w:hyperlink r:id="rId10" w:anchor="/document/16798683?unitId=art(228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228-230a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1" w:anchor="/document/17631344?unitId=art(250(a)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250a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w </w:t>
      </w:r>
      <w:hyperlink r:id="rId12" w:anchor="/document/17631344?unitId=art(46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46-48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ustawy z dnia </w:t>
      </w:r>
    </w:p>
    <w:p w14:paraId="3542FAD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25 czerwca 2010 r. o sporcie (Dz. U. z 2022 r. poz. 1599 i 2185) lub w </w:t>
      </w:r>
      <w:hyperlink r:id="rId13" w:anchor="/document/17712396?unitId=art(54)ust(1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54 ust. 1-4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68A5C0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ustawy z dnia 12 maja 2011 r. o refundacji leków, środków spożywczych specjalnego </w:t>
      </w:r>
    </w:p>
    <w:p w14:paraId="38E18294" w14:textId="6CD5F13C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przeznaczenia żywieniowego oraz wyrobów medycznych (Dz. U. z 2023 r. poz. 826),</w:t>
      </w:r>
    </w:p>
    <w:p w14:paraId="70AB841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165a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B07B3C9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Kodeksu karnego, lub przestępstwo udaremniania lub utrudniania stwierdzenia </w:t>
      </w:r>
    </w:p>
    <w:p w14:paraId="780CF94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przestępnego pochodzenia pieniędzy lub ukrywania ich pochodzenia, o którym mowa w </w:t>
      </w:r>
    </w:p>
    <w:p w14:paraId="4EF63D36" w14:textId="64CEC770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hyperlink r:id="rId15" w:anchor="/document/16798683?unitId=art(299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299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</w:t>
      </w:r>
    </w:p>
    <w:p w14:paraId="4B6B96F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e) o charakterze terrorystycznym, o którym mowa w </w:t>
      </w:r>
      <w:hyperlink r:id="rId16" w:anchor="/document/16798683?unitId=art(115)par(20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115 § 20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lub </w:t>
      </w:r>
    </w:p>
    <w:p w14:paraId="5C181E14" w14:textId="583560C9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mające na celu popełnienie tego przestępstwa,</w:t>
      </w:r>
    </w:p>
    <w:p w14:paraId="5213BBA3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lang w:eastAsia="pl-PL"/>
        </w:rPr>
        <w:t xml:space="preserve">     f) powierzenia wykonywania pracy małoletniemu cudzoziemcowi, o którym mowa w </w:t>
      </w:r>
      <w:hyperlink r:id="rId17" w:anchor="/document/17896506?unitId=art(9)ust(2)&amp;cm=DOCUMENT" w:history="1">
        <w:r w:rsidRPr="003F72C3">
          <w:rPr>
            <w:rFonts w:eastAsia="Times New Roman" w:cstheme="minorHAnsi"/>
            <w:color w:val="0000FF"/>
            <w:u w:val="single"/>
            <w:lang w:eastAsia="pl-PL"/>
          </w:rPr>
          <w:t>art. 9</w:t>
        </w:r>
        <w:r>
          <w:rPr>
            <w:rFonts w:eastAsia="Times New Roman" w:cstheme="minorHAnsi"/>
            <w:color w:val="0000FF"/>
            <w:u w:val="single"/>
            <w:lang w:eastAsia="pl-PL"/>
          </w:rPr>
          <w:t xml:space="preserve"> ust.</w:t>
        </w:r>
        <w:r w:rsidRPr="003F72C3">
          <w:rPr>
            <w:rFonts w:eastAsia="Times New Roman" w:cstheme="minorHAnsi"/>
            <w:color w:val="0000FF"/>
            <w:u w:val="single"/>
            <w:lang w:eastAsia="pl-PL"/>
          </w:rPr>
          <w:t xml:space="preserve"> </w:t>
        </w:r>
        <w:r>
          <w:rPr>
            <w:rFonts w:eastAsia="Times New Roman" w:cstheme="minorHAnsi"/>
            <w:color w:val="0000FF"/>
            <w:u w:val="single"/>
            <w:lang w:eastAsia="pl-PL"/>
          </w:rPr>
          <w:t>2</w:t>
        </w:r>
        <w:r w:rsidRPr="003F72C3">
          <w:rPr>
            <w:rFonts w:eastAsia="Times New Roman" w:cstheme="minorHAnsi"/>
            <w:color w:val="0000FF"/>
            <w:u w:val="single"/>
            <w:lang w:eastAsia="pl-PL"/>
          </w:rPr>
          <w:t xml:space="preserve">        </w:t>
        </w:r>
        <w:r>
          <w:rPr>
            <w:rFonts w:eastAsia="Times New Roman" w:cstheme="minorHAnsi"/>
            <w:color w:val="0000FF"/>
            <w:u w:val="single"/>
            <w:lang w:eastAsia="pl-PL"/>
          </w:rPr>
          <w:t xml:space="preserve">         </w:t>
        </w:r>
        <w:r w:rsidRPr="003F72C3">
          <w:rPr>
            <w:rFonts w:eastAsia="Times New Roman" w:cstheme="minorHAnsi"/>
            <w:color w:val="0000FF"/>
            <w:u w:val="single"/>
            <w:lang w:eastAsia="pl-PL"/>
          </w:rPr>
          <w:t>2</w:t>
        </w:r>
      </w:hyperlink>
      <w:r w:rsidRPr="003F72C3">
        <w:rPr>
          <w:rFonts w:eastAsia="Times New Roman" w:cstheme="minorHAnsi"/>
          <w:lang w:eastAsia="pl-PL"/>
        </w:rPr>
        <w:t xml:space="preserve"> ustawy z dnia 15 czerwca 2012 r. o skutkach powierzania wykonywania pracy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cudzoziemcom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0A35A5A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przebywającym wbrew przepisom na terytorium Rzeczypospolitej Polskiej (Dz. U. z 2021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AB94DFD" w14:textId="68A1B58E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3F72C3">
        <w:rPr>
          <w:rFonts w:eastAsia="Times New Roman" w:cstheme="minorHAnsi"/>
          <w:sz w:val="24"/>
          <w:szCs w:val="24"/>
          <w:lang w:eastAsia="pl-PL"/>
        </w:rPr>
        <w:t>r. poz. 1745),</w:t>
      </w:r>
    </w:p>
    <w:p w14:paraId="500AF30A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g) przeciwko obrotowi gospodarczemu, o których mowa w </w:t>
      </w:r>
      <w:hyperlink r:id="rId18" w:anchor="/document/16798683?unitId=art(296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296-307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F86B1C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przestępstwo oszustwa, o którym mowa w </w:t>
      </w:r>
      <w:hyperlink r:id="rId19" w:anchor="/document/16798683?unitId=art(286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286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karnego, przestępstwo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4A05EC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przeciwko wiarygodności dokumentów, o których mowa w </w:t>
      </w:r>
      <w:hyperlink r:id="rId20" w:anchor="/document/16798683?unitId=art(270)&amp;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art. 270-277d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Kodeksu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BDDC1F" w14:textId="1F9E5376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karnego, lub przestępstwo skarbowe,</w:t>
      </w:r>
    </w:p>
    <w:p w14:paraId="606F5533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h) o którym mowa w art. 9 ust. 1 i 3 lub art. 10 ustawy z dnia 15 czerwca 2012 r. o skutkach </w:t>
      </w:r>
    </w:p>
    <w:p w14:paraId="5AED18DF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EB9728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terytorium Rzeczypospolitej Polskiej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- lub za odpowiedni czyn zabroniony określony w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FA5B7B6" w14:textId="37644981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3F72C3">
        <w:rPr>
          <w:rFonts w:eastAsia="Times New Roman" w:cstheme="minorHAnsi"/>
          <w:sz w:val="24"/>
          <w:szCs w:val="24"/>
          <w:lang w:eastAsia="pl-PL"/>
        </w:rPr>
        <w:t>przepisach prawa obcego;</w:t>
      </w:r>
    </w:p>
    <w:p w14:paraId="4A0E6EB7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2) jeżeli urzędującego członka jego organu zarządzającego lub nadzorczego, wspólnika spółki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69D50A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 spółce jawnej lub partnerskiej albo komplementariusza w spółce komandytowej lub </w:t>
      </w:r>
    </w:p>
    <w:p w14:paraId="342BDD6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komandytowo-akcyjnej lub prokurenta prawomocnie skazano za przestępstwo, o którym </w:t>
      </w:r>
    </w:p>
    <w:p w14:paraId="47A7B9E6" w14:textId="474B5B81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>mowa w pkt 1;</w:t>
      </w:r>
    </w:p>
    <w:p w14:paraId="6D6A424A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3) wobec którego wydano prawomocny wyrok sądu lub ostateczną decyzję administracyjną o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13122530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zaleganiu z uiszczeniem podatków, opłat lub składek na ubezpieczenie społeczne lub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8B98198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D86586E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wniosków o dopuszczenie do udziału w postępowaniu albo przed upływem terminu </w:t>
      </w:r>
    </w:p>
    <w:p w14:paraId="687C394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składania ofert dokonał płatności należnych podatków, opłat lub składek na ubezpieczenie </w:t>
      </w:r>
    </w:p>
    <w:p w14:paraId="670B07F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społeczne lub zdrowotne wraz z odsetkami lub grzywnami lub zawarł wiążące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918B9B" w14:textId="0A932F4D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F72C3">
        <w:rPr>
          <w:rFonts w:eastAsia="Times New Roman" w:cstheme="minorHAnsi"/>
          <w:sz w:val="24"/>
          <w:szCs w:val="24"/>
          <w:lang w:eastAsia="pl-PL"/>
        </w:rPr>
        <w:t>porozumienie w sprawie spłaty tych należności;</w:t>
      </w:r>
    </w:p>
    <w:p w14:paraId="07C3E743" w14:textId="0D60137B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>4) wobec którego prawomocnie orzeczono zakaz ubiegania się o zamówienia publiczne;</w:t>
      </w:r>
    </w:p>
    <w:p w14:paraId="15DB0AD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5) jeżeli zamawiający może stwierdzić, na podstawie wiarygodnych przesłanek, że </w:t>
      </w:r>
    </w:p>
    <w:p w14:paraId="4076B795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wykonawca zawarł z innymi wykonawcami porozumienie mające na celu zakłócenie </w:t>
      </w:r>
    </w:p>
    <w:p w14:paraId="26ED5431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7DFDCD8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hyperlink r:id="rId21" w:anchor="/document/17337528?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z dnia 16 lutego 2007 r. o ochronie konkurencji i konsumentów, złożyli odrębne </w:t>
      </w:r>
    </w:p>
    <w:p w14:paraId="3D857105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oferty, oferty częściowe lub wnioski o dopuszczenie do udziału w postępowaniu, chyba że </w:t>
      </w:r>
    </w:p>
    <w:p w14:paraId="68958C0A" w14:textId="6879AFD1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>wykażą, że przygotowali te oferty lub wnioski niezależnie od siebie;</w:t>
      </w:r>
    </w:p>
    <w:p w14:paraId="06CBDFF4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72C3">
        <w:rPr>
          <w:rFonts w:eastAsia="Times New Roman" w:cstheme="minorHAnsi"/>
          <w:sz w:val="24"/>
          <w:szCs w:val="24"/>
          <w:lang w:eastAsia="pl-PL"/>
        </w:rPr>
        <w:t xml:space="preserve">6) jeżeli, w przypadkach, o których mowa w art. 85 ust. 1, doszło do zakłócenia konkurencji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ED4706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wynikającego z wcześniejszego zaangażowania tego wykonawcy lub podmiotu, który </w:t>
      </w:r>
    </w:p>
    <w:p w14:paraId="28406CD9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należy z wykonawcą do tej samej grupy kapitałowej w rozumieniu </w:t>
      </w:r>
      <w:hyperlink r:id="rId22" w:anchor="/document/17337528?cm=DOCUMENT" w:history="1">
        <w:r w:rsidRPr="003F72C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F72C3">
        <w:rPr>
          <w:rFonts w:eastAsia="Times New Roman" w:cstheme="minorHAnsi"/>
          <w:sz w:val="24"/>
          <w:szCs w:val="24"/>
          <w:lang w:eastAsia="pl-PL"/>
        </w:rPr>
        <w:t xml:space="preserve"> z dnia 16 lutego </w:t>
      </w:r>
    </w:p>
    <w:p w14:paraId="525025A7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2007 r. o ochronie konkurencji i konsumentów, chyba że spowodowane tym zakłócenie </w:t>
      </w:r>
    </w:p>
    <w:p w14:paraId="40697ACF" w14:textId="77777777" w:rsid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 xml:space="preserve">konkurencji może być wyeliminowane w inny sposób niż przez wykluczenie wykonawcy z </w:t>
      </w:r>
    </w:p>
    <w:p w14:paraId="0ECA4CA0" w14:textId="121C72D4" w:rsidR="003F72C3" w:rsidRPr="003F72C3" w:rsidRDefault="003F72C3" w:rsidP="003F7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3F72C3">
        <w:rPr>
          <w:rFonts w:eastAsia="Times New Roman" w:cstheme="minorHAnsi"/>
          <w:sz w:val="24"/>
          <w:szCs w:val="24"/>
          <w:lang w:eastAsia="pl-PL"/>
        </w:rPr>
        <w:t>udziału w postępowaniu o udzielenie zamówienia.</w:t>
      </w:r>
    </w:p>
    <w:p w14:paraId="57A4CD6F" w14:textId="77777777" w:rsidR="003F72C3" w:rsidRPr="0088500D" w:rsidRDefault="003F72C3" w:rsidP="003F72C3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</w:rPr>
      </w:pPr>
    </w:p>
    <w:p w14:paraId="330DEA76" w14:textId="15B170B3" w:rsidR="00970D1F" w:rsidRPr="00970D1F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109 ust. 1 pkt 4</w:t>
      </w:r>
      <w:r w:rsidR="00970D1F">
        <w:rPr>
          <w:rFonts w:ascii="Arial" w:eastAsia="Calibri" w:hAnsi="Arial" w:cs="Arial"/>
          <w:b/>
          <w:u w:val="single"/>
        </w:rPr>
        <w:t>,5,7</w:t>
      </w:r>
      <w:r w:rsidRPr="0088500D">
        <w:rPr>
          <w:rFonts w:ascii="Arial" w:eastAsia="Calibri" w:hAnsi="Arial" w:cs="Arial"/>
          <w:b/>
          <w:u w:val="single"/>
        </w:rPr>
        <w:t xml:space="preserve"> ustawy</w:t>
      </w:r>
      <w:r w:rsidR="00970D1F">
        <w:rPr>
          <w:rFonts w:ascii="Arial" w:eastAsia="Calibri" w:hAnsi="Arial" w:cs="Arial"/>
          <w:b/>
          <w:u w:val="single"/>
        </w:rPr>
        <w:t xml:space="preserve"> 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</w:t>
      </w:r>
      <w:r w:rsidR="00970D1F">
        <w:rPr>
          <w:rFonts w:ascii="Arial" w:eastAsia="Calibri" w:hAnsi="Arial" w:cs="Arial"/>
        </w:rPr>
        <w:t>:</w:t>
      </w:r>
    </w:p>
    <w:p w14:paraId="6F2729FA" w14:textId="77777777" w:rsidR="00970D1F" w:rsidRPr="00970D1F" w:rsidRDefault="00970D1F" w:rsidP="00970D1F">
      <w:p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12AD364D" w14:textId="77777777" w:rsidR="00970D1F" w:rsidRDefault="00970D1F" w:rsidP="00970D1F">
      <w:pPr>
        <w:spacing w:line="276" w:lineRule="auto"/>
        <w:jc w:val="both"/>
      </w:pPr>
      <w:r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A08EAC6" w14:textId="77777777" w:rsidR="00970D1F" w:rsidRDefault="00970D1F" w:rsidP="00970D1F">
      <w:pPr>
        <w:spacing w:line="276" w:lineRule="auto"/>
        <w:jc w:val="both"/>
      </w:pPr>
      <w:r>
        <w:rPr>
          <w:rFonts w:ascii="Arial" w:hAnsi="Arial" w:cs="Arial"/>
        </w:rPr>
        <w:t>b)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3237200" w14:textId="77777777" w:rsidR="00970D1F" w:rsidRDefault="00970D1F" w:rsidP="00970D1F">
      <w:pPr>
        <w:spacing w:line="276" w:lineRule="auto"/>
        <w:jc w:val="both"/>
      </w:pPr>
      <w:r>
        <w:rPr>
          <w:rFonts w:ascii="Arial" w:hAnsi="Arial" w:cs="Arial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B1E01A6" w14:textId="77777777" w:rsidR="000D2DAE" w:rsidRPr="005B6219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 xml:space="preserve">Na podstawie   </w:t>
      </w:r>
      <w:r w:rsidRPr="005B6219">
        <w:rPr>
          <w:rFonts w:ascii="Arial" w:hAnsi="Arial" w:cs="Arial"/>
          <w:b/>
          <w:bCs/>
          <w:color w:val="000000" w:themeColor="text1"/>
          <w:u w:val="single"/>
        </w:rPr>
        <w:t>art. 7 ust. 1 pkt 1-3 ustawy z dnia 13 kwietnia 2022r. o szczególnych rozwiązaniach w zakresie przeciwdziałania wspieraniu agresji na Ukrainę oraz służących ochronie bezpieczeństwa narodowego</w:t>
      </w:r>
      <w:r w:rsidRPr="005B6219">
        <w:rPr>
          <w:rFonts w:ascii="Arial" w:hAnsi="Arial" w:cs="Arial"/>
          <w:color w:val="000000" w:themeColor="text1"/>
          <w:u w:val="single"/>
        </w:rPr>
        <w:t xml:space="preserve"> (</w:t>
      </w:r>
      <w:r w:rsidRPr="005B6219">
        <w:rPr>
          <w:rFonts w:ascii="Arial" w:hAnsi="Arial" w:cs="Arial"/>
          <w:color w:val="000000" w:themeColor="text1"/>
        </w:rPr>
        <w:t>Dz. U. poz. 835) z postępowania o udzielenie zamówienia  Zamawiający, wykluczy:</w:t>
      </w:r>
    </w:p>
    <w:p w14:paraId="09321101" w14:textId="77777777" w:rsidR="000D2DAE" w:rsidRPr="005B6219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>1)</w:t>
      </w:r>
      <w:r w:rsidRPr="005B6219">
        <w:rPr>
          <w:rFonts w:ascii="Arial" w:hAnsi="Arial" w:cs="Arial"/>
          <w:color w:val="000000" w:themeColor="text1"/>
        </w:rPr>
        <w:tab/>
        <w:t xml:space="preserve">Wykonawcę wymienionego w wykazach określonych w rozporządzeniu Rady (WE) nr 765/2006 z dnia 18 maja 2006 r. dotyczącego środków ograniczających w związku z sytuacją na Białorusi i udziałem Białorusi w agresji Rosji wobec Ukrainy (Dz.Urz. UE L 134 z 20.05.2006, </w:t>
      </w:r>
      <w:hyperlink r:id="rId23" w:history="1">
        <w:r w:rsidRPr="005B6219">
          <w:rPr>
            <w:rFonts w:ascii="Arial" w:hAnsi="Arial" w:cs="Arial"/>
            <w:color w:val="000000" w:themeColor="text1"/>
          </w:rPr>
          <w:t>str. 1</w:t>
        </w:r>
      </w:hyperlink>
      <w:r w:rsidRPr="005B6219">
        <w:rPr>
          <w:rFonts w:ascii="Arial" w:hAnsi="Arial" w:cs="Arial"/>
          <w:color w:val="000000" w:themeColor="text1"/>
        </w:rPr>
        <w:t xml:space="preserve">, z późn. zm.), zwanego dalej ,,rozporządzeniem </w:t>
      </w:r>
      <w:hyperlink r:id="rId24" w:history="1">
        <w:r w:rsidRPr="005B6219">
          <w:rPr>
            <w:rFonts w:ascii="Arial" w:hAnsi="Arial" w:cs="Arial"/>
            <w:color w:val="000000" w:themeColor="text1"/>
          </w:rPr>
          <w:t>765/2006</w:t>
        </w:r>
      </w:hyperlink>
      <w:r w:rsidRPr="005B6219">
        <w:rPr>
          <w:rFonts w:ascii="Arial" w:hAnsi="Arial" w:cs="Arial"/>
          <w:color w:val="000000" w:themeColor="text1"/>
        </w:rPr>
        <w:t xml:space="preserve">” i rozporządzeniu Rady (UE) nr 269/2014 z dnia 17 marca 2014 r. w sprawie środków ograniczających w odniesieniu do działań podważających integralność terytorialną, suwerenność i niezależność Ukrainy lub im zagrażających (Dz.Urz. UE L 78 z 17.03.2014, </w:t>
      </w:r>
      <w:hyperlink r:id="rId25" w:history="1">
        <w:r w:rsidRPr="005B6219">
          <w:rPr>
            <w:rFonts w:ascii="Arial" w:hAnsi="Arial" w:cs="Arial"/>
            <w:color w:val="000000" w:themeColor="text1"/>
          </w:rPr>
          <w:t>str. 6</w:t>
        </w:r>
      </w:hyperlink>
      <w:r w:rsidRPr="005B6219">
        <w:rPr>
          <w:rFonts w:ascii="Arial" w:hAnsi="Arial" w:cs="Arial"/>
          <w:color w:val="000000" w:themeColor="text1"/>
        </w:rPr>
        <w:t xml:space="preserve">, z późn. zm.), zwanego dalej ,,rozporządzeniem </w:t>
      </w:r>
      <w:hyperlink r:id="rId26" w:history="1">
        <w:r w:rsidRPr="005B6219">
          <w:rPr>
            <w:rFonts w:ascii="Arial" w:hAnsi="Arial" w:cs="Arial"/>
            <w:color w:val="000000" w:themeColor="text1"/>
          </w:rPr>
          <w:t>269/2014</w:t>
        </w:r>
      </w:hyperlink>
      <w:r w:rsidRPr="005B6219">
        <w:rPr>
          <w:rFonts w:ascii="Arial" w:hAnsi="Arial" w:cs="Arial"/>
          <w:color w:val="000000" w:themeColor="text1"/>
        </w:rPr>
        <w:t xml:space="preserve">'' albo wpisanego na listę osób i podmiotów, wobec których są stosowane środki, o których mowa w </w:t>
      </w:r>
      <w:hyperlink r:id="rId27" w:history="1">
        <w:r w:rsidRPr="005B6219">
          <w:rPr>
            <w:rFonts w:ascii="Arial" w:hAnsi="Arial" w:cs="Arial"/>
            <w:color w:val="000000" w:themeColor="text1"/>
          </w:rPr>
          <w:t>art. 1</w:t>
        </w:r>
      </w:hyperlink>
      <w:r w:rsidRPr="005B6219">
        <w:rPr>
          <w:rFonts w:ascii="Arial" w:hAnsi="Arial" w:cs="Arial"/>
          <w:color w:val="000000" w:themeColor="text1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0C302B7" w14:textId="77777777" w:rsidR="000D2DAE" w:rsidRPr="005B6219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>2)</w:t>
      </w:r>
      <w:r w:rsidRPr="005B6219">
        <w:rPr>
          <w:rFonts w:ascii="Arial" w:hAnsi="Arial" w:cs="Arial"/>
          <w:color w:val="000000" w:themeColor="text1"/>
        </w:rPr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</w:t>
      </w:r>
      <w:r w:rsidRPr="005B6219">
        <w:rPr>
          <w:rFonts w:ascii="Arial" w:hAnsi="Arial" w:cs="Arial"/>
          <w:color w:val="000000" w:themeColor="text1"/>
        </w:rPr>
        <w:lastRenderedPageBreak/>
        <w:t>podstawie decyzji w sprawie wpisu na listę rozstrzygającej o zastosowaniu środka, o którym mowa w art. 1 pkt 3 ww. ustawy;</w:t>
      </w:r>
    </w:p>
    <w:p w14:paraId="680BE8E2" w14:textId="56C8F351" w:rsidR="000D2DAE" w:rsidRPr="005B6219" w:rsidRDefault="000D2DAE" w:rsidP="00417815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219">
        <w:rPr>
          <w:rFonts w:ascii="Arial" w:hAnsi="Arial" w:cs="Arial"/>
          <w:color w:val="000000" w:themeColor="text1"/>
        </w:rPr>
        <w:t>3)</w:t>
      </w:r>
      <w:r w:rsidRPr="005B6219">
        <w:rPr>
          <w:rFonts w:ascii="Arial" w:hAnsi="Arial" w:cs="Arial"/>
          <w:color w:val="000000" w:themeColor="text1"/>
        </w:rPr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sectPr w:rsidR="000D2DAE" w:rsidRPr="005B6219" w:rsidSect="00BE4CEB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0927" w14:textId="77777777" w:rsidR="00BE4CEB" w:rsidRDefault="00BE4CEB" w:rsidP="0038231F">
      <w:pPr>
        <w:spacing w:after="0" w:line="240" w:lineRule="auto"/>
      </w:pPr>
      <w:r>
        <w:separator/>
      </w:r>
    </w:p>
  </w:endnote>
  <w:endnote w:type="continuationSeparator" w:id="0">
    <w:p w14:paraId="16322C65" w14:textId="77777777" w:rsidR="00BE4CEB" w:rsidRDefault="00BE4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583A" w14:textId="77777777" w:rsidR="00BE4CEB" w:rsidRDefault="00BE4CEB" w:rsidP="0038231F">
      <w:pPr>
        <w:spacing w:after="0" w:line="240" w:lineRule="auto"/>
      </w:pPr>
      <w:r>
        <w:separator/>
      </w:r>
    </w:p>
  </w:footnote>
  <w:footnote w:type="continuationSeparator" w:id="0">
    <w:p w14:paraId="592A24DF" w14:textId="77777777" w:rsidR="00BE4CEB" w:rsidRDefault="00BE4C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9933">
    <w:abstractNumId w:val="7"/>
  </w:num>
  <w:num w:numId="2" w16cid:durableId="1099833214">
    <w:abstractNumId w:val="0"/>
  </w:num>
  <w:num w:numId="3" w16cid:durableId="1142504506">
    <w:abstractNumId w:val="6"/>
  </w:num>
  <w:num w:numId="4" w16cid:durableId="1254362827">
    <w:abstractNumId w:val="9"/>
  </w:num>
  <w:num w:numId="5" w16cid:durableId="1196773132">
    <w:abstractNumId w:val="8"/>
  </w:num>
  <w:num w:numId="6" w16cid:durableId="1992828092">
    <w:abstractNumId w:val="5"/>
  </w:num>
  <w:num w:numId="7" w16cid:durableId="1306082579">
    <w:abstractNumId w:val="1"/>
  </w:num>
  <w:num w:numId="8" w16cid:durableId="1854146521">
    <w:abstractNumId w:val="2"/>
    <w:lvlOverride w:ilvl="0">
      <w:startOverride w:val="1"/>
    </w:lvlOverride>
  </w:num>
  <w:num w:numId="9" w16cid:durableId="1274508790">
    <w:abstractNumId w:val="3"/>
  </w:num>
  <w:num w:numId="10" w16cid:durableId="1014459844">
    <w:abstractNumId w:val="4"/>
  </w:num>
  <w:num w:numId="11" w16cid:durableId="255947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D90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2DAE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0DF5"/>
    <w:rsid w:val="00292287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3F72C3"/>
    <w:rsid w:val="00417815"/>
    <w:rsid w:val="00421AF4"/>
    <w:rsid w:val="00434CC2"/>
    <w:rsid w:val="00466838"/>
    <w:rsid w:val="004761C6"/>
    <w:rsid w:val="00484F88"/>
    <w:rsid w:val="00490759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5A1E"/>
    <w:rsid w:val="005A73FB"/>
    <w:rsid w:val="005B6219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D0822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65CF5"/>
    <w:rsid w:val="009705DB"/>
    <w:rsid w:val="00970D1F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6233A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E4CEB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4F55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35B10"/>
    <w:rsid w:val="00E42CC3"/>
    <w:rsid w:val="00E55512"/>
    <w:rsid w:val="00E75BD8"/>
    <w:rsid w:val="00E826A6"/>
    <w:rsid w:val="00E86A2B"/>
    <w:rsid w:val="00E87A96"/>
    <w:rsid w:val="00E90EE1"/>
    <w:rsid w:val="00E91780"/>
    <w:rsid w:val="00EA74CD"/>
    <w:rsid w:val="00EB3286"/>
    <w:rsid w:val="00EC685B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styleId="Uwydatnienie">
    <w:name w:val="Emphasis"/>
    <w:basedOn w:val="Domylnaczcionkaakapitu"/>
    <w:uiPriority w:val="20"/>
    <w:qFormat/>
    <w:rsid w:val="00965CF5"/>
    <w:rPr>
      <w:i/>
      <w:iCs/>
    </w:rPr>
  </w:style>
  <w:style w:type="character" w:customStyle="1" w:styleId="alb-s">
    <w:name w:val="a_lb-s"/>
    <w:basedOn w:val="Domylnaczcionkaakapitu"/>
    <w:rsid w:val="003F72C3"/>
  </w:style>
  <w:style w:type="character" w:styleId="Hipercze">
    <w:name w:val="Hyperlink"/>
    <w:basedOn w:val="Domylnaczcionkaakapitu"/>
    <w:uiPriority w:val="99"/>
    <w:semiHidden/>
    <w:unhideWhenUsed/>
    <w:rsid w:val="003F72C3"/>
    <w:rPr>
      <w:color w:val="0000FF"/>
      <w:u w:val="single"/>
    </w:rPr>
  </w:style>
  <w:style w:type="paragraph" w:customStyle="1" w:styleId="text-justify">
    <w:name w:val="text-justify"/>
    <w:basedOn w:val="Normalny"/>
    <w:rsid w:val="003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16</cp:revision>
  <cp:lastPrinted>2024-03-20T07:08:00Z</cp:lastPrinted>
  <dcterms:created xsi:type="dcterms:W3CDTF">2021-03-08T12:13:00Z</dcterms:created>
  <dcterms:modified xsi:type="dcterms:W3CDTF">2024-04-26T07:00:00Z</dcterms:modified>
</cp:coreProperties>
</file>