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E0" w:rsidRPr="00AE2BE0" w:rsidRDefault="00AE2BE0" w:rsidP="00AE2BE0">
      <w:pPr>
        <w:rPr>
          <w:rFonts w:cstheme="minorHAnsi"/>
        </w:rPr>
      </w:pPr>
      <w:r w:rsidRPr="00AE2BE0">
        <w:rPr>
          <w:rFonts w:cstheme="minorHAnsi"/>
          <w:b/>
        </w:rPr>
        <w:t xml:space="preserve">OPZ </w:t>
      </w:r>
      <w:r w:rsidRPr="00AE2BE0">
        <w:rPr>
          <w:rFonts w:cstheme="minorHAnsi"/>
        </w:rPr>
        <w:t>(opis przedmiotu zamówienia) zgodnie z poniższą specyfikacją:</w:t>
      </w:r>
    </w:p>
    <w:p w:rsidR="00AE2BE0" w:rsidRDefault="00AE2BE0" w:rsidP="00AE2BE0">
      <w:pPr>
        <w:pStyle w:val="Tekstpodstawowywcity1"/>
        <w:spacing w:line="276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A13519">
        <w:rPr>
          <w:rFonts w:asciiTheme="minorHAnsi" w:hAnsiTheme="minorHAnsi" w:cstheme="minorHAnsi"/>
          <w:sz w:val="22"/>
          <w:szCs w:val="22"/>
        </w:rPr>
        <w:t xml:space="preserve">QUAD YAMAHA GRIZZLY 700 EPS </w:t>
      </w:r>
      <w:r w:rsidRPr="00A13519">
        <w:rPr>
          <w:rFonts w:asciiTheme="minorHAnsi" w:hAnsiTheme="minorHAnsi" w:cstheme="minorHAnsi"/>
          <w:b w:val="0"/>
          <w:sz w:val="22"/>
          <w:szCs w:val="22"/>
        </w:rPr>
        <w:t>fabrycznie nowy, wolny od wad</w:t>
      </w:r>
    </w:p>
    <w:p w:rsidR="00CC06EA" w:rsidRPr="00A13519" w:rsidRDefault="00CC06EA" w:rsidP="00AE2BE0">
      <w:pPr>
        <w:pStyle w:val="Tekstpodstawowywcity1"/>
        <w:spacing w:line="276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CC06EA">
        <w:rPr>
          <w:rFonts w:asciiTheme="minorHAnsi" w:hAnsiTheme="minorHAnsi" w:cstheme="minorHAnsi"/>
          <w:sz w:val="22"/>
          <w:szCs w:val="22"/>
        </w:rPr>
        <w:t>ROCZNIK: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2021 lub 2022</w:t>
      </w:r>
    </w:p>
    <w:p w:rsidR="00AE2BE0" w:rsidRDefault="00AE2BE0" w:rsidP="00AE2BE0">
      <w:pPr>
        <w:rPr>
          <w:rFonts w:cstheme="minorHAnsi"/>
        </w:rPr>
      </w:pPr>
      <w:r w:rsidRPr="00A13519">
        <w:rPr>
          <w:rFonts w:cstheme="minorHAnsi"/>
          <w:b/>
        </w:rPr>
        <w:t>Typ silnika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 Jednocylindrowy; Chłodzony cieczą; 4-suwowy; SOHC;4- zaworowy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Pojemność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686 </w:t>
      </w:r>
      <w:proofErr w:type="spellStart"/>
      <w:r w:rsidRPr="00A13519">
        <w:rPr>
          <w:rFonts w:cstheme="minorHAnsi"/>
        </w:rPr>
        <w:t>cm³</w:t>
      </w:r>
      <w:proofErr w:type="spellEnd"/>
      <w:r w:rsidRPr="00A13519">
        <w:rPr>
          <w:rFonts w:cstheme="minorHAnsi"/>
        </w:rPr>
        <w:t xml:space="preserve">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Średnica x skok tłoka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102,0 mm x 84,0 mm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Stopień sprężania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10.0 : 1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Układ smarowania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Mokra miska olejowa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Układ paliwowy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Układ elektronicznego wtrysku paliwa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Układ zapłonu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TCI Układ rozrusznika Elektryczny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Skrzynia biegów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L/H/N/R/P;</w:t>
      </w:r>
      <w:r>
        <w:rPr>
          <w:rFonts w:cstheme="minorHAnsi"/>
        </w:rPr>
        <w:t xml:space="preserve"> </w:t>
      </w:r>
      <w:r w:rsidRPr="00A13519">
        <w:rPr>
          <w:rFonts w:cstheme="minorHAnsi"/>
        </w:rPr>
        <w:t xml:space="preserve">Skrzynia biegów </w:t>
      </w:r>
      <w:proofErr w:type="spellStart"/>
      <w:r w:rsidRPr="00A13519">
        <w:rPr>
          <w:rFonts w:cstheme="minorHAnsi"/>
        </w:rPr>
        <w:t>Ultramatic</w:t>
      </w:r>
      <w:proofErr w:type="spellEnd"/>
      <w:r w:rsidRPr="00A13519">
        <w:rPr>
          <w:rFonts w:cstheme="minorHAnsi"/>
        </w:rPr>
        <w:t xml:space="preserve">® z paskiem klinowym i funkcją hamowania silnikiem kół przednich i tylnych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Napęd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</w:t>
      </w:r>
      <w:proofErr w:type="spellStart"/>
      <w:r w:rsidRPr="00A13519">
        <w:rPr>
          <w:rFonts w:cstheme="minorHAnsi"/>
        </w:rPr>
        <w:t>On-Command</w:t>
      </w:r>
      <w:proofErr w:type="spellEnd"/>
      <w:r w:rsidRPr="00A13519">
        <w:rPr>
          <w:rFonts w:cstheme="minorHAnsi"/>
        </w:rPr>
        <w:t xml:space="preserve">® 2WD/4WD/z blokowanym dyferencjałem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Napęd końcowy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Wał </w:t>
      </w:r>
    </w:p>
    <w:p w:rsidR="00AE2BE0" w:rsidRDefault="00AE2BE0" w:rsidP="00AE2BE0">
      <w:pPr>
        <w:rPr>
          <w:rFonts w:cstheme="minorHAnsi"/>
        </w:rPr>
      </w:pPr>
      <w:r>
        <w:rPr>
          <w:rFonts w:cstheme="minorHAnsi"/>
        </w:rPr>
        <w:br/>
      </w:r>
      <w:r w:rsidRPr="00A13519">
        <w:rPr>
          <w:rFonts w:cstheme="minorHAnsi"/>
          <w:b/>
        </w:rPr>
        <w:t>Podwozie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Układ przedniego zawieszeni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Niezależne, podwójne dwuramienne;193 mm skok koła;5 pozycji ustawień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Układ tylnego zawieszenia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Niezależne, podwójne dwuramienne;232 mm skok koła;5 pozycji ustawień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Hamulec przedni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Podwójny hydrauliczny tarczowy, chłodzony powietrzem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Hamulec tylny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</w:t>
      </w:r>
      <w:proofErr w:type="spellStart"/>
      <w:r w:rsidRPr="00A13519">
        <w:rPr>
          <w:rFonts w:cstheme="minorHAnsi"/>
        </w:rPr>
        <w:t>left</w:t>
      </w:r>
      <w:proofErr w:type="spellEnd"/>
      <w:r w:rsidRPr="00A13519">
        <w:rPr>
          <w:rFonts w:cstheme="minorHAnsi"/>
        </w:rPr>
        <w:t xml:space="preserve"> </w:t>
      </w:r>
      <w:proofErr w:type="spellStart"/>
      <w:r w:rsidRPr="00A13519">
        <w:rPr>
          <w:rFonts w:cstheme="minorHAnsi"/>
        </w:rPr>
        <w:t>hand</w:t>
      </w:r>
      <w:proofErr w:type="spellEnd"/>
      <w:r w:rsidRPr="00A13519">
        <w:rPr>
          <w:rFonts w:cstheme="minorHAnsi"/>
        </w:rPr>
        <w:t>/</w:t>
      </w:r>
      <w:proofErr w:type="spellStart"/>
      <w:r w:rsidRPr="00A13519">
        <w:rPr>
          <w:rFonts w:cstheme="minorHAnsi"/>
        </w:rPr>
        <w:t>right</w:t>
      </w:r>
      <w:proofErr w:type="spellEnd"/>
      <w:r w:rsidRPr="00A13519">
        <w:rPr>
          <w:rFonts w:cstheme="minorHAnsi"/>
        </w:rPr>
        <w:t xml:space="preserve"> </w:t>
      </w:r>
      <w:proofErr w:type="spellStart"/>
      <w:r w:rsidRPr="00A13519">
        <w:rPr>
          <w:rFonts w:cstheme="minorHAnsi"/>
        </w:rPr>
        <w:t>foot</w:t>
      </w:r>
      <w:proofErr w:type="spellEnd"/>
      <w:r w:rsidRPr="00A13519">
        <w:rPr>
          <w:rFonts w:cstheme="minorHAnsi"/>
        </w:rPr>
        <w:t xml:space="preserve"> </w:t>
      </w:r>
      <w:proofErr w:type="spellStart"/>
      <w:r w:rsidRPr="00A13519">
        <w:rPr>
          <w:rFonts w:cstheme="minorHAnsi"/>
        </w:rPr>
        <w:t>operation;Hydrauliczny</w:t>
      </w:r>
      <w:proofErr w:type="spellEnd"/>
      <w:r w:rsidRPr="00A13519">
        <w:rPr>
          <w:rFonts w:cstheme="minorHAnsi"/>
        </w:rPr>
        <w:t xml:space="preserve"> tarczowy, chłodzony powietrzem </w:t>
      </w:r>
      <w:r w:rsidRPr="00A13519">
        <w:rPr>
          <w:rFonts w:cstheme="minorHAnsi"/>
          <w:b/>
        </w:rPr>
        <w:t>Ogumienie przednie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Opony </w:t>
      </w:r>
      <w:proofErr w:type="spellStart"/>
      <w:r w:rsidRPr="00A13519">
        <w:rPr>
          <w:rFonts w:cstheme="minorHAnsi"/>
        </w:rPr>
        <w:t>Maxxis</w:t>
      </w:r>
      <w:proofErr w:type="spellEnd"/>
      <w:r w:rsidRPr="00A13519">
        <w:rPr>
          <w:rFonts w:cstheme="minorHAnsi"/>
        </w:rPr>
        <w:t xml:space="preserve"> 27" </w:t>
      </w:r>
      <w:proofErr w:type="spellStart"/>
      <w:r w:rsidRPr="00A13519">
        <w:rPr>
          <w:rFonts w:cstheme="minorHAnsi"/>
        </w:rPr>
        <w:t>Zilla</w:t>
      </w:r>
      <w:proofErr w:type="spellEnd"/>
      <w:r w:rsidRPr="00A13519">
        <w:rPr>
          <w:rFonts w:cstheme="minorHAnsi"/>
        </w:rPr>
        <w:t xml:space="preserve">, 27x 10-14, aluminiowe felgi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Ogumienie tylne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Opony </w:t>
      </w:r>
      <w:proofErr w:type="spellStart"/>
      <w:r w:rsidRPr="00A13519">
        <w:rPr>
          <w:rFonts w:cstheme="minorHAnsi"/>
        </w:rPr>
        <w:t>Maxxis</w:t>
      </w:r>
      <w:proofErr w:type="spellEnd"/>
      <w:r w:rsidRPr="00A13519">
        <w:rPr>
          <w:rFonts w:cstheme="minorHAnsi"/>
        </w:rPr>
        <w:t xml:space="preserve"> 27" </w:t>
      </w:r>
      <w:proofErr w:type="spellStart"/>
      <w:r w:rsidRPr="00A13519">
        <w:rPr>
          <w:rFonts w:cstheme="minorHAnsi"/>
        </w:rPr>
        <w:t>Zilla</w:t>
      </w:r>
      <w:proofErr w:type="spellEnd"/>
      <w:r w:rsidRPr="00A13519">
        <w:rPr>
          <w:rFonts w:cstheme="minorHAnsi"/>
        </w:rPr>
        <w:t>, 27x 10-14, aluminiowe felgi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Obciążenie maksymalne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 Bagażnik przedni 50 kg,  Bagażnik tylny 90 kg </w:t>
      </w:r>
    </w:p>
    <w:p w:rsidR="00AE2BE0" w:rsidRPr="00A13519" w:rsidRDefault="00AE2BE0" w:rsidP="00AE2BE0">
      <w:pPr>
        <w:rPr>
          <w:rFonts w:cstheme="minorHAnsi"/>
        </w:rPr>
      </w:pP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Wymiary: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Długość całkowita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2070 mm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Szerokość całkowita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1230 mm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Wysokość całkowita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1253 mm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Wysokość siodełka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860 mm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Rozstaw osi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1253 mm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Minimalny prześwit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300 mm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Min. promień skrętu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3,5 m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Pojemność zbiornika paliwa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 18 litrów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Pojemność zbiornika oleju</w:t>
      </w:r>
      <w:r>
        <w:rPr>
          <w:rFonts w:cstheme="minorHAnsi"/>
          <w:b/>
        </w:rPr>
        <w:t>:</w:t>
      </w:r>
      <w:r w:rsidRPr="00A13519">
        <w:rPr>
          <w:rFonts w:cstheme="minorHAnsi"/>
          <w:b/>
        </w:rPr>
        <w:t xml:space="preserve"> </w:t>
      </w:r>
      <w:r w:rsidRPr="00A13519">
        <w:rPr>
          <w:rFonts w:cstheme="minorHAnsi"/>
        </w:rPr>
        <w:t xml:space="preserve"> 2.6 litra </w:t>
      </w:r>
      <w:r w:rsidRPr="00A13519">
        <w:rPr>
          <w:rFonts w:cstheme="minorHAnsi"/>
        </w:rPr>
        <w:br/>
      </w:r>
      <w:r w:rsidRPr="00A13519">
        <w:rPr>
          <w:rFonts w:cstheme="minorHAnsi"/>
          <w:b/>
        </w:rPr>
        <w:t>Układ kierowniczy</w:t>
      </w:r>
      <w:r>
        <w:rPr>
          <w:rFonts w:cstheme="minorHAnsi"/>
          <w:b/>
        </w:rPr>
        <w:t>:</w:t>
      </w:r>
      <w:r w:rsidRPr="00A13519">
        <w:rPr>
          <w:rFonts w:cstheme="minorHAnsi"/>
        </w:rPr>
        <w:t xml:space="preserve"> Typ </w:t>
      </w:r>
      <w:proofErr w:type="spellStart"/>
      <w:r w:rsidRPr="00A13519">
        <w:rPr>
          <w:rFonts w:cstheme="minorHAnsi"/>
        </w:rPr>
        <w:t>Ackermann</w:t>
      </w:r>
      <w:proofErr w:type="spellEnd"/>
      <w:r w:rsidRPr="00A13519">
        <w:rPr>
          <w:rFonts w:cstheme="minorHAnsi"/>
        </w:rPr>
        <w:t xml:space="preserve"> z elektrycznym układem sterowania </w:t>
      </w:r>
    </w:p>
    <w:p w:rsidR="00CC06EA" w:rsidRDefault="00AE2BE0" w:rsidP="00AE2BE0">
      <w:pPr>
        <w:rPr>
          <w:rFonts w:cstheme="minorHAnsi"/>
          <w:b/>
        </w:rPr>
      </w:pPr>
      <w:r w:rsidRPr="00A13519">
        <w:rPr>
          <w:rFonts w:cstheme="minorHAnsi"/>
          <w:b/>
        </w:rPr>
        <w:t>DODATKOWE WYMAGANIA:</w:t>
      </w:r>
      <w:r w:rsidR="00106157">
        <w:rPr>
          <w:rFonts w:cstheme="minorHAnsi"/>
          <w:b/>
        </w:rPr>
        <w:br/>
      </w:r>
      <w:r w:rsidRPr="00A13519">
        <w:rPr>
          <w:rFonts w:cstheme="minorHAnsi"/>
          <w:b/>
        </w:rPr>
        <w:t>Kolor:</w:t>
      </w:r>
      <w:r w:rsidRPr="00A13519">
        <w:rPr>
          <w:rFonts w:cstheme="minorHAnsi"/>
        </w:rPr>
        <w:t xml:space="preserve"> </w:t>
      </w:r>
      <w:r w:rsidRPr="00CC06EA">
        <w:rPr>
          <w:rFonts w:cstheme="minorHAnsi"/>
          <w:b/>
        </w:rPr>
        <w:t>czerwony</w:t>
      </w:r>
      <w:r w:rsidR="00CC06EA">
        <w:rPr>
          <w:rFonts w:cstheme="minorHAnsi"/>
        </w:rPr>
        <w:t>, dopuszczalny kolor zielony</w:t>
      </w:r>
      <w:r w:rsidR="00106157">
        <w:rPr>
          <w:rFonts w:cstheme="minorHAnsi"/>
          <w:b/>
        </w:rPr>
        <w:br/>
      </w:r>
      <w:r w:rsidRPr="00A13519">
        <w:rPr>
          <w:rFonts w:cstheme="minorHAnsi"/>
          <w:b/>
        </w:rPr>
        <w:t>Oświetlenie:</w:t>
      </w:r>
      <w:r w:rsidRPr="00A13519">
        <w:rPr>
          <w:rFonts w:cstheme="minorHAnsi"/>
        </w:rPr>
        <w:t xml:space="preserve"> </w:t>
      </w:r>
      <w:r w:rsidR="00CC06EA" w:rsidRPr="00220E8C">
        <w:rPr>
          <w:rFonts w:ascii="Calibri" w:eastAsia="Calibri" w:hAnsi="Calibri" w:cs="Calibri"/>
          <w:lang w:eastAsia="en-US"/>
        </w:rPr>
        <w:t>alarmowe przód i tył z sygnałem dźwiękowym, kolor niebieski</w:t>
      </w:r>
      <w:r w:rsidR="00106157">
        <w:rPr>
          <w:rFonts w:cstheme="minorHAnsi"/>
          <w:b/>
        </w:rPr>
        <w:br/>
      </w:r>
    </w:p>
    <w:p w:rsidR="00CC06EA" w:rsidRDefault="00CC06EA" w:rsidP="00AE2BE0">
      <w:pPr>
        <w:rPr>
          <w:rFonts w:cstheme="minorHAnsi"/>
          <w:b/>
        </w:rPr>
      </w:pPr>
    </w:p>
    <w:p w:rsidR="00AE2BE0" w:rsidRPr="00106157" w:rsidRDefault="00AE2BE0" w:rsidP="00AE2BE0">
      <w:pPr>
        <w:rPr>
          <w:rFonts w:cstheme="minorHAnsi"/>
          <w:b/>
        </w:rPr>
      </w:pPr>
      <w:r w:rsidRPr="00A13519">
        <w:rPr>
          <w:rFonts w:cstheme="minorHAnsi"/>
          <w:b/>
        </w:rPr>
        <w:lastRenderedPageBreak/>
        <w:t>Dodatkowe wyposażenie:</w:t>
      </w:r>
      <w:r w:rsidRPr="00A13519">
        <w:rPr>
          <w:rFonts w:cstheme="minorHAnsi"/>
        </w:rPr>
        <w:t xml:space="preserve"> </w:t>
      </w:r>
    </w:p>
    <w:p w:rsidR="00AE2BE0" w:rsidRPr="00A13519" w:rsidRDefault="00AE2BE0" w:rsidP="00AE2BE0">
      <w:pPr>
        <w:pStyle w:val="Akapitzlist"/>
        <w:numPr>
          <w:ilvl w:val="0"/>
          <w:numId w:val="2"/>
        </w:numPr>
        <w:rPr>
          <w:rFonts w:cstheme="minorHAnsi"/>
        </w:rPr>
      </w:pPr>
      <w:r w:rsidRPr="00A13519">
        <w:rPr>
          <w:rFonts w:cstheme="minorHAnsi"/>
        </w:rPr>
        <w:t>Kufer bagażowy tylny;</w:t>
      </w:r>
    </w:p>
    <w:p w:rsidR="00AE2BE0" w:rsidRPr="00A13519" w:rsidRDefault="00AE2BE0" w:rsidP="00AE2BE0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</w:t>
      </w:r>
      <w:r w:rsidRPr="00A13519">
        <w:rPr>
          <w:rFonts w:cstheme="minorHAnsi"/>
        </w:rPr>
        <w:t>estaw haka holowniczego.</w:t>
      </w:r>
    </w:p>
    <w:p w:rsidR="00AE2BE0" w:rsidRPr="00A13519" w:rsidRDefault="00AE2BE0" w:rsidP="00AE2BE0">
      <w:pPr>
        <w:rPr>
          <w:rFonts w:cstheme="minorHAnsi"/>
          <w:b/>
        </w:rPr>
      </w:pPr>
      <w:r w:rsidRPr="00A13519">
        <w:rPr>
          <w:rFonts w:cstheme="minorHAnsi"/>
          <w:b/>
        </w:rPr>
        <w:t xml:space="preserve">Wymagania gwarancyjne i serwisowe </w:t>
      </w:r>
    </w:p>
    <w:p w:rsidR="00AE2BE0" w:rsidRPr="00A13519" w:rsidRDefault="00AE2BE0" w:rsidP="00AE2BE0">
      <w:pPr>
        <w:rPr>
          <w:rFonts w:cstheme="minorHAnsi"/>
        </w:rPr>
      </w:pPr>
      <w:r w:rsidRPr="00A13519">
        <w:rPr>
          <w:rFonts w:cstheme="minorHAnsi"/>
        </w:rPr>
        <w:t xml:space="preserve">Oferowany przez wykonawcę </w:t>
      </w:r>
      <w:proofErr w:type="spellStart"/>
      <w:r w:rsidRPr="00A13519">
        <w:rPr>
          <w:rFonts w:cstheme="minorHAnsi"/>
        </w:rPr>
        <w:t>quad</w:t>
      </w:r>
      <w:proofErr w:type="spellEnd"/>
      <w:r w:rsidRPr="00A13519">
        <w:rPr>
          <w:rFonts w:cstheme="minorHAnsi"/>
        </w:rPr>
        <w:t xml:space="preserve"> powinien być w pełni sprawny i spełniać wymagania techniczne, jakościowe i użytkowe określone w szczegółowym opisie zamówienia. </w:t>
      </w:r>
    </w:p>
    <w:p w:rsidR="00AE2BE0" w:rsidRPr="00A13519" w:rsidRDefault="00AE2BE0" w:rsidP="00AE2BE0">
      <w:pPr>
        <w:rPr>
          <w:rFonts w:cstheme="minorHAnsi"/>
        </w:rPr>
      </w:pPr>
      <w:proofErr w:type="spellStart"/>
      <w:r w:rsidRPr="00A13519">
        <w:rPr>
          <w:rFonts w:cstheme="minorHAnsi"/>
        </w:rPr>
        <w:t>Quad</w:t>
      </w:r>
      <w:proofErr w:type="spellEnd"/>
      <w:r w:rsidRPr="00A13519">
        <w:rPr>
          <w:rFonts w:cstheme="minorHAnsi"/>
        </w:rPr>
        <w:t xml:space="preserve"> powinien posiadać wszystkie dokumenty niezbędne do dopełnienia formalności związanych </w:t>
      </w:r>
      <w:r w:rsidRPr="00A13519">
        <w:rPr>
          <w:rFonts w:cstheme="minorHAnsi"/>
        </w:rPr>
        <w:br/>
        <w:t xml:space="preserve">z dopuszczeniem do ruchu po drogach publicznych i instrukcję obsługi w języku polskim. </w:t>
      </w:r>
    </w:p>
    <w:p w:rsidR="00AE2BE0" w:rsidRPr="00A13519" w:rsidRDefault="00AE2BE0" w:rsidP="00AE2BE0">
      <w:pPr>
        <w:rPr>
          <w:rFonts w:cstheme="minorHAnsi"/>
        </w:rPr>
      </w:pPr>
      <w:proofErr w:type="spellStart"/>
      <w:r w:rsidRPr="00A13519">
        <w:rPr>
          <w:rFonts w:cstheme="minorHAnsi"/>
        </w:rPr>
        <w:t>Quad</w:t>
      </w:r>
      <w:proofErr w:type="spellEnd"/>
      <w:r w:rsidRPr="00A13519">
        <w:rPr>
          <w:rFonts w:cstheme="minorHAnsi"/>
        </w:rPr>
        <w:t xml:space="preserve"> przeznaczony jest do prac związanych z zabezpieczeniem ratowniczym terenu plaży miejskiej.</w:t>
      </w:r>
    </w:p>
    <w:p w:rsidR="00AE2BE0" w:rsidRPr="00A13519" w:rsidRDefault="00AE2BE0" w:rsidP="00AE2BE0">
      <w:pPr>
        <w:jc w:val="both"/>
        <w:rPr>
          <w:rFonts w:cstheme="minorHAnsi"/>
        </w:rPr>
      </w:pPr>
      <w:r w:rsidRPr="00A13519">
        <w:rPr>
          <w:rFonts w:cstheme="minorHAnsi"/>
        </w:rPr>
        <w:t xml:space="preserve">Wykonawca udzieli Zamawiającemu gwarancji na dostarczonego </w:t>
      </w:r>
      <w:proofErr w:type="spellStart"/>
      <w:r w:rsidRPr="00A13519">
        <w:rPr>
          <w:rFonts w:cstheme="minorHAnsi"/>
        </w:rPr>
        <w:t>quada</w:t>
      </w:r>
      <w:proofErr w:type="spellEnd"/>
      <w:r w:rsidRPr="00A13519">
        <w:rPr>
          <w:rFonts w:cstheme="minorHAnsi"/>
        </w:rPr>
        <w:t xml:space="preserve"> na okres wskazany w ofercie liczony od dnia podpisania przez przedstawicieli stron protokołu odbioru </w:t>
      </w:r>
      <w:proofErr w:type="spellStart"/>
      <w:r w:rsidRPr="00A13519">
        <w:rPr>
          <w:rFonts w:cstheme="minorHAnsi"/>
        </w:rPr>
        <w:t>quada</w:t>
      </w:r>
      <w:proofErr w:type="spellEnd"/>
      <w:r w:rsidRPr="00A13519">
        <w:rPr>
          <w:rFonts w:cstheme="minorHAnsi"/>
        </w:rPr>
        <w:t xml:space="preserve"> (załącznik </w:t>
      </w:r>
      <w:r w:rsidRPr="00A13519">
        <w:rPr>
          <w:rFonts w:cstheme="minorHAnsi"/>
        </w:rPr>
        <w:br/>
        <w:t xml:space="preserve">do zapytania ofertowego). W okresie gwarancji wszystkie koszty naprawy w tym dojazd, koszt materiałów i części zamiennych, za wyjątkiem materiałów i części eksploatacyjnych podlegających naturalnemu zużyciu ponosi wykonawca. </w:t>
      </w:r>
    </w:p>
    <w:p w:rsidR="00AE2BE0" w:rsidRPr="00A13519" w:rsidRDefault="00AE2BE0" w:rsidP="00AE2BE0">
      <w:pPr>
        <w:rPr>
          <w:rFonts w:cstheme="minorHAnsi"/>
        </w:rPr>
      </w:pPr>
      <w:r w:rsidRPr="00A13519">
        <w:rPr>
          <w:rFonts w:cstheme="minorHAnsi"/>
        </w:rPr>
        <w:t xml:space="preserve">Podjęcie naprawy w okresie gwarancji nastąpi w czasie 48 godzin licząc od terminu zgłoszenia, nie wliczając czasu w dniach ustawowo wolnych. </w:t>
      </w:r>
    </w:p>
    <w:p w:rsidR="00AE2BE0" w:rsidRPr="00A13519" w:rsidRDefault="00AE2BE0" w:rsidP="00AE2BE0">
      <w:pPr>
        <w:rPr>
          <w:rFonts w:cstheme="minorHAnsi"/>
        </w:rPr>
      </w:pPr>
      <w:r w:rsidRPr="00A13519">
        <w:rPr>
          <w:rFonts w:cstheme="minorHAnsi"/>
        </w:rPr>
        <w:t xml:space="preserve">Maksymalny czas naprawy – do 14 dni licząc od daty jej rozpoczęcia. </w:t>
      </w:r>
    </w:p>
    <w:p w:rsidR="00AE2BE0" w:rsidRPr="00A13519" w:rsidRDefault="00AE2BE0" w:rsidP="00AE2BE0">
      <w:pPr>
        <w:rPr>
          <w:rFonts w:cstheme="minorHAnsi"/>
        </w:rPr>
      </w:pPr>
      <w:r w:rsidRPr="00A13519">
        <w:rPr>
          <w:rFonts w:cstheme="minorHAnsi"/>
        </w:rPr>
        <w:t xml:space="preserve">Wykonanie obowiązków z tytułu gwarancji odbywać się będzie transportem i na koszt wykonawcy. </w:t>
      </w:r>
    </w:p>
    <w:p w:rsidR="00AE2BE0" w:rsidRPr="00A13519" w:rsidRDefault="00AE2BE0" w:rsidP="00AE2BE0">
      <w:pPr>
        <w:rPr>
          <w:rFonts w:cstheme="minorHAnsi"/>
        </w:rPr>
      </w:pPr>
      <w:r w:rsidRPr="00A13519">
        <w:rPr>
          <w:rFonts w:cstheme="minorHAnsi"/>
        </w:rPr>
        <w:t xml:space="preserve">Koszty transportu do zamawiającego ponosi wykonawca. </w:t>
      </w:r>
    </w:p>
    <w:p w:rsidR="00AE2BE0" w:rsidRPr="00A13519" w:rsidRDefault="00AE2BE0" w:rsidP="00AE2BE0">
      <w:pPr>
        <w:jc w:val="both"/>
        <w:rPr>
          <w:rFonts w:cstheme="minorHAnsi"/>
        </w:rPr>
      </w:pPr>
      <w:r w:rsidRPr="00A13519">
        <w:rPr>
          <w:rFonts w:cstheme="minorHAnsi"/>
        </w:rPr>
        <w:t xml:space="preserve">W przypadku, gdy wada jest tego rodzaju, że usunięcie usterki lub wady w terminie 14 dni jest niemożliwa, w szczególności w przypadku konieczności zamówienia części dostawca ustali </w:t>
      </w:r>
      <w:r w:rsidRPr="00A13519">
        <w:rPr>
          <w:rFonts w:cstheme="minorHAnsi"/>
        </w:rPr>
        <w:br/>
        <w:t>z zamawiającym odpowiedni termin usunięcia wad lub usterki i wówczas na ten okres dostawca zabezpieczy sprzęt zastępczy o zbliżonych parametrach.</w:t>
      </w:r>
    </w:p>
    <w:p w:rsidR="00AE2BE0" w:rsidRPr="00A13519" w:rsidRDefault="00AE2BE0" w:rsidP="00AE2BE0">
      <w:pPr>
        <w:rPr>
          <w:rFonts w:cstheme="minorHAnsi"/>
          <w:b/>
        </w:rPr>
      </w:pPr>
      <w:r w:rsidRPr="00A13519">
        <w:rPr>
          <w:rFonts w:cstheme="minorHAnsi"/>
          <w:b/>
        </w:rPr>
        <w:t>Informacje/wymagania dodatkowe</w:t>
      </w:r>
    </w:p>
    <w:p w:rsidR="00AE2BE0" w:rsidRPr="00A13519" w:rsidRDefault="00AE2BE0" w:rsidP="00AE2BE0">
      <w:pPr>
        <w:rPr>
          <w:rFonts w:cstheme="minorHAnsi"/>
        </w:rPr>
      </w:pPr>
      <w:r w:rsidRPr="00A13519">
        <w:rPr>
          <w:rFonts w:cstheme="minorHAnsi"/>
        </w:rPr>
        <w:t xml:space="preserve">Homologacja końcowa europejska lub dokument równoważny; </w:t>
      </w:r>
    </w:p>
    <w:p w:rsidR="00AE2BE0" w:rsidRPr="00A13519" w:rsidRDefault="00AE2BE0" w:rsidP="00AE2BE0">
      <w:pPr>
        <w:rPr>
          <w:rFonts w:cstheme="minorHAnsi"/>
        </w:rPr>
      </w:pPr>
      <w:r w:rsidRPr="00A13519">
        <w:rPr>
          <w:rFonts w:cstheme="minorHAnsi"/>
        </w:rPr>
        <w:t xml:space="preserve">Wszystkie dokumenty niezbędne do zarejestrowania pojazdu na terenie Rzeczypospolitej Polskiej; </w:t>
      </w:r>
    </w:p>
    <w:p w:rsidR="00AE2BE0" w:rsidRPr="00A13519" w:rsidRDefault="00AE2BE0" w:rsidP="00AE2BE0">
      <w:pPr>
        <w:rPr>
          <w:rFonts w:cstheme="minorHAnsi"/>
        </w:rPr>
      </w:pPr>
      <w:r w:rsidRPr="00A13519">
        <w:rPr>
          <w:rFonts w:cstheme="minorHAnsi"/>
        </w:rPr>
        <w:t xml:space="preserve">Instrukcja obsługi w języku polskim; </w:t>
      </w:r>
    </w:p>
    <w:p w:rsidR="00D3543F" w:rsidRDefault="00D3543F"/>
    <w:sectPr w:rsidR="00D3543F" w:rsidSect="00A9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49C"/>
    <w:multiLevelType w:val="hybridMultilevel"/>
    <w:tmpl w:val="D496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133B"/>
    <w:multiLevelType w:val="hybridMultilevel"/>
    <w:tmpl w:val="36DA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E2BE0"/>
    <w:rsid w:val="00106157"/>
    <w:rsid w:val="002A39EC"/>
    <w:rsid w:val="00A924AF"/>
    <w:rsid w:val="00AE2BE0"/>
    <w:rsid w:val="00CC06EA"/>
    <w:rsid w:val="00D3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AE2B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AE2BE0"/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rsid w:val="00AE2BE0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4</cp:revision>
  <dcterms:created xsi:type="dcterms:W3CDTF">2022-09-29T09:00:00Z</dcterms:created>
  <dcterms:modified xsi:type="dcterms:W3CDTF">2022-10-04T12:01:00Z</dcterms:modified>
</cp:coreProperties>
</file>