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CFA" w:rsidRPr="00BD0CFA" w:rsidRDefault="00BD0CFA" w:rsidP="00BD0CFA">
      <w:pPr>
        <w:spacing w:line="240" w:lineRule="auto"/>
        <w:jc w:val="both"/>
        <w:rPr>
          <w:rFonts w:ascii="Arial Narrow" w:eastAsia="Arial Narrow" w:hAnsi="Arial Narrow" w:cs="Arial Narrow"/>
          <w:b/>
          <w:i/>
          <w:color w:val="0000FF"/>
          <w:kern w:val="0"/>
          <w:sz w:val="24"/>
          <w:szCs w:val="24"/>
        </w:rPr>
      </w:pPr>
      <w:r w:rsidRPr="00EF399A">
        <w:rPr>
          <w:rFonts w:ascii="Arial Narrow" w:eastAsia="Arial Narrow" w:hAnsi="Arial Narrow" w:cs="Arial Narrow"/>
          <w:b/>
          <w:i/>
          <w:caps/>
          <w:color w:val="auto"/>
          <w:kern w:val="0"/>
          <w:sz w:val="22"/>
          <w:szCs w:val="22"/>
        </w:rPr>
        <w:t>Za</w:t>
      </w:r>
      <w:r w:rsidRPr="00EF399A">
        <w:rPr>
          <w:rFonts w:ascii="Calibri" w:eastAsia="Calibri" w:hAnsi="Calibri" w:cs="Calibri"/>
          <w:b/>
          <w:i/>
          <w:caps/>
          <w:color w:val="auto"/>
          <w:kern w:val="0"/>
          <w:sz w:val="22"/>
          <w:szCs w:val="22"/>
        </w:rPr>
        <w:t>łą</w:t>
      </w:r>
      <w:r w:rsidRPr="00EF399A">
        <w:rPr>
          <w:rFonts w:ascii="Arial Narrow" w:eastAsia="Arial Narrow" w:hAnsi="Arial Narrow" w:cs="Arial Narrow"/>
          <w:b/>
          <w:i/>
          <w:caps/>
          <w:color w:val="auto"/>
          <w:kern w:val="0"/>
          <w:sz w:val="22"/>
          <w:szCs w:val="22"/>
        </w:rPr>
        <w:t>cznik n</w:t>
      </w:r>
      <w:r w:rsidRPr="00EF399A">
        <w:rPr>
          <w:rFonts w:ascii="Arial Narrow" w:eastAsia="Arial Narrow" w:hAnsi="Arial Narrow" w:cs="Arial Narrow"/>
          <w:b/>
          <w:i/>
          <w:color w:val="auto"/>
          <w:kern w:val="0"/>
          <w:sz w:val="22"/>
          <w:szCs w:val="22"/>
        </w:rPr>
        <w:t>r 2 do SIWZ</w:t>
      </w:r>
      <w:r w:rsidRPr="00BD0CFA">
        <w:rPr>
          <w:rFonts w:ascii="Arial Narrow" w:eastAsia="Arial Narrow" w:hAnsi="Arial Narrow" w:cs="Arial Narrow"/>
          <w:b/>
          <w:i/>
          <w:color w:val="auto"/>
          <w:kern w:val="0"/>
          <w:sz w:val="24"/>
          <w:szCs w:val="22"/>
        </w:rPr>
        <w:t xml:space="preserve"> –</w:t>
      </w:r>
      <w:r>
        <w:rPr>
          <w:rFonts w:ascii="Arial Narrow" w:eastAsia="Arial Narrow" w:hAnsi="Arial Narrow" w:cs="Arial Narrow"/>
          <w:b/>
          <w:i/>
          <w:color w:val="auto"/>
          <w:kern w:val="0"/>
          <w:sz w:val="24"/>
          <w:szCs w:val="22"/>
        </w:rPr>
        <w:t xml:space="preserve"> </w:t>
      </w:r>
      <w:r w:rsidRPr="00BD0CFA">
        <w:rPr>
          <w:rFonts w:ascii="Arial Narrow" w:eastAsia="Arial Narrow" w:hAnsi="Arial Narrow" w:cs="Arial Narrow"/>
          <w:b/>
          <w:i/>
          <w:color w:val="auto"/>
          <w:kern w:val="0"/>
          <w:sz w:val="24"/>
          <w:szCs w:val="22"/>
        </w:rPr>
        <w:t>Szczegółowy opis przedmiotu zamówienia</w:t>
      </w:r>
      <w:r>
        <w:rPr>
          <w:rFonts w:ascii="Arial Narrow" w:eastAsia="Arial Narrow" w:hAnsi="Arial Narrow" w:cs="Arial Narrow"/>
          <w:b/>
          <w:i/>
          <w:color w:val="0000FF"/>
          <w:kern w:val="0"/>
          <w:sz w:val="24"/>
          <w:szCs w:val="22"/>
        </w:rPr>
        <w:t>-</w:t>
      </w:r>
      <w:r w:rsidRPr="00BD0CFA">
        <w:rPr>
          <w:rFonts w:ascii="Arial Narrow" w:eastAsia="Arial Narrow" w:hAnsi="Arial Narrow" w:cs="Arial Narrow"/>
          <w:b/>
          <w:i/>
          <w:color w:val="0000FF"/>
          <w:kern w:val="0"/>
          <w:sz w:val="24"/>
          <w:szCs w:val="22"/>
        </w:rPr>
        <w:t xml:space="preserve"> </w:t>
      </w:r>
      <w:r>
        <w:rPr>
          <w:b/>
          <w:sz w:val="24"/>
          <w:szCs w:val="24"/>
        </w:rPr>
        <w:t xml:space="preserve">Specyfikacja techniczna </w:t>
      </w:r>
    </w:p>
    <w:p w:rsidR="00BD0CFA" w:rsidRPr="00BD0CFA" w:rsidRDefault="00BD0CFA" w:rsidP="00BD0CFA">
      <w:pPr>
        <w:rPr>
          <w:b/>
          <w:sz w:val="22"/>
          <w:szCs w:val="22"/>
        </w:rPr>
      </w:pPr>
      <w:r w:rsidRPr="00BD0CFA">
        <w:rPr>
          <w:b/>
          <w:color w:val="auto"/>
          <w:sz w:val="22"/>
          <w:szCs w:val="22"/>
          <w:lang w:eastAsia="zh-CN"/>
        </w:rPr>
        <w:t>Aparatu HDR z systemem planowania i zestawem aplikatorów</w:t>
      </w:r>
    </w:p>
    <w:p w:rsidR="00087B15" w:rsidRDefault="00087B15">
      <w:pPr>
        <w:jc w:val="center"/>
        <w:rPr>
          <w:b/>
          <w:sz w:val="24"/>
          <w:szCs w:val="24"/>
        </w:rPr>
      </w:pPr>
    </w:p>
    <w:tbl>
      <w:tblPr>
        <w:tblW w:w="9072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925"/>
        <w:gridCol w:w="1821"/>
        <w:gridCol w:w="2341"/>
        <w:gridCol w:w="1174"/>
      </w:tblGrid>
      <w:tr w:rsidR="00087B15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087B15" w:rsidRDefault="00BD0C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Przedmiot zamówienia </w:t>
            </w:r>
          </w:p>
        </w:tc>
        <w:tc>
          <w:tcPr>
            <w:tcW w:w="1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Warunki. </w:t>
            </w:r>
          </w:p>
        </w:tc>
        <w:tc>
          <w:tcPr>
            <w:tcW w:w="23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Oferowane – Wypełnia Wykonawca</w:t>
            </w:r>
          </w:p>
        </w:tc>
        <w:tc>
          <w:tcPr>
            <w:tcW w:w="11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Punktacja 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System do brachyterapii HDR - 1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syst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82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3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Aparat do brachyterapii HDR - szt. 1 w konfiguracji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Producent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produkcji [nie wcześniej niż 2019 rok]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862B6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862B6" w:rsidRDefault="00B862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862B6" w:rsidRDefault="00B862B6" w:rsidP="002B5B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Źródło Ir-192 do systemu</w:t>
            </w:r>
            <w:r w:rsidR="00CB0983">
              <w:rPr>
                <w:rFonts w:ascii="Arial" w:hAnsi="Arial" w:cs="Arial"/>
                <w:sz w:val="16"/>
                <w:szCs w:val="16"/>
              </w:rPr>
              <w:t xml:space="preserve"> HDR o </w:t>
            </w:r>
            <w:r w:rsidR="00451128">
              <w:rPr>
                <w:rFonts w:ascii="Arial" w:hAnsi="Arial" w:cs="Arial"/>
                <w:sz w:val="16"/>
                <w:szCs w:val="16"/>
              </w:rPr>
              <w:t xml:space="preserve">aktywności 10Ci ± 10% - 8 sztuk </w:t>
            </w:r>
            <w:r w:rsidR="002B5B61">
              <w:rPr>
                <w:rFonts w:ascii="Arial" w:hAnsi="Arial" w:cs="Arial"/>
                <w:sz w:val="16"/>
                <w:szCs w:val="16"/>
              </w:rPr>
              <w:t>w okresie 24 miesięcy</w:t>
            </w:r>
            <w:bookmarkStart w:id="0" w:name="_GoBack"/>
            <w:bookmarkEnd w:id="0"/>
            <w:r w:rsidR="002B5B61">
              <w:rPr>
                <w:rFonts w:ascii="Arial" w:hAnsi="Arial" w:cs="Arial"/>
                <w:sz w:val="16"/>
                <w:szCs w:val="16"/>
              </w:rPr>
              <w:t xml:space="preserve"> od oddania do użytkowania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B862B6" w:rsidRDefault="00B862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B862B6" w:rsidRDefault="00B862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B862B6" w:rsidRDefault="002B5B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Stosowany materiał radioaktywny: Ir-192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Wymagana aktywność źródła: nominalnie 10 Ci ±10%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Symulacja pozycji źródła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Zasięg źródła / zasięg terapeutyczny min. ≥40cm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Prędkość przesuwu źródła: ≥ 50cm/s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Wielkość źródła: maksymalnie 0,9mmx5mm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Liczba sprzętowych kanałów roboczych: minimum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Tak,podać</w:t>
            </w:r>
            <w:proofErr w:type="spellEnd"/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sprzętowych kanałów roboczych: powyżej 30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Dokładność pozycjonowania źródła: ≤1mm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Dokładność pozycjonowania źródła: ≤0,5mm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Gwarantowana ilość transferów źródła: minimum 5 000 transferów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Gwarantowana ilość transferów źródła: &gt; 15 000 transferów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Sygnalizacja prawidłowego podłączenia węża łączącego z aparatem HDR na wężu lub głowicy aparatu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Dodatkowy pomiar czasu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punktów postoju źródła w kanale: minimum 60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punktów postoju źródła w kanale: &gt; 100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/ 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Minimalna odległość pomiędzy pozycjami postojowymi źródła: 1mm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Zakres wyboru długości kroku źródła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od 1mm do 10mm co 1mm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Minimalny czas postojowy źródła w jednej pozycji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≤ 0,1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sek</w:t>
            </w:r>
            <w:proofErr w:type="spellEnd"/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Wbudowany detektor promieniowania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ręcznego wycofania źródła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Osłonność sejfu: minimum 12 Ci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Aparat z systemem jezdnym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Niezależny od sieci zewnętrznej system zasilania awaryjnego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sterujący aparatem HDR oparty na systemie typu Windows</w:t>
            </w:r>
          </w:p>
          <w:p w:rsidR="00087B15" w:rsidRDefault="00087B1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Drukarka do drukowania raportów i planów leczenia – 2 sztuki, w tym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przynajm,niej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 kolorowa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sterujący aparatem HDR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675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Przechowywanie w komputerze sterującym aparatem HDR danych pacjentów, planów leczenia i historii frakcjonowania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Funkcja raportowania bezpośrednio na stacji sterującej aparatem HDR z możliwością wydruku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Urządzenia do weryfikacji pierwszej pozycji źródła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Przewód sprawdzający o długości równej długości przewodu ze źródłem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Oferowana konfiguracja zawiera kontener awaryjny dla źródła promieniowania z kompletnym zestawem awaryjnym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675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Oferowana konfiguracja zapewnia import planów leczenia z systemu planowania leczenia dla brachyterapii poprzez nośniki typu: CD/DVD, pamięć USB lub sieć komputerową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675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System dozymetryczny do kalibracji źródła wyposażony w komorę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studzienkową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elektrometr; system musi posiadać świadectwo kalibracji na źródło Ir-192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monitorowania dawki w pomieszczeniu HDR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30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Zestaw markerów dla oferowanych aplikatorów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Niezależny system kontroli mocy dawki w pomieszczeniu terapeutycznym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System audio i video do monitorowania pacjenta w trakcie terapii, zapewniający dwukierunkową komunikację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dozymietrii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 vivo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System weryfikacji planu leczenia – licencja do posiadanego przez zamawiającego programu PTW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Diamond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moduł brachyterapia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Automatyczny pomiar lub sprawdzenie długości połączenia: wąż łączący - aplikator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87B15" w:rsidRDefault="00BD0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System planowania leczenia – 3 stacje robocze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Oprogramowanie systemu planowania brachyterapii 3D dla przynajmniej 1 stacji roboczych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planowanie brachyterapii HDR realizowanej przez oferowany aparat HDR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transfer planu leczenia oferowanego systemu planowania bezpośrednio do oferowanego aparatu HDR poprzez sieć komputerową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Możliwość planowania brachyterapii na bazie obrazów 2D z symulatora radioterapeutycznego lub aparatu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rtg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C-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Arm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oraz planowania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standardowego na bazie fantomu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wodnego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planowanie brachyterapii 3D na bazie obrazów CT z tomografu komputerowego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planowanie brachyterapii 3D z wykorzystaniem obrazów NMR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fuzja 3D obrazów CT i NMR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narzędzia do konturowania struktur anatomicznych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Tworzenie histogramów objętościowych DVH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nakładanie dwóch różnych zestawów obrazów (np. CT i NMR)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możliwość tworzenia przez użytkownika biblioteki planów leczenia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prezentacja rozkładów dawki pochłoniętej 3D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prezentacja rozkładów dawki pochłoniętej 2D w dowolnej płaszczyźnie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Operacje logiczne na okonturowanych strukturach: AND (część wspólna), OR (suma), SUB (różnica)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Wyświetlanie w 3D pacjenta wraz z okonturowanymi strukturami, zrekonstruowanymi aplikatorami oraz obrazami CT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Ręczne rekonstruowanie kateterów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Automatyczne rekonstruowanie kateterów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Wybór przez użytkownika średniej gęstości elektronowej dla korekcji niejednorodności (aby usunąć kontrast materiału lub artefakt obrazu)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Optymalizacja rozkładu dawki:</w:t>
            </w:r>
          </w:p>
          <w:p w:rsidR="00087B15" w:rsidRDefault="00BD0CFA">
            <w:pPr>
              <w:numPr>
                <w:ilvl w:val="1"/>
                <w:numId w:val="2"/>
              </w:numPr>
              <w:tabs>
                <w:tab w:val="left" w:pos="29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geometryczna</w:t>
            </w:r>
          </w:p>
          <w:p w:rsidR="00087B15" w:rsidRDefault="00BD0CFA">
            <w:pPr>
              <w:numPr>
                <w:ilvl w:val="1"/>
                <w:numId w:val="2"/>
              </w:numPr>
              <w:tabs>
                <w:tab w:val="left" w:pos="29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przeskalowywanie rozkładu dawki w 3D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Optymalizacja rozkładu dawki poprzez graficzne modelowanie za pomocą myszy kształtu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izodoz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3D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Moduł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inverse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planning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 optymalizacji położenia źródła na podstawie zadanych wartości dawek w strukturach 3D pacjenta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Ręczne ustawianie czasów postoju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źródła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Pełna implementacja AAPM TG 43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Biblioteka aplikatorów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Jedna wspólna baza danych dla wszystkich oferowanych stacji planowania brachyterapii (wspólna lista planów leczenia, wspólna lista pacjentów, wspólny zbiór obrazów do planowania,)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spacing w:after="200" w:line="276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Eksport i import obrazów w formacie DICOM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Zestaw aplikatorów dla systemu do brachyterapii HDR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Aplikator ginekologiczny (typu Fletcher) z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ovoidami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(wszystkie oferowane standardowo rozmiary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owoidów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kątów sondy) z przynajmniej 2 zestawami mocującymi z wężami łączącymi oraz innymi niezbędnymi akcesoriami, możliwy do obrazowania NMR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Aplikator ginekologiczny sonda z ringiem (przynajmniej 3 długości sondy i 3 kąty sondy z ringiem) oraz ewentualne systemy mocujące, które umożliwiają skompletowanie przynajmniej 3 pełnych zestawów aplikatorów z wężami łączącymi oraz innymi niezbędnymi akcesoriami, możliwy do obrazowania NMR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Sonda dwurożna -1 komplet z wężami łączącymi 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Aplikator wielokanałowy Miami z zestawem sond o przynajmniej 3 różnych kątach – 1 komplet z wężami łączącymi 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Cylindryczny aplikator dopochwowy z sondą (przynajmniej 4 różne rozmiary cylindrów oraz 3 różne kąty sondy) – 1 komplet z wężami łączącymi 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Cylindryczny aplikator dopochwowy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zestawie z kompletem przynajmniej 4 rozmiarów cylindrów – 2 komplety z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wężami łączącymi 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Cylindryczny aplikator dopochwowy/doodbytniczy z wewnętrznymi osłonami – 1 komplet o różnych średnicach cylindrów z wężami łączącymi 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Jednorazowy aplikator oskrzelowy o średnicy ≤2mm – 60 sztuk z przynajmniej 2 wężami łączącymi 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Aplikator przełykowy różnych średnicach (8mm, 10mm). Każdy rozmiar na przynajmniej 10 zastosowań z przynajmniej 2 wężami łączącymi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innymi niezbędnymi akcesoriami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Oferowany aplikator przełykowy jest jednorazowego użytku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Aplikator skórny wielokrotnego użytku typu Flap do brachyterapii kontaktowej w komplecie z 30 giętkimi przewodami z możliwością wyjmowania i wkładania przewodów z 20 wężami łączącymi  i zestawem niezbędnych akcesoriów</w:t>
            </w:r>
          </w:p>
          <w:p w:rsidR="00087B15" w:rsidRDefault="00087B15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Igły stalowe wielokrotnego użytku o długości przynajmniej 200 mm z metalowymi prowadnicami – 50 sztuk z przynajmniej 20 wężami łączącymi i</w:t>
            </w:r>
            <w:r>
              <w:rPr>
                <w:rFonts w:ascii="Arial" w:hAnsi="Arial" w:cs="Arial"/>
                <w:sz w:val="16"/>
                <w:szCs w:val="16"/>
              </w:rPr>
              <w:t xml:space="preserve">  zestawem niezbędnych akcesoriów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Igły plastikowe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 długości przynajmniej 200 mm z metalowymi prowadnicami - przynajmniej na 250 zastosowań z przynajmniej 20 wężami łączącymi i zestawem niezbędnych akcesoriów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Oferowane igły plastikowe są jednorazowego użytku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Elastyczne aplikatory plastikowe długości przynajmniej 200 mm, jednokrotnego użytku – 300 sztuk z przynajmniej 20 wężami łączącymi i zestawem niezbędnych akcesoriów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Oferowane aplikatory jednorazowego  użytku są pakowane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pojedyńczo</w:t>
            </w:r>
            <w:proofErr w:type="spellEnd"/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Wszystkie aplikatory ginekologiczne wielorazowe oraz wielorazowe aplikatory śródtkankowe są dostosowane do nieograniczonej ilości cykli sterylizacji, może występować ograniczenie czasowe użytkowania - minimum 3 lata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Wszystkie aplikatory ginekologiczne wielorazowe oraz wielorazowe aplikatory śródtkankowe są dostosowane do nieograniczonej ilości cykli sterylizacji, może występować ograniczenie czasowe użytkowania - minimum 5 lat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Oznaczenie długości na aplikatorze jednorazowym, śródtkankowym, umożliwiające ich docięcie do długości wymaganej do połączenia z wężem łączącym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Producent gwarantuje dostępność aplikatorów przedstawionych w niniejszej specyfikacji przez okres minimum 5 lat.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ważności aplikatorów jednorazowego użytku od dnia dostawy –  minimum 3 lata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głowica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usg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typu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convex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do kontroli położenia aplikatorów w aplikacjach ginekologicznych (badanie jamy brzusznej), przystosowana do posiadanego aparatu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usg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marki BK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Medical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Flex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Focus 500 wraz z niezbędnym oprogramowaniem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Przedmiot oferty jest kompletny i będzie po zainstalowaniu gotowy do pracy bez żadnych zakupów po stronie Zamawiającego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Szkolenie personelu Zamawiającego, obsługującego oferowany aparat z wyposażeniem w zakresie jego kompetencji, w miejscu instalacji, w języku polskim, w obecności instruktora w miejscu szkolenia. Certyfikaty potwierdzające szkolenie wydane imiennie dla wszystkich szkolonych. Szkolenie obejmuje:</w:t>
            </w:r>
          </w:p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- 3 lekarzy</w:t>
            </w:r>
          </w:p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- 5 fizyków</w:t>
            </w:r>
          </w:p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- 2 techników</w:t>
            </w:r>
          </w:p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- 4 pielęgniarki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Szkolenie personelu Zamawiającego, w zakresie podstawowej obsługi serwisowej oferowanego aparatu z wyposażeniem potwierdzone stosownym certyfikatem w miejscu instalacji, w języku polskim, w obecności instruktora w miejscu szkolenia. Szkolenie obejmuje 5 pracowników Działu Elektroniki Medycznej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Szkolenia uzupełniające w okresie obowiązywania gwarancji – 2 szkolenia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Instrukcja obsługi przedmiotu oferty w języku polskim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Instrukcja obsługi przedmiotu oferty w języku angielskim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Techniczne materiały informacyjne producenta na temat przedmiotu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ofery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w języku polskim lub angielskim, w którym należy  zaznaczyć wymagane przez zamawiającego parametry lub oświadczenie producenta  potwierdzające oferowane wartości parametrów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załączyć do oferty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Przedmiot oferty oznaczony znakiem CE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Deklarację lub certyfikat zgodności na przedmiot oferty, wystawiony przez uprawniony podmiot, zgodne z wymaganiami, określonymi w ustawie z dnia 20.05.2010 r. o wyrobach medycznych (Dz. U. z 2017 r. poz. 211)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Wykonawca zapewni przeglądy techniczne przedmiotu oferty, zgodnie z wymaganiami producenta, przy czym ostatni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przegląd nastąpi w okresie 30 dni przed upływem okresu gwarancji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Tak, podać ilość przeglądów w okresie gwarancji na poszczególne elementy oferowanego aparatu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Zdalny dostęp (on-line) do obsługi serwisowej przedmiotu oferty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Czas reakcji/interwencji na zgłoszenie usterki do 24 godzin w dni robocze rozumiane, jako dni od poniedziałku do piątku z wyłączeniem dni ustawowo wolnych od pracy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Czas skutecznej naprawy bez użycia części zamiennych licząc od momentu zgłoszenia awarii – maksymalnie 48 godzin w dni robocze rozumiane, jako dni od poniedziałku do piątku z wyłączeniem dni ustawowo wolnych od pracy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Czas skutecznej naprawy z użyciem części zamiennych licząc od momentu zgłoszenia awarii – maksymalnie 5 dni roboczych rozumianych jako  dni od poniedziałku do piątku z wyłączeniem dni ustawowo wolnych od pracy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 w:rsidP="00453FA8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Czas naprawy gwarancyjnej po przekroczeniu którego przedłuża się gwarancję o czas przerwy w eksploatacji – </w:t>
            </w:r>
            <w:r w:rsidR="00453FA8">
              <w:rPr>
                <w:rFonts w:ascii="Arial" w:hAnsi="Arial"/>
                <w:sz w:val="16"/>
                <w:szCs w:val="16"/>
              </w:rPr>
              <w:t xml:space="preserve">6 </w:t>
            </w:r>
            <w:r>
              <w:rPr>
                <w:rFonts w:ascii="Arial" w:hAnsi="Arial"/>
                <w:sz w:val="16"/>
                <w:szCs w:val="16"/>
              </w:rPr>
              <w:t xml:space="preserve">dni roboczych rozumianych jako  dni od </w:t>
            </w:r>
            <w:r w:rsidR="00453FA8">
              <w:rPr>
                <w:rFonts w:ascii="Arial" w:hAnsi="Arial"/>
                <w:sz w:val="16"/>
                <w:szCs w:val="16"/>
              </w:rPr>
              <w:t>poniedziałku</w:t>
            </w:r>
            <w:r>
              <w:rPr>
                <w:rFonts w:ascii="Arial" w:hAnsi="Arial"/>
                <w:sz w:val="16"/>
                <w:szCs w:val="16"/>
              </w:rPr>
              <w:t xml:space="preserve"> do piątku z wyłączeniem dni ustawowo wolnych od pracy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Okres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dostepności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części zamiennych od daty sprzedaży - co najmniej 10 lat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Godziny i sposób przyjmowania zgłoszeń o awariach 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Tak, podać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Gwarancja na wszystkie elementy oferty minimum 2 lata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Gwarancja na wszystkie elementy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ofery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minimum 3 lata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5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Gwarancja na wszystkie elementy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ofery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minimum 4 lata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Tak/nie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 Nie – 0 pkt</w:t>
            </w: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Utylizacja starego aparatu HDR wraz ze źródłem przez osoby posiadające wymagane prawem uprawnienia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Montaż i instalacja nowego aparatu wraz z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dokumetacją</w:t>
            </w:r>
            <w:proofErr w:type="spellEnd"/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Wykonanie wymaganych prawem i zaleceniami producenta przedmiotu umowy testów odbiorczych i akceptacyjnych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87B15">
        <w:trPr>
          <w:trHeight w:val="450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087B15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B15" w:rsidRDefault="00BD0CFA">
            <w:pPr>
              <w:pStyle w:val="Default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Wykonanie niezbędnej dokumentacji,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dopuszczajacej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do użytku aparat (w tym dokumentacji ochrony radiologicznej pracowni).</w:t>
            </w:r>
          </w:p>
        </w:tc>
        <w:tc>
          <w:tcPr>
            <w:tcW w:w="182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87B15" w:rsidRDefault="00BD0CF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Tak</w:t>
            </w:r>
          </w:p>
        </w:tc>
        <w:tc>
          <w:tcPr>
            <w:tcW w:w="234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</w:tcPr>
          <w:p w:rsidR="00087B15" w:rsidRDefault="00087B1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8D8D8"/>
            <w:tcMar>
              <w:left w:w="70" w:type="dxa"/>
            </w:tcMar>
            <w:vAlign w:val="center"/>
          </w:tcPr>
          <w:p w:rsidR="00087B15" w:rsidRDefault="00087B15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87B15" w:rsidRDefault="00087B15"/>
    <w:p w:rsidR="00087B15" w:rsidRDefault="00087B15">
      <w:pPr>
        <w:jc w:val="center"/>
        <w:rPr>
          <w:b/>
          <w:sz w:val="24"/>
          <w:szCs w:val="24"/>
        </w:rPr>
      </w:pPr>
    </w:p>
    <w:p w:rsidR="00087B15" w:rsidRDefault="00087B15">
      <w:pPr>
        <w:jc w:val="center"/>
      </w:pPr>
    </w:p>
    <w:sectPr w:rsidR="00087B15">
      <w:pgSz w:w="11906" w:h="16838"/>
      <w:pgMar w:top="1417" w:right="1417" w:bottom="1417" w:left="1417" w:header="0" w:footer="0" w:gutter="0"/>
      <w:cols w:space="708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6580"/>
    <w:multiLevelType w:val="multilevel"/>
    <w:tmpl w:val="4AD2CE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AE67B3"/>
    <w:multiLevelType w:val="multilevel"/>
    <w:tmpl w:val="33B4D7A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573" w:hanging="360"/>
      </w:pPr>
      <w:rPr>
        <w:rFonts w:ascii="OpenSymbol" w:hAnsi="OpenSymbol" w:cs="OpenSymbol" w:hint="default"/>
        <w:sz w:val="16"/>
      </w:rPr>
    </w:lvl>
    <w:lvl w:ilvl="2">
      <w:start w:val="1"/>
      <w:numFmt w:val="lowerRoman"/>
      <w:lvlText w:val="%3"/>
      <w:lvlJc w:val="right"/>
      <w:pPr>
        <w:ind w:left="2293" w:hanging="180"/>
      </w:pPr>
    </w:lvl>
    <w:lvl w:ilvl="3">
      <w:start w:val="1"/>
      <w:numFmt w:val="decimal"/>
      <w:lvlText w:val="%4"/>
      <w:lvlJc w:val="left"/>
      <w:pPr>
        <w:ind w:left="3013" w:hanging="360"/>
      </w:pPr>
    </w:lvl>
    <w:lvl w:ilvl="4">
      <w:start w:val="1"/>
      <w:numFmt w:val="lowerLetter"/>
      <w:lvlText w:val="%5"/>
      <w:lvlJc w:val="left"/>
      <w:pPr>
        <w:ind w:left="3733" w:hanging="360"/>
      </w:pPr>
    </w:lvl>
    <w:lvl w:ilvl="5">
      <w:start w:val="1"/>
      <w:numFmt w:val="lowerRoman"/>
      <w:lvlText w:val="%6"/>
      <w:lvlJc w:val="right"/>
      <w:pPr>
        <w:ind w:left="4453" w:hanging="180"/>
      </w:pPr>
    </w:lvl>
    <w:lvl w:ilvl="6">
      <w:start w:val="1"/>
      <w:numFmt w:val="decimal"/>
      <w:lvlText w:val="%7"/>
      <w:lvlJc w:val="left"/>
      <w:pPr>
        <w:ind w:left="5173" w:hanging="360"/>
      </w:pPr>
    </w:lvl>
    <w:lvl w:ilvl="7">
      <w:start w:val="1"/>
      <w:numFmt w:val="lowerLetter"/>
      <w:lvlText w:val="%8"/>
      <w:lvlJc w:val="left"/>
      <w:pPr>
        <w:ind w:left="5893" w:hanging="360"/>
      </w:pPr>
    </w:lvl>
    <w:lvl w:ilvl="8">
      <w:start w:val="1"/>
      <w:numFmt w:val="lowerRoman"/>
      <w:lvlText w:val="%9"/>
      <w:lvlJc w:val="right"/>
      <w:pPr>
        <w:ind w:left="6613" w:hanging="180"/>
      </w:pPr>
    </w:lvl>
  </w:abstractNum>
  <w:abstractNum w:abstractNumId="2" w15:restartNumberingAfterBreak="0">
    <w:nsid w:val="48C86630"/>
    <w:multiLevelType w:val="multilevel"/>
    <w:tmpl w:val="0E30CCB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7B15"/>
    <w:rsid w:val="00087B15"/>
    <w:rsid w:val="002B5B61"/>
    <w:rsid w:val="00451128"/>
    <w:rsid w:val="00453FA8"/>
    <w:rsid w:val="00B862B6"/>
    <w:rsid w:val="00BD0CFA"/>
    <w:rsid w:val="00C454B2"/>
    <w:rsid w:val="00CB0983"/>
    <w:rsid w:val="00EF399A"/>
    <w:rsid w:val="00F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E5A0D-E1DF-44CF-8C22-49B74E81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Mangal"/>
        <w:kern w:val="2"/>
        <w:sz w:val="2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pl-PL" w:bidi="ar-SA"/>
    </w:rPr>
  </w:style>
  <w:style w:type="paragraph" w:styleId="Nagwek1">
    <w:name w:val="heading 1"/>
    <w:basedOn w:val="Nagwek"/>
    <w:qFormat/>
    <w:pPr>
      <w:outlineLvl w:val="0"/>
    </w:pPr>
  </w:style>
  <w:style w:type="paragraph" w:styleId="Nagwek2">
    <w:name w:val="heading 2"/>
    <w:basedOn w:val="Nagwek"/>
    <w:qFormat/>
    <w:pPr>
      <w:outlineLvl w:val="1"/>
    </w:pPr>
  </w:style>
  <w:style w:type="paragraph" w:styleId="Nagwek3">
    <w:name w:val="heading 3"/>
    <w:basedOn w:val="Nagwek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ascii="Arial" w:hAnsi="Arial" w:cs="OpenSymbol"/>
      <w:sz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qFormat/>
    <w:pPr>
      <w:suppressAutoHyphens/>
      <w:spacing w:line="100" w:lineRule="atLeast"/>
    </w:pPr>
    <w:rPr>
      <w:rFonts w:ascii="Times New Roman" w:eastAsia="Calibri" w:hAnsi="Times New Roman" w:cs="Times New Roman"/>
      <w:color w:val="000000"/>
      <w:sz w:val="24"/>
      <w:lang w:eastAsia="en-US" w:bidi="ar-SA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  <w:qFormat/>
  </w:style>
  <w:style w:type="paragraph" w:styleId="Podtytu">
    <w:name w:val="Subtitle"/>
    <w:basedOn w:val="Nagwek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F3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99A"/>
    <w:rPr>
      <w:rFonts w:ascii="Segoe UI" w:eastAsia="Times New Roman" w:hAnsi="Segoe UI" w:cs="Segoe UI"/>
      <w:color w:val="00000A"/>
      <w:sz w:val="18"/>
      <w:szCs w:val="1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Agnieszka Wąsiewicz</cp:lastModifiedBy>
  <cp:revision>18</cp:revision>
  <cp:lastPrinted>2019-09-03T11:06:00Z</cp:lastPrinted>
  <dcterms:created xsi:type="dcterms:W3CDTF">2019-08-27T16:15:00Z</dcterms:created>
  <dcterms:modified xsi:type="dcterms:W3CDTF">2019-09-03T11:15:00Z</dcterms:modified>
  <dc:language>pl-PL</dc:language>
</cp:coreProperties>
</file>