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4A59554D"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 xml:space="preserve">Załącznik nr 12 </w:t>
      </w:r>
      <w:r w:rsidR="00CE3751">
        <w:rPr>
          <w:rFonts w:ascii="Cambria" w:hAnsi="Cambria" w:cs="Arial"/>
          <w:b/>
          <w:bCs/>
          <w:sz w:val="22"/>
          <w:szCs w:val="22"/>
        </w:rPr>
        <w:t xml:space="preserve">a </w:t>
      </w:r>
      <w:r w:rsidRPr="009218CC">
        <w:rPr>
          <w:rFonts w:ascii="Cambria" w:hAnsi="Cambria" w:cs="Arial"/>
          <w:b/>
          <w:bCs/>
          <w:sz w:val="22"/>
          <w:szCs w:val="22"/>
        </w:rPr>
        <w:t>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157E8D0E"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FE24B3">
        <w:rPr>
          <w:rFonts w:ascii="Cambria" w:hAnsi="Cambria" w:cs="Arial"/>
          <w:sz w:val="22"/>
          <w:szCs w:val="22"/>
          <w:lang w:eastAsia="pl-PL"/>
        </w:rPr>
        <w:t>4</w:t>
      </w:r>
      <w:r w:rsidR="0092759C" w:rsidRPr="009218CC">
        <w:rPr>
          <w:rFonts w:ascii="Cambria" w:hAnsi="Cambria" w:cs="Arial"/>
          <w:sz w:val="22"/>
          <w:szCs w:val="22"/>
          <w:lang w:eastAsia="pl-PL"/>
        </w:rPr>
        <w:t xml:space="preserve"> r. poz. 1</w:t>
      </w:r>
      <w:r w:rsidR="00FE24B3">
        <w:rPr>
          <w:rFonts w:ascii="Cambria" w:hAnsi="Cambria" w:cs="Arial"/>
          <w:sz w:val="22"/>
          <w:szCs w:val="22"/>
          <w:lang w:eastAsia="pl-PL"/>
        </w:rPr>
        <w:t>320</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lastRenderedPageBreak/>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2E96E410"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9218CC">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w:t>
      </w:r>
      <w:r w:rsidR="00E81E63" w:rsidRPr="009218CC">
        <w:rPr>
          <w:rFonts w:ascii="Cambria" w:hAnsi="Cambria" w:cs="Arial"/>
          <w:sz w:val="22"/>
          <w:szCs w:val="22"/>
          <w:lang w:eastAsia="pl-PL"/>
        </w:rPr>
        <w:lastRenderedPageBreak/>
        <w:t xml:space="preserve">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1275B5A5" w14:textId="3DA383C9" w:rsidR="000411B2" w:rsidRPr="000411B2" w:rsidRDefault="0013110C" w:rsidP="000411B2">
      <w:pPr>
        <w:numPr>
          <w:ilvl w:val="0"/>
          <w:numId w:val="14"/>
        </w:numPr>
        <w:shd w:val="clear" w:color="auto" w:fill="FFFFFF" w:themeFill="background1"/>
        <w:tabs>
          <w:tab w:val="left" w:pos="567"/>
        </w:tabs>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zakresie, w jakim</w:t>
      </w:r>
      <w:r w:rsidR="000411B2" w:rsidRPr="000411B2">
        <w:rPr>
          <w:rFonts w:ascii="Cambria" w:hAnsi="Cambria" w:cs="Arial"/>
          <w:sz w:val="22"/>
          <w:szCs w:val="22"/>
          <w:lang w:eastAsia="pl-PL"/>
        </w:rPr>
        <w:t xml:space="preserve">: </w:t>
      </w:r>
    </w:p>
    <w:p w14:paraId="48C62F77" w14:textId="77777777" w:rsidR="000411B2" w:rsidRPr="000411B2" w:rsidRDefault="000411B2" w:rsidP="000411B2">
      <w:pPr>
        <w:shd w:val="clear" w:color="auto" w:fill="FFFFFF" w:themeFill="background1"/>
        <w:tabs>
          <w:tab w:val="left" w:pos="567"/>
        </w:tabs>
        <w:suppressAutoHyphens w:val="0"/>
        <w:spacing w:before="120"/>
        <w:ind w:left="360"/>
        <w:jc w:val="both"/>
        <w:rPr>
          <w:rFonts w:ascii="Cambria" w:hAnsi="Cambria" w:cs="Arial"/>
          <w:sz w:val="22"/>
          <w:szCs w:val="22"/>
          <w:lang w:eastAsia="pl-PL"/>
        </w:rPr>
      </w:pPr>
      <w:r w:rsidRPr="000411B2">
        <w:rPr>
          <w:rFonts w:ascii="Cambria" w:hAnsi="Cambria" w:cs="Arial"/>
          <w:sz w:val="22"/>
          <w:szCs w:val="22"/>
          <w:lang w:eastAsia="pl-PL"/>
        </w:rPr>
        <w:lastRenderedPageBreak/>
        <w:t xml:space="preserve">1) </w:t>
      </w:r>
      <w:r w:rsidRPr="000411B2">
        <w:rPr>
          <w:rFonts w:ascii="Cambria" w:hAnsi="Cambria" w:cs="Arial"/>
          <w:sz w:val="22"/>
          <w:szCs w:val="22"/>
          <w:lang w:eastAsia="pl-PL"/>
        </w:rPr>
        <w:tab/>
        <w:t>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2023 r. poz. 1465) Wykonawca gwarantuje Zamawiającemu, że osoby wykonujące te czynności będą zatrudnione na podstawie umowy o pracę w rozumieniu Kodeksu pracy przy czym wykonanie tych zobowiązań może nastąpić również poprzez zatrudnienie osób wskazanych przez podwykonawców („Obowiązek Zatrudnienia”).</w:t>
      </w:r>
    </w:p>
    <w:p w14:paraId="2E7BE817" w14:textId="41C8CBFD" w:rsidR="000411B2" w:rsidRPr="000411B2" w:rsidRDefault="000411B2" w:rsidP="000411B2">
      <w:pPr>
        <w:shd w:val="clear" w:color="auto" w:fill="FFFFFF" w:themeFill="background1"/>
        <w:tabs>
          <w:tab w:val="left" w:pos="567"/>
        </w:tabs>
        <w:suppressAutoHyphens w:val="0"/>
        <w:spacing w:before="120"/>
        <w:ind w:left="360"/>
        <w:jc w:val="both"/>
        <w:rPr>
          <w:rFonts w:ascii="Cambria" w:hAnsi="Cambria" w:cs="Arial"/>
          <w:sz w:val="22"/>
          <w:szCs w:val="22"/>
          <w:lang w:eastAsia="pl-PL"/>
        </w:rPr>
      </w:pPr>
      <w:r w:rsidRPr="000411B2">
        <w:rPr>
          <w:rFonts w:ascii="Cambria" w:hAnsi="Cambria" w:cs="Arial"/>
          <w:sz w:val="22"/>
          <w:szCs w:val="22"/>
          <w:lang w:eastAsia="pl-PL"/>
        </w:rPr>
        <w:t>2)</w:t>
      </w:r>
      <w:r w:rsidRPr="000411B2">
        <w:rPr>
          <w:rFonts w:ascii="Cambria" w:hAnsi="Cambria" w:cs="Arial"/>
          <w:sz w:val="22"/>
          <w:szCs w:val="22"/>
          <w:lang w:eastAsia="pl-PL"/>
        </w:rPr>
        <w:tab/>
        <w:t>Wykonawca, na podstawie kryteriów oceny ofert zawartych w SWZ zobowiązał się do wykonywania czynności polegających na pozyskaniu i zrywce surowca drzewnego wyłącznie przez osoby zatrudnione na podstawę umowy o pracę na pełen etat Wykonawca gwarantuje Zamawiającemu, że wszystkie osoby wykonujące te czynności będą zatrudnione na podstawie umowy o pracę na pełen etat, przy czym wykonanie tych zobowiązań może nastąpić również poprzez zatrudnienie osób wskazanych przez podwykonawców („Zatrudnienie na Pełen Etat”). Zobowiązanie Zatrudnienia na Pełen Etat nie uchybia możliwości osobistego wykonywania czynności polegających na pozyskaniu i zrywce surowca drzewnego przez Wykonawcę będącego osobą fizyczną lub członków konsorcjum będących osobami fizycznymi.</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lastRenderedPageBreak/>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5E07C479" w14:textId="77777777" w:rsidR="00540C28" w:rsidRPr="00540C28" w:rsidRDefault="00540C28" w:rsidP="00540C28">
      <w:pPr>
        <w:suppressAutoHyphens w:val="0"/>
        <w:spacing w:before="120"/>
        <w:ind w:left="567" w:hanging="567"/>
        <w:jc w:val="both"/>
        <w:outlineLvl w:val="0"/>
        <w:rPr>
          <w:rFonts w:ascii="Cambria" w:hAnsi="Cambria" w:cs="Arial"/>
          <w:color w:val="000000"/>
          <w:sz w:val="22"/>
          <w:szCs w:val="22"/>
          <w:lang w:eastAsia="pl-PL"/>
        </w:rPr>
      </w:pPr>
      <w:r w:rsidRPr="00540C28">
        <w:rPr>
          <w:rFonts w:ascii="Cambria" w:hAnsi="Cambria" w:cs="Arial"/>
          <w:color w:val="000000"/>
          <w:sz w:val="22"/>
          <w:szCs w:val="22"/>
          <w:lang w:eastAsia="pl-PL"/>
        </w:rPr>
        <w:t>9.</w:t>
      </w:r>
      <w:r w:rsidRPr="00540C28">
        <w:rPr>
          <w:rFonts w:ascii="Cambria" w:hAnsi="Cambria" w:cs="Arial"/>
          <w:color w:val="000000"/>
          <w:sz w:val="22"/>
          <w:szCs w:val="22"/>
          <w:lang w:eastAsia="pl-PL"/>
        </w:rPr>
        <w:tab/>
        <w:t xml:space="preserve">W zakresie, w jakim Wykonawca, na podstawie kryteriów oceny ofert zawartych w SWZ, zobowiązał się, że wszystkie maszyny leśne typu harwester, ciągniki zrywkowe oraz ciągniki przystosowane do zrywki drewna wykorzystywane do przez Wykonawcę do realizacji Przedmiotu Umowy spełniać będą co najmniej normy emisji spalin określone w normach EURO podanej w Ofercie, Wykonawca gwarantuje Zamawiającemu, wszystkie takie maszyny używane do realizacji Przedmiotu Umowy będą spełniać te normy emisji spalin („Spełnienie Norm EURO”). Strony potwierdzają sobie wzajemnie, że zobowiązanie do Spełnienia Norm EURO dotyczy także maszyn leśne typu harwester, ciągników zrywkowych oraz ciągników przystosowanych do zrywki drewna wykorzystywanych przez podwykonawców i dalszych podwykonawców, przy pomocy których Wykonawca będzie realizować Przedmiot Umowy. </w:t>
      </w:r>
    </w:p>
    <w:p w14:paraId="6B0940F4" w14:textId="77777777" w:rsidR="00540C28" w:rsidRPr="00540C28" w:rsidRDefault="00540C28" w:rsidP="00540C28">
      <w:pPr>
        <w:suppressAutoHyphens w:val="0"/>
        <w:spacing w:before="120"/>
        <w:ind w:left="567" w:hanging="567"/>
        <w:jc w:val="both"/>
        <w:outlineLvl w:val="0"/>
        <w:rPr>
          <w:rFonts w:ascii="Cambria" w:hAnsi="Cambria" w:cs="Arial"/>
          <w:color w:val="000000"/>
          <w:sz w:val="22"/>
          <w:szCs w:val="22"/>
          <w:lang w:eastAsia="pl-PL"/>
        </w:rPr>
      </w:pPr>
      <w:r w:rsidRPr="00540C28">
        <w:rPr>
          <w:rFonts w:ascii="Cambria" w:hAnsi="Cambria" w:cs="Arial"/>
          <w:color w:val="000000"/>
          <w:sz w:val="22"/>
          <w:szCs w:val="22"/>
          <w:lang w:eastAsia="pl-PL"/>
        </w:rPr>
        <w:t xml:space="preserve">10. </w:t>
      </w:r>
      <w:r w:rsidRPr="00540C28">
        <w:rPr>
          <w:rFonts w:ascii="Cambria" w:hAnsi="Cambria" w:cs="Arial"/>
          <w:color w:val="000000"/>
          <w:sz w:val="22"/>
          <w:szCs w:val="22"/>
          <w:lang w:eastAsia="pl-PL"/>
        </w:rPr>
        <w:tab/>
        <w:t xml:space="preserve">Przed rozpoczęciem realizacji czynności, do których Wykonawca używać będzie maszyn, do których odnosi się zobowiązanie Spełnienia Norm EURO Wykonawca obowiązany jest przedłożyć Zamawiającemu dokumenty potwierdzające spełnienie norm emisji spalin podanych w Ofercie. W przypadku, gdy Wykonawca nie wykona obowiązku, o którym mowa w zdaniu poprzednim to wówczas Zamawiający będzie uprawniony do wstrzymania realizacji danej Pozycję Zlecenia, której dotyczy dana okoliczność wskazana powyżej, aż do czasu ustania przyczyny wstrzymania. Wstrzymanie realizacji danej Pozycję Zlecenia z przyczyn, o których mowa w niniejszym ustępie nie przedłuża terminu realizacji Pozycji Zlecenia określonego w Zleceniu. </w:t>
      </w:r>
    </w:p>
    <w:p w14:paraId="5D0DB92A" w14:textId="77777777" w:rsidR="00540C28" w:rsidRPr="00540C28" w:rsidRDefault="00540C28" w:rsidP="00540C28">
      <w:pPr>
        <w:suppressAutoHyphens w:val="0"/>
        <w:spacing w:before="120"/>
        <w:ind w:left="567" w:hanging="567"/>
        <w:jc w:val="both"/>
        <w:outlineLvl w:val="0"/>
        <w:rPr>
          <w:rFonts w:ascii="Cambria" w:hAnsi="Cambria" w:cs="Arial"/>
          <w:color w:val="000000"/>
          <w:sz w:val="22"/>
          <w:szCs w:val="22"/>
          <w:lang w:eastAsia="pl-PL"/>
        </w:rPr>
      </w:pPr>
      <w:r w:rsidRPr="00540C28">
        <w:rPr>
          <w:rFonts w:ascii="Cambria" w:hAnsi="Cambria" w:cs="Arial"/>
          <w:color w:val="000000"/>
          <w:sz w:val="22"/>
          <w:szCs w:val="22"/>
          <w:lang w:eastAsia="pl-PL"/>
        </w:rPr>
        <w:t xml:space="preserve">11. </w:t>
      </w:r>
      <w:r w:rsidRPr="00540C28">
        <w:rPr>
          <w:rFonts w:ascii="Cambria" w:hAnsi="Cambria" w:cs="Arial"/>
          <w:color w:val="000000"/>
          <w:sz w:val="22"/>
          <w:szCs w:val="22"/>
          <w:lang w:eastAsia="pl-PL"/>
        </w:rPr>
        <w:tab/>
        <w:t>Na każde żądanie Zamawiającego Wykonawca zobowiązany jest udokumentować Spełnienie Norm EURO w stosunku do w sposób określony w ust. 9. W przypadku, gdy Wykonawca nie wykona obowiązku, o którym mowa w zdaniu poprzednim to wówczas Zamawiający będzie uprawniony do wstrzymania realizacji danej Pozycję Zlecenia, której dotyczy dana okoliczność wskazana powyżej, aż do czasu ustania przyczyny wstrzymania. Wstrzymanie realizacji danej Pozycję Zlecenia z przyczyn, o których mowa w niniejszym ustępie nie przedłuża terminu realizacji Pozycji Zlecenia określonego w Zleceniu. Nieudokumentowanie Spełnienia Norm EURO w sposób określony w ust. 6 Strony traktować będą jak przypadek niewykonania zobowiązania Spełnienia Norm EURO.</w:t>
      </w:r>
    </w:p>
    <w:p w14:paraId="5048BAAF" w14:textId="77777777" w:rsidR="00540C28" w:rsidRPr="009218CC" w:rsidRDefault="00540C28"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p>
    <w:p w14:paraId="638BD967" w14:textId="61419DD4" w:rsidR="0013110C" w:rsidRPr="009218CC" w:rsidRDefault="00540C28"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12</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0BE23B9C"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lastRenderedPageBreak/>
        <w:t>1</w:t>
      </w:r>
      <w:r w:rsidR="00540C28">
        <w:rPr>
          <w:rFonts w:ascii="Cambria" w:hAnsi="Cambria" w:cs="Arial"/>
          <w:sz w:val="22"/>
          <w:szCs w:val="22"/>
          <w:lang w:eastAsia="pl-PL"/>
        </w:rPr>
        <w:t>3</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451B814"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540C28">
        <w:rPr>
          <w:rFonts w:ascii="Cambria" w:eastAsia="Calibri" w:hAnsi="Cambria" w:cs="Arial"/>
          <w:sz w:val="22"/>
          <w:szCs w:val="22"/>
          <w:lang w:eastAsia="en-US"/>
        </w:rPr>
        <w:t>4</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ABDCC7"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540C28">
        <w:rPr>
          <w:rFonts w:ascii="Cambria" w:eastAsia="Calibri" w:hAnsi="Cambria" w:cs="Arial"/>
          <w:sz w:val="22"/>
          <w:szCs w:val="22"/>
          <w:lang w:eastAsia="en-US"/>
        </w:rPr>
        <w:t>5</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DE2DA94" w:rsidR="0013110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540C28">
        <w:rPr>
          <w:rFonts w:ascii="Cambria" w:eastAsia="Calibri" w:hAnsi="Cambria" w:cs="Arial"/>
          <w:sz w:val="22"/>
          <w:szCs w:val="22"/>
          <w:lang w:eastAsia="en-US"/>
        </w:rPr>
        <w:t>6</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7B2982D7" w14:textId="675BD9DF" w:rsidR="000411B2" w:rsidRPr="000411B2" w:rsidRDefault="000411B2" w:rsidP="000411B2">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0411B2">
        <w:rPr>
          <w:rFonts w:ascii="Cambria" w:eastAsia="Calibri" w:hAnsi="Cambria" w:cs="Arial"/>
          <w:sz w:val="22"/>
          <w:szCs w:val="22"/>
          <w:lang w:eastAsia="en-US"/>
        </w:rPr>
        <w:t>1</w:t>
      </w:r>
      <w:r>
        <w:rPr>
          <w:rFonts w:ascii="Cambria" w:eastAsia="Calibri" w:hAnsi="Cambria" w:cs="Arial"/>
          <w:sz w:val="22"/>
          <w:szCs w:val="22"/>
          <w:lang w:eastAsia="en-US"/>
        </w:rPr>
        <w:t>7</w:t>
      </w:r>
      <w:r w:rsidRPr="000411B2">
        <w:rPr>
          <w:rFonts w:ascii="Cambria" w:eastAsia="Calibri" w:hAnsi="Cambria" w:cs="Arial"/>
          <w:sz w:val="22"/>
          <w:szCs w:val="22"/>
          <w:lang w:eastAsia="en-US"/>
        </w:rPr>
        <w:t xml:space="preserve">. </w:t>
      </w:r>
      <w:r w:rsidRPr="000411B2">
        <w:rPr>
          <w:rFonts w:ascii="Cambria" w:eastAsia="Calibri" w:hAnsi="Cambria" w:cs="Arial"/>
          <w:sz w:val="22"/>
          <w:szCs w:val="22"/>
          <w:lang w:eastAsia="en-US"/>
        </w:rPr>
        <w:tab/>
        <w:t xml:space="preserve">Niezależnie od postanowień ust. 4 i 5, przed rozpoczęciem realizacji czynności, do których odnosi się zobowiązanie Zatrudnienia na Pełen Etat, w stosunku do osób mających wykonywać te czynności, Wykonawca obowiązany jest przedłożyć Zamawiającemu potwierdzające umowy o pracę na pełen etat. </w:t>
      </w:r>
    </w:p>
    <w:p w14:paraId="6FACEC34" w14:textId="37FB839F" w:rsidR="000411B2" w:rsidRPr="009218CC" w:rsidRDefault="000411B2" w:rsidP="000411B2">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0411B2">
        <w:rPr>
          <w:rFonts w:ascii="Cambria" w:eastAsia="Calibri" w:hAnsi="Cambria" w:cs="Arial"/>
          <w:sz w:val="22"/>
          <w:szCs w:val="22"/>
          <w:lang w:eastAsia="en-US"/>
        </w:rPr>
        <w:t>1</w:t>
      </w:r>
      <w:r>
        <w:rPr>
          <w:rFonts w:ascii="Cambria" w:eastAsia="Calibri" w:hAnsi="Cambria" w:cs="Arial"/>
          <w:sz w:val="22"/>
          <w:szCs w:val="22"/>
          <w:lang w:eastAsia="en-US"/>
        </w:rPr>
        <w:t>8</w:t>
      </w:r>
      <w:r w:rsidRPr="000411B2">
        <w:rPr>
          <w:rFonts w:ascii="Cambria" w:eastAsia="Calibri" w:hAnsi="Cambria" w:cs="Arial"/>
          <w:sz w:val="22"/>
          <w:szCs w:val="22"/>
          <w:lang w:eastAsia="en-US"/>
        </w:rPr>
        <w:t>.</w:t>
      </w:r>
      <w:r w:rsidRPr="000411B2">
        <w:rPr>
          <w:rFonts w:ascii="Cambria" w:eastAsia="Calibri" w:hAnsi="Cambria" w:cs="Arial"/>
          <w:sz w:val="22"/>
          <w:szCs w:val="22"/>
          <w:lang w:eastAsia="en-US"/>
        </w:rPr>
        <w:tab/>
        <w:t>Na każde żądanie Zamawiającego Wykonawca zobowiązany jest udokumentować Zatrudnienia na Pełen Etat w sposób określony w ust. 4. Nieudokumentowanie Zatrudnienia na Pełen Etat w sposób określony w ust. 4 Strony traktować będą jak przypadek naruszenia zobowiązania Zatrudnienia na Pełen Etat.</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3"/>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lastRenderedPageBreak/>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8"/>
    <w:bookmarkEnd w:id="39"/>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lastRenderedPageBreak/>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lastRenderedPageBreak/>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r>
      <w:r w:rsidRPr="009218CC">
        <w:rPr>
          <w:rFonts w:ascii="Cambria" w:hAnsi="Cambria" w:cs="Arial"/>
          <w:bCs/>
          <w:sz w:val="22"/>
          <w:szCs w:val="22"/>
          <w:lang w:eastAsia="pl-PL"/>
        </w:rPr>
        <w:lastRenderedPageBreak/>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7341521B" w14:textId="7333C968" w:rsidR="00540C28" w:rsidRDefault="00540C28"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540C28">
        <w:rPr>
          <w:rFonts w:ascii="Cambria" w:hAnsi="Cambria" w:cs="Arial"/>
          <w:sz w:val="22"/>
          <w:szCs w:val="22"/>
          <w:lang w:eastAsia="pl-PL"/>
        </w:rPr>
        <w:t xml:space="preserve">za pierwszy przypadek naruszenia przez Wykonawcę zobowiązania Spełnienia Norm EURO - w wysokości 5.000 zł; </w:t>
      </w:r>
      <w:r w:rsidRPr="00540C28">
        <w:rPr>
          <w:rFonts w:ascii="Cambria" w:hAnsi="Cambria" w:cs="Arial"/>
          <w:sz w:val="22"/>
          <w:szCs w:val="22"/>
          <w:lang w:eastAsia="pl-PL"/>
        </w:rPr>
        <w:tab/>
      </w:r>
    </w:p>
    <w:p w14:paraId="54D2748F" w14:textId="4C16EE7C" w:rsidR="00540C28" w:rsidRDefault="00540C28"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540C28">
        <w:rPr>
          <w:rFonts w:ascii="Cambria" w:hAnsi="Cambria" w:cs="Arial"/>
          <w:sz w:val="22"/>
          <w:szCs w:val="22"/>
          <w:lang w:eastAsia="pl-PL"/>
        </w:rPr>
        <w:t xml:space="preserve">za każdy kolejny przypadek naruszenia przez Wykonawcę zobowiązania Spełnienia Norm EURO - w wysokości procentu Wynagrodzenia odpowiadającego wartości procentowej kryterium oceny ofert „Proekologiczne parametry </w:t>
      </w:r>
      <w:r w:rsidRPr="00540C28">
        <w:rPr>
          <w:rFonts w:ascii="Cambria" w:hAnsi="Cambria" w:cs="Arial"/>
          <w:sz w:val="22"/>
          <w:szCs w:val="22"/>
          <w:lang w:eastAsia="pl-PL"/>
        </w:rPr>
        <w:lastRenderedPageBreak/>
        <w:t>techniczne sprzętu przewidzianego do realizacji przedmiotu zamówienia” określonej w SWZ;</w:t>
      </w:r>
    </w:p>
    <w:p w14:paraId="5CF805B4" w14:textId="2578AC07" w:rsidR="000411B2" w:rsidRDefault="000411B2"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0411B2">
        <w:rPr>
          <w:rFonts w:ascii="Cambria" w:hAnsi="Cambria" w:cs="Arial"/>
          <w:sz w:val="22"/>
          <w:szCs w:val="22"/>
          <w:lang w:eastAsia="pl-PL"/>
        </w:rPr>
        <w:t>za pierwszy przypadek naruszenia zobowiązania Zatrudnienia na Pełen Etat - w wysokości 5.000 zł;</w:t>
      </w:r>
    </w:p>
    <w:p w14:paraId="54664E06" w14:textId="499BF8B5" w:rsidR="000411B2" w:rsidRPr="009218CC" w:rsidRDefault="000411B2"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0411B2">
        <w:rPr>
          <w:rFonts w:ascii="Cambria" w:hAnsi="Cambria" w:cs="Arial"/>
          <w:sz w:val="22"/>
          <w:szCs w:val="22"/>
          <w:lang w:eastAsia="pl-PL"/>
        </w:rPr>
        <w:t>każdy kolejny przypadek naruszenia zobowiązania Zatrudnienia na Pełen Etat - w wysokości procentu Wynagrodzenia odpowiadającego wartości procentowej kryterium oceny ofert „Samodzielna realizacja kluczowych elementów (części)</w:t>
      </w:r>
      <w:r w:rsidR="009271AB">
        <w:rPr>
          <w:rFonts w:ascii="Cambria" w:hAnsi="Cambria" w:cs="Arial"/>
          <w:sz w:val="22"/>
          <w:szCs w:val="22"/>
          <w:lang w:eastAsia="pl-PL"/>
        </w:rPr>
        <w:t xml:space="preserve"> </w:t>
      </w:r>
      <w:r w:rsidR="009271AB" w:rsidRPr="009271AB">
        <w:rPr>
          <w:rFonts w:ascii="Cambria" w:hAnsi="Cambria" w:cs="Arial"/>
          <w:sz w:val="22"/>
          <w:szCs w:val="22"/>
          <w:lang w:eastAsia="pl-PL"/>
        </w:rPr>
        <w:t>zamówienia za pomocą pracowników zatrudnionych na umowę o pracę na pełen etat” określonej w SWZ;</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lastRenderedPageBreak/>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6" w:name="_Toc68356761"/>
      <w:r w:rsidRPr="009218CC">
        <w:rPr>
          <w:rFonts w:ascii="Cambria" w:hAnsi="Cambria" w:cs="Arial"/>
          <w:b/>
          <w:sz w:val="22"/>
          <w:szCs w:val="22"/>
          <w:lang w:eastAsia="pl-PL"/>
        </w:rPr>
        <w:br/>
        <w:t>Ubezpieczenia</w:t>
      </w:r>
      <w:bookmarkEnd w:id="56"/>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w:t>
      </w:r>
      <w:r w:rsidRPr="009218CC">
        <w:rPr>
          <w:rFonts w:ascii="Cambria" w:hAnsi="Cambria" w:cs="Arial"/>
          <w:sz w:val="22"/>
          <w:szCs w:val="22"/>
          <w:lang w:eastAsia="pl-PL"/>
        </w:rPr>
        <w:lastRenderedPageBreak/>
        <w:t xml:space="preserve">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t>
      </w:r>
      <w:r w:rsidRPr="009218CC">
        <w:rPr>
          <w:rFonts w:ascii="Cambria" w:hAnsi="Cambria" w:cs="Arial"/>
          <w:color w:val="000000"/>
          <w:sz w:val="22"/>
          <w:szCs w:val="22"/>
          <w:lang w:eastAsia="pl-PL"/>
        </w:rPr>
        <w:lastRenderedPageBreak/>
        <w:t xml:space="preserve">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7" w:name="_Hlk43745153"/>
      <w:r w:rsidRPr="009218CC">
        <w:rPr>
          <w:rFonts w:ascii="Cambria" w:hAnsi="Cambria" w:cs="Arial"/>
          <w:sz w:val="22"/>
          <w:szCs w:val="22"/>
          <w:lang w:eastAsia="pl-PL"/>
        </w:rPr>
        <w:t>Zmiana nie może pociągnąć za sobą zwiększenia wynagrodzenia należnego Wykonawcy</w:t>
      </w:r>
      <w:bookmarkEnd w:id="57"/>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8" w:name="_Hlk169619536"/>
      <w:bookmarkStart w:id="59" w:name="_Hlk169610305"/>
      <w:r w:rsidR="00EA1E61" w:rsidRPr="009218CC">
        <w:rPr>
          <w:rFonts w:ascii="Cambria" w:hAnsi="Cambria" w:cs="Calibri"/>
          <w:sz w:val="22"/>
          <w:szCs w:val="22"/>
          <w:lang w:eastAsia="pl-PL"/>
        </w:rPr>
        <w:t xml:space="preserve">w związku z wystąpieniem przyczyn </w:t>
      </w:r>
      <w:r w:rsidR="00EA1E61" w:rsidRPr="009218CC">
        <w:rPr>
          <w:rFonts w:ascii="Cambria" w:hAnsi="Cambria" w:cs="Calibri"/>
          <w:sz w:val="22"/>
          <w:szCs w:val="22"/>
          <w:lang w:eastAsia="pl-PL"/>
        </w:rPr>
        <w:lastRenderedPageBreak/>
        <w:t>przyrodniczych, klimatycznych, atmosferycznych bądź związanych z prawidłowym prowadzeniem gospodarki leśnej</w:t>
      </w:r>
      <w:bookmarkEnd w:id="58"/>
      <w:r w:rsidR="00EA1E61" w:rsidRPr="009218CC">
        <w:rPr>
          <w:rFonts w:ascii="Cambria" w:hAnsi="Cambria" w:cs="Calibri"/>
          <w:sz w:val="22"/>
          <w:szCs w:val="22"/>
          <w:lang w:eastAsia="pl-PL"/>
        </w:rPr>
        <w:t>;</w:t>
      </w:r>
      <w:bookmarkEnd w:id="59"/>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0"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0"/>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1"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1"/>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2"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2"/>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3"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3"/>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zmianom kosztów dotyczących zobowiązania podwykonawcy, jeżeli łącznie spełnione są </w:t>
      </w:r>
      <w:r w:rsidRPr="009218CC">
        <w:rPr>
          <w:rFonts w:ascii="Cambria" w:eastAsia="Calibri" w:hAnsi="Cambria" w:cs="Calibri Light"/>
          <w:sz w:val="22"/>
          <w:szCs w:val="22"/>
          <w:lang w:eastAsia="en-US"/>
        </w:rPr>
        <w:lastRenderedPageBreak/>
        <w:t>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4"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w:t>
      </w:r>
      <w:r w:rsidR="00B82C90" w:rsidRPr="009218CC">
        <w:rPr>
          <w:rFonts w:ascii="Cambria" w:hAnsi="Cambria" w:cs="Arial"/>
          <w:sz w:val="22"/>
          <w:szCs w:val="22"/>
          <w:lang w:eastAsia="en-US"/>
        </w:rPr>
        <w:t xml:space="preserve"> </w:t>
      </w:r>
      <w:bookmarkEnd w:id="64"/>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5"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5"/>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6"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6"/>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lastRenderedPageBreak/>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5B5A4945"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7"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CE3751">
        <w:rPr>
          <w:rFonts w:ascii="Cambria" w:hAnsi="Cambria" w:cs="Arial"/>
          <w:sz w:val="22"/>
          <w:szCs w:val="22"/>
          <w:lang w:eastAsia="pl-PL"/>
        </w:rPr>
        <w:t>dostępny na stronie https://platformazakupowa.pl/pn/lasy.tuchola</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7"/>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D2853" w14:textId="77777777" w:rsidR="00103927" w:rsidRDefault="00103927">
      <w:r>
        <w:separator/>
      </w:r>
    </w:p>
  </w:endnote>
  <w:endnote w:type="continuationSeparator" w:id="0">
    <w:p w14:paraId="66535E22" w14:textId="77777777" w:rsidR="00103927" w:rsidRDefault="0010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527B" w14:textId="77777777" w:rsidR="00103927" w:rsidRDefault="00103927">
      <w:r>
        <w:separator/>
      </w:r>
    </w:p>
  </w:footnote>
  <w:footnote w:type="continuationSeparator" w:id="0">
    <w:p w14:paraId="1F030487" w14:textId="77777777" w:rsidR="00103927" w:rsidRDefault="0010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1"/>
    <w:lvlOverride w:ilvl="0">
      <w:startOverride w:val="1"/>
    </w:lvlOverride>
  </w:num>
  <w:num w:numId="2" w16cid:durableId="2035575281">
    <w:abstractNumId w:val="25"/>
    <w:lvlOverride w:ilvl="0">
      <w:startOverride w:val="1"/>
    </w:lvlOverride>
  </w:num>
  <w:num w:numId="3" w16cid:durableId="2012441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7"/>
    <w:lvlOverride w:ilvl="0">
      <w:startOverride w:val="1"/>
    </w:lvlOverride>
  </w:num>
  <w:num w:numId="5" w16cid:durableId="1794522278">
    <w:abstractNumId w:val="19"/>
  </w:num>
  <w:num w:numId="6" w16cid:durableId="1137601971">
    <w:abstractNumId w:val="11"/>
  </w:num>
  <w:num w:numId="7" w16cid:durableId="1312254863">
    <w:abstractNumId w:val="22"/>
  </w:num>
  <w:num w:numId="8" w16cid:durableId="938489232">
    <w:abstractNumId w:val="30"/>
  </w:num>
  <w:num w:numId="9" w16cid:durableId="970477443">
    <w:abstractNumId w:val="2"/>
  </w:num>
  <w:num w:numId="10" w16cid:durableId="627391932">
    <w:abstractNumId w:val="3"/>
  </w:num>
  <w:num w:numId="11" w16cid:durableId="180314490">
    <w:abstractNumId w:val="28"/>
  </w:num>
  <w:num w:numId="12" w16cid:durableId="100610207">
    <w:abstractNumId w:val="24"/>
  </w:num>
  <w:num w:numId="13" w16cid:durableId="1862815165">
    <w:abstractNumId w:val="8"/>
  </w:num>
  <w:num w:numId="14" w16cid:durableId="158622877">
    <w:abstractNumId w:val="27"/>
  </w:num>
  <w:num w:numId="15" w16cid:durableId="2028210496">
    <w:abstractNumId w:val="39"/>
  </w:num>
  <w:num w:numId="16" w16cid:durableId="1814906896">
    <w:abstractNumId w:val="16"/>
  </w:num>
  <w:num w:numId="17" w16cid:durableId="431555756">
    <w:abstractNumId w:val="15"/>
  </w:num>
  <w:num w:numId="18" w16cid:durableId="975379549">
    <w:abstractNumId w:val="20"/>
  </w:num>
  <w:num w:numId="19" w16cid:durableId="1411459857">
    <w:abstractNumId w:val="35"/>
  </w:num>
  <w:num w:numId="20" w16cid:durableId="1239176158">
    <w:abstractNumId w:val="14"/>
  </w:num>
  <w:num w:numId="21" w16cid:durableId="489949905">
    <w:abstractNumId w:val="21"/>
  </w:num>
  <w:num w:numId="22" w16cid:durableId="1866406991">
    <w:abstractNumId w:val="12"/>
  </w:num>
  <w:num w:numId="23" w16cid:durableId="2026712829">
    <w:abstractNumId w:val="23"/>
  </w:num>
  <w:num w:numId="24" w16cid:durableId="1014915020">
    <w:abstractNumId w:val="40"/>
  </w:num>
  <w:num w:numId="25" w16cid:durableId="765463795">
    <w:abstractNumId w:val="5"/>
  </w:num>
  <w:num w:numId="26" w16cid:durableId="1208759280">
    <w:abstractNumId w:val="32"/>
  </w:num>
  <w:num w:numId="27" w16cid:durableId="453988914">
    <w:abstractNumId w:val="36"/>
  </w:num>
  <w:num w:numId="28" w16cid:durableId="1266890703">
    <w:abstractNumId w:val="0"/>
  </w:num>
  <w:num w:numId="29" w16cid:durableId="213391453">
    <w:abstractNumId w:val="13"/>
  </w:num>
  <w:num w:numId="30" w16cid:durableId="1701978246">
    <w:abstractNumId w:val="1"/>
  </w:num>
  <w:num w:numId="31" w16cid:durableId="1791850330">
    <w:abstractNumId w:val="38"/>
  </w:num>
  <w:num w:numId="32" w16cid:durableId="2111970493">
    <w:abstractNumId w:val="29"/>
  </w:num>
  <w:num w:numId="33" w16cid:durableId="667753656">
    <w:abstractNumId w:val="7"/>
  </w:num>
  <w:num w:numId="34" w16cid:durableId="1699817479">
    <w:abstractNumId w:val="34"/>
  </w:num>
  <w:num w:numId="35" w16cid:durableId="928736821">
    <w:abstractNumId w:val="6"/>
  </w:num>
  <w:num w:numId="36" w16cid:durableId="723338537">
    <w:abstractNumId w:val="26"/>
  </w:num>
  <w:num w:numId="37" w16cid:durableId="915168350">
    <w:abstractNumId w:val="10"/>
  </w:num>
  <w:num w:numId="38" w16cid:durableId="2033453983">
    <w:abstractNumId w:val="33"/>
  </w:num>
  <w:num w:numId="39" w16cid:durableId="1179782060">
    <w:abstractNumId w:val="18"/>
  </w:num>
  <w:num w:numId="40" w16cid:durableId="930552356">
    <w:abstractNumId w:val="4"/>
  </w:num>
  <w:num w:numId="41" w16cid:durableId="16667124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11B2"/>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27"/>
    <w:rsid w:val="00103989"/>
    <w:rsid w:val="001039A1"/>
    <w:rsid w:val="00106FAE"/>
    <w:rsid w:val="001079A0"/>
    <w:rsid w:val="00111524"/>
    <w:rsid w:val="00111526"/>
    <w:rsid w:val="00112579"/>
    <w:rsid w:val="00113A41"/>
    <w:rsid w:val="00115A3E"/>
    <w:rsid w:val="001163A3"/>
    <w:rsid w:val="001164A3"/>
    <w:rsid w:val="00116574"/>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893"/>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0C28"/>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1AB"/>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2FFE"/>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3751"/>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A7B3B"/>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2DCC"/>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4B3"/>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298413249">
      <w:bodyDiv w:val="1"/>
      <w:marLeft w:val="0"/>
      <w:marRight w:val="0"/>
      <w:marTop w:val="0"/>
      <w:marBottom w:val="0"/>
      <w:divBdr>
        <w:top w:val="none" w:sz="0" w:space="0" w:color="auto"/>
        <w:left w:val="none" w:sz="0" w:space="0" w:color="auto"/>
        <w:bottom w:val="none" w:sz="0" w:space="0" w:color="auto"/>
        <w:right w:val="none" w:sz="0" w:space="0" w:color="auto"/>
      </w:divBdr>
    </w:div>
    <w:div w:id="17840341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12120</Words>
  <Characters>72723</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1219 N.Tuchola Rafał Pruss</cp:lastModifiedBy>
  <cp:revision>66</cp:revision>
  <cp:lastPrinted>2024-10-14T15:32:00Z</cp:lastPrinted>
  <dcterms:created xsi:type="dcterms:W3CDTF">2023-08-06T13:34:00Z</dcterms:created>
  <dcterms:modified xsi:type="dcterms:W3CDTF">2024-10-16T12:37:00Z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