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4B514" w14:textId="4CB6417B" w:rsidR="00015107" w:rsidRDefault="00015107" w:rsidP="0001510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  <w:r w:rsidRPr="00E95A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Dostawa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aparatu OCT</w:t>
      </w:r>
    </w:p>
    <w:p w14:paraId="6633AFFB" w14:textId="77777777" w:rsidR="00015107" w:rsidRPr="007F7D0F" w:rsidRDefault="00015107" w:rsidP="00015107">
      <w:pPr>
        <w:suppressAutoHyphens/>
        <w:autoSpaceDN w:val="0"/>
        <w:spacing w:line="247" w:lineRule="auto"/>
        <w:jc w:val="center"/>
        <w:rPr>
          <w:rFonts w:ascii="Calibri" w:eastAsia="SimSun" w:hAnsi="Calibri" w:cs="F"/>
          <w:kern w:val="3"/>
          <w14:ligatures w14:val="none"/>
        </w:rPr>
      </w:pPr>
    </w:p>
    <w:tbl>
      <w:tblPr>
        <w:tblW w:w="961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219"/>
        <w:gridCol w:w="1841"/>
        <w:gridCol w:w="1985"/>
      </w:tblGrid>
      <w:tr w:rsidR="00015107" w:rsidRPr="007F7D0F" w14:paraId="0BC531FD" w14:textId="77777777" w:rsidTr="00015107">
        <w:trPr>
          <w:trHeight w:val="78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67F329B7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/>
                <w:kern w:val="3"/>
                <w14:ligatures w14:val="none"/>
              </w:rPr>
            </w:pPr>
            <w:r>
              <w:rPr>
                <w:rFonts w:ascii="Calibri" w:eastAsia="SimSun" w:hAnsi="Calibri" w:cs="F"/>
                <w:b/>
                <w:kern w:val="3"/>
                <w14:ligatures w14:val="none"/>
              </w:rPr>
              <w:t>Lp.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  <w:hideMark/>
          </w:tcPr>
          <w:p w14:paraId="76944325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/>
                <w:kern w:val="3"/>
                <w14:ligatures w14:val="none"/>
              </w:rPr>
              <w:t>Opis parametru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  <w:hideMark/>
          </w:tcPr>
          <w:p w14:paraId="30E0D156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/>
                <w:kern w:val="3"/>
                <w14:ligatures w14:val="none"/>
              </w:rPr>
              <w:t>Wartość wymagana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  <w:hideMark/>
          </w:tcPr>
          <w:p w14:paraId="3BCBA37D" w14:textId="77777777" w:rsidR="00015107" w:rsidRPr="00321268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/>
                <w:kern w:val="3"/>
                <w14:ligatures w14:val="none"/>
              </w:rPr>
            </w:pPr>
            <w:r w:rsidRPr="00321268">
              <w:rPr>
                <w:rFonts w:ascii="Calibri" w:eastAsia="SimSun" w:hAnsi="Calibri" w:cs="F"/>
                <w:b/>
                <w:kern w:val="3"/>
                <w14:ligatures w14:val="none"/>
              </w:rPr>
              <w:t>Wartość oferowana</w:t>
            </w:r>
          </w:p>
          <w:p w14:paraId="0E4BC4AF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321268">
              <w:rPr>
                <w:rFonts w:ascii="Calibri" w:eastAsia="SimSun" w:hAnsi="Calibri" w:cs="F"/>
                <w:b/>
                <w:kern w:val="3"/>
                <w14:ligatures w14:val="none"/>
              </w:rPr>
              <w:t>(TAK lub NIE / podać tam gdzie wskazane)</w:t>
            </w:r>
          </w:p>
        </w:tc>
      </w:tr>
      <w:tr w:rsidR="00015107" w:rsidRPr="007F7D0F" w14:paraId="60DE945E" w14:textId="77777777" w:rsidTr="00015107">
        <w:trPr>
          <w:trHeight w:val="348"/>
        </w:trPr>
        <w:tc>
          <w:tcPr>
            <w:tcW w:w="961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271B642B" w14:textId="77777777" w:rsidR="00015107" w:rsidRPr="007F7D0F" w:rsidRDefault="00015107" w:rsidP="00015107">
            <w:pPr>
              <w:pStyle w:val="Akapitzlist"/>
              <w:numPr>
                <w:ilvl w:val="0"/>
                <w:numId w:val="1"/>
              </w:num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/>
                <w:kern w:val="3"/>
                <w14:ligatures w14:val="none"/>
              </w:rPr>
              <w:t>Wymagania ogólne</w:t>
            </w:r>
          </w:p>
        </w:tc>
      </w:tr>
      <w:tr w:rsidR="00015107" w:rsidRPr="007F7D0F" w14:paraId="05A58F19" w14:textId="77777777" w:rsidTr="00015107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5EED6AE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6AEA6B4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Producent/Firma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53E2AE5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Podać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00756D" w14:textId="6EBBC565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47B03F53" w14:textId="77777777" w:rsidTr="00015107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B6F63E9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2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B58B378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Kraj pochodzenia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4E9C38E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Podać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7000AEF" w14:textId="34909686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2251410B" w14:textId="77777777" w:rsidTr="00015107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F7A3E73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3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FBA9FD1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Urządzenie typ / model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591C6D4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Podać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858BCE" w14:textId="29EB5CA3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65F442F8" w14:textId="77777777" w:rsidTr="00015107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239095B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4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128B10B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Klasa wyrobu medycznego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11CA354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Podać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2B28711" w14:textId="454D9768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0D41C39A" w14:textId="77777777" w:rsidTr="00015107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6BA1798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5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C280F2B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Deklaracja zgodności CE dla aparatu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7DA9C24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8A501C6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069CD84F" w14:textId="77777777" w:rsidTr="00015107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EF9A70A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6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A89F809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Aparat fabrycznie nowy nie rekondycjonowany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9FD3D19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1DBB07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1B71AA3C" w14:textId="77777777" w:rsidTr="00015107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A22FD3B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7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B59928E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Rok produkcji 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6582E6B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FF9C119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79971839" w14:textId="77777777" w:rsidTr="00015107">
        <w:trPr>
          <w:trHeight w:val="276"/>
        </w:trPr>
        <w:tc>
          <w:tcPr>
            <w:tcW w:w="961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bottom"/>
            <w:hideMark/>
          </w:tcPr>
          <w:p w14:paraId="729C8494" w14:textId="77777777" w:rsidR="00015107" w:rsidRPr="007F7D0F" w:rsidRDefault="00015107" w:rsidP="00015107">
            <w:pPr>
              <w:pStyle w:val="Akapitzlist"/>
              <w:numPr>
                <w:ilvl w:val="0"/>
                <w:numId w:val="1"/>
              </w:num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/>
                <w:bCs/>
                <w:kern w:val="3"/>
                <w14:ligatures w14:val="none"/>
              </w:rPr>
              <w:t>Aparat OCT – 1 szt.</w:t>
            </w:r>
          </w:p>
        </w:tc>
      </w:tr>
      <w:tr w:rsidR="00015107" w:rsidRPr="007F7D0F" w14:paraId="3FC7B555" w14:textId="77777777" w:rsidTr="00015107">
        <w:trPr>
          <w:trHeight w:val="422"/>
        </w:trPr>
        <w:tc>
          <w:tcPr>
            <w:tcW w:w="56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48949A7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1DB6AC1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Szybkość skanowania: minimum 80 000 [Askan/sek.]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99B34D9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42472E4A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78442107" w14:textId="77777777" w:rsidTr="00015107">
        <w:trPr>
          <w:trHeight w:val="42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B845FA8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2</w:t>
            </w:r>
          </w:p>
        </w:tc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056B1CE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Optyczna rozdzielczość osiowa w tkance: minimum 5 [µm]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8F01CC1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8BE7B1" w14:textId="09F1BA80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21BD13FD" w14:textId="77777777" w:rsidTr="00015107">
        <w:trPr>
          <w:trHeight w:val="565"/>
        </w:trPr>
        <w:tc>
          <w:tcPr>
            <w:tcW w:w="5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8B3FE6E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3</w:t>
            </w:r>
          </w:p>
        </w:tc>
        <w:tc>
          <w:tcPr>
            <w:tcW w:w="52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C34A996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Całkowita głębokość skanowania: minimum 2,8 [mm]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B5AC159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B855B7" w14:textId="198C83F0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054C8FF4" w14:textId="77777777" w:rsidTr="00015107">
        <w:trPr>
          <w:trHeight w:val="31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DB4A7D3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4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6973E77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Maksymalna szerokość skanowania siatkówki: minimum 15 [mm]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3443BF7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BBD3950" w14:textId="3EAE53F2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7F8B3ACE" w14:textId="77777777" w:rsidTr="00015107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53B279B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5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96B4658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Maksymalna szerokość skanowania przedniego odcinka oka: minimum 18 [mm]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3765A10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E69E537" w14:textId="40D748E0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2C1E081E" w14:textId="77777777" w:rsidTr="00015107">
        <w:trPr>
          <w:trHeight w:val="306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B5BEA26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6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0326A47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Zakres kompensacji wady wzroku pacjenta (regulacja ogniskowania): minimum od -25D do +25D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92401A8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Tak, podać</w:t>
            </w:r>
            <w:r>
              <w:rPr>
                <w:rFonts w:ascii="Calibri" w:eastAsia="SimSun" w:hAnsi="Calibri" w:cs="F"/>
                <w:kern w:val="3"/>
                <w14:ligatures w14:val="none"/>
              </w:rPr>
              <w:t xml:space="preserve"> zakres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605809" w14:textId="1E138AAD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336E609F" w14:textId="77777777" w:rsidTr="00015107">
        <w:trPr>
          <w:trHeight w:val="366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72A3F3E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7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AC8E6EB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Fiksator wewnętrzny o zmiennej wielkości z płynną regulacją położenia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84FA475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64E33D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31E32F74" w14:textId="77777777" w:rsidTr="00015107">
        <w:trPr>
          <w:trHeight w:val="4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C7D75DA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8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41EE79D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 xml:space="preserve">Dostępność analiz siatkówki: </w:t>
            </w: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br/>
              <w:t xml:space="preserve">- mapa grubości siatkówki; </w:t>
            </w: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br/>
              <w:t>- mapa grubości wewnętrznych i zewnętrznych warstw siatkówki;</w:t>
            </w: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br/>
              <w:t>- mapa deformacji nabłonka barwnikowego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0A84D73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AFFF55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i/>
                <w:kern w:val="3"/>
                <w14:ligatures w14:val="none"/>
              </w:rPr>
            </w:pPr>
          </w:p>
        </w:tc>
      </w:tr>
      <w:tr w:rsidR="00015107" w:rsidRPr="007F7D0F" w14:paraId="1F71B62B" w14:textId="77777777" w:rsidTr="00015107">
        <w:trPr>
          <w:trHeight w:val="4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3A04B3B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9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7730B52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 xml:space="preserve">Dostępność analiz w kierunku jaskry: </w:t>
            </w: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br/>
              <w:t>- analiza grubości RNFL wokół tarczy nerwu wzrokowego z regulowaną średnicą i grubością pierścienia pomiarowego;</w:t>
            </w: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br/>
            </w: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lastRenderedPageBreak/>
              <w:t>- ocena morfologii tarczy nerwu wzrokowego;</w:t>
            </w: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br/>
              <w:t>- automatyczna ocena prawdopodobieństwa uszkodzenia tarczy nerwu wzrokowego (DDLS);</w:t>
            </w: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br/>
              <w:t>- analiza komórek zwojowych w postaci analizy GCC (warstwy RNFL + GCL + IP) oraz analizy GC (warstwy GCL + IPL);</w:t>
            </w: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br/>
              <w:t>- analiza symetrii wszystkich powyższych parametrów dla obu gałek ocznych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386306A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FC345E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5564FD77" w14:textId="77777777" w:rsidTr="00015107">
        <w:trPr>
          <w:trHeight w:val="4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866560D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lastRenderedPageBreak/>
              <w:t>10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9002709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Analiza przedniego odcinka oka:</w:t>
            </w: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br/>
              <w:t>- mapa pachymetryczna rogówki z zaznaczeniem najcieńszego miejsca rogówki;</w:t>
            </w: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br/>
              <w:t>- pomiary dwóch przeciwległych kątów przesączania na jednym tomogramie;</w:t>
            </w: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br/>
              <w:t>- automatyczne wyliczanie korekcji ciśnienia wewnątrzgałkowego na podstawie centralnej grubości rogówki (AIOP)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5E656D7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9E5664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0E8BF330" w14:textId="77777777" w:rsidTr="00015107">
        <w:trPr>
          <w:trHeight w:val="4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E5C8E7B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11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FD2D83A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Możliwość wykonywania kolorowych zdjęć dna oka i przedniego odcinka oka o rozdzielczości: minimum 10MPix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6BE1737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8D7345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>
              <w:rPr>
                <w:rFonts w:ascii="Calibri" w:eastAsia="SimSun" w:hAnsi="Calibri" w:cs="F"/>
                <w:kern w:val="3"/>
                <w14:ligatures w14:val="none"/>
              </w:rPr>
              <w:t>………………………………</w:t>
            </w:r>
          </w:p>
        </w:tc>
      </w:tr>
      <w:tr w:rsidR="00015107" w:rsidRPr="007F7D0F" w14:paraId="35873F8D" w14:textId="77777777" w:rsidTr="00015107">
        <w:trPr>
          <w:trHeight w:val="4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9FD391A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12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2846AEA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Oprogramowanie obsługujące urządzenie w języku polskim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D06965B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C30AEE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0F8F09C3" w14:textId="77777777" w:rsidTr="00015107">
        <w:trPr>
          <w:trHeight w:val="306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09DDE10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13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35CDD7C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Możliwość wykonania badania w trzech trybach: automatycznym, półautomatycznym (tzn. automatyczne pozycjonowanie głowicy i ręczne rozpoczęcie skanowania) i ręcznym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CA9B76F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EF11EA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6C03AC60" w14:textId="77777777" w:rsidTr="00015107">
        <w:trPr>
          <w:trHeight w:val="4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D7649D0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14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DFAB7CF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W zestawie z tomografem musi być dostarczony stolik z elektryczną regulacją wysokości blatu i zewnętrzny komputer sterujący tomografem oraz drukarka laserowa, kolorowa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66A54CB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43CC5B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61C1FE03" w14:textId="77777777" w:rsidTr="00015107">
        <w:trPr>
          <w:trHeight w:val="4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3F8DF9A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15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DA6F32E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Oprogramowanie sterujące tomografem musi umożliwiać odtwarzanie komunikatów głosowych dla pacjenta – komunikaty w języku polskim z możliwością ich wyłączenia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8CC1C8D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703C30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47AF845D" w14:textId="77777777" w:rsidTr="00015107">
        <w:trPr>
          <w:trHeight w:val="4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A3AAD9A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16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822D817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Bezpłatna aktualizacja oprogramowania w okresie gwarancyjnym i pogwarancyjnym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BC8E0D2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659270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3257BC22" w14:textId="77777777" w:rsidTr="00015107">
        <w:trPr>
          <w:trHeight w:val="4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375CE09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17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96DF879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Moduł angiografii SOCT umożliwiający wizualizację przepływu w naczyniach w splocie powierzchownym i głębokim, wykrywanie przepływu w strefie awaskularnej oraz prezentację przepływu w naczyniach naczyniówki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AE2258F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C78C21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4BE95A96" w14:textId="77777777" w:rsidTr="00015107">
        <w:trPr>
          <w:trHeight w:val="4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AD93ECA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18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B4AAE71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Maksymalny obszar obrazowania min. 9 x 9 [mm]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B12DD9F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CCFBEC" w14:textId="138A0356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56C40E10" w14:textId="77777777" w:rsidTr="00015107">
        <w:trPr>
          <w:trHeight w:val="4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244FBC4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19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B7B6EC9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Zasilanie:  230V, 50/60 Hz.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955F408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7F96AC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0570E0C6" w14:textId="77777777" w:rsidTr="00015107">
        <w:trPr>
          <w:trHeight w:val="282"/>
        </w:trPr>
        <w:tc>
          <w:tcPr>
            <w:tcW w:w="961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3A5C63E3" w14:textId="77777777" w:rsidR="00015107" w:rsidRPr="007F7D0F" w:rsidRDefault="00015107" w:rsidP="00015107">
            <w:pPr>
              <w:pStyle w:val="Akapitzlist"/>
              <w:numPr>
                <w:ilvl w:val="0"/>
                <w:numId w:val="1"/>
              </w:num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/>
                <w:bCs/>
                <w:kern w:val="3"/>
                <w14:ligatures w14:val="none"/>
              </w:rPr>
              <w:t>Wymagania dodatkowe</w:t>
            </w:r>
          </w:p>
        </w:tc>
      </w:tr>
      <w:tr w:rsidR="00015107" w:rsidRPr="007F7D0F" w14:paraId="519B92C5" w14:textId="77777777" w:rsidTr="00015107">
        <w:trPr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66BAF38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1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C2DE662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Gwarancja na cały system min. 24 miesiące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7EC4527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258CEA" w14:textId="370F0BBE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0378C3ED" w14:textId="77777777" w:rsidTr="00015107">
        <w:trPr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85A7E62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lastRenderedPageBreak/>
              <w:t>2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2AF683E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Instalacja aparatu przez autoryzowany serwis producenta (autoryzowany serwis gwarancyjny i pogwarancyjny).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E3EE8EB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7A4369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76B931A5" w14:textId="77777777" w:rsidTr="00015107">
        <w:trPr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B011817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3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405FEA7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Szkolenie z zakresu obsługi aparatu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5070D67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9A2639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50E40E24" w14:textId="77777777" w:rsidTr="00015107">
        <w:trPr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9B27815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4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2694AE7" w14:textId="4BF3E7B4" w:rsidR="00015107" w:rsidRDefault="008B368C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strike/>
                <w:color w:val="00B050"/>
                <w:kern w:val="3"/>
                <w14:ligatures w14:val="none"/>
              </w:rPr>
            </w:pPr>
            <w:r w:rsidRPr="00875812">
              <w:rPr>
                <w:rFonts w:ascii="Calibri" w:eastAsia="SimSun" w:hAnsi="Calibri" w:cs="F"/>
                <w:strike/>
                <w:color w:val="00B050"/>
                <w:kern w:val="3"/>
                <w14:ligatures w14:val="none"/>
              </w:rPr>
              <w:t>Reakcja serwisu w okresie gwarancji - do 12 godzin od zgłoszenia w dni robocze w godzinach pracy Zamawiającego</w:t>
            </w:r>
          </w:p>
          <w:p w14:paraId="0EB5A243" w14:textId="3D67A363" w:rsidR="00875812" w:rsidRPr="00875812" w:rsidRDefault="00875812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color w:val="00B050"/>
                <w:kern w:val="3"/>
                <w14:ligatures w14:val="none"/>
              </w:rPr>
            </w:pPr>
            <w:r w:rsidRPr="00875812">
              <w:rPr>
                <w:rFonts w:ascii="Calibri" w:eastAsia="SimSun" w:hAnsi="Calibri" w:cs="F"/>
                <w:color w:val="00B050"/>
                <w:kern w:val="3"/>
                <w14:ligatures w14:val="none"/>
              </w:rPr>
              <w:t>Reakcja serwisu w okresie gwarancji - do 24 godzin od zgłoszenia w dni robocze w godzinach pracy Zamawiającego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91E95A4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5FA259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4B0869A7" w14:textId="77777777" w:rsidTr="00015107">
        <w:trPr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7FF64CD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5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BCAF19F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Przeglądy wymagane przez producenta w okresie gwarancji realizowane na koszt Wykonawcy wraz z dojazdem oraz wymianą materiałów wymaganych przy przeglądach gwarancyjnych oraz dodatkowy przegląd wykonany na miesiąc przed zakończeniem okresu gwarancyjnego.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3A46935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64E740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62A0175F" w14:textId="77777777" w:rsidTr="00015107">
        <w:trPr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CC9F89F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6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B53B425" w14:textId="77777777" w:rsidR="00015107" w:rsidRPr="007F7D0F" w:rsidRDefault="00015107" w:rsidP="0052449F">
            <w:pPr>
              <w:suppressAutoHyphens/>
              <w:autoSpaceDN w:val="0"/>
              <w:spacing w:after="0"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Maksymalny czas skutecznego usunięcia usterki:                                                          a) naprawa nie wymagająca wymiany części do 24 godzin;(w dni robocze)</w:t>
            </w:r>
          </w:p>
          <w:p w14:paraId="2532B4C1" w14:textId="77777777" w:rsidR="00015107" w:rsidRPr="007F7D0F" w:rsidRDefault="00015107" w:rsidP="0052449F">
            <w:pPr>
              <w:suppressAutoHyphens/>
              <w:autoSpaceDN w:val="0"/>
              <w:spacing w:after="0"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b) naprawa w przypadku konieczności importu części – do 7 dni roboczych;</w:t>
            </w:r>
          </w:p>
          <w:p w14:paraId="254D0444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c) naprawa nie wymagająca  importu części – do 5 dni roboczych.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6A9685E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159272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48E559F0" w14:textId="77777777" w:rsidTr="00015107">
        <w:trPr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2AD905F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7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78865D3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Każdy dzień przestoju spowodowany niesprawnością  oferowanego sprzętu przedłuża o ten czas okres gwarancji.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6B73D45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B6764D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51EECA71" w14:textId="77777777" w:rsidTr="00015107">
        <w:trPr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1B83098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8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22CF9FB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Zapewnienie części zamiennych i wsparcie techniczne w okresie min. 10 lat od daty instalacji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27EE5F5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489E53" w14:textId="57424A5E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651BF368" w14:textId="77777777" w:rsidTr="00015107">
        <w:trPr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0D93E4C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Cs/>
                <w:kern w:val="3"/>
                <w14:ligatures w14:val="none"/>
              </w:rPr>
              <w:t>9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937BD01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Zapewnienie pełnej autoryzowanej obsługi serwisowej przez uprawnioną jednostkę gwarantującą skuteczną interwencję techniczną w okresie gwarancyjnym i pogwarancyjnym dla oferowanego sprzętu (podać dane serwisu: nazwa, dane teleadresowe, itp.)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A5AAF93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0E5691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119A1EA9" w14:textId="77777777" w:rsidTr="00015107">
        <w:trPr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C55CAFF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/>
                <w:kern w:val="3"/>
                <w14:ligatures w14:val="none"/>
              </w:rPr>
              <w:t>10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259A043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Instrukcja obsługi w języku polskim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365D520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ADFB9A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  <w:tr w:rsidR="00015107" w:rsidRPr="007F7D0F" w14:paraId="01C6BFC0" w14:textId="77777777" w:rsidTr="00015107">
        <w:trPr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096F975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b/>
                <w:kern w:val="3"/>
                <w14:ligatures w14:val="none"/>
              </w:rPr>
              <w:t>11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AECE2F6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Paszport techniczny z wpisami o instalacji, pierwszym uruchomieniu oraz terminem kolejnego przeglądu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CCBA899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  <w14:ligatures w14:val="none"/>
              </w:rPr>
            </w:pPr>
            <w:r w:rsidRPr="007F7D0F">
              <w:rPr>
                <w:rFonts w:ascii="Calibri" w:eastAsia="SimSun" w:hAnsi="Calibri" w:cs="F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0FB604" w14:textId="77777777"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  <w14:ligatures w14:val="none"/>
              </w:rPr>
            </w:pPr>
          </w:p>
        </w:tc>
      </w:tr>
    </w:tbl>
    <w:p w14:paraId="40B6EBD0" w14:textId="77777777" w:rsidR="00015107" w:rsidRDefault="00015107" w:rsidP="0001510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48153D8" w14:textId="77777777" w:rsidR="00015107" w:rsidRDefault="00015107" w:rsidP="00015107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307A68AD" w14:textId="77777777" w:rsidR="00015107" w:rsidRDefault="00015107" w:rsidP="00015107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243C0D29" w14:textId="77777777" w:rsidR="00BF0FC9" w:rsidRDefault="00BF0FC9"/>
    <w:sectPr w:rsidR="00BF0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16E8"/>
    <w:multiLevelType w:val="hybridMultilevel"/>
    <w:tmpl w:val="994EB4B6"/>
    <w:lvl w:ilvl="0" w:tplc="BA9CA618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07"/>
    <w:rsid w:val="00015107"/>
    <w:rsid w:val="00241077"/>
    <w:rsid w:val="002A042D"/>
    <w:rsid w:val="003E29D5"/>
    <w:rsid w:val="005A0B2E"/>
    <w:rsid w:val="00873872"/>
    <w:rsid w:val="00875812"/>
    <w:rsid w:val="008B368C"/>
    <w:rsid w:val="00A150FC"/>
    <w:rsid w:val="00BE7EC4"/>
    <w:rsid w:val="00B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9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015107"/>
    <w:pPr>
      <w:ind w:left="720"/>
      <w:contextualSpacing/>
    </w:p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rsid w:val="00015107"/>
  </w:style>
  <w:style w:type="character" w:styleId="Odwoaniedokomentarza">
    <w:name w:val="annotation reference"/>
    <w:semiHidden/>
    <w:unhideWhenUsed/>
    <w:qFormat/>
    <w:rsid w:val="00015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51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510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015107"/>
    <w:pPr>
      <w:ind w:left="720"/>
      <w:contextualSpacing/>
    </w:p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rsid w:val="00015107"/>
  </w:style>
  <w:style w:type="character" w:styleId="Odwoaniedokomentarza">
    <w:name w:val="annotation reference"/>
    <w:semiHidden/>
    <w:unhideWhenUsed/>
    <w:qFormat/>
    <w:rsid w:val="00015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51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510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Dorengowska-Grabowska</dc:creator>
  <cp:lastModifiedBy>KATARZYNA OMELAŃCZUK</cp:lastModifiedBy>
  <cp:revision>2</cp:revision>
  <dcterms:created xsi:type="dcterms:W3CDTF">2024-12-20T13:39:00Z</dcterms:created>
  <dcterms:modified xsi:type="dcterms:W3CDTF">2024-12-20T13:39:00Z</dcterms:modified>
</cp:coreProperties>
</file>