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0B86" w14:textId="77777777" w:rsidR="00F07322" w:rsidRDefault="00000000">
      <w:pPr>
        <w:spacing w:after="10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A050C51" w14:textId="77777777" w:rsidR="00F07322" w:rsidRDefault="00000000">
      <w:pPr>
        <w:spacing w:after="143" w:line="259" w:lineRule="auto"/>
        <w:ind w:left="0" w:right="6" w:firstLine="0"/>
        <w:jc w:val="right"/>
      </w:pPr>
      <w:r>
        <w:rPr>
          <w:b/>
        </w:rPr>
        <w:t xml:space="preserve"> Załącznik nr 8 do SWZ </w:t>
      </w:r>
    </w:p>
    <w:p w14:paraId="4EB643D6" w14:textId="77777777" w:rsidR="00F07322" w:rsidRDefault="00000000">
      <w:pPr>
        <w:pStyle w:val="Nagwek1"/>
      </w:pPr>
      <w:r>
        <w:t xml:space="preserve">Opis przedmiotu zamówienia </w:t>
      </w:r>
    </w:p>
    <w:p w14:paraId="41553C5D" w14:textId="77777777" w:rsidR="00F0732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F98A88" w14:textId="02BA1DBD" w:rsidR="00F07322" w:rsidRDefault="00000000">
      <w:pPr>
        <w:spacing w:after="0"/>
        <w:ind w:left="-5" w:right="0"/>
      </w:pPr>
      <w:r>
        <w:t xml:space="preserve">Przedmiotem zamówienia jest zadanie pn. </w:t>
      </w:r>
      <w:r>
        <w:rPr>
          <w:b/>
        </w:rPr>
        <w:t xml:space="preserve">„Sporządzenie planu ogólnego Gminy </w:t>
      </w:r>
      <w:r w:rsidR="00C13DF0">
        <w:rPr>
          <w:b/>
        </w:rPr>
        <w:t>Moryń</w:t>
      </w:r>
      <w:r>
        <w:rPr>
          <w:b/>
        </w:rPr>
        <w:t>”</w:t>
      </w:r>
      <w:r>
        <w:t xml:space="preserve">  o którym jest mowa w art. 13a ustawy o planowaniu i zagospodarowaniu przestrzennym (t. j. Dz. U. z 2023 r. poz. 977 ze zm.) oraz udział w czynnościach związanych ze sporządzeniem  i uchwaleniem planu ogólnego. Powierzchnia opracowania obejmuje ok. </w:t>
      </w:r>
      <w:r w:rsidR="00C13DF0">
        <w:t>10300</w:t>
      </w:r>
      <w:r>
        <w:t xml:space="preserve"> ha, w tym powierzchnia objęta miejscowymi planami zagospodarowania przestrzennego to </w:t>
      </w:r>
      <w:r w:rsidR="000819BE">
        <w:t>1425,87</w:t>
      </w:r>
      <w:r>
        <w:t xml:space="preserve"> ha co stanowi </w:t>
      </w:r>
      <w:r w:rsidR="000819BE">
        <w:t>13,84</w:t>
      </w:r>
      <w:r>
        <w:t xml:space="preserve"> % powierzchni gminy </w:t>
      </w:r>
      <w:r w:rsidR="000819BE">
        <w:t>Moryń</w:t>
      </w:r>
      <w:r>
        <w:t xml:space="preserve">. Obszar objęty opracowaniem obejmuje teren w granicach administracyjnych gminy </w:t>
      </w:r>
      <w:r w:rsidR="000819BE">
        <w:t>Moryń</w:t>
      </w:r>
      <w:r>
        <w:t xml:space="preserve">. </w:t>
      </w:r>
    </w:p>
    <w:p w14:paraId="69447FEF" w14:textId="77777777" w:rsidR="00F07322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03ECEFD6" w14:textId="77777777" w:rsidR="00F07322" w:rsidRDefault="00000000">
      <w:pPr>
        <w:spacing w:after="0"/>
        <w:ind w:left="-5" w:right="0"/>
      </w:pPr>
      <w:r>
        <w:rPr>
          <w:b/>
        </w:rPr>
        <w:t xml:space="preserve">1.. </w:t>
      </w:r>
      <w:r>
        <w:t xml:space="preserve">W ramach realizacji przedmiotu zamówienia Wykonawca sporządzi i przekaże Zamawiającemu:  </w:t>
      </w:r>
    </w:p>
    <w:p w14:paraId="33B98975" w14:textId="77777777" w:rsidR="00F07322" w:rsidRDefault="00000000">
      <w:pPr>
        <w:spacing w:after="39" w:line="259" w:lineRule="auto"/>
        <w:ind w:left="-5" w:right="0"/>
        <w:jc w:val="left"/>
      </w:pPr>
      <w:r>
        <w:t xml:space="preserve">1) </w:t>
      </w:r>
      <w:r>
        <w:rPr>
          <w:b/>
        </w:rPr>
        <w:t>Projekt planu ogólnego</w:t>
      </w:r>
      <w:r>
        <w:t xml:space="preserve">:  </w:t>
      </w:r>
    </w:p>
    <w:p w14:paraId="6FDB277D" w14:textId="59E89488" w:rsidR="00F07322" w:rsidRDefault="00000000">
      <w:pPr>
        <w:numPr>
          <w:ilvl w:val="0"/>
          <w:numId w:val="1"/>
        </w:numPr>
        <w:spacing w:after="0"/>
        <w:ind w:right="0"/>
      </w:pPr>
      <w:r>
        <w:t xml:space="preserve">rysunek planu ogólnego dla Gminy </w:t>
      </w:r>
      <w:r w:rsidR="00C13DF0">
        <w:t>Moryń</w:t>
      </w:r>
      <w:r>
        <w:t xml:space="preserve">, który winien zostać przekazany w wersji tradycyjnej (papierowej) w kolorze w trzech egzemplarzach, a także na nośniku elektronicznym </w:t>
      </w:r>
    </w:p>
    <w:p w14:paraId="4586EC62" w14:textId="77777777" w:rsidR="00F07322" w:rsidRDefault="00000000">
      <w:pPr>
        <w:ind w:left="-5" w:right="0"/>
      </w:pPr>
      <w:r>
        <w:t xml:space="preserve">(płyta CD/DVD oraz dysk wymienny na złącze USB), w formatach: TIFF, JPG, PDF;  </w:t>
      </w:r>
    </w:p>
    <w:p w14:paraId="64273CBF" w14:textId="77777777" w:rsidR="00F07322" w:rsidRDefault="00000000">
      <w:pPr>
        <w:numPr>
          <w:ilvl w:val="0"/>
          <w:numId w:val="1"/>
        </w:numPr>
        <w:ind w:right="0"/>
      </w:pPr>
      <w:r>
        <w:rPr>
          <w:b/>
        </w:rPr>
        <w:t xml:space="preserve">tekst dokumentu </w:t>
      </w:r>
      <w:r>
        <w:t xml:space="preserve">winien zostać przekazany w wersji tradycyjnej (papierowej) w trzech egzemplarzach, a także na nośniku elektronicznym (płyta CD/DVD oraz dysk wymienny na złącze USB) w formatach: DOC, DOCX, PDF;  </w:t>
      </w:r>
    </w:p>
    <w:p w14:paraId="505260B9" w14:textId="77777777" w:rsidR="00F07322" w:rsidRDefault="00000000">
      <w:pPr>
        <w:numPr>
          <w:ilvl w:val="0"/>
          <w:numId w:val="1"/>
        </w:numPr>
        <w:spacing w:after="0"/>
        <w:ind w:right="0"/>
      </w:pPr>
      <w:r>
        <w:rPr>
          <w:b/>
        </w:rPr>
        <w:t>dane przestrzenne oraz metadane w formie elektronicznej</w:t>
      </w:r>
      <w:r>
        <w:t xml:space="preserve">, winny zostać opracowane zgodnie z założeniami Dyrektywy 2007/2/WE Parlamentu Europejskiego i Rady z dnia 14 marca 2007 r. ustanawiającej infrastrukturę informacji przestrzennej we Wspólnocie Europejskiej (INSPIRE) (Dz.U.UE.L.2007.108.1) oraz ustawy z dnia 4 marca 2010 r. o infrastrukturze informacji przestrzennej (t. j. Dz. U z 2021 r., poz. 214). Dane przestrzenne składające się na treść rysunku planu (dane wektorowe i rastrowe) winny zostać przekazane na nośniku elektronicznym (płyta CD/DVD oraz dysk wymienny na złącze USB) w postaci:  </w:t>
      </w:r>
    </w:p>
    <w:p w14:paraId="03558449" w14:textId="77777777" w:rsidR="00F0732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C0874A" w14:textId="77777777" w:rsidR="00F07322" w:rsidRDefault="00000000">
      <w:pPr>
        <w:spacing w:after="76"/>
        <w:ind w:left="-5" w:right="0"/>
      </w:pPr>
      <w:r>
        <w:t xml:space="preserve">- plików w formacie SHP dla danych wektorowych, plików w formacie </w:t>
      </w:r>
      <w:proofErr w:type="spellStart"/>
      <w:r>
        <w:t>GeoTIFF</w:t>
      </w:r>
      <w:proofErr w:type="spellEnd"/>
      <w:r>
        <w:t xml:space="preserve"> dla danych rastrowych oraz plików w innych formatach dla danych przestrzennych, których nie można sporządzić w formatach SHP lub </w:t>
      </w:r>
      <w:proofErr w:type="spellStart"/>
      <w:r>
        <w:t>GeoTIFF</w:t>
      </w:r>
      <w:proofErr w:type="spellEnd"/>
      <w:r>
        <w:t xml:space="preserve"> lub dla danych tych stosuje się powszechnie inny format. Pliki te winny być logicznie uporządkowane i nazwane,  </w:t>
      </w:r>
    </w:p>
    <w:p w14:paraId="2F12E026" w14:textId="77777777" w:rsidR="00F07322" w:rsidRDefault="00000000">
      <w:pPr>
        <w:numPr>
          <w:ilvl w:val="0"/>
          <w:numId w:val="2"/>
        </w:numPr>
        <w:spacing w:after="72"/>
        <w:ind w:right="0" w:hanging="424"/>
      </w:pPr>
      <w:r>
        <w:t xml:space="preserve">plików zawierających projekt opracowania planu ogólnego, na które składają się zgodne z wersją papierową i elektroniczną rysunku, odpowiednio uporządkowane  i wyświetlone treści mapy (dane przestrzenne zgromadzone w warstwach tematycznych),  </w:t>
      </w:r>
    </w:p>
    <w:p w14:paraId="022DE97A" w14:textId="77777777" w:rsidR="00F07322" w:rsidRDefault="00000000">
      <w:pPr>
        <w:numPr>
          <w:ilvl w:val="0"/>
          <w:numId w:val="2"/>
        </w:numPr>
        <w:ind w:right="0" w:hanging="424"/>
      </w:pPr>
      <w:r>
        <w:t xml:space="preserve">plików wytworzonych zgodnie ze strukturą i w standardach wymaganych na potrzeby importu i eksportu dokumentów w ramach zaproponowanego modułu pozwalającego na wydawanie wypisów, wyrysów i innych niezbędnych informacji z planu ogólnego.  </w:t>
      </w:r>
    </w:p>
    <w:p w14:paraId="3662A55E" w14:textId="77777777" w:rsidR="00F07322" w:rsidRDefault="00000000">
      <w:pPr>
        <w:spacing w:after="51" w:line="259" w:lineRule="auto"/>
        <w:ind w:left="-5" w:right="0"/>
        <w:jc w:val="left"/>
      </w:pPr>
      <w:r>
        <w:t xml:space="preserve">2) </w:t>
      </w:r>
      <w:r>
        <w:rPr>
          <w:b/>
        </w:rPr>
        <w:t xml:space="preserve">Opracowanie </w:t>
      </w:r>
      <w:proofErr w:type="spellStart"/>
      <w:r>
        <w:rPr>
          <w:b/>
        </w:rPr>
        <w:t>ekofizjograficzne</w:t>
      </w:r>
      <w:proofErr w:type="spellEnd"/>
      <w:r>
        <w:t xml:space="preserve">:  </w:t>
      </w:r>
    </w:p>
    <w:p w14:paraId="016EDBE6" w14:textId="77777777" w:rsidR="00F07322" w:rsidRDefault="00000000">
      <w:pPr>
        <w:numPr>
          <w:ilvl w:val="0"/>
          <w:numId w:val="3"/>
        </w:numPr>
        <w:ind w:right="0"/>
      </w:pPr>
      <w:r>
        <w:t xml:space="preserve">tekst dokumentu winien być przekazany w wersji tradycyjnej (papierowej) w dwóch egzemplarzach, a także na nośniku elektronicznym (płyta CD/DVD oraz dysk wymienny na złącze USB) w formatach: DOC, DOCX, PDF;  </w:t>
      </w:r>
    </w:p>
    <w:p w14:paraId="14F6BB62" w14:textId="77777777" w:rsidR="00F07322" w:rsidRDefault="00000000">
      <w:pPr>
        <w:numPr>
          <w:ilvl w:val="0"/>
          <w:numId w:val="3"/>
        </w:numPr>
        <w:ind w:right="0"/>
      </w:pPr>
      <w:r>
        <w:t xml:space="preserve">załączniki graficzne winny być przekazane w wersji tradycyjnej (papierowej) w kolorze w dwóch egzemplarzach, a także na nośniku elektronicznym (płyta CD/DVD oraz dysk wymienny na złącze USB) w formatach: TIFF i JPG;  </w:t>
      </w:r>
    </w:p>
    <w:p w14:paraId="587F5440" w14:textId="77777777" w:rsidR="00F07322" w:rsidRDefault="00000000">
      <w:pPr>
        <w:numPr>
          <w:ilvl w:val="0"/>
          <w:numId w:val="3"/>
        </w:numPr>
        <w:ind w:right="0"/>
      </w:pPr>
      <w:r>
        <w:t xml:space="preserve">dane przestrzenne winny być przekazane w postaci plików w formacie SHP dla danych wektorowych, plików w formacie </w:t>
      </w:r>
      <w:proofErr w:type="spellStart"/>
      <w:r>
        <w:t>GeoTIFF</w:t>
      </w:r>
      <w:proofErr w:type="spellEnd"/>
      <w:r>
        <w:t xml:space="preserve"> dla danych rastrowych oraz plików w innych formatach dla danych przestrzennych, których nie można sporządzić w formatach SHP lub </w:t>
      </w:r>
      <w:proofErr w:type="spellStart"/>
      <w:r>
        <w:t>GeoTIFF</w:t>
      </w:r>
      <w:proofErr w:type="spellEnd"/>
      <w:r>
        <w:t xml:space="preserve"> lub dla </w:t>
      </w:r>
      <w:r>
        <w:lastRenderedPageBreak/>
        <w:t xml:space="preserve">danych tych stosuje się powszechnie inny format. Pliki te winny być logicznie uporządkowane i nazwane;  </w:t>
      </w:r>
    </w:p>
    <w:p w14:paraId="27D002B1" w14:textId="77777777" w:rsidR="00F07322" w:rsidRDefault="00000000">
      <w:pPr>
        <w:numPr>
          <w:ilvl w:val="0"/>
          <w:numId w:val="3"/>
        </w:numPr>
        <w:ind w:right="0"/>
      </w:pPr>
      <w:r>
        <w:t xml:space="preserve">pliki zawierające projekt opracowania, na które składają się zgodne z wersją papierową  i elektroniczną rysunku, odpowiednio uporządkowane i wyświetlone treści mapy (dane przestrzenne zgromadzone w warstwach tematycznych).  </w:t>
      </w:r>
    </w:p>
    <w:p w14:paraId="7203FD97" w14:textId="77777777" w:rsidR="00F07322" w:rsidRDefault="00000000">
      <w:pPr>
        <w:numPr>
          <w:ilvl w:val="0"/>
          <w:numId w:val="4"/>
        </w:numPr>
        <w:ind w:right="0" w:hanging="256"/>
      </w:pPr>
      <w:r>
        <w:rPr>
          <w:b/>
        </w:rPr>
        <w:t>Prognozę oddziaływania na środowisko</w:t>
      </w:r>
      <w:r>
        <w:t xml:space="preserve">, która winna być przekazana w wersji tradycyjnej (papierowej) w trzech egzemplarzach, a także na nośniku elektronicznym (płyta CD/DVD oraz dysk wymienny na złącze USB) w formatach: DOC, DOCX, PDF. W przypadku, gdyby prognoza zawierała część graficzną, należy przekazać opracowania kartograficzne oraz dane przestrzenne na zasadach analogicznych jak w przypadku opracowania </w:t>
      </w:r>
      <w:proofErr w:type="spellStart"/>
      <w:r>
        <w:t>ekofizjograficznego</w:t>
      </w:r>
      <w:proofErr w:type="spellEnd"/>
      <w:r>
        <w:t xml:space="preserve">.  </w:t>
      </w:r>
    </w:p>
    <w:p w14:paraId="1E247A07" w14:textId="77777777" w:rsidR="00F07322" w:rsidRDefault="00000000">
      <w:pPr>
        <w:numPr>
          <w:ilvl w:val="0"/>
          <w:numId w:val="4"/>
        </w:numPr>
        <w:ind w:right="0" w:hanging="256"/>
      </w:pPr>
      <w:r>
        <w:rPr>
          <w:b/>
        </w:rPr>
        <w:t xml:space="preserve">Dokumentacja prac planistycznych </w:t>
      </w:r>
      <w:r>
        <w:t xml:space="preserve">o której mowa w §7 rozporządzenia Ministra Rozwoju  i Technologii z dnia 8 grudnia 2023 r. w sprawie projektu planu ogólnego gminy, dokumentowania prac planistycznych w zakresie tego planu oraz wydawania z niego wypisów  i wyrysów (Dz. U. z 2023 r. poz. 2758).  </w:t>
      </w:r>
    </w:p>
    <w:p w14:paraId="786A0EDE" w14:textId="77777777" w:rsidR="00F07322" w:rsidRDefault="00000000">
      <w:pPr>
        <w:numPr>
          <w:ilvl w:val="0"/>
          <w:numId w:val="4"/>
        </w:numPr>
        <w:spacing w:after="51" w:line="259" w:lineRule="auto"/>
        <w:ind w:right="0" w:hanging="256"/>
      </w:pPr>
      <w:r>
        <w:rPr>
          <w:b/>
        </w:rPr>
        <w:t>Forma pozostałych opracowań</w:t>
      </w:r>
      <w:r>
        <w:t xml:space="preserve">:  </w:t>
      </w:r>
    </w:p>
    <w:p w14:paraId="17C960EC" w14:textId="77777777" w:rsidR="00F07322" w:rsidRDefault="00000000">
      <w:pPr>
        <w:numPr>
          <w:ilvl w:val="0"/>
          <w:numId w:val="5"/>
        </w:numPr>
        <w:spacing w:after="0"/>
        <w:ind w:right="0"/>
      </w:pPr>
      <w:r>
        <w:t xml:space="preserve">opracowania tekstowe (np. wykazy, protokoły, stanowiska) winny być przekazane w wersji tradycyjnej (papierowej), a także na nośniku elektronicznym (płyta CD/DVD oraz dysk wymienny na złącze USB) w formatach: DOC, DOCX, PDF.  </w:t>
      </w:r>
    </w:p>
    <w:p w14:paraId="23980465" w14:textId="77777777" w:rsidR="00F07322" w:rsidRDefault="00000000">
      <w:pPr>
        <w:numPr>
          <w:ilvl w:val="0"/>
          <w:numId w:val="5"/>
        </w:numPr>
        <w:ind w:right="0"/>
      </w:pPr>
      <w:r>
        <w:t xml:space="preserve">opracowania analityczne (np. zawierające dane liczbowe, wykresy) winny być przekazane w wersji tradycyjnej (papierowej), a także na nośniku elektronicznym (płyta CD/DVD oraz dysk wymienny na złącze USB) w formatach: XLS, XLSX.  </w:t>
      </w:r>
    </w:p>
    <w:p w14:paraId="19ED552F" w14:textId="77777777" w:rsidR="00F07322" w:rsidRDefault="00000000">
      <w:pPr>
        <w:numPr>
          <w:ilvl w:val="0"/>
          <w:numId w:val="5"/>
        </w:numPr>
        <w:ind w:right="0"/>
      </w:pPr>
      <w:r>
        <w:t xml:space="preserve">ewentualna dokumentacja fotograficzna winna być przekazana w formie cyfrowej w formacie: JPG lub podobnym.  </w:t>
      </w:r>
    </w:p>
    <w:p w14:paraId="40E9B248" w14:textId="77777777" w:rsidR="00F07322" w:rsidRDefault="00000000">
      <w:pPr>
        <w:ind w:left="-5" w:right="0"/>
      </w:pPr>
      <w:r>
        <w:t xml:space="preserve">6) Ponadto w ramach przedmiotu zamówienia Wykonawca zobowiązany jest do bieżącego przygotowywania i przekazywania dokumentów (do momentu uzyskania ostatecznej ich wersji) na poszczególnych etapach procedury planistycznej, zgodnie z wytycznymi zawartymi w pkt 4.1.6., z zastrzeżeniem:  </w:t>
      </w:r>
    </w:p>
    <w:p w14:paraId="60695590" w14:textId="77777777" w:rsidR="00F07322" w:rsidRDefault="00000000">
      <w:pPr>
        <w:numPr>
          <w:ilvl w:val="0"/>
          <w:numId w:val="6"/>
        </w:numPr>
        <w:ind w:right="0" w:hanging="256"/>
      </w:pPr>
      <w:r>
        <w:t xml:space="preserve">braku obowiązku przekazywania danych przestrzennych oraz metadanych;  </w:t>
      </w:r>
    </w:p>
    <w:p w14:paraId="4404543F" w14:textId="77777777" w:rsidR="00F07322" w:rsidRDefault="00000000">
      <w:pPr>
        <w:numPr>
          <w:ilvl w:val="0"/>
          <w:numId w:val="6"/>
        </w:numPr>
        <w:spacing w:after="0"/>
        <w:ind w:right="0" w:hanging="256"/>
      </w:pPr>
      <w:r>
        <w:t xml:space="preserve">obowiązku przekazywania dokumentów w wersji tradycyjnej (papierowej) oraz elektronicznej;  6) Wykonawca zobligowany jest do przygotowania oprócz ww. dokumentów innych dokumentów, których potrzeba wyłoni się w trakcie opracowywania przedmiotu zamówienia w ramach niniejszej umowy. </w:t>
      </w:r>
    </w:p>
    <w:p w14:paraId="7520D40B" w14:textId="77777777" w:rsidR="00F0732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739E10" w14:textId="77777777" w:rsidR="00F07322" w:rsidRDefault="00000000">
      <w:pPr>
        <w:numPr>
          <w:ilvl w:val="0"/>
          <w:numId w:val="7"/>
        </w:numPr>
        <w:ind w:right="0" w:hanging="244"/>
      </w:pPr>
      <w:r>
        <w:t>Plan ogólny należy sporządzić zgodnie z obowiązującymi przepisami, w tym w szczególności z ustawą z dnia 27 marca 2003 roku o planowaniu i zagospodarowaniu przestrzennym (</w:t>
      </w:r>
      <w:proofErr w:type="spellStart"/>
      <w:r>
        <w:t>t.j</w:t>
      </w:r>
      <w:proofErr w:type="spellEnd"/>
      <w:r>
        <w:t>. Dz. U. z 2023 r. poz. 977 ze zm.) oraz aktami wykonawczymi, ustawą z dnia 3 października 2008 r. o udostępnianiu informacji o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 xml:space="preserve">. Dz. U. z 2023 r. poz.1094 ze zm.)- a także z wymogami zawartymi w ustawach i przepisach odrębnych odnoszących się do przedmiotu zamówienia oraz: planowania i zagospodarowania przestrzennego, ochrony środowiska, przyrody, zabytków, prawa wodnego, ochrony gruntów leśnych i rolnych, rewitalizacji itd. oraz ochrony danych osobowych.  </w:t>
      </w:r>
    </w:p>
    <w:p w14:paraId="79838D39" w14:textId="77777777" w:rsidR="00F07322" w:rsidRDefault="00000000">
      <w:pPr>
        <w:numPr>
          <w:ilvl w:val="0"/>
          <w:numId w:val="7"/>
        </w:numPr>
        <w:ind w:right="0" w:hanging="244"/>
      </w:pPr>
      <w:r>
        <w:t xml:space="preserve">Wykonawca otrzyma od Zamawiającego dokumenty planistyczne będące w jego posiadaniu niezbędne do wykonania zadania.  </w:t>
      </w:r>
    </w:p>
    <w:p w14:paraId="46CDB380" w14:textId="07AF6B8D" w:rsidR="00F07322" w:rsidRDefault="00000000">
      <w:pPr>
        <w:numPr>
          <w:ilvl w:val="0"/>
          <w:numId w:val="7"/>
        </w:numPr>
        <w:ind w:right="0" w:hanging="244"/>
      </w:pPr>
      <w:r>
        <w:t xml:space="preserve">Wynikiem zrealizowanego przedmiotu zamówienia będzie uchwalony plan ogólny dla Gminy </w:t>
      </w:r>
      <w:r w:rsidR="000819BE">
        <w:t>Moryń</w:t>
      </w:r>
      <w:r>
        <w:t xml:space="preserve"> zatwierdzony przez Wojewodę wraz z wymaganymi załącznikami oraz niezbędną dokumentacją i opublikowany w dzienniku Urzędowym Województwa </w:t>
      </w:r>
      <w:r w:rsidR="000819BE">
        <w:t>Zachodniopomorskiego</w:t>
      </w:r>
      <w:r>
        <w:t xml:space="preserve">.  </w:t>
      </w:r>
    </w:p>
    <w:p w14:paraId="5C6C0FA3" w14:textId="77777777" w:rsidR="00F0732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A0CDC3" w14:textId="77777777" w:rsidR="00F07322" w:rsidRDefault="00000000">
      <w:pPr>
        <w:numPr>
          <w:ilvl w:val="0"/>
          <w:numId w:val="7"/>
        </w:numPr>
        <w:spacing w:after="0" w:line="259" w:lineRule="auto"/>
        <w:ind w:right="0" w:hanging="244"/>
      </w:pPr>
      <w:r>
        <w:rPr>
          <w:b/>
        </w:rPr>
        <w:t xml:space="preserve">Prawa autorskie i majątkowe. </w:t>
      </w:r>
      <w:r>
        <w:t xml:space="preserve"> </w:t>
      </w:r>
    </w:p>
    <w:p w14:paraId="0C027AC0" w14:textId="77777777" w:rsidR="00F07322" w:rsidRDefault="00000000">
      <w:pPr>
        <w:numPr>
          <w:ilvl w:val="0"/>
          <w:numId w:val="8"/>
        </w:numPr>
        <w:ind w:right="0"/>
      </w:pPr>
      <w:r>
        <w:lastRenderedPageBreak/>
        <w:t xml:space="preserve">Wykonawca w chwili podpisania ostatniego protokołu zdawczo-odbiorczego zrzeka się na rzecz Zamawiającego całości praw autorskich i majątkowych, w rozumieniu ustawy z dnia 4 lutego 1994 r. o prawie autorskim i prawach pokrewnych (Dz. U. z 2022 r. poz. 2509).  </w:t>
      </w:r>
    </w:p>
    <w:p w14:paraId="562BC11C" w14:textId="77777777" w:rsidR="00F07322" w:rsidRDefault="00000000">
      <w:pPr>
        <w:numPr>
          <w:ilvl w:val="0"/>
          <w:numId w:val="8"/>
        </w:numPr>
        <w:ind w:right="0"/>
      </w:pPr>
      <w:r>
        <w:t xml:space="preserve">Wykonawca, w ramach wynagrodzenia określonego w ofercie, zobowiązuje się do przeniesienia na Zamawiającego wyłącznego prawa zezwalania na wykonywanie zależnego prawa autorskiego do utworów powstałych w wykonaniu niniejszej umowy, tj. prawo do korzystania i rozporządzania opracowaniami utworów oraz udzielania zezwoleń na korzystanie i rozporządzanie opracowaniami utworów.  </w:t>
      </w:r>
    </w:p>
    <w:p w14:paraId="679C3333" w14:textId="77777777" w:rsidR="00F07322" w:rsidRDefault="00000000">
      <w:pPr>
        <w:numPr>
          <w:ilvl w:val="0"/>
          <w:numId w:val="8"/>
        </w:numPr>
        <w:ind w:right="0"/>
      </w:pPr>
      <w:r>
        <w:t xml:space="preserve">Wraz z przeniesieniem majątkowych praw autorskich do utworów, w ramach wynagrodzenia określonego w ofercie, Wykonawca zobowiązuje się przenieść na Zamawiającego prawo własności nośnika, na którym zostaną utrwalone poszczególne utwory.  </w:t>
      </w:r>
    </w:p>
    <w:p w14:paraId="6E65182C" w14:textId="77777777" w:rsidR="00F07322" w:rsidRDefault="00000000">
      <w:pPr>
        <w:numPr>
          <w:ilvl w:val="0"/>
          <w:numId w:val="8"/>
        </w:numPr>
        <w:spacing w:after="0"/>
        <w:ind w:right="0"/>
      </w:pPr>
      <w:r>
        <w:t xml:space="preserve">Przejście majątkowych praw autorskich do utworów, prawa zezwalania na wykonywanie zależnego prawa autorskiego do utworów oraz prawa własności nośników, na których zostaną utrwalone poszczególne utwory na Zamawiającego nastąpi w dniu przekazania Zamawiającemu przez Wykonawcę poszczególnych nośników z utworami.  </w:t>
      </w:r>
    </w:p>
    <w:p w14:paraId="375D385C" w14:textId="77777777" w:rsidR="00F07322" w:rsidRDefault="00000000">
      <w:pPr>
        <w:numPr>
          <w:ilvl w:val="0"/>
          <w:numId w:val="8"/>
        </w:numPr>
        <w:ind w:right="0"/>
      </w:pPr>
      <w:r>
        <w:t xml:space="preserve">Przejście majątkowych praw autorskich, o którym mowa w pkt 1, oraz prawa zezwalania na wykonywanie zależnego prawa autorskiego, o którym mowa w pkt. 2, nastąpi bez ograniczeń czasowych i terytorialnych.  </w:t>
      </w:r>
    </w:p>
    <w:p w14:paraId="0E47FC50" w14:textId="77777777" w:rsidR="00F07322" w:rsidRDefault="00000000">
      <w:pPr>
        <w:numPr>
          <w:ilvl w:val="0"/>
          <w:numId w:val="8"/>
        </w:numPr>
        <w:spacing w:after="0"/>
        <w:ind w:right="0"/>
      </w:pPr>
      <w:r>
        <w:t xml:space="preserve">Wykonawca zobowiązuje się wobec Zamawiającego, że nie będzie wykonywał osobistych praw autorskich do utworów oraz upoważnia Zamawiającego do podjęcia w jego imieniu decyzji o terminie i sposobie pierwszego udostępnienia poszczególnych utworów.  </w:t>
      </w:r>
    </w:p>
    <w:p w14:paraId="7AA74933" w14:textId="77777777" w:rsidR="00F07322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EB015F2" w14:textId="77777777" w:rsidR="00F07322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6. Nazwa/y i kod/y: (CPV): </w:t>
      </w:r>
      <w:r>
        <w:t xml:space="preserve"> </w:t>
      </w:r>
    </w:p>
    <w:p w14:paraId="4446DED3" w14:textId="77777777" w:rsidR="00F07322" w:rsidRDefault="00000000">
      <w:pPr>
        <w:ind w:left="-5" w:right="0"/>
      </w:pPr>
      <w:r>
        <w:t>71410000-5 – usługi planowania przestrzennego</w:t>
      </w:r>
      <w:r>
        <w:rPr>
          <w:b/>
        </w:rPr>
        <w:t xml:space="preserve"> </w:t>
      </w:r>
    </w:p>
    <w:sectPr w:rsidR="00F0732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8" w:h="16836"/>
      <w:pgMar w:top="1628" w:right="1132" w:bottom="1146" w:left="1417" w:header="74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811D" w14:textId="77777777" w:rsidR="00320A9A" w:rsidRDefault="00320A9A">
      <w:pPr>
        <w:spacing w:after="0" w:line="240" w:lineRule="auto"/>
      </w:pPr>
      <w:r>
        <w:separator/>
      </w:r>
    </w:p>
  </w:endnote>
  <w:endnote w:type="continuationSeparator" w:id="0">
    <w:p w14:paraId="7A0D9D33" w14:textId="77777777" w:rsidR="00320A9A" w:rsidRDefault="0032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9DD6" w14:textId="77777777" w:rsidR="00F07322" w:rsidRDefault="00000000">
    <w:pPr>
      <w:tabs>
        <w:tab w:val="right" w:pos="9359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2810" w14:textId="77777777" w:rsidR="00F07322" w:rsidRDefault="00000000">
    <w:pPr>
      <w:tabs>
        <w:tab w:val="right" w:pos="9359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F02D" w14:textId="77777777" w:rsidR="00F07322" w:rsidRDefault="00000000">
    <w:pPr>
      <w:tabs>
        <w:tab w:val="right" w:pos="9359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6F58" w14:textId="77777777" w:rsidR="00320A9A" w:rsidRDefault="00320A9A">
      <w:pPr>
        <w:spacing w:after="0" w:line="240" w:lineRule="auto"/>
      </w:pPr>
      <w:r>
        <w:separator/>
      </w:r>
    </w:p>
  </w:footnote>
  <w:footnote w:type="continuationSeparator" w:id="0">
    <w:p w14:paraId="4012885E" w14:textId="77777777" w:rsidR="00320A9A" w:rsidRDefault="0032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AFF3" w14:textId="77777777" w:rsidR="00F07322" w:rsidRDefault="00000000">
    <w:pPr>
      <w:spacing w:after="0" w:line="259" w:lineRule="auto"/>
      <w:ind w:left="0" w:right="8" w:firstLine="0"/>
      <w:jc w:val="center"/>
    </w:pPr>
    <w:r>
      <w:rPr>
        <w:b/>
        <w:i/>
        <w:sz w:val="18"/>
      </w:rPr>
      <w:t xml:space="preserve">„Sporządzenie planu ogólnego Gminy Paradyż”  </w:t>
    </w:r>
  </w:p>
  <w:p w14:paraId="547EC0A3" w14:textId="77777777" w:rsidR="00F07322" w:rsidRDefault="00000000">
    <w:pPr>
      <w:spacing w:after="23" w:line="259" w:lineRule="auto"/>
      <w:ind w:left="0" w:right="1" w:firstLine="0"/>
      <w:jc w:val="center"/>
    </w:pPr>
    <w:r>
      <w:rPr>
        <w:b/>
        <w:i/>
        <w:sz w:val="18"/>
      </w:rPr>
      <w:t xml:space="preserve"> – znak sprawy: ZP.271.3.2024 </w:t>
    </w:r>
  </w:p>
  <w:p w14:paraId="1DB1125F" w14:textId="77777777" w:rsidR="00F07322" w:rsidRDefault="00000000">
    <w:pPr>
      <w:spacing w:after="0" w:line="259" w:lineRule="auto"/>
      <w:ind w:left="36" w:right="0" w:firstLine="0"/>
      <w:jc w:val="left"/>
    </w:pPr>
    <w:r>
      <w:rPr>
        <w:rFonts w:ascii="Times New Roman" w:eastAsia="Times New Roman" w:hAnsi="Times New Roman" w:cs="Times New Roman"/>
        <w:b/>
        <w:i/>
        <w:sz w:val="16"/>
      </w:rPr>
      <w:t>____________________________________________________________________________________________________________________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D1A993C" w14:textId="77777777" w:rsidR="00F07322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1B10" w14:textId="77777777" w:rsidR="00F07322" w:rsidRDefault="00000000">
    <w:pPr>
      <w:spacing w:after="0" w:line="259" w:lineRule="auto"/>
      <w:ind w:left="0" w:right="8" w:firstLine="0"/>
      <w:jc w:val="center"/>
    </w:pPr>
    <w:r>
      <w:rPr>
        <w:b/>
        <w:i/>
        <w:sz w:val="18"/>
      </w:rPr>
      <w:t xml:space="preserve">„Sporządzenie planu ogólnego Gminy Paradyż”  </w:t>
    </w:r>
  </w:p>
  <w:p w14:paraId="46F11326" w14:textId="77777777" w:rsidR="00F07322" w:rsidRDefault="00000000">
    <w:pPr>
      <w:spacing w:after="23" w:line="259" w:lineRule="auto"/>
      <w:ind w:left="0" w:right="1" w:firstLine="0"/>
      <w:jc w:val="center"/>
    </w:pPr>
    <w:r>
      <w:rPr>
        <w:b/>
        <w:i/>
        <w:sz w:val="18"/>
      </w:rPr>
      <w:t xml:space="preserve"> – znak sprawy: ZP.271.3.2024 </w:t>
    </w:r>
  </w:p>
  <w:p w14:paraId="29786695" w14:textId="77777777" w:rsidR="00F07322" w:rsidRDefault="00000000">
    <w:pPr>
      <w:spacing w:after="0" w:line="259" w:lineRule="auto"/>
      <w:ind w:left="36" w:right="0" w:firstLine="0"/>
      <w:jc w:val="left"/>
    </w:pPr>
    <w:r>
      <w:rPr>
        <w:rFonts w:ascii="Times New Roman" w:eastAsia="Times New Roman" w:hAnsi="Times New Roman" w:cs="Times New Roman"/>
        <w:b/>
        <w:i/>
        <w:sz w:val="16"/>
      </w:rPr>
      <w:t>____________________________________________________________________________________________________________________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B042A70" w14:textId="77777777" w:rsidR="00F07322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D52"/>
    <w:multiLevelType w:val="hybridMultilevel"/>
    <w:tmpl w:val="F29CEF10"/>
    <w:lvl w:ilvl="0" w:tplc="DF4AC97E">
      <w:start w:val="2"/>
      <w:numFmt w:val="decimal"/>
      <w:lvlText w:val="%1."/>
      <w:lvlJc w:val="left"/>
      <w:pPr>
        <w:ind w:left="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4AA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6E4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E77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6FD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4C9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EB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8C3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08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4252A"/>
    <w:multiLevelType w:val="hybridMultilevel"/>
    <w:tmpl w:val="C9321A98"/>
    <w:lvl w:ilvl="0" w:tplc="AF8C3E3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88C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C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036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A17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E89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6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CB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A19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71D08"/>
    <w:multiLevelType w:val="hybridMultilevel"/>
    <w:tmpl w:val="F336161A"/>
    <w:lvl w:ilvl="0" w:tplc="496873A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EB3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82F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AE7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E6F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4CB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4A9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A443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6D0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6027D"/>
    <w:multiLevelType w:val="hybridMultilevel"/>
    <w:tmpl w:val="45F89808"/>
    <w:lvl w:ilvl="0" w:tplc="063A322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C930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AF31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2CF68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AFCD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60BEA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8E1B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683E8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6065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335E67"/>
    <w:multiLevelType w:val="hybridMultilevel"/>
    <w:tmpl w:val="E36A07D2"/>
    <w:lvl w:ilvl="0" w:tplc="812E4CD4">
      <w:start w:val="3"/>
      <w:numFmt w:val="decimal"/>
      <w:lvlText w:val="%1)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44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683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8B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4D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62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6E56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EB2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124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96953"/>
    <w:multiLevelType w:val="hybridMultilevel"/>
    <w:tmpl w:val="AC5EFECC"/>
    <w:lvl w:ilvl="0" w:tplc="83D613F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22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AB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E40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44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6F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84A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6A6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1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3B6799"/>
    <w:multiLevelType w:val="hybridMultilevel"/>
    <w:tmpl w:val="5D4EF8E8"/>
    <w:lvl w:ilvl="0" w:tplc="7D8A9F1C">
      <w:start w:val="1"/>
      <w:numFmt w:val="lowerLetter"/>
      <w:lvlText w:val="%1)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AC4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6F2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0CF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8C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88B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786F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900D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27A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F1293A"/>
    <w:multiLevelType w:val="hybridMultilevel"/>
    <w:tmpl w:val="BA340090"/>
    <w:lvl w:ilvl="0" w:tplc="FD8ED9F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211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60C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AD2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851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6BF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782A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EF3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FA80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6905">
    <w:abstractNumId w:val="1"/>
  </w:num>
  <w:num w:numId="2" w16cid:durableId="1117680641">
    <w:abstractNumId w:val="3"/>
  </w:num>
  <w:num w:numId="3" w16cid:durableId="797531445">
    <w:abstractNumId w:val="2"/>
  </w:num>
  <w:num w:numId="4" w16cid:durableId="14618408">
    <w:abstractNumId w:val="4"/>
  </w:num>
  <w:num w:numId="5" w16cid:durableId="512647430">
    <w:abstractNumId w:val="5"/>
  </w:num>
  <w:num w:numId="6" w16cid:durableId="704064107">
    <w:abstractNumId w:val="6"/>
  </w:num>
  <w:num w:numId="7" w16cid:durableId="1679691858">
    <w:abstractNumId w:val="0"/>
  </w:num>
  <w:num w:numId="8" w16cid:durableId="1783840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22"/>
    <w:rsid w:val="00054D7E"/>
    <w:rsid w:val="000819BE"/>
    <w:rsid w:val="00320A9A"/>
    <w:rsid w:val="00C13DF0"/>
    <w:rsid w:val="00F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BF51"/>
  <w15:docId w15:val="{8089F335-3A84-4B87-B8EC-D093474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8" w:line="248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08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9B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E.Gutowska;R.Podgańska</dc:creator>
  <cp:keywords/>
  <cp:lastModifiedBy>Sebastian SP. Portkowski</cp:lastModifiedBy>
  <cp:revision>2</cp:revision>
  <dcterms:created xsi:type="dcterms:W3CDTF">2024-08-28T11:48:00Z</dcterms:created>
  <dcterms:modified xsi:type="dcterms:W3CDTF">2024-08-28T11:48:00Z</dcterms:modified>
</cp:coreProperties>
</file>