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90" w:rsidRDefault="00D62E90">
      <w:pPr>
        <w:tabs>
          <w:tab w:val="left" w:pos="10005"/>
        </w:tabs>
        <w:ind w:firstLine="7920"/>
        <w:jc w:val="center"/>
        <w:rPr>
          <w:i/>
          <w:iCs/>
        </w:rPr>
      </w:pPr>
    </w:p>
    <w:tbl>
      <w:tblPr>
        <w:tblW w:w="14142" w:type="dxa"/>
        <w:tblLayout w:type="fixed"/>
        <w:tblLook w:val="0000"/>
      </w:tblPr>
      <w:tblGrid>
        <w:gridCol w:w="7072"/>
        <w:gridCol w:w="7070"/>
      </w:tblGrid>
      <w:tr w:rsidR="00D62E90">
        <w:tc>
          <w:tcPr>
            <w:tcW w:w="7071" w:type="dxa"/>
          </w:tcPr>
          <w:p w:rsidR="00D62E90" w:rsidRDefault="00D62E90">
            <w:pPr>
              <w:widowControl w:val="0"/>
              <w:snapToGrid w:val="0"/>
              <w:rPr>
                <w:sz w:val="20"/>
                <w:szCs w:val="20"/>
              </w:rPr>
            </w:pPr>
          </w:p>
        </w:tc>
        <w:tc>
          <w:tcPr>
            <w:tcW w:w="7070" w:type="dxa"/>
          </w:tcPr>
          <w:p w:rsidR="00D62E90" w:rsidRDefault="00D62E90">
            <w:pPr>
              <w:widowControl w:val="0"/>
              <w:snapToGrid w:val="0"/>
              <w:jc w:val="right"/>
              <w:rPr>
                <w:sz w:val="20"/>
                <w:szCs w:val="20"/>
              </w:rPr>
            </w:pPr>
          </w:p>
        </w:tc>
      </w:tr>
    </w:tbl>
    <w:p w:rsidR="00D62E90" w:rsidRDefault="000C4E38">
      <w:pPr>
        <w:jc w:val="center"/>
        <w:rPr>
          <w:spacing w:val="40"/>
          <w:sz w:val="20"/>
          <w:szCs w:val="20"/>
        </w:rPr>
      </w:pPr>
      <w:r>
        <w:rPr>
          <w:spacing w:val="40"/>
          <w:sz w:val="20"/>
          <w:szCs w:val="20"/>
        </w:rPr>
        <w:t>ARKUSZ ASORTYMENTOWO-CENOWY</w:t>
      </w:r>
    </w:p>
    <w:tbl>
      <w:tblPr>
        <w:tblW w:w="14142" w:type="dxa"/>
        <w:tblLayout w:type="fixed"/>
        <w:tblLook w:val="0000"/>
      </w:tblPr>
      <w:tblGrid>
        <w:gridCol w:w="7072"/>
        <w:gridCol w:w="7070"/>
      </w:tblGrid>
      <w:tr w:rsidR="00D62E90">
        <w:tc>
          <w:tcPr>
            <w:tcW w:w="7071" w:type="dxa"/>
          </w:tcPr>
          <w:p w:rsidR="00D62E90" w:rsidRDefault="000C4E38">
            <w:pPr>
              <w:widowControl w:val="0"/>
              <w:snapToGrid w:val="0"/>
              <w:rPr>
                <w:sz w:val="20"/>
                <w:szCs w:val="20"/>
              </w:rPr>
            </w:pPr>
            <w:r>
              <w:rPr>
                <w:sz w:val="20"/>
                <w:szCs w:val="20"/>
              </w:rPr>
              <w:t>CPV  33141613-0</w:t>
            </w:r>
          </w:p>
        </w:tc>
        <w:tc>
          <w:tcPr>
            <w:tcW w:w="7070" w:type="dxa"/>
          </w:tcPr>
          <w:p w:rsidR="00D62E90" w:rsidRDefault="00D62E90">
            <w:pPr>
              <w:widowControl w:val="0"/>
              <w:snapToGrid w:val="0"/>
              <w:jc w:val="right"/>
              <w:rPr>
                <w:sz w:val="20"/>
                <w:szCs w:val="20"/>
              </w:rPr>
            </w:pPr>
          </w:p>
        </w:tc>
      </w:tr>
    </w:tbl>
    <w:p w:rsidR="00D62E90" w:rsidRDefault="00D62E90">
      <w:pPr>
        <w:rPr>
          <w:sz w:val="20"/>
          <w:szCs w:val="20"/>
        </w:rPr>
      </w:pPr>
    </w:p>
    <w:tbl>
      <w:tblPr>
        <w:tblW w:w="15977" w:type="dxa"/>
        <w:jc w:val="center"/>
        <w:tblLayout w:type="fixed"/>
        <w:tblLook w:val="0000"/>
      </w:tblPr>
      <w:tblGrid>
        <w:gridCol w:w="3817"/>
        <w:gridCol w:w="1241"/>
        <w:gridCol w:w="1360"/>
        <w:gridCol w:w="1200"/>
        <w:gridCol w:w="1329"/>
        <w:gridCol w:w="1401"/>
        <w:gridCol w:w="933"/>
        <w:gridCol w:w="1146"/>
        <w:gridCol w:w="1463"/>
        <w:gridCol w:w="863"/>
        <w:gridCol w:w="1224"/>
      </w:tblGrid>
      <w:tr w:rsidR="00D62E90">
        <w:trPr>
          <w:jc w:val="center"/>
        </w:trPr>
        <w:tc>
          <w:tcPr>
            <w:tcW w:w="3816" w:type="dxa"/>
            <w:tcBorders>
              <w:top w:val="double" w:sz="2" w:space="0" w:color="000000"/>
              <w:left w:val="double" w:sz="2" w:space="0" w:color="000000"/>
              <w:bottom w:val="single" w:sz="4" w:space="0" w:color="000000"/>
            </w:tcBorders>
            <w:vAlign w:val="center"/>
          </w:tcPr>
          <w:p w:rsidR="00D62E90" w:rsidRDefault="000C4E38">
            <w:pPr>
              <w:widowControl w:val="0"/>
              <w:snapToGrid w:val="0"/>
              <w:jc w:val="center"/>
              <w:rPr>
                <w:sz w:val="20"/>
                <w:szCs w:val="20"/>
              </w:rPr>
            </w:pPr>
            <w:r>
              <w:rPr>
                <w:sz w:val="20"/>
                <w:szCs w:val="20"/>
              </w:rPr>
              <w:t>Nazwa</w:t>
            </w:r>
          </w:p>
        </w:tc>
        <w:tc>
          <w:tcPr>
            <w:tcW w:w="1240"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Nazwa handlowa</w:t>
            </w:r>
          </w:p>
        </w:tc>
        <w:tc>
          <w:tcPr>
            <w:tcW w:w="1360"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Wielkość opakowania zbiorczego</w:t>
            </w:r>
          </w:p>
        </w:tc>
        <w:tc>
          <w:tcPr>
            <w:tcW w:w="1200"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Producent</w:t>
            </w:r>
          </w:p>
        </w:tc>
        <w:tc>
          <w:tcPr>
            <w:tcW w:w="1329"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Kraj pochodzenia</w:t>
            </w:r>
          </w:p>
        </w:tc>
        <w:tc>
          <w:tcPr>
            <w:tcW w:w="1401"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JM</w:t>
            </w:r>
          </w:p>
        </w:tc>
        <w:tc>
          <w:tcPr>
            <w:tcW w:w="933"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Ilość</w:t>
            </w:r>
          </w:p>
        </w:tc>
        <w:tc>
          <w:tcPr>
            <w:tcW w:w="1146"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Cena jedn. netto (</w:t>
            </w:r>
            <w:proofErr w:type="spellStart"/>
            <w:r>
              <w:rPr>
                <w:sz w:val="20"/>
                <w:szCs w:val="20"/>
              </w:rPr>
              <w:t>pln</w:t>
            </w:r>
            <w:proofErr w:type="spellEnd"/>
            <w:r>
              <w:rPr>
                <w:sz w:val="20"/>
                <w:szCs w:val="20"/>
              </w:rPr>
              <w:t>)</w:t>
            </w:r>
          </w:p>
        </w:tc>
        <w:tc>
          <w:tcPr>
            <w:tcW w:w="1463"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Wartość netto (</w:t>
            </w:r>
            <w:proofErr w:type="spellStart"/>
            <w:r>
              <w:rPr>
                <w:sz w:val="20"/>
                <w:szCs w:val="20"/>
              </w:rPr>
              <w:t>pln</w:t>
            </w:r>
            <w:proofErr w:type="spellEnd"/>
            <w:r>
              <w:rPr>
                <w:sz w:val="20"/>
                <w:szCs w:val="20"/>
              </w:rPr>
              <w:t>)</w:t>
            </w:r>
          </w:p>
        </w:tc>
        <w:tc>
          <w:tcPr>
            <w:tcW w:w="863"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Stawka VAT</w:t>
            </w:r>
          </w:p>
        </w:tc>
        <w:tc>
          <w:tcPr>
            <w:tcW w:w="1224" w:type="dxa"/>
            <w:tcBorders>
              <w:top w:val="double" w:sz="2" w:space="0" w:color="000000"/>
              <w:left w:val="single" w:sz="4" w:space="0" w:color="000000"/>
              <w:bottom w:val="single" w:sz="4" w:space="0" w:color="000000"/>
              <w:right w:val="double" w:sz="2" w:space="0" w:color="000000"/>
            </w:tcBorders>
            <w:vAlign w:val="center"/>
          </w:tcPr>
          <w:p w:rsidR="00D62E90" w:rsidRDefault="000C4E38">
            <w:pPr>
              <w:widowControl w:val="0"/>
              <w:snapToGrid w:val="0"/>
              <w:jc w:val="center"/>
              <w:rPr>
                <w:sz w:val="20"/>
                <w:szCs w:val="20"/>
              </w:rPr>
            </w:pPr>
            <w:r>
              <w:rPr>
                <w:sz w:val="20"/>
                <w:szCs w:val="20"/>
              </w:rPr>
              <w:t>Wartość brutto (</w:t>
            </w:r>
            <w:proofErr w:type="spellStart"/>
            <w:r>
              <w:rPr>
                <w:sz w:val="20"/>
                <w:szCs w:val="20"/>
              </w:rPr>
              <w:t>pln</w:t>
            </w:r>
            <w:proofErr w:type="spellEnd"/>
            <w:r>
              <w:rPr>
                <w:sz w:val="20"/>
                <w:szCs w:val="20"/>
              </w:rPr>
              <w:t>)</w:t>
            </w:r>
          </w:p>
        </w:tc>
      </w:tr>
      <w:tr w:rsidR="00D62E90">
        <w:trPr>
          <w:trHeight w:val="1065"/>
          <w:jc w:val="center"/>
        </w:trPr>
        <w:tc>
          <w:tcPr>
            <w:tcW w:w="3816" w:type="dxa"/>
            <w:tcBorders>
              <w:top w:val="single" w:sz="4" w:space="0" w:color="000000"/>
              <w:left w:val="double" w:sz="2" w:space="0" w:color="000000"/>
            </w:tcBorders>
            <w:vAlign w:val="center"/>
          </w:tcPr>
          <w:p w:rsidR="00D62E90" w:rsidRDefault="000C4E38">
            <w:pPr>
              <w:widowControl w:val="0"/>
              <w:snapToGrid w:val="0"/>
              <w:rPr>
                <w:b/>
                <w:sz w:val="20"/>
                <w:szCs w:val="20"/>
              </w:rPr>
            </w:pPr>
            <w:r>
              <w:rPr>
                <w:b/>
                <w:sz w:val="20"/>
                <w:szCs w:val="20"/>
              </w:rPr>
              <w:t>Pojemniki potrójne góra-dół do pobierania krwi</w:t>
            </w:r>
          </w:p>
        </w:tc>
        <w:tc>
          <w:tcPr>
            <w:tcW w:w="1240"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360"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200"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329"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401"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sztuka</w:t>
            </w:r>
          </w:p>
        </w:tc>
        <w:tc>
          <w:tcPr>
            <w:tcW w:w="933" w:type="dxa"/>
            <w:tcBorders>
              <w:top w:val="single" w:sz="4" w:space="0" w:color="000000"/>
              <w:left w:val="single" w:sz="4" w:space="0" w:color="000000"/>
              <w:bottom w:val="single" w:sz="4" w:space="0" w:color="000000"/>
            </w:tcBorders>
            <w:vAlign w:val="center"/>
          </w:tcPr>
          <w:p w:rsidR="00D62E90" w:rsidRDefault="00B74974">
            <w:pPr>
              <w:widowControl w:val="0"/>
              <w:snapToGrid w:val="0"/>
              <w:jc w:val="center"/>
              <w:rPr>
                <w:bCs/>
                <w:sz w:val="20"/>
                <w:szCs w:val="20"/>
              </w:rPr>
            </w:pPr>
            <w:r>
              <w:rPr>
                <w:bCs/>
                <w:sz w:val="20"/>
                <w:szCs w:val="20"/>
              </w:rPr>
              <w:t>3 900</w:t>
            </w:r>
          </w:p>
        </w:tc>
        <w:tc>
          <w:tcPr>
            <w:tcW w:w="1146"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463" w:type="dxa"/>
            <w:tcBorders>
              <w:top w:val="single" w:sz="4" w:space="0" w:color="000000"/>
              <w:left w:val="single" w:sz="4" w:space="0" w:color="000000"/>
              <w:bottom w:val="single" w:sz="4" w:space="0" w:color="000000"/>
            </w:tcBorders>
            <w:vAlign w:val="center"/>
          </w:tcPr>
          <w:p w:rsidR="00D62E90" w:rsidRDefault="00D62E90">
            <w:pPr>
              <w:widowControl w:val="0"/>
              <w:snapToGrid w:val="0"/>
              <w:jc w:val="right"/>
              <w:rPr>
                <w:sz w:val="20"/>
                <w:szCs w:val="20"/>
              </w:rPr>
            </w:pPr>
          </w:p>
        </w:tc>
        <w:tc>
          <w:tcPr>
            <w:tcW w:w="863"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224" w:type="dxa"/>
            <w:tcBorders>
              <w:top w:val="single" w:sz="4" w:space="0" w:color="000000"/>
              <w:left w:val="single" w:sz="4" w:space="0" w:color="000000"/>
              <w:bottom w:val="single" w:sz="4" w:space="0" w:color="000000"/>
              <w:right w:val="double" w:sz="2" w:space="0" w:color="000000"/>
            </w:tcBorders>
            <w:vAlign w:val="center"/>
          </w:tcPr>
          <w:p w:rsidR="00D62E90" w:rsidRDefault="00D62E90">
            <w:pPr>
              <w:widowControl w:val="0"/>
              <w:snapToGrid w:val="0"/>
              <w:jc w:val="right"/>
              <w:rPr>
                <w:sz w:val="20"/>
                <w:szCs w:val="20"/>
              </w:rPr>
            </w:pPr>
          </w:p>
        </w:tc>
      </w:tr>
      <w:tr w:rsidR="00D62E90">
        <w:trPr>
          <w:trHeight w:val="3424"/>
          <w:jc w:val="center"/>
        </w:trPr>
        <w:tc>
          <w:tcPr>
            <w:tcW w:w="15975" w:type="dxa"/>
            <w:gridSpan w:val="11"/>
            <w:tcBorders>
              <w:left w:val="double" w:sz="2" w:space="0" w:color="000000"/>
              <w:right w:val="double" w:sz="2" w:space="0" w:color="000000"/>
            </w:tcBorders>
            <w:vAlign w:val="center"/>
          </w:tcPr>
          <w:p w:rsidR="00D62E90" w:rsidRDefault="000C4E38">
            <w:pPr>
              <w:widowControl w:val="0"/>
              <w:snapToGrid w:val="0"/>
              <w:jc w:val="both"/>
              <w:rPr>
                <w:color w:val="000000"/>
                <w:sz w:val="20"/>
                <w:szCs w:val="20"/>
              </w:rPr>
            </w:pPr>
            <w:r>
              <w:rPr>
                <w:color w:val="000000"/>
                <w:sz w:val="20"/>
                <w:szCs w:val="20"/>
              </w:rPr>
              <w:t>Opis przedmiotu zamówienia</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Pojemniki do pobierania krwi, do otrzymywania koncentratu krwinek czerwonych bez kożuszka </w:t>
            </w:r>
            <w:proofErr w:type="spellStart"/>
            <w:r>
              <w:rPr>
                <w:color w:val="000000"/>
                <w:sz w:val="20"/>
                <w:szCs w:val="20"/>
              </w:rPr>
              <w:t>leukocytarno-płytkowego</w:t>
            </w:r>
            <w:proofErr w:type="spellEnd"/>
            <w:r>
              <w:rPr>
                <w:color w:val="000000"/>
                <w:sz w:val="20"/>
                <w:szCs w:val="20"/>
              </w:rPr>
              <w:t xml:space="preserve"> w roztworze wzbogacającym, osocza świeżo mrożonego (możliwe do otrzymywania koncentratu krwinek płytkowych z kożuszka), zestaw zamknięty, sterylny, </w:t>
            </w:r>
            <w:proofErr w:type="spellStart"/>
            <w:r>
              <w:rPr>
                <w:color w:val="000000"/>
                <w:sz w:val="20"/>
                <w:szCs w:val="20"/>
              </w:rPr>
              <w:t>apirogenny</w:t>
            </w:r>
            <w:proofErr w:type="spellEnd"/>
            <w:r>
              <w:rPr>
                <w:color w:val="000000"/>
                <w:sz w:val="20"/>
                <w:szCs w:val="20"/>
              </w:rPr>
              <w:t>, zapewniający kontrolowany, zamknięty system przepływu między pojemnikami. Zestaw musi posiadać oznakowanie CE. Zamawiający dopuszcza pojemniki, w których po zakończeniu procesu produkcji znajdują się pojedyncze krople płynu będącego pozostałością po sterylizacji.</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Pusty pojemnik górny o pojemności </w:t>
            </w:r>
            <w:proofErr w:type="spellStart"/>
            <w:r>
              <w:rPr>
                <w:color w:val="000000"/>
                <w:sz w:val="20"/>
                <w:szCs w:val="20"/>
              </w:rPr>
              <w:t>max</w:t>
            </w:r>
            <w:proofErr w:type="spellEnd"/>
            <w:r>
              <w:rPr>
                <w:color w:val="000000"/>
                <w:sz w:val="20"/>
                <w:szCs w:val="20"/>
              </w:rPr>
              <w:t>. 600ml, min. 500 ml, pojemnik środkowy z 63ml CPD do pobierania 450ml krwi oraz pojemnik dolny zawierający 105 ml+/- 5 ml płynu SAGM lub ADSOL o pojemności max 600 ml, min. 500 ml.</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Pojemniki muszą być odporne na wirowanie z przyspieszeniem minimum 5000xg (w czasie 10 minut) przy objętości pobranej krwi 450 ml +/- 10%.</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Pojemnik transferowy do przechowywania osocza powinien zapewniać możliwość zamrażania szokowego w temperaturze minimum -60 st. C i bezpiecznego przechowywania osocza w temperaturze -25 st. C do -90 st. C przez 36 miesięcy z zachowaniem elastyczności i sterylności pojemnika.</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Tworzywo z którego wykonane są pojemniki i dreny musi być przejrzyste, umożliwiające wizualną ocenę płynu oraz składnika krwi znajdującego się pojemnikach i drenach.</w:t>
            </w:r>
          </w:p>
          <w:p w:rsidR="00D62E90" w:rsidRDefault="000C4E38">
            <w:pPr>
              <w:widowControl w:val="0"/>
              <w:numPr>
                <w:ilvl w:val="0"/>
                <w:numId w:val="1"/>
              </w:numPr>
              <w:tabs>
                <w:tab w:val="left" w:pos="10345"/>
              </w:tabs>
              <w:ind w:left="340" w:hanging="340"/>
              <w:jc w:val="both"/>
              <w:rPr>
                <w:sz w:val="20"/>
                <w:szCs w:val="20"/>
              </w:rPr>
            </w:pPr>
            <w:r>
              <w:rPr>
                <w:sz w:val="20"/>
                <w:szCs w:val="20"/>
              </w:rPr>
              <w:t xml:space="preserve">Wszystkie pojemniki wykonane z tworzywa umożliwiającego przechowywanie zarówno </w:t>
            </w:r>
            <w:proofErr w:type="spellStart"/>
            <w:r>
              <w:rPr>
                <w:sz w:val="20"/>
                <w:szCs w:val="20"/>
              </w:rPr>
              <w:t>KKCz</w:t>
            </w:r>
            <w:proofErr w:type="spellEnd"/>
            <w:r>
              <w:rPr>
                <w:sz w:val="20"/>
                <w:szCs w:val="20"/>
              </w:rPr>
              <w:t>, osocza jak i płytek krwi.</w:t>
            </w:r>
          </w:p>
          <w:p w:rsidR="00D62E90" w:rsidRDefault="000C4E38">
            <w:pPr>
              <w:widowControl w:val="0"/>
              <w:numPr>
                <w:ilvl w:val="0"/>
                <w:numId w:val="1"/>
              </w:numPr>
              <w:tabs>
                <w:tab w:val="left" w:pos="10345"/>
              </w:tabs>
              <w:ind w:left="340" w:hanging="340"/>
              <w:jc w:val="both"/>
              <w:rPr>
                <w:sz w:val="20"/>
                <w:szCs w:val="20"/>
              </w:rPr>
            </w:pPr>
            <w:r>
              <w:rPr>
                <w:sz w:val="20"/>
                <w:szCs w:val="20"/>
              </w:rPr>
              <w:t>Umożliwiają pobranie 450 ml krwi pełnej.</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Brak strontów i zmian płynu konserwującego.</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Dren do pobierania krwi zakończony ostrą igłą z dodatkową osłonką zabezpieczającą przed zakłuciem po pobraniu. Konstrukcja igły gwarantuje zapobieganie wycinania skóry, tkanki podskórnej i żyły. Igła musi być zabezpieczona zamkniętą osłonką w taki sposób aby zdjęcie osłonki z ostrza możliwe było dopiero po przerwaniu osłonki z nasadą igły.</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Wszystkie dreny są elastyczne, łatwe w rolowaniu, umożliwiają wykonanie trwałych </w:t>
            </w:r>
            <w:proofErr w:type="spellStart"/>
            <w:r>
              <w:rPr>
                <w:color w:val="000000"/>
                <w:sz w:val="20"/>
                <w:szCs w:val="20"/>
              </w:rPr>
              <w:t>zgrzewów</w:t>
            </w:r>
            <w:proofErr w:type="spellEnd"/>
            <w:r>
              <w:rPr>
                <w:color w:val="000000"/>
                <w:sz w:val="20"/>
                <w:szCs w:val="20"/>
              </w:rPr>
              <w:t xml:space="preserve"> oraz zadziałanie zacisków </w:t>
            </w:r>
            <w:proofErr w:type="spellStart"/>
            <w:r>
              <w:rPr>
                <w:color w:val="000000"/>
                <w:sz w:val="20"/>
                <w:szCs w:val="20"/>
              </w:rPr>
              <w:t>wagomieszarek</w:t>
            </w:r>
            <w:proofErr w:type="spellEnd"/>
            <w:r>
              <w:rPr>
                <w:color w:val="000000"/>
                <w:sz w:val="20"/>
                <w:szCs w:val="20"/>
              </w:rPr>
              <w:t xml:space="preserve">. Dreny powinny także umożliwiać skuteczne wykonywanie </w:t>
            </w:r>
            <w:proofErr w:type="spellStart"/>
            <w:r>
              <w:rPr>
                <w:color w:val="000000"/>
                <w:sz w:val="20"/>
                <w:szCs w:val="20"/>
              </w:rPr>
              <w:t>zgrzewów</w:t>
            </w:r>
            <w:proofErr w:type="spellEnd"/>
            <w:r>
              <w:rPr>
                <w:color w:val="000000"/>
                <w:sz w:val="20"/>
                <w:szCs w:val="20"/>
              </w:rPr>
              <w:t xml:space="preserve"> na różnych typach zgrzewarek. Średnica drenów powinna mieć wymiary zapewniające możliwość ich połączenia w układzie zamkniętym i otwartym.</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Nadruki na drenach wymagane na wszystkich drenach służących do wykonania pilotek.</w:t>
            </w:r>
          </w:p>
          <w:p w:rsidR="00D62E90" w:rsidRDefault="000C4E38">
            <w:pPr>
              <w:widowControl w:val="0"/>
              <w:numPr>
                <w:ilvl w:val="0"/>
                <w:numId w:val="1"/>
              </w:numPr>
              <w:tabs>
                <w:tab w:val="left" w:pos="10345"/>
              </w:tabs>
              <w:ind w:left="340" w:hanging="340"/>
              <w:jc w:val="both"/>
              <w:rPr>
                <w:sz w:val="20"/>
                <w:szCs w:val="20"/>
              </w:rPr>
            </w:pPr>
            <w:r>
              <w:rPr>
                <w:sz w:val="20"/>
                <w:szCs w:val="20"/>
              </w:rPr>
              <w:t>Dren biegnący od dawcy(dren czerpalny)  ma  być podłączony w dolnej części pojemnika z CPD zaopatrzony w  zastawkę uniemożliwiającą przedostanie się płynu CPD powyżej połączenia drenu czerpalnego z drenem biegnącym do pojemnika probówkowego. Dren biegnący od dawcy (dren czerpalny) przed użyciem nie może zawierać płynu.</w:t>
            </w:r>
          </w:p>
          <w:p w:rsidR="00D62E90" w:rsidRDefault="000C4E38">
            <w:pPr>
              <w:widowControl w:val="0"/>
              <w:numPr>
                <w:ilvl w:val="0"/>
                <w:numId w:val="1"/>
              </w:numPr>
              <w:tabs>
                <w:tab w:val="left" w:pos="10345"/>
              </w:tabs>
              <w:ind w:left="340" w:hanging="340"/>
              <w:jc w:val="both"/>
              <w:rPr>
                <w:sz w:val="20"/>
                <w:szCs w:val="20"/>
              </w:rPr>
            </w:pPr>
            <w:r>
              <w:rPr>
                <w:sz w:val="20"/>
                <w:szCs w:val="20"/>
              </w:rPr>
              <w:t>Zestawy pojemników muszą być kompatybilne z posiadanymi prasami automatycznym (</w:t>
            </w:r>
            <w:proofErr w:type="spellStart"/>
            <w:r>
              <w:rPr>
                <w:sz w:val="20"/>
                <w:szCs w:val="20"/>
              </w:rPr>
              <w:t>Compomat</w:t>
            </w:r>
            <w:proofErr w:type="spellEnd"/>
            <w:r>
              <w:rPr>
                <w:sz w:val="20"/>
                <w:szCs w:val="20"/>
              </w:rPr>
              <w:t xml:space="preserve"> G5plus, </w:t>
            </w:r>
            <w:proofErr w:type="spellStart"/>
            <w:r>
              <w:rPr>
                <w:sz w:val="20"/>
                <w:szCs w:val="20"/>
              </w:rPr>
              <w:t>Optipress</w:t>
            </w:r>
            <w:proofErr w:type="spellEnd"/>
            <w:r>
              <w:rPr>
                <w:sz w:val="20"/>
                <w:szCs w:val="20"/>
              </w:rPr>
              <w:t xml:space="preserve"> II, </w:t>
            </w:r>
            <w:proofErr w:type="spellStart"/>
            <w:r>
              <w:rPr>
                <w:sz w:val="20"/>
                <w:szCs w:val="20"/>
              </w:rPr>
              <w:t>Macopress</w:t>
            </w:r>
            <w:proofErr w:type="spellEnd"/>
            <w:r>
              <w:rPr>
                <w:sz w:val="20"/>
                <w:szCs w:val="20"/>
              </w:rPr>
              <w:t xml:space="preserve"> Smart).</w:t>
            </w:r>
          </w:p>
        </w:tc>
      </w:tr>
      <w:tr w:rsidR="00D62E90">
        <w:trPr>
          <w:trHeight w:val="703"/>
          <w:jc w:val="center"/>
        </w:trPr>
        <w:tc>
          <w:tcPr>
            <w:tcW w:w="15975" w:type="dxa"/>
            <w:gridSpan w:val="11"/>
            <w:tcBorders>
              <w:left w:val="double" w:sz="2" w:space="0" w:color="000000"/>
              <w:bottom w:val="double" w:sz="2" w:space="0" w:color="000000"/>
              <w:right w:val="double" w:sz="2" w:space="0" w:color="000000"/>
            </w:tcBorders>
            <w:vAlign w:val="center"/>
          </w:tcPr>
          <w:p w:rsidR="00D62E90" w:rsidRPr="00F22C6F" w:rsidRDefault="00F22C6F">
            <w:pPr>
              <w:widowControl w:val="0"/>
              <w:numPr>
                <w:ilvl w:val="0"/>
                <w:numId w:val="1"/>
              </w:numPr>
              <w:tabs>
                <w:tab w:val="left" w:pos="10345"/>
              </w:tabs>
              <w:snapToGrid w:val="0"/>
              <w:ind w:left="340" w:hanging="340"/>
              <w:jc w:val="both"/>
              <w:rPr>
                <w:color w:val="FF0000"/>
                <w:sz w:val="20"/>
                <w:szCs w:val="20"/>
              </w:rPr>
            </w:pPr>
            <w:r w:rsidRPr="00F22C6F">
              <w:rPr>
                <w:color w:val="FF0000"/>
                <w:sz w:val="20"/>
                <w:szCs w:val="20"/>
                <w:lang w:eastAsia="pl-PL"/>
              </w:rPr>
              <w:t xml:space="preserve">Długość minimalna drenu pomiędzy pojemnikiem macierzystym a pojemnikiem na </w:t>
            </w:r>
            <w:proofErr w:type="spellStart"/>
            <w:r w:rsidRPr="00F22C6F">
              <w:rPr>
                <w:color w:val="FF0000"/>
                <w:sz w:val="20"/>
                <w:szCs w:val="20"/>
                <w:lang w:eastAsia="pl-PL"/>
              </w:rPr>
              <w:t>KKCz</w:t>
            </w:r>
            <w:proofErr w:type="spellEnd"/>
            <w:r w:rsidRPr="00F22C6F">
              <w:rPr>
                <w:color w:val="FF0000"/>
                <w:sz w:val="20"/>
                <w:szCs w:val="20"/>
                <w:lang w:eastAsia="pl-PL"/>
              </w:rPr>
              <w:t xml:space="preserve"> wynosi 45 cm (+/- 5 cm). Pojemnik na </w:t>
            </w:r>
            <w:proofErr w:type="spellStart"/>
            <w:r w:rsidRPr="00F22C6F">
              <w:rPr>
                <w:color w:val="FF0000"/>
                <w:sz w:val="20"/>
                <w:szCs w:val="20"/>
                <w:lang w:eastAsia="pl-PL"/>
              </w:rPr>
              <w:t>KKCz</w:t>
            </w:r>
            <w:proofErr w:type="spellEnd"/>
            <w:r w:rsidRPr="00F22C6F">
              <w:rPr>
                <w:color w:val="FF0000"/>
                <w:sz w:val="20"/>
                <w:szCs w:val="20"/>
                <w:lang w:eastAsia="pl-PL"/>
              </w:rPr>
              <w:t xml:space="preserve"> posiada dodatkowy, oznakowany dren o długości minimum 85 cm służący do wykonania pilotek.</w:t>
            </w:r>
          </w:p>
          <w:p w:rsidR="00D62E90" w:rsidRDefault="000C4E38">
            <w:pPr>
              <w:widowControl w:val="0"/>
              <w:numPr>
                <w:ilvl w:val="0"/>
                <w:numId w:val="1"/>
              </w:numPr>
              <w:tabs>
                <w:tab w:val="left" w:pos="10345"/>
              </w:tabs>
              <w:snapToGrid w:val="0"/>
              <w:ind w:left="340" w:hanging="340"/>
              <w:jc w:val="both"/>
              <w:rPr>
                <w:color w:val="000000"/>
                <w:sz w:val="20"/>
                <w:szCs w:val="20"/>
              </w:rPr>
            </w:pPr>
            <w:r>
              <w:rPr>
                <w:color w:val="000000"/>
                <w:sz w:val="20"/>
                <w:szCs w:val="20"/>
              </w:rPr>
              <w:t xml:space="preserve">Na dolnej krawędzi pojemnika pustego na osocze i pojemnika na </w:t>
            </w:r>
            <w:proofErr w:type="spellStart"/>
            <w:r>
              <w:rPr>
                <w:color w:val="000000"/>
                <w:sz w:val="20"/>
                <w:szCs w:val="20"/>
              </w:rPr>
              <w:t>KKCz</w:t>
            </w:r>
            <w:proofErr w:type="spellEnd"/>
            <w:r>
              <w:rPr>
                <w:color w:val="000000"/>
                <w:sz w:val="20"/>
                <w:szCs w:val="20"/>
              </w:rPr>
              <w:t xml:space="preserve">/RW, centralnie powinno znajdować się podłużne nacięcie pojemnika umożliwiające zawieszenie pojemników na haczykach zestawów transfuzyjnych. Dodatkowo wzdłuż krawędzi bocznych pojemników powinny znajdować się dwa podłużne nacięcia materiału pojemnika w równych odległościach, </w:t>
            </w:r>
            <w:r>
              <w:rPr>
                <w:color w:val="000000"/>
                <w:sz w:val="20"/>
                <w:szCs w:val="20"/>
              </w:rPr>
              <w:lastRenderedPageBreak/>
              <w:t>służące do przewlekania drenów z pilotkami.</w:t>
            </w:r>
          </w:p>
          <w:p w:rsidR="00D62E90" w:rsidRDefault="000C4E38">
            <w:pPr>
              <w:widowControl w:val="0"/>
              <w:numPr>
                <w:ilvl w:val="0"/>
                <w:numId w:val="1"/>
              </w:numPr>
              <w:tabs>
                <w:tab w:val="left" w:pos="10345"/>
              </w:tabs>
              <w:snapToGrid w:val="0"/>
              <w:ind w:left="340" w:hanging="340"/>
              <w:jc w:val="both"/>
              <w:rPr>
                <w:color w:val="000000"/>
                <w:sz w:val="20"/>
                <w:szCs w:val="20"/>
              </w:rPr>
            </w:pPr>
            <w:r>
              <w:rPr>
                <w:color w:val="000000"/>
                <w:sz w:val="20"/>
                <w:szCs w:val="20"/>
              </w:rPr>
              <w:t>Pojem</w:t>
            </w:r>
            <w:r w:rsidR="00833813">
              <w:rPr>
                <w:color w:val="000000"/>
                <w:sz w:val="20"/>
                <w:szCs w:val="20"/>
              </w:rPr>
              <w:t>niki puste na osocze i pojemniki</w:t>
            </w:r>
            <w:r>
              <w:rPr>
                <w:color w:val="000000"/>
                <w:sz w:val="20"/>
                <w:szCs w:val="20"/>
              </w:rPr>
              <w:t xml:space="preserve"> na </w:t>
            </w:r>
            <w:proofErr w:type="spellStart"/>
            <w:r>
              <w:rPr>
                <w:color w:val="000000"/>
                <w:sz w:val="20"/>
                <w:szCs w:val="20"/>
              </w:rPr>
              <w:t>KKCz</w:t>
            </w:r>
            <w:proofErr w:type="spellEnd"/>
            <w:r>
              <w:rPr>
                <w:color w:val="000000"/>
                <w:sz w:val="20"/>
                <w:szCs w:val="20"/>
              </w:rPr>
              <w:t xml:space="preserve"> (z roztworem wzbogacającym) muszą posiadać po dwa porty zabezpieczone membraną od wewnątrz oraz odpowiednią ochronę od zewnątrz zapewniająca jałowość, umożliwiające podłączenie stosowanych w Polsce przyrządów do przetaczania składników krwi.</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Na wszystkich pojemnikach muszą być trwale umocowane etykiety wykonane z tworzywa sztucznego, które nie mogą </w:t>
            </w:r>
            <w:r w:rsidR="00833813">
              <w:rPr>
                <w:color w:val="000000"/>
                <w:sz w:val="20"/>
                <w:szCs w:val="20"/>
              </w:rPr>
              <w:t>ulegać uszkodzeniu ani odklejaniu</w:t>
            </w:r>
            <w:r>
              <w:rPr>
                <w:color w:val="000000"/>
                <w:sz w:val="20"/>
                <w:szCs w:val="20"/>
              </w:rPr>
              <w:t xml:space="preserve"> w czasie preparatyki, przechowywania oraz uniemożliwić ich przypadkowe zerwanie przez użytkownika. Etykieta fabryczna powinna mieć wymiary umożliwiające przyklejenie na niej etykiety głównej, zgodnej z wymaganiami ISBT 128 (międzynarodowy standard oznakowania kwi i jej składników).</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Etykieta fabryczna musi posiadać znak CE oraz kody kreskowe odpowiadające wymogom standardu EAN 128 lub ISBT 128. Kody kreskowe powinny być odczytywane przez skaner (czytniki). Etykiety muszą zawierać; nazwę firmy, rodzaj pojemnika, rodzaj tworzywa z jakiego został wykonany, rodzaj i skład płynu konserwującego oraz RW (zamawiający dopuszcza informacje o składzie płynów na etykiecie w języku angielskim lub łacińskim) nr serii i typ pojemnika w postaci alfanumerycznej kodu kreskowego. Zamawiający dopuszcza etykietę z piktogramami zgodnymi z normami i standardami ISO 3826-2 pod warunkiem dołączenia instrukcji w języku polskim, wyjaśniającej znaczenie piktogramów.</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Każdy zestaw powinien być umieszczony w indywidualnym opakowaniu zewnętrznym zapewniającym szczelność, sterylność, dobrą odporność na uszkodzenia mechaniczne i czynniki atmosferyczne, z oznaczoną datą ważności i nr serii LOT. Zamawiający dopuszcza, aby data ważności i nr LOT znajdowały się na etykiecie pojemnika macierzystego zestawu oraz na opakowaniu zbiorczym (kartonie) przy przezroczystym opakowaniu jednostkowym zestawu pojemników pozwalających na wizualną ocenę jego zawartości bez konieczności jego otwierania. Dopuszcza się dodatkowe pakowanie opakowań indywidualnych po kilka sztuk, jednak takie dodatkowe opakowanie zabezpieczające musi być przezroczyste, umożliwiające wizualną kontrolę pojemników przez rozpakowaniem. Rodzaj sterylizacji dopuszcza użycie pojemnika w ciągu 10 dni od otwarcia opakowania bezpośredniego lub pośredniego.</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Pojemniki zaopatrzone w pojemnik na pierwszą krew do pobrania próbek z portem umożliwiającym pobranie próbek do badań w systemie próżniowym. Dren czerpalny oraz dren biegnący do pojemnika </w:t>
            </w:r>
            <w:r>
              <w:rPr>
                <w:sz w:val="20"/>
                <w:szCs w:val="20"/>
              </w:rPr>
              <w:t>probówkowego</w:t>
            </w:r>
            <w:r>
              <w:rPr>
                <w:color w:val="000000"/>
                <w:sz w:val="20"/>
                <w:szCs w:val="20"/>
              </w:rPr>
              <w:t xml:space="preserve"> wyposażony w zaciski uniemożliwiające ich zdjęcie z drenów.</w:t>
            </w:r>
          </w:p>
          <w:p w:rsidR="00D62E90" w:rsidRDefault="000C4E38">
            <w:pPr>
              <w:widowControl w:val="0"/>
              <w:numPr>
                <w:ilvl w:val="0"/>
                <w:numId w:val="1"/>
              </w:numPr>
              <w:ind w:left="340" w:hanging="340"/>
              <w:jc w:val="both"/>
              <w:rPr>
                <w:color w:val="000000"/>
                <w:sz w:val="20"/>
                <w:szCs w:val="20"/>
              </w:rPr>
            </w:pPr>
            <w:r>
              <w:rPr>
                <w:color w:val="000000"/>
                <w:sz w:val="20"/>
                <w:szCs w:val="20"/>
              </w:rPr>
              <w:t>Króćce udrażniające przepływ między pojemnikami są przezroczyste i dają się łatwo wyłamać, kominki przy</w:t>
            </w:r>
            <w:r w:rsidR="00833813">
              <w:rPr>
                <w:color w:val="000000"/>
                <w:sz w:val="20"/>
                <w:szCs w:val="20"/>
              </w:rPr>
              <w:t xml:space="preserve"> pojemnikach zaopatrzone w łatwo</w:t>
            </w:r>
            <w:r>
              <w:rPr>
                <w:color w:val="000000"/>
                <w:sz w:val="20"/>
                <w:szCs w:val="20"/>
              </w:rPr>
              <w:t xml:space="preserve"> łamliwą membranę podczas preparatyki.</w:t>
            </w:r>
          </w:p>
          <w:p w:rsidR="00D62E90" w:rsidRDefault="000C4E38">
            <w:pPr>
              <w:widowControl w:val="0"/>
              <w:numPr>
                <w:ilvl w:val="0"/>
                <w:numId w:val="1"/>
              </w:numPr>
              <w:ind w:left="340" w:hanging="340"/>
              <w:jc w:val="both"/>
              <w:rPr>
                <w:color w:val="000000"/>
                <w:sz w:val="20"/>
                <w:szCs w:val="20"/>
              </w:rPr>
            </w:pPr>
            <w:r>
              <w:rPr>
                <w:color w:val="000000"/>
                <w:sz w:val="20"/>
                <w:szCs w:val="20"/>
              </w:rPr>
              <w:t xml:space="preserve">Roztwór wzbogacający ADSOL lub SAGM umożliwia przechowywanie otrzymanego </w:t>
            </w:r>
            <w:proofErr w:type="spellStart"/>
            <w:r>
              <w:rPr>
                <w:color w:val="000000"/>
                <w:sz w:val="20"/>
                <w:szCs w:val="20"/>
              </w:rPr>
              <w:t>KKCz</w:t>
            </w:r>
            <w:proofErr w:type="spellEnd"/>
            <w:r>
              <w:rPr>
                <w:color w:val="000000"/>
                <w:sz w:val="20"/>
                <w:szCs w:val="20"/>
              </w:rPr>
              <w:t xml:space="preserve"> w standardowo przyjętym zakresie temperatur od 2 do 6 stopni C przez 42 dni.</w:t>
            </w:r>
          </w:p>
          <w:p w:rsidR="00D62E90" w:rsidRDefault="000C4E38">
            <w:pPr>
              <w:widowControl w:val="0"/>
              <w:numPr>
                <w:ilvl w:val="0"/>
                <w:numId w:val="1"/>
              </w:numPr>
              <w:ind w:left="340" w:hanging="340"/>
              <w:jc w:val="both"/>
              <w:rPr>
                <w:color w:val="000000"/>
                <w:sz w:val="20"/>
                <w:szCs w:val="20"/>
              </w:rPr>
            </w:pPr>
            <w:r>
              <w:rPr>
                <w:color w:val="000000"/>
                <w:sz w:val="20"/>
                <w:szCs w:val="20"/>
              </w:rPr>
              <w:t>Pojemniki są dopuszczone do obrotu na terenie Polski.</w:t>
            </w:r>
          </w:p>
          <w:p w:rsidR="00241DB5" w:rsidRPr="00241DB5" w:rsidRDefault="000C4E38" w:rsidP="00241DB5">
            <w:pPr>
              <w:widowControl w:val="0"/>
              <w:numPr>
                <w:ilvl w:val="0"/>
                <w:numId w:val="1"/>
              </w:numPr>
              <w:ind w:left="340" w:hanging="340"/>
              <w:jc w:val="both"/>
              <w:rPr>
                <w:color w:val="000000"/>
                <w:sz w:val="20"/>
                <w:szCs w:val="20"/>
              </w:rPr>
            </w:pPr>
            <w:r>
              <w:rPr>
                <w:color w:val="000000"/>
                <w:sz w:val="20"/>
                <w:szCs w:val="20"/>
              </w:rPr>
              <w:t>Wykonawca  do każdej dostawy dołączy certyfikat kontroli jakości dla każdej serii.</w:t>
            </w:r>
          </w:p>
          <w:p w:rsidR="00241DB5" w:rsidRDefault="00241DB5">
            <w:pPr>
              <w:widowControl w:val="0"/>
              <w:numPr>
                <w:ilvl w:val="0"/>
                <w:numId w:val="1"/>
              </w:numPr>
              <w:ind w:left="340" w:hanging="340"/>
              <w:jc w:val="both"/>
              <w:rPr>
                <w:color w:val="000000"/>
                <w:sz w:val="20"/>
                <w:szCs w:val="20"/>
              </w:rPr>
            </w:pPr>
            <w:r>
              <w:rPr>
                <w:color w:val="000000"/>
                <w:sz w:val="20"/>
                <w:szCs w:val="20"/>
              </w:rPr>
              <w:t xml:space="preserve">Zamawiający wymaga dostarczenia pojemników jednej serii dla jednej dostawy. Pojemniki muszą być ułożone </w:t>
            </w:r>
            <w:r w:rsidR="004F0440">
              <w:rPr>
                <w:color w:val="000000"/>
                <w:sz w:val="20"/>
                <w:szCs w:val="20"/>
              </w:rPr>
              <w:t>numerycznie.</w:t>
            </w:r>
          </w:p>
          <w:p w:rsidR="00D62E90" w:rsidRDefault="000C4E38">
            <w:pPr>
              <w:widowControl w:val="0"/>
              <w:numPr>
                <w:ilvl w:val="0"/>
                <w:numId w:val="1"/>
              </w:numPr>
              <w:ind w:left="340" w:hanging="340"/>
              <w:jc w:val="both"/>
              <w:rPr>
                <w:sz w:val="20"/>
                <w:szCs w:val="20"/>
              </w:rPr>
            </w:pPr>
            <w:r>
              <w:rPr>
                <w:sz w:val="20"/>
                <w:szCs w:val="20"/>
              </w:rPr>
              <w:t xml:space="preserve">Opakowanie transportowe powinno: nie ulegać łatwo zgnieceniom, </w:t>
            </w:r>
            <w:r w:rsidR="00241DB5">
              <w:rPr>
                <w:sz w:val="20"/>
                <w:szCs w:val="20"/>
              </w:rPr>
              <w:t>być łatwe do przechowywania i transportu, nie wyma</w:t>
            </w:r>
            <w:r w:rsidR="00833813">
              <w:rPr>
                <w:sz w:val="20"/>
                <w:szCs w:val="20"/>
              </w:rPr>
              <w:t>gać</w:t>
            </w:r>
            <w:r w:rsidR="00241DB5">
              <w:rPr>
                <w:sz w:val="20"/>
                <w:szCs w:val="20"/>
              </w:rPr>
              <w:t xml:space="preserve"> użycia narzędzi ostrych do jego otwarcia. Powinno zawierać </w:t>
            </w:r>
            <w:r w:rsidR="00833813">
              <w:rPr>
                <w:sz w:val="20"/>
                <w:szCs w:val="20"/>
              </w:rPr>
              <w:t xml:space="preserve">następujące </w:t>
            </w:r>
            <w:r w:rsidR="00241DB5">
              <w:rPr>
                <w:sz w:val="20"/>
                <w:szCs w:val="20"/>
              </w:rPr>
              <w:t>informacj</w:t>
            </w:r>
            <w:r w:rsidR="00833813">
              <w:rPr>
                <w:sz w:val="20"/>
                <w:szCs w:val="20"/>
              </w:rPr>
              <w:t>e</w:t>
            </w:r>
            <w:r>
              <w:rPr>
                <w:sz w:val="20"/>
                <w:szCs w:val="20"/>
              </w:rPr>
              <w:t xml:space="preserve"> w języku polskim: nazwa producenta, nazwa i rodzaj pojemników, ilości sztuk w opakowaniu,</w:t>
            </w:r>
            <w:r w:rsidR="00241DB5">
              <w:rPr>
                <w:sz w:val="20"/>
                <w:szCs w:val="20"/>
              </w:rPr>
              <w:t xml:space="preserve"> nr</w:t>
            </w:r>
            <w:r>
              <w:rPr>
                <w:sz w:val="20"/>
                <w:szCs w:val="20"/>
              </w:rPr>
              <w:t xml:space="preserve"> serii, kod REF, data ważności, warunki przechowywania. Zamawiający dopuszcza informację w postaci piktogramów zgodnych z normą i standardami ISO 3826-2 pod warunkiem dołączenia instrukcji w języku polskim, wyjaśniającym znaczenie piktogramów.</w:t>
            </w:r>
          </w:p>
          <w:p w:rsidR="00D62E90" w:rsidRDefault="000C4E38">
            <w:pPr>
              <w:widowControl w:val="0"/>
              <w:numPr>
                <w:ilvl w:val="0"/>
                <w:numId w:val="1"/>
              </w:numPr>
              <w:ind w:left="340" w:hanging="340"/>
              <w:jc w:val="both"/>
              <w:rPr>
                <w:sz w:val="20"/>
                <w:szCs w:val="20"/>
              </w:rPr>
            </w:pPr>
            <w:r>
              <w:rPr>
                <w:sz w:val="20"/>
                <w:szCs w:val="20"/>
              </w:rPr>
              <w:t>Termin ważności pojemników minimum 12 miesięcy od daty dostawy do Zamawiającego.</w:t>
            </w:r>
          </w:p>
        </w:tc>
      </w:tr>
    </w:tbl>
    <w:p w:rsidR="00D62E90" w:rsidRDefault="00D62E90">
      <w:pPr>
        <w:jc w:val="both"/>
        <w:rPr>
          <w:sz w:val="20"/>
          <w:szCs w:val="20"/>
        </w:rPr>
      </w:pPr>
    </w:p>
    <w:tbl>
      <w:tblPr>
        <w:tblW w:w="15316" w:type="dxa"/>
        <w:jc w:val="center"/>
        <w:tblLayout w:type="fixed"/>
        <w:tblLook w:val="0000"/>
      </w:tblPr>
      <w:tblGrid>
        <w:gridCol w:w="5778"/>
        <w:gridCol w:w="4713"/>
        <w:gridCol w:w="4825"/>
      </w:tblGrid>
      <w:tr w:rsidR="00D62E90">
        <w:trPr>
          <w:jc w:val="center"/>
        </w:trPr>
        <w:tc>
          <w:tcPr>
            <w:tcW w:w="5778"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Informacja ogólna</w:t>
            </w:r>
          </w:p>
        </w:tc>
        <w:tc>
          <w:tcPr>
            <w:tcW w:w="4713"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Parametr wymagany</w:t>
            </w:r>
          </w:p>
        </w:tc>
        <w:tc>
          <w:tcPr>
            <w:tcW w:w="4825" w:type="dxa"/>
            <w:tcBorders>
              <w:top w:val="single" w:sz="4" w:space="0" w:color="000000"/>
              <w:left w:val="single" w:sz="4" w:space="0" w:color="000000"/>
              <w:bottom w:val="single" w:sz="4" w:space="0" w:color="000000"/>
              <w:right w:val="single" w:sz="4" w:space="0" w:color="000000"/>
            </w:tcBorders>
            <w:vAlign w:val="center"/>
          </w:tcPr>
          <w:p w:rsidR="00D62E90" w:rsidRDefault="000C4E38">
            <w:pPr>
              <w:widowControl w:val="0"/>
              <w:snapToGrid w:val="0"/>
              <w:jc w:val="center"/>
              <w:rPr>
                <w:sz w:val="20"/>
                <w:szCs w:val="20"/>
              </w:rPr>
            </w:pPr>
            <w:r>
              <w:rPr>
                <w:sz w:val="20"/>
                <w:szCs w:val="20"/>
              </w:rPr>
              <w:t>Wypełnia Wykonawca</w:t>
            </w:r>
          </w:p>
        </w:tc>
      </w:tr>
      <w:tr w:rsidR="00D62E90">
        <w:trPr>
          <w:jc w:val="center"/>
        </w:trPr>
        <w:tc>
          <w:tcPr>
            <w:tcW w:w="5778"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 xml:space="preserve">Czas dostawy do magazynu Zamawiającego – </w:t>
            </w:r>
          </w:p>
          <w:p w:rsidR="00D62E90" w:rsidRDefault="000C4E38">
            <w:pPr>
              <w:widowControl w:val="0"/>
              <w:snapToGrid w:val="0"/>
              <w:jc w:val="center"/>
              <w:rPr>
                <w:sz w:val="20"/>
                <w:szCs w:val="20"/>
              </w:rPr>
            </w:pPr>
            <w:r>
              <w:rPr>
                <w:sz w:val="20"/>
                <w:szCs w:val="20"/>
              </w:rPr>
              <w:t>maksymalnie w ciągu 14 dni roboczych od otrzymania zamówienia przez wykonawcę</w:t>
            </w:r>
          </w:p>
        </w:tc>
        <w:tc>
          <w:tcPr>
            <w:tcW w:w="4713"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Tak, podać oferowany czas dostawy</w:t>
            </w:r>
          </w:p>
        </w:tc>
        <w:tc>
          <w:tcPr>
            <w:tcW w:w="4825" w:type="dxa"/>
            <w:tcBorders>
              <w:top w:val="single" w:sz="4" w:space="0" w:color="000000"/>
              <w:left w:val="single" w:sz="4" w:space="0" w:color="000000"/>
              <w:bottom w:val="single" w:sz="4" w:space="0" w:color="000000"/>
              <w:right w:val="single" w:sz="4" w:space="0" w:color="000000"/>
            </w:tcBorders>
            <w:vAlign w:val="center"/>
          </w:tcPr>
          <w:p w:rsidR="00D62E90" w:rsidRDefault="003E4B78">
            <w:pPr>
              <w:widowControl w:val="0"/>
              <w:snapToGrid w:val="0"/>
              <w:jc w:val="center"/>
              <w:rPr>
                <w:sz w:val="20"/>
                <w:szCs w:val="20"/>
              </w:rPr>
            </w:pPr>
            <w:r>
              <w:rPr>
                <w:sz w:val="20"/>
                <w:szCs w:val="20"/>
              </w:rPr>
              <w:t>……….dni</w:t>
            </w:r>
          </w:p>
        </w:tc>
      </w:tr>
      <w:tr w:rsidR="00D62E90">
        <w:trPr>
          <w:trHeight w:val="663"/>
          <w:jc w:val="center"/>
        </w:trPr>
        <w:tc>
          <w:tcPr>
            <w:tcW w:w="5778"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Termin ważności produktu – nie krótszy niż 12 miesięcy od dnia dostawy</w:t>
            </w:r>
          </w:p>
        </w:tc>
        <w:tc>
          <w:tcPr>
            <w:tcW w:w="4713"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Tak, podać termin ważności produktu</w:t>
            </w:r>
          </w:p>
        </w:tc>
        <w:tc>
          <w:tcPr>
            <w:tcW w:w="4825" w:type="dxa"/>
            <w:tcBorders>
              <w:top w:val="single" w:sz="4" w:space="0" w:color="000000"/>
              <w:left w:val="single" w:sz="4" w:space="0" w:color="000000"/>
              <w:bottom w:val="single" w:sz="4" w:space="0" w:color="000000"/>
              <w:right w:val="single" w:sz="4" w:space="0" w:color="000000"/>
            </w:tcBorders>
            <w:vAlign w:val="center"/>
          </w:tcPr>
          <w:p w:rsidR="00D62E90" w:rsidRDefault="003E4B78">
            <w:pPr>
              <w:widowControl w:val="0"/>
              <w:snapToGrid w:val="0"/>
              <w:jc w:val="center"/>
              <w:rPr>
                <w:sz w:val="20"/>
                <w:szCs w:val="20"/>
              </w:rPr>
            </w:pPr>
            <w:r>
              <w:rPr>
                <w:sz w:val="20"/>
                <w:szCs w:val="20"/>
              </w:rPr>
              <w:t>………miesięcy</w:t>
            </w:r>
          </w:p>
        </w:tc>
      </w:tr>
    </w:tbl>
    <w:p w:rsidR="00241DB5" w:rsidRDefault="00241DB5">
      <w:pPr>
        <w:jc w:val="both"/>
        <w:rPr>
          <w:sz w:val="20"/>
          <w:szCs w:val="20"/>
        </w:rPr>
      </w:pPr>
    </w:p>
    <w:p w:rsidR="00D62E90" w:rsidRDefault="000C4E38">
      <w:pPr>
        <w:jc w:val="both"/>
        <w:rPr>
          <w:sz w:val="20"/>
          <w:szCs w:val="20"/>
        </w:rPr>
      </w:pPr>
      <w:r>
        <w:rPr>
          <w:sz w:val="20"/>
          <w:szCs w:val="20"/>
        </w:rPr>
        <w:t xml:space="preserve">W celu potwierdzenia, że oferowane </w:t>
      </w:r>
      <w:r w:rsidR="00241DB5">
        <w:rPr>
          <w:sz w:val="20"/>
          <w:szCs w:val="20"/>
        </w:rPr>
        <w:t>produkty</w:t>
      </w:r>
      <w:r>
        <w:rPr>
          <w:sz w:val="20"/>
          <w:szCs w:val="20"/>
        </w:rPr>
        <w:t xml:space="preserve"> odpowiadają wymaganiom określonym przez Zamawiającego, Zamawiający </w:t>
      </w:r>
      <w:r w:rsidR="00241DB5">
        <w:rPr>
          <w:sz w:val="20"/>
          <w:szCs w:val="20"/>
        </w:rPr>
        <w:t xml:space="preserve">żąda </w:t>
      </w:r>
      <w:r>
        <w:rPr>
          <w:sz w:val="20"/>
          <w:szCs w:val="20"/>
        </w:rPr>
        <w:t>następujących dokumentów</w:t>
      </w:r>
      <w:r w:rsidR="00833813">
        <w:rPr>
          <w:sz w:val="20"/>
          <w:szCs w:val="20"/>
        </w:rPr>
        <w:t xml:space="preserve"> oraz próbek</w:t>
      </w:r>
      <w:r>
        <w:rPr>
          <w:sz w:val="20"/>
          <w:szCs w:val="20"/>
        </w:rPr>
        <w:t>:</w:t>
      </w:r>
    </w:p>
    <w:p w:rsidR="00D62E90" w:rsidRDefault="000C4E38">
      <w:pPr>
        <w:numPr>
          <w:ilvl w:val="0"/>
          <w:numId w:val="2"/>
        </w:numPr>
        <w:tabs>
          <w:tab w:val="left" w:pos="720"/>
        </w:tabs>
        <w:ind w:left="720"/>
        <w:jc w:val="both"/>
        <w:rPr>
          <w:sz w:val="20"/>
          <w:szCs w:val="20"/>
        </w:rPr>
      </w:pPr>
      <w:r>
        <w:rPr>
          <w:sz w:val="20"/>
          <w:szCs w:val="20"/>
        </w:rPr>
        <w:t xml:space="preserve">instrukcja w języku polskim, </w:t>
      </w:r>
    </w:p>
    <w:p w:rsidR="00D62E90" w:rsidRDefault="000C4E38">
      <w:pPr>
        <w:numPr>
          <w:ilvl w:val="0"/>
          <w:numId w:val="2"/>
        </w:numPr>
        <w:tabs>
          <w:tab w:val="left" w:pos="720"/>
        </w:tabs>
        <w:ind w:left="720"/>
        <w:jc w:val="both"/>
        <w:rPr>
          <w:sz w:val="20"/>
          <w:szCs w:val="20"/>
        </w:rPr>
      </w:pPr>
      <w:r>
        <w:rPr>
          <w:sz w:val="20"/>
          <w:szCs w:val="20"/>
        </w:rPr>
        <w:t xml:space="preserve">deklaracja zgodności, </w:t>
      </w:r>
    </w:p>
    <w:p w:rsidR="00D62E90" w:rsidRDefault="000C4E38">
      <w:pPr>
        <w:numPr>
          <w:ilvl w:val="0"/>
          <w:numId w:val="2"/>
        </w:numPr>
        <w:tabs>
          <w:tab w:val="left" w:pos="720"/>
        </w:tabs>
        <w:ind w:left="720"/>
        <w:jc w:val="both"/>
        <w:rPr>
          <w:sz w:val="20"/>
          <w:szCs w:val="20"/>
        </w:rPr>
      </w:pPr>
      <w:r>
        <w:rPr>
          <w:sz w:val="20"/>
          <w:szCs w:val="20"/>
        </w:rPr>
        <w:lastRenderedPageBreak/>
        <w:t xml:space="preserve">dokument CE, </w:t>
      </w:r>
    </w:p>
    <w:p w:rsidR="00D62E90" w:rsidRPr="000040CE" w:rsidRDefault="000C4E38" w:rsidP="000040CE">
      <w:pPr>
        <w:numPr>
          <w:ilvl w:val="0"/>
          <w:numId w:val="2"/>
        </w:numPr>
        <w:tabs>
          <w:tab w:val="left" w:pos="720"/>
        </w:tabs>
        <w:ind w:left="720"/>
        <w:jc w:val="both"/>
        <w:rPr>
          <w:sz w:val="20"/>
          <w:szCs w:val="20"/>
        </w:rPr>
      </w:pPr>
      <w:r>
        <w:rPr>
          <w:sz w:val="20"/>
          <w:szCs w:val="20"/>
        </w:rPr>
        <w:t xml:space="preserve">zgłoszenie do bazy danych Prezesa </w:t>
      </w:r>
      <w:proofErr w:type="spellStart"/>
      <w:r>
        <w:rPr>
          <w:sz w:val="20"/>
          <w:szCs w:val="20"/>
        </w:rPr>
        <w:t>URPLWMiPB</w:t>
      </w:r>
      <w:proofErr w:type="spellEnd"/>
      <w:r>
        <w:rPr>
          <w:sz w:val="20"/>
          <w:szCs w:val="20"/>
        </w:rPr>
        <w:t xml:space="preserve"> na podstawie ustawy z dnia</w:t>
      </w:r>
      <w:r w:rsidR="000040CE">
        <w:rPr>
          <w:sz w:val="20"/>
          <w:szCs w:val="20"/>
        </w:rPr>
        <w:t xml:space="preserve"> 7 kwietnia 2022</w:t>
      </w:r>
      <w:r>
        <w:rPr>
          <w:sz w:val="20"/>
          <w:szCs w:val="20"/>
        </w:rPr>
        <w:t xml:space="preserve"> r. o wyrobach medycznych lub powiadomienie Prezesa </w:t>
      </w:r>
      <w:proofErr w:type="spellStart"/>
      <w:r>
        <w:rPr>
          <w:sz w:val="20"/>
          <w:szCs w:val="20"/>
        </w:rPr>
        <w:t>URPLWMiPB</w:t>
      </w:r>
      <w:proofErr w:type="spellEnd"/>
      <w:r>
        <w:rPr>
          <w:sz w:val="20"/>
          <w:szCs w:val="20"/>
        </w:rPr>
        <w:t xml:space="preserve"> </w:t>
      </w:r>
      <w:r w:rsidRPr="000040CE">
        <w:rPr>
          <w:sz w:val="20"/>
          <w:szCs w:val="20"/>
        </w:rPr>
        <w:t xml:space="preserve">o wprowadzeniu wyrobu na terytorium RP na podstawie ustawy z dnia </w:t>
      </w:r>
      <w:r w:rsidR="000040CE">
        <w:rPr>
          <w:sz w:val="20"/>
          <w:szCs w:val="20"/>
        </w:rPr>
        <w:t xml:space="preserve">7  kwietnia 2022 </w:t>
      </w:r>
      <w:r w:rsidRPr="000040CE">
        <w:rPr>
          <w:sz w:val="20"/>
          <w:szCs w:val="20"/>
        </w:rPr>
        <w:t>r. o wyrobach medycznych.</w:t>
      </w:r>
    </w:p>
    <w:p w:rsidR="00D62E90" w:rsidRDefault="000C4E38">
      <w:pPr>
        <w:numPr>
          <w:ilvl w:val="0"/>
          <w:numId w:val="2"/>
        </w:numPr>
        <w:tabs>
          <w:tab w:val="left" w:pos="720"/>
        </w:tabs>
        <w:ind w:left="720"/>
        <w:jc w:val="both"/>
        <w:rPr>
          <w:sz w:val="20"/>
          <w:szCs w:val="20"/>
        </w:rPr>
      </w:pPr>
      <w:r>
        <w:rPr>
          <w:sz w:val="20"/>
          <w:szCs w:val="20"/>
        </w:rPr>
        <w:t>prób</w:t>
      </w:r>
      <w:r w:rsidR="00833813">
        <w:rPr>
          <w:sz w:val="20"/>
          <w:szCs w:val="20"/>
        </w:rPr>
        <w:t>ki</w:t>
      </w:r>
      <w:r>
        <w:rPr>
          <w:sz w:val="20"/>
          <w:szCs w:val="20"/>
        </w:rPr>
        <w:t xml:space="preserve"> oferowanego produktu – </w:t>
      </w:r>
      <w:r w:rsidR="00B74974">
        <w:rPr>
          <w:sz w:val="20"/>
          <w:szCs w:val="20"/>
        </w:rPr>
        <w:t>2</w:t>
      </w:r>
      <w:r>
        <w:rPr>
          <w:sz w:val="20"/>
          <w:szCs w:val="20"/>
        </w:rPr>
        <w:t xml:space="preserve"> sztuki</w:t>
      </w:r>
      <w:r w:rsidR="00B74974">
        <w:rPr>
          <w:sz w:val="20"/>
          <w:szCs w:val="20"/>
        </w:rPr>
        <w:t xml:space="preserve"> ( min. 1 próbka zostanie oceniona zgodnie z Kartą oceny próbki przedmiotu zamówienia)</w:t>
      </w:r>
      <w:r w:rsidR="00694D99">
        <w:rPr>
          <w:sz w:val="20"/>
          <w:szCs w:val="20"/>
        </w:rPr>
        <w:t xml:space="preserve">. </w:t>
      </w:r>
      <w:r w:rsidR="00833813">
        <w:rPr>
          <w:sz w:val="20"/>
          <w:szCs w:val="20"/>
        </w:rPr>
        <w:t xml:space="preserve"> </w:t>
      </w:r>
      <w:r w:rsidR="00694D99">
        <w:rPr>
          <w:sz w:val="20"/>
          <w:szCs w:val="20"/>
        </w:rPr>
        <w:t>Próbki należy przesłać do WCKiK SPZOZ ul. Koszykowa 78, 00-671 Warszawa,</w:t>
      </w:r>
    </w:p>
    <w:p w:rsidR="00D62E90" w:rsidRDefault="000C4E38">
      <w:pPr>
        <w:numPr>
          <w:ilvl w:val="0"/>
          <w:numId w:val="2"/>
        </w:numPr>
        <w:tabs>
          <w:tab w:val="left" w:pos="720"/>
        </w:tabs>
        <w:ind w:left="720"/>
        <w:jc w:val="both"/>
        <w:rPr>
          <w:sz w:val="20"/>
          <w:szCs w:val="20"/>
        </w:rPr>
      </w:pPr>
      <w:r>
        <w:rPr>
          <w:sz w:val="20"/>
          <w:szCs w:val="20"/>
        </w:rPr>
        <w:t xml:space="preserve">opinię co najmniej dwóch użytkowników pojemników potrójnych góra - dół do pobierania krwi </w:t>
      </w:r>
    </w:p>
    <w:p w:rsidR="00D62E90" w:rsidRDefault="00D62E90">
      <w:pPr>
        <w:ind w:firstLine="7920"/>
        <w:jc w:val="center"/>
        <w:rPr>
          <w:sz w:val="20"/>
          <w:szCs w:val="20"/>
        </w:rPr>
      </w:pPr>
    </w:p>
    <w:p w:rsidR="00D62E90" w:rsidRDefault="000C4E38">
      <w:pPr>
        <w:jc w:val="both"/>
        <w:rPr>
          <w:sz w:val="20"/>
          <w:szCs w:val="20"/>
        </w:rPr>
      </w:pPr>
      <w:r>
        <w:rPr>
          <w:b/>
          <w:sz w:val="20"/>
          <w:szCs w:val="20"/>
        </w:rPr>
        <w:t>Miejsce dostaw</w:t>
      </w:r>
      <w:r>
        <w:rPr>
          <w:sz w:val="20"/>
          <w:szCs w:val="20"/>
        </w:rPr>
        <w:t xml:space="preserve">: </w:t>
      </w:r>
      <w:r w:rsidR="00694D99">
        <w:rPr>
          <w:sz w:val="20"/>
          <w:szCs w:val="20"/>
        </w:rPr>
        <w:t>Zespół Medyczny w Warszawie</w:t>
      </w:r>
      <w:r>
        <w:rPr>
          <w:sz w:val="20"/>
          <w:szCs w:val="20"/>
        </w:rPr>
        <w:t xml:space="preserve"> oraz Terenowe Stacje w Bydgoszczy, Wrocławiu, Lublinie, Krakowie, Szczecinie, Gdańsku, Ełku.</w:t>
      </w:r>
    </w:p>
    <w:p w:rsidR="00D62E90" w:rsidRDefault="00D62E90">
      <w:pPr>
        <w:ind w:firstLine="7920"/>
        <w:jc w:val="center"/>
        <w:rPr>
          <w:sz w:val="20"/>
          <w:szCs w:val="20"/>
        </w:rPr>
      </w:pPr>
    </w:p>
    <w:p w:rsidR="00D62E90" w:rsidRDefault="00D62E90">
      <w:pPr>
        <w:ind w:firstLine="7920"/>
        <w:jc w:val="center"/>
        <w:rPr>
          <w:sz w:val="20"/>
          <w:szCs w:val="20"/>
        </w:rPr>
      </w:pPr>
    </w:p>
    <w:p w:rsidR="00D62E90" w:rsidRDefault="00D62E90">
      <w:pPr>
        <w:ind w:firstLine="7920"/>
        <w:jc w:val="center"/>
        <w:rPr>
          <w:sz w:val="20"/>
          <w:szCs w:val="20"/>
        </w:rPr>
      </w:pPr>
    </w:p>
    <w:p w:rsidR="00D62E90" w:rsidRDefault="000C4E38">
      <w:pPr>
        <w:ind w:firstLine="7920"/>
        <w:jc w:val="center"/>
        <w:rPr>
          <w:sz w:val="20"/>
          <w:szCs w:val="20"/>
        </w:rPr>
      </w:pPr>
      <w:r>
        <w:rPr>
          <w:sz w:val="20"/>
          <w:szCs w:val="20"/>
        </w:rPr>
        <w:t>…………..…………….……………….</w:t>
      </w:r>
    </w:p>
    <w:p w:rsidR="00D62E90" w:rsidRDefault="000C4E38">
      <w:pPr>
        <w:tabs>
          <w:tab w:val="left" w:pos="10005"/>
        </w:tabs>
        <w:ind w:firstLine="7920"/>
        <w:jc w:val="center"/>
      </w:pPr>
      <w:r>
        <w:rPr>
          <w:sz w:val="20"/>
          <w:szCs w:val="20"/>
        </w:rPr>
        <w:t xml:space="preserve">(data i podpis Wykonawcy) </w:t>
      </w:r>
    </w:p>
    <w:p w:rsidR="00D62E90" w:rsidRDefault="00D62E90"/>
    <w:p w:rsidR="00D62E90" w:rsidRDefault="00D62E90"/>
    <w:p w:rsidR="00D62E90" w:rsidRDefault="00D62E90"/>
    <w:p w:rsidR="00D62E90" w:rsidRDefault="00D62E90"/>
    <w:p w:rsidR="00D62E90" w:rsidRDefault="00D62E90"/>
    <w:p w:rsidR="00D62E90" w:rsidRDefault="00D62E90"/>
    <w:p w:rsidR="00D62E90" w:rsidRDefault="00D62E90"/>
    <w:p w:rsidR="00D62E90" w:rsidRDefault="00D62E90"/>
    <w:p w:rsidR="00D62E90" w:rsidRDefault="00D62E90"/>
    <w:sectPr w:rsidR="00D62E90" w:rsidSect="00D62E90">
      <w:footerReference w:type="default" r:id="rId7"/>
      <w:pgSz w:w="16838" w:h="11906" w:orient="landscape"/>
      <w:pgMar w:top="1417" w:right="1417" w:bottom="1417" w:left="1417" w:header="0" w:footer="709"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66750" w15:done="0"/>
  <w15:commentEx w15:paraId="6CA40020" w15:paraIdParent="45E66750" w15:done="0"/>
  <w15:commentEx w15:paraId="33164B32" w15:done="0"/>
  <w15:commentEx w15:paraId="1FEC0B3D" w15:paraIdParent="33164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2236" w16cex:dateUtc="2022-09-26T11:05:00Z"/>
  <w16cex:commentExtensible w16cex:durableId="26DC2244" w16cex:dateUtc="2022-09-26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66750" w16cid:durableId="26DC2220"/>
  <w16cid:commentId w16cid:paraId="6CA40020" w16cid:durableId="26DC2236"/>
  <w16cid:commentId w16cid:paraId="33164B32" w16cid:durableId="26DC2221"/>
  <w16cid:commentId w16cid:paraId="1FEC0B3D" w16cid:durableId="26DC22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E6" w:rsidRDefault="00D53FE6" w:rsidP="00D62E90">
      <w:r>
        <w:separator/>
      </w:r>
    </w:p>
  </w:endnote>
  <w:endnote w:type="continuationSeparator" w:id="0">
    <w:p w:rsidR="00D53FE6" w:rsidRDefault="00D53FE6" w:rsidP="00D62E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90" w:rsidRDefault="00111D03">
    <w:pPr>
      <w:pStyle w:val="Stopka1"/>
      <w:ind w:right="360"/>
    </w:pPr>
    <w:r>
      <w:rPr>
        <w:noProof/>
      </w:rPr>
      <w:pict>
        <v:shape id="Pole tekstowe 1" o:spid="_x0000_s1026" style="position:absolute;margin-left:769.8pt;margin-top:.05pt;width:1.05pt;height:13.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" o:allowincell="f" path="m,l-127,r,-127l,-127,,xe" filled="f" stroked="f" strokecolor="#3465a4">
          <v:path o:connecttype="custom" o:connectlocs="0,0;-1694,0;-1694,-22097;0,-22097" o:connectangles="0,0,0,0"/>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E6" w:rsidRDefault="00D53FE6" w:rsidP="00D62E90">
      <w:r>
        <w:separator/>
      </w:r>
    </w:p>
  </w:footnote>
  <w:footnote w:type="continuationSeparator" w:id="0">
    <w:p w:rsidR="00D53FE6" w:rsidRDefault="00D53FE6" w:rsidP="00D62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7034"/>
    <w:multiLevelType w:val="multilevel"/>
    <w:tmpl w:val="9A5A1E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AB062F"/>
    <w:multiLevelType w:val="multilevel"/>
    <w:tmpl w:val="DD90817C"/>
    <w:lvl w:ilvl="0">
      <w:start w:val="15"/>
      <w:numFmt w:val="bullet"/>
      <w:lvlText w:val=""/>
      <w:lvlJc w:val="left"/>
      <w:pPr>
        <w:tabs>
          <w:tab w:val="num" w:pos="923"/>
        </w:tabs>
        <w:ind w:left="923"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17D3DF7"/>
    <w:multiLevelType w:val="multilevel"/>
    <w:tmpl w:val="F5D45C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zj">
    <w15:presenceInfo w15:providerId="None" w15:userId="dz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D62E90"/>
    <w:rsid w:val="000040CE"/>
    <w:rsid w:val="000C4E38"/>
    <w:rsid w:val="00110B36"/>
    <w:rsid w:val="00111D03"/>
    <w:rsid w:val="001D3374"/>
    <w:rsid w:val="002002FD"/>
    <w:rsid w:val="00241DB5"/>
    <w:rsid w:val="003E4B78"/>
    <w:rsid w:val="003E60CD"/>
    <w:rsid w:val="00422E02"/>
    <w:rsid w:val="004855F2"/>
    <w:rsid w:val="004F0440"/>
    <w:rsid w:val="004F33AE"/>
    <w:rsid w:val="00694D99"/>
    <w:rsid w:val="007B4631"/>
    <w:rsid w:val="007E3836"/>
    <w:rsid w:val="00833813"/>
    <w:rsid w:val="009011CE"/>
    <w:rsid w:val="00951187"/>
    <w:rsid w:val="00A62A13"/>
    <w:rsid w:val="00B74974"/>
    <w:rsid w:val="00D53FE6"/>
    <w:rsid w:val="00D62E90"/>
    <w:rsid w:val="00D74517"/>
    <w:rsid w:val="00E3485E"/>
    <w:rsid w:val="00E63F3A"/>
    <w:rsid w:val="00F22C6F"/>
    <w:rsid w:val="00FE66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0C9"/>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semiHidden/>
    <w:qFormat/>
    <w:rsid w:val="009720C9"/>
    <w:rPr>
      <w:rFonts w:ascii="Times New Roman" w:eastAsia="Times New Roman" w:hAnsi="Times New Roman" w:cs="Times New Roman"/>
      <w:sz w:val="24"/>
      <w:szCs w:val="24"/>
      <w:lang w:eastAsia="ar-SA"/>
    </w:rPr>
  </w:style>
  <w:style w:type="paragraph" w:styleId="Nagwek">
    <w:name w:val="header"/>
    <w:basedOn w:val="Normalny"/>
    <w:next w:val="Tekstpodstawowy"/>
    <w:qFormat/>
    <w:rsid w:val="00D62E9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D62E90"/>
    <w:pPr>
      <w:spacing w:after="140" w:line="276" w:lineRule="auto"/>
    </w:pPr>
  </w:style>
  <w:style w:type="paragraph" w:styleId="Lista">
    <w:name w:val="List"/>
    <w:basedOn w:val="Tekstpodstawowy"/>
    <w:rsid w:val="00D62E90"/>
    <w:rPr>
      <w:rFonts w:cs="Lucida Sans"/>
    </w:rPr>
  </w:style>
  <w:style w:type="paragraph" w:customStyle="1" w:styleId="Legenda1">
    <w:name w:val="Legenda1"/>
    <w:basedOn w:val="Normalny"/>
    <w:qFormat/>
    <w:rsid w:val="00D62E90"/>
    <w:pPr>
      <w:suppressLineNumbers/>
      <w:spacing w:before="120" w:after="120"/>
    </w:pPr>
    <w:rPr>
      <w:rFonts w:cs="Lucida Sans"/>
      <w:i/>
      <w:iCs/>
    </w:rPr>
  </w:style>
  <w:style w:type="paragraph" w:customStyle="1" w:styleId="Indeks">
    <w:name w:val="Indeks"/>
    <w:basedOn w:val="Normalny"/>
    <w:qFormat/>
    <w:rsid w:val="00D62E90"/>
    <w:pPr>
      <w:suppressLineNumbers/>
    </w:pPr>
    <w:rPr>
      <w:rFonts w:cs="Lucida Sans"/>
    </w:rPr>
  </w:style>
  <w:style w:type="paragraph" w:customStyle="1" w:styleId="Gwkaistopka">
    <w:name w:val="Główka i stopka"/>
    <w:basedOn w:val="Normalny"/>
    <w:qFormat/>
    <w:rsid w:val="00D62E90"/>
  </w:style>
  <w:style w:type="paragraph" w:customStyle="1" w:styleId="Stopka1">
    <w:name w:val="Stopka1"/>
    <w:basedOn w:val="Normalny"/>
    <w:link w:val="StopkaZnak"/>
    <w:semiHidden/>
    <w:rsid w:val="009720C9"/>
    <w:pPr>
      <w:tabs>
        <w:tab w:val="center" w:pos="4536"/>
        <w:tab w:val="right" w:pos="9072"/>
      </w:tabs>
    </w:pPr>
  </w:style>
  <w:style w:type="paragraph" w:customStyle="1" w:styleId="Zawartoramki">
    <w:name w:val="Zawartość ramki"/>
    <w:basedOn w:val="Normalny"/>
    <w:qFormat/>
    <w:rsid w:val="00D62E90"/>
  </w:style>
  <w:style w:type="character" w:styleId="Odwoaniedokomentarza">
    <w:name w:val="annotation reference"/>
    <w:basedOn w:val="Domylnaczcionkaakapitu"/>
    <w:uiPriority w:val="99"/>
    <w:semiHidden/>
    <w:unhideWhenUsed/>
    <w:rsid w:val="00241DB5"/>
    <w:rPr>
      <w:sz w:val="16"/>
      <w:szCs w:val="16"/>
    </w:rPr>
  </w:style>
  <w:style w:type="paragraph" w:styleId="Tekstkomentarza">
    <w:name w:val="annotation text"/>
    <w:basedOn w:val="Normalny"/>
    <w:link w:val="TekstkomentarzaZnak"/>
    <w:uiPriority w:val="99"/>
    <w:semiHidden/>
    <w:unhideWhenUsed/>
    <w:rsid w:val="00241DB5"/>
    <w:rPr>
      <w:sz w:val="20"/>
      <w:szCs w:val="20"/>
    </w:rPr>
  </w:style>
  <w:style w:type="character" w:customStyle="1" w:styleId="TekstkomentarzaZnak">
    <w:name w:val="Tekst komentarza Znak"/>
    <w:basedOn w:val="Domylnaczcionkaakapitu"/>
    <w:link w:val="Tekstkomentarza"/>
    <w:uiPriority w:val="99"/>
    <w:semiHidden/>
    <w:rsid w:val="00241DB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41DB5"/>
    <w:rPr>
      <w:b/>
      <w:bCs/>
    </w:rPr>
  </w:style>
  <w:style w:type="character" w:customStyle="1" w:styleId="TematkomentarzaZnak">
    <w:name w:val="Temat komentarza Znak"/>
    <w:basedOn w:val="TekstkomentarzaZnak"/>
    <w:link w:val="Tematkomentarza"/>
    <w:uiPriority w:val="99"/>
    <w:semiHidden/>
    <w:rsid w:val="00241DB5"/>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41DB5"/>
    <w:rPr>
      <w:rFonts w:ascii="Tahoma" w:hAnsi="Tahoma" w:cs="Tahoma"/>
      <w:sz w:val="16"/>
      <w:szCs w:val="16"/>
    </w:rPr>
  </w:style>
  <w:style w:type="character" w:customStyle="1" w:styleId="TekstdymkaZnak">
    <w:name w:val="Tekst dymka Znak"/>
    <w:basedOn w:val="Domylnaczcionkaakapitu"/>
    <w:link w:val="Tekstdymka"/>
    <w:uiPriority w:val="99"/>
    <w:semiHidden/>
    <w:rsid w:val="00241DB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1235</Words>
  <Characters>7414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m.luciak</dc:creator>
  <dc:description/>
  <cp:lastModifiedBy>user</cp:lastModifiedBy>
  <cp:revision>10</cp:revision>
  <cp:lastPrinted>2022-03-21T12:24:00Z</cp:lastPrinted>
  <dcterms:created xsi:type="dcterms:W3CDTF">2022-09-26T11:05:00Z</dcterms:created>
  <dcterms:modified xsi:type="dcterms:W3CDTF">2022-11-18T10:55:00Z</dcterms:modified>
  <dc:language>pl-PL</dc:language>
</cp:coreProperties>
</file>