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E424" w14:textId="768B6B64" w:rsidR="00D940B6" w:rsidRPr="00935425" w:rsidRDefault="00EB7F19" w:rsidP="00EB7F1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35425">
        <w:rPr>
          <w:rFonts w:asciiTheme="minorHAnsi" w:hAnsiTheme="minorHAnsi" w:cstheme="minorHAnsi"/>
          <w:b/>
          <w:bCs/>
          <w:sz w:val="24"/>
          <w:szCs w:val="22"/>
        </w:rPr>
        <w:t xml:space="preserve">Opis przedmiotu zamówienia – </w:t>
      </w:r>
      <w:r w:rsidR="00106D25">
        <w:rPr>
          <w:rFonts w:asciiTheme="minorHAnsi" w:hAnsiTheme="minorHAnsi" w:cstheme="minorHAnsi"/>
          <w:b/>
          <w:bCs/>
          <w:sz w:val="24"/>
          <w:szCs w:val="22"/>
        </w:rPr>
        <w:t>Densytometr rentgenowski</w:t>
      </w:r>
    </w:p>
    <w:p w14:paraId="77DDDC1C" w14:textId="77777777" w:rsidR="00EB7F19" w:rsidRPr="00935425" w:rsidRDefault="00EB7F19" w:rsidP="00EB7F19">
      <w:pPr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35425">
        <w:rPr>
          <w:rFonts w:asciiTheme="minorHAnsi" w:hAnsiTheme="minorHAnsi" w:cstheme="minorHAnsi"/>
          <w:b/>
          <w:sz w:val="24"/>
          <w:szCs w:val="22"/>
          <w:u w:val="single"/>
        </w:rPr>
        <w:t>Oferuję:</w:t>
      </w:r>
    </w:p>
    <w:p w14:paraId="15521529" w14:textId="77777777" w:rsidR="00EB7F19" w:rsidRPr="00935425" w:rsidRDefault="00EB7F19" w:rsidP="00EB7F19">
      <w:pPr>
        <w:tabs>
          <w:tab w:val="righ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Model/typ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09028A75" w14:textId="77777777" w:rsidR="00EB7F19" w:rsidRPr="00935425" w:rsidRDefault="00EB7F19" w:rsidP="00EB7F19">
      <w:pPr>
        <w:tabs>
          <w:tab w:val="lef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Producent/kraj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5561B52A" w14:textId="77777777" w:rsidR="00EB7F19" w:rsidRPr="00EC7224" w:rsidRDefault="00EB7F19" w:rsidP="00BE5BCA">
      <w:pPr>
        <w:autoSpaceDE/>
        <w:autoSpaceDN/>
        <w:spacing w:after="0" w:line="320" w:lineRule="atLeast"/>
        <w:jc w:val="both"/>
        <w:rPr>
          <w:rFonts w:ascii="Palatino Linotype" w:hAnsi="Palatino Linotype" w:cs="Times New Roman"/>
          <w:kern w:val="0"/>
          <w:sz w:val="24"/>
          <w:szCs w:val="24"/>
        </w:rPr>
      </w:pPr>
    </w:p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193"/>
        <w:gridCol w:w="5954"/>
      </w:tblGrid>
      <w:tr w:rsidR="00D66DD9" w:rsidRPr="00C343D0" w14:paraId="4A843F61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37AC" w14:textId="4A5E45B2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004B" w14:textId="70405F20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  <w:t>Wymagania</w:t>
            </w:r>
          </w:p>
          <w:p w14:paraId="63A5057A" w14:textId="2E732C8D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6D7" w14:textId="01ADEDE4" w:rsidR="00D66DD9" w:rsidRPr="00935425" w:rsidRDefault="00D66DD9" w:rsidP="003273ED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sz w:val="24"/>
              </w:rPr>
              <w:t xml:space="preserve">Parametry i warunki zaoferowane przez Wykonawcę (należy uzupełnić wszystkie wymagane pola podając parametry oferowanego produktu, opis lub wpisać </w:t>
            </w:r>
            <w:r w:rsidR="003273ED">
              <w:rPr>
                <w:rFonts w:asciiTheme="minorHAnsi" w:hAnsiTheme="minorHAnsi" w:cstheme="minorHAnsi"/>
                <w:b/>
                <w:sz w:val="24"/>
              </w:rPr>
              <w:t>tak</w:t>
            </w:r>
            <w:r w:rsidRPr="00935425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352E2F" w:rsidRPr="00C343D0" w14:paraId="22371F49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4EE" w14:textId="44003494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4DF2" w14:textId="57923476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Aparat rentgenowski  z metodą DEXA (stacjonarny): nie wymagający zastosowania specjalnego ekranowania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519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78405F8" w14:textId="77777777" w:rsidTr="00A50DA1">
        <w:trPr>
          <w:trHeight w:val="5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B0D" w14:textId="56EDE0E4" w:rsidR="00352E2F" w:rsidRPr="00935425" w:rsidRDefault="00352E2F" w:rsidP="00352E2F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E6C5" w14:textId="1EF36D88" w:rsidR="00352E2F" w:rsidRPr="00791380" w:rsidRDefault="00352E2F" w:rsidP="00352E2F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Stół skaningowy stacjonarny nieskładany z ramieniem typu „C”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06A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219FCA8F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3DE" w14:textId="7ED95D78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F7C6" w14:textId="7BBDCC00" w:rsidR="00352E2F" w:rsidRPr="00791380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System ze stołem pozwalający na prowadzenie leczenia osteoporozy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6AF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5797F41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B7E" w14:textId="73E3D235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8168" w14:textId="3B4814C9" w:rsidR="00352E2F" w:rsidRPr="00791380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Napięcie zasilające system 230 V/50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Hz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bez konieczności stosowania dodatkowych urządzeń zasilających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B6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0ED45B6D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32B" w14:textId="060420C9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BEB9" w14:textId="3D50E6FC" w:rsidR="00352E2F" w:rsidRPr="00791380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Ruchomy blat stołu,  ruchome ramię 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9B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7B95C589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9BF" w14:textId="39ED7A62" w:rsidR="00352E2F" w:rsidRPr="00935425" w:rsidRDefault="00352E2F" w:rsidP="00352E2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2770" w14:textId="63BA1AD3" w:rsidR="00352E2F" w:rsidRPr="00791380" w:rsidRDefault="00352E2F" w:rsidP="00352E2F">
            <w:pPr>
              <w:autoSpaceDE/>
              <w:autoSpaceDN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Promieniowanie w wiązce wachlarzowej działającej w oparciu o metodę skanowania CT jednokrotnego przejścia nad pacjentem podczas badań podstawowych takich jak szyjka kości udowej, przedramię, odcinek L kręgosłupa (wyklucza się tzw. wąski wachlarz i metodę ołówkową)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4661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8255563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D7E" w14:textId="7A6F3B87" w:rsidR="00352E2F" w:rsidRPr="00935425" w:rsidRDefault="00352E2F" w:rsidP="00352E2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7F17" w14:textId="75A40337" w:rsidR="00352E2F" w:rsidRPr="00791380" w:rsidRDefault="00352E2F" w:rsidP="00352E2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Generator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dwuenergetyczny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generujący energię wysoką i niską poprzez wysokie i niskie napięcie na lampie dający rzeczywistą wiązkę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dwuenergetyczną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903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60D866E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45F" w14:textId="184BAE98" w:rsidR="00352E2F" w:rsidRPr="00935425" w:rsidRDefault="00352E2F" w:rsidP="00352E2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B7DF" w14:textId="301C4AC5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Maksymalna  dawka promieniowania rozproszonego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metr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y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od aparatu (lampy)- max 1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mR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/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hr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69A4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03C0C516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5B6" w14:textId="2A75BD22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F4ED" w14:textId="486D2FB9" w:rsidR="00352E2F" w:rsidRPr="00791380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Obszar skanowania min. 190cm na 60cm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9F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7A18779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642" w14:textId="55511542" w:rsidR="00352E2F" w:rsidRPr="00935425" w:rsidRDefault="00352E2F" w:rsidP="00352E2F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CA2FA" w14:textId="77777777" w:rsidR="00352E2F" w:rsidRPr="00074E29" w:rsidRDefault="00352E2F" w:rsidP="00352E2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Czasy skanowania dla lokalizacji:</w:t>
            </w:r>
          </w:p>
          <w:p w14:paraId="08951156" w14:textId="77777777" w:rsidR="00352E2F" w:rsidRPr="00074E29" w:rsidRDefault="00352E2F" w:rsidP="00352E2F">
            <w:pPr>
              <w:widowControl w:val="0"/>
              <w:numPr>
                <w:ilvl w:val="0"/>
                <w:numId w:val="23"/>
              </w:numPr>
              <w:autoSpaceDE/>
              <w:autoSpaceDN/>
              <w:spacing w:after="0"/>
              <w:ind w:left="232" w:hanging="232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kręgosłup AP max. 30 s</w:t>
            </w:r>
          </w:p>
          <w:p w14:paraId="59C6D2C7" w14:textId="77777777" w:rsidR="00352E2F" w:rsidRPr="00074E29" w:rsidRDefault="00352E2F" w:rsidP="00352E2F">
            <w:pPr>
              <w:widowControl w:val="0"/>
              <w:numPr>
                <w:ilvl w:val="0"/>
                <w:numId w:val="23"/>
              </w:numPr>
              <w:autoSpaceDE/>
              <w:autoSpaceDN/>
              <w:spacing w:after="0"/>
              <w:ind w:left="232" w:hanging="232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 xml:space="preserve"> szyjka kości udowej max. 30s</w:t>
            </w:r>
          </w:p>
          <w:p w14:paraId="155593FE" w14:textId="3B910186" w:rsidR="00352E2F" w:rsidRPr="00A50DA1" w:rsidRDefault="00352E2F" w:rsidP="00A50DA1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 w:eastAsia="cs-CZ"/>
              </w:rPr>
            </w:pPr>
            <w:r w:rsidRPr="00A50DA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całe ciało/skład ciała max 7 min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3F5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D6ACEA3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E98" w14:textId="60265C7B" w:rsidR="00352E2F" w:rsidRPr="00935425" w:rsidRDefault="00352E2F" w:rsidP="00352E2F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1303" w14:textId="44F4345E" w:rsidR="00352E2F" w:rsidRPr="00791380" w:rsidRDefault="00352E2F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hAnsiTheme="minorHAnsi" w:cs="Arial"/>
                <w:color w:val="333333"/>
                <w:sz w:val="22"/>
                <w:szCs w:val="22"/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System automatycznej kalibracji pozwalający na stałą kontrolę  i utrzymanie stałych warunków podczas każdego badań niezależnie od kalibracji codziennej na fantomie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B3A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0174467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30E5" w14:textId="3AB6C0BD" w:rsidR="00352E2F" w:rsidRPr="00935425" w:rsidRDefault="00352E2F" w:rsidP="00352E2F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9049" w14:textId="6789C6F3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Weryfikacja poprawności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autokalibracji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przy pomocy fantomu antropomorficznego odcinka L kręgosłupa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9510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48D03DED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79D" w14:textId="100CEC47" w:rsidR="00352E2F" w:rsidRPr="00935425" w:rsidRDefault="00352E2F" w:rsidP="00352E2F">
            <w:pPr>
              <w:pStyle w:val="HTML-wstpniesformatowany"/>
              <w:shd w:val="clear" w:color="auto" w:fill="FFFFFF"/>
              <w:spacing w:before="100" w:beforeAutospacing="1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0918" w14:textId="2BA23916" w:rsidR="00352E2F" w:rsidRPr="00791380" w:rsidRDefault="00352E2F" w:rsidP="00352E2F">
            <w:pPr>
              <w:pStyle w:val="HTML-wstpniesformatowany"/>
              <w:shd w:val="clear" w:color="auto" w:fill="FFFFFF"/>
              <w:spacing w:before="100" w:before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Detektor wysokiej rozdzielczości min. 120 elementowy, ilość rzeczywistych elementów detektora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A6C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088C0BAD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3E1" w14:textId="5AD11C8F" w:rsidR="00352E2F" w:rsidRPr="00935425" w:rsidRDefault="00352E2F" w:rsidP="00352E2F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8BE1" w14:textId="0974CE8C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Blat stołu z zmiennym położeniem umożliwiający zdalne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przerepozycjonowanie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pacjenta z pozycji stacji technika bez konieczności siłowego przemieszczania pacjenta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C1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7DFC442A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FC4" w14:textId="23417FB4" w:rsidR="00352E2F" w:rsidRPr="00935425" w:rsidRDefault="00352E2F" w:rsidP="00352E2F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8F23" w14:textId="61248442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Ruch blatu wzdłużny i poprzeczny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93D0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EF6CA46" w14:textId="77777777" w:rsidTr="00A50DA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C01" w14:textId="22CCE97E" w:rsidR="00352E2F" w:rsidRPr="00935425" w:rsidRDefault="00352E2F" w:rsidP="00352E2F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EE09" w14:textId="50F2C90B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Fantom kontrolny- fantom antropomorficzny kręgosłupa odcinka 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A94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18C0F020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4CB" w14:textId="2A265D18" w:rsidR="00352E2F" w:rsidRPr="00935425" w:rsidRDefault="00352E2F" w:rsidP="00352E2F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B899" w14:textId="0D178883" w:rsidR="00352E2F" w:rsidRPr="00791380" w:rsidRDefault="00352E2F" w:rsidP="00352E2F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Pozycjoner laserowy do łatwego ustalenia prawidłowego ułożenia pacjenta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3C0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3ACE709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345" w14:textId="1CCE1ECA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8C0C9" w14:textId="5ADCB113" w:rsidR="00352E2F" w:rsidRPr="00791380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Wolna przestrzeń między blatem stołu a ramieniem C w osi stołu umożliwiająca badanie ludzi otyłych min. 5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cm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D87D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486B1A2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F24" w14:textId="2A7FE049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8EE2E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Szyjka kości udowej: </w:t>
            </w:r>
          </w:p>
          <w:p w14:paraId="66664422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a) BMD,</w:t>
            </w:r>
          </w:p>
          <w:p w14:paraId="7C50BC11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b) BMC,</w:t>
            </w:r>
          </w:p>
          <w:p w14:paraId="404BD1B6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ind w:left="232" w:hanging="232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c) powierzchnia szyjki kości udowej,  oraz dla „Total”,</w:t>
            </w:r>
          </w:p>
          <w:p w14:paraId="37B8FE92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d) wskaźnik T-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F0AFD81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e) wskaźnik 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</w:t>
            </w:r>
          </w:p>
          <w:p w14:paraId="73AC2F3A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f) zmiana procentowa w stosunku do masy szczytowej, </w:t>
            </w:r>
          </w:p>
          <w:p w14:paraId="2F9CBD75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g) zmiana procentowa w stosunku do rówieśników, </w:t>
            </w:r>
          </w:p>
          <w:p w14:paraId="2B1CEEDF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h) długość osi szyjki kości udowej i kąt nachylenia, moment bezwładności</w:t>
            </w:r>
          </w:p>
          <w:p w14:paraId="1004B1CA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i) automatyczne odniesienie i wyświetlenie wyniku odniesienia do klasyfikacji WHO</w:t>
            </w:r>
          </w:p>
          <w:p w14:paraId="1F253E85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j) wynik FRAX ( ocena ryzyka złamania) </w:t>
            </w:r>
          </w:p>
          <w:p w14:paraId="7B2823E0" w14:textId="72DC2744" w:rsidR="00352E2F" w:rsidRPr="00791380" w:rsidRDefault="00352E2F" w:rsidP="00352E2F">
            <w:pPr>
              <w:pStyle w:val="Bezodstpw"/>
              <w:rPr>
                <w:lang w:val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>- wykres graficzny BMD do wieku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683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BA28FB0" w14:textId="77777777" w:rsidTr="00A50DA1">
        <w:trPr>
          <w:trHeight w:val="59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60C" w14:textId="06CC0D24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F9812" w14:textId="77777777" w:rsidR="00352E2F" w:rsidRPr="00074E29" w:rsidRDefault="00352E2F" w:rsidP="00352E2F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Obie szyjki kości udowej :</w:t>
            </w:r>
          </w:p>
          <w:p w14:paraId="5A99CD85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BMD</w:t>
            </w:r>
          </w:p>
          <w:p w14:paraId="596E3F22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BMC</w:t>
            </w:r>
          </w:p>
          <w:p w14:paraId="7578D0B1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powierzchnia dla szyjki kości udowej, oraz dla „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total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”</w:t>
            </w:r>
          </w:p>
          <w:p w14:paraId="36EB123C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wskaźnik T-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</w:p>
          <w:p w14:paraId="73274C0E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wskaźnik 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</w:p>
          <w:p w14:paraId="459DA122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zmiana procentowa w stosunku do rówieśników</w:t>
            </w:r>
          </w:p>
          <w:p w14:paraId="4B3B6C7E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zmiana procentowa w stosunku do masy szczytowej</w:t>
            </w:r>
          </w:p>
          <w:p w14:paraId="41BE0121" w14:textId="77777777" w:rsidR="00352E2F" w:rsidRPr="00074E29" w:rsidRDefault="00352E2F" w:rsidP="00352E2F">
            <w:pPr>
              <w:widowControl w:val="0"/>
              <w:numPr>
                <w:ilvl w:val="0"/>
                <w:numId w:val="24"/>
              </w:numPr>
              <w:tabs>
                <w:tab w:val="num" w:pos="335"/>
              </w:tabs>
              <w:suppressAutoHyphens/>
              <w:overflowPunct w:val="0"/>
              <w:autoSpaceDN/>
              <w:spacing w:after="0" w:line="252" w:lineRule="auto"/>
              <w:ind w:left="335" w:hanging="283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długość osi szyjki kości udowej</w:t>
            </w:r>
          </w:p>
          <w:p w14:paraId="37DC6842" w14:textId="3C976A40" w:rsidR="00352E2F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9. </w:t>
            </w:r>
            <w:r w:rsidR="00352E2F"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podwójne biodro bez zmiany ułożenia pacjenta w czasie jednego badania</w:t>
            </w:r>
          </w:p>
          <w:p w14:paraId="7EA87846" w14:textId="3A04B7D0" w:rsidR="00352E2F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10</w:t>
            </w:r>
            <w:r w:rsidR="00352E2F">
              <w:rPr>
                <w:rFonts w:ascii="Times New Roman" w:hAnsi="Times New Roman"/>
                <w:sz w:val="24"/>
                <w:szCs w:val="24"/>
                <w:lang w:val="pl-PL" w:eastAsia="pl-PL"/>
              </w:rPr>
              <w:t>. Zestawienie raportu różnic</w:t>
            </w:r>
          </w:p>
          <w:p w14:paraId="3C891581" w14:textId="162DAF81" w:rsidR="00352E2F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11</w:t>
            </w:r>
            <w:r w:rsidR="00352E2F">
              <w:rPr>
                <w:rFonts w:ascii="Times New Roman" w:hAnsi="Times New Roman"/>
                <w:sz w:val="24"/>
                <w:szCs w:val="24"/>
                <w:lang w:val="pl-PL" w:eastAsia="pl-PL"/>
              </w:rPr>
              <w:t>. Wynik FRAX (ocena ryzyka złamania)</w:t>
            </w:r>
          </w:p>
          <w:p w14:paraId="230E66BB" w14:textId="377AA63F" w:rsidR="00352E2F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12</w:t>
            </w:r>
            <w:r w:rsidR="00352E2F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automatyczne odniesienie i wyświetlenie wyniku odniesienia do klasyfikacji WHO</w:t>
            </w:r>
          </w:p>
          <w:p w14:paraId="2E5958DD" w14:textId="3496F31C" w:rsidR="00352E2F" w:rsidRPr="00BB264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13. wykres graficzny BMD do wieku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C3E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0B36A755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99B" w14:textId="7A87CE99" w:rsidR="00352E2F" w:rsidRPr="00935425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F601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Kręgosłup lędźwiowy w projekcji AP </w:t>
            </w:r>
          </w:p>
          <w:p w14:paraId="45AF42C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-BMD, </w:t>
            </w:r>
          </w:p>
          <w:p w14:paraId="6FA1B1E5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-BMC</w:t>
            </w:r>
          </w:p>
          <w:p w14:paraId="293283B9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-powierzchnia, </w:t>
            </w:r>
          </w:p>
          <w:p w14:paraId="11F4087B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-T-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</w:t>
            </w:r>
          </w:p>
          <w:p w14:paraId="59F619F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</w:t>
            </w:r>
          </w:p>
          <w:p w14:paraId="514F1D4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zmiana procentowa w stosunku do masy szczytowej, </w:t>
            </w:r>
          </w:p>
          <w:p w14:paraId="632312FE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zmiana procentowa w stosunku do rówieśników)</w:t>
            </w:r>
          </w:p>
          <w:p w14:paraId="539C912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możliwość generowania raportu porównawczego z wynikami z kilku badań przeprowadzonych w różnym czasie</w:t>
            </w:r>
          </w:p>
          <w:p w14:paraId="32ECB9DC" w14:textId="387A9C08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wykres graficzny BMD do wieku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EBA3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1206B526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333" w14:textId="192E39B1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98C3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Zaawansowane oprogramowanie do analizy szyjki kości udowej (potwierdzone przez kilka niezależne badania kliniczne) z możliwościami obliczeniowymi;</w:t>
            </w:r>
          </w:p>
          <w:p w14:paraId="4795275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FRAX, ocena ryzyka złamania</w:t>
            </w:r>
          </w:p>
          <w:p w14:paraId="401437F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położenie środka masy</w:t>
            </w:r>
          </w:p>
          <w:p w14:paraId="62B49B8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kąt nachylenia osi szyjki udowej</w:t>
            </w:r>
          </w:p>
          <w:p w14:paraId="5F8F30BA" w14:textId="45BF9A34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długość szyjki kości udowej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810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9568FA9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166" w14:textId="1D6802DC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B3F1A" w14:textId="7B57E204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Pomiar i analiza bliższego końca kości udowej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477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2D623740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F4C" w14:textId="3EBCEDC3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99EB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Pomiar gęstości całego kośćca i składu ciała</w:t>
            </w:r>
          </w:p>
          <w:p w14:paraId="0F8AE20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obraz skanu całego ciała</w:t>
            </w:r>
          </w:p>
          <w:p w14:paraId="5E0E9AB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obraz kolorowy obrazujący skład ciała z podziałem na tkankę</w:t>
            </w:r>
          </w:p>
          <w:p w14:paraId="7152F6D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BMD</w:t>
            </w:r>
          </w:p>
          <w:p w14:paraId="16D54A9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BMC</w:t>
            </w:r>
          </w:p>
          <w:p w14:paraId="0F9B2F4B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powierzchnia</w:t>
            </w:r>
          </w:p>
          <w:p w14:paraId="4F71F8B5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Total</w:t>
            </w:r>
          </w:p>
          <w:p w14:paraId="625F14E3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wskazania dla kończyn z osobna, kręgosłupa, głowy</w:t>
            </w:r>
          </w:p>
          <w:p w14:paraId="74B14033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możliwość pomiaru subregionu</w:t>
            </w:r>
          </w:p>
          <w:p w14:paraId="4EF8C86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gynoid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/android- otyłość brzuszna</w:t>
            </w:r>
          </w:p>
          <w:p w14:paraId="392D1C91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VAT ( otyłość trzewna)</w:t>
            </w:r>
          </w:p>
          <w:p w14:paraId="12ADB7E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wynik FMI (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Fat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Mas Index)</w:t>
            </w:r>
          </w:p>
          <w:p w14:paraId="2D74C880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automatyczne odniesienie do klasyfikacji WHO</w:t>
            </w:r>
          </w:p>
          <w:p w14:paraId="743C9716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wykres masy tkanki + BMC do wieku</w:t>
            </w:r>
          </w:p>
          <w:p w14:paraId="537D16D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możliwość śledzenie trendu zmian u pacjenta na wykresie</w:t>
            </w:r>
          </w:p>
          <w:p w14:paraId="00E2D71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wykres wzrostu do wieku, wagi do wieku, BMI do wieku</w:t>
            </w:r>
          </w:p>
          <w:p w14:paraId="1962F0D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automatyczne odniesienie wyniku do klasyfikacji WHO</w:t>
            </w:r>
          </w:p>
          <w:p w14:paraId="08E1DC85" w14:textId="03BE2D45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mapa kolorowa składu ciała pokazująca lokalizację gromadzenia się masy tłuszczowej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FD9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2F038E72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4A64" w14:textId="70FA2EAC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9D24C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Program pediatryczny </w:t>
            </w:r>
          </w:p>
          <w:p w14:paraId="07E58DB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kręgosłup lędźwiowy AP </w:t>
            </w:r>
          </w:p>
          <w:p w14:paraId="0C7B8D9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BMD </w:t>
            </w:r>
          </w:p>
          <w:p w14:paraId="7AF38BFB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BMC </w:t>
            </w:r>
          </w:p>
          <w:p w14:paraId="6C4E09E0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powierzchnia, </w:t>
            </w:r>
          </w:p>
          <w:p w14:paraId="08DDD395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wskaźnik 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</w:t>
            </w:r>
          </w:p>
          <w:p w14:paraId="410AC2B0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zmiana procentowa w stosunku do masy szczytowej</w:t>
            </w:r>
          </w:p>
          <w:p w14:paraId="73E2B64B" w14:textId="54DB9F52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Dane referencyjne (baza danych referencyjnych z normami dla populacji dzieci i młodzieży) – oddzielnie dla dziewcząt i chłopców, odniesienie wyniku do normy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8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4417DB1B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58A" w14:textId="7ACBEF8D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EDB9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Program pediatryczny</w:t>
            </w:r>
          </w:p>
          <w:p w14:paraId="4A04ADC5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całe ciało z analizą powierzchni kośćca, - BMC, </w:t>
            </w:r>
          </w:p>
          <w:p w14:paraId="308B370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BMD, </w:t>
            </w:r>
          </w:p>
          <w:p w14:paraId="67CC01C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składu ciała u dzieci.</w:t>
            </w:r>
          </w:p>
          <w:p w14:paraId="2933A8B7" w14:textId="186D2C80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Dane referencyjne (baza danych z normami dla populacji dzieci i młodzieży) – oddzielnie dla dziewcząt i chłopców, umożliwiająca odniesienie wyniku do normy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631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8F0870B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6476" w14:textId="7CB1DE65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9BD52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Program pediatryczny</w:t>
            </w:r>
          </w:p>
          <w:p w14:paraId="6AD0D57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Total Body</w:t>
            </w:r>
          </w:p>
          <w:p w14:paraId="6843F1E9" w14:textId="689A3EE6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Dane referencyjne dla pomiaru BMD całego szkieletu u dzieci w wersji z kośćmi czaszki oraz w wersji bez kości czaszki (tzw. less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head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8D4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73C5D15F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9C84" w14:textId="4EADB15E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A28D9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programie pediatrycznym oznaczanie na wykresie parametrów dla składu ciała:</w:t>
            </w:r>
          </w:p>
          <w:p w14:paraId="69ADCED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Wysokość do wieku</w:t>
            </w:r>
          </w:p>
          <w:p w14:paraId="4BE50F48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BMI do wieku</w:t>
            </w:r>
          </w:p>
          <w:p w14:paraId="2D881CB1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wzrost do wieku</w:t>
            </w:r>
          </w:p>
          <w:p w14:paraId="4A7666E5" w14:textId="59C17C7B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waga do wieku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B3F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4E46F484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047" w14:textId="787A338B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FEBA3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Pomiar składu ciała z wyznaczeniem; </w:t>
            </w:r>
          </w:p>
          <w:p w14:paraId="664F82B0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ilości tkanki tłuszczowej, </w:t>
            </w:r>
          </w:p>
          <w:p w14:paraId="135575CE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masy mięśniowej, </w:t>
            </w:r>
          </w:p>
          <w:p w14:paraId="50951E7A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masy kostnej dla poszczególnych kończyn (z podziałem na lewa stronę i prawa stroną) oraz osobno dla obszarów -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Gynoid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 Android</w:t>
            </w:r>
          </w:p>
          <w:p w14:paraId="5E28F385" w14:textId="03BF0278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- mapa kolorowa składu ciała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2A34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0F86B644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DD0" w14:textId="031857E2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9020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Opcja pediatryczna – Szyjka kości udowej:</w:t>
            </w:r>
          </w:p>
          <w:p w14:paraId="2630C20E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a) BMD,</w:t>
            </w:r>
          </w:p>
          <w:p w14:paraId="37916D4D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b) BMC,</w:t>
            </w:r>
          </w:p>
          <w:p w14:paraId="611AF11F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c) powierzchnia dla szyjki kości udowej,  oraz dla „Total”,</w:t>
            </w:r>
          </w:p>
          <w:p w14:paraId="61A11D68" w14:textId="77777777" w:rsidR="00BB2640" w:rsidRPr="00074E29" w:rsidRDefault="00BB2640" w:rsidP="00BB2640">
            <w:pPr>
              <w:tabs>
                <w:tab w:val="left" w:pos="1200"/>
              </w:tabs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d)  wskaźnik 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</w:t>
            </w:r>
          </w:p>
          <w:p w14:paraId="7CF2153D" w14:textId="77777777" w:rsidR="00BB2640" w:rsidRPr="00074E29" w:rsidRDefault="00BB2640" w:rsidP="00BB2640">
            <w:pPr>
              <w:tabs>
                <w:tab w:val="left" w:pos="1200"/>
              </w:tabs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e)  zmiana procentowa w stosunku do masy szczytowej</w:t>
            </w:r>
          </w:p>
          <w:p w14:paraId="6E25CC07" w14:textId="77777777" w:rsidR="00BB2640" w:rsidRPr="00074E29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f) długość osi szyjki kości udowej i kąt</w:t>
            </w:r>
          </w:p>
          <w:p w14:paraId="32F8E095" w14:textId="3B1126F3" w:rsidR="00352E2F" w:rsidRPr="0079138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g) Wyznaczania wskaźnika BMI oraz odniesienie jego wartości do klasyfikacji WHO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A91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A17D2D4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AE9" w14:textId="57F01A4B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89CED" w14:textId="0DE4245C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Oprogramowanie do pomiaru gęstości w obrębie przedramienia (BMD, BMC oraz powierzchnia, wskaźnik T-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, wskaźnik Z-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, zmiana procentowa w stosunku do masy szczytowej, zmiana procentowa w stosunku do rówieśników), automatyczne odniesienie i wyświetlenie wyniku odniesienia do klasyfikacji WHO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99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A9307A3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75" w14:textId="312D9AFF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B67AB" w14:textId="7F4A7218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Obliczanie indywidualnego 10-letniego ryzyka złamania (ryzyko jakiegokolwiek złamania oraz ryzyko złamania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bkku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) na podstawie algorytmu FRAX wg wytycznych WHO, z zastosowaniem metody Johna A.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Kanisa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(z uwzględnieniem wieku, czynników ryzyka i BMD)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CFC1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28D24A5A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E39" w14:textId="3D9FFAC2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2D88F" w14:textId="47EA3C32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BMD dla całego ciała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658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AEEECCD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641" w14:textId="3D63C150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750FF" w14:textId="64C6E26A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Możliwość dokonania pomiaru w programie dla regionu zainteresowania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81E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3130626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4F82" w14:textId="36FBF5ED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A22AB" w14:textId="06EC938E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Program do analizy kręgosłupa o niskiej gęstości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81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73D39E8C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7B1" w14:textId="7B165318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703FA" w14:textId="3DC75B62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Program do oceny kręgosłupa i szyjki kości udowej o niskiej gęstości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5F44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1BC32CD5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1D0" w14:textId="227EC34C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33345" w14:textId="207CFD3D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proofErr w:type="spellStart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>Atypical</w:t>
            </w:r>
            <w:proofErr w:type="spellEnd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>Femure</w:t>
            </w:r>
            <w:proofErr w:type="spellEnd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>Fracture</w:t>
            </w:r>
            <w:proofErr w:type="spellEnd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- oprogramowanie do pomiaru kości długich i monitorowania mikropęknięć u osób leczonych </w:t>
            </w:r>
            <w:proofErr w:type="spellStart"/>
            <w:r w:rsidRPr="000202E8">
              <w:rPr>
                <w:rFonts w:ascii="Times New Roman" w:hAnsi="Times New Roman"/>
                <w:sz w:val="24"/>
                <w:szCs w:val="24"/>
                <w:lang w:val="pl-PL" w:eastAsia="pl-PL"/>
              </w:rPr>
              <w:t>biofosforanami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53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897E54E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B6BB" w14:textId="7416EC95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DE51F" w14:textId="3C706C02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Morfometria kręgosłupa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12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BC4BDC4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DC2" w14:textId="2E7F1641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65EF3" w14:textId="5A511176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Możliwość ro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budowy o o</w:t>
            </w: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programowanie TBS (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trabecular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bone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score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) </w:t>
            </w:r>
            <w:r w:rsidRPr="00074E29">
              <w:rPr>
                <w:rFonts w:ascii="Times New Roman" w:hAnsi="Times New Roman"/>
                <w:sz w:val="24"/>
                <w:szCs w:val="24"/>
                <w:lang w:val="pl-PL" w:eastAsia="pl-PL"/>
              </w:rPr>
              <w:t>dostępne na dzień składania ofert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5116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3605F007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CF3" w14:textId="5C85747C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91A77" w14:textId="2DD956C5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Możliwość rozbudowy o innowacyjne oprogramowanie 3D-SHAPER - wykorzystuje algorytm oparty o model do analizy kości udowej w 3D ze standardowego skanowania DXA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5F3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F8A2E89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197" w14:textId="06D28DB8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D878D" w14:textId="0292FEFA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Konfigurowalny przez użytkownika wyglądu raportu z badania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00D2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77D065D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B17" w14:textId="5693890F" w:rsidR="00352E2F" w:rsidRDefault="00352E2F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9EBB8" w14:textId="310C1ECB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Limit wagi pacjenta  dopuszczona przez oprogramowanie aparatu - min. 200kg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CDEE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116EE14A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4FF" w14:textId="16F52130" w:rsidR="00352E2F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45419" w14:textId="4075EA14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Tworzenia wielu baz danych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EA3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69F9CEF5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0EA" w14:textId="5506FC83" w:rsidR="00352E2F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F7137" w14:textId="114DF73A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Komplet fantomów wg zaleceń producenta, min. fantom antropomorficzny kręgosłupa, akcesoria do pozycjonowania pacjenta, stolik (biurko) pod zestaw sterujący, krzesło obrotowe, szafka na akces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o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ria, stopień dla pacjenta ułatwiający wejście i zejście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D83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5AA59491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B13" w14:textId="081211C6" w:rsidR="00352E2F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9F002" w14:textId="77777777" w:rsidR="00FB1160" w:rsidRPr="00FB1160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komputero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 stacji roboczej w klasie PC,</w:t>
            </w:r>
          </w:p>
          <w:p w14:paraId="1DF482A8" w14:textId="135B61A2" w:rsidR="00BB2640" w:rsidRPr="00FB1160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operacyjny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FB1160" w:rsidRPr="00F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bitowe oprogramowanie zarządzające systemem komputerowym, tworzące środowisko do uruchamiania oprogramowania opisanego w OPZ, umożliwiający podłączenie do domeny Active Directory</w:t>
            </w: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4845399A" w14:textId="77777777" w:rsidR="00BB2640" w:rsidRPr="00FB1160" w:rsidRDefault="00BB2640" w:rsidP="00BB2640">
            <w:pP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Parametry minimalne:</w:t>
            </w:r>
          </w:p>
          <w:p w14:paraId="22BFA93B" w14:textId="2AEC777F" w:rsidR="00BB2640" w:rsidRPr="00FB1160" w:rsidRDefault="00BB2640" w:rsidP="00BB2640">
            <w:pPr>
              <w:pBdr>
                <w:bottom w:val="single" w:sz="4" w:space="6" w:color="CECECE"/>
              </w:pBd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Procesor: </w:t>
            </w:r>
            <w:r w:rsidR="00FB1160" w:rsidRPr="00F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taktowanie rdzenia: min.  3.0 GHz, liczba rdzeni fizycznych: nie mniej niż 4 rdzenie, liczba wątków: nie mniej niż 8 wątków</w:t>
            </w: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2DCBFF92" w14:textId="4CB11BB4" w:rsidR="00BB2640" w:rsidRPr="00FB1160" w:rsidRDefault="00BB2640" w:rsidP="00BB2640">
            <w:pPr>
              <w:pBdr>
                <w:bottom w:val="single" w:sz="4" w:space="6" w:color="CECECE"/>
              </w:pBd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Pamięć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RAM</w:t>
            </w: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min. 8GB </w:t>
            </w:r>
          </w:p>
          <w:p w14:paraId="0618544B" w14:textId="0A5EAAEE" w:rsidR="00BB2640" w:rsidRPr="00FB1160" w:rsidRDefault="00BB2640" w:rsidP="00BB2640">
            <w:pPr>
              <w:pBdr>
                <w:bottom w:val="single" w:sz="4" w:space="6" w:color="CECECE"/>
              </w:pBdr>
              <w:suppressAutoHyphens/>
              <w:overflowPunct w:val="0"/>
              <w:spacing w:line="252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Dysk</w:t>
            </w:r>
            <w:r w:rsidR="00FB1160" w:rsidRPr="00FB116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systemowy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 min. 500GB</w:t>
            </w:r>
          </w:p>
          <w:p w14:paraId="7D64FEA8" w14:textId="57870788" w:rsidR="00FB1160" w:rsidRPr="00FB1160" w:rsidRDefault="00FB116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 LCD o przekątnej nie mniejszej niż 17” i rozdzielczości nie mniejszej niż Full HD</w:t>
            </w:r>
          </w:p>
          <w:p w14:paraId="05D95DB6" w14:textId="7B3ABF07" w:rsidR="00FB1160" w:rsidRPr="00FB1160" w:rsidRDefault="00FB116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Klawiatura i mysz</w:t>
            </w:r>
            <w:r w:rsidR="00BE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(bezprzewodowa, przewodowa)</w:t>
            </w:r>
          </w:p>
          <w:p w14:paraId="2ECF5B39" w14:textId="6CD01598" w:rsidR="00352E2F" w:rsidRPr="00FB1160" w:rsidRDefault="00BB2640" w:rsidP="00BB2640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pl-PL" w:eastAsia="en-US"/>
              </w:rPr>
            </w:pPr>
            <w:r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Kolorowa drukarka laserowa</w:t>
            </w:r>
            <w:r w:rsidR="00FB1160" w:rsidRPr="00FB11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2F2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352E2F" w:rsidRPr="00C343D0" w14:paraId="1926A671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2AC" w14:textId="268A7C01" w:rsidR="00352E2F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D5BB6" w14:textId="5C35AB07" w:rsidR="00352E2F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Wykonanie projektu osłon stałych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D0C" w14:textId="77777777" w:rsidR="00352E2F" w:rsidRPr="00935425" w:rsidRDefault="00352E2F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718ECFEC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FD0" w14:textId="1E7FAD28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BC884" w14:textId="5732B113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Opcja DICOM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Send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482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6942B98F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2A1" w14:textId="23228CBC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F1190" w14:textId="43B98B42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Wykonanie testów akceptacyjnych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832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49AB1CEE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328" w14:textId="7F7DBA6C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5780F" w14:textId="533B19F2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Instrukcja obsługi w języku polskim –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egz. w wersji papierowej, 1 egz. w wersji elektronicznej – załączyć przy dostawie urządzenia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22F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306BD92E" w14:textId="77777777" w:rsidTr="00CA2294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B7B8" w14:textId="1565AEEF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DED7" w14:textId="6ADC7E33" w:rsidR="00BB2640" w:rsidRPr="00CA2294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CA2294">
              <w:rPr>
                <w:rFonts w:ascii="Times New Roman" w:hAnsi="Times New Roman"/>
                <w:sz w:val="24"/>
                <w:szCs w:val="24"/>
                <w:lang w:val="pl-PL"/>
              </w:rPr>
              <w:t>Udzielenie gwarancji  jakości dla przedmiotu zamówienia na okres nie krótszy niż 24 miesięcy oraz rękojmi za wady na okres równy okresowi udzielonej gwarancji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583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008B461D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218" w14:textId="78F4B74D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69806" w14:textId="6137F97F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Wykonanie w cenie oferty obowiązkowych przeglądów w okresie gwarancji, zgodnie z wymaganiami i w ilościach zalecanymi przez producenta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F0E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1A40F3EC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AD5" w14:textId="5F28F2D1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E3556" w14:textId="220158D4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Autoryzowany serwis gwarancyjny osobiście lub przez podmiot określony w art. 90 (Rozdział 11 – używanie i utrzymywanie wyrobów) ustawy z dnia 20 maja 2010 r. o wyrobach medycznych ( Dz. Ust. Nr 107 poz. 679 z </w:t>
            </w:r>
            <w:proofErr w:type="spellStart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zm.), w okresie udzielonej Zamawiającemu gwarancji i rękojmi za wady na okres równy okresowi udzielonej gwarancji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8A3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06A7E215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4F4" w14:textId="40F820DB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3A2D" w14:textId="65D3AF0C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Siedziba autoryzowanego serwisu - dokładny adres i nr telefonu, adres 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967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05183867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50D" w14:textId="0A113EBD" w:rsidR="00BB2640" w:rsidRPr="00C15BBA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15B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DE11F" w14:textId="14585E0D" w:rsidR="00BB2640" w:rsidRPr="00C15BBA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C15BBA">
              <w:rPr>
                <w:rFonts w:ascii="Times New Roman" w:hAnsi="Times New Roman"/>
                <w:sz w:val="24"/>
                <w:szCs w:val="24"/>
                <w:lang w:val="pl-PL"/>
              </w:rPr>
              <w:t>Czas reakcji serwisu do 24 godzin w dni robocze od momentu zgłoszenia wady (awarii) rozumiany jako podjęcie działań naprawczych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D3C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5E99039F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457" w14:textId="52A08F95" w:rsidR="00BB2640" w:rsidRPr="00C15BBA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15BB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9A491" w14:textId="66D2E87E" w:rsidR="00BB2640" w:rsidRPr="00C15BBA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C15BBA">
              <w:rPr>
                <w:rFonts w:ascii="Times New Roman" w:hAnsi="Times New Roman"/>
                <w:sz w:val="24"/>
                <w:szCs w:val="24"/>
                <w:lang w:val="pl-PL"/>
              </w:rPr>
              <w:t>Maksymalny czas usunięcia awarii w ramach gwarancji nie może przekroczyć 5 dni roboczych, w przypadku gdy taka naprawa nie będzie wymagała sprowadzenia części z zagranicy oraz nie może przekroczyć 8 dni roboczych w przypadku gdy do naprawy będzie wymagana  konieczność sprowadzenia części zamiennych z zagranicy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9E6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6EB60980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726" w14:textId="74B1266F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0D538" w14:textId="3E62ADC9" w:rsidR="00BB2640" w:rsidRPr="00CA2294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CA2294">
              <w:rPr>
                <w:rFonts w:ascii="Times New Roman" w:hAnsi="Times New Roman"/>
                <w:sz w:val="24"/>
                <w:szCs w:val="24"/>
                <w:lang w:val="pl-PL"/>
              </w:rPr>
              <w:t>Gwarancja dostępności części zamiennych, materiałów eksploatacyjnych – minimum 10 lat od daty dostarc</w:t>
            </w:r>
            <w:bookmarkStart w:id="0" w:name="_GoBack"/>
            <w:bookmarkEnd w:id="0"/>
            <w:r w:rsidRPr="00CA2294">
              <w:rPr>
                <w:rFonts w:ascii="Times New Roman" w:hAnsi="Times New Roman"/>
                <w:sz w:val="24"/>
                <w:szCs w:val="24"/>
                <w:lang w:val="pl-PL"/>
              </w:rPr>
              <w:t>zenia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C12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66A33550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0F8" w14:textId="4B1C7253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FF278" w14:textId="01B169B0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W okresie gwarancji 3 naprawy tego samego elementu powoduje wymianę tego elementu na nowy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068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B2640" w:rsidRPr="00C343D0" w14:paraId="36D7188D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2E9B" w14:textId="1D5AB9B0" w:rsidR="00BB2640" w:rsidRDefault="00BB2640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5C367" w14:textId="40793372" w:rsidR="00BB2640" w:rsidRPr="00791380" w:rsidRDefault="00BB2640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val="pl-P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</w:t>
            </w:r>
            <w:r w:rsidRPr="00074E29">
              <w:rPr>
                <w:rFonts w:ascii="Times New Roman" w:hAnsi="Times New Roman"/>
                <w:sz w:val="24"/>
                <w:szCs w:val="24"/>
                <w:lang w:val="pl-PL"/>
              </w:rPr>
              <w:t>rzeszkolenie personelu w zakresie poprawnej i bezpiecznej eksploatacji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11F" w14:textId="77777777" w:rsidR="00BB2640" w:rsidRPr="00935425" w:rsidRDefault="00BB2640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5A1B48" w:rsidRPr="00C343D0" w14:paraId="592DD974" w14:textId="77777777" w:rsidTr="00A50DA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E9D" w14:textId="16DBD5AE" w:rsidR="005A1B48" w:rsidRDefault="005A1B48" w:rsidP="00352E2F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13853" w14:textId="0C17CF79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Wymagamy, aby urządzenie było:</w:t>
            </w:r>
          </w:p>
          <w:p w14:paraId="3B16E381" w14:textId="77777777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- </w:t>
            </w:r>
            <w:r w:rsidRPr="00074E29"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fabrycznie nowe, wyprodukowane w 2021 r., </w:t>
            </w:r>
          </w:p>
          <w:p w14:paraId="35D407D9" w14:textId="77777777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- </w:t>
            </w:r>
            <w:r w:rsidRPr="00074E29"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nieużywane, nie będące przedmiotem wystaw, badań naukowych, prac rozwojowych, usług badawczych, nie będące przedmiotem podemonstracyjnym i rekondycjonowanym, wcześniej nie wykorzystywane w jakimkolwiek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celu przez inny podmiot,</w:t>
            </w:r>
          </w:p>
          <w:p w14:paraId="1C6F6FC4" w14:textId="5DEFBCEC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- </w:t>
            </w:r>
            <w:r w:rsidRPr="00074E29"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dopuszczony do obrotu i stosowania na terenie Rzeczpospolitej Polskiej zgodnie z obowiązującymi przepisami prawa (deklaracja zgodności na cały aparat)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,</w:t>
            </w:r>
          </w:p>
          <w:p w14:paraId="3120BEBF" w14:textId="087F073D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- kompletne,</w:t>
            </w:r>
          </w:p>
          <w:p w14:paraId="75053852" w14:textId="0C456992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- </w:t>
            </w:r>
            <w:r w:rsidRPr="00074E29"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gotowe do użycia po zainstalowaniu bez konieczności dokon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ywania zakupów uzupełniających,</w:t>
            </w:r>
          </w:p>
          <w:p w14:paraId="00C65389" w14:textId="014696E7" w:rsidR="005A1B48" w:rsidRDefault="005A1B48" w:rsidP="00352E2F">
            <w:pPr>
              <w:autoSpaceDE/>
              <w:autoSpaceDN/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>- z instrukcją</w:t>
            </w:r>
            <w:r w:rsidRPr="00074E29"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  <w:t xml:space="preserve"> obsługi w języku polskim (wraz z dostawą)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40B" w14:textId="77777777" w:rsidR="005A1B48" w:rsidRPr="00935425" w:rsidRDefault="005A1B48" w:rsidP="00352E2F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1872A03" w14:textId="77777777" w:rsidR="000B6E5A" w:rsidRDefault="000B6E5A" w:rsidP="00920CEF">
      <w:pPr>
        <w:pStyle w:val="Akapitzlist"/>
        <w:spacing w:after="0" w:line="320" w:lineRule="atLeast"/>
        <w:ind w:left="0"/>
        <w:jc w:val="both"/>
        <w:rPr>
          <w:rFonts w:ascii="Palatino Linotype" w:hAnsi="Palatino Linotype"/>
        </w:rPr>
      </w:pPr>
    </w:p>
    <w:p w14:paraId="3988D1EC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50EA1B82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402E1CB9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D66DD9" w:rsidRPr="00CB152B" w:rsidSect="00A50DA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EA27" w14:textId="77777777" w:rsidR="002C66B8" w:rsidRDefault="002C66B8">
      <w:pPr>
        <w:spacing w:after="0"/>
      </w:pPr>
      <w:r>
        <w:separator/>
      </w:r>
    </w:p>
  </w:endnote>
  <w:endnote w:type="continuationSeparator" w:id="0">
    <w:p w14:paraId="497DBA53" w14:textId="77777777" w:rsidR="002C66B8" w:rsidRDefault="002C66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24"/>
        <w:lang w:val="pl-PL"/>
      </w:rPr>
      <w:id w:val="160838173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  <w:lang w:val="cs-CZ"/>
      </w:rPr>
    </w:sdtEndPr>
    <w:sdtContent>
      <w:p w14:paraId="268ED32E" w14:textId="006A7D92" w:rsidR="002B7F47" w:rsidRDefault="002B7F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B7F47">
          <w:rPr>
            <w:rFonts w:ascii="Times New Roman" w:eastAsiaTheme="majorEastAsia" w:hAnsi="Times New Roman" w:cs="Times New Roman"/>
            <w:sz w:val="16"/>
            <w:szCs w:val="24"/>
            <w:lang w:val="pl-PL"/>
          </w:rPr>
          <w:t xml:space="preserve">str. </w:t>
        </w:r>
        <w:r w:rsidRPr="002B7F47">
          <w:rPr>
            <w:rFonts w:ascii="Times New Roman" w:eastAsiaTheme="minorEastAsia" w:hAnsi="Times New Roman" w:cs="Times New Roman"/>
            <w:sz w:val="16"/>
            <w:szCs w:val="24"/>
          </w:rPr>
          <w:fldChar w:fldCharType="begin"/>
        </w:r>
        <w:r w:rsidRPr="002B7F47">
          <w:rPr>
            <w:rFonts w:ascii="Times New Roman" w:hAnsi="Times New Roman" w:cs="Times New Roman"/>
            <w:sz w:val="16"/>
            <w:szCs w:val="24"/>
          </w:rPr>
          <w:instrText>PAGE    \* MERGEFORMAT</w:instrText>
        </w:r>
        <w:r w:rsidRPr="002B7F47">
          <w:rPr>
            <w:rFonts w:ascii="Times New Roman" w:eastAsiaTheme="minorEastAsia" w:hAnsi="Times New Roman" w:cs="Times New Roman"/>
            <w:sz w:val="16"/>
            <w:szCs w:val="24"/>
          </w:rPr>
          <w:fldChar w:fldCharType="separate"/>
        </w:r>
        <w:r w:rsidR="00C15BBA" w:rsidRPr="00C15BBA">
          <w:rPr>
            <w:rFonts w:ascii="Times New Roman" w:eastAsiaTheme="majorEastAsia" w:hAnsi="Times New Roman" w:cs="Times New Roman"/>
            <w:noProof/>
            <w:sz w:val="16"/>
            <w:szCs w:val="24"/>
            <w:lang w:val="pl-PL"/>
          </w:rPr>
          <w:t>8</w:t>
        </w:r>
        <w:r w:rsidRPr="002B7F47">
          <w:rPr>
            <w:rFonts w:ascii="Times New Roman" w:eastAsiaTheme="majorEastAsia" w:hAnsi="Times New Roman" w:cs="Times New Roman"/>
            <w:sz w:val="16"/>
            <w:szCs w:val="24"/>
          </w:rPr>
          <w:fldChar w:fldCharType="end"/>
        </w:r>
      </w:p>
    </w:sdtContent>
  </w:sdt>
  <w:p w14:paraId="3C5BEC67" w14:textId="77777777" w:rsidR="00FD24CA" w:rsidRDefault="00FD2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8444" w14:textId="77777777" w:rsidR="002C66B8" w:rsidRDefault="002C66B8">
      <w:pPr>
        <w:spacing w:after="0"/>
      </w:pPr>
      <w:r>
        <w:separator/>
      </w:r>
    </w:p>
  </w:footnote>
  <w:footnote w:type="continuationSeparator" w:id="0">
    <w:p w14:paraId="3014F6B4" w14:textId="77777777" w:rsidR="002C66B8" w:rsidRDefault="002C6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5216" w14:textId="3A1EAD56" w:rsidR="00FD24CA" w:rsidRPr="003273ED" w:rsidRDefault="003273ED" w:rsidP="00796A2E">
    <w:pPr>
      <w:pStyle w:val="Nagwek"/>
      <w:jc w:val="right"/>
      <w:rPr>
        <w:rFonts w:ascii="Arial Narrow" w:hAnsi="Arial Narrow"/>
        <w:sz w:val="22"/>
      </w:rPr>
    </w:pPr>
    <w:r w:rsidRPr="003273ED">
      <w:rPr>
        <w:rFonts w:ascii="Arial Narrow" w:hAnsi="Arial Narrow"/>
        <w:sz w:val="22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2BE"/>
    <w:multiLevelType w:val="hybridMultilevel"/>
    <w:tmpl w:val="BEF44224"/>
    <w:lvl w:ilvl="0" w:tplc="5FA46E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B99"/>
    <w:multiLevelType w:val="hybridMultilevel"/>
    <w:tmpl w:val="FC8889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222E0"/>
    <w:multiLevelType w:val="multilevel"/>
    <w:tmpl w:val="78E4222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626883"/>
    <w:multiLevelType w:val="hybridMultilevel"/>
    <w:tmpl w:val="6EE0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5152"/>
    <w:multiLevelType w:val="hybridMultilevel"/>
    <w:tmpl w:val="19D0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06B"/>
    <w:multiLevelType w:val="hybridMultilevel"/>
    <w:tmpl w:val="A0626B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1285"/>
    <w:multiLevelType w:val="hybridMultilevel"/>
    <w:tmpl w:val="76C6F0B6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2508"/>
    <w:multiLevelType w:val="hybridMultilevel"/>
    <w:tmpl w:val="F6FE13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7BED"/>
    <w:multiLevelType w:val="multilevel"/>
    <w:tmpl w:val="5F2C7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val="pl-P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B39C2"/>
    <w:multiLevelType w:val="hybridMultilevel"/>
    <w:tmpl w:val="DF98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416"/>
    <w:multiLevelType w:val="hybridMultilevel"/>
    <w:tmpl w:val="06065F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B00AB"/>
    <w:multiLevelType w:val="hybridMultilevel"/>
    <w:tmpl w:val="61DEF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17AC"/>
    <w:multiLevelType w:val="hybridMultilevel"/>
    <w:tmpl w:val="F7D2D5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C133C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966"/>
    <w:multiLevelType w:val="hybridMultilevel"/>
    <w:tmpl w:val="44E43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1A42"/>
    <w:multiLevelType w:val="hybridMultilevel"/>
    <w:tmpl w:val="046C17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1649D8"/>
    <w:multiLevelType w:val="hybridMultilevel"/>
    <w:tmpl w:val="737835FA"/>
    <w:lvl w:ilvl="0" w:tplc="3A205878">
      <w:numFmt w:val="bullet"/>
      <w:lvlText w:val="-"/>
      <w:lvlJc w:val="left"/>
      <w:pPr>
        <w:ind w:left="98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7" w15:restartNumberingAfterBreak="0">
    <w:nsid w:val="44C506C8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4E48"/>
    <w:multiLevelType w:val="hybridMultilevel"/>
    <w:tmpl w:val="CD247B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11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E8083D"/>
    <w:multiLevelType w:val="hybridMultilevel"/>
    <w:tmpl w:val="5678B2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6D923846"/>
    <w:multiLevelType w:val="hybridMultilevel"/>
    <w:tmpl w:val="4D3ED7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7D11"/>
    <w:multiLevelType w:val="hybridMultilevel"/>
    <w:tmpl w:val="AAF04900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43CFE"/>
    <w:multiLevelType w:val="hybridMultilevel"/>
    <w:tmpl w:val="9358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8"/>
  </w:num>
  <w:num w:numId="5">
    <w:abstractNumId w:val="20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4"/>
  </w:num>
  <w:num w:numId="21">
    <w:abstractNumId w:val="8"/>
  </w:num>
  <w:num w:numId="22">
    <w:abstractNumId w:val="14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DU1M7U0MzS3NDdQ0lEKTi0uzszPAykwrQUAMyqXQiwAAAA="/>
  </w:docVars>
  <w:rsids>
    <w:rsidRoot w:val="002B6188"/>
    <w:rsid w:val="0001587D"/>
    <w:rsid w:val="00015EE5"/>
    <w:rsid w:val="0001755B"/>
    <w:rsid w:val="000309F7"/>
    <w:rsid w:val="00065459"/>
    <w:rsid w:val="00067B94"/>
    <w:rsid w:val="00081BA5"/>
    <w:rsid w:val="00090AE2"/>
    <w:rsid w:val="000A139C"/>
    <w:rsid w:val="000B6E5A"/>
    <w:rsid w:val="000F35FF"/>
    <w:rsid w:val="001052D2"/>
    <w:rsid w:val="00106CB3"/>
    <w:rsid w:val="00106D25"/>
    <w:rsid w:val="00123C9A"/>
    <w:rsid w:val="001274CE"/>
    <w:rsid w:val="001659C5"/>
    <w:rsid w:val="001750EE"/>
    <w:rsid w:val="00186064"/>
    <w:rsid w:val="00192213"/>
    <w:rsid w:val="001C1B18"/>
    <w:rsid w:val="001C7933"/>
    <w:rsid w:val="001F3EFD"/>
    <w:rsid w:val="00215B9A"/>
    <w:rsid w:val="00221426"/>
    <w:rsid w:val="00241191"/>
    <w:rsid w:val="0025265B"/>
    <w:rsid w:val="002561EB"/>
    <w:rsid w:val="002654E5"/>
    <w:rsid w:val="00272D2B"/>
    <w:rsid w:val="002828C3"/>
    <w:rsid w:val="002B6188"/>
    <w:rsid w:val="002B7F47"/>
    <w:rsid w:val="002C3B29"/>
    <w:rsid w:val="002C66B8"/>
    <w:rsid w:val="002D510B"/>
    <w:rsid w:val="002D7BEE"/>
    <w:rsid w:val="002E3F14"/>
    <w:rsid w:val="002F6154"/>
    <w:rsid w:val="003015D1"/>
    <w:rsid w:val="00320FB7"/>
    <w:rsid w:val="003273ED"/>
    <w:rsid w:val="00352E2F"/>
    <w:rsid w:val="003570AD"/>
    <w:rsid w:val="00374A37"/>
    <w:rsid w:val="00394179"/>
    <w:rsid w:val="003A19D0"/>
    <w:rsid w:val="003B4B0C"/>
    <w:rsid w:val="003C3535"/>
    <w:rsid w:val="003C4571"/>
    <w:rsid w:val="003D3EEB"/>
    <w:rsid w:val="003F0363"/>
    <w:rsid w:val="003F5CF0"/>
    <w:rsid w:val="003F63EB"/>
    <w:rsid w:val="00425E0D"/>
    <w:rsid w:val="00447188"/>
    <w:rsid w:val="004624CD"/>
    <w:rsid w:val="004E1D8F"/>
    <w:rsid w:val="005421E2"/>
    <w:rsid w:val="00542844"/>
    <w:rsid w:val="0057109D"/>
    <w:rsid w:val="005A03F7"/>
    <w:rsid w:val="005A1B48"/>
    <w:rsid w:val="005C1C50"/>
    <w:rsid w:val="005E2CE3"/>
    <w:rsid w:val="005F6BC3"/>
    <w:rsid w:val="00625025"/>
    <w:rsid w:val="006436E5"/>
    <w:rsid w:val="006522F0"/>
    <w:rsid w:val="00660B3C"/>
    <w:rsid w:val="00667117"/>
    <w:rsid w:val="0067601E"/>
    <w:rsid w:val="00716AE8"/>
    <w:rsid w:val="007303D4"/>
    <w:rsid w:val="00742C09"/>
    <w:rsid w:val="007449FA"/>
    <w:rsid w:val="00791380"/>
    <w:rsid w:val="00792023"/>
    <w:rsid w:val="00796A2E"/>
    <w:rsid w:val="007A14CE"/>
    <w:rsid w:val="007B23A3"/>
    <w:rsid w:val="007C794F"/>
    <w:rsid w:val="007E6618"/>
    <w:rsid w:val="007F38B7"/>
    <w:rsid w:val="00812FB9"/>
    <w:rsid w:val="008450A6"/>
    <w:rsid w:val="00870B09"/>
    <w:rsid w:val="008B7D17"/>
    <w:rsid w:val="008F7C7D"/>
    <w:rsid w:val="00906275"/>
    <w:rsid w:val="00907FD2"/>
    <w:rsid w:val="00920CEF"/>
    <w:rsid w:val="00924D49"/>
    <w:rsid w:val="0093011E"/>
    <w:rsid w:val="00935425"/>
    <w:rsid w:val="00976A20"/>
    <w:rsid w:val="00976EDC"/>
    <w:rsid w:val="009A42F7"/>
    <w:rsid w:val="009A76D4"/>
    <w:rsid w:val="009B02F5"/>
    <w:rsid w:val="009F03F1"/>
    <w:rsid w:val="00A22882"/>
    <w:rsid w:val="00A24644"/>
    <w:rsid w:val="00A35271"/>
    <w:rsid w:val="00A37C9C"/>
    <w:rsid w:val="00A42526"/>
    <w:rsid w:val="00A47F10"/>
    <w:rsid w:val="00A50DA1"/>
    <w:rsid w:val="00AB550F"/>
    <w:rsid w:val="00AD455D"/>
    <w:rsid w:val="00B02044"/>
    <w:rsid w:val="00B15251"/>
    <w:rsid w:val="00B55550"/>
    <w:rsid w:val="00B57AE5"/>
    <w:rsid w:val="00B96BD8"/>
    <w:rsid w:val="00BB2640"/>
    <w:rsid w:val="00BC1432"/>
    <w:rsid w:val="00BE0115"/>
    <w:rsid w:val="00BE5BCA"/>
    <w:rsid w:val="00BF6FBF"/>
    <w:rsid w:val="00C15BBA"/>
    <w:rsid w:val="00C16992"/>
    <w:rsid w:val="00C30C07"/>
    <w:rsid w:val="00C343D0"/>
    <w:rsid w:val="00C57410"/>
    <w:rsid w:val="00C61181"/>
    <w:rsid w:val="00CA2294"/>
    <w:rsid w:val="00D3538F"/>
    <w:rsid w:val="00D41856"/>
    <w:rsid w:val="00D64EED"/>
    <w:rsid w:val="00D66DD9"/>
    <w:rsid w:val="00D70FE4"/>
    <w:rsid w:val="00D940B6"/>
    <w:rsid w:val="00DE2549"/>
    <w:rsid w:val="00E2359B"/>
    <w:rsid w:val="00E435F9"/>
    <w:rsid w:val="00E57389"/>
    <w:rsid w:val="00EA4C91"/>
    <w:rsid w:val="00EB7F19"/>
    <w:rsid w:val="00EC44CB"/>
    <w:rsid w:val="00EC589B"/>
    <w:rsid w:val="00EC7224"/>
    <w:rsid w:val="00F01F57"/>
    <w:rsid w:val="00F05B48"/>
    <w:rsid w:val="00F44398"/>
    <w:rsid w:val="00F82290"/>
    <w:rsid w:val="00F82632"/>
    <w:rsid w:val="00F92EBA"/>
    <w:rsid w:val="00FB1160"/>
    <w:rsid w:val="00FC0EBE"/>
    <w:rsid w:val="00FD24CA"/>
    <w:rsid w:val="00FD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4B26"/>
  <w15:docId w15:val="{33B368B2-B60E-4427-A332-997B07BC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188"/>
    <w:pPr>
      <w:autoSpaceDE w:val="0"/>
      <w:autoSpaceDN w:val="0"/>
      <w:spacing w:after="120" w:line="240" w:lineRule="auto"/>
    </w:pPr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7449FA"/>
    <w:pPr>
      <w:keepNext/>
      <w:numPr>
        <w:numId w:val="2"/>
      </w:numPr>
      <w:autoSpaceDE/>
      <w:autoSpaceDN/>
      <w:spacing w:before="240" w:after="60"/>
      <w:jc w:val="both"/>
      <w:outlineLvl w:val="0"/>
    </w:pPr>
    <w:rPr>
      <w:rFonts w:ascii="Century Gothic" w:hAnsi="Century Gothic" w:cs="Century Gothic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49FA"/>
    <w:pPr>
      <w:keepNext/>
      <w:numPr>
        <w:ilvl w:val="1"/>
        <w:numId w:val="2"/>
      </w:numPr>
      <w:autoSpaceDE/>
      <w:autoSpaceDN/>
      <w:spacing w:before="240" w:after="60"/>
      <w:jc w:val="both"/>
      <w:outlineLvl w:val="1"/>
    </w:pPr>
    <w:rPr>
      <w:rFonts w:ascii="Century Gothic" w:hAnsi="Century Gothic" w:cs="Century Gothic"/>
      <w:b/>
      <w:bCs/>
      <w:kern w:val="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49FA"/>
    <w:pPr>
      <w:keepNext/>
      <w:numPr>
        <w:ilvl w:val="2"/>
        <w:numId w:val="2"/>
      </w:numPr>
      <w:autoSpaceDE/>
      <w:autoSpaceDN/>
      <w:spacing w:before="240" w:after="60"/>
      <w:jc w:val="both"/>
      <w:outlineLvl w:val="2"/>
    </w:pPr>
    <w:rPr>
      <w:rFonts w:ascii="Century Gothic" w:hAnsi="Century Gothic" w:cs="Century Gothic"/>
      <w:b/>
      <w:bCs/>
      <w:kern w:val="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9FA"/>
    <w:pPr>
      <w:keepNext/>
      <w:numPr>
        <w:ilvl w:val="3"/>
        <w:numId w:val="2"/>
      </w:numPr>
      <w:autoSpaceDE/>
      <w:autoSpaceDN/>
      <w:spacing w:before="240" w:after="60"/>
      <w:jc w:val="both"/>
      <w:outlineLvl w:val="3"/>
    </w:pPr>
    <w:rPr>
      <w:rFonts w:ascii="Calibri" w:hAnsi="Calibri" w:cs="Calibri"/>
      <w:b/>
      <w:bCs/>
      <w:kern w:val="0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449FA"/>
    <w:pPr>
      <w:numPr>
        <w:ilvl w:val="4"/>
        <w:numId w:val="2"/>
      </w:numPr>
      <w:autoSpaceDE/>
      <w:autoSpaceDN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449FA"/>
    <w:pPr>
      <w:numPr>
        <w:ilvl w:val="5"/>
        <w:numId w:val="2"/>
      </w:numPr>
      <w:autoSpaceDE/>
      <w:autoSpaceDN/>
      <w:spacing w:before="240" w:after="60"/>
      <w:jc w:val="both"/>
      <w:outlineLvl w:val="5"/>
    </w:pPr>
    <w:rPr>
      <w:rFonts w:ascii="Calibri" w:hAnsi="Calibri" w:cs="Calibri"/>
      <w:b/>
      <w:bCs/>
      <w:kern w:val="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49FA"/>
    <w:pPr>
      <w:numPr>
        <w:ilvl w:val="6"/>
        <w:numId w:val="2"/>
      </w:numPr>
      <w:autoSpaceDE/>
      <w:autoSpaceDN/>
      <w:spacing w:before="240" w:after="60"/>
      <w:jc w:val="both"/>
      <w:outlineLvl w:val="6"/>
    </w:pPr>
    <w:rPr>
      <w:rFonts w:ascii="Calibri" w:hAnsi="Calibri" w:cs="Calibri"/>
      <w:kern w:val="0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49FA"/>
    <w:pPr>
      <w:numPr>
        <w:ilvl w:val="7"/>
        <w:numId w:val="2"/>
      </w:numPr>
      <w:autoSpaceDE/>
      <w:autoSpaceDN/>
      <w:spacing w:before="240" w:after="60"/>
      <w:jc w:val="both"/>
      <w:outlineLvl w:val="7"/>
    </w:pPr>
    <w:rPr>
      <w:rFonts w:ascii="Calibri" w:hAnsi="Calibri" w:cs="Calibri"/>
      <w:i/>
      <w:iCs/>
      <w:kern w:val="0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449FA"/>
    <w:pPr>
      <w:numPr>
        <w:ilvl w:val="8"/>
        <w:numId w:val="2"/>
      </w:numPr>
      <w:autoSpaceDE/>
      <w:autoSpaceDN/>
      <w:spacing w:before="240" w:after="60"/>
      <w:jc w:val="both"/>
      <w:outlineLvl w:val="8"/>
    </w:pPr>
    <w:rPr>
      <w:rFonts w:ascii="Cambria" w:hAnsi="Cambria" w:cs="Cambria"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6188"/>
    <w:pPr>
      <w:ind w:left="720"/>
    </w:pPr>
  </w:style>
  <w:style w:type="paragraph" w:styleId="Zwykytekst">
    <w:name w:val="Plain Text"/>
    <w:basedOn w:val="Normalny"/>
    <w:link w:val="ZwykytekstZnak"/>
    <w:uiPriority w:val="99"/>
    <w:unhideWhenUsed/>
    <w:rsid w:val="002B6188"/>
    <w:pPr>
      <w:autoSpaceDE/>
      <w:autoSpaceDN/>
      <w:spacing w:after="0"/>
    </w:pPr>
    <w:rPr>
      <w:rFonts w:ascii="Consolas" w:hAnsi="Consolas" w:cs="Times New Roman"/>
      <w:kern w:val="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6188"/>
    <w:rPr>
      <w:rFonts w:ascii="Consolas" w:eastAsia="Times New Roman" w:hAnsi="Consolas" w:cs="Times New Roman"/>
      <w:sz w:val="21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AkapitzlistZnak">
    <w:name w:val="Akapit z listą Znak"/>
    <w:link w:val="Akapitzlist"/>
    <w:uiPriority w:val="34"/>
    <w:locked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9"/>
    <w:rsid w:val="007449FA"/>
    <w:rPr>
      <w:rFonts w:ascii="Century Gothic" w:eastAsia="Times New Roman" w:hAnsi="Century Gothic" w:cs="Century Gothic"/>
      <w:b/>
      <w:bCs/>
      <w:kern w:val="32"/>
      <w:sz w:val="20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7449FA"/>
    <w:rPr>
      <w:rFonts w:ascii="Calibri" w:eastAsia="Times New Roman" w:hAnsi="Calibri" w:cs="Calibri"/>
      <w:b/>
      <w:bCs/>
      <w:sz w:val="28"/>
      <w:szCs w:val="28"/>
      <w:lang w:val="en-US" w:eastAsia="cs-CZ"/>
    </w:rPr>
  </w:style>
  <w:style w:type="character" w:customStyle="1" w:styleId="Nagwek5Znak">
    <w:name w:val="Nagłówek 5 Znak"/>
    <w:basedOn w:val="Domylnaczcionkaakapitu"/>
    <w:link w:val="Nagwek5"/>
    <w:uiPriority w:val="99"/>
    <w:rsid w:val="007449FA"/>
    <w:rPr>
      <w:rFonts w:ascii="Calibri" w:eastAsia="Times New Roman" w:hAnsi="Calibri" w:cs="Calibri"/>
      <w:b/>
      <w:bCs/>
      <w:i/>
      <w:iCs/>
      <w:sz w:val="26"/>
      <w:szCs w:val="26"/>
      <w:lang w:val="en-US" w:eastAsia="cs-CZ"/>
    </w:rPr>
  </w:style>
  <w:style w:type="character" w:customStyle="1" w:styleId="Nagwek6Znak">
    <w:name w:val="Nagłówek 6 Znak"/>
    <w:basedOn w:val="Domylnaczcionkaakapitu"/>
    <w:link w:val="Nagwek6"/>
    <w:uiPriority w:val="99"/>
    <w:rsid w:val="007449FA"/>
    <w:rPr>
      <w:rFonts w:ascii="Calibri" w:eastAsia="Times New Roman" w:hAnsi="Calibri" w:cs="Calibri"/>
      <w:b/>
      <w:bCs/>
      <w:sz w:val="20"/>
      <w:szCs w:val="20"/>
      <w:lang w:val="en-US" w:eastAsia="cs-CZ"/>
    </w:rPr>
  </w:style>
  <w:style w:type="character" w:customStyle="1" w:styleId="Nagwek7Znak">
    <w:name w:val="Nagłówek 7 Znak"/>
    <w:basedOn w:val="Domylnaczcionkaakapitu"/>
    <w:link w:val="Nagwek7"/>
    <w:uiPriority w:val="99"/>
    <w:rsid w:val="007449FA"/>
    <w:rPr>
      <w:rFonts w:ascii="Calibri" w:eastAsia="Times New Roman" w:hAnsi="Calibri" w:cs="Calibri"/>
      <w:sz w:val="20"/>
      <w:szCs w:val="20"/>
      <w:lang w:val="en-US" w:eastAsia="cs-CZ"/>
    </w:rPr>
  </w:style>
  <w:style w:type="character" w:customStyle="1" w:styleId="Nagwek8Znak">
    <w:name w:val="Nagłówek 8 Znak"/>
    <w:basedOn w:val="Domylnaczcionkaakapitu"/>
    <w:link w:val="Nagwek8"/>
    <w:uiPriority w:val="99"/>
    <w:rsid w:val="007449FA"/>
    <w:rPr>
      <w:rFonts w:ascii="Calibri" w:eastAsia="Times New Roman" w:hAnsi="Calibri" w:cs="Calibri"/>
      <w:i/>
      <w:iCs/>
      <w:sz w:val="20"/>
      <w:szCs w:val="20"/>
      <w:lang w:val="en-US" w:eastAsia="cs-CZ"/>
    </w:rPr>
  </w:style>
  <w:style w:type="character" w:customStyle="1" w:styleId="Nagwek9Znak">
    <w:name w:val="Nagłówek 9 Znak"/>
    <w:basedOn w:val="Domylnaczcionkaakapitu"/>
    <w:link w:val="Nagwek9"/>
    <w:uiPriority w:val="99"/>
    <w:rsid w:val="007449FA"/>
    <w:rPr>
      <w:rFonts w:ascii="Cambria" w:eastAsia="Times New Roman" w:hAnsi="Cambria" w:cs="Cambria"/>
      <w:sz w:val="20"/>
      <w:szCs w:val="20"/>
      <w:lang w:val="en-US"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E0D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E0D"/>
    <w:rPr>
      <w:rFonts w:ascii=".PalatinoTTEE" w:eastAsia="Times New Roman" w:hAnsi=".PalatinoTTEE" w:cs=".PalatinoTTEE"/>
      <w:b/>
      <w:bCs/>
      <w:kern w:val="28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E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0D"/>
    <w:rPr>
      <w:rFonts w:ascii="Tahoma" w:eastAsia="Times New Roman" w:hAnsi="Tahoma" w:cs="Tahoma"/>
      <w:kern w:val="28"/>
      <w:sz w:val="16"/>
      <w:szCs w:val="16"/>
      <w:lang w:eastAsia="cs-CZ"/>
    </w:rPr>
  </w:style>
  <w:style w:type="character" w:styleId="Hipercze">
    <w:name w:val="Hyperlink"/>
    <w:uiPriority w:val="99"/>
    <w:unhideWhenUsed/>
    <w:rsid w:val="00F8263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6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/>
    </w:pPr>
    <w:rPr>
      <w:rFonts w:ascii="Courier New" w:hAnsi="Courier New" w:cs="Courier New"/>
      <w:kern w:val="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6A20"/>
    <w:rPr>
      <w:rFonts w:ascii="Courier New" w:eastAsia="Times New Roman" w:hAnsi="Courier New" w:cs="Courier New"/>
      <w:sz w:val="20"/>
      <w:szCs w:val="20"/>
      <w:lang w:val="en-US"/>
    </w:rPr>
  </w:style>
  <w:style w:type="paragraph" w:styleId="Bezodstpw">
    <w:name w:val="No Spacing"/>
    <w:uiPriority w:val="1"/>
    <w:qFormat/>
    <w:rsid w:val="008450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1529</Words>
  <Characters>9175</Characters>
  <Application>Microsoft Office Word</Application>
  <DocSecurity>0</DocSecurity>
  <Lines>76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</dc:creator>
  <cp:lastModifiedBy>Barbara Głowacka</cp:lastModifiedBy>
  <cp:revision>5</cp:revision>
  <dcterms:created xsi:type="dcterms:W3CDTF">2021-06-11T10:55:00Z</dcterms:created>
  <dcterms:modified xsi:type="dcterms:W3CDTF">2021-06-17T09:24:00Z</dcterms:modified>
</cp:coreProperties>
</file>