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AC1" w:rsidRPr="00F61AC1" w:rsidRDefault="00F61AC1" w:rsidP="00F61AC1">
      <w:pPr>
        <w:suppressAutoHyphens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18"/>
          <w:szCs w:val="18"/>
          <w:lang w:eastAsia="en-US"/>
        </w:rPr>
      </w:pPr>
      <w:r w:rsidRPr="0048051F">
        <w:rPr>
          <w:rFonts w:ascii="Arial" w:hAnsi="Arial" w:cs="Arial"/>
          <w:b/>
          <w:bCs/>
          <w:sz w:val="18"/>
          <w:szCs w:val="18"/>
          <w:lang w:eastAsia="en-US"/>
        </w:rPr>
        <w:t>Załącznik nr 1 do SWZ</w:t>
      </w: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  <w:lang w:eastAsia="en-US"/>
        </w:rPr>
        <w:t xml:space="preserve"> - modyfikacja</w:t>
      </w:r>
    </w:p>
    <w:p w:rsidR="00F61AC1" w:rsidRPr="0048051F" w:rsidRDefault="00F61AC1" w:rsidP="00F61AC1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48051F">
        <w:rPr>
          <w:rFonts w:ascii="Arial" w:hAnsi="Arial" w:cs="Arial"/>
          <w:b/>
          <w:bCs/>
          <w:sz w:val="18"/>
          <w:szCs w:val="18"/>
          <w:lang w:eastAsia="en-US"/>
        </w:rPr>
        <w:t>Opis przedmiotu zamówienia</w:t>
      </w: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8051F">
        <w:rPr>
          <w:rFonts w:ascii="Arial" w:hAnsi="Arial" w:cs="Arial"/>
          <w:b/>
          <w:bCs/>
          <w:sz w:val="18"/>
          <w:szCs w:val="18"/>
          <w:lang w:eastAsia="en-US"/>
        </w:rPr>
        <w:t>Komputer stacjonarny - 50 szt.</w:t>
      </w:r>
    </w:p>
    <w:tbl>
      <w:tblPr>
        <w:tblW w:w="5441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5328"/>
        <w:gridCol w:w="2976"/>
      </w:tblGrid>
      <w:tr w:rsidR="00F61AC1" w:rsidRPr="0048051F" w:rsidTr="005702EC">
        <w:trPr>
          <w:trHeight w:val="615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127869801"/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Podzespół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Minimalne parametry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Parametry oferowane</w:t>
            </w:r>
          </w:p>
        </w:tc>
      </w:tr>
      <w:bookmarkEnd w:id="0"/>
      <w:tr w:rsidR="00F61AC1" w:rsidRPr="0048051F" w:rsidTr="005702EC">
        <w:trPr>
          <w:trHeight w:val="178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 Typ komputera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Komputer stacjonarny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178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 Zastosowanie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Komputer będzie wykorzystywany dla potrzeb aplikacji biurowych, dostępu do zasobów lokalnej sieci komputerowej oraz usług sieci Internet, aplikacji graficznych wektorowych oraz rastrowych, a także danych multimedialnych. 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1026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 Procesor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Procesor osiągający  w teście wydajności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PassMark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PerformanceTest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(wynik dostępny: http://www.passmark.com/products/pt.htm) co najmniej wynik 17490  punktów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Passmark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CPU Mark na dzień 23.01.2023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733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4. Płyta główna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>chipset dostosowany do oferowanego procesora lub równoważny</w:t>
            </w:r>
          </w:p>
          <w:p w:rsidR="00F61AC1" w:rsidRPr="0048051F" w:rsidRDefault="00F61AC1" w:rsidP="005702E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 xml:space="preserve">minimum 2 </w:t>
            </w:r>
            <w:proofErr w:type="spellStart"/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>sloty</w:t>
            </w:r>
            <w:proofErr w:type="spellEnd"/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 xml:space="preserve"> pamięci lub więcej, obsługującej częstotliwość minimum 3200 MHz lub więcej</w:t>
            </w:r>
          </w:p>
          <w:p w:rsidR="00F61AC1" w:rsidRPr="0048051F" w:rsidRDefault="00F61AC1" w:rsidP="005702E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>minimum 1 x PCI Express 3.0 x 16</w:t>
            </w:r>
          </w:p>
          <w:p w:rsidR="00F61AC1" w:rsidRPr="0048051F" w:rsidRDefault="00F61AC1" w:rsidP="005702E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 xml:space="preserve">minimum 4x złącza SATA 6.0 </w:t>
            </w:r>
            <w:proofErr w:type="spellStart"/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>Gb</w:t>
            </w:r>
            <w:proofErr w:type="spellEnd"/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>/s</w:t>
            </w:r>
          </w:p>
          <w:p w:rsidR="00F61AC1" w:rsidRPr="0048051F" w:rsidRDefault="00F61AC1" w:rsidP="005702E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 xml:space="preserve">minimum 1x M.2 dla dysku SSD o parametrach co najmniej </w:t>
            </w:r>
            <w:proofErr w:type="spellStart"/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>PCIe</w:t>
            </w:r>
            <w:proofErr w:type="spellEnd"/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 xml:space="preserve"> 3.0 x4 </w:t>
            </w:r>
          </w:p>
          <w:p w:rsidR="00F61AC1" w:rsidRPr="0048051F" w:rsidRDefault="00F61AC1" w:rsidP="005702EC">
            <w:pPr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bCs/>
                <w:color w:val="FF0000"/>
                <w:sz w:val="18"/>
                <w:szCs w:val="18"/>
                <w:lang w:eastAsia="ja-JP"/>
              </w:rPr>
              <w:t>1x USB 2.0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5. Pamięć operacyjna RAM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C1" w:rsidRPr="0048051F" w:rsidRDefault="00F61AC1" w:rsidP="005702EC">
            <w:pPr>
              <w:numPr>
                <w:ilvl w:val="0"/>
                <w:numId w:val="2"/>
              </w:numPr>
              <w:suppressAutoHyphens w:val="0"/>
              <w:spacing w:after="0" w:line="360" w:lineRule="auto"/>
              <w:ind w:left="262" w:hanging="262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minimum 16 GB DDR4</w:t>
            </w:r>
          </w:p>
          <w:p w:rsidR="00F61AC1" w:rsidRPr="0048051F" w:rsidRDefault="00F61AC1" w:rsidP="005702EC">
            <w:pPr>
              <w:numPr>
                <w:ilvl w:val="0"/>
                <w:numId w:val="2"/>
              </w:numPr>
              <w:suppressAutoHyphens w:val="0"/>
              <w:spacing w:after="0" w:line="360" w:lineRule="auto"/>
              <w:ind w:left="262" w:hanging="262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minimalny rozmiar możliwego rozszerzenia obsługiwanej pamięci, zapewniony i potwierdzony przez producenta komputera:  </w:t>
            </w:r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 xml:space="preserve">64 GB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6. Porty w tylnej części komputera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Komputer musi posiadać: 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minimum 2 x Display Port 1.4 z obsługą funkcji Multi-</w:t>
            </w:r>
            <w:proofErr w:type="spellStart"/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Stream</w:t>
            </w:r>
            <w:proofErr w:type="spellEnd"/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,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minimum 4 x USB, w tym co najmniej 2x USB 3.2 Gen 1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minimum 1 port sieciowy RJ-45,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osobne porty audio </w:t>
            </w:r>
            <w:proofErr w:type="spellStart"/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line</w:t>
            </w:r>
            <w:proofErr w:type="spellEnd"/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-in i </w:t>
            </w:r>
            <w:proofErr w:type="spellStart"/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line</w:t>
            </w:r>
            <w:proofErr w:type="spellEnd"/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-out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Wymagana ilość i rozmieszczenie (na zewnątrz obudowy komputera) portów USB oraz VIDEO nie może być osiągnięta w wyniku stosowania konwerterów, przejściówek itp.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val="cs-CZ"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6. Porty w przedniej części komputera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  <w:lang w:val="cs-CZ" w:eastAsia="en-US"/>
              </w:rPr>
            </w:pPr>
            <w:r w:rsidRPr="0048051F">
              <w:rPr>
                <w:rFonts w:ascii="Arial" w:hAnsi="Arial" w:cs="Arial"/>
                <w:color w:val="FF0000"/>
                <w:sz w:val="18"/>
                <w:szCs w:val="18"/>
                <w:lang w:val="cs-CZ" w:eastAsia="en-US"/>
              </w:rPr>
              <w:t>Komputer musi posiadać:</w:t>
            </w:r>
          </w:p>
          <w:p w:rsidR="00F61AC1" w:rsidRPr="0048051F" w:rsidRDefault="00F61AC1" w:rsidP="005702EC">
            <w:pPr>
              <w:numPr>
                <w:ilvl w:val="0"/>
                <w:numId w:val="2"/>
              </w:numPr>
              <w:suppressAutoHyphens w:val="0"/>
              <w:spacing w:after="160" w:line="360" w:lineRule="auto"/>
              <w:contextualSpacing/>
              <w:jc w:val="both"/>
              <w:rPr>
                <w:rFonts w:ascii="Arial" w:hAnsi="Arial" w:cs="Arial"/>
                <w:color w:val="FF0000"/>
                <w:sz w:val="18"/>
                <w:szCs w:val="18"/>
                <w:lang w:val="cs-CZ" w:eastAsia="ja-JP"/>
              </w:rPr>
            </w:pPr>
            <w:r w:rsidRPr="0048051F">
              <w:rPr>
                <w:rFonts w:ascii="Arial" w:hAnsi="Arial" w:cs="Arial"/>
                <w:color w:val="FF0000"/>
                <w:sz w:val="18"/>
                <w:szCs w:val="18"/>
                <w:lang w:val="cs-CZ" w:eastAsia="ja-JP"/>
              </w:rPr>
              <w:t xml:space="preserve">minumum 5 x USB, w tym min. 1x USB 3.2, 1x USB 3.2 typu C; </w:t>
            </w:r>
          </w:p>
          <w:p w:rsidR="00F61AC1" w:rsidRPr="0048051F" w:rsidRDefault="00F61AC1" w:rsidP="005702EC">
            <w:pPr>
              <w:numPr>
                <w:ilvl w:val="0"/>
                <w:numId w:val="8"/>
              </w:numPr>
              <w:suppressAutoHyphens w:val="0"/>
              <w:spacing w:after="0" w:line="360" w:lineRule="auto"/>
              <w:ind w:left="262" w:hanging="262"/>
              <w:contextualSpacing/>
              <w:rPr>
                <w:rFonts w:ascii="Arial" w:hAnsi="Arial" w:cs="Arial"/>
                <w:sz w:val="18"/>
                <w:szCs w:val="18"/>
                <w:lang w:val="cs-CZ" w:eastAsia="ja-JP"/>
              </w:rPr>
            </w:pPr>
            <w:r w:rsidRPr="0048051F">
              <w:rPr>
                <w:rFonts w:ascii="Arial" w:hAnsi="Arial" w:cs="Arial"/>
                <w:color w:val="FF0000"/>
                <w:sz w:val="18"/>
                <w:szCs w:val="18"/>
                <w:lang w:val="cs-CZ" w:eastAsia="ja-JP"/>
              </w:rPr>
              <w:t>port audio do podłączenia słuchawek z mikrofonem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val="cs-CZ" w:eastAsia="en-US"/>
              </w:rPr>
            </w:pPr>
          </w:p>
        </w:tc>
      </w:tr>
      <w:tr w:rsidR="00F61AC1" w:rsidRPr="0048051F" w:rsidTr="00570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7. Dysk twardy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ind w:left="121" w:right="-20" w:hanging="12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Minimum 512GB SSD z interfejsem M.2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NVMe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zawierający partycję RECOVERY umożliwiającą odtworzenie systemu operacyjnego  zainstalowanego  na komputerze przez producenta, po awarii, do stanu fabrycznego (tryb OOBE dla systemu MS Windows)</w:t>
            </w:r>
          </w:p>
          <w:p w:rsidR="00F61AC1" w:rsidRPr="0048051F" w:rsidRDefault="00F61AC1" w:rsidP="005702EC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ind w:left="121" w:right="-20" w:hanging="12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 xml:space="preserve">Możliwość zamontowania w obudowie  dodatkowego dysku 3,5 cala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ind w:right="-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rPr>
          <w:trHeight w:val="221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9. Karta dźwiękowa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Karta dźwiękowa zintegrowana z płytą główną, zgodna ze standardem High Definition 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221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10. Karta graficzna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Zintegrowana karta graficzna wykorzystująca pamięć RAM systemu dynamicznie przydzielaną na potrzeby grafiki. Pełna obsługa funkcji i standardów DX12.1,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OpenGL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4.5. Możliwość fabrycznego zainstalowania dodatkowej, dedykowanej karty graficznej z pamięcią własną min. 4 GB. Grafika zintegrowana w procesorze musi umożliwiać jednoczesną obsługę co najmniej </w:t>
            </w:r>
            <w:r w:rsidRPr="0048051F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dwóch</w:t>
            </w: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monitorów. 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85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11. Karta sieciowa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Karta sieciowa 10/100/1000 Ethernet RJ-45, zintegrowana z płytą główną wspierająca obsługę technologii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WoL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PXE. Zintegrowana karta sieciowa musi być wyposażona w diodę statusu informującą a aktywności połączenia oraz diodę informującą o prędkości połączenia.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274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12. BIOS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051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BIOS UEFI w wersji 2.7 lub wyższej. Wymagana pełna obsługa BIOS za pomocą klawiatury oraz myszy. Możliwość odczytania z BIOS informacji o:</w:t>
            </w:r>
          </w:p>
          <w:p w:rsidR="00F61AC1" w:rsidRPr="0048051F" w:rsidRDefault="00F61AC1" w:rsidP="005702EC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modelu komputera,</w:t>
            </w:r>
          </w:p>
          <w:p w:rsidR="00F61AC1" w:rsidRPr="0048051F" w:rsidRDefault="00F61AC1" w:rsidP="005702EC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numerze seryjnym,</w:t>
            </w:r>
          </w:p>
          <w:p w:rsidR="00F61AC1" w:rsidRPr="0048051F" w:rsidRDefault="00F61AC1" w:rsidP="005702EC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modelu płyty głównej</w:t>
            </w:r>
          </w:p>
          <w:p w:rsidR="00F61AC1" w:rsidRPr="0048051F" w:rsidRDefault="00F61AC1" w:rsidP="005702EC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AssetTag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/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IDTag</w:t>
            </w:r>
            <w:proofErr w:type="spellEnd"/>
          </w:p>
          <w:p w:rsidR="00F61AC1" w:rsidRPr="0048051F" w:rsidRDefault="00F61AC1" w:rsidP="005702EC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MAC Adres karty sieciowej,</w:t>
            </w:r>
          </w:p>
          <w:p w:rsidR="00F61AC1" w:rsidRPr="0048051F" w:rsidRDefault="00F61AC1" w:rsidP="005702EC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wersja Biosu wraz z datą jego produkcji,</w:t>
            </w:r>
          </w:p>
          <w:p w:rsidR="00F61AC1" w:rsidRPr="0048051F" w:rsidRDefault="00F61AC1" w:rsidP="005702EC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zainstalowanym procesorze, jego taktowaniu </w:t>
            </w:r>
          </w:p>
          <w:p w:rsidR="00F61AC1" w:rsidRPr="0048051F" w:rsidRDefault="00F61AC1" w:rsidP="005702EC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ilości pamięci RAM wraz z taktowaniem i obłożeniem slotów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Możliwość z poziomu BIOS: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wyłączenia selektywnego portów USB, minimum wyłączanie portów z przodu oraz wyłączanie portów z tyłu jako grup oraz wyłączenie wszystkich zewnętrznych portów;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skonfigurowania trybu mapowania podłączonej przez USB pamięci typu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flash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umożliwiającego emulację co najmniej: stacji dyskietek, dysku twardego, napędu optycznego;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włączenia/wyłączenia następujących urządzeń zintegrowanych: układu dźwiękowego, interfejsu WLAN z Bluetooth, kamery oraz mikrofonu;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włączenia/wyłączenia następujących ustawień procesora: obsługi wielowątkowości, określenie liczny aktywnych rdzeni procesora, sprzętowego wsparcia wirtualizacji, trybu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SpeedStep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, trybu Turbo, zarządzania zużyciem energii w procesorze (stanu C)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wyłączenia selektywnego (pojedynczego) portów SATA,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włączenia/wyłączenia automatycznego testowania wszystkich dysków w komputerze podczas jego uruchomienia;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włączenie/wyłączenie funkcjonalności TPM oraz możliwość odczytania informacji o wersji TPM oraz wersji jego oprogramowania (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firmware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) i producencie;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zmiany pracy wentylatorów między trybem optymalizacji głośności lub temperatury,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odczytania informacji o temperaturze procesora oraz dysku SSD M.2 a także prędkości pracy wentylatora chłodzącego procesor;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włączenia/wyłączenia zintegrowanego portu szeregowego;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ustawienia hasła: administratora, użytkownika, Power-On oraz HDD z zachowaniem następujących zależności między nimi: brak możliwości ustawienia czy zmiany któregokolwiek z pozostałych haseł bez wcześniejszego ustawienia hasła administratora. Brak możliwości zmiany hasła HDD;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włączenia/wyłączenia monitorowania stanu czujnika otwarcia obudowy;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włączenia/wyłącznie możliwości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bootowania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komputera z urządzeń zewnętrznych;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ustawienia informacji o użytkowniku komputera lub numeru inwentaryzacyjnego o długości co najmniej 80 znaków;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możliwość zbierania i przeglądania logów zdarzeń z informacją odnośnie godziny, daty i kodu błędu zdarzenia; możliwość wyczyszczenia zawartości logów;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włączenia/wyłączenia możliwości aktualizacji BIOS za pomocą mechanizmu Windows Update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włączenia/wyłączenia możliwości powrotu do starszej niż aktualnie zainstalowana wersji BIOS;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włączenia/wyłączenia funkcji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Secure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Boot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oraz określenia trybu pracy funkcji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Secure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Boot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99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ustawienia stanu pracy komputera po zaniknięciu i przywróceniu zasilania. Do wyboru co najmniej trzy stany: Włączony, Wyłączony oraz Poprzedni stan (sprzed awarii zasilania);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83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włączenia/wyłączenia zewnętrznego (niezintegrowanego) przycisku zasilania (np. w klawiaturze);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83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włączenia/wyłączenia funkcji Wake On LAN</w:t>
            </w:r>
          </w:p>
          <w:p w:rsidR="00F61AC1" w:rsidRPr="0048051F" w:rsidRDefault="00F61AC1" w:rsidP="005702EC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299" w:hanging="283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 xml:space="preserve">uruchomienia z poziomu BIOS zintegrowanego systemu diagnostycznego pozwalającego na przetestowanie co najmniej procesora, pamięci RAM oraz dysku. 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221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13. Klawiatura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Klawiatura USB w układzie polskim programisty (105 klawisze) z kablem o długości min. 1,8 m.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181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14. Mysz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Mysz optyczna USB z klawiszami oraz rolką (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scroll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 z kablem o długości min. 1,8 m.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F61AC1">
        <w:trPr>
          <w:trHeight w:val="753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 Zasilanie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Zasilacz o mocy nie mniejszej niż 290 W i nie większej niż 300 W, o sprawności 94% przy obciążeniu 50%. 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170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. Bezpieczeństwo i funkcje zarządzania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numPr>
                <w:ilvl w:val="0"/>
                <w:numId w:val="9"/>
              </w:numPr>
              <w:suppressAutoHyphens w:val="0"/>
              <w:spacing w:after="0" w:line="360" w:lineRule="auto"/>
              <w:ind w:left="299" w:hanging="283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Możliwość zastosowania mechanicznego zabezpieczenia przed kradzieżą komputera.</w:t>
            </w:r>
          </w:p>
          <w:p w:rsidR="00F61AC1" w:rsidRPr="0048051F" w:rsidRDefault="00F61AC1" w:rsidP="005702EC">
            <w:pPr>
              <w:numPr>
                <w:ilvl w:val="0"/>
                <w:numId w:val="9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Funkcjonalność TPM 2.0.</w:t>
            </w:r>
          </w:p>
          <w:p w:rsidR="00F61AC1" w:rsidRPr="0048051F" w:rsidRDefault="00F61AC1" w:rsidP="005702EC">
            <w:pPr>
              <w:numPr>
                <w:ilvl w:val="0"/>
                <w:numId w:val="9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System diagnostyczny działający bez udziału systemu operacyjnego, czy też jakichkolwiek dołączonych urządzeń na zewnątrz czy też wewnątrz komputera, umożliwiający otrzymanie informacji o: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-       modelu, oznaczeniu  i numerze seryjnym komputera, pojemności zainstalowanej pamięci RAM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ind w:left="299" w:hanging="28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051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Oprogramowanie diagnostyczne musi umożliwiać:</w:t>
            </w:r>
          </w:p>
          <w:p w:rsidR="00F61AC1" w:rsidRPr="0048051F" w:rsidRDefault="00F61AC1" w:rsidP="005702EC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ind w:left="299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wykonanie testu pamięci RAM,</w:t>
            </w:r>
          </w:p>
          <w:p w:rsidR="00F61AC1" w:rsidRPr="0048051F" w:rsidRDefault="00F61AC1" w:rsidP="005702EC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wykonanie podstawowego testu prawidłowej pracy CPU</w:t>
            </w:r>
          </w:p>
          <w:p w:rsidR="00F61AC1" w:rsidRPr="0048051F" w:rsidRDefault="00F61AC1" w:rsidP="005702EC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ind w:left="299" w:hanging="2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wykonanie testu dysku twardego.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System Diagnostyczny działający nawet w przypadku uszkodzenia dysku twardego z systemem operacyjnym komputera (Zaimplementowany w sprzętowym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mikrokodzie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płyty głównej)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221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Sterowniki </w:t>
            </w: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oprogramowanie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tabs>
                <w:tab w:val="num" w:pos="12"/>
              </w:tabs>
              <w:spacing w:after="0" w:line="360" w:lineRule="auto"/>
              <w:ind w:left="1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Zapewnienie na dedykowanej stronie internetowej producenta dostępu do najnowszych sterowników i uaktualnień, realizowane poprzez podanie numeru seryjnego/modelu urządzenia.</w:t>
            </w:r>
          </w:p>
          <w:p w:rsidR="00F61AC1" w:rsidRPr="0048051F" w:rsidRDefault="00F61AC1" w:rsidP="005702EC">
            <w:pPr>
              <w:tabs>
                <w:tab w:val="num" w:pos="12"/>
              </w:tabs>
              <w:spacing w:after="0" w:line="360" w:lineRule="auto"/>
              <w:ind w:left="1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Oprogramowanie producenta komputera posiadające funkcje zarządzania sterownikami (wykrywanie i instalowanie aktualizacji).</w:t>
            </w:r>
          </w:p>
          <w:p w:rsidR="00F61AC1" w:rsidRPr="0048051F" w:rsidRDefault="00F61AC1" w:rsidP="005702EC">
            <w:pPr>
              <w:tabs>
                <w:tab w:val="num" w:pos="12"/>
              </w:tabs>
              <w:spacing w:after="0" w:line="360" w:lineRule="auto"/>
              <w:ind w:left="1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Oprogramowanie umożliwiające – bez względu na stan czy obecność systemu operacyjnego oraz bez podłączania żadnych urządzeń czy nośników zewnętrznych - w bezpieczny (bezpowrotny) sposób usunięcie danych z dysku twardego. Usuwanie danych z dysku twardego musi odbywać się przy wykorzystaniu certyfikowanych algorytmów a wynikiem pracy oprogramowania musi być protokół zawierający dane kasowanego dysku oraz informacje o zastosowanym algorytmie kasowania.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1" w:rsidRPr="0048051F" w:rsidRDefault="00F61AC1" w:rsidP="005702EC">
            <w:pPr>
              <w:tabs>
                <w:tab w:val="num" w:pos="12"/>
              </w:tabs>
              <w:spacing w:after="0" w:line="360" w:lineRule="auto"/>
              <w:ind w:left="1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Certyfikaty </w:t>
            </w: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>i oświadczenia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C1" w:rsidRPr="0048051F" w:rsidRDefault="00F61AC1" w:rsidP="005702EC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ind w:left="262" w:hanging="262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ja-JP"/>
              </w:rPr>
              <w:t>Oferowane komputery stacjonarne muszą posiadać europejską deklarację zgodności CE.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19</w:t>
            </w: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 Zainstalowane oprogramowanie systemowe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Zainstalowany system operacyjny co najmniej Windows 10 Pro 64-bitowy w polskiej wersji językowej lub system równoważny wraz z nośnikiem instalacyjnym.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Klucz licencyjny systemu musi być zapisany trwale w BIOS i umożliwiać jego instalację bez potrzeby ręcznego wpisywania klucza licencyjnego. 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48051F">
              <w:rPr>
                <w:rFonts w:ascii="Arial" w:hAnsi="Arial" w:cs="Arial"/>
                <w:i/>
                <w:sz w:val="18"/>
                <w:szCs w:val="18"/>
                <w:u w:val="single"/>
                <w:lang w:eastAsia="en-US"/>
              </w:rPr>
              <w:t>Zamawiający nie dopuszcza zaoferowania systemu operacyjnego pochodzącego z rynku wtórnego, reaktywowanego systemu.</w:t>
            </w:r>
            <w:r w:rsidRPr="0048051F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System równoważny musi spełniać następujące wymagania poprzez wbudowane mechanizmy, bez użycia dodatkowych aplikacji: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Dostępne dwa rodzaje graficznego interfejsu użytkownika:</w:t>
            </w:r>
          </w:p>
          <w:p w:rsidR="00F61AC1" w:rsidRPr="0048051F" w:rsidRDefault="00F61AC1" w:rsidP="005702EC">
            <w:pPr>
              <w:numPr>
                <w:ilvl w:val="1"/>
                <w:numId w:val="7"/>
              </w:numPr>
              <w:suppressAutoHyphens w:val="0"/>
              <w:spacing w:after="0" w:line="360" w:lineRule="auto"/>
              <w:ind w:left="825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Klasyczny, umożliwiający obsługę przy pomocy klawiatury i myszy,</w:t>
            </w:r>
          </w:p>
          <w:p w:rsidR="00F61AC1" w:rsidRPr="0048051F" w:rsidRDefault="00F61AC1" w:rsidP="005702EC">
            <w:pPr>
              <w:numPr>
                <w:ilvl w:val="1"/>
                <w:numId w:val="7"/>
              </w:numPr>
              <w:suppressAutoHyphens w:val="0"/>
              <w:spacing w:after="0" w:line="360" w:lineRule="auto"/>
              <w:ind w:left="825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Dotykowy umożliwiający sterowanie dotykiem na urządzeniach typu tablet lub monitorach dotykowych.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Interfejsy użytkownika dostępne w wielu językach do wyboru – w tym polskim i angielskim.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Zlokalizowane w języku polskim, co najmniej następujące elementy: menu, odtwarzacz multimediów, pomoc, komunikaty systemowe. 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Wbudowany system pomocy w języku polskim.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Graficzne środowisko instalacji i konfiguracji dostępne w języku polskim.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Funkcje związane z obsługą komputerów typu tablet, z wbudowanym modułem „uczenia się” pisma użytkownika – obsługa języka polskiego.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Funkcjonalność rozpoznawania mowy, pozwalającą na sterowanie komputerem głosowo, wraz z modułem „uczenia się” głosu użytkownika.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Możliwość dokonywania aktualizacji i poprawek systemu poprzez mechanizm zarządzany przez administratora systemu Zamawiającego.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Dostępność bezpłatnych biuletynów bezpieczeństwa związanych z działaniem systemu operacyjnego.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Wbudowana zapora internetowa (firewall) dla ochrony połączeń internetowych; zintegrowana z systemem konsola do zarządzania ustawieniami zapory i regułami IP v4 </w:t>
            </w: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i v6. 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Wbudowane mechanizmy ochrony antywirusowej i przeciw złośliwemu oprogramowaniu z zapewnionymi bezpłatnymi aktualizacjami.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Plug&amp;Play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, Wi-Fi).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Funkcjonalność automatycznej zmiany domyślnej drukarki w zależności od sieci, do której podłączony jest komputer.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Rozbudowane, definiowalne polityki bezpieczeństwa – polityki dla systemu operacyjnego i dla wskazanych aplikacji.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Zabezpieczony hasłem hierarchiczny dostęp do systemu, konta i profile użytkowników zarządzane zdalnie; praca systemu w trybie ochrony kont użytkowników.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Mechanizm pozwalający użytkownikowi zarejestrowanego w systemie przedsiębiorstwa/instytucji urządzenia na uprawniony dostęp do zasobów tego systemu.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Zintegrowany z systemem operacyjnym moduł synchronizacji komputera z urządzeniami zewnętrznymi.  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val="en-US" w:eastAsia="en-US"/>
              </w:rPr>
              <w:t>Obsługa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val="en-US" w:eastAsia="en-US"/>
              </w:rPr>
              <w:t>standardu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NFC (near field communication).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Możliwość przystosowania stanowiska dla osób niepełnosprawnych (np. słabo widzących). 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Wsparcie dla IPSEC oparte na politykach – wdrażanie IPSEC oparte na zestawach reguł definiujących ustawienia zarządzanych w sposób centralny.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Automatyczne występowanie i używanie (wystawianie) certyfikatów PKI X.509.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Mechanizmy logowania do domeny w oparciu o:</w:t>
            </w:r>
          </w:p>
          <w:p w:rsidR="00F61AC1" w:rsidRPr="0048051F" w:rsidRDefault="00F61AC1" w:rsidP="005702EC">
            <w:pPr>
              <w:numPr>
                <w:ilvl w:val="1"/>
                <w:numId w:val="7"/>
              </w:numPr>
              <w:suppressAutoHyphens w:val="0"/>
              <w:spacing w:after="0" w:line="360" w:lineRule="auto"/>
              <w:ind w:left="683" w:hanging="284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Login i hasło,</w:t>
            </w:r>
          </w:p>
          <w:p w:rsidR="00F61AC1" w:rsidRPr="0048051F" w:rsidRDefault="00F61AC1" w:rsidP="005702EC">
            <w:pPr>
              <w:numPr>
                <w:ilvl w:val="1"/>
                <w:numId w:val="7"/>
              </w:numPr>
              <w:suppressAutoHyphens w:val="0"/>
              <w:spacing w:after="0" w:line="360" w:lineRule="auto"/>
              <w:ind w:left="683" w:hanging="284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Karty z certyfikatami (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smartcard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),</w:t>
            </w:r>
          </w:p>
          <w:p w:rsidR="00F61AC1" w:rsidRPr="0048051F" w:rsidRDefault="00F61AC1" w:rsidP="005702EC">
            <w:pPr>
              <w:numPr>
                <w:ilvl w:val="1"/>
                <w:numId w:val="7"/>
              </w:numPr>
              <w:suppressAutoHyphens w:val="0"/>
              <w:spacing w:after="0" w:line="360" w:lineRule="auto"/>
              <w:ind w:left="683" w:hanging="284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Wirtualne karty (logowanie w oparciu o certyfikat chroniony poprzez moduł TPM).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Mechanizmy wieloelementowego uwierzytelniania.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Wsparcie dla uwierzytelniania na bazie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Kerberos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v. 5.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Wsparcie do uwierzytelnienia urządzenia na bazie certyfikatu.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Wsparcie dla algorytmów Suite B (RFC 4869).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Wsparcie wbudowanej zapory ogniowej dla Internet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Key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Exchange v. 2 (IKEv2) dla warstwy transportowej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IPsec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Wbudowane narzędzia służące do administracji, do wykonywania kopii zapasowych polityk i ich odtwarzania oraz generowania raportów z ustawień polityk.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Wsparcie dla środowisk Java i .NET Framework 4.x – możliwość uruchomienia aplikacji działających we wskazanych środowiskach.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Wsparcie dla JScript i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VBScript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możliwość uruchamiania interpretera poleceń.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Zdalna pomoc i współdzielenie aplikacji – możliwość zdalnego przejęcia sesji zalogowanego użytkownika celem rozwiązania problemu z komputerem,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Rozwiązanie ma umożliwiające wdrożenie nowego obrazu poprzez zdalną instalację.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Transakcyjny system plików pozwalający na stosowanie przydziałów (ang.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quota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) na dysku dla użytkowników oraz zapewniający większą niezawodność i pozwalający tworzyć kopie zapasowe.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Zarządzanie kontami użytkowników sieci oraz urządzeniami sieciowymi tj. drukarki, modemy, woluminy dyskowe, usługi katalogowe.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Udostępnianie modemu.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Oprogramowanie dla tworzenia kopii zapasowych (Backup); automatyczne wykonywanie kopii plików z możliwością automatycznego przywrócenia wersji wcześniejszej.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Możliwość przywracania obrazu plików systemowych do uprzednio zapisanej postaci.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Identyfikacja sieci komputerowych, do których jest podłączony system operacyjny, zapamiętywanie ustawień i przypisywanie do min. 3 kategorii bezpieczeństwa </w:t>
            </w: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br/>
              <w:t>(z predefiniowanymi odpowiednio do kategorii ustawieniami zapory sieciowej, udostępniania plików itp.).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Możliwość blokowania lub dopuszczania dowolnych urządzeń peryferyjnych za pomocą polityk grupowych (np. przy użyciu numerów identyfikacyjnych sprzętu).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Wbudowany mechanizm wirtualizacji typu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hypervisor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, umożliwiający, zgodnie z uprawnieniami licencyjnymi, uruchomienie do 4 maszyn wirtualnych.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Mechanizm szyfrowania dysków wewnętrznych i zewnętrznych z możliwością szyfrowania ograniczonego do danych użytkownika.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mikrochipie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TPM (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Trusted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Platform Module) w wersji minimum 1.2 lub na kluczach pamięci przenośnej USB.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Możliwość tworzenia i przechowywania kopii zapasowych kluczy odzyskiwania do szyfrowania partycji w usługach katalogowych.</w:t>
            </w:r>
          </w:p>
          <w:p w:rsidR="00F61AC1" w:rsidRPr="0048051F" w:rsidRDefault="00F61AC1" w:rsidP="005702EC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reinstalacji</w:t>
            </w:r>
            <w:proofErr w:type="spellEnd"/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systemu.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 Gwarancja – zgodnie z wymaganiami i kryteriami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Na okres  co najmniej  36 miesięcy - świadczonej  w siedzibie Zamawiającego, chyba że niezbędna będzie naprawa sprzętu w siedzibie producenta, lub autoryzowanym przez niego punkcie serwisowym  - wówczas koszt transportu do i z naprawy pokrywa Wykonawca,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ab/>
              <w:t xml:space="preserve">Czas reakcji serwisu – następny dzień roboczy. Czas reakcji rozumiany jako fizyczne pojawienie się serwisanta w siedzibie zamawiającego i podjęcie próby naprawy </w:t>
            </w:r>
          </w:p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Pr="0048051F">
              <w:rPr>
                <w:rFonts w:ascii="Arial" w:hAnsi="Arial" w:cs="Arial"/>
                <w:sz w:val="18"/>
                <w:szCs w:val="18"/>
                <w:lang w:eastAsia="en-US"/>
              </w:rPr>
              <w:tab/>
              <w:t xml:space="preserve">Naprawy gwarancyjne  urządzeń muszą być realizowane przez Producenta lub Autoryzowanego Partnera Serwisowego Producenta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8051F">
        <w:rPr>
          <w:rFonts w:ascii="Arial" w:hAnsi="Arial" w:cs="Arial"/>
          <w:b/>
          <w:bCs/>
          <w:sz w:val="18"/>
          <w:szCs w:val="18"/>
          <w:lang w:eastAsia="en-US"/>
        </w:rPr>
        <w:t xml:space="preserve">Monitor 60 szt. </w:t>
      </w:r>
    </w:p>
    <w:tbl>
      <w:tblPr>
        <w:tblW w:w="5475" w:type="pct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490"/>
        <w:gridCol w:w="2723"/>
      </w:tblGrid>
      <w:tr w:rsidR="00F61AC1" w:rsidRPr="0048051F" w:rsidTr="005702EC">
        <w:trPr>
          <w:trHeight w:val="615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Minimalne parametry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Parametry oferowane</w:t>
            </w:r>
          </w:p>
        </w:tc>
      </w:tr>
    </w:tbl>
    <w:p w:rsidR="00F61AC1" w:rsidRPr="0048051F" w:rsidRDefault="00F61AC1" w:rsidP="00F61AC1">
      <w:pPr>
        <w:spacing w:after="0"/>
        <w:rPr>
          <w:vanish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6520"/>
        <w:gridCol w:w="2693"/>
      </w:tblGrid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6520" w:type="dxa"/>
          </w:tcPr>
          <w:p w:rsidR="00F61AC1" w:rsidRPr="00F61AC1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Typ ekranu: Panoramiczny; ciekłokrystaliczny z aktywną matrycą IPS o rozmiarze 23,8 cala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Jasność: min. 250 cd/m2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Kontrast: min. 1000:1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Wielkość plamki: 0,2745 mm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Kąty widzenia (pion/poziom): min. 178°/178°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Czas reakcji matrycy: maks. 5 ms (w trybie video) 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7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Kolory: 16.7 mln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Rozdzielczość maksymalna: 1920 x 1080 pikseli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Powłoka powierzchni ekranu: Przeciwodblaskowa, utwardzona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Zakres pochylenia monitora: Od -5° do +22°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Złącze : 15-stykowe złącze D-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Sub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DVI-D , Display Port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Zużycie energii: średnie użycie energii (ustawienia EPA) 14,95 W, w trybie oszczędzania energii: 0,2 W, w trybie uśpienia (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soft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-off): 0,1 W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Inne: Monitor musi posiadać wbudowane dwa głośniki o mocy min. 2 W każdy; kompatybilność z VESA 100 mm, 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Kensington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Lock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 w:hanging="548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Normy i standardy: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right="-11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Monitory muszą być wykonane zgodnie  normami i posiadać Certyfikaty: TCO 8.0, ISO9241-307 (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Pixel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fault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class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I), EPEAT 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Bronze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, Energy Star 8.0, TÜV 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Low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Blue 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Light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oraz TÜV 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Flicker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Free</w:t>
            </w:r>
            <w:proofErr w:type="spellEnd"/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– lub inne dokumenty wydane przez niezależny podmiot uprawniony do kontroli jakości, potwierdzające, że dostarczone monitory odpowiadają wskazanym normom.</w:t>
            </w: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F61AC1" w:rsidRPr="0048051F" w:rsidTr="005702EC">
        <w:tc>
          <w:tcPr>
            <w:tcW w:w="71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ind w:right="-11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6520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Gwarancji jakości producenta:</w:t>
            </w:r>
          </w:p>
          <w:p w:rsidR="00F61AC1" w:rsidRPr="0048051F" w:rsidRDefault="00F61AC1" w:rsidP="005702EC">
            <w:pPr>
              <w:numPr>
                <w:ilvl w:val="1"/>
                <w:numId w:val="12"/>
              </w:numPr>
              <w:tabs>
                <w:tab w:val="num" w:pos="171"/>
              </w:tabs>
              <w:suppressAutoHyphens w:val="0"/>
              <w:spacing w:after="0" w:line="240" w:lineRule="auto"/>
              <w:ind w:left="171" w:hanging="142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Na okres  co najmniej  36 miesięcy - świadczonej  w siedzibie Zamawiającego, chyba że niezbędne będzie naprawa sprzętu w siedzibie producenta  lub autoryzowanym przez niego punkcie serwisowym  - wówczas koszt transportu do i z naprawy pokrywa Wykonawca,</w:t>
            </w:r>
          </w:p>
          <w:p w:rsidR="00F61AC1" w:rsidRPr="0048051F" w:rsidRDefault="00F61AC1" w:rsidP="005702EC">
            <w:pPr>
              <w:numPr>
                <w:ilvl w:val="1"/>
                <w:numId w:val="12"/>
              </w:numPr>
              <w:tabs>
                <w:tab w:val="num" w:pos="171"/>
              </w:tabs>
              <w:suppressAutoHyphens w:val="0"/>
              <w:spacing w:after="0" w:line="240" w:lineRule="auto"/>
              <w:ind w:left="171" w:hanging="142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Czas reakcji  na zgłoszoną reklamację gwarancyjną - do końca następnego dnia roboczego</w:t>
            </w:r>
          </w:p>
          <w:p w:rsidR="00F61AC1" w:rsidRPr="0048051F" w:rsidRDefault="00F61AC1" w:rsidP="005702EC">
            <w:pPr>
              <w:numPr>
                <w:ilvl w:val="1"/>
                <w:numId w:val="12"/>
              </w:numPr>
              <w:tabs>
                <w:tab w:val="num" w:pos="171"/>
              </w:tabs>
              <w:suppressAutoHyphens w:val="0"/>
              <w:spacing w:after="0" w:line="240" w:lineRule="auto"/>
              <w:ind w:left="171" w:hanging="142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Naprawy gwarancyjne  urządzeń muszą być realizowany przez Producenta lub Autoryzowanego Partnera Serwisowego Producenta,</w:t>
            </w:r>
          </w:p>
          <w:p w:rsidR="00F61AC1" w:rsidRPr="0048051F" w:rsidRDefault="00F61AC1" w:rsidP="005702EC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8051F">
        <w:rPr>
          <w:rFonts w:ascii="Arial" w:hAnsi="Arial" w:cs="Arial"/>
          <w:b/>
          <w:bCs/>
          <w:sz w:val="18"/>
          <w:szCs w:val="18"/>
          <w:lang w:eastAsia="en-US"/>
        </w:rPr>
        <w:t>Urządzenie wielofunkcyjne - 2 szt.</w:t>
      </w:r>
    </w:p>
    <w:tbl>
      <w:tblPr>
        <w:tblW w:w="5475" w:type="pct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490"/>
        <w:gridCol w:w="2723"/>
      </w:tblGrid>
      <w:tr w:rsidR="00F61AC1" w:rsidRPr="0048051F" w:rsidTr="005702EC">
        <w:trPr>
          <w:trHeight w:val="615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Minimalne parametry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Parametry oferowane</w:t>
            </w:r>
          </w:p>
        </w:tc>
      </w:tr>
      <w:tr w:rsidR="00F61AC1" w:rsidRPr="0048051F" w:rsidTr="005702EC">
        <w:trPr>
          <w:trHeight w:val="22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Funkcje: druk, skan, kopia, faks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25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Technologia laserowa mono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29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Prędkość druku 40 str./min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9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Czas wydruku pierwszej strony 10 s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4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Rozdzielczość druku 1200x1200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0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48051F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Interfejsy</w:t>
            </w:r>
            <w:proofErr w:type="spellEnd"/>
            <w:r w:rsidRPr="0048051F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: USB, Ethernet, Wi-Fi, </w:t>
            </w:r>
            <w:proofErr w:type="spellStart"/>
            <w:r w:rsidRPr="0048051F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AirPrint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268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Standardowy podajnik papieru na minimum 250 arkuszy 75 g/m2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8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Możliwość rozbudowy podajników do 1100 arkuszy A4 75 g/m2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0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Podajnik jednoprzebiegowy ADF na min. 50 arkuszy 75 g/m2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27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Maksymalna gramatura papieru - 200 g/m2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7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Optyczna rozdzielczość skanowania min. 600x600 </w:t>
            </w:r>
            <w:proofErr w:type="spellStart"/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dpi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279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Skanowanie do: pliku, obrazu, OCR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8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Szybkość procesora 800 MHz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18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Standardowa pojemność pamięci 256 MB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55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Możliwość wyposażenia urządzenia w toner na min. 8000 stron według normy ISO/IEC 19752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1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Wyświetlacz kolorowy dotykowy na panelu urządzenia min. 4,5’’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1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Gwarancja producenta min. 3 lata z serwisem na miejscu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61AC1" w:rsidRPr="0048051F" w:rsidRDefault="00F61AC1" w:rsidP="00F61AC1">
      <w:pPr>
        <w:suppressAutoHyphens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8051F">
        <w:rPr>
          <w:rFonts w:ascii="Arial" w:hAnsi="Arial" w:cs="Arial"/>
          <w:b/>
          <w:bCs/>
          <w:sz w:val="18"/>
          <w:szCs w:val="18"/>
          <w:lang w:eastAsia="en-US"/>
        </w:rPr>
        <w:t xml:space="preserve">Drukarka laserowa - 29 szt. </w:t>
      </w:r>
    </w:p>
    <w:tbl>
      <w:tblPr>
        <w:tblW w:w="5475" w:type="pct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490"/>
        <w:gridCol w:w="2723"/>
      </w:tblGrid>
      <w:tr w:rsidR="00F61AC1" w:rsidRPr="0048051F" w:rsidTr="005702EC">
        <w:trPr>
          <w:trHeight w:val="615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Minimalne parametry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Parametry oferowane</w:t>
            </w:r>
          </w:p>
        </w:tc>
      </w:tr>
      <w:tr w:rsidR="00F61AC1" w:rsidRPr="0048051F" w:rsidTr="005702EC">
        <w:trPr>
          <w:trHeight w:val="37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Funkcje: drukowanie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Technologia: laserowa monochromatyczna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1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48051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48051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: USB, Ethernet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18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Rozdzielczość druku min. 1200x1200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2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druku min. 33 str./min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Czas wydruku pierwszej strony 10 s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08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Automatyczne drukowanie dwustronne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1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podajników w standardzie: 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 podajnika papieru min. 250 arkuszy 75 g/m2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615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gramatura papieru 230 g/m2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615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zestawie toner/tonery na min. 2000 stron według normy ISO/IEC 19752 – oryginalne, rekomendowane przez producenta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6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Sterowniki Windows 10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1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Gwarancja producenta min. 3 lata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AC1" w:rsidRPr="0048051F" w:rsidRDefault="00F61AC1" w:rsidP="005702EC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8051F">
        <w:rPr>
          <w:rFonts w:ascii="Arial" w:hAnsi="Arial" w:cs="Arial"/>
          <w:b/>
          <w:bCs/>
          <w:sz w:val="18"/>
          <w:szCs w:val="18"/>
          <w:lang w:eastAsia="en-US"/>
        </w:rPr>
        <w:t>Skaner do dokumentacji medycznej - 13 szt.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4823"/>
        <w:gridCol w:w="2835"/>
      </w:tblGrid>
      <w:tr w:rsidR="00F61AC1" w:rsidRPr="0048051F" w:rsidTr="005702EC">
        <w:trPr>
          <w:trHeight w:val="480"/>
        </w:trPr>
        <w:tc>
          <w:tcPr>
            <w:tcW w:w="2265" w:type="dxa"/>
            <w:shd w:val="clear" w:color="000000" w:fill="D9D9D9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4823" w:type="dxa"/>
            <w:shd w:val="clear" w:color="000000" w:fill="D9D9D9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Minimalne parametry</w:t>
            </w:r>
          </w:p>
        </w:tc>
        <w:tc>
          <w:tcPr>
            <w:tcW w:w="2835" w:type="dxa"/>
            <w:shd w:val="clear" w:color="000000" w:fill="D9D9D9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Parametry oferowane</w:t>
            </w:r>
          </w:p>
        </w:tc>
      </w:tr>
      <w:tr w:rsidR="00F61AC1" w:rsidRPr="0048051F" w:rsidTr="005702EC">
        <w:trPr>
          <w:trHeight w:val="330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Typ skanera (obudowa)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Kompaktowy skaner A4 z automatycznym podajnikiem dokumentów (ADF)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920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Sposoby skanowania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Skanowanie jednostronne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Skanowanie dwustronne w jednym przebiegu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Prosta ścieżka podawania papieru zapewniająca prawidłowe układanie dokumentów po zeskanowaniu na tacy odbiornika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64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Automatyczny podajnik dokumentów (ADF)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 pojemności co najmniej 50 arkuszy A4 (80 g/m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) z możliwością regulacji bocznych prowadnic podajnika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9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Obsługiwane formaty (nie złożone na pół)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Minimum w zakresie A4, A5, A6, B5, B6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Minimalny rozmiar: 74 x 74 mm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Maksymalny rozmiar: 216 x 355 mm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Obsługa długich dokumentów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do 300 cm 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918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Gramatura obsługiwanych dokumentów w trybie podawania automatycznego bez korzystania z dodatkowych akcesoriów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55-205 g/m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Obsługa niestandardowych nośników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Karty plastikowe oraz ID do grubości 0.76 mm (w tym tłoczone)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Detekcja podwójnych pobrań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 najmniej jeden czujnik ultradźwiękowy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747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Zaawansowana technologia pobierania dokumentów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Mechanizm separacji dokumentów oparty na rolce hamującej, zapobiegający jednoczesnemu pobraniu więcej, niż jednego arkusza, gumki (pady) separacyjne nie są dozwolone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701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Szybkość skanowania (dla dokumentów A4 przy 200 oraz 300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dpi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w trybach mono i kolor)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Minimum 20 arkuszy/min. (jednostronnie), 40 stron/min. (dwustronnie)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13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Typowe dzienne obciążenie skanera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minimum do 3 000 arkuszy (kartek)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Układ optyczny (przetwornik obrazu)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Wykonany w technologii CCD (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Charge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Coupled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Device) lub CIS (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Contact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Image Sensor) – minimum przetwornik w skanerze ADF - 1 z przodu, 1 z tyłu 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500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Optyczna rozdzielczość skanowania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optyczna 600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dpi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sterownik 1200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dpi</w:t>
            </w:r>
            <w:proofErr w:type="spellEnd"/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408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Wyjściowa rozdzielczość skanowania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60-600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dpi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z możliwością skokowej regulacji co 1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dpi</w:t>
            </w:r>
            <w:proofErr w:type="spellEnd"/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Tryby koloru skanowania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Monochromatyczny, odcienie szarości, kolor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Obsługiwane systemy operacyjne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Windows 7/8.1/10/11  (wskazane systemy operacyjne posiada zamawiający, w związku z czym skanery muszą być dostosowane do opisanego oprogramowania)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Interfejsy komunikacyjne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Minimum USB 3.2 Gen 1 oraz Ethernet 10BASE-T/100BASE-TX/1000BASE-T (wszystkie interfejsy fabrycznie zintegrowane w urządzeniu)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Obsługiwane sterowniki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Zgodne ze standardem TWAIN oraz ISIS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3260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Funkcje poprawy jakości skanów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Obsługa poniższych funkcjonalności dla zarówno dla standardu TWAIN oraz ISIS: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1) automatyczna poprawa jakości skanowanych dokumentów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2) automatyczne prostowanie i orientacja obrazu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3) automatyczne przycinanie do oryginalnego rozmiaru dokumentu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4) automatyczne usuwanie niezadrukowanych stron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5) automatyczna detekcja koloru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6) wyostrzanie tekstu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7) interaktywna regulacja koloru, jasności i kontrastu bez konieczności ponownego skanowania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 xml:space="preserve">8) skanowanie wielostrumieniowe w jednym przebiegu z możliwością wyboru dowolnej kombinacji trybów koloru 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9) dzielenie obrazów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10) redukcja pionowych smug powstających na wskutek zabrudzenia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11) usuwanie koloru (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color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dropout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2951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Funkcje dołączonego oprogramowania obsługującego standardy TWAIN oraz ISIS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Detekcja i separacja na podstawie kodów kreskowych typu 3z9, ITF, EAN128, NW7, separacja dokumentów za pomocą niezadrukowanej kartki, odczytaną wartością ze strefy OCR, tzw. "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patch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code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 (typ 1, 2, 3, 4, T) oraz na podstawie układu formularza.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Automatyczne nazewnictwo plików za pomocą kodów kreskowych i wartości odczytanej ze strefy OCR z tworzeniem wielopoziomowej struktury katalogów.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Podświetlanie pustych stron i sygnalizacja obrazów o niepewnej jakości w interfejsie użytkownika.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 xml:space="preserve">Obsługiwane formaty plików wyjściowych PDF, PDF/A, PDF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przeszukiwalny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JPEG, JPEG2000, XLSX, DOCX, PPTX, TIFF, MTIFF, PNG, BMP. 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Zapis plików wyjściowych dla poszczególnych strumieni obrazu do oddzielnych folderów na dysku z możliwością wyboru różnych rozszerzeń (formatów) plików, automatyczny odczyt informacji ze stref OCR oraz kodów kreskowych i zapis do metadanych w formatach XML, TXT lub CSV.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1411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Funkcje dołączonego oprogramowania do zarządzania i monitoringu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Działające w strukturze klient-serwer (dwukierunkowa komunikacja wyłącznie w obrębie lokalnej sieci LAN) umożliwiające scentralizowane zarządzanie i monitoring oferowanych skanerów w tym: zdalna aktualizacja sterowników, oprogramowania sprzętowego (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firmware</w:t>
            </w:r>
            <w:proofErr w:type="spellEnd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) i zdalna konfiguracja ustawień skanerów (na wielu stacjach jednocześnie), generowanie alertów o stanie skanera (błędy) i potrzebie wymiany elementów eksploatacyjnych.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1559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Ergonomia pracy</w:t>
            </w:r>
          </w:p>
        </w:tc>
        <w:tc>
          <w:tcPr>
            <w:tcW w:w="4823" w:type="dxa"/>
            <w:shd w:val="clear" w:color="auto" w:fill="auto"/>
            <w:vAlign w:val="bottom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Skaner ważący nie więcej niż 3 kg o powierzchni podstawy urządzenia mniejszej niż 0,054m</w:t>
            </w:r>
            <w:r w:rsidRPr="0048051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(Wskazane parametry wynikają z bardzo małej ilości fizycznego miejsca jakim dysponuje zamawiający)</w:t>
            </w:r>
            <w:r w:rsidRPr="0048051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br/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Możliwość obsługi procesu skanowania z przycisku znajdującego się na skanerze.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Maksymalny pobór mocy w trybie pracy mniejszy niż 22 W.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Możliwość złożenia tacki odbiornika dokumentów na czas kiedy skaner nie jest używany, w celu zwiększenia wolnej przestrzeni na stanowisku do skanowania.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Materiały eksploatacyjne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Materiały eksploatacyjne zainstalowane w skanerze pozwalające na zeskanowanie do 100 000 arkuszy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570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Normy i regulacje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Urządzenie posiada</w:t>
            </w:r>
            <w:r w:rsidRPr="0048051F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jące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oznakowanie CE potwierdzające zgodność z wymaganiami UE nałożonymi na producenta, spełniające kryteria Energy Star oraz </w:t>
            </w:r>
            <w:proofErr w:type="spellStart"/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RoHS</w:t>
            </w:r>
            <w:proofErr w:type="spellEnd"/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AC1" w:rsidRPr="0048051F" w:rsidTr="005702EC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Bezpieczeństwo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Fabrycznie zablokowana możliwość skanowanie do pamięci USB.</w:t>
            </w:r>
            <w:r w:rsidRPr="00480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Brak zainstalowanego modułu sieci bezprzewodowej w skanerze.</w:t>
            </w:r>
          </w:p>
        </w:tc>
        <w:tc>
          <w:tcPr>
            <w:tcW w:w="2835" w:type="dxa"/>
          </w:tcPr>
          <w:p w:rsidR="00F61AC1" w:rsidRPr="0048051F" w:rsidRDefault="00F61AC1" w:rsidP="005702E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8051F">
        <w:rPr>
          <w:rFonts w:ascii="Arial" w:hAnsi="Arial" w:cs="Arial"/>
          <w:b/>
          <w:bCs/>
          <w:sz w:val="18"/>
          <w:szCs w:val="18"/>
          <w:lang w:eastAsia="en-US"/>
        </w:rPr>
        <w:t>Oprogramowanie biurowe - 15 szt.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1. Dostępność pakietu w wersjach 32-bit oraz 64-bit umożliwiającej wykorzystanie ponad 2 GB przestrzeni adresowej,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2. Wymagania odnośnie interfejsu użytkownika: 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a. Pełna polska wersja językowa interfejsu użytkownika z możliwością przełączania wersji językowej interfejsu na inne języki, w tym język angielski.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b. Prostota i intuicyjność obsługi, pozwalająca na pracę osobom nieposiadającym umiejętności technicznych.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3. Możliwość aktywacji zainstalowanego pakietu poprzez mechanizmy wdrożonej usługi Active Directory.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4 .Narzędzie wspomagające procesy migracji z poprzednich wersji pakietu i badania zgodności z dokumentami wytworzonymi w pakietach biurowych.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5. Oprogramowanie musi umożliwiać tworzenie i edycję dokumentów elektronicznych w ustalonym standardzie, który spełnia następujące warunki: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a. posiada kompletny i publicznie dostępny opis formatu,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b.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U., poz. 526),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c. umożliwia wykorzystanie schematów XML,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d. wspiera w swojej specyfikacji podpis elektroniczny w formacie </w:t>
      </w:r>
      <w:proofErr w:type="spellStart"/>
      <w:r w:rsidRPr="0048051F">
        <w:rPr>
          <w:rFonts w:ascii="Arial" w:hAnsi="Arial" w:cs="Arial"/>
          <w:sz w:val="18"/>
          <w:szCs w:val="18"/>
          <w:lang w:eastAsia="en-US"/>
        </w:rPr>
        <w:t>XAdES</w:t>
      </w:r>
      <w:proofErr w:type="spellEnd"/>
      <w:r w:rsidRPr="0048051F">
        <w:rPr>
          <w:rFonts w:ascii="Arial" w:hAnsi="Arial" w:cs="Arial"/>
          <w:sz w:val="18"/>
          <w:szCs w:val="18"/>
          <w:lang w:eastAsia="en-US"/>
        </w:rPr>
        <w:t>,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6. Oprogramowanie musi umożliwiać dostosowanie dokumentów i szablonów do potrzeb instytucji. 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7. Oprogramowanie musi umożliwiać opatrywanie dokumentów metadanymi.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8. W skład oprogramowania muszą wchodzić narzędzia programistyczne umożliwiające automatyzację pracy i wymianę danych pomiędzy dokumentami i aplikacjami (język makropoleceń, język skryptowy).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9. Do aplikacji musi być dostępna pełna dokumentacja w języku polskim.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10. Pakiet zintegrowanych aplikacji biurowych musi zawierać: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a. Edytor tekstów 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b. Arkusz kalkulacyjny 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c. Narzędzie do przygotowywania i prowadzenia prezentacji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d. Narzędzie do zarządzania informacją prywatą (pocztą elektroniczną, kalendarzem, kontaktami i zadaniami)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e. Narzędzie do tworzenia notatek przy pomocy klawiatury lub notatek odręcznych na ekranie urządzenia typu tablet PC z mechanizmem OCR.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lastRenderedPageBreak/>
        <w:t>11. Edytor tekstów musi umożliwiać: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a. Edycję i formatowanie tekstu w języku polskim wraz z obsługą języka polskiego w zakresie sprawdzania pisowni i poprawności gramatycznej oraz funkcjonalnością słownika wyrazów bliskoznacznych i autokorekty.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c. Wstawianie oraz formatowanie tabel.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d. Wstawianie oraz formatowanie obiektów graficznych.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e. Wstawianie wykresów i tabel z arkusza kalkulacyjnego (wliczając tabele przestawne).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f. Automatyczne numerowanie rozdziałów, punktów, akapitów, tabel i rysunków.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g. Automatyczne tworzenie spisów treści.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h. Formatowanie nagłówków i stopek stron. 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i. Śledzenie i porównywanie zmian wprowadzonych przez użytkowników w dokumencie.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j. Zapamiętywanie i wskazywanie miejsca, w którym zakończona była edycja dokumentu przed jego uprzednim zamknięciem. 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k. Nagrywanie, tworzenie i edycję makr automatyzujących wykonywanie czynności.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l. Określenie układu strony (pionowa/pozioma).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m. Wydruk dokumentów.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n. Wykonywanie korespondencji seryjnej bazując na danych adresowych pochodzących z arkusza kalkulacyjnego i z narzędzia do zarządzania informacją prywatną.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o. Pracę na dokumentach utworzonych przy pomocy Microsoft Word 2003 lub Microsoft Word 2007 i 2010 z zapewnieniem bezproblemowej konwersji wszystkich elementów i atrybutów dokumentu.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p. Zapis i edycję plików w formacie PDF.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q. Zabezpieczenie dokumentów hasłem przed odczytem oraz przed wprowadzaniem modyfikacji.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r. Wymagana jest dostępność do oferowanego edytora tekstu bezpłatnych narzędzi umożliwiających wykorzystanie go, jako środowiska kreowania aktów normatywnych i prawnych, zgodnie z obowiązującym prawem.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12. Arkusz kalkulacyjny musi umożliwiać: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a. Tworzenie raportów tabelarycznych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b. Tworzenie wykresów liniowych (wraz linią trendu), słupkowych, kołowych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c. Tworzenie arkuszy kalkulacyjnych zawierających teksty, dane liczbowe oraz formuły przeprowadzające operacje matematyczne, logiczne, tekstowe, statystyczne oraz operacje na danych finansowych i na miarach czasu.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d. Tworzenie raportów z zewnętrznych źródeł danych (inne arkusze kalkulacyjne, bazy danych zgodne z ODBC, pliki tekstowe, pliki XML, </w:t>
      </w:r>
      <w:proofErr w:type="spellStart"/>
      <w:r w:rsidRPr="0048051F">
        <w:rPr>
          <w:rFonts w:ascii="Arial" w:hAnsi="Arial" w:cs="Arial"/>
          <w:sz w:val="18"/>
          <w:szCs w:val="18"/>
          <w:lang w:eastAsia="en-US"/>
        </w:rPr>
        <w:t>webservice</w:t>
      </w:r>
      <w:proofErr w:type="spellEnd"/>
      <w:r w:rsidRPr="0048051F">
        <w:rPr>
          <w:rFonts w:ascii="Arial" w:hAnsi="Arial" w:cs="Arial"/>
          <w:sz w:val="18"/>
          <w:szCs w:val="18"/>
          <w:lang w:eastAsia="en-US"/>
        </w:rPr>
        <w:t>)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e. Obsługę kostek OLAP oraz tworzenie i edycję kwerend bazodanowych i webowych. Narzędzia wspomagające analizę statystyczną i finansową, analizę wariantową i rozwiązywanie problemów optymalizacyjnych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f. Tworzenie raportów tabeli przestawnych umożliwiających dynamiczną zmianę wymiarów oraz wykresów bazujących na danych z tabeli przestawnych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g. Wyszukiwanie i zamianę danych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h. Wykonywanie analiz danych przy użyciu formatowania warunkowego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i. Nazywanie komórek arkusza i odwoływanie się w formułach po takiej nazwie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j. Nagrywanie, tworzenie i edycję makr automatyzujących wykonywanie czynności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k. Formatowanie czasu, daty i wartości finansowych z polskim formatem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l. Zapis wielu arkuszy kalkulacyjnych w jednym pliku.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m. inteligentne uzupełnianie komórek w kolumnie według rozpoznanych wzorców, wraz z ich możliwością poprawiania poprzez modyfikację proponowanych formuł.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n. Możliwość przedstawienia różnych wykresów przed ich finalnym wyborem (tylko po najechaniu znacznikiem myszy na dany rodzaj wykresu).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o. Zachowanie pełnej zgodności z formatami plików utworzonych za pomocą oprogramowania Microsoft Excel 2003 oraz Microsoft Excel 2007 i 2010, z uwzględnieniem poprawnej realizacji użytych w nich funkcji specjalnych i makropoleceń.. p. Zabezpieczenie dokumentów hasłem przed odczytem oraz przed wprowadzaniem modyfikacji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13. Narzędzie do przygotowywania i prowadzenia prezentacji musi umożliwiać: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a. Przygotowywanie prezentacji multimedialnych, które będą: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b. Prezentowanie przy użyciu projektora multimedialnego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c. Drukowanie w formacie umożliwiającym robienie notatek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d. Zapisanie jako prezentacja tylko do odczytu.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e. Nagrywanie narracji i dołączanie jej do prezentacji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f. Opatrywanie slajdów notatkami dla prezentera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g. Umieszczanie i formatowanie tekstów, obiektów graficznych, tabel, nagrań dźwiękowych i wideo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h. Umieszczanie tabel i wykresów pochodzących z arkusza kalkulacyjnego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i. Odświeżenie wykresu znajdującego się w prezentacji po zmianie danych w źródłowym arkuszu kalkulacyjnym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j. Możliwość tworzenia animacji obiektów i całych slajdów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lastRenderedPageBreak/>
        <w:t>k. Prowadzenie prezentacji w trybie prezentera, gdzie slajdy są widoczne na jednym monitorze lub projektorze, a na drugim widoczne są slajdy i notatki prezentera, z możliwością podglądu następnego slajdu.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l. Pełna zgodność z formatami plików utworzonych za pomocą oprogramowania MS PowerPoint 2003, MS PowerPoint 2007 i 2010.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14. Narzędzie do zarządzania informacją prywatną (pocztą elektroniczną, kalendarzem, kontaktami i zadaniami) musi umożliwiać: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a. Pobieranie i wysyłanie poczty elektronicznej z serwera pocztowego,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b. Przechowywanie wiadomości na serwerze lub w lokalnym pliku tworzonym z zastosowaniem efektywnej kompresji danych, 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c. Filtrowanie niechcianej poczty elektronicznej (SPAM) oraz określanie listy zablokowanych i bezpiecznych nadawców,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d. Tworzenie katalogów, pozwalających katalogować pocztę elektroniczną,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e .Automatyczne grupowanie poczty o tym samym tytule,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f. Tworzenie reguł przenoszących automatycznie nową pocztę elektroniczną do określonych katalogów bazując na słowach zawartych w tytule, adresie nadawcy i odbiorcy,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g. Oflagowanie poczty elektronicznej z określeniem terminu przypomnienia, oddzielnie dla nadawcy i adresatów,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h. Mechanizm ustalania liczby wiadomości, które mają być synchronizowane lokalnie,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i. Zarządzanie kalendarzem,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j. Udostępnianie kalendarza innym użytkownikom z możliwością określania uprawnień użytkowników,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k. Przeglądanie kalendarza innych użytkowników,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l. Zapraszanie uczestników na spotkanie, co po ich akceptacji powoduje automatyczne wprowadzenie spotkania w ich kalendarzach,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m. Zarządzanie listą zadań,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n. Zlecanie zadań innym użytkownikom,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o. Zarządzanie listą kontaktów,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p. Udostępnianie listy kontaktów innym użytkownikom,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q. Przeglądanie listy kontaktów innych użytkowników,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r. Możliwość przesyłania kontaktów innym użytkowników,</w:t>
      </w:r>
    </w:p>
    <w:p w:rsidR="00F61AC1" w:rsidRPr="0048051F" w:rsidRDefault="00F61AC1" w:rsidP="00F61AC1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s. Możliwość wykorzystania do komunikacji z serwerem pocztowym mechanizmu MAPI poprzez http.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>15. Oprogramowanie musi być dostarczone w najnowszej wersji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48051F">
        <w:rPr>
          <w:rFonts w:ascii="Arial" w:hAnsi="Arial" w:cs="Arial"/>
          <w:sz w:val="18"/>
          <w:szCs w:val="18"/>
          <w:lang w:eastAsia="en-US"/>
        </w:rPr>
        <w:t xml:space="preserve">16. Oprogramowanie musi być kompatybilne i zgodne z systemem HIS, który posiada Zamawiający </w:t>
      </w: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en-US"/>
        </w:rPr>
      </w:pPr>
    </w:p>
    <w:p w:rsidR="00F61AC1" w:rsidRPr="0048051F" w:rsidRDefault="00F61AC1" w:rsidP="00F61AC1">
      <w:pPr>
        <w:suppressAutoHyphens w:val="0"/>
        <w:spacing w:after="0"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  <w:lang w:eastAsia="en-US"/>
        </w:rPr>
      </w:pPr>
      <w:r w:rsidRPr="0048051F">
        <w:rPr>
          <w:rFonts w:ascii="Arial" w:hAnsi="Arial" w:cs="Arial"/>
          <w:sz w:val="18"/>
          <w:szCs w:val="18"/>
          <w:u w:val="single"/>
          <w:lang w:eastAsia="en-US"/>
        </w:rPr>
        <w:t>„</w:t>
      </w:r>
      <w:r w:rsidRPr="0048051F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en-US"/>
        </w:rPr>
        <w:t xml:space="preserve">Niniejszy dokument powinien być podpisany kwalifikowanym podpisem elektronicznym, lub podpisem zaufanym lub podpisem osobistym” 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AC1" w:rsidRDefault="00F61AC1" w:rsidP="00F61AC1">
      <w:pPr>
        <w:spacing w:after="0" w:line="240" w:lineRule="auto"/>
      </w:pPr>
      <w:r>
        <w:separator/>
      </w:r>
    </w:p>
  </w:endnote>
  <w:endnote w:type="continuationSeparator" w:id="0">
    <w:p w:rsidR="00F61AC1" w:rsidRDefault="00F61AC1" w:rsidP="00F6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AC1" w:rsidRDefault="00F61AC1">
    <w:pPr>
      <w:pStyle w:val="Stopka"/>
      <w:jc w:val="right"/>
    </w:pPr>
    <w:proofErr w:type="spellStart"/>
    <w:r>
      <w:t>RPoZP</w:t>
    </w:r>
    <w:proofErr w:type="spellEnd"/>
    <w:r>
      <w:t xml:space="preserve"> 8/2023                                                                                   </w:t>
    </w:r>
    <w:sdt>
      <w:sdtPr>
        <w:id w:val="-133091202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F61AC1" w:rsidRDefault="00F6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AC1" w:rsidRDefault="00F61AC1" w:rsidP="00F61AC1">
      <w:pPr>
        <w:spacing w:after="0" w:line="240" w:lineRule="auto"/>
      </w:pPr>
      <w:r>
        <w:separator/>
      </w:r>
    </w:p>
  </w:footnote>
  <w:footnote w:type="continuationSeparator" w:id="0">
    <w:p w:rsidR="00F61AC1" w:rsidRDefault="00F61AC1" w:rsidP="00F6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545070">
    <w:abstractNumId w:val="6"/>
  </w:num>
  <w:num w:numId="2" w16cid:durableId="1847556953">
    <w:abstractNumId w:val="7"/>
  </w:num>
  <w:num w:numId="3" w16cid:durableId="1510172337">
    <w:abstractNumId w:val="4"/>
  </w:num>
  <w:num w:numId="4" w16cid:durableId="1611545939">
    <w:abstractNumId w:val="1"/>
  </w:num>
  <w:num w:numId="5" w16cid:durableId="1632051177">
    <w:abstractNumId w:val="9"/>
  </w:num>
  <w:num w:numId="6" w16cid:durableId="1609046552">
    <w:abstractNumId w:val="10"/>
  </w:num>
  <w:num w:numId="7" w16cid:durableId="1190221817">
    <w:abstractNumId w:val="0"/>
  </w:num>
  <w:num w:numId="8" w16cid:durableId="1148017950">
    <w:abstractNumId w:val="2"/>
  </w:num>
  <w:num w:numId="9" w16cid:durableId="442842705">
    <w:abstractNumId w:val="11"/>
  </w:num>
  <w:num w:numId="10" w16cid:durableId="1827472771">
    <w:abstractNumId w:val="8"/>
  </w:num>
  <w:num w:numId="11" w16cid:durableId="647365391">
    <w:abstractNumId w:val="3"/>
  </w:num>
  <w:num w:numId="12" w16cid:durableId="2057854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C1"/>
    <w:rsid w:val="0019540B"/>
    <w:rsid w:val="003D63BA"/>
    <w:rsid w:val="00AE6221"/>
    <w:rsid w:val="00DB366F"/>
    <w:rsid w:val="00EA29DA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CC68"/>
  <w15:chartTrackingRefBased/>
  <w15:docId w15:val="{B369BC0C-3480-4855-B010-476EBCDF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AC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AC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AC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4799</Words>
  <Characters>28798</Characters>
  <Application>Microsoft Office Word</Application>
  <DocSecurity>0</DocSecurity>
  <Lines>239</Lines>
  <Paragraphs>67</Paragraphs>
  <ScaleCrop>false</ScaleCrop>
  <Company/>
  <LinksUpToDate>false</LinksUpToDate>
  <CharactersWithSpaces>33530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2023-03-09T07:46:00Z</dcterms:created>
  <dcterms:modified xsi:type="dcterms:W3CDTF">2023-03-09T07:50:00Z</dcterms:modified>
</cp:coreProperties>
</file>