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97C4" w14:textId="44930AC6" w:rsidR="00796062" w:rsidRPr="00913CEF" w:rsidRDefault="00796062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 xml:space="preserve">Łódź, dnia </w:t>
      </w:r>
      <w:r w:rsidR="00416A2C">
        <w:rPr>
          <w:rFonts w:ascii="Calibri" w:hAnsi="Calibri" w:cs="Calibri"/>
          <w:b/>
          <w:bCs/>
          <w:color w:val="auto"/>
          <w:sz w:val="22"/>
          <w:szCs w:val="22"/>
        </w:rPr>
        <w:t>11</w:t>
      </w: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="00913CEF" w:rsidRPr="00913CEF">
        <w:rPr>
          <w:rFonts w:ascii="Calibri" w:hAnsi="Calibri" w:cs="Calibri"/>
          <w:b/>
          <w:bCs/>
          <w:color w:val="auto"/>
          <w:sz w:val="22"/>
          <w:szCs w:val="22"/>
        </w:rPr>
        <w:t>12</w:t>
      </w: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 xml:space="preserve">.2024 r. </w:t>
      </w:r>
    </w:p>
    <w:p w14:paraId="7EEF27D5" w14:textId="77777777" w:rsidR="00796062" w:rsidRPr="00913CEF" w:rsidRDefault="00796062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B9E08CE" w14:textId="3DEA7FD4" w:rsidR="00796062" w:rsidRPr="00913CEF" w:rsidRDefault="00796062" w:rsidP="00065141">
      <w:pPr>
        <w:spacing w:after="120"/>
        <w:ind w:left="4253"/>
        <w:jc w:val="both"/>
        <w:rPr>
          <w:rFonts w:ascii="Calibri" w:hAnsi="Calibri" w:cs="Calibri"/>
        </w:rPr>
      </w:pPr>
      <w:r w:rsidRPr="00913CEF">
        <w:rPr>
          <w:rFonts w:ascii="Calibri" w:hAnsi="Calibri" w:cs="Calibri"/>
        </w:rPr>
        <w:t>Do Uczestników postępowania o udzielenie zamówienia publicznego,</w:t>
      </w:r>
    </w:p>
    <w:p w14:paraId="28C4C2FE" w14:textId="247A6A63" w:rsidR="00796062" w:rsidRPr="00913CEF" w:rsidRDefault="00796062" w:rsidP="00065141">
      <w:pPr>
        <w:spacing w:after="120"/>
        <w:ind w:left="4253"/>
        <w:jc w:val="both"/>
        <w:rPr>
          <w:rFonts w:ascii="Calibri" w:hAnsi="Calibri" w:cs="Calibri"/>
          <w:b/>
        </w:rPr>
      </w:pPr>
      <w:r w:rsidRPr="00913CEF">
        <w:rPr>
          <w:rFonts w:ascii="Calibri" w:hAnsi="Calibri" w:cs="Calibri"/>
          <w:b/>
        </w:rPr>
        <w:t xml:space="preserve">Znak sprawy: </w:t>
      </w:r>
      <w:r w:rsidRPr="00913CEF">
        <w:rPr>
          <w:rFonts w:ascii="Calibri" w:hAnsi="Calibri" w:cs="Calibri"/>
          <w:b/>
          <w:bCs/>
          <w:lang w:val="x-none"/>
        </w:rPr>
        <w:t xml:space="preserve"> </w:t>
      </w:r>
      <w:r w:rsidRPr="00913CEF">
        <w:rPr>
          <w:rFonts w:ascii="Calibri" w:hAnsi="Calibri" w:cs="Calibri"/>
          <w:b/>
          <w:smallCaps/>
          <w:spacing w:val="20"/>
        </w:rPr>
        <w:t>63</w:t>
      </w:r>
      <w:r w:rsidR="00416A2C">
        <w:rPr>
          <w:rFonts w:ascii="Calibri" w:hAnsi="Calibri" w:cs="Calibri"/>
          <w:b/>
          <w:smallCaps/>
          <w:spacing w:val="20"/>
        </w:rPr>
        <w:t>-B</w:t>
      </w:r>
      <w:r w:rsidRPr="00913CEF">
        <w:rPr>
          <w:rFonts w:ascii="Calibri" w:hAnsi="Calibri" w:cs="Calibri"/>
          <w:b/>
          <w:smallCaps/>
          <w:spacing w:val="20"/>
        </w:rPr>
        <w:t>/2024/FO-O</w:t>
      </w:r>
    </w:p>
    <w:p w14:paraId="5826E356" w14:textId="6A484460" w:rsidR="00796062" w:rsidRPr="00913CEF" w:rsidRDefault="00796062" w:rsidP="00065141">
      <w:pPr>
        <w:tabs>
          <w:tab w:val="center" w:pos="2127"/>
        </w:tabs>
        <w:jc w:val="both"/>
        <w:rPr>
          <w:rFonts w:ascii="Calibri" w:hAnsi="Calibri" w:cs="Calibri"/>
        </w:rPr>
      </w:pPr>
      <w:r w:rsidRPr="00913CEF">
        <w:rPr>
          <w:rFonts w:ascii="Calibri" w:hAnsi="Calibri" w:cs="Calibri"/>
          <w:b/>
        </w:rPr>
        <w:t xml:space="preserve">Dotyczy: </w:t>
      </w:r>
      <w:r w:rsidRPr="00913CEF">
        <w:rPr>
          <w:rFonts w:ascii="Calibri" w:hAnsi="Calibri" w:cs="Calibri"/>
        </w:rPr>
        <w:t xml:space="preserve">Postępowania o udzielenie zamówienia publicznego na usługę ubezpieczenia </w:t>
      </w:r>
      <w:r w:rsidR="00416A2C">
        <w:rPr>
          <w:rFonts w:ascii="Calibri" w:hAnsi="Calibri" w:cs="Calibri"/>
        </w:rPr>
        <w:t xml:space="preserve"> mienia </w:t>
      </w:r>
      <w:r w:rsidRPr="00913CEF">
        <w:rPr>
          <w:rFonts w:ascii="Calibri" w:hAnsi="Calibri" w:cs="Calibri"/>
        </w:rPr>
        <w:t>SIECI BADAWCZEJ ŁUKASIEWICZ – ŁÓDZKIEGO INSTYTUTU TECHNOLOGICZNEGO</w:t>
      </w:r>
    </w:p>
    <w:p w14:paraId="18038214" w14:textId="77777777" w:rsidR="00913CEF" w:rsidRPr="00913CEF" w:rsidRDefault="00913CEF" w:rsidP="00065141">
      <w:pPr>
        <w:tabs>
          <w:tab w:val="center" w:pos="2127"/>
        </w:tabs>
        <w:jc w:val="both"/>
        <w:rPr>
          <w:rFonts w:ascii="Calibri" w:hAnsi="Calibri" w:cs="Calibri"/>
        </w:rPr>
      </w:pPr>
    </w:p>
    <w:p w14:paraId="01596A33" w14:textId="77777777" w:rsidR="00913CEF" w:rsidRPr="00913CEF" w:rsidRDefault="00913CEF" w:rsidP="00913CEF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913CEF">
        <w:rPr>
          <w:rFonts w:ascii="Calibri" w:hAnsi="Calibri" w:cs="Calibri"/>
        </w:rPr>
        <w:t xml:space="preserve">W odpowiedzi na wnioski Wykonawców, o wyjaśnienie treści SWZ, działając w oparciu o art. 284 oraz 286 ustawy PZP – </w:t>
      </w:r>
      <w:r w:rsidRPr="00913CEF">
        <w:rPr>
          <w:rFonts w:ascii="Calibri" w:hAnsi="Calibri" w:cs="Calibri"/>
          <w:b/>
          <w:bCs/>
        </w:rPr>
        <w:t>Zamawiający udziela wyjaśnień oraz wprowadza następujące zmiany treści SWZ w części jawnej.</w:t>
      </w:r>
    </w:p>
    <w:p w14:paraId="5E4BE0E5" w14:textId="77777777" w:rsidR="00913CEF" w:rsidRPr="00913CEF" w:rsidRDefault="00913CEF" w:rsidP="00913CEF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913CEF">
        <w:rPr>
          <w:rFonts w:ascii="Calibri" w:hAnsi="Calibri" w:cs="Calibri"/>
          <w:b/>
          <w:bCs/>
        </w:rPr>
        <w:t>Wykonawcom, którzy zwrócili się o udostępnienie poufnej części SWZ zostały przekazane wyjaśnienia i zmodyfikowane Załączniki dotyczące części poufnej.</w:t>
      </w:r>
    </w:p>
    <w:p w14:paraId="79E62825" w14:textId="77777777" w:rsidR="00416A2C" w:rsidRPr="00514CE3" w:rsidRDefault="00416A2C" w:rsidP="00416A2C">
      <w:pPr>
        <w:pStyle w:val="default0"/>
        <w:spacing w:before="0" w:beforeAutospacing="0" w:after="0" w:afterAutospacing="0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514CE3">
        <w:rPr>
          <w:rFonts w:ascii="Calibri" w:eastAsia="Times New Roman" w:hAnsi="Calibri" w:cs="Calibri"/>
          <w:b/>
          <w:bCs/>
          <w:sz w:val="22"/>
          <w:szCs w:val="22"/>
        </w:rPr>
        <w:t>Pytanie 36</w:t>
      </w:r>
    </w:p>
    <w:p w14:paraId="0D9F05DD" w14:textId="77777777" w:rsidR="00416A2C" w:rsidRPr="00514CE3" w:rsidRDefault="00416A2C" w:rsidP="00416A2C">
      <w:pPr>
        <w:pStyle w:val="default0"/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 w:rsidRPr="00514CE3">
        <w:rPr>
          <w:rFonts w:ascii="Calibri" w:eastAsia="Times New Roman" w:hAnsi="Calibri" w:cs="Calibri"/>
          <w:sz w:val="22"/>
          <w:szCs w:val="22"/>
        </w:rPr>
        <w:t>Prosimy o zmianę okresu ubezpieczenia na 12 miesięcy lub wprowadzenie klauzuli wypowiedzenia o treści:</w:t>
      </w:r>
      <w:r w:rsidRPr="00514CE3">
        <w:rPr>
          <w:rStyle w:val="apple-converted-space"/>
          <w:rFonts w:ascii="Calibri" w:eastAsia="Times New Roman" w:hAnsi="Calibri" w:cs="Calibri"/>
          <w:sz w:val="22"/>
          <w:szCs w:val="22"/>
        </w:rPr>
        <w:t> </w:t>
      </w:r>
    </w:p>
    <w:p w14:paraId="28B0A16A" w14:textId="77777777" w:rsidR="00416A2C" w:rsidRPr="00514CE3" w:rsidRDefault="00416A2C" w:rsidP="00416A2C">
      <w:pPr>
        <w:jc w:val="both"/>
        <w:rPr>
          <w:rFonts w:ascii="Calibri" w:eastAsia="Times New Roman" w:hAnsi="Calibri" w:cs="Calibri"/>
        </w:rPr>
      </w:pPr>
      <w:r w:rsidRPr="00514CE3">
        <w:rPr>
          <w:rFonts w:ascii="Calibri" w:eastAsia="Times New Roman" w:hAnsi="Calibri" w:cs="Calibri"/>
        </w:rPr>
        <w:t>Klauzula wypowiedzenia</w:t>
      </w:r>
      <w:r w:rsidRPr="00514CE3">
        <w:rPr>
          <w:rStyle w:val="apple-converted-space"/>
          <w:rFonts w:ascii="Calibri" w:eastAsia="Times New Roman" w:hAnsi="Calibri" w:cs="Calibri"/>
        </w:rPr>
        <w:t> </w:t>
      </w:r>
    </w:p>
    <w:p w14:paraId="1B2D26D8" w14:textId="77777777" w:rsidR="00416A2C" w:rsidRPr="00514CE3" w:rsidRDefault="00416A2C" w:rsidP="00416A2C">
      <w:pPr>
        <w:jc w:val="both"/>
        <w:rPr>
          <w:rFonts w:ascii="Calibri" w:eastAsia="Times New Roman" w:hAnsi="Calibri" w:cs="Calibri"/>
        </w:rPr>
      </w:pPr>
      <w:r w:rsidRPr="00514CE3">
        <w:rPr>
          <w:rFonts w:ascii="Calibri" w:eastAsia="Times New Roman" w:hAnsi="Calibri" w:cs="Calibri"/>
        </w:rPr>
        <w:t xml:space="preserve">Umowa Ubezpieczenia może zostać wypowiedziana przez Ubezpieczającego lub Ubezpieczyciela za 2-miesięcznym okresem wypowiedzenia, ze skutkiem na koniec każdego okresu </w:t>
      </w:r>
      <w:proofErr w:type="spellStart"/>
      <w:r w:rsidRPr="00514CE3">
        <w:rPr>
          <w:rFonts w:ascii="Calibri" w:eastAsia="Times New Roman" w:hAnsi="Calibri" w:cs="Calibri"/>
        </w:rPr>
        <w:t>polisowania</w:t>
      </w:r>
      <w:proofErr w:type="spellEnd"/>
      <w:r w:rsidRPr="00514CE3">
        <w:rPr>
          <w:rFonts w:ascii="Calibri" w:eastAsia="Times New Roman" w:hAnsi="Calibri" w:cs="Calibri"/>
        </w:rPr>
        <w:t>, przy czym Ubezpieczyciel może wypowiedzieć Umowę generalną jedynie z ważnych powodów, za które uznaje się wyłącznie:</w:t>
      </w:r>
      <w:r w:rsidRPr="00514CE3">
        <w:rPr>
          <w:rStyle w:val="apple-converted-space"/>
          <w:rFonts w:ascii="Calibri" w:eastAsia="Times New Roman" w:hAnsi="Calibri" w:cs="Calibri"/>
        </w:rPr>
        <w:t> </w:t>
      </w:r>
    </w:p>
    <w:p w14:paraId="2E37DCF3" w14:textId="77777777" w:rsidR="00416A2C" w:rsidRPr="00514CE3" w:rsidRDefault="00416A2C" w:rsidP="00416A2C">
      <w:pPr>
        <w:jc w:val="both"/>
        <w:rPr>
          <w:rFonts w:ascii="Calibri" w:eastAsia="Times New Roman" w:hAnsi="Calibri" w:cs="Calibri"/>
        </w:rPr>
      </w:pPr>
      <w:r w:rsidRPr="00514CE3">
        <w:rPr>
          <w:rFonts w:ascii="Calibri" w:eastAsia="Times New Roman" w:hAnsi="Calibri" w:cs="Calibri"/>
        </w:rPr>
        <w:t xml:space="preserve">1/ Niemożność uzyskania przez Ubezpieczyciela pokrycia reasekuracyjnego dla jakichkolwiek </w:t>
      </w:r>
      <w:proofErr w:type="spellStart"/>
      <w:r w:rsidRPr="00514CE3">
        <w:rPr>
          <w:rFonts w:ascii="Calibri" w:eastAsia="Times New Roman" w:hAnsi="Calibri" w:cs="Calibri"/>
        </w:rPr>
        <w:t>ryzyk</w:t>
      </w:r>
      <w:proofErr w:type="spellEnd"/>
      <w:r w:rsidRPr="00514CE3">
        <w:rPr>
          <w:rFonts w:ascii="Calibri" w:eastAsia="Times New Roman" w:hAnsi="Calibri" w:cs="Calibri"/>
        </w:rPr>
        <w:t xml:space="preserve"> wskazanych w Umowie,</w:t>
      </w:r>
      <w:r w:rsidRPr="00514CE3">
        <w:rPr>
          <w:rStyle w:val="apple-converted-space"/>
          <w:rFonts w:ascii="Calibri" w:eastAsia="Times New Roman" w:hAnsi="Calibri" w:cs="Calibri"/>
        </w:rPr>
        <w:t> </w:t>
      </w:r>
    </w:p>
    <w:p w14:paraId="30241DC3" w14:textId="77777777" w:rsidR="00416A2C" w:rsidRPr="00514CE3" w:rsidRDefault="00416A2C" w:rsidP="00416A2C">
      <w:pPr>
        <w:jc w:val="both"/>
        <w:rPr>
          <w:rFonts w:ascii="Calibri" w:eastAsia="Times New Roman" w:hAnsi="Calibri" w:cs="Calibri"/>
        </w:rPr>
      </w:pPr>
      <w:r w:rsidRPr="00514CE3">
        <w:rPr>
          <w:rFonts w:ascii="Calibri" w:eastAsia="Times New Roman" w:hAnsi="Calibri" w:cs="Calibri"/>
        </w:rPr>
        <w:t>2/ Znaczne pogorszenie finansowych warunków pokrycia reasekuracyjnego,</w:t>
      </w:r>
      <w:r w:rsidRPr="00514CE3">
        <w:rPr>
          <w:rStyle w:val="apple-converted-space"/>
          <w:rFonts w:ascii="Calibri" w:eastAsia="Times New Roman" w:hAnsi="Calibri" w:cs="Calibri"/>
        </w:rPr>
        <w:t> </w:t>
      </w:r>
    </w:p>
    <w:p w14:paraId="74968041" w14:textId="77777777" w:rsidR="00416A2C" w:rsidRPr="00514CE3" w:rsidRDefault="00416A2C" w:rsidP="00416A2C">
      <w:pPr>
        <w:jc w:val="both"/>
        <w:rPr>
          <w:rFonts w:ascii="Calibri" w:eastAsia="Times New Roman" w:hAnsi="Calibri" w:cs="Calibri"/>
        </w:rPr>
      </w:pPr>
      <w:r w:rsidRPr="00514CE3">
        <w:rPr>
          <w:rFonts w:ascii="Calibri" w:eastAsia="Times New Roman" w:hAnsi="Calibri" w:cs="Calibri"/>
        </w:rPr>
        <w:t>3/ Nastąpiły zmiany w prawie, które mają wpływ na zwiększenie ryzyka Ubezpieczyciela.</w:t>
      </w:r>
      <w:r w:rsidRPr="00514CE3">
        <w:rPr>
          <w:rStyle w:val="apple-converted-space"/>
          <w:rFonts w:ascii="Calibri" w:eastAsia="Times New Roman" w:hAnsi="Calibri" w:cs="Calibri"/>
        </w:rPr>
        <w:t> </w:t>
      </w:r>
    </w:p>
    <w:p w14:paraId="4CC32337" w14:textId="77777777" w:rsidR="00416A2C" w:rsidRPr="00514CE3" w:rsidRDefault="00416A2C" w:rsidP="00416A2C">
      <w:pPr>
        <w:jc w:val="both"/>
        <w:rPr>
          <w:rFonts w:ascii="Calibri" w:eastAsia="Times New Roman" w:hAnsi="Calibri" w:cs="Calibri"/>
        </w:rPr>
      </w:pPr>
      <w:r w:rsidRPr="00514CE3">
        <w:rPr>
          <w:rFonts w:ascii="Calibri" w:eastAsia="Times New Roman" w:hAnsi="Calibri" w:cs="Calibri"/>
        </w:rPr>
        <w:t>4/ Nastąpiły zmiany regulacji prawnych odnoszących się do umów ubezpieczenia, które zobowiązują Ubezpieczającego do zmiany jakiegokolwiek terminu lub warunków umowy ubezpieczenia.</w:t>
      </w:r>
      <w:r w:rsidRPr="00514CE3">
        <w:rPr>
          <w:rStyle w:val="apple-converted-space"/>
          <w:rFonts w:ascii="Calibri" w:eastAsia="Times New Roman" w:hAnsi="Calibri" w:cs="Calibri"/>
        </w:rPr>
        <w:t> </w:t>
      </w:r>
    </w:p>
    <w:p w14:paraId="752ADA81" w14:textId="77777777" w:rsidR="00416A2C" w:rsidRPr="00514CE3" w:rsidRDefault="00416A2C" w:rsidP="00416A2C">
      <w:pPr>
        <w:jc w:val="both"/>
        <w:rPr>
          <w:rFonts w:ascii="Calibri" w:eastAsia="Times New Roman" w:hAnsi="Calibri" w:cs="Calibri"/>
        </w:rPr>
      </w:pPr>
      <w:r w:rsidRPr="00514CE3">
        <w:rPr>
          <w:rFonts w:ascii="Calibri" w:eastAsia="Times New Roman" w:hAnsi="Calibri" w:cs="Calibri"/>
        </w:rPr>
        <w:t>5/ Nastąpiły zmiany w umowach reasekuracji powodujące, że ochrona reasekuracyjna na tych samych warunkach, jak wcześniej nie jest już dostępna dla Ubezpieczyciela.</w:t>
      </w:r>
      <w:r w:rsidRPr="00514CE3">
        <w:rPr>
          <w:rStyle w:val="apple-converted-space"/>
          <w:rFonts w:ascii="Calibri" w:eastAsia="Times New Roman" w:hAnsi="Calibri" w:cs="Calibri"/>
        </w:rPr>
        <w:t> </w:t>
      </w:r>
    </w:p>
    <w:p w14:paraId="080D8BCA" w14:textId="77777777" w:rsidR="00416A2C" w:rsidRPr="00514CE3" w:rsidRDefault="00416A2C" w:rsidP="00416A2C">
      <w:pPr>
        <w:jc w:val="both"/>
        <w:rPr>
          <w:rFonts w:ascii="Calibri" w:eastAsia="Times New Roman" w:hAnsi="Calibri" w:cs="Calibri"/>
        </w:rPr>
      </w:pPr>
      <w:r w:rsidRPr="00514CE3">
        <w:rPr>
          <w:rFonts w:ascii="Calibri" w:eastAsia="Times New Roman" w:hAnsi="Calibri" w:cs="Calibri"/>
        </w:rPr>
        <w:t>6/ Przekroczenie wskaźnika szkodowości w następujących przypadkach: gdy szkodowość rozumiana jako stosunek rezerw oraz wypłaconych odszkodowań z poszczególnych ubezpieczeń liczonych odrębnie dla każdego rodzaju/grupy ubezpieczenia do składki zarobionej (składka przypisana za okres 9 miesięcy za poszczególne ubezpieczenia) za pierwsze 9 miesięcy pierwszego roku ochrony nie przekroczy 30% - utrzymanie stawek i warunków ubezpieczenia określonych w ofercie w drugim roku ubezpieczenia.</w:t>
      </w:r>
      <w:r w:rsidRPr="00514CE3">
        <w:rPr>
          <w:rStyle w:val="apple-converted-space"/>
          <w:rFonts w:ascii="Calibri" w:eastAsia="Times New Roman" w:hAnsi="Calibri" w:cs="Calibri"/>
        </w:rPr>
        <w:t> </w:t>
      </w:r>
    </w:p>
    <w:p w14:paraId="0AB880DB" w14:textId="77777777" w:rsidR="00416A2C" w:rsidRPr="00514CE3" w:rsidRDefault="00416A2C" w:rsidP="00416A2C">
      <w:pPr>
        <w:jc w:val="both"/>
        <w:rPr>
          <w:rFonts w:ascii="Calibri" w:eastAsia="Times New Roman" w:hAnsi="Calibri" w:cs="Calibri"/>
        </w:rPr>
      </w:pPr>
      <w:r w:rsidRPr="00514CE3">
        <w:rPr>
          <w:rFonts w:ascii="Calibri" w:eastAsia="Times New Roman" w:hAnsi="Calibri" w:cs="Calibri"/>
        </w:rPr>
        <w:t>W przypadku, kiedy szkodowość nie spełnia powyższych warunków i przekracza wskazany wyżej 30% wskaźnik szkodowości, strony dopuszczają możliwość renegocjacji stawek prowadzonej w formie pisemnej.</w:t>
      </w:r>
      <w:r w:rsidRPr="00514CE3">
        <w:rPr>
          <w:rStyle w:val="apple-converted-space"/>
          <w:rFonts w:ascii="Calibri" w:eastAsia="Times New Roman" w:hAnsi="Calibri" w:cs="Calibri"/>
        </w:rPr>
        <w:t> </w:t>
      </w:r>
    </w:p>
    <w:p w14:paraId="6333F513" w14:textId="77777777" w:rsidR="00416A2C" w:rsidRPr="00514CE3" w:rsidRDefault="00416A2C" w:rsidP="00416A2C">
      <w:pPr>
        <w:jc w:val="both"/>
        <w:rPr>
          <w:rFonts w:ascii="Calibri" w:eastAsia="Times New Roman" w:hAnsi="Calibri" w:cs="Calibri"/>
        </w:rPr>
      </w:pPr>
      <w:r w:rsidRPr="00514CE3">
        <w:rPr>
          <w:rFonts w:ascii="Calibri" w:eastAsia="Times New Roman" w:hAnsi="Calibri" w:cs="Calibri"/>
        </w:rPr>
        <w:t>Ubezpieczyciel w takiej sytuacji jest zobowiązany przedstawić nową propozycję w terminie 15 dni od dnia zakończenia 9 miesięcy pierwszego roku ochrony. Z chwilą braku porozumienia pomiędzy stronami umowy w kwestii nowych stawek ubezpieczeniowych, umowa ulega rozwiązaniu z dniem końca pierwszego okresu ubezpieczenia. W przypadku niezłożenia przez Ubezpieczyciela nowej propozycji składek w terminie 15 dni od dnia zakończenia 9 miesięcy pierwszego roku ochrony składki na kolejny okres nie ulegają zmianie.</w:t>
      </w:r>
      <w:r w:rsidRPr="00514CE3">
        <w:rPr>
          <w:rStyle w:val="apple-converted-space"/>
          <w:rFonts w:ascii="Calibri" w:eastAsia="Times New Roman" w:hAnsi="Calibri" w:cs="Calibri"/>
        </w:rPr>
        <w:t> </w:t>
      </w:r>
    </w:p>
    <w:p w14:paraId="5B4DB77D" w14:textId="77777777" w:rsidR="00416A2C" w:rsidRPr="00514CE3" w:rsidRDefault="00416A2C" w:rsidP="00416A2C">
      <w:pPr>
        <w:jc w:val="both"/>
        <w:rPr>
          <w:rFonts w:ascii="Calibri" w:hAnsi="Calibri" w:cs="Calibri"/>
          <w:b/>
          <w:bCs/>
        </w:rPr>
      </w:pPr>
      <w:r w:rsidRPr="00514CE3">
        <w:rPr>
          <w:rFonts w:ascii="Calibri" w:eastAsia="Times New Roman" w:hAnsi="Calibri" w:cs="Calibri"/>
        </w:rPr>
        <w:t> </w:t>
      </w:r>
      <w:r w:rsidRPr="00514CE3">
        <w:rPr>
          <w:rFonts w:ascii="Calibri" w:hAnsi="Calibri" w:cs="Calibri"/>
          <w:b/>
          <w:bCs/>
        </w:rPr>
        <w:t xml:space="preserve">Odpowiedź: </w:t>
      </w:r>
    </w:p>
    <w:p w14:paraId="4F850B3A" w14:textId="77777777" w:rsidR="00416A2C" w:rsidRPr="00514CE3" w:rsidRDefault="00416A2C" w:rsidP="00416A2C">
      <w:pPr>
        <w:jc w:val="both"/>
        <w:rPr>
          <w:rFonts w:ascii="Calibri" w:hAnsi="Calibri" w:cs="Calibri"/>
        </w:rPr>
      </w:pPr>
      <w:r w:rsidRPr="00514CE3">
        <w:rPr>
          <w:rFonts w:ascii="Calibri" w:hAnsi="Calibri" w:cs="Calibri"/>
        </w:rPr>
        <w:t>Zamawiający nie wyraża zgody</w:t>
      </w:r>
    </w:p>
    <w:p w14:paraId="2880F01C" w14:textId="77777777" w:rsidR="00913CEF" w:rsidRPr="00065141" w:rsidRDefault="00913CEF" w:rsidP="0006514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sectPr w:rsidR="00913CEF" w:rsidRPr="000651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F14A" w14:textId="77777777" w:rsidR="00796062" w:rsidRDefault="00796062" w:rsidP="00796062">
      <w:r>
        <w:separator/>
      </w:r>
    </w:p>
  </w:endnote>
  <w:endnote w:type="continuationSeparator" w:id="0">
    <w:p w14:paraId="5D8CDD72" w14:textId="77777777" w:rsidR="00796062" w:rsidRDefault="00796062" w:rsidP="0079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13912"/>
      <w:docPartObj>
        <w:docPartGallery w:val="Page Numbers (Bottom of Page)"/>
        <w:docPartUnique/>
      </w:docPartObj>
    </w:sdtPr>
    <w:sdtEndPr/>
    <w:sdtContent>
      <w:p w14:paraId="7568F91B" w14:textId="7B3181AB" w:rsidR="00796062" w:rsidRDefault="007960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DF9D9" w14:textId="77777777" w:rsidR="00796062" w:rsidRDefault="00796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AB32E" w14:textId="77777777" w:rsidR="00796062" w:rsidRDefault="00796062" w:rsidP="00796062">
      <w:r>
        <w:separator/>
      </w:r>
    </w:p>
  </w:footnote>
  <w:footnote w:type="continuationSeparator" w:id="0">
    <w:p w14:paraId="6996BDCE" w14:textId="77777777" w:rsidR="00796062" w:rsidRDefault="00796062" w:rsidP="0079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C7F6" w14:textId="4196A4C8" w:rsidR="00796062" w:rsidRDefault="00796062" w:rsidP="00796062">
    <w:pPr>
      <w:pStyle w:val="Nagwek"/>
      <w:rPr>
        <w:rFonts w:asciiTheme="minorHAnsi" w:hAnsiTheme="minorHAnsi" w:cstheme="minorBidi"/>
      </w:rPr>
    </w:pPr>
    <w:r>
      <w:t>JAWNE WYJAŚNIENIA TREŚCI SWZ</w:t>
    </w:r>
  </w:p>
  <w:p w14:paraId="1378D400" w14:textId="77777777" w:rsidR="00796062" w:rsidRDefault="00796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828425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9F4021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3BE0F3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E85FFB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6C707D"/>
    <w:multiLevelType w:val="hybridMultilevel"/>
    <w:tmpl w:val="B51A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3673F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9538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66589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0097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5513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80740613">
    <w:abstractNumId w:val="1"/>
  </w:num>
  <w:num w:numId="6" w16cid:durableId="327444853">
    <w:abstractNumId w:val="3"/>
  </w:num>
  <w:num w:numId="7" w16cid:durableId="1896232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97"/>
    <w:rsid w:val="00065141"/>
    <w:rsid w:val="00281C2E"/>
    <w:rsid w:val="002F5665"/>
    <w:rsid w:val="00326C29"/>
    <w:rsid w:val="0037698F"/>
    <w:rsid w:val="00416A2C"/>
    <w:rsid w:val="004D79FB"/>
    <w:rsid w:val="005F18E2"/>
    <w:rsid w:val="006E18F3"/>
    <w:rsid w:val="006E3641"/>
    <w:rsid w:val="00722CBD"/>
    <w:rsid w:val="007778D9"/>
    <w:rsid w:val="00796062"/>
    <w:rsid w:val="008432A3"/>
    <w:rsid w:val="00873A41"/>
    <w:rsid w:val="00913CEF"/>
    <w:rsid w:val="00A7257A"/>
    <w:rsid w:val="00A96E97"/>
    <w:rsid w:val="00AD361A"/>
    <w:rsid w:val="00BF298C"/>
    <w:rsid w:val="00CD1349"/>
    <w:rsid w:val="00D979C2"/>
    <w:rsid w:val="00DB10D0"/>
    <w:rsid w:val="00F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166D"/>
  <w15:chartTrackingRefBased/>
  <w15:docId w15:val="{945087D3-A25B-4570-A54D-3AB35651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97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6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E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E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6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E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E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E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96E97"/>
    <w:pPr>
      <w:spacing w:before="100" w:beforeAutospacing="1" w:after="100" w:afterAutospacing="1"/>
    </w:pPr>
    <w:rPr>
      <w:sz w:val="24"/>
      <w:szCs w:val="24"/>
      <w:lang w:eastAsia="pl-PL"/>
      <w14:ligatures w14:val="none"/>
    </w:rPr>
  </w:style>
  <w:style w:type="paragraph" w:customStyle="1" w:styleId="Default">
    <w:name w:val="Default"/>
    <w:basedOn w:val="Normalny"/>
    <w:uiPriority w:val="99"/>
    <w:rsid w:val="00A96E97"/>
    <w:pPr>
      <w:autoSpaceDE w:val="0"/>
      <w:autoSpaceDN w:val="0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062"/>
    <w:rPr>
      <w:rFonts w:ascii="Aptos" w:hAnsi="Aptos" w:cs="Aptos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6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062"/>
    <w:rPr>
      <w:rFonts w:ascii="Aptos" w:hAnsi="Aptos" w:cs="Aptos"/>
      <w:kern w:val="0"/>
      <w:sz w:val="22"/>
      <w:szCs w:val="22"/>
    </w:rPr>
  </w:style>
  <w:style w:type="paragraph" w:customStyle="1" w:styleId="default0">
    <w:name w:val="default"/>
    <w:basedOn w:val="Normalny"/>
    <w:rsid w:val="00416A2C"/>
    <w:pPr>
      <w:spacing w:before="100" w:beforeAutospacing="1" w:after="100" w:afterAutospacing="1"/>
    </w:pPr>
    <w:rPr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41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Bonisławska</dc:creator>
  <cp:keywords/>
  <dc:description/>
  <cp:lastModifiedBy>Agnieszka Mikołajczyk</cp:lastModifiedBy>
  <cp:revision>3</cp:revision>
  <dcterms:created xsi:type="dcterms:W3CDTF">2024-12-11T13:31:00Z</dcterms:created>
  <dcterms:modified xsi:type="dcterms:W3CDTF">2024-12-11T13:35:00Z</dcterms:modified>
</cp:coreProperties>
</file>