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E3F4E" w14:textId="14BD6E8F" w:rsidR="00672F58" w:rsidRPr="00672F58" w:rsidRDefault="00672F58" w:rsidP="00672F5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Załącznik nr 1 j do OPZ szafy </w:t>
      </w:r>
      <w:proofErr w:type="spellStart"/>
      <w:r w:rsidRPr="00672F58">
        <w:rPr>
          <w:rFonts w:cstheme="minorHAnsi"/>
          <w:sz w:val="20"/>
          <w:szCs w:val="20"/>
        </w:rPr>
        <w:t>rack</w:t>
      </w:r>
      <w:proofErr w:type="spellEnd"/>
    </w:p>
    <w:p w14:paraId="4B4A55C4" w14:textId="4A2CA978" w:rsidR="003E38F3" w:rsidRPr="00672F58" w:rsidRDefault="003E38F3" w:rsidP="00672F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Szafa </w:t>
      </w:r>
      <w:proofErr w:type="spellStart"/>
      <w:r w:rsidRPr="00672F58">
        <w:rPr>
          <w:rFonts w:cstheme="minorHAnsi"/>
          <w:sz w:val="20"/>
          <w:szCs w:val="20"/>
        </w:rPr>
        <w:t>rack</w:t>
      </w:r>
      <w:proofErr w:type="spellEnd"/>
      <w:r w:rsidRPr="00672F58">
        <w:rPr>
          <w:rFonts w:cstheme="minorHAnsi"/>
          <w:sz w:val="20"/>
          <w:szCs w:val="20"/>
        </w:rPr>
        <w:t xml:space="preserve"> – szt. </w:t>
      </w:r>
      <w:r w:rsidR="00EC040E" w:rsidRPr="00672F58">
        <w:rPr>
          <w:rFonts w:cstheme="minorHAnsi"/>
          <w:sz w:val="20"/>
          <w:szCs w:val="20"/>
        </w:rPr>
        <w:t>12</w:t>
      </w:r>
      <w:r w:rsidR="00B604E7" w:rsidRPr="00672F58">
        <w:rPr>
          <w:rFonts w:cstheme="minorHAnsi"/>
          <w:sz w:val="20"/>
          <w:szCs w:val="20"/>
        </w:rPr>
        <w:t xml:space="preserve"> </w:t>
      </w:r>
      <w:r w:rsidR="00EC040E" w:rsidRPr="00672F58">
        <w:rPr>
          <w:rFonts w:cstheme="minorHAnsi"/>
          <w:sz w:val="20"/>
          <w:szCs w:val="20"/>
        </w:rPr>
        <w:t>(Miasto Bielsk Podlaski, Miasto Grajewo, Gmina Kolno, Gmina Łomża, Gmina Krasnopol, Gmina Drohiczyn, Gmina Milejczyce, Gmina Sokółka, Gmina Suchowola, Gmina Suwałki, Gmina Nowe Piekuty, Miasto Łomża</w:t>
      </w:r>
      <w:r w:rsidR="00043263" w:rsidRPr="00672F58">
        <w:rPr>
          <w:rFonts w:cstheme="minorHAnsi"/>
          <w:sz w:val="20"/>
          <w:szCs w:val="20"/>
        </w:rPr>
        <w:t>)</w:t>
      </w:r>
      <w:r w:rsidRPr="00672F58">
        <w:rPr>
          <w:rFonts w:cstheme="minorHAnsi"/>
          <w:sz w:val="20"/>
          <w:szCs w:val="20"/>
        </w:rPr>
        <w:t xml:space="preserve"> </w:t>
      </w:r>
    </w:p>
    <w:p w14:paraId="7DC90C07" w14:textId="58548685" w:rsidR="003E38F3" w:rsidRPr="00672F58" w:rsidRDefault="003E38F3" w:rsidP="003E38F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W ramach zamówienia należy dostarczyć i zamontować szafę stojącą 42U 800x1000 z cokołem.</w:t>
      </w:r>
    </w:p>
    <w:p w14:paraId="24DF61DB" w14:textId="77777777" w:rsidR="003E38F3" w:rsidRPr="00672F58" w:rsidRDefault="003E38F3" w:rsidP="003E38F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Wymagane cechy i parametry minimalne:</w:t>
      </w:r>
    </w:p>
    <w:p w14:paraId="28B9C509" w14:textId="0DDAC37C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konstrukcja z blachy stalowej,</w:t>
      </w:r>
    </w:p>
    <w:p w14:paraId="79C89FC4" w14:textId="5C296735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rama z profili stalowych przystosowana do montażu na cokole,</w:t>
      </w:r>
    </w:p>
    <w:p w14:paraId="20A61692" w14:textId="383A8C47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panel wentylacyjny 4-wiatrakowy z termostatem montowany na dachu szafy,</w:t>
      </w:r>
    </w:p>
    <w:p w14:paraId="1EBC95F7" w14:textId="674545AF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trzy otwory do wyprowadzania kabli,</w:t>
      </w:r>
    </w:p>
    <w:p w14:paraId="43D1DDAD" w14:textId="52E7660C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drzwi przednie z blachy, częściowo perforowane,</w:t>
      </w:r>
    </w:p>
    <w:p w14:paraId="6532117C" w14:textId="2DBFDB6F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drzwi przednie z zamkiem,</w:t>
      </w:r>
    </w:p>
    <w:p w14:paraId="4CD5A181" w14:textId="0E2551DC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drzwi otwierane o 180 stopni,</w:t>
      </w:r>
    </w:p>
    <w:p w14:paraId="3AA1BB70" w14:textId="7A311BA8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drzwi tylne z blachy, częściowo perforowane, z zamkiem,</w:t>
      </w:r>
    </w:p>
    <w:p w14:paraId="69A08EE7" w14:textId="345D1186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osłony boczne z blachy stalowej, </w:t>
      </w:r>
      <w:proofErr w:type="spellStart"/>
      <w:r w:rsidRPr="00672F58">
        <w:rPr>
          <w:rFonts w:cstheme="minorHAnsi"/>
          <w:color w:val="000000"/>
          <w:sz w:val="20"/>
          <w:szCs w:val="20"/>
        </w:rPr>
        <w:t>demontowalne</w:t>
      </w:r>
      <w:proofErr w:type="spellEnd"/>
      <w:r w:rsidRPr="00672F58">
        <w:rPr>
          <w:rFonts w:cstheme="minorHAnsi"/>
          <w:color w:val="000000"/>
          <w:sz w:val="20"/>
          <w:szCs w:val="20"/>
        </w:rPr>
        <w:t>, mocowane za pomocą zamków,</w:t>
      </w:r>
    </w:p>
    <w:p w14:paraId="737000B2" w14:textId="366815E6" w:rsidR="003E38F3" w:rsidRPr="00672F58" w:rsidRDefault="003E38F3" w:rsidP="003E38F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dwie płaszczyzny 19-calowych pionowych </w:t>
      </w:r>
      <w:proofErr w:type="spellStart"/>
      <w:r w:rsidRPr="00672F58">
        <w:rPr>
          <w:rFonts w:cstheme="minorHAnsi"/>
          <w:color w:val="000000"/>
          <w:sz w:val="20"/>
          <w:szCs w:val="20"/>
        </w:rPr>
        <w:t>racków</w:t>
      </w:r>
      <w:proofErr w:type="spellEnd"/>
      <w:r w:rsidRPr="00672F58">
        <w:rPr>
          <w:rFonts w:cstheme="minorHAnsi"/>
          <w:color w:val="000000"/>
          <w:sz w:val="20"/>
          <w:szCs w:val="20"/>
        </w:rPr>
        <w:t xml:space="preserve"> mocowanych na 3 poziomów trawersów</w:t>
      </w:r>
      <w:r w:rsidR="00AC5C07" w:rsidRPr="00672F58">
        <w:rPr>
          <w:rFonts w:cstheme="minorHAnsi"/>
          <w:color w:val="000000"/>
          <w:sz w:val="20"/>
          <w:szCs w:val="20"/>
        </w:rPr>
        <w:t xml:space="preserve"> </w:t>
      </w:r>
      <w:r w:rsidRPr="00672F58">
        <w:rPr>
          <w:rFonts w:cstheme="minorHAnsi"/>
          <w:color w:val="000000"/>
          <w:sz w:val="20"/>
          <w:szCs w:val="20"/>
        </w:rPr>
        <w:t>poziomych z rastrem co 20 mm,</w:t>
      </w:r>
    </w:p>
    <w:p w14:paraId="2AD79424" w14:textId="521CE475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 w zestawie 3 półki stałe mocowane w 4 punktach oraz śruby montażowe,</w:t>
      </w:r>
    </w:p>
    <w:p w14:paraId="2B5AFD13" w14:textId="60B57F82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w zestawie panel wentylatorowy z 4-wiatrakami i termostatem,</w:t>
      </w:r>
    </w:p>
    <w:p w14:paraId="5CAB8D21" w14:textId="75C05B85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w zestawie cokół 100 mm,</w:t>
      </w:r>
    </w:p>
    <w:p w14:paraId="3C5212EA" w14:textId="32FE2762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możliwość zastosowania przepustów szczotkowych dla wyprowadzanych przewodów,</w:t>
      </w:r>
    </w:p>
    <w:p w14:paraId="33AC7260" w14:textId="4B65576B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szafa powinna mieć kolor czarny lub szary,</w:t>
      </w:r>
    </w:p>
    <w:p w14:paraId="79AC9EC5" w14:textId="2B8E3A53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drzwi przednie i tylne można zamontować jako lewo- i prawostronne,</w:t>
      </w:r>
    </w:p>
    <w:p w14:paraId="1A1202CD" w14:textId="32819E92" w:rsidR="003E38F3" w:rsidRPr="00672F58" w:rsidRDefault="003E38F3" w:rsidP="00AC5C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nośność szafy do co najmniej </w:t>
      </w:r>
      <w:r w:rsidR="00A02401" w:rsidRPr="00672F58">
        <w:rPr>
          <w:rFonts w:cstheme="minorHAnsi"/>
          <w:color w:val="000000"/>
          <w:sz w:val="20"/>
          <w:szCs w:val="20"/>
        </w:rPr>
        <w:t>8</w:t>
      </w:r>
      <w:r w:rsidRPr="00672F58">
        <w:rPr>
          <w:rFonts w:cstheme="minorHAnsi"/>
          <w:color w:val="000000"/>
          <w:sz w:val="20"/>
          <w:szCs w:val="20"/>
        </w:rPr>
        <w:t>00kg.</w:t>
      </w:r>
    </w:p>
    <w:p w14:paraId="30EC051E" w14:textId="77777777" w:rsidR="003E38F3" w:rsidRPr="00672F58" w:rsidRDefault="003E38F3" w:rsidP="003E38F3">
      <w:pPr>
        <w:autoSpaceDE w:val="0"/>
        <w:autoSpaceDN w:val="0"/>
        <w:adjustRightInd w:val="0"/>
        <w:spacing w:after="0" w:line="240" w:lineRule="auto"/>
        <w:rPr>
          <w:rFonts w:cstheme="minorHAnsi"/>
          <w:color w:val="2F5497"/>
          <w:sz w:val="20"/>
          <w:szCs w:val="20"/>
        </w:rPr>
      </w:pPr>
    </w:p>
    <w:p w14:paraId="2089D844" w14:textId="1EFB17E6" w:rsidR="003E38F3" w:rsidRPr="00672F58" w:rsidRDefault="003E38F3" w:rsidP="00EC040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72F58">
        <w:rPr>
          <w:rFonts w:cstheme="minorHAnsi"/>
          <w:b/>
          <w:bCs/>
          <w:sz w:val="20"/>
          <w:szCs w:val="20"/>
        </w:rPr>
        <w:t xml:space="preserve">Listwa zasilająca do szafy </w:t>
      </w:r>
      <w:proofErr w:type="spellStart"/>
      <w:r w:rsidRPr="00672F58">
        <w:rPr>
          <w:rFonts w:cstheme="minorHAnsi"/>
          <w:b/>
          <w:bCs/>
          <w:sz w:val="20"/>
          <w:szCs w:val="20"/>
        </w:rPr>
        <w:t>rack</w:t>
      </w:r>
      <w:proofErr w:type="spellEnd"/>
      <w:r w:rsidR="00B604E7" w:rsidRPr="00672F58">
        <w:rPr>
          <w:rFonts w:cstheme="minorHAnsi"/>
          <w:b/>
          <w:bCs/>
          <w:sz w:val="20"/>
          <w:szCs w:val="20"/>
        </w:rPr>
        <w:t xml:space="preserve"> szt. </w:t>
      </w:r>
      <w:r w:rsidR="00EC040E" w:rsidRPr="00672F58">
        <w:rPr>
          <w:rFonts w:cstheme="minorHAnsi"/>
          <w:b/>
          <w:bCs/>
          <w:sz w:val="20"/>
          <w:szCs w:val="20"/>
        </w:rPr>
        <w:t>12</w:t>
      </w:r>
      <w:r w:rsidR="00B604E7" w:rsidRPr="00672F58">
        <w:rPr>
          <w:rFonts w:cstheme="minorHAnsi"/>
          <w:b/>
          <w:bCs/>
          <w:sz w:val="20"/>
          <w:szCs w:val="20"/>
        </w:rPr>
        <w:t xml:space="preserve"> (</w:t>
      </w:r>
      <w:r w:rsidR="00EC040E" w:rsidRPr="00672F58">
        <w:rPr>
          <w:rFonts w:cstheme="minorHAnsi"/>
          <w:b/>
          <w:bCs/>
          <w:sz w:val="20"/>
          <w:szCs w:val="20"/>
        </w:rPr>
        <w:t>Miasto Bielsk Podlaski, Miasto Grajewo, Gmina Kolno, Gmina Łomża, Gmina Krasnopol, Gmina Drohiczyn, Gmina Milejczyce, Gmina Sokółka, Gmina Suchowola, Gmina Suwałki, Gmina Nowe Piekuty, Miasto Łomża</w:t>
      </w:r>
      <w:r w:rsidR="00B604E7" w:rsidRPr="00672F58">
        <w:rPr>
          <w:rFonts w:cstheme="minorHAnsi"/>
          <w:b/>
          <w:bCs/>
          <w:sz w:val="20"/>
          <w:szCs w:val="20"/>
        </w:rPr>
        <w:t>)</w:t>
      </w:r>
    </w:p>
    <w:p w14:paraId="633A676B" w14:textId="77777777" w:rsidR="003E38F3" w:rsidRPr="00672F58" w:rsidRDefault="003E38F3" w:rsidP="003E38F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W szafach </w:t>
      </w:r>
      <w:proofErr w:type="spellStart"/>
      <w:r w:rsidRPr="00672F58">
        <w:rPr>
          <w:rFonts w:cstheme="minorHAnsi"/>
          <w:color w:val="000000"/>
          <w:sz w:val="20"/>
          <w:szCs w:val="20"/>
        </w:rPr>
        <w:t>rack</w:t>
      </w:r>
      <w:proofErr w:type="spellEnd"/>
      <w:r w:rsidRPr="00672F58">
        <w:rPr>
          <w:rFonts w:cstheme="minorHAnsi"/>
          <w:color w:val="000000"/>
          <w:sz w:val="20"/>
          <w:szCs w:val="20"/>
        </w:rPr>
        <w:t xml:space="preserve"> należy zamontować listwy zasilające o nw. cechach i minimalnych parametrach:</w:t>
      </w:r>
    </w:p>
    <w:p w14:paraId="529E4EFC" w14:textId="3157FDC9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co najmniej 8 gniazd okrągłych z bolcem 16A/250V,</w:t>
      </w:r>
    </w:p>
    <w:p w14:paraId="1E48EE98" w14:textId="1BCBDDBD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gniazda z bolcem powinny być obrócone o kąt 45° względem obudowy,</w:t>
      </w:r>
    </w:p>
    <w:p w14:paraId="6EF5F6E9" w14:textId="3A122F93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gniazda powinny zabezpieczone przed wetknięciem przypadkowych przedmiotów,</w:t>
      </w:r>
    </w:p>
    <w:p w14:paraId="6D0E4399" w14:textId="56D70F20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listwa powinna być wyposażona w wyłącznik z podświetleniem i zaślepką,</w:t>
      </w:r>
    </w:p>
    <w:p w14:paraId="574447A1" w14:textId="42212CFA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listwa w kolorze czarnym,</w:t>
      </w:r>
    </w:p>
    <w:p w14:paraId="717CDFD9" w14:textId="1178B277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obudowa aluminiowa anodyzowana w kolorze naturalnym,</w:t>
      </w:r>
    </w:p>
    <w:p w14:paraId="5EA48B68" w14:textId="19B9A175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listwa przystosowana do montażu poziomego w profilach 19” o wysokości 1U,</w:t>
      </w:r>
    </w:p>
    <w:p w14:paraId="6984ED1F" w14:textId="4BD3BB65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kabel zasilający długości co najmniej 2m, typu H05VV-F 3G1,5mm2 w kolorze czarnym,</w:t>
      </w:r>
    </w:p>
    <w:p w14:paraId="2B899E06" w14:textId="67B77B8D" w:rsidR="003E38F3" w:rsidRPr="00672F58" w:rsidRDefault="003E38F3" w:rsidP="00AC5C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 xml:space="preserve">kabel zakończony wtykiem kątowym zalewanym </w:t>
      </w:r>
      <w:proofErr w:type="spellStart"/>
      <w:r w:rsidRPr="00672F58">
        <w:rPr>
          <w:rFonts w:cstheme="minorHAnsi"/>
          <w:color w:val="000000"/>
          <w:sz w:val="20"/>
          <w:szCs w:val="20"/>
        </w:rPr>
        <w:t>uni</w:t>
      </w:r>
      <w:r w:rsidR="00E53DE0" w:rsidRPr="00672F58">
        <w:rPr>
          <w:rFonts w:cstheme="minorHAnsi"/>
          <w:color w:val="000000"/>
          <w:sz w:val="20"/>
          <w:szCs w:val="20"/>
        </w:rPr>
        <w:t>-</w:t>
      </w:r>
      <w:r w:rsidRPr="00672F58">
        <w:rPr>
          <w:rFonts w:cstheme="minorHAnsi"/>
          <w:color w:val="000000"/>
          <w:sz w:val="20"/>
          <w:szCs w:val="20"/>
        </w:rPr>
        <w:t>schuko</w:t>
      </w:r>
      <w:proofErr w:type="spellEnd"/>
      <w:r w:rsidRPr="00672F58">
        <w:rPr>
          <w:rFonts w:cstheme="minorHAnsi"/>
          <w:color w:val="000000"/>
          <w:sz w:val="20"/>
          <w:szCs w:val="20"/>
        </w:rPr>
        <w:t xml:space="preserve"> 16A/250V,</w:t>
      </w:r>
    </w:p>
    <w:p w14:paraId="7D390D8D" w14:textId="05B16A55" w:rsidR="00AA08AE" w:rsidRPr="00672F58" w:rsidRDefault="003E38F3" w:rsidP="00AC5C07">
      <w:pPr>
        <w:pStyle w:val="Akapitzlist"/>
        <w:numPr>
          <w:ilvl w:val="0"/>
          <w:numId w:val="3"/>
        </w:numPr>
        <w:rPr>
          <w:rFonts w:cstheme="minorHAnsi"/>
          <w:color w:val="000000"/>
          <w:sz w:val="20"/>
          <w:szCs w:val="20"/>
        </w:rPr>
      </w:pPr>
      <w:r w:rsidRPr="00672F58">
        <w:rPr>
          <w:rFonts w:cstheme="minorHAnsi"/>
          <w:color w:val="000000"/>
          <w:sz w:val="20"/>
          <w:szCs w:val="20"/>
        </w:rPr>
        <w:t>maksymalne obciążenie 16A (3680 W).</w:t>
      </w:r>
    </w:p>
    <w:p w14:paraId="32A67935" w14:textId="7AC83B33" w:rsidR="00F31019" w:rsidRPr="00672F58" w:rsidRDefault="00F31019" w:rsidP="00AC5C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72F58">
        <w:rPr>
          <w:rFonts w:cstheme="minorHAnsi"/>
          <w:b/>
          <w:bCs/>
          <w:sz w:val="20"/>
          <w:szCs w:val="20"/>
        </w:rPr>
        <w:t xml:space="preserve">Ogólne warunki realizacji zamówienia </w:t>
      </w:r>
    </w:p>
    <w:p w14:paraId="0511EF5C" w14:textId="079794D4" w:rsidR="00F31019" w:rsidRPr="00672F58" w:rsidRDefault="00AC5C07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1. </w:t>
      </w:r>
      <w:r w:rsidR="00F31019" w:rsidRPr="00672F58">
        <w:rPr>
          <w:rFonts w:cstheme="minorHAnsi"/>
          <w:sz w:val="20"/>
          <w:szCs w:val="20"/>
        </w:rPr>
        <w:t>Wykonawca zobowiązany jest do instalacji / montażu dostarczanego sprzętu / wyposażenia w</w:t>
      </w:r>
      <w:r w:rsidR="000D7A12" w:rsidRPr="00672F58">
        <w:rPr>
          <w:rFonts w:cstheme="minorHAnsi"/>
          <w:sz w:val="20"/>
          <w:szCs w:val="20"/>
        </w:rPr>
        <w:t> </w:t>
      </w:r>
      <w:r w:rsidR="00F31019" w:rsidRPr="00672F58">
        <w:rPr>
          <w:rFonts w:cstheme="minorHAnsi"/>
          <w:sz w:val="20"/>
          <w:szCs w:val="20"/>
        </w:rPr>
        <w:t>pomieszczeniach wskazanych przez Zamawiającego</w:t>
      </w:r>
      <w:r w:rsidRPr="00672F58">
        <w:rPr>
          <w:rFonts w:cstheme="minorHAnsi"/>
          <w:sz w:val="20"/>
          <w:szCs w:val="20"/>
        </w:rPr>
        <w:t xml:space="preserve"> lub Partnerów projektu</w:t>
      </w:r>
      <w:r w:rsidR="00F31019" w:rsidRPr="00672F58">
        <w:rPr>
          <w:rFonts w:cstheme="minorHAnsi"/>
          <w:sz w:val="20"/>
          <w:szCs w:val="20"/>
        </w:rPr>
        <w:t>.</w:t>
      </w:r>
    </w:p>
    <w:p w14:paraId="1C1847E2" w14:textId="77777777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2. Przedmiot dostawy musi być fabrycznie nowy, pozbawiony wad.</w:t>
      </w:r>
    </w:p>
    <w:p w14:paraId="6A8A6A10" w14:textId="77777777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3. W ramach realizacji przedmiotu zamówienia Wykonawca musi:</w:t>
      </w:r>
    </w:p>
    <w:p w14:paraId="2C20DDF2" w14:textId="0903E14D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a. wykonać podłączenia elektryczne, jeśli jest wykonanie tych podłączeń jest konieczne dla uruchomienia sprzętu: dobór typu oraz przekroju przewodu zasilającego jak również zabezpieczeń elektrycznych należy do Wykonawcy i musi być zgodny z wymaganiami producenta danego urządzenia,</w:t>
      </w:r>
    </w:p>
    <w:p w14:paraId="12096E81" w14:textId="5D50B1DE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b. wykonać niezbędne prace instalacyjne, w tym związane z montażem, prowadzeniem przewodów (przekucia, przewierty, obudowanie, itp.), jeśli dotyczy,</w:t>
      </w:r>
    </w:p>
    <w:p w14:paraId="27421DED" w14:textId="336797F7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c. przeprowadzić instruktaż dla personelu wskazanego przez Zamawiającego w zakresie właściwej obsługi eksploatacji i konserwacji przedmiotu zamówienia, potwierdzonego dokumentem z podpisami osób </w:t>
      </w:r>
      <w:r w:rsidRPr="00672F58">
        <w:rPr>
          <w:rFonts w:cstheme="minorHAnsi"/>
          <w:sz w:val="20"/>
          <w:szCs w:val="20"/>
        </w:rPr>
        <w:lastRenderedPageBreak/>
        <w:t>przeszkolonych – dotyczy systemu monitoringu wizyjnego, systemu kontroli dostępu do serwerowni, systemu monitorowania warunków środowiskowych,</w:t>
      </w:r>
    </w:p>
    <w:p w14:paraId="01602D64" w14:textId="6E3B15A5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d. przekazać Zamawiającemu dokumentację powykonawczą obejmującą wykonane prace, w tym odpowiednie opisy, schematy, rysunki i instrukcje (w 1 egzemplarzu w formie papierowej) - dotyczy systemu monitoringu wizyjnego, systemu kontroli dostępu do serwerowni, systemu monitorowania warunków środowiskowych,</w:t>
      </w:r>
    </w:p>
    <w:p w14:paraId="61BA073B" w14:textId="77777777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e. odebrać od Zamawiającego wszystkie opakowania pochodzące od dostarczonego sprzętu.</w:t>
      </w:r>
    </w:p>
    <w:p w14:paraId="7550E860" w14:textId="63A1364B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4. Wszystkie urządzenia należy instalować / montować zgodnie z dokumentacją urządzeń oraz wymaganiami producenta.</w:t>
      </w:r>
    </w:p>
    <w:p w14:paraId="77E5CA02" w14:textId="564C2790" w:rsidR="00F31019" w:rsidRPr="00672F58" w:rsidRDefault="00F31019" w:rsidP="00F310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5. Zamawiający informuje, że montaż odbywać się będzie w wykończonych pomieszczeniach. W</w:t>
      </w:r>
      <w:r w:rsidR="00AC5C07" w:rsidRPr="00672F58">
        <w:rPr>
          <w:rFonts w:cstheme="minorHAnsi"/>
          <w:sz w:val="20"/>
          <w:szCs w:val="20"/>
        </w:rPr>
        <w:t> </w:t>
      </w:r>
      <w:r w:rsidRPr="00672F58">
        <w:rPr>
          <w:rFonts w:cstheme="minorHAnsi"/>
          <w:sz w:val="20"/>
          <w:szCs w:val="20"/>
        </w:rPr>
        <w:t>związku z powyższym Wykonawca powinien w ofercie wziąć pod uwagę takie wykonanie, aby stan techniczny i estetyczny pomieszczeń po zakończeniu przedmiotu umowy był nie gorszy niż przed jego realizacją (przewidzieć przywrócenie stanu sprzed realizacji robót). Przy wykonywaniu prac instalacyjnych, szczególnie w pomieszczeniach wewnętrznych, należy odpowiednio zabezpieczyć wyposażenie pomieszczeń przed kurzem, pyłem i innymi zanieczyszczeniami. Do prac można przystąpić jedynie w przypadku potwierdzenia przez Zamawiającego o wykonaniu właściwego zabezpieczenia. Wykonanie wszelkich czynności montażowych typu wiercenia, cięcia, przekucia itp., należy wykonywać z odpowiednim zabezpieczeniem, aby nie uszkodzić i nie zapylić elementów budowlanych oraz wyposażenia pomieszczeń.</w:t>
      </w:r>
    </w:p>
    <w:p w14:paraId="01EBF413" w14:textId="77777777" w:rsidR="00AC5C07" w:rsidRPr="00672F58" w:rsidRDefault="00F31019" w:rsidP="00AC5C07">
      <w:pPr>
        <w:spacing w:after="0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6. Sposób wykonania i estetyka wymaga uzgodnienia przez Zamawiającego</w:t>
      </w:r>
      <w:r w:rsidR="00AC5C07" w:rsidRPr="00672F58">
        <w:rPr>
          <w:rFonts w:cstheme="minorHAnsi"/>
          <w:sz w:val="20"/>
          <w:szCs w:val="20"/>
        </w:rPr>
        <w:t>.</w:t>
      </w:r>
    </w:p>
    <w:p w14:paraId="341174D7" w14:textId="43A431FF" w:rsidR="00F31019" w:rsidRPr="00672F58" w:rsidRDefault="00AC5C07" w:rsidP="00AC5C07">
      <w:pPr>
        <w:spacing w:after="0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7. </w:t>
      </w:r>
      <w:r w:rsidR="00F31019" w:rsidRPr="00672F58">
        <w:rPr>
          <w:rFonts w:cstheme="minorHAnsi"/>
          <w:sz w:val="20"/>
          <w:szCs w:val="20"/>
        </w:rPr>
        <w:t>Sposób i miejsca prowadzenia przewodów powinien być uzgodnione z Zamawiającym – przed ich wykonaniem.</w:t>
      </w:r>
    </w:p>
    <w:p w14:paraId="08B17817" w14:textId="0B76D0EB" w:rsidR="00F31019" w:rsidRPr="00672F58" w:rsidRDefault="00F31019" w:rsidP="00AC5C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8. Elementy budowlane, w które zaingerowano ze względu na prowadzone roboty instalacyjne lub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uszkodzone w trakcie wykonywania przedmiotu umowy – należy naprawić i wykończyć w sposób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wskazany przez Zamawiającego (dotyczy materiałów, technologii, estetyki i kolorystyki),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przywracając stan nie gorszy niż przed wykonaniem robót. Wymagania w tym zakresie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Zamawiający wskaże na roboczo, mając na uwadze sposób, w jaki wykonano przedmiot umowy.</w:t>
      </w:r>
    </w:p>
    <w:p w14:paraId="41902D56" w14:textId="506F499B" w:rsidR="00F31019" w:rsidRPr="00672F58" w:rsidRDefault="00F31019" w:rsidP="00AC5C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9. Zamawiający informuje, że montaż odbywać się będzie w czynnym obiekcie użyteczności</w:t>
      </w:r>
      <w:r w:rsidR="00AC5C07" w:rsidRPr="00672F58">
        <w:rPr>
          <w:rFonts w:cstheme="minorHAnsi"/>
          <w:sz w:val="20"/>
          <w:szCs w:val="20"/>
        </w:rPr>
        <w:t xml:space="preserve">  </w:t>
      </w:r>
      <w:r w:rsidRPr="00672F58">
        <w:rPr>
          <w:rFonts w:cstheme="minorHAnsi"/>
          <w:sz w:val="20"/>
          <w:szCs w:val="20"/>
        </w:rPr>
        <w:t>publicznej w godzinach jego pracy. W związku z powyższym Wykonawca powinien tak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organizować prace, aby nie utrudniać pracy urzędu. Prace związane z użyciem narzędzi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powodujących hałas muszą być prowadzone w uzgodnieniu z Zamawiającym. Zamawiający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zastrzega prawo wstrzymywania (przerywania) robót, które zakłócać będą pracę urzędu – bez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względu na stan, zakres i zaawansowanie robót. Przerwy z tego tytułu nie mogą stanowić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argumentu o dodatkowe wynagrodzenie lub niedotrzymanie czy też konieczność wydłużenia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terminu zakończenia robót.</w:t>
      </w:r>
    </w:p>
    <w:p w14:paraId="71A21786" w14:textId="7911694D" w:rsidR="00F31019" w:rsidRPr="00672F58" w:rsidRDefault="00F31019" w:rsidP="00AC5C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>10. W ofercie należy przewidzieć wykonanie wszelkich prac, których wynikiem jest wykonanie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przedmiotu umowy, z uwzględnieniem wymagań Zamawiającego, producenta, norm, przepisów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technicznych i prawnych.</w:t>
      </w:r>
    </w:p>
    <w:p w14:paraId="34AF8997" w14:textId="1E1F6EFB" w:rsidR="00F31019" w:rsidRPr="00672F58" w:rsidRDefault="00F31019" w:rsidP="00AC5C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72F58">
        <w:rPr>
          <w:rFonts w:cstheme="minorHAnsi"/>
          <w:sz w:val="20"/>
          <w:szCs w:val="20"/>
        </w:rPr>
        <w:t xml:space="preserve">11. Zamawiający wymaga udzielenia co najmniej </w:t>
      </w:r>
      <w:r w:rsidR="0066109B">
        <w:rPr>
          <w:rFonts w:cstheme="minorHAnsi"/>
          <w:sz w:val="20"/>
          <w:szCs w:val="20"/>
        </w:rPr>
        <w:t xml:space="preserve">36 </w:t>
      </w:r>
      <w:r w:rsidRPr="00672F58">
        <w:rPr>
          <w:rFonts w:cstheme="minorHAnsi"/>
          <w:sz w:val="20"/>
          <w:szCs w:val="20"/>
        </w:rPr>
        <w:t>miesięcznej gwarancji na dostarczony i</w:t>
      </w:r>
      <w:r w:rsidR="00AC5C07" w:rsidRPr="00672F58">
        <w:rPr>
          <w:rFonts w:cstheme="minorHAnsi"/>
          <w:sz w:val="20"/>
          <w:szCs w:val="20"/>
        </w:rPr>
        <w:t xml:space="preserve"> </w:t>
      </w:r>
      <w:r w:rsidRPr="00672F58">
        <w:rPr>
          <w:rFonts w:cstheme="minorHAnsi"/>
          <w:sz w:val="20"/>
          <w:szCs w:val="20"/>
        </w:rPr>
        <w:t>zainstalowany sprzęt / wyposażenie..</w:t>
      </w:r>
    </w:p>
    <w:sectPr w:rsidR="00F31019" w:rsidRPr="00672F58" w:rsidSect="00914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65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3BF4" w14:textId="77777777" w:rsidR="00C24EB7" w:rsidRDefault="00C24EB7" w:rsidP="001245F1">
      <w:pPr>
        <w:spacing w:after="0" w:line="240" w:lineRule="auto"/>
      </w:pPr>
      <w:r>
        <w:separator/>
      </w:r>
    </w:p>
  </w:endnote>
  <w:endnote w:type="continuationSeparator" w:id="0">
    <w:p w14:paraId="64984C4D" w14:textId="77777777" w:rsidR="00C24EB7" w:rsidRDefault="00C24EB7" w:rsidP="0012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8DA3" w14:textId="77777777" w:rsidR="0091482F" w:rsidRDefault="00914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1938359"/>
      <w:docPartObj>
        <w:docPartGallery w:val="Page Numbers (Bottom of Page)"/>
        <w:docPartUnique/>
      </w:docPartObj>
    </w:sdtPr>
    <w:sdtEndPr/>
    <w:sdtContent>
      <w:p w14:paraId="6DE9B34A" w14:textId="65FC450C" w:rsidR="00FC00A3" w:rsidRDefault="00FC00A3" w:rsidP="00FC00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4B37F3" w14:textId="77777777" w:rsidR="0091482F" w:rsidRDefault="009148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2183" w14:textId="77777777" w:rsidR="0091482F" w:rsidRDefault="00914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EAEC8" w14:textId="77777777" w:rsidR="00C24EB7" w:rsidRDefault="00C24EB7" w:rsidP="001245F1">
      <w:pPr>
        <w:spacing w:after="0" w:line="240" w:lineRule="auto"/>
      </w:pPr>
      <w:r>
        <w:separator/>
      </w:r>
    </w:p>
  </w:footnote>
  <w:footnote w:type="continuationSeparator" w:id="0">
    <w:p w14:paraId="3002F7E9" w14:textId="77777777" w:rsidR="00C24EB7" w:rsidRDefault="00C24EB7" w:rsidP="00124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69A6" w14:textId="77777777" w:rsidR="0091482F" w:rsidRDefault="00914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7700" w14:textId="687F213B" w:rsidR="001245F1" w:rsidRDefault="001245F1">
    <w:pPr>
      <w:pStyle w:val="Nagwek"/>
    </w:pPr>
    <w:r>
      <w:rPr>
        <w:rFonts w:ascii="Arial" w:hAnsi="Arial" w:cs="Arial"/>
        <w:b/>
        <w:noProof/>
        <w:color w:val="000000"/>
      </w:rPr>
      <w:drawing>
        <wp:inline distT="0" distB="0" distL="0" distR="0" wp14:anchorId="702AB22B" wp14:editId="3101FE61">
          <wp:extent cx="5753100" cy="46482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B731" w14:textId="77777777" w:rsidR="0091482F" w:rsidRDefault="00914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7516"/>
    <w:multiLevelType w:val="hybridMultilevel"/>
    <w:tmpl w:val="5F326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97D53"/>
    <w:multiLevelType w:val="hybridMultilevel"/>
    <w:tmpl w:val="03C4C2F2"/>
    <w:lvl w:ilvl="0" w:tplc="525893A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F51B3"/>
    <w:multiLevelType w:val="hybridMultilevel"/>
    <w:tmpl w:val="21CC0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F3"/>
    <w:rsid w:val="000144B6"/>
    <w:rsid w:val="00014751"/>
    <w:rsid w:val="00043263"/>
    <w:rsid w:val="00081191"/>
    <w:rsid w:val="000D7A12"/>
    <w:rsid w:val="001245F1"/>
    <w:rsid w:val="003E38F3"/>
    <w:rsid w:val="004001D2"/>
    <w:rsid w:val="00614878"/>
    <w:rsid w:val="0066109B"/>
    <w:rsid w:val="00672F58"/>
    <w:rsid w:val="0091482F"/>
    <w:rsid w:val="00A02401"/>
    <w:rsid w:val="00AA08AE"/>
    <w:rsid w:val="00AC5C07"/>
    <w:rsid w:val="00B604E7"/>
    <w:rsid w:val="00B9353E"/>
    <w:rsid w:val="00BA6438"/>
    <w:rsid w:val="00C24EB7"/>
    <w:rsid w:val="00CB397F"/>
    <w:rsid w:val="00CC7802"/>
    <w:rsid w:val="00E53DE0"/>
    <w:rsid w:val="00E6051D"/>
    <w:rsid w:val="00E90D1F"/>
    <w:rsid w:val="00EB4A75"/>
    <w:rsid w:val="00EC040E"/>
    <w:rsid w:val="00F31019"/>
    <w:rsid w:val="00FC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A1E47"/>
  <w15:chartTrackingRefBased/>
  <w15:docId w15:val="{1ABFE3F0-F181-48B2-B589-D21A86A8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C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5F1"/>
  </w:style>
  <w:style w:type="paragraph" w:styleId="Stopka">
    <w:name w:val="footer"/>
    <w:basedOn w:val="Normalny"/>
    <w:link w:val="StopkaZnak"/>
    <w:uiPriority w:val="99"/>
    <w:unhideWhenUsed/>
    <w:rsid w:val="001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C33CF-B9D7-480D-8671-1D3E95AE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cp:keywords/>
  <dc:description/>
  <cp:lastModifiedBy>Andrzej Krawczyk</cp:lastModifiedBy>
  <cp:revision>16</cp:revision>
  <dcterms:created xsi:type="dcterms:W3CDTF">2021-05-14T07:53:00Z</dcterms:created>
  <dcterms:modified xsi:type="dcterms:W3CDTF">2021-07-19T13:29:00Z</dcterms:modified>
</cp:coreProperties>
</file>