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763AEC2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61DE0E68" w:rsidR="00373DD0" w:rsidRPr="00060580" w:rsidRDefault="00373DD0" w:rsidP="0097264B">
      <w:pPr>
        <w:jc w:val="right"/>
        <w:rPr>
          <w:rFonts w:ascii="Arial" w:hAnsi="Arial" w:cs="Arial"/>
          <w:b/>
        </w:rPr>
      </w:pPr>
      <w:r w:rsidRPr="00060580">
        <w:rPr>
          <w:rFonts w:ascii="Arial" w:hAnsi="Arial" w:cs="Arial"/>
          <w:b/>
        </w:rPr>
        <w:t xml:space="preserve">część </w:t>
      </w:r>
      <w:r w:rsidR="00060580">
        <w:rPr>
          <w:rFonts w:ascii="Arial" w:hAnsi="Arial" w:cs="Arial"/>
          <w:b/>
        </w:rPr>
        <w:t>I</w:t>
      </w:r>
      <w:r w:rsidR="00585241">
        <w:rPr>
          <w:rFonts w:ascii="Arial" w:hAnsi="Arial" w:cs="Arial"/>
          <w:b/>
        </w:rPr>
        <w:t>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828E4D8" w:rsidR="00E12980" w:rsidRPr="00060580" w:rsidRDefault="00E12980" w:rsidP="004C6DF0">
      <w:pPr>
        <w:pStyle w:val="Nagwek10"/>
        <w:rPr>
          <w:rFonts w:ascii="Arial" w:hAnsi="Arial" w:cs="Arial"/>
          <w:sz w:val="22"/>
          <w:szCs w:val="22"/>
        </w:rPr>
      </w:pPr>
      <w:r w:rsidRPr="00060580">
        <w:rPr>
          <w:rFonts w:ascii="Arial" w:hAnsi="Arial" w:cs="Arial"/>
        </w:rPr>
        <w:t xml:space="preserve">Minimalne wymagania </w:t>
      </w:r>
      <w:proofErr w:type="spellStart"/>
      <w:r w:rsidRPr="00060580">
        <w:rPr>
          <w:rFonts w:ascii="Arial" w:hAnsi="Arial" w:cs="Arial"/>
        </w:rPr>
        <w:t>techniczno</w:t>
      </w:r>
      <w:proofErr w:type="spellEnd"/>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585241">
        <w:rPr>
          <w:rFonts w:ascii="Arial" w:hAnsi="Arial" w:cs="Arial"/>
        </w:rPr>
        <w:t>2</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 xml:space="preserve">Minimalne wymagania </w:t>
            </w:r>
            <w:proofErr w:type="spellStart"/>
            <w:r w:rsidRPr="00060580">
              <w:rPr>
                <w:rFonts w:ascii="Arial" w:hAnsi="Arial" w:cs="Arial"/>
                <w:b/>
                <w:bCs/>
                <w:spacing w:val="-10"/>
                <w:sz w:val="22"/>
                <w:szCs w:val="22"/>
              </w:rPr>
              <w:t>techniczno</w:t>
            </w:r>
            <w:proofErr w:type="spellEnd"/>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proofErr w:type="spellStart"/>
            <w:r w:rsidR="00B15244" w:rsidRPr="00060580">
              <w:rPr>
                <w:rFonts w:ascii="Arial" w:hAnsi="Arial" w:cs="Arial"/>
                <w:spacing w:val="-1"/>
                <w:sz w:val="22"/>
                <w:szCs w:val="22"/>
              </w:rPr>
              <w:t>techniczno</w:t>
            </w:r>
            <w:proofErr w:type="spellEnd"/>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proofErr w:type="spellStart"/>
            <w:r w:rsidR="00C24CE7" w:rsidRPr="00060580">
              <w:rPr>
                <w:rFonts w:ascii="Arial" w:hAnsi="Arial" w:cs="Arial"/>
                <w:spacing w:val="-1"/>
                <w:sz w:val="22"/>
                <w:szCs w:val="22"/>
              </w:rPr>
              <w:t>techniczno</w:t>
            </w:r>
            <w:proofErr w:type="spellEnd"/>
            <w:r w:rsidR="00C24CE7" w:rsidRPr="00060580">
              <w:rPr>
                <w:rFonts w:ascii="Arial" w:hAnsi="Arial" w:cs="Arial"/>
                <w:spacing w:val="-1"/>
                <w:sz w:val="22"/>
                <w:szCs w:val="22"/>
              </w:rPr>
              <w:t xml:space="preserve">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w:t>
            </w:r>
            <w:proofErr w:type="spellStart"/>
            <w:r w:rsidRPr="00060580">
              <w:rPr>
                <w:rFonts w:ascii="Arial" w:hAnsi="Arial" w:cs="Arial"/>
                <w:sz w:val="22"/>
                <w:szCs w:val="22"/>
              </w:rPr>
              <w:t>AdBlue</w:t>
            </w:r>
            <w:proofErr w:type="spellEnd"/>
            <w:r w:rsidRPr="00060580">
              <w:rPr>
                <w:rFonts w:ascii="Arial" w:hAnsi="Arial" w:cs="Arial"/>
                <w:sz w:val="22"/>
                <w:szCs w:val="22"/>
              </w:rPr>
              <w:t>),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 xml:space="preserve">0 </w:t>
            </w:r>
            <w:proofErr w:type="spellStart"/>
            <w:r w:rsidRPr="00060580">
              <w:rPr>
                <w:rFonts w:ascii="Arial" w:hAnsi="Arial" w:cs="Arial"/>
                <w:sz w:val="22"/>
                <w:szCs w:val="22"/>
              </w:rPr>
              <w:t>kW.</w:t>
            </w:r>
            <w:proofErr w:type="spellEnd"/>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w:t>
            </w:r>
            <w:proofErr w:type="spellStart"/>
            <w:r w:rsidRPr="00060580">
              <w:rPr>
                <w:rFonts w:ascii="Arial" w:hAnsi="Arial" w:cs="Arial"/>
                <w:sz w:val="22"/>
                <w:szCs w:val="22"/>
              </w:rPr>
              <w:t>paszczowy</w:t>
            </w:r>
            <w:proofErr w:type="spellEnd"/>
            <w:r w:rsidRPr="00060580">
              <w:rPr>
                <w:rFonts w:ascii="Arial" w:hAnsi="Arial" w:cs="Arial"/>
                <w:sz w:val="22"/>
                <w:szCs w:val="22"/>
              </w:rPr>
              <w:t xml:space="preserve">”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w:t>
            </w:r>
            <w:proofErr w:type="spellStart"/>
            <w:r w:rsidRPr="00060580">
              <w:rPr>
                <w:rFonts w:ascii="Arial" w:hAnsi="Arial" w:cs="Arial"/>
                <w:sz w:val="22"/>
                <w:szCs w:val="22"/>
              </w:rPr>
              <w:t>dBd</w:t>
            </w:r>
            <w:proofErr w:type="spellEnd"/>
            <w:r w:rsidRPr="00060580">
              <w:rPr>
                <w:rFonts w:ascii="Arial" w:hAnsi="Arial" w:cs="Arial"/>
                <w:sz w:val="22"/>
                <w:szCs w:val="22"/>
              </w:rPr>
              <w:t xml:space="preserve"> (2,15 </w:t>
            </w:r>
            <w:proofErr w:type="spellStart"/>
            <w:r w:rsidRPr="00060580">
              <w:rPr>
                <w:rFonts w:ascii="Arial" w:hAnsi="Arial" w:cs="Arial"/>
                <w:sz w:val="22"/>
                <w:szCs w:val="22"/>
              </w:rPr>
              <w:t>dBi</w:t>
            </w:r>
            <w:proofErr w:type="spellEnd"/>
            <w:r w:rsidRPr="00060580">
              <w:rPr>
                <w:rFonts w:ascii="Arial" w:hAnsi="Arial" w:cs="Arial"/>
                <w:sz w:val="22"/>
                <w:szCs w:val="22"/>
              </w:rPr>
              <w:t>).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w:t>
            </w:r>
            <w:proofErr w:type="spellStart"/>
            <w:r w:rsidRPr="00060580">
              <w:rPr>
                <w:rFonts w:ascii="Arial" w:hAnsi="Arial" w:cs="Arial"/>
                <w:sz w:val="22"/>
                <w:szCs w:val="22"/>
              </w:rPr>
              <w:t>kpl</w:t>
            </w:r>
            <w:proofErr w:type="spellEnd"/>
            <w:r w:rsidRPr="00060580">
              <w:rPr>
                <w:rFonts w:ascii="Arial" w:hAnsi="Arial" w:cs="Arial"/>
                <w:sz w:val="22"/>
                <w:szCs w:val="22"/>
              </w:rPr>
              <w:t xml:space="preserve">.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w:t>
            </w:r>
            <w:proofErr w:type="spellStart"/>
            <w:r w:rsidRPr="00060580">
              <w:rPr>
                <w:rFonts w:ascii="Arial" w:hAnsi="Arial" w:cs="Arial"/>
                <w:sz w:val="22"/>
                <w:szCs w:val="22"/>
              </w:rPr>
              <w:t>dB</w:t>
            </w:r>
            <w:proofErr w:type="spellEnd"/>
            <w:r w:rsidRPr="00060580">
              <w:rPr>
                <w:rFonts w:ascii="Arial" w:hAnsi="Arial" w:cs="Arial"/>
                <w:sz w:val="22"/>
                <w:szCs w:val="22"/>
              </w:rPr>
              <w:t xml:space="preserve">(A)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w:t>
            </w:r>
            <w:proofErr w:type="spellStart"/>
            <w:r w:rsidRPr="00060580">
              <w:rPr>
                <w:rFonts w:ascii="Arial" w:hAnsi="Arial" w:cs="Arial"/>
                <w:sz w:val="22"/>
                <w:szCs w:val="22"/>
              </w:rPr>
              <w:t>db</w:t>
            </w:r>
            <w:proofErr w:type="spellEnd"/>
            <w:r w:rsidRPr="00060580">
              <w:rPr>
                <w:rFonts w:ascii="Arial" w:hAnsi="Arial" w:cs="Arial"/>
                <w:sz w:val="22"/>
                <w:szCs w:val="22"/>
              </w:rPr>
              <w:t>(A)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proofErr w:type="spellStart"/>
            <w:r w:rsidRPr="00060580">
              <w:rPr>
                <w:rFonts w:ascii="Arial" w:hAnsi="Arial" w:cs="Arial"/>
                <w:b/>
                <w:bCs/>
                <w:i/>
                <w:spacing w:val="-1"/>
                <w:sz w:val="22"/>
                <w:szCs w:val="22"/>
              </w:rPr>
              <w:t>techniczno</w:t>
            </w:r>
            <w:proofErr w:type="spellEnd"/>
            <w:r w:rsidRPr="00060580">
              <w:rPr>
                <w:rFonts w:ascii="Arial" w:hAnsi="Arial" w:cs="Arial"/>
                <w:b/>
                <w:bCs/>
                <w:i/>
                <w:spacing w:val="-1"/>
                <w:sz w:val="22"/>
                <w:szCs w:val="22"/>
              </w:rPr>
              <w:t xml:space="preserve">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w:t>
            </w:r>
            <w:proofErr w:type="spellStart"/>
            <w:r w:rsidRPr="00060580">
              <w:rPr>
                <w:rFonts w:ascii="Arial" w:hAnsi="Arial" w:cs="Arial"/>
                <w:sz w:val="22"/>
                <w:szCs w:val="22"/>
              </w:rPr>
              <w:t>EEx</w:t>
            </w:r>
            <w:proofErr w:type="spellEnd"/>
            <w:r w:rsidRPr="00060580">
              <w:rPr>
                <w:rFonts w:ascii="Arial" w:hAnsi="Arial" w:cs="Arial"/>
                <w:sz w:val="22"/>
                <w:szCs w:val="22"/>
              </w:rPr>
              <w:t xml:space="preserve">,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 xml:space="preserve">żaluzjami </w:t>
            </w:r>
            <w:proofErr w:type="spellStart"/>
            <w:r w:rsidRPr="00060580">
              <w:rPr>
                <w:rFonts w:ascii="Arial" w:hAnsi="Arial" w:cs="Arial"/>
                <w:spacing w:val="-3"/>
                <w:sz w:val="22"/>
                <w:szCs w:val="22"/>
              </w:rPr>
              <w:t>bryzgo</w:t>
            </w:r>
            <w:proofErr w:type="spellEnd"/>
            <w:r w:rsidRPr="00060580">
              <w:rPr>
                <w:rFonts w:ascii="Arial" w:hAnsi="Arial" w:cs="Arial"/>
                <w:spacing w:val="-3"/>
                <w:sz w:val="22"/>
                <w:szCs w:val="22"/>
              </w:rPr>
              <w:t xml:space="preserve">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45633F88" w:rsidR="0055527C" w:rsidRPr="00060580" w:rsidRDefault="0055527C" w:rsidP="00207849">
            <w:pPr>
              <w:shd w:val="clear" w:color="auto" w:fill="FFFFFF"/>
              <w:jc w:val="both"/>
              <w:rPr>
                <w:rFonts w:ascii="Arial" w:hAnsi="Arial" w:cs="Arial"/>
                <w:sz w:val="22"/>
                <w:szCs w:val="22"/>
              </w:rPr>
            </w:pPr>
            <w:r w:rsidRPr="00060580">
              <w:rPr>
                <w:rFonts w:ascii="Arial" w:hAnsi="Arial" w:cs="Arial"/>
                <w:sz w:val="22"/>
                <w:szCs w:val="22"/>
              </w:rPr>
              <w:t>Autopompa pożarnicza dwuzakresowa co najmniej – A32/8-2,</w:t>
            </w:r>
            <w:r w:rsidR="0014781D">
              <w:rPr>
                <w:rFonts w:ascii="Arial" w:hAnsi="Arial" w:cs="Arial"/>
                <w:sz w:val="22"/>
                <w:szCs w:val="22"/>
              </w:rPr>
              <w:t>5</w:t>
            </w:r>
            <w:r w:rsidRPr="00060580">
              <w:rPr>
                <w:rFonts w:ascii="Arial" w:hAnsi="Arial" w:cs="Arial"/>
                <w:sz w:val="22"/>
                <w:szCs w:val="22"/>
              </w:rPr>
              <w:t>/40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 xml:space="preserve">(system, w którym zmiana przepływu spowodowana np. otwarciem kolejnej linii gaśniczej lub działka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wysokiego ciśnienia (długość min. 60 </w:t>
            </w:r>
            <w:proofErr w:type="spellStart"/>
            <w:r w:rsidRPr="00060580">
              <w:rPr>
                <w:rFonts w:ascii="Arial" w:hAnsi="Arial" w:cs="Arial"/>
                <w:sz w:val="22"/>
                <w:szCs w:val="22"/>
              </w:rPr>
              <w:t>mb</w:t>
            </w:r>
            <w:proofErr w:type="spellEnd"/>
            <w:r w:rsidRPr="00060580">
              <w:rPr>
                <w:rFonts w:ascii="Arial" w:hAnsi="Arial" w:cs="Arial"/>
                <w:sz w:val="22"/>
                <w:szCs w:val="22"/>
              </w:rPr>
              <w:t>.)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Pr="00060580">
              <w:rPr>
                <w:rFonts w:ascii="Arial" w:hAnsi="Arial" w:cs="Arial"/>
                <w:sz w:val="22"/>
                <w:szCs w:val="22"/>
              </w:rPr>
              <w:t>przeciwprzeciążeniowym</w:t>
            </w:r>
            <w:proofErr w:type="spellEnd"/>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 xml:space="preserve">Samochód wyposażony w instalację </w:t>
            </w:r>
            <w:proofErr w:type="spellStart"/>
            <w:r w:rsidRPr="00060580">
              <w:rPr>
                <w:rFonts w:ascii="Arial" w:hAnsi="Arial" w:cs="Arial"/>
                <w:sz w:val="22"/>
                <w:szCs w:val="22"/>
              </w:rPr>
              <w:t>zraszaczową</w:t>
            </w:r>
            <w:proofErr w:type="spellEnd"/>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w:t>
            </w:r>
            <w:proofErr w:type="spellStart"/>
            <w:r w:rsidRPr="00060580">
              <w:rPr>
                <w:rFonts w:ascii="Arial" w:hAnsi="Arial" w:cs="Arial"/>
                <w:sz w:val="22"/>
                <w:szCs w:val="22"/>
              </w:rPr>
              <w:t>kN</w:t>
            </w:r>
            <w:proofErr w:type="spellEnd"/>
            <w:r w:rsidRPr="00060580">
              <w:rPr>
                <w:rFonts w:ascii="Arial" w:hAnsi="Arial" w:cs="Arial"/>
                <w:sz w:val="22"/>
                <w:szCs w:val="22"/>
              </w:rPr>
              <w:t>,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 xml:space="preserve">lina stalowa zakończona kauszami o wytrzymałości min 50 </w:t>
            </w:r>
            <w:proofErr w:type="spellStart"/>
            <w:r w:rsidRPr="00060580">
              <w:rPr>
                <w:rFonts w:ascii="Arial" w:hAnsi="Arial" w:cs="Arial"/>
                <w:sz w:val="22"/>
                <w:szCs w:val="22"/>
              </w:rPr>
              <w:t>kN</w:t>
            </w:r>
            <w:proofErr w:type="spellEnd"/>
            <w:r w:rsidRPr="00060580">
              <w:rPr>
                <w:rFonts w:ascii="Arial" w:hAnsi="Arial" w:cs="Arial"/>
                <w:sz w:val="22"/>
                <w:szCs w:val="22"/>
              </w:rPr>
              <w:t>,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szekla Ω typ BW o dopuszczalnym obciążeniu roboczym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 xml:space="preserve">pęto stalowe o obwodzie zamkniętym o nośności min. 50 </w:t>
            </w:r>
            <w:proofErr w:type="spellStart"/>
            <w:r w:rsidRPr="00060580">
              <w:rPr>
                <w:rFonts w:ascii="Arial" w:hAnsi="Arial" w:cs="Arial"/>
                <w:b w:val="0"/>
                <w:sz w:val="22"/>
                <w:szCs w:val="22"/>
              </w:rPr>
              <w:t>kN</w:t>
            </w:r>
            <w:proofErr w:type="spellEnd"/>
            <w:r w:rsidRPr="00060580">
              <w:rPr>
                <w:rFonts w:ascii="Arial" w:hAnsi="Arial" w:cs="Arial"/>
                <w:b w:val="0"/>
                <w:sz w:val="22"/>
                <w:szCs w:val="22"/>
              </w:rPr>
              <w:t xml:space="preserve">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6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proofErr w:type="spellStart"/>
            <w:r w:rsidRPr="00060580">
              <w:rPr>
                <w:rFonts w:ascii="Arial" w:hAnsi="Arial" w:cs="Arial"/>
                <w:sz w:val="22"/>
                <w:szCs w:val="22"/>
              </w:rPr>
              <w:t>Zasysacz</w:t>
            </w:r>
            <w:proofErr w:type="spellEnd"/>
            <w:r w:rsidRPr="00060580">
              <w:rPr>
                <w:rFonts w:ascii="Arial" w:hAnsi="Arial" w:cs="Arial"/>
                <w:sz w:val="22"/>
                <w:szCs w:val="22"/>
              </w:rPr>
              <w:t xml:space="preserve">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Pływak z </w:t>
            </w:r>
            <w:proofErr w:type="spellStart"/>
            <w:r w:rsidRPr="00060580">
              <w:rPr>
                <w:rFonts w:ascii="Arial" w:hAnsi="Arial" w:cs="Arial"/>
                <w:sz w:val="22"/>
                <w:szCs w:val="22"/>
              </w:rPr>
              <w:t>zatrzaśnikiem</w:t>
            </w:r>
            <w:proofErr w:type="spellEnd"/>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t>
            </w:r>
            <w:proofErr w:type="spellStart"/>
            <w:r w:rsidRPr="00060580">
              <w:rPr>
                <w:rFonts w:ascii="Arial" w:hAnsi="Arial" w:cs="Arial"/>
                <w:spacing w:val="-1"/>
                <w:sz w:val="22"/>
                <w:szCs w:val="22"/>
              </w:rPr>
              <w:t>wysysacz</w:t>
            </w:r>
            <w:proofErr w:type="spellEnd"/>
            <w:r w:rsidRPr="00060580">
              <w:rPr>
                <w:rFonts w:ascii="Arial" w:hAnsi="Arial" w:cs="Arial"/>
                <w:spacing w:val="-1"/>
                <w:sz w:val="22"/>
                <w:szCs w:val="22"/>
              </w:rPr>
              <w:t>)</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Działko </w:t>
            </w:r>
            <w:proofErr w:type="spellStart"/>
            <w:r w:rsidRPr="00060580">
              <w:rPr>
                <w:rFonts w:ascii="Arial" w:hAnsi="Arial" w:cs="Arial"/>
                <w:sz w:val="22"/>
                <w:szCs w:val="22"/>
              </w:rPr>
              <w:t>wodno</w:t>
            </w:r>
            <w:proofErr w:type="spellEnd"/>
            <w:r w:rsidRPr="00060580">
              <w:rPr>
                <w:rFonts w:ascii="Arial" w:hAnsi="Arial" w:cs="Arial"/>
                <w:sz w:val="22"/>
                <w:szCs w:val="22"/>
              </w:rPr>
              <w:t xml:space="preserve">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 xml:space="preserve">1 </w:t>
            </w:r>
            <w:proofErr w:type="spellStart"/>
            <w:r w:rsidRPr="00060580">
              <w:rPr>
                <w:rFonts w:ascii="Arial" w:hAnsi="Arial" w:cs="Arial"/>
                <w:sz w:val="22"/>
                <w:szCs w:val="22"/>
              </w:rPr>
              <w:t>kpl</w:t>
            </w:r>
            <w:proofErr w:type="spellEnd"/>
            <w:r w:rsidRPr="00060580">
              <w:rPr>
                <w:rFonts w:ascii="Arial" w:hAnsi="Arial" w:cs="Arial"/>
                <w:sz w:val="22"/>
                <w:szCs w:val="22"/>
              </w:rPr>
              <w:t>.</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4A97" w14:textId="77777777" w:rsidR="007F502B" w:rsidRDefault="007F502B">
      <w:pPr>
        <w:pStyle w:val="Stopka"/>
      </w:pPr>
      <w:r>
        <w:separator/>
      </w:r>
    </w:p>
  </w:endnote>
  <w:endnote w:type="continuationSeparator" w:id="0">
    <w:p w14:paraId="3B2AE201" w14:textId="77777777" w:rsidR="007F502B" w:rsidRDefault="007F502B">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5DF5" w14:textId="77777777" w:rsidR="007F502B" w:rsidRDefault="007F502B">
      <w:pPr>
        <w:pStyle w:val="Stopka"/>
      </w:pPr>
      <w:r>
        <w:separator/>
      </w:r>
    </w:p>
  </w:footnote>
  <w:footnote w:type="continuationSeparator" w:id="0">
    <w:p w14:paraId="4199E690" w14:textId="77777777" w:rsidR="007F502B" w:rsidRDefault="007F502B">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8EF"/>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4781D"/>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849"/>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5696E"/>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02B"/>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4997"/>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5715</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7</cp:revision>
  <cp:lastPrinted>2021-12-30T10:55:00Z</cp:lastPrinted>
  <dcterms:created xsi:type="dcterms:W3CDTF">2021-12-01T13:04:00Z</dcterms:created>
  <dcterms:modified xsi:type="dcterms:W3CDTF">2021-12-30T10:55:00Z</dcterms:modified>
</cp:coreProperties>
</file>