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E2502" w:rsidRPr="00EE2502" w:rsidRDefault="00EE2502" w:rsidP="00EE2502">
      <w:pPr>
        <w:jc w:val="both"/>
        <w:outlineLvl w:val="0"/>
        <w:rPr>
          <w:snapToGrid w:val="0"/>
          <w:sz w:val="26"/>
        </w:rPr>
      </w:pPr>
      <w:bookmarkStart w:id="0" w:name="_Toc346875547"/>
    </w:p>
    <w:p w:rsidR="00EE2502" w:rsidRPr="00EE2502" w:rsidRDefault="00EE2502" w:rsidP="00EE2502">
      <w:pPr>
        <w:jc w:val="both"/>
        <w:outlineLvl w:val="0"/>
        <w:rPr>
          <w:snapToGrid w:val="0"/>
          <w:sz w:val="26"/>
        </w:rPr>
      </w:pPr>
      <w:r w:rsidRPr="00EE2502">
        <w:rPr>
          <w:snapToGrid w:val="0"/>
          <w:sz w:val="26"/>
        </w:rPr>
        <w:tab/>
      </w:r>
    </w:p>
    <w:p w:rsidR="00EE2502" w:rsidRPr="00EE2502" w:rsidRDefault="00EE2502" w:rsidP="00EE2502">
      <w:pPr>
        <w:jc w:val="center"/>
        <w:rPr>
          <w:sz w:val="40"/>
          <w:szCs w:val="40"/>
        </w:rPr>
      </w:pPr>
      <w:r w:rsidRPr="00EE2502">
        <w:rPr>
          <w:sz w:val="40"/>
          <w:szCs w:val="40"/>
        </w:rPr>
        <w:t>SPECYFIKACJE  TECHNICZNE</w:t>
      </w:r>
    </w:p>
    <w:p w:rsidR="00EE2502" w:rsidRPr="00EE2502" w:rsidRDefault="00EE2502" w:rsidP="00EE2502">
      <w:pPr>
        <w:jc w:val="both"/>
      </w:pPr>
    </w:p>
    <w:p w:rsidR="00EE2502" w:rsidRPr="00EE2502" w:rsidRDefault="00EE2502" w:rsidP="00EE2502">
      <w:pPr>
        <w:jc w:val="both"/>
      </w:pPr>
    </w:p>
    <w:p w:rsidR="00EE2502" w:rsidRPr="00EE2502" w:rsidRDefault="00EE2502" w:rsidP="00EE2502"/>
    <w:p w:rsidR="00EE2502" w:rsidRPr="00EE2502" w:rsidRDefault="00EE2502" w:rsidP="00EE2502">
      <w:pPr>
        <w:jc w:val="center"/>
        <w:rPr>
          <w:b/>
          <w:sz w:val="28"/>
          <w:szCs w:val="28"/>
        </w:rPr>
      </w:pPr>
      <w:r w:rsidRPr="00EE2502">
        <w:rPr>
          <w:b/>
          <w:bCs/>
          <w:sz w:val="28"/>
          <w:szCs w:val="28"/>
        </w:rPr>
        <w:t>Remont przepustu nad rzeką Postomia w ciągu drogi nr 445/k.2922 m. Wędrzyn</w:t>
      </w:r>
    </w:p>
    <w:p w:rsidR="00EE2502" w:rsidRDefault="00EE2502" w:rsidP="00EE2502">
      <w:pPr>
        <w:tabs>
          <w:tab w:val="left" w:pos="2160"/>
        </w:tabs>
        <w:ind w:left="1418" w:hanging="1418"/>
        <w:jc w:val="both"/>
        <w:rPr>
          <w:rFonts w:eastAsia="Calibri"/>
          <w:i/>
          <w:sz w:val="28"/>
          <w:szCs w:val="28"/>
          <w:lang w:eastAsia="en-US"/>
        </w:rPr>
      </w:pPr>
    </w:p>
    <w:p w:rsidR="00EE2502" w:rsidRDefault="00EE2502" w:rsidP="00EE2502">
      <w:pPr>
        <w:tabs>
          <w:tab w:val="left" w:pos="2160"/>
        </w:tabs>
        <w:ind w:left="1418" w:hanging="1418"/>
        <w:jc w:val="both"/>
        <w:rPr>
          <w:rFonts w:eastAsia="Calibri"/>
          <w:i/>
          <w:sz w:val="28"/>
          <w:szCs w:val="28"/>
          <w:lang w:eastAsia="en-US"/>
        </w:rPr>
      </w:pPr>
    </w:p>
    <w:p w:rsidR="00EE2502" w:rsidRDefault="00EE2502" w:rsidP="00EE2502">
      <w:pPr>
        <w:tabs>
          <w:tab w:val="left" w:pos="2160"/>
        </w:tabs>
        <w:ind w:left="1418" w:hanging="1418"/>
        <w:jc w:val="both"/>
        <w:rPr>
          <w:rFonts w:eastAsia="Calibri"/>
          <w:i/>
          <w:sz w:val="28"/>
          <w:szCs w:val="28"/>
          <w:lang w:eastAsia="en-US"/>
        </w:rPr>
      </w:pPr>
    </w:p>
    <w:p w:rsidR="00EE2502" w:rsidRPr="00EE2502" w:rsidRDefault="00EE2502" w:rsidP="00EE2502">
      <w:pPr>
        <w:tabs>
          <w:tab w:val="left" w:pos="2160"/>
        </w:tabs>
        <w:ind w:left="1418" w:hanging="1418"/>
        <w:jc w:val="both"/>
        <w:rPr>
          <w:rFonts w:eastAsia="Calibri"/>
          <w:i/>
          <w:sz w:val="28"/>
          <w:szCs w:val="28"/>
          <w:lang w:eastAsia="en-US"/>
        </w:rPr>
      </w:pPr>
    </w:p>
    <w:p w:rsidR="00EE2502" w:rsidRPr="00EE2502" w:rsidRDefault="00EE2502" w:rsidP="00EE2502">
      <w:pPr>
        <w:tabs>
          <w:tab w:val="left" w:pos="2160"/>
        </w:tabs>
        <w:ind w:left="1418" w:hanging="1418"/>
        <w:jc w:val="both"/>
        <w:rPr>
          <w:rFonts w:eastAsia="Calibri"/>
          <w:i/>
          <w:sz w:val="28"/>
          <w:szCs w:val="28"/>
          <w:lang w:eastAsia="en-US"/>
        </w:rPr>
      </w:pPr>
    </w:p>
    <w:p w:rsidR="00EE2502" w:rsidRPr="00EE2502" w:rsidRDefault="00EE2502" w:rsidP="00EE2502">
      <w:pPr>
        <w:tabs>
          <w:tab w:val="left" w:pos="2160"/>
        </w:tabs>
        <w:ind w:left="1418" w:hanging="1418"/>
        <w:jc w:val="both"/>
        <w:rPr>
          <w:rFonts w:eastAsia="Calibri"/>
          <w:i/>
          <w:sz w:val="28"/>
          <w:szCs w:val="28"/>
          <w:lang w:eastAsia="en-US"/>
        </w:rPr>
      </w:pPr>
    </w:p>
    <w:p w:rsidR="00EE2502" w:rsidRPr="00EE2502" w:rsidRDefault="00EE2502" w:rsidP="00EE2502">
      <w:pPr>
        <w:tabs>
          <w:tab w:val="left" w:pos="2160"/>
        </w:tabs>
        <w:ind w:left="1418" w:hanging="1418"/>
        <w:jc w:val="both"/>
        <w:rPr>
          <w:rFonts w:eastAsia="Calibri"/>
          <w:i/>
          <w:sz w:val="28"/>
          <w:szCs w:val="28"/>
          <w:lang w:eastAsia="en-US"/>
        </w:rPr>
      </w:pPr>
    </w:p>
    <w:p w:rsidR="00EE2502" w:rsidRPr="00EE2502" w:rsidRDefault="00EE2502" w:rsidP="00EE2502">
      <w:pPr>
        <w:tabs>
          <w:tab w:val="left" w:pos="2160"/>
        </w:tabs>
        <w:ind w:left="1418" w:hanging="1418"/>
        <w:jc w:val="both"/>
        <w:rPr>
          <w:rFonts w:eastAsia="Calibri"/>
          <w:i/>
          <w:sz w:val="28"/>
          <w:szCs w:val="28"/>
          <w:lang w:eastAsia="en-US"/>
        </w:rPr>
      </w:pPr>
      <w:bookmarkStart w:id="1" w:name="_GoBack"/>
      <w:bookmarkEnd w:id="1"/>
    </w:p>
    <w:p w:rsidR="00A41539" w:rsidRPr="00A41539" w:rsidRDefault="00EE2502" w:rsidP="00A41539">
      <w:pPr>
        <w:tabs>
          <w:tab w:val="left" w:pos="2160"/>
        </w:tabs>
        <w:ind w:left="1418" w:hanging="1418"/>
        <w:jc w:val="both"/>
        <w:rPr>
          <w:b/>
          <w:bCs/>
          <w:color w:val="000000"/>
          <w:sz w:val="26"/>
          <w:szCs w:val="26"/>
        </w:rPr>
      </w:pPr>
      <w:r w:rsidRPr="00EE2502">
        <w:rPr>
          <w:rFonts w:eastAsia="Calibri"/>
          <w:i/>
          <w:sz w:val="28"/>
          <w:szCs w:val="28"/>
          <w:lang w:eastAsia="en-US"/>
        </w:rPr>
        <w:t xml:space="preserve">Inwestor: </w:t>
      </w:r>
      <w:r w:rsidRPr="00EE2502">
        <w:rPr>
          <w:rFonts w:eastAsia="Calibri"/>
          <w:sz w:val="28"/>
          <w:szCs w:val="28"/>
          <w:lang w:eastAsia="en-US"/>
        </w:rPr>
        <w:t xml:space="preserve"> </w:t>
      </w:r>
      <w:r w:rsidR="00A41539" w:rsidRPr="00A41539">
        <w:rPr>
          <w:b/>
          <w:bCs/>
          <w:color w:val="000000"/>
          <w:sz w:val="26"/>
          <w:szCs w:val="26"/>
        </w:rPr>
        <w:t>45 WOG w Wędrzynie</w:t>
      </w:r>
    </w:p>
    <w:p w:rsidR="00A41539" w:rsidRPr="00A41539" w:rsidRDefault="00A41539" w:rsidP="00A41539">
      <w:pPr>
        <w:tabs>
          <w:tab w:val="left" w:pos="2160"/>
        </w:tabs>
        <w:ind w:left="1418" w:hanging="1418"/>
        <w:jc w:val="both"/>
        <w:rPr>
          <w:b/>
          <w:bCs/>
          <w:color w:val="000000"/>
          <w:sz w:val="26"/>
          <w:szCs w:val="26"/>
          <w:lang w:val="de-DE"/>
        </w:rPr>
      </w:pPr>
      <w:r w:rsidRPr="00A41539">
        <w:rPr>
          <w:b/>
          <w:bCs/>
          <w:color w:val="000000"/>
          <w:sz w:val="26"/>
          <w:szCs w:val="26"/>
        </w:rPr>
        <w:t xml:space="preserve">                  69-211 Wędrzyn</w:t>
      </w:r>
    </w:p>
    <w:p w:rsidR="00EE2502" w:rsidRPr="00EE2502" w:rsidRDefault="00EE2502" w:rsidP="002F0787">
      <w:pPr>
        <w:tabs>
          <w:tab w:val="left" w:pos="2160"/>
        </w:tabs>
        <w:ind w:left="1418" w:hanging="1418"/>
        <w:jc w:val="both"/>
        <w:rPr>
          <w:rFonts w:ascii="Arial" w:eastAsia="Calibri" w:hAnsi="Arial" w:cs="Arial"/>
          <w:i/>
          <w:iCs/>
          <w:sz w:val="28"/>
          <w:szCs w:val="28"/>
          <w:lang w:eastAsia="en-US"/>
        </w:rPr>
      </w:pPr>
    </w:p>
    <w:p w:rsidR="00EE2502" w:rsidRPr="00EE2502" w:rsidRDefault="00EE2502" w:rsidP="00EE2502">
      <w:pPr>
        <w:spacing w:after="200" w:line="360" w:lineRule="auto"/>
        <w:rPr>
          <w:rFonts w:eastAsia="Calibri"/>
          <w:i/>
          <w:iCs/>
          <w:sz w:val="28"/>
          <w:szCs w:val="28"/>
          <w:lang w:eastAsia="en-US"/>
        </w:rPr>
      </w:pPr>
    </w:p>
    <w:p w:rsidR="00EE2502" w:rsidRPr="00EE2502" w:rsidRDefault="00EE2502" w:rsidP="00EE2502">
      <w:pPr>
        <w:spacing w:line="360" w:lineRule="auto"/>
        <w:jc w:val="both"/>
        <w:rPr>
          <w:i/>
          <w:iCs/>
          <w:sz w:val="26"/>
          <w:szCs w:val="26"/>
        </w:rPr>
      </w:pPr>
    </w:p>
    <w:p w:rsidR="00EE2502" w:rsidRPr="00EE2502" w:rsidRDefault="00EE2502" w:rsidP="00EE2502"/>
    <w:p w:rsidR="00EE2502" w:rsidRPr="00EE2502" w:rsidRDefault="00EE2502" w:rsidP="00EE2502">
      <w:pPr>
        <w:tabs>
          <w:tab w:val="left" w:pos="-720"/>
        </w:tabs>
        <w:rPr>
          <w:b/>
          <w:snapToGrid w:val="0"/>
          <w:spacing w:val="-3"/>
          <w:sz w:val="26"/>
          <w:szCs w:val="26"/>
          <w:u w:val="single"/>
        </w:rPr>
      </w:pPr>
    </w:p>
    <w:p w:rsidR="00EE2502" w:rsidRPr="00EE2502" w:rsidRDefault="00EE2502" w:rsidP="00EE2502">
      <w:pPr>
        <w:tabs>
          <w:tab w:val="left" w:pos="-720"/>
        </w:tabs>
        <w:rPr>
          <w:b/>
          <w:snapToGrid w:val="0"/>
          <w:spacing w:val="-3"/>
          <w:sz w:val="26"/>
          <w:szCs w:val="26"/>
          <w:u w:val="single"/>
        </w:rPr>
      </w:pPr>
    </w:p>
    <w:p w:rsidR="00EE2502" w:rsidRPr="00EE2502" w:rsidRDefault="00EE2502" w:rsidP="00EE2502">
      <w:pPr>
        <w:tabs>
          <w:tab w:val="left" w:pos="-720"/>
        </w:tabs>
        <w:rPr>
          <w:b/>
          <w:snapToGrid w:val="0"/>
          <w:spacing w:val="-3"/>
          <w:sz w:val="26"/>
          <w:szCs w:val="26"/>
          <w:u w:val="single"/>
        </w:rPr>
      </w:pPr>
    </w:p>
    <w:p w:rsidR="00EE2502" w:rsidRPr="00EE2502" w:rsidRDefault="00EE2502" w:rsidP="00EE2502">
      <w:pPr>
        <w:tabs>
          <w:tab w:val="left" w:pos="-720"/>
        </w:tabs>
        <w:rPr>
          <w:b/>
          <w:snapToGrid w:val="0"/>
          <w:spacing w:val="-3"/>
          <w:sz w:val="26"/>
          <w:szCs w:val="26"/>
          <w:u w:val="single"/>
        </w:rPr>
      </w:pPr>
    </w:p>
    <w:p w:rsidR="00EE2502" w:rsidRPr="00EE2502" w:rsidRDefault="00EE2502" w:rsidP="00EE2502">
      <w:pPr>
        <w:tabs>
          <w:tab w:val="left" w:pos="-720"/>
        </w:tabs>
        <w:rPr>
          <w:b/>
          <w:snapToGrid w:val="0"/>
          <w:spacing w:val="-3"/>
          <w:sz w:val="26"/>
          <w:szCs w:val="26"/>
          <w:u w:val="single"/>
        </w:rPr>
      </w:pPr>
    </w:p>
    <w:p w:rsidR="00EE2502" w:rsidRPr="00EE2502" w:rsidRDefault="00EE2502" w:rsidP="00EE2502">
      <w:pPr>
        <w:tabs>
          <w:tab w:val="left" w:pos="-720"/>
        </w:tabs>
        <w:rPr>
          <w:b/>
          <w:snapToGrid w:val="0"/>
          <w:spacing w:val="-3"/>
          <w:sz w:val="26"/>
          <w:szCs w:val="26"/>
          <w:u w:val="single"/>
        </w:rPr>
      </w:pPr>
    </w:p>
    <w:p w:rsidR="00EE2502" w:rsidRPr="00EE2502" w:rsidRDefault="00EE2502" w:rsidP="00EE2502">
      <w:pPr>
        <w:tabs>
          <w:tab w:val="left" w:pos="-720"/>
        </w:tabs>
        <w:rPr>
          <w:b/>
          <w:snapToGrid w:val="0"/>
          <w:spacing w:val="-3"/>
          <w:sz w:val="26"/>
          <w:szCs w:val="26"/>
          <w:u w:val="single"/>
        </w:rPr>
      </w:pPr>
    </w:p>
    <w:p w:rsidR="00EE2502" w:rsidRPr="00EE2502" w:rsidRDefault="00EE2502" w:rsidP="00EE2502">
      <w:pPr>
        <w:tabs>
          <w:tab w:val="left" w:pos="-720"/>
        </w:tabs>
        <w:rPr>
          <w:b/>
          <w:snapToGrid w:val="0"/>
          <w:spacing w:val="-3"/>
          <w:sz w:val="26"/>
          <w:szCs w:val="26"/>
          <w:u w:val="single"/>
        </w:rPr>
      </w:pPr>
    </w:p>
    <w:p w:rsidR="00EE2502" w:rsidRPr="00EE2502" w:rsidRDefault="00EE2502" w:rsidP="00EE2502">
      <w:pPr>
        <w:tabs>
          <w:tab w:val="left" w:pos="-720"/>
        </w:tabs>
        <w:rPr>
          <w:b/>
          <w:snapToGrid w:val="0"/>
          <w:spacing w:val="-3"/>
          <w:sz w:val="26"/>
          <w:szCs w:val="26"/>
          <w:u w:val="single"/>
        </w:rPr>
      </w:pPr>
    </w:p>
    <w:p w:rsidR="00EE2502" w:rsidRPr="00EE2502" w:rsidRDefault="00EE2502" w:rsidP="00EE2502">
      <w:pPr>
        <w:tabs>
          <w:tab w:val="left" w:pos="-720"/>
        </w:tabs>
        <w:rPr>
          <w:b/>
          <w:snapToGrid w:val="0"/>
          <w:spacing w:val="-3"/>
          <w:sz w:val="26"/>
          <w:szCs w:val="26"/>
          <w:u w:val="single"/>
        </w:rPr>
      </w:pPr>
    </w:p>
    <w:p w:rsidR="00EE2502" w:rsidRPr="00EE2502" w:rsidRDefault="00EE2502" w:rsidP="00EE2502">
      <w:pPr>
        <w:tabs>
          <w:tab w:val="left" w:pos="-720"/>
        </w:tabs>
        <w:rPr>
          <w:b/>
          <w:snapToGrid w:val="0"/>
          <w:spacing w:val="-3"/>
          <w:sz w:val="26"/>
          <w:szCs w:val="26"/>
          <w:u w:val="single"/>
        </w:rPr>
      </w:pPr>
    </w:p>
    <w:p w:rsidR="00EE2502" w:rsidRPr="00EE2502" w:rsidRDefault="00EE2502" w:rsidP="00EE2502">
      <w:pPr>
        <w:tabs>
          <w:tab w:val="left" w:pos="-720"/>
        </w:tabs>
        <w:rPr>
          <w:b/>
          <w:snapToGrid w:val="0"/>
          <w:spacing w:val="-3"/>
          <w:sz w:val="26"/>
          <w:szCs w:val="26"/>
          <w:u w:val="single"/>
        </w:rPr>
      </w:pPr>
    </w:p>
    <w:p w:rsidR="00EE2502" w:rsidRPr="00EE2502" w:rsidRDefault="00EE2502" w:rsidP="00EE2502">
      <w:pPr>
        <w:tabs>
          <w:tab w:val="left" w:pos="-720"/>
        </w:tabs>
        <w:rPr>
          <w:b/>
          <w:snapToGrid w:val="0"/>
          <w:spacing w:val="-3"/>
          <w:sz w:val="26"/>
          <w:szCs w:val="26"/>
          <w:u w:val="single"/>
        </w:rPr>
      </w:pPr>
      <w:r w:rsidRPr="00EE2502">
        <w:rPr>
          <w:b/>
          <w:snapToGrid w:val="0"/>
          <w:spacing w:val="-3"/>
          <w:sz w:val="26"/>
          <w:szCs w:val="26"/>
          <w:u w:val="single"/>
        </w:rPr>
        <w:t>Zawartość:</w:t>
      </w:r>
    </w:p>
    <w:p w:rsidR="00EE2502" w:rsidRPr="00EE2502" w:rsidRDefault="00EE2502" w:rsidP="00EE2502">
      <w:pPr>
        <w:tabs>
          <w:tab w:val="left" w:pos="-720"/>
        </w:tabs>
        <w:rPr>
          <w:b/>
          <w:snapToGrid w:val="0"/>
          <w:spacing w:val="-3"/>
          <w:u w:val="single"/>
        </w:rPr>
      </w:pPr>
    </w:p>
    <w:p w:rsidR="00EE2502" w:rsidRPr="00EE2502" w:rsidRDefault="00EE2502" w:rsidP="00EE2502">
      <w:pPr>
        <w:spacing w:line="360" w:lineRule="auto"/>
        <w:rPr>
          <w:sz w:val="24"/>
          <w:szCs w:val="24"/>
        </w:rPr>
      </w:pPr>
      <w:r w:rsidRPr="00EE2502">
        <w:rPr>
          <w:sz w:val="24"/>
          <w:szCs w:val="24"/>
        </w:rPr>
        <w:t xml:space="preserve">1. Wymagania ogólne  D-M 00.00.00 </w:t>
      </w:r>
    </w:p>
    <w:p w:rsidR="00EE2502" w:rsidRPr="00EE2502" w:rsidRDefault="00EE2502" w:rsidP="00EE2502">
      <w:pPr>
        <w:spacing w:line="360" w:lineRule="auto"/>
        <w:rPr>
          <w:sz w:val="24"/>
          <w:szCs w:val="24"/>
        </w:rPr>
      </w:pPr>
      <w:r>
        <w:rPr>
          <w:sz w:val="24"/>
          <w:szCs w:val="24"/>
        </w:rPr>
        <w:t>2</w:t>
      </w:r>
      <w:r w:rsidRPr="00EE2502">
        <w:rPr>
          <w:sz w:val="24"/>
          <w:szCs w:val="24"/>
        </w:rPr>
        <w:t>. Roboty mostowe</w:t>
      </w:r>
    </w:p>
    <w:p w:rsidR="00EE2502" w:rsidRPr="00EE2502" w:rsidRDefault="00EE2502" w:rsidP="00EE2502">
      <w:pPr>
        <w:spacing w:line="360" w:lineRule="auto"/>
        <w:rPr>
          <w:sz w:val="24"/>
          <w:szCs w:val="24"/>
        </w:rPr>
      </w:pPr>
    </w:p>
    <w:p w:rsidR="00EE2502" w:rsidRPr="00EE2502" w:rsidRDefault="00EE2502" w:rsidP="00EE2502">
      <w:pPr>
        <w:spacing w:line="360" w:lineRule="auto"/>
        <w:rPr>
          <w:sz w:val="24"/>
          <w:szCs w:val="24"/>
        </w:rPr>
      </w:pPr>
    </w:p>
    <w:p w:rsidR="00EE2502" w:rsidRDefault="00EE2502" w:rsidP="00EE2502">
      <w:pPr>
        <w:jc w:val="both"/>
      </w:pPr>
    </w:p>
    <w:p w:rsidR="00EE2502" w:rsidRDefault="00EE2502" w:rsidP="00EE2502">
      <w:pPr>
        <w:jc w:val="both"/>
      </w:pPr>
    </w:p>
    <w:p w:rsidR="00765EC0" w:rsidRDefault="00765EC0">
      <w:r>
        <w:br w:type="page"/>
      </w:r>
    </w:p>
    <w:p w:rsidR="00EE2502" w:rsidRPr="00EE2502" w:rsidRDefault="00EE2502" w:rsidP="00EE2502">
      <w:pPr>
        <w:jc w:val="both"/>
      </w:pPr>
    </w:p>
    <w:p w:rsidR="00EE2502" w:rsidRPr="00EE2502" w:rsidRDefault="00EE2502" w:rsidP="00EE2502">
      <w:pPr>
        <w:jc w:val="both"/>
      </w:pPr>
    </w:p>
    <w:p w:rsidR="001615EF" w:rsidRDefault="00EE2502" w:rsidP="00EE2502">
      <w:pPr>
        <w:jc w:val="both"/>
        <w:rPr>
          <w:noProof/>
        </w:rPr>
      </w:pPr>
      <w:r w:rsidRPr="00EE2502">
        <w:rPr>
          <w:sz w:val="24"/>
          <w:szCs w:val="28"/>
        </w:rPr>
        <w:t>SPIS TREŚCI</w:t>
      </w:r>
      <w:r w:rsidRPr="00EE2502">
        <w:rPr>
          <w:sz w:val="24"/>
          <w:szCs w:val="28"/>
        </w:rPr>
        <w:fldChar w:fldCharType="begin"/>
      </w:r>
      <w:r w:rsidRPr="00EE2502">
        <w:rPr>
          <w:sz w:val="24"/>
          <w:szCs w:val="28"/>
        </w:rPr>
        <w:instrText xml:space="preserve"> TOC \o "1-1" \h \z \u </w:instrText>
      </w:r>
      <w:r w:rsidRPr="00EE2502">
        <w:rPr>
          <w:sz w:val="24"/>
          <w:szCs w:val="28"/>
        </w:rPr>
        <w:fldChar w:fldCharType="separate"/>
      </w:r>
    </w:p>
    <w:p w:rsidR="001615EF" w:rsidRDefault="00A64F24">
      <w:pPr>
        <w:pStyle w:val="Spistreci1"/>
        <w:rPr>
          <w:rFonts w:asciiTheme="minorHAnsi" w:eastAsiaTheme="minorEastAsia" w:hAnsiTheme="minorHAnsi" w:cstheme="minorBidi"/>
          <w:b w:val="0"/>
          <w:i w:val="0"/>
          <w:snapToGrid/>
          <w:sz w:val="22"/>
          <w:szCs w:val="22"/>
        </w:rPr>
      </w:pPr>
      <w:hyperlink w:anchor="_Toc80100073" w:history="1">
        <w:r w:rsidR="001615EF" w:rsidRPr="00576827">
          <w:rPr>
            <w:rStyle w:val="Hipercze"/>
            <w:rFonts w:ascii="PL Times New Roman" w:hAnsi="PL Times New Roman"/>
          </w:rPr>
          <w:t>1. Wymagania ogólne D-M 00.00.00</w:t>
        </w:r>
        <w:r w:rsidR="001615EF">
          <w:rPr>
            <w:webHidden/>
          </w:rPr>
          <w:tab/>
        </w:r>
        <w:r w:rsidR="001615EF">
          <w:rPr>
            <w:webHidden/>
          </w:rPr>
          <w:fldChar w:fldCharType="begin"/>
        </w:r>
        <w:r w:rsidR="001615EF">
          <w:rPr>
            <w:webHidden/>
          </w:rPr>
          <w:instrText xml:space="preserve"> PAGEREF _Toc80100073 \h </w:instrText>
        </w:r>
        <w:r w:rsidR="001615EF">
          <w:rPr>
            <w:webHidden/>
          </w:rPr>
        </w:r>
        <w:r w:rsidR="001615EF">
          <w:rPr>
            <w:webHidden/>
          </w:rPr>
          <w:fldChar w:fldCharType="separate"/>
        </w:r>
        <w:r w:rsidR="00A4565F">
          <w:rPr>
            <w:webHidden/>
          </w:rPr>
          <w:t>3</w:t>
        </w:r>
        <w:r w:rsidR="001615EF">
          <w:rPr>
            <w:webHidden/>
          </w:rPr>
          <w:fldChar w:fldCharType="end"/>
        </w:r>
      </w:hyperlink>
    </w:p>
    <w:p w:rsidR="001615EF" w:rsidRDefault="00A64F24">
      <w:pPr>
        <w:pStyle w:val="Spistreci1"/>
        <w:rPr>
          <w:rFonts w:asciiTheme="minorHAnsi" w:eastAsiaTheme="minorEastAsia" w:hAnsiTheme="minorHAnsi" w:cstheme="minorBidi"/>
          <w:b w:val="0"/>
          <w:i w:val="0"/>
          <w:snapToGrid/>
          <w:sz w:val="22"/>
          <w:szCs w:val="22"/>
        </w:rPr>
      </w:pPr>
      <w:hyperlink w:anchor="_Toc80100074" w:history="1">
        <w:r w:rsidR="001615EF" w:rsidRPr="00576827">
          <w:rPr>
            <w:rStyle w:val="Hipercze"/>
            <w:rFonts w:ascii="PL Times New Roman" w:hAnsi="PL Times New Roman"/>
          </w:rPr>
          <w:t>2. Roboty mostowe</w:t>
        </w:r>
        <w:r w:rsidR="001615EF">
          <w:rPr>
            <w:webHidden/>
          </w:rPr>
          <w:tab/>
        </w:r>
        <w:r w:rsidR="001615EF">
          <w:rPr>
            <w:webHidden/>
          </w:rPr>
          <w:fldChar w:fldCharType="begin"/>
        </w:r>
        <w:r w:rsidR="001615EF">
          <w:rPr>
            <w:webHidden/>
          </w:rPr>
          <w:instrText xml:space="preserve"> PAGEREF _Toc80100074 \h </w:instrText>
        </w:r>
        <w:r w:rsidR="001615EF">
          <w:rPr>
            <w:webHidden/>
          </w:rPr>
        </w:r>
        <w:r w:rsidR="001615EF">
          <w:rPr>
            <w:webHidden/>
          </w:rPr>
          <w:fldChar w:fldCharType="separate"/>
        </w:r>
        <w:r w:rsidR="00A4565F">
          <w:rPr>
            <w:webHidden/>
          </w:rPr>
          <w:t>28</w:t>
        </w:r>
        <w:r w:rsidR="001615EF">
          <w:rPr>
            <w:webHidden/>
          </w:rPr>
          <w:fldChar w:fldCharType="end"/>
        </w:r>
      </w:hyperlink>
    </w:p>
    <w:p w:rsidR="001615EF" w:rsidRDefault="00A64F24">
      <w:pPr>
        <w:pStyle w:val="Spistreci1"/>
        <w:rPr>
          <w:rFonts w:asciiTheme="minorHAnsi" w:eastAsiaTheme="minorEastAsia" w:hAnsiTheme="minorHAnsi" w:cstheme="minorBidi"/>
          <w:b w:val="0"/>
          <w:i w:val="0"/>
          <w:snapToGrid/>
          <w:sz w:val="22"/>
          <w:szCs w:val="22"/>
        </w:rPr>
      </w:pPr>
      <w:hyperlink w:anchor="_Toc80100075" w:history="1">
        <w:r w:rsidR="001615EF" w:rsidRPr="00576827">
          <w:rPr>
            <w:rStyle w:val="Hipercze"/>
            <w:rFonts w:ascii="PL Times New Roman" w:hAnsi="PL Times New Roman"/>
            <w:bCs/>
          </w:rPr>
          <w:t>M.11.01.01</w:t>
        </w:r>
        <w:r w:rsidR="001615EF">
          <w:rPr>
            <w:rFonts w:asciiTheme="minorHAnsi" w:eastAsiaTheme="minorEastAsia" w:hAnsiTheme="minorHAnsi" w:cstheme="minorBidi"/>
            <w:b w:val="0"/>
            <w:i w:val="0"/>
            <w:snapToGrid/>
            <w:sz w:val="22"/>
            <w:szCs w:val="22"/>
          </w:rPr>
          <w:tab/>
        </w:r>
        <w:r w:rsidR="001615EF" w:rsidRPr="00576827">
          <w:rPr>
            <w:rStyle w:val="Hipercze"/>
            <w:rFonts w:ascii="PL Times New Roman" w:hAnsi="PL Times New Roman"/>
            <w:bCs/>
          </w:rPr>
          <w:t>WYKONANIE WYKOPÓW</w:t>
        </w:r>
        <w:r w:rsidR="001615EF">
          <w:rPr>
            <w:webHidden/>
          </w:rPr>
          <w:tab/>
        </w:r>
        <w:r w:rsidR="001615EF">
          <w:rPr>
            <w:webHidden/>
          </w:rPr>
          <w:fldChar w:fldCharType="begin"/>
        </w:r>
        <w:r w:rsidR="001615EF">
          <w:rPr>
            <w:webHidden/>
          </w:rPr>
          <w:instrText xml:space="preserve"> PAGEREF _Toc80100075 \h </w:instrText>
        </w:r>
        <w:r w:rsidR="001615EF">
          <w:rPr>
            <w:webHidden/>
          </w:rPr>
        </w:r>
        <w:r w:rsidR="001615EF">
          <w:rPr>
            <w:webHidden/>
          </w:rPr>
          <w:fldChar w:fldCharType="separate"/>
        </w:r>
        <w:r w:rsidR="00A4565F">
          <w:rPr>
            <w:webHidden/>
          </w:rPr>
          <w:t>28</w:t>
        </w:r>
        <w:r w:rsidR="001615EF">
          <w:rPr>
            <w:webHidden/>
          </w:rPr>
          <w:fldChar w:fldCharType="end"/>
        </w:r>
      </w:hyperlink>
    </w:p>
    <w:p w:rsidR="001615EF" w:rsidRDefault="00A64F24">
      <w:pPr>
        <w:pStyle w:val="Spistreci1"/>
        <w:rPr>
          <w:rFonts w:asciiTheme="minorHAnsi" w:eastAsiaTheme="minorEastAsia" w:hAnsiTheme="minorHAnsi" w:cstheme="minorBidi"/>
          <w:b w:val="0"/>
          <w:i w:val="0"/>
          <w:snapToGrid/>
          <w:sz w:val="22"/>
          <w:szCs w:val="22"/>
        </w:rPr>
      </w:pPr>
      <w:hyperlink w:anchor="_Toc80100076" w:history="1">
        <w:r w:rsidR="001615EF" w:rsidRPr="00576827">
          <w:rPr>
            <w:rStyle w:val="Hipercze"/>
            <w:rFonts w:ascii="PL Times New Roman" w:hAnsi="PL Times New Roman"/>
          </w:rPr>
          <w:t>M.11.01.02.</w:t>
        </w:r>
        <w:r w:rsidR="001615EF">
          <w:rPr>
            <w:rFonts w:asciiTheme="minorHAnsi" w:eastAsiaTheme="minorEastAsia" w:hAnsiTheme="minorHAnsi" w:cstheme="minorBidi"/>
            <w:b w:val="0"/>
            <w:i w:val="0"/>
            <w:snapToGrid/>
            <w:sz w:val="22"/>
            <w:szCs w:val="22"/>
          </w:rPr>
          <w:tab/>
        </w:r>
        <w:r w:rsidR="001615EF" w:rsidRPr="00576827">
          <w:rPr>
            <w:rStyle w:val="Hipercze"/>
            <w:rFonts w:ascii="PL Times New Roman" w:hAnsi="PL Times New Roman"/>
          </w:rPr>
          <w:t>ZDJĘCIE HUMUSU</w:t>
        </w:r>
        <w:r w:rsidR="001615EF">
          <w:rPr>
            <w:webHidden/>
          </w:rPr>
          <w:tab/>
        </w:r>
        <w:r w:rsidR="001615EF">
          <w:rPr>
            <w:webHidden/>
          </w:rPr>
          <w:fldChar w:fldCharType="begin"/>
        </w:r>
        <w:r w:rsidR="001615EF">
          <w:rPr>
            <w:webHidden/>
          </w:rPr>
          <w:instrText xml:space="preserve"> PAGEREF _Toc80100076 \h </w:instrText>
        </w:r>
        <w:r w:rsidR="001615EF">
          <w:rPr>
            <w:webHidden/>
          </w:rPr>
        </w:r>
        <w:r w:rsidR="001615EF">
          <w:rPr>
            <w:webHidden/>
          </w:rPr>
          <w:fldChar w:fldCharType="separate"/>
        </w:r>
        <w:r w:rsidR="00A4565F">
          <w:rPr>
            <w:webHidden/>
          </w:rPr>
          <w:t>32</w:t>
        </w:r>
        <w:r w:rsidR="001615EF">
          <w:rPr>
            <w:webHidden/>
          </w:rPr>
          <w:fldChar w:fldCharType="end"/>
        </w:r>
      </w:hyperlink>
    </w:p>
    <w:p w:rsidR="001615EF" w:rsidRDefault="00A64F24">
      <w:pPr>
        <w:pStyle w:val="Spistreci1"/>
        <w:rPr>
          <w:rFonts w:asciiTheme="minorHAnsi" w:eastAsiaTheme="minorEastAsia" w:hAnsiTheme="minorHAnsi" w:cstheme="minorBidi"/>
          <w:b w:val="0"/>
          <w:i w:val="0"/>
          <w:snapToGrid/>
          <w:sz w:val="22"/>
          <w:szCs w:val="22"/>
        </w:rPr>
      </w:pPr>
      <w:hyperlink w:anchor="_Toc80100077" w:history="1">
        <w:r w:rsidR="001615EF" w:rsidRPr="00576827">
          <w:rPr>
            <w:rStyle w:val="Hipercze"/>
            <w:rFonts w:ascii="PL Times New Roman" w:hAnsi="PL Times New Roman"/>
            <w:bCs/>
          </w:rPr>
          <w:t xml:space="preserve">M.11.01.04. </w:t>
        </w:r>
        <w:r w:rsidR="001615EF">
          <w:rPr>
            <w:rFonts w:asciiTheme="minorHAnsi" w:eastAsiaTheme="minorEastAsia" w:hAnsiTheme="minorHAnsi" w:cstheme="minorBidi"/>
            <w:b w:val="0"/>
            <w:i w:val="0"/>
            <w:snapToGrid/>
            <w:sz w:val="22"/>
            <w:szCs w:val="22"/>
          </w:rPr>
          <w:tab/>
        </w:r>
        <w:r w:rsidR="001615EF" w:rsidRPr="00576827">
          <w:rPr>
            <w:rStyle w:val="Hipercze"/>
            <w:rFonts w:ascii="PL Times New Roman" w:hAnsi="PL Times New Roman"/>
            <w:bCs/>
          </w:rPr>
          <w:t>WYKONANIE NASYPÓW</w:t>
        </w:r>
        <w:r w:rsidR="001615EF">
          <w:rPr>
            <w:webHidden/>
          </w:rPr>
          <w:tab/>
        </w:r>
        <w:r w:rsidR="001615EF">
          <w:rPr>
            <w:webHidden/>
          </w:rPr>
          <w:fldChar w:fldCharType="begin"/>
        </w:r>
        <w:r w:rsidR="001615EF">
          <w:rPr>
            <w:webHidden/>
          </w:rPr>
          <w:instrText xml:space="preserve"> PAGEREF _Toc80100077 \h </w:instrText>
        </w:r>
        <w:r w:rsidR="001615EF">
          <w:rPr>
            <w:webHidden/>
          </w:rPr>
        </w:r>
        <w:r w:rsidR="001615EF">
          <w:rPr>
            <w:webHidden/>
          </w:rPr>
          <w:fldChar w:fldCharType="separate"/>
        </w:r>
        <w:r w:rsidR="00A4565F">
          <w:rPr>
            <w:webHidden/>
          </w:rPr>
          <w:t>34</w:t>
        </w:r>
        <w:r w:rsidR="001615EF">
          <w:rPr>
            <w:webHidden/>
          </w:rPr>
          <w:fldChar w:fldCharType="end"/>
        </w:r>
      </w:hyperlink>
    </w:p>
    <w:p w:rsidR="001615EF" w:rsidRDefault="00A64F24">
      <w:pPr>
        <w:pStyle w:val="Spistreci1"/>
        <w:rPr>
          <w:rFonts w:asciiTheme="minorHAnsi" w:eastAsiaTheme="minorEastAsia" w:hAnsiTheme="minorHAnsi" w:cstheme="minorBidi"/>
          <w:b w:val="0"/>
          <w:i w:val="0"/>
          <w:snapToGrid/>
          <w:sz w:val="22"/>
          <w:szCs w:val="22"/>
        </w:rPr>
      </w:pPr>
      <w:hyperlink w:anchor="_Toc80100078" w:history="1">
        <w:r w:rsidR="001615EF" w:rsidRPr="00576827">
          <w:rPr>
            <w:rStyle w:val="Hipercze"/>
            <w:bCs/>
          </w:rPr>
          <w:t>M.11.04.01.</w:t>
        </w:r>
        <w:r w:rsidR="001615EF">
          <w:rPr>
            <w:rFonts w:asciiTheme="minorHAnsi" w:eastAsiaTheme="minorEastAsia" w:hAnsiTheme="minorHAnsi" w:cstheme="minorBidi"/>
            <w:b w:val="0"/>
            <w:i w:val="0"/>
            <w:snapToGrid/>
            <w:sz w:val="22"/>
            <w:szCs w:val="22"/>
          </w:rPr>
          <w:tab/>
        </w:r>
        <w:r w:rsidR="001615EF" w:rsidRPr="00576827">
          <w:rPr>
            <w:rStyle w:val="Hipercze"/>
            <w:bCs/>
          </w:rPr>
          <w:t xml:space="preserve"> ZABEZPIECZENIE ROBÓT</w:t>
        </w:r>
        <w:r w:rsidR="001615EF">
          <w:rPr>
            <w:webHidden/>
          </w:rPr>
          <w:tab/>
        </w:r>
        <w:r w:rsidR="001615EF">
          <w:rPr>
            <w:webHidden/>
          </w:rPr>
          <w:fldChar w:fldCharType="begin"/>
        </w:r>
        <w:r w:rsidR="001615EF">
          <w:rPr>
            <w:webHidden/>
          </w:rPr>
          <w:instrText xml:space="preserve"> PAGEREF _Toc80100078 \h </w:instrText>
        </w:r>
        <w:r w:rsidR="001615EF">
          <w:rPr>
            <w:webHidden/>
          </w:rPr>
        </w:r>
        <w:r w:rsidR="001615EF">
          <w:rPr>
            <w:webHidden/>
          </w:rPr>
          <w:fldChar w:fldCharType="separate"/>
        </w:r>
        <w:r w:rsidR="00A4565F">
          <w:rPr>
            <w:webHidden/>
          </w:rPr>
          <w:t>44</w:t>
        </w:r>
        <w:r w:rsidR="001615EF">
          <w:rPr>
            <w:webHidden/>
          </w:rPr>
          <w:fldChar w:fldCharType="end"/>
        </w:r>
      </w:hyperlink>
    </w:p>
    <w:p w:rsidR="001615EF" w:rsidRDefault="00A64F24">
      <w:pPr>
        <w:pStyle w:val="Spistreci1"/>
        <w:rPr>
          <w:rFonts w:asciiTheme="minorHAnsi" w:eastAsiaTheme="minorEastAsia" w:hAnsiTheme="minorHAnsi" w:cstheme="minorBidi"/>
          <w:b w:val="0"/>
          <w:i w:val="0"/>
          <w:snapToGrid/>
          <w:sz w:val="22"/>
          <w:szCs w:val="22"/>
        </w:rPr>
      </w:pPr>
      <w:hyperlink w:anchor="_Toc80100079" w:history="1">
        <w:r w:rsidR="001615EF" w:rsidRPr="00576827">
          <w:rPr>
            <w:rStyle w:val="Hipercze"/>
          </w:rPr>
          <w:t>M.12.00.00.</w:t>
        </w:r>
        <w:r w:rsidR="001615EF">
          <w:rPr>
            <w:rFonts w:asciiTheme="minorHAnsi" w:eastAsiaTheme="minorEastAsia" w:hAnsiTheme="minorHAnsi" w:cstheme="minorBidi"/>
            <w:b w:val="0"/>
            <w:i w:val="0"/>
            <w:snapToGrid/>
            <w:sz w:val="22"/>
            <w:szCs w:val="22"/>
          </w:rPr>
          <w:tab/>
        </w:r>
        <w:r w:rsidR="001615EF" w:rsidRPr="00576827">
          <w:rPr>
            <w:rStyle w:val="Hipercze"/>
          </w:rPr>
          <w:t>ZBROJENIE</w:t>
        </w:r>
        <w:r w:rsidR="001615EF">
          <w:rPr>
            <w:webHidden/>
          </w:rPr>
          <w:tab/>
        </w:r>
        <w:r w:rsidR="001615EF">
          <w:rPr>
            <w:webHidden/>
          </w:rPr>
          <w:fldChar w:fldCharType="begin"/>
        </w:r>
        <w:r w:rsidR="001615EF">
          <w:rPr>
            <w:webHidden/>
          </w:rPr>
          <w:instrText xml:space="preserve"> PAGEREF _Toc80100079 \h </w:instrText>
        </w:r>
        <w:r w:rsidR="001615EF">
          <w:rPr>
            <w:webHidden/>
          </w:rPr>
        </w:r>
        <w:r w:rsidR="001615EF">
          <w:rPr>
            <w:webHidden/>
          </w:rPr>
          <w:fldChar w:fldCharType="separate"/>
        </w:r>
        <w:r w:rsidR="00A4565F">
          <w:rPr>
            <w:webHidden/>
          </w:rPr>
          <w:t>48</w:t>
        </w:r>
        <w:r w:rsidR="001615EF">
          <w:rPr>
            <w:webHidden/>
          </w:rPr>
          <w:fldChar w:fldCharType="end"/>
        </w:r>
      </w:hyperlink>
    </w:p>
    <w:p w:rsidR="001615EF" w:rsidRDefault="00A64F24">
      <w:pPr>
        <w:pStyle w:val="Spistreci1"/>
        <w:rPr>
          <w:rFonts w:asciiTheme="minorHAnsi" w:eastAsiaTheme="minorEastAsia" w:hAnsiTheme="minorHAnsi" w:cstheme="minorBidi"/>
          <w:b w:val="0"/>
          <w:i w:val="0"/>
          <w:snapToGrid/>
          <w:sz w:val="22"/>
          <w:szCs w:val="22"/>
        </w:rPr>
      </w:pPr>
      <w:hyperlink w:anchor="_Toc80100080" w:history="1">
        <w:r w:rsidR="001615EF" w:rsidRPr="00576827">
          <w:rPr>
            <w:rStyle w:val="Hipercze"/>
          </w:rPr>
          <w:t>M.12.01.02.</w:t>
        </w:r>
        <w:r w:rsidR="001615EF">
          <w:rPr>
            <w:rFonts w:asciiTheme="minorHAnsi" w:eastAsiaTheme="minorEastAsia" w:hAnsiTheme="minorHAnsi" w:cstheme="minorBidi"/>
            <w:b w:val="0"/>
            <w:i w:val="0"/>
            <w:snapToGrid/>
            <w:sz w:val="22"/>
            <w:szCs w:val="22"/>
          </w:rPr>
          <w:tab/>
        </w:r>
        <w:r w:rsidR="001615EF" w:rsidRPr="00576827">
          <w:rPr>
            <w:rStyle w:val="Hipercze"/>
          </w:rPr>
          <w:t>ZBROJENIE BETONU STALĄ KLASY A-IIIN</w:t>
        </w:r>
        <w:r w:rsidR="001615EF">
          <w:rPr>
            <w:webHidden/>
          </w:rPr>
          <w:tab/>
        </w:r>
        <w:r w:rsidR="001615EF">
          <w:rPr>
            <w:webHidden/>
          </w:rPr>
          <w:fldChar w:fldCharType="begin"/>
        </w:r>
        <w:r w:rsidR="001615EF">
          <w:rPr>
            <w:webHidden/>
          </w:rPr>
          <w:instrText xml:space="preserve"> PAGEREF _Toc80100080 \h </w:instrText>
        </w:r>
        <w:r w:rsidR="001615EF">
          <w:rPr>
            <w:webHidden/>
          </w:rPr>
        </w:r>
        <w:r w:rsidR="001615EF">
          <w:rPr>
            <w:webHidden/>
          </w:rPr>
          <w:fldChar w:fldCharType="separate"/>
        </w:r>
        <w:r w:rsidR="00A4565F">
          <w:rPr>
            <w:webHidden/>
          </w:rPr>
          <w:t>56</w:t>
        </w:r>
        <w:r w:rsidR="001615EF">
          <w:rPr>
            <w:webHidden/>
          </w:rPr>
          <w:fldChar w:fldCharType="end"/>
        </w:r>
      </w:hyperlink>
    </w:p>
    <w:p w:rsidR="001615EF" w:rsidRDefault="00A64F24">
      <w:pPr>
        <w:pStyle w:val="Spistreci1"/>
        <w:rPr>
          <w:rFonts w:asciiTheme="minorHAnsi" w:eastAsiaTheme="minorEastAsia" w:hAnsiTheme="minorHAnsi" w:cstheme="minorBidi"/>
          <w:b w:val="0"/>
          <w:i w:val="0"/>
          <w:snapToGrid/>
          <w:sz w:val="22"/>
          <w:szCs w:val="22"/>
        </w:rPr>
      </w:pPr>
      <w:hyperlink w:anchor="_Toc80100081" w:history="1">
        <w:r w:rsidR="001615EF" w:rsidRPr="00576827">
          <w:rPr>
            <w:rStyle w:val="Hipercze"/>
          </w:rPr>
          <w:t xml:space="preserve">M.12.01.03. </w:t>
        </w:r>
        <w:r w:rsidR="001615EF">
          <w:rPr>
            <w:rFonts w:asciiTheme="minorHAnsi" w:eastAsiaTheme="minorEastAsia" w:hAnsiTheme="minorHAnsi" w:cstheme="minorBidi"/>
            <w:b w:val="0"/>
            <w:i w:val="0"/>
            <w:snapToGrid/>
            <w:sz w:val="22"/>
            <w:szCs w:val="22"/>
          </w:rPr>
          <w:tab/>
        </w:r>
        <w:r w:rsidR="001615EF" w:rsidRPr="00576827">
          <w:rPr>
            <w:rStyle w:val="Hipercze"/>
          </w:rPr>
          <w:t xml:space="preserve"> OSADZENIE KOTEW STALOWYCH W OTWORACH</w:t>
        </w:r>
        <w:r w:rsidR="001615EF">
          <w:rPr>
            <w:webHidden/>
          </w:rPr>
          <w:tab/>
        </w:r>
        <w:r w:rsidR="001615EF">
          <w:rPr>
            <w:webHidden/>
          </w:rPr>
          <w:fldChar w:fldCharType="begin"/>
        </w:r>
        <w:r w:rsidR="001615EF">
          <w:rPr>
            <w:webHidden/>
          </w:rPr>
          <w:instrText xml:space="preserve"> PAGEREF _Toc80100081 \h </w:instrText>
        </w:r>
        <w:r w:rsidR="001615EF">
          <w:rPr>
            <w:webHidden/>
          </w:rPr>
        </w:r>
        <w:r w:rsidR="001615EF">
          <w:rPr>
            <w:webHidden/>
          </w:rPr>
          <w:fldChar w:fldCharType="separate"/>
        </w:r>
        <w:r w:rsidR="00A4565F">
          <w:rPr>
            <w:webHidden/>
          </w:rPr>
          <w:t>57</w:t>
        </w:r>
        <w:r w:rsidR="001615EF">
          <w:rPr>
            <w:webHidden/>
          </w:rPr>
          <w:fldChar w:fldCharType="end"/>
        </w:r>
      </w:hyperlink>
    </w:p>
    <w:p w:rsidR="001615EF" w:rsidRDefault="00A64F24">
      <w:pPr>
        <w:pStyle w:val="Spistreci1"/>
        <w:rPr>
          <w:rFonts w:asciiTheme="minorHAnsi" w:eastAsiaTheme="minorEastAsia" w:hAnsiTheme="minorHAnsi" w:cstheme="minorBidi"/>
          <w:b w:val="0"/>
          <w:i w:val="0"/>
          <w:snapToGrid/>
          <w:sz w:val="22"/>
          <w:szCs w:val="22"/>
        </w:rPr>
      </w:pPr>
      <w:hyperlink w:anchor="_Toc80100082" w:history="1">
        <w:r w:rsidR="001615EF" w:rsidRPr="00576827">
          <w:rPr>
            <w:rStyle w:val="Hipercze"/>
          </w:rPr>
          <w:t>M.13.00.00.</w:t>
        </w:r>
        <w:r w:rsidR="001615EF">
          <w:rPr>
            <w:rFonts w:asciiTheme="minorHAnsi" w:eastAsiaTheme="minorEastAsia" w:hAnsiTheme="minorHAnsi" w:cstheme="minorBidi"/>
            <w:b w:val="0"/>
            <w:i w:val="0"/>
            <w:snapToGrid/>
            <w:sz w:val="22"/>
            <w:szCs w:val="22"/>
          </w:rPr>
          <w:tab/>
        </w:r>
        <w:r w:rsidR="001615EF" w:rsidRPr="00576827">
          <w:rPr>
            <w:rStyle w:val="Hipercze"/>
          </w:rPr>
          <w:t>BETON KONSTRUKCYJNY</w:t>
        </w:r>
        <w:r w:rsidR="001615EF">
          <w:rPr>
            <w:webHidden/>
          </w:rPr>
          <w:tab/>
        </w:r>
        <w:r w:rsidR="001615EF">
          <w:rPr>
            <w:webHidden/>
          </w:rPr>
          <w:fldChar w:fldCharType="begin"/>
        </w:r>
        <w:r w:rsidR="001615EF">
          <w:rPr>
            <w:webHidden/>
          </w:rPr>
          <w:instrText xml:space="preserve"> PAGEREF _Toc80100082 \h </w:instrText>
        </w:r>
        <w:r w:rsidR="001615EF">
          <w:rPr>
            <w:webHidden/>
          </w:rPr>
        </w:r>
        <w:r w:rsidR="001615EF">
          <w:rPr>
            <w:webHidden/>
          </w:rPr>
          <w:fldChar w:fldCharType="separate"/>
        </w:r>
        <w:r w:rsidR="00A4565F">
          <w:rPr>
            <w:webHidden/>
          </w:rPr>
          <w:t>59</w:t>
        </w:r>
        <w:r w:rsidR="001615EF">
          <w:rPr>
            <w:webHidden/>
          </w:rPr>
          <w:fldChar w:fldCharType="end"/>
        </w:r>
      </w:hyperlink>
    </w:p>
    <w:p w:rsidR="001615EF" w:rsidRDefault="00A64F24">
      <w:pPr>
        <w:pStyle w:val="Spistreci1"/>
        <w:rPr>
          <w:rFonts w:asciiTheme="minorHAnsi" w:eastAsiaTheme="minorEastAsia" w:hAnsiTheme="minorHAnsi" w:cstheme="minorBidi"/>
          <w:b w:val="0"/>
          <w:i w:val="0"/>
          <w:snapToGrid/>
          <w:sz w:val="22"/>
          <w:szCs w:val="22"/>
        </w:rPr>
      </w:pPr>
      <w:hyperlink w:anchor="_Toc80100083" w:history="1">
        <w:r w:rsidR="001615EF" w:rsidRPr="00576827">
          <w:rPr>
            <w:rStyle w:val="Hipercze"/>
            <w:rFonts w:ascii="PL Times New Roman" w:hAnsi="PL Times New Roman"/>
          </w:rPr>
          <w:t xml:space="preserve">M.13.01.03. </w:t>
        </w:r>
        <w:r w:rsidR="001615EF">
          <w:rPr>
            <w:rFonts w:asciiTheme="minorHAnsi" w:eastAsiaTheme="minorEastAsia" w:hAnsiTheme="minorHAnsi" w:cstheme="minorBidi"/>
            <w:b w:val="0"/>
            <w:i w:val="0"/>
            <w:snapToGrid/>
            <w:sz w:val="22"/>
            <w:szCs w:val="22"/>
          </w:rPr>
          <w:tab/>
        </w:r>
        <w:r w:rsidR="001615EF" w:rsidRPr="00576827">
          <w:rPr>
            <w:rStyle w:val="Hipercze"/>
            <w:rFonts w:ascii="PL Times New Roman" w:hAnsi="PL Times New Roman"/>
          </w:rPr>
          <w:t xml:space="preserve"> BETON PODPÓR KLASY C30/37 W ELEMENTACH O GRUBOŚCI &lt;60CM</w:t>
        </w:r>
        <w:r w:rsidR="001615EF">
          <w:rPr>
            <w:webHidden/>
          </w:rPr>
          <w:tab/>
        </w:r>
        <w:r w:rsidR="001615EF">
          <w:rPr>
            <w:webHidden/>
          </w:rPr>
          <w:fldChar w:fldCharType="begin"/>
        </w:r>
        <w:r w:rsidR="001615EF">
          <w:rPr>
            <w:webHidden/>
          </w:rPr>
          <w:instrText xml:space="preserve"> PAGEREF _Toc80100083 \h </w:instrText>
        </w:r>
        <w:r w:rsidR="001615EF">
          <w:rPr>
            <w:webHidden/>
          </w:rPr>
        </w:r>
        <w:r w:rsidR="001615EF">
          <w:rPr>
            <w:webHidden/>
          </w:rPr>
          <w:fldChar w:fldCharType="separate"/>
        </w:r>
        <w:r w:rsidR="00A4565F">
          <w:rPr>
            <w:webHidden/>
          </w:rPr>
          <w:t>93</w:t>
        </w:r>
        <w:r w:rsidR="001615EF">
          <w:rPr>
            <w:webHidden/>
          </w:rPr>
          <w:fldChar w:fldCharType="end"/>
        </w:r>
      </w:hyperlink>
    </w:p>
    <w:p w:rsidR="001615EF" w:rsidRDefault="00A64F24">
      <w:pPr>
        <w:pStyle w:val="Spistreci1"/>
        <w:rPr>
          <w:rFonts w:asciiTheme="minorHAnsi" w:eastAsiaTheme="minorEastAsia" w:hAnsiTheme="minorHAnsi" w:cstheme="minorBidi"/>
          <w:b w:val="0"/>
          <w:i w:val="0"/>
          <w:snapToGrid/>
          <w:sz w:val="22"/>
          <w:szCs w:val="22"/>
        </w:rPr>
      </w:pPr>
      <w:hyperlink w:anchor="_Toc80100084" w:history="1">
        <w:r w:rsidR="001615EF" w:rsidRPr="00576827">
          <w:rPr>
            <w:rStyle w:val="Hipercze"/>
            <w:rFonts w:ascii="PL Times New Roman" w:hAnsi="PL Times New Roman"/>
          </w:rPr>
          <w:t xml:space="preserve">M.13.01.05. </w:t>
        </w:r>
        <w:r w:rsidR="001615EF">
          <w:rPr>
            <w:rFonts w:asciiTheme="minorHAnsi" w:eastAsiaTheme="minorEastAsia" w:hAnsiTheme="minorHAnsi" w:cstheme="minorBidi"/>
            <w:b w:val="0"/>
            <w:i w:val="0"/>
            <w:snapToGrid/>
            <w:sz w:val="22"/>
            <w:szCs w:val="22"/>
          </w:rPr>
          <w:tab/>
        </w:r>
        <w:r w:rsidR="001615EF" w:rsidRPr="00576827">
          <w:rPr>
            <w:rStyle w:val="Hipercze"/>
            <w:rFonts w:ascii="PL Times New Roman" w:hAnsi="PL Times New Roman"/>
          </w:rPr>
          <w:t xml:space="preserve"> BETON PŁYTY ZESPALAJĄCEJ ORAZ KASKADY KLASY C30/37</w:t>
        </w:r>
        <w:r w:rsidR="001615EF">
          <w:rPr>
            <w:webHidden/>
          </w:rPr>
          <w:tab/>
        </w:r>
        <w:r w:rsidR="001615EF">
          <w:rPr>
            <w:webHidden/>
          </w:rPr>
          <w:fldChar w:fldCharType="begin"/>
        </w:r>
        <w:r w:rsidR="001615EF">
          <w:rPr>
            <w:webHidden/>
          </w:rPr>
          <w:instrText xml:space="preserve"> PAGEREF _Toc80100084 \h </w:instrText>
        </w:r>
        <w:r w:rsidR="001615EF">
          <w:rPr>
            <w:webHidden/>
          </w:rPr>
        </w:r>
        <w:r w:rsidR="001615EF">
          <w:rPr>
            <w:webHidden/>
          </w:rPr>
          <w:fldChar w:fldCharType="separate"/>
        </w:r>
        <w:r w:rsidR="00A4565F">
          <w:rPr>
            <w:webHidden/>
          </w:rPr>
          <w:t>95</w:t>
        </w:r>
        <w:r w:rsidR="001615EF">
          <w:rPr>
            <w:webHidden/>
          </w:rPr>
          <w:fldChar w:fldCharType="end"/>
        </w:r>
      </w:hyperlink>
    </w:p>
    <w:p w:rsidR="001615EF" w:rsidRDefault="00A64F24">
      <w:pPr>
        <w:pStyle w:val="Spistreci1"/>
        <w:rPr>
          <w:rFonts w:asciiTheme="minorHAnsi" w:eastAsiaTheme="minorEastAsia" w:hAnsiTheme="minorHAnsi" w:cstheme="minorBidi"/>
          <w:b w:val="0"/>
          <w:i w:val="0"/>
          <w:snapToGrid/>
          <w:sz w:val="22"/>
          <w:szCs w:val="22"/>
        </w:rPr>
      </w:pPr>
      <w:hyperlink w:anchor="_Toc80100085" w:history="1">
        <w:r w:rsidR="001615EF" w:rsidRPr="00576827">
          <w:rPr>
            <w:rStyle w:val="Hipercze"/>
            <w:rFonts w:ascii="PL Times New Roman" w:hAnsi="PL Times New Roman"/>
          </w:rPr>
          <w:t xml:space="preserve">M.13.02.02. </w:t>
        </w:r>
        <w:r w:rsidR="001615EF">
          <w:rPr>
            <w:rFonts w:asciiTheme="minorHAnsi" w:eastAsiaTheme="minorEastAsia" w:hAnsiTheme="minorHAnsi" w:cstheme="minorBidi"/>
            <w:b w:val="0"/>
            <w:i w:val="0"/>
            <w:snapToGrid/>
            <w:sz w:val="22"/>
            <w:szCs w:val="22"/>
          </w:rPr>
          <w:tab/>
        </w:r>
        <w:r w:rsidR="001615EF" w:rsidRPr="00576827">
          <w:rPr>
            <w:rStyle w:val="Hipercze"/>
            <w:rFonts w:ascii="PL Times New Roman" w:hAnsi="PL Times New Roman"/>
          </w:rPr>
          <w:t xml:space="preserve"> BETON NIEKONSTRUKCYJNY</w:t>
        </w:r>
        <w:r w:rsidR="001615EF">
          <w:rPr>
            <w:webHidden/>
          </w:rPr>
          <w:tab/>
        </w:r>
        <w:r w:rsidR="001615EF">
          <w:rPr>
            <w:webHidden/>
          </w:rPr>
          <w:fldChar w:fldCharType="begin"/>
        </w:r>
        <w:r w:rsidR="001615EF">
          <w:rPr>
            <w:webHidden/>
          </w:rPr>
          <w:instrText xml:space="preserve"> PAGEREF _Toc80100085 \h </w:instrText>
        </w:r>
        <w:r w:rsidR="001615EF">
          <w:rPr>
            <w:webHidden/>
          </w:rPr>
        </w:r>
        <w:r w:rsidR="001615EF">
          <w:rPr>
            <w:webHidden/>
          </w:rPr>
          <w:fldChar w:fldCharType="separate"/>
        </w:r>
        <w:r w:rsidR="00A4565F">
          <w:rPr>
            <w:webHidden/>
          </w:rPr>
          <w:t>97</w:t>
        </w:r>
        <w:r w:rsidR="001615EF">
          <w:rPr>
            <w:webHidden/>
          </w:rPr>
          <w:fldChar w:fldCharType="end"/>
        </w:r>
      </w:hyperlink>
    </w:p>
    <w:p w:rsidR="001615EF" w:rsidRDefault="00A64F24">
      <w:pPr>
        <w:pStyle w:val="Spistreci1"/>
        <w:rPr>
          <w:rFonts w:asciiTheme="minorHAnsi" w:eastAsiaTheme="minorEastAsia" w:hAnsiTheme="minorHAnsi" w:cstheme="minorBidi"/>
          <w:b w:val="0"/>
          <w:i w:val="0"/>
          <w:snapToGrid/>
          <w:sz w:val="22"/>
          <w:szCs w:val="22"/>
        </w:rPr>
      </w:pPr>
      <w:hyperlink w:anchor="_Toc80100086" w:history="1">
        <w:r w:rsidR="001615EF" w:rsidRPr="00576827">
          <w:rPr>
            <w:rStyle w:val="Hipercze"/>
            <w:rFonts w:ascii="PL Times New Roman" w:hAnsi="PL Times New Roman"/>
          </w:rPr>
          <w:t xml:space="preserve">M.13.03.01. </w:t>
        </w:r>
        <w:r w:rsidR="001615EF">
          <w:rPr>
            <w:rFonts w:asciiTheme="minorHAnsi" w:eastAsiaTheme="minorEastAsia" w:hAnsiTheme="minorHAnsi" w:cstheme="minorBidi"/>
            <w:b w:val="0"/>
            <w:i w:val="0"/>
            <w:snapToGrid/>
            <w:sz w:val="22"/>
            <w:szCs w:val="22"/>
          </w:rPr>
          <w:tab/>
        </w:r>
        <w:r w:rsidR="001615EF" w:rsidRPr="00576827">
          <w:rPr>
            <w:rStyle w:val="Hipercze"/>
            <w:rFonts w:ascii="PL Times New Roman" w:hAnsi="PL Times New Roman"/>
          </w:rPr>
          <w:t xml:space="preserve"> PREFABRYKATY ŻELBETOWE PRZEPUSTÓW</w:t>
        </w:r>
        <w:r w:rsidR="001615EF">
          <w:rPr>
            <w:webHidden/>
          </w:rPr>
          <w:tab/>
        </w:r>
        <w:r w:rsidR="001615EF">
          <w:rPr>
            <w:webHidden/>
          </w:rPr>
          <w:fldChar w:fldCharType="begin"/>
        </w:r>
        <w:r w:rsidR="001615EF">
          <w:rPr>
            <w:webHidden/>
          </w:rPr>
          <w:instrText xml:space="preserve"> PAGEREF _Toc80100086 \h </w:instrText>
        </w:r>
        <w:r w:rsidR="001615EF">
          <w:rPr>
            <w:webHidden/>
          </w:rPr>
        </w:r>
        <w:r w:rsidR="001615EF">
          <w:rPr>
            <w:webHidden/>
          </w:rPr>
          <w:fldChar w:fldCharType="separate"/>
        </w:r>
        <w:r w:rsidR="00A4565F">
          <w:rPr>
            <w:webHidden/>
          </w:rPr>
          <w:t>105</w:t>
        </w:r>
        <w:r w:rsidR="001615EF">
          <w:rPr>
            <w:webHidden/>
          </w:rPr>
          <w:fldChar w:fldCharType="end"/>
        </w:r>
      </w:hyperlink>
    </w:p>
    <w:p w:rsidR="001615EF" w:rsidRDefault="00A64F24">
      <w:pPr>
        <w:pStyle w:val="Spistreci1"/>
        <w:rPr>
          <w:rFonts w:asciiTheme="minorHAnsi" w:eastAsiaTheme="minorEastAsia" w:hAnsiTheme="minorHAnsi" w:cstheme="minorBidi"/>
          <w:b w:val="0"/>
          <w:i w:val="0"/>
          <w:snapToGrid/>
          <w:sz w:val="22"/>
          <w:szCs w:val="22"/>
        </w:rPr>
      </w:pPr>
      <w:hyperlink w:anchor="_Toc80100087" w:history="1">
        <w:r w:rsidR="001615EF" w:rsidRPr="00576827">
          <w:rPr>
            <w:rStyle w:val="Hipercze"/>
          </w:rPr>
          <w:t>1. WSTĘP</w:t>
        </w:r>
        <w:r w:rsidR="001615EF">
          <w:rPr>
            <w:webHidden/>
          </w:rPr>
          <w:tab/>
        </w:r>
        <w:r w:rsidR="001615EF">
          <w:rPr>
            <w:webHidden/>
          </w:rPr>
          <w:fldChar w:fldCharType="begin"/>
        </w:r>
        <w:r w:rsidR="001615EF">
          <w:rPr>
            <w:webHidden/>
          </w:rPr>
          <w:instrText xml:space="preserve"> PAGEREF _Toc80100087 \h </w:instrText>
        </w:r>
        <w:r w:rsidR="001615EF">
          <w:rPr>
            <w:webHidden/>
          </w:rPr>
        </w:r>
        <w:r w:rsidR="001615EF">
          <w:rPr>
            <w:webHidden/>
          </w:rPr>
          <w:fldChar w:fldCharType="separate"/>
        </w:r>
        <w:r w:rsidR="00A4565F">
          <w:rPr>
            <w:webHidden/>
          </w:rPr>
          <w:t>105</w:t>
        </w:r>
        <w:r w:rsidR="001615EF">
          <w:rPr>
            <w:webHidden/>
          </w:rPr>
          <w:fldChar w:fldCharType="end"/>
        </w:r>
      </w:hyperlink>
    </w:p>
    <w:p w:rsidR="001615EF" w:rsidRDefault="00A64F24">
      <w:pPr>
        <w:pStyle w:val="Spistreci1"/>
        <w:rPr>
          <w:rFonts w:asciiTheme="minorHAnsi" w:eastAsiaTheme="minorEastAsia" w:hAnsiTheme="minorHAnsi" w:cstheme="minorBidi"/>
          <w:b w:val="0"/>
          <w:i w:val="0"/>
          <w:snapToGrid/>
          <w:sz w:val="22"/>
          <w:szCs w:val="22"/>
        </w:rPr>
      </w:pPr>
      <w:hyperlink w:anchor="_Toc80100088" w:history="1">
        <w:r w:rsidR="001615EF" w:rsidRPr="00576827">
          <w:rPr>
            <w:rStyle w:val="Hipercze"/>
            <w:rFonts w:ascii="PL Times New Roman" w:hAnsi="PL Times New Roman"/>
          </w:rPr>
          <w:t xml:space="preserve">M.15.01.02. </w:t>
        </w:r>
        <w:r w:rsidR="001615EF">
          <w:rPr>
            <w:rFonts w:asciiTheme="minorHAnsi" w:eastAsiaTheme="minorEastAsia" w:hAnsiTheme="minorHAnsi" w:cstheme="minorBidi"/>
            <w:b w:val="0"/>
            <w:i w:val="0"/>
            <w:snapToGrid/>
            <w:sz w:val="22"/>
            <w:szCs w:val="22"/>
          </w:rPr>
          <w:tab/>
        </w:r>
        <w:r w:rsidR="001615EF" w:rsidRPr="00576827">
          <w:rPr>
            <w:rStyle w:val="Hipercze"/>
            <w:rFonts w:ascii="PL Times New Roman" w:hAnsi="PL Times New Roman"/>
          </w:rPr>
          <w:t xml:space="preserve"> IZOLACJE WYKONYWANE NA ZIMNO - BITUMICZNE</w:t>
        </w:r>
        <w:r w:rsidR="001615EF">
          <w:rPr>
            <w:webHidden/>
          </w:rPr>
          <w:tab/>
        </w:r>
        <w:r w:rsidR="001615EF">
          <w:rPr>
            <w:webHidden/>
          </w:rPr>
          <w:fldChar w:fldCharType="begin"/>
        </w:r>
        <w:r w:rsidR="001615EF">
          <w:rPr>
            <w:webHidden/>
          </w:rPr>
          <w:instrText xml:space="preserve"> PAGEREF _Toc80100088 \h </w:instrText>
        </w:r>
        <w:r w:rsidR="001615EF">
          <w:rPr>
            <w:webHidden/>
          </w:rPr>
        </w:r>
        <w:r w:rsidR="001615EF">
          <w:rPr>
            <w:webHidden/>
          </w:rPr>
          <w:fldChar w:fldCharType="separate"/>
        </w:r>
        <w:r w:rsidR="00A4565F">
          <w:rPr>
            <w:webHidden/>
          </w:rPr>
          <w:t>113</w:t>
        </w:r>
        <w:r w:rsidR="001615EF">
          <w:rPr>
            <w:webHidden/>
          </w:rPr>
          <w:fldChar w:fldCharType="end"/>
        </w:r>
      </w:hyperlink>
    </w:p>
    <w:p w:rsidR="001615EF" w:rsidRDefault="00A64F24">
      <w:pPr>
        <w:pStyle w:val="Spistreci1"/>
        <w:rPr>
          <w:rFonts w:asciiTheme="minorHAnsi" w:eastAsiaTheme="minorEastAsia" w:hAnsiTheme="minorHAnsi" w:cstheme="minorBidi"/>
          <w:b w:val="0"/>
          <w:i w:val="0"/>
          <w:snapToGrid/>
          <w:sz w:val="22"/>
          <w:szCs w:val="22"/>
        </w:rPr>
      </w:pPr>
      <w:hyperlink w:anchor="_Toc80100089" w:history="1">
        <w:r w:rsidR="001615EF" w:rsidRPr="00576827">
          <w:rPr>
            <w:rStyle w:val="Hipercze"/>
            <w:rFonts w:ascii="PL Times New Roman" w:hAnsi="PL Times New Roman"/>
          </w:rPr>
          <w:t xml:space="preserve">M.15.02.01. </w:t>
        </w:r>
        <w:r w:rsidR="001615EF">
          <w:rPr>
            <w:rFonts w:asciiTheme="minorHAnsi" w:eastAsiaTheme="minorEastAsia" w:hAnsiTheme="minorHAnsi" w:cstheme="minorBidi"/>
            <w:b w:val="0"/>
            <w:i w:val="0"/>
            <w:snapToGrid/>
            <w:sz w:val="22"/>
            <w:szCs w:val="22"/>
          </w:rPr>
          <w:tab/>
        </w:r>
        <w:r w:rsidR="001615EF" w:rsidRPr="00576827">
          <w:rPr>
            <w:rStyle w:val="Hipercze"/>
            <w:rFonts w:ascii="PL Times New Roman" w:hAnsi="PL Times New Roman"/>
          </w:rPr>
          <w:t xml:space="preserve"> IZOLACJA NATRYSKOWA MMA</w:t>
        </w:r>
        <w:r w:rsidR="001615EF">
          <w:rPr>
            <w:webHidden/>
          </w:rPr>
          <w:tab/>
        </w:r>
        <w:r w:rsidR="001615EF">
          <w:rPr>
            <w:webHidden/>
          </w:rPr>
          <w:fldChar w:fldCharType="begin"/>
        </w:r>
        <w:r w:rsidR="001615EF">
          <w:rPr>
            <w:webHidden/>
          </w:rPr>
          <w:instrText xml:space="preserve"> PAGEREF _Toc80100089 \h </w:instrText>
        </w:r>
        <w:r w:rsidR="001615EF">
          <w:rPr>
            <w:webHidden/>
          </w:rPr>
        </w:r>
        <w:r w:rsidR="001615EF">
          <w:rPr>
            <w:webHidden/>
          </w:rPr>
          <w:fldChar w:fldCharType="separate"/>
        </w:r>
        <w:r w:rsidR="00A4565F">
          <w:rPr>
            <w:webHidden/>
          </w:rPr>
          <w:t>118</w:t>
        </w:r>
        <w:r w:rsidR="001615EF">
          <w:rPr>
            <w:webHidden/>
          </w:rPr>
          <w:fldChar w:fldCharType="end"/>
        </w:r>
      </w:hyperlink>
    </w:p>
    <w:p w:rsidR="001615EF" w:rsidRDefault="00A64F24">
      <w:pPr>
        <w:pStyle w:val="Spistreci1"/>
        <w:rPr>
          <w:rFonts w:asciiTheme="minorHAnsi" w:eastAsiaTheme="minorEastAsia" w:hAnsiTheme="minorHAnsi" w:cstheme="minorBidi"/>
          <w:b w:val="0"/>
          <w:i w:val="0"/>
          <w:snapToGrid/>
          <w:sz w:val="22"/>
          <w:szCs w:val="22"/>
        </w:rPr>
      </w:pPr>
      <w:hyperlink w:anchor="_Toc80100090" w:history="1">
        <w:r w:rsidR="001615EF" w:rsidRPr="00576827">
          <w:rPr>
            <w:rStyle w:val="Hipercze"/>
            <w:rFonts w:ascii="PL Times New Roman" w:hAnsi="PL Times New Roman"/>
          </w:rPr>
          <w:t>M.15.04.01.</w:t>
        </w:r>
        <w:r w:rsidR="001615EF">
          <w:rPr>
            <w:rFonts w:asciiTheme="minorHAnsi" w:eastAsiaTheme="minorEastAsia" w:hAnsiTheme="minorHAnsi" w:cstheme="minorBidi"/>
            <w:b w:val="0"/>
            <w:i w:val="0"/>
            <w:snapToGrid/>
            <w:sz w:val="22"/>
            <w:szCs w:val="22"/>
          </w:rPr>
          <w:tab/>
        </w:r>
        <w:r w:rsidR="001615EF" w:rsidRPr="00576827">
          <w:rPr>
            <w:rStyle w:val="Hipercze"/>
            <w:rFonts w:ascii="PL Times New Roman" w:hAnsi="PL Times New Roman"/>
          </w:rPr>
          <w:t>NAWIERZCHNIA NA BAZIE ŻYWIC EPOKSYDOWO - POLIURETANOWYCH</w:t>
        </w:r>
        <w:r w:rsidR="001615EF">
          <w:rPr>
            <w:webHidden/>
          </w:rPr>
          <w:tab/>
        </w:r>
        <w:r w:rsidR="001615EF">
          <w:rPr>
            <w:webHidden/>
          </w:rPr>
          <w:fldChar w:fldCharType="begin"/>
        </w:r>
        <w:r w:rsidR="001615EF">
          <w:rPr>
            <w:webHidden/>
          </w:rPr>
          <w:instrText xml:space="preserve"> PAGEREF _Toc80100090 \h </w:instrText>
        </w:r>
        <w:r w:rsidR="001615EF">
          <w:rPr>
            <w:webHidden/>
          </w:rPr>
        </w:r>
        <w:r w:rsidR="001615EF">
          <w:rPr>
            <w:webHidden/>
          </w:rPr>
          <w:fldChar w:fldCharType="separate"/>
        </w:r>
        <w:r w:rsidR="00A4565F">
          <w:rPr>
            <w:webHidden/>
          </w:rPr>
          <w:t>123</w:t>
        </w:r>
        <w:r w:rsidR="001615EF">
          <w:rPr>
            <w:webHidden/>
          </w:rPr>
          <w:fldChar w:fldCharType="end"/>
        </w:r>
      </w:hyperlink>
    </w:p>
    <w:p w:rsidR="001615EF" w:rsidRDefault="00A64F24">
      <w:pPr>
        <w:pStyle w:val="Spistreci1"/>
        <w:rPr>
          <w:rFonts w:asciiTheme="minorHAnsi" w:eastAsiaTheme="minorEastAsia" w:hAnsiTheme="minorHAnsi" w:cstheme="minorBidi"/>
          <w:b w:val="0"/>
          <w:i w:val="0"/>
          <w:snapToGrid/>
          <w:sz w:val="22"/>
          <w:szCs w:val="22"/>
        </w:rPr>
      </w:pPr>
      <w:hyperlink w:anchor="_Toc80100091" w:history="1">
        <w:r w:rsidR="001615EF" w:rsidRPr="00576827">
          <w:rPr>
            <w:rStyle w:val="Hipercze"/>
            <w:rFonts w:ascii="PL Times New Roman" w:hAnsi="PL Times New Roman"/>
          </w:rPr>
          <w:t>M.19.01.03. BARIERO – PORĘCZE OCHRONNE STALOWE NA MOŚCIE</w:t>
        </w:r>
        <w:r w:rsidR="001615EF">
          <w:rPr>
            <w:webHidden/>
          </w:rPr>
          <w:tab/>
        </w:r>
        <w:r w:rsidR="001615EF">
          <w:rPr>
            <w:webHidden/>
          </w:rPr>
          <w:fldChar w:fldCharType="begin"/>
        </w:r>
        <w:r w:rsidR="001615EF">
          <w:rPr>
            <w:webHidden/>
          </w:rPr>
          <w:instrText xml:space="preserve"> PAGEREF _Toc80100091 \h </w:instrText>
        </w:r>
        <w:r w:rsidR="001615EF">
          <w:rPr>
            <w:webHidden/>
          </w:rPr>
        </w:r>
        <w:r w:rsidR="001615EF">
          <w:rPr>
            <w:webHidden/>
          </w:rPr>
          <w:fldChar w:fldCharType="separate"/>
        </w:r>
        <w:r w:rsidR="00A4565F">
          <w:rPr>
            <w:webHidden/>
          </w:rPr>
          <w:t>126</w:t>
        </w:r>
        <w:r w:rsidR="001615EF">
          <w:rPr>
            <w:webHidden/>
          </w:rPr>
          <w:fldChar w:fldCharType="end"/>
        </w:r>
      </w:hyperlink>
    </w:p>
    <w:p w:rsidR="001615EF" w:rsidRDefault="00A64F24">
      <w:pPr>
        <w:pStyle w:val="Spistreci1"/>
        <w:rPr>
          <w:rFonts w:asciiTheme="minorHAnsi" w:eastAsiaTheme="minorEastAsia" w:hAnsiTheme="minorHAnsi" w:cstheme="minorBidi"/>
          <w:b w:val="0"/>
          <w:i w:val="0"/>
          <w:snapToGrid/>
          <w:sz w:val="22"/>
          <w:szCs w:val="22"/>
        </w:rPr>
      </w:pPr>
      <w:hyperlink w:anchor="_Toc80100092" w:history="1">
        <w:r w:rsidR="001615EF" w:rsidRPr="00576827">
          <w:rPr>
            <w:rStyle w:val="Hipercze"/>
            <w:rFonts w:ascii="PL Times New Roman" w:hAnsi="PL Times New Roman"/>
          </w:rPr>
          <w:t>M.20.01.08. UMOCNIENIE POWIERZCHNIOWE SKARP KOSTKĄ BRUKOWĄ</w:t>
        </w:r>
        <w:r w:rsidR="001615EF">
          <w:rPr>
            <w:webHidden/>
          </w:rPr>
          <w:tab/>
        </w:r>
        <w:r w:rsidR="001615EF">
          <w:rPr>
            <w:webHidden/>
          </w:rPr>
          <w:fldChar w:fldCharType="begin"/>
        </w:r>
        <w:r w:rsidR="001615EF">
          <w:rPr>
            <w:webHidden/>
          </w:rPr>
          <w:instrText xml:space="preserve"> PAGEREF _Toc80100092 \h </w:instrText>
        </w:r>
        <w:r w:rsidR="001615EF">
          <w:rPr>
            <w:webHidden/>
          </w:rPr>
        </w:r>
        <w:r w:rsidR="001615EF">
          <w:rPr>
            <w:webHidden/>
          </w:rPr>
          <w:fldChar w:fldCharType="separate"/>
        </w:r>
        <w:r w:rsidR="00A4565F">
          <w:rPr>
            <w:webHidden/>
          </w:rPr>
          <w:t>130</w:t>
        </w:r>
        <w:r w:rsidR="001615EF">
          <w:rPr>
            <w:webHidden/>
          </w:rPr>
          <w:fldChar w:fldCharType="end"/>
        </w:r>
      </w:hyperlink>
    </w:p>
    <w:p w:rsidR="001615EF" w:rsidRDefault="00A64F24">
      <w:pPr>
        <w:pStyle w:val="Spistreci1"/>
        <w:rPr>
          <w:rFonts w:asciiTheme="minorHAnsi" w:eastAsiaTheme="minorEastAsia" w:hAnsiTheme="minorHAnsi" w:cstheme="minorBidi"/>
          <w:b w:val="0"/>
          <w:i w:val="0"/>
          <w:snapToGrid/>
          <w:sz w:val="22"/>
          <w:szCs w:val="22"/>
        </w:rPr>
      </w:pPr>
      <w:hyperlink w:anchor="_Toc80100093" w:history="1">
        <w:r w:rsidR="001615EF" w:rsidRPr="00576827">
          <w:rPr>
            <w:rStyle w:val="Hipercze"/>
            <w:rFonts w:ascii="PL Times New Roman" w:hAnsi="PL Times New Roman"/>
          </w:rPr>
          <w:t xml:space="preserve">M.20.01.14. </w:t>
        </w:r>
        <w:r w:rsidR="001615EF">
          <w:rPr>
            <w:rFonts w:asciiTheme="minorHAnsi" w:eastAsiaTheme="minorEastAsia" w:hAnsiTheme="minorHAnsi" w:cstheme="minorBidi"/>
            <w:b w:val="0"/>
            <w:i w:val="0"/>
            <w:snapToGrid/>
            <w:sz w:val="22"/>
            <w:szCs w:val="22"/>
          </w:rPr>
          <w:tab/>
        </w:r>
        <w:r w:rsidR="001615EF" w:rsidRPr="00576827">
          <w:rPr>
            <w:rStyle w:val="Hipercze"/>
            <w:rFonts w:ascii="PL Times New Roman" w:hAnsi="PL Times New Roman"/>
          </w:rPr>
          <w:t>NAWIERZCHNIA Z BETONU ASFALTOWEGO. WARSTWA ŚCIERALNA WG PN-EN</w:t>
        </w:r>
        <w:r w:rsidR="001615EF">
          <w:rPr>
            <w:webHidden/>
          </w:rPr>
          <w:tab/>
        </w:r>
        <w:r w:rsidR="001615EF">
          <w:rPr>
            <w:webHidden/>
          </w:rPr>
          <w:fldChar w:fldCharType="begin"/>
        </w:r>
        <w:r w:rsidR="001615EF">
          <w:rPr>
            <w:webHidden/>
          </w:rPr>
          <w:instrText xml:space="preserve"> PAGEREF _Toc80100093 \h </w:instrText>
        </w:r>
        <w:r w:rsidR="001615EF">
          <w:rPr>
            <w:webHidden/>
          </w:rPr>
        </w:r>
        <w:r w:rsidR="001615EF">
          <w:rPr>
            <w:webHidden/>
          </w:rPr>
          <w:fldChar w:fldCharType="separate"/>
        </w:r>
        <w:r w:rsidR="00A4565F">
          <w:rPr>
            <w:webHidden/>
          </w:rPr>
          <w:t>135</w:t>
        </w:r>
        <w:r w:rsidR="001615EF">
          <w:rPr>
            <w:webHidden/>
          </w:rPr>
          <w:fldChar w:fldCharType="end"/>
        </w:r>
      </w:hyperlink>
    </w:p>
    <w:p w:rsidR="001615EF" w:rsidRDefault="00A64F24">
      <w:pPr>
        <w:pStyle w:val="Spistreci1"/>
        <w:rPr>
          <w:rFonts w:asciiTheme="minorHAnsi" w:eastAsiaTheme="minorEastAsia" w:hAnsiTheme="minorHAnsi" w:cstheme="minorBidi"/>
          <w:b w:val="0"/>
          <w:i w:val="0"/>
          <w:snapToGrid/>
          <w:sz w:val="22"/>
          <w:szCs w:val="22"/>
        </w:rPr>
      </w:pPr>
      <w:hyperlink w:anchor="_Toc80100094" w:history="1">
        <w:r w:rsidR="001615EF" w:rsidRPr="00576827">
          <w:rPr>
            <w:rStyle w:val="Hipercze"/>
            <w:bCs/>
          </w:rPr>
          <w:t>M.20.01.15.</w:t>
        </w:r>
        <w:r w:rsidR="001615EF">
          <w:rPr>
            <w:rFonts w:asciiTheme="minorHAnsi" w:eastAsiaTheme="minorEastAsia" w:hAnsiTheme="minorHAnsi" w:cstheme="minorBidi"/>
            <w:b w:val="0"/>
            <w:i w:val="0"/>
            <w:snapToGrid/>
            <w:sz w:val="22"/>
            <w:szCs w:val="22"/>
          </w:rPr>
          <w:tab/>
        </w:r>
        <w:r w:rsidR="001615EF" w:rsidRPr="00576827">
          <w:rPr>
            <w:rStyle w:val="Hipercze"/>
            <w:bCs/>
          </w:rPr>
          <w:t>KORYTO WRAZ Z PROFILOWANIEM I  ZAGĘSZCZENIEM    PODŁOŻA</w:t>
        </w:r>
        <w:r w:rsidR="001615EF">
          <w:rPr>
            <w:webHidden/>
          </w:rPr>
          <w:tab/>
        </w:r>
        <w:r w:rsidR="001615EF">
          <w:rPr>
            <w:webHidden/>
          </w:rPr>
          <w:fldChar w:fldCharType="begin"/>
        </w:r>
        <w:r w:rsidR="001615EF">
          <w:rPr>
            <w:webHidden/>
          </w:rPr>
          <w:instrText xml:space="preserve"> PAGEREF _Toc80100094 \h </w:instrText>
        </w:r>
        <w:r w:rsidR="001615EF">
          <w:rPr>
            <w:webHidden/>
          </w:rPr>
        </w:r>
        <w:r w:rsidR="001615EF">
          <w:rPr>
            <w:webHidden/>
          </w:rPr>
          <w:fldChar w:fldCharType="separate"/>
        </w:r>
        <w:r w:rsidR="00A4565F">
          <w:rPr>
            <w:webHidden/>
          </w:rPr>
          <w:t>159</w:t>
        </w:r>
        <w:r w:rsidR="001615EF">
          <w:rPr>
            <w:webHidden/>
          </w:rPr>
          <w:fldChar w:fldCharType="end"/>
        </w:r>
      </w:hyperlink>
    </w:p>
    <w:p w:rsidR="001615EF" w:rsidRDefault="00A64F24">
      <w:pPr>
        <w:pStyle w:val="Spistreci1"/>
        <w:rPr>
          <w:rFonts w:asciiTheme="minorHAnsi" w:eastAsiaTheme="minorEastAsia" w:hAnsiTheme="minorHAnsi" w:cstheme="minorBidi"/>
          <w:b w:val="0"/>
          <w:i w:val="0"/>
          <w:snapToGrid/>
          <w:sz w:val="22"/>
          <w:szCs w:val="22"/>
        </w:rPr>
      </w:pPr>
      <w:hyperlink w:anchor="_Toc80100095" w:history="1">
        <w:r w:rsidR="001615EF" w:rsidRPr="00576827">
          <w:rPr>
            <w:rStyle w:val="Hipercze"/>
            <w:bCs/>
          </w:rPr>
          <w:t xml:space="preserve">M.20.01.16. </w:t>
        </w:r>
        <w:r w:rsidR="001615EF">
          <w:rPr>
            <w:rFonts w:asciiTheme="minorHAnsi" w:eastAsiaTheme="minorEastAsia" w:hAnsiTheme="minorHAnsi" w:cstheme="minorBidi"/>
            <w:b w:val="0"/>
            <w:i w:val="0"/>
            <w:snapToGrid/>
            <w:sz w:val="22"/>
            <w:szCs w:val="22"/>
          </w:rPr>
          <w:tab/>
        </w:r>
        <w:r w:rsidR="001615EF" w:rsidRPr="00576827">
          <w:rPr>
            <w:rStyle w:val="Hipercze"/>
            <w:bCs/>
          </w:rPr>
          <w:t>ULEPSZONE PODŁOŻE Z MIESZANKI NIEZWIĄZANEJ STABILIZOWANEJ GEORUSZTEM</w:t>
        </w:r>
        <w:r w:rsidR="001615EF">
          <w:rPr>
            <w:webHidden/>
          </w:rPr>
          <w:tab/>
        </w:r>
        <w:r w:rsidR="001615EF">
          <w:rPr>
            <w:webHidden/>
          </w:rPr>
          <w:fldChar w:fldCharType="begin"/>
        </w:r>
        <w:r w:rsidR="001615EF">
          <w:rPr>
            <w:webHidden/>
          </w:rPr>
          <w:instrText xml:space="preserve"> PAGEREF _Toc80100095 \h </w:instrText>
        </w:r>
        <w:r w:rsidR="001615EF">
          <w:rPr>
            <w:webHidden/>
          </w:rPr>
        </w:r>
        <w:r w:rsidR="001615EF">
          <w:rPr>
            <w:webHidden/>
          </w:rPr>
          <w:fldChar w:fldCharType="separate"/>
        </w:r>
        <w:r w:rsidR="00A4565F">
          <w:rPr>
            <w:webHidden/>
          </w:rPr>
          <w:t>163</w:t>
        </w:r>
        <w:r w:rsidR="001615EF">
          <w:rPr>
            <w:webHidden/>
          </w:rPr>
          <w:fldChar w:fldCharType="end"/>
        </w:r>
      </w:hyperlink>
    </w:p>
    <w:p w:rsidR="001615EF" w:rsidRDefault="00A64F24">
      <w:pPr>
        <w:pStyle w:val="Spistreci1"/>
        <w:rPr>
          <w:rFonts w:asciiTheme="minorHAnsi" w:eastAsiaTheme="minorEastAsia" w:hAnsiTheme="minorHAnsi" w:cstheme="minorBidi"/>
          <w:b w:val="0"/>
          <w:i w:val="0"/>
          <w:snapToGrid/>
          <w:sz w:val="22"/>
          <w:szCs w:val="22"/>
        </w:rPr>
      </w:pPr>
      <w:hyperlink w:anchor="_Toc80100096" w:history="1">
        <w:r w:rsidR="001615EF" w:rsidRPr="00576827">
          <w:rPr>
            <w:rStyle w:val="Hipercze"/>
            <w:rFonts w:ascii="PL Times New Roman" w:hAnsi="PL Times New Roman"/>
            <w:bCs/>
          </w:rPr>
          <w:t xml:space="preserve">M.20.01.20. </w:t>
        </w:r>
        <w:r w:rsidR="001615EF">
          <w:rPr>
            <w:rFonts w:asciiTheme="minorHAnsi" w:eastAsiaTheme="minorEastAsia" w:hAnsiTheme="minorHAnsi" w:cstheme="minorBidi"/>
            <w:b w:val="0"/>
            <w:i w:val="0"/>
            <w:snapToGrid/>
            <w:sz w:val="22"/>
            <w:szCs w:val="22"/>
          </w:rPr>
          <w:tab/>
        </w:r>
        <w:r w:rsidR="001615EF" w:rsidRPr="00576827">
          <w:rPr>
            <w:rStyle w:val="Hipercze"/>
            <w:rFonts w:ascii="PL Times New Roman" w:hAnsi="PL Times New Roman"/>
            <w:bCs/>
          </w:rPr>
          <w:t>SIECI UZBROJENIA TERENU</w:t>
        </w:r>
        <w:r w:rsidR="001615EF">
          <w:rPr>
            <w:webHidden/>
          </w:rPr>
          <w:tab/>
        </w:r>
        <w:r w:rsidR="001615EF">
          <w:rPr>
            <w:webHidden/>
          </w:rPr>
          <w:fldChar w:fldCharType="begin"/>
        </w:r>
        <w:r w:rsidR="001615EF">
          <w:rPr>
            <w:webHidden/>
          </w:rPr>
          <w:instrText xml:space="preserve"> PAGEREF _Toc80100096 \h </w:instrText>
        </w:r>
        <w:r w:rsidR="001615EF">
          <w:rPr>
            <w:webHidden/>
          </w:rPr>
        </w:r>
        <w:r w:rsidR="001615EF">
          <w:rPr>
            <w:webHidden/>
          </w:rPr>
          <w:fldChar w:fldCharType="separate"/>
        </w:r>
        <w:r w:rsidR="00A4565F">
          <w:rPr>
            <w:webHidden/>
          </w:rPr>
          <w:t>173</w:t>
        </w:r>
        <w:r w:rsidR="001615EF">
          <w:rPr>
            <w:webHidden/>
          </w:rPr>
          <w:fldChar w:fldCharType="end"/>
        </w:r>
      </w:hyperlink>
    </w:p>
    <w:p w:rsidR="001615EF" w:rsidRDefault="00A64F24">
      <w:pPr>
        <w:pStyle w:val="Spistreci1"/>
        <w:rPr>
          <w:rFonts w:asciiTheme="minorHAnsi" w:eastAsiaTheme="minorEastAsia" w:hAnsiTheme="minorHAnsi" w:cstheme="minorBidi"/>
          <w:b w:val="0"/>
          <w:i w:val="0"/>
          <w:snapToGrid/>
          <w:sz w:val="22"/>
          <w:szCs w:val="22"/>
        </w:rPr>
      </w:pPr>
      <w:hyperlink w:anchor="_Toc80100097" w:history="1">
        <w:r w:rsidR="001615EF" w:rsidRPr="00576827">
          <w:rPr>
            <w:rStyle w:val="Hipercze"/>
          </w:rPr>
          <w:t>M.20.02.00.</w:t>
        </w:r>
        <w:r w:rsidR="001615EF">
          <w:rPr>
            <w:rFonts w:asciiTheme="minorHAnsi" w:eastAsiaTheme="minorEastAsia" w:hAnsiTheme="minorHAnsi" w:cstheme="minorBidi"/>
            <w:b w:val="0"/>
            <w:i w:val="0"/>
            <w:snapToGrid/>
            <w:sz w:val="22"/>
            <w:szCs w:val="22"/>
          </w:rPr>
          <w:tab/>
        </w:r>
        <w:r w:rsidR="001615EF" w:rsidRPr="00576827">
          <w:rPr>
            <w:rStyle w:val="Hipercze"/>
          </w:rPr>
          <w:t>ROBOTY ROZBIÓRKOWE</w:t>
        </w:r>
        <w:r w:rsidR="001615EF">
          <w:rPr>
            <w:webHidden/>
          </w:rPr>
          <w:tab/>
        </w:r>
        <w:r w:rsidR="001615EF">
          <w:rPr>
            <w:webHidden/>
          </w:rPr>
          <w:fldChar w:fldCharType="begin"/>
        </w:r>
        <w:r w:rsidR="001615EF">
          <w:rPr>
            <w:webHidden/>
          </w:rPr>
          <w:instrText xml:space="preserve"> PAGEREF _Toc80100097 \h </w:instrText>
        </w:r>
        <w:r w:rsidR="001615EF">
          <w:rPr>
            <w:webHidden/>
          </w:rPr>
        </w:r>
        <w:r w:rsidR="001615EF">
          <w:rPr>
            <w:webHidden/>
          </w:rPr>
          <w:fldChar w:fldCharType="separate"/>
        </w:r>
        <w:r w:rsidR="00A4565F">
          <w:rPr>
            <w:webHidden/>
          </w:rPr>
          <w:t>176</w:t>
        </w:r>
        <w:r w:rsidR="001615EF">
          <w:rPr>
            <w:webHidden/>
          </w:rPr>
          <w:fldChar w:fldCharType="end"/>
        </w:r>
      </w:hyperlink>
    </w:p>
    <w:p w:rsidR="001615EF" w:rsidRDefault="00A64F24">
      <w:pPr>
        <w:pStyle w:val="Spistreci1"/>
        <w:rPr>
          <w:rFonts w:asciiTheme="minorHAnsi" w:eastAsiaTheme="minorEastAsia" w:hAnsiTheme="minorHAnsi" w:cstheme="minorBidi"/>
          <w:b w:val="0"/>
          <w:i w:val="0"/>
          <w:snapToGrid/>
          <w:sz w:val="22"/>
          <w:szCs w:val="22"/>
        </w:rPr>
      </w:pPr>
      <w:hyperlink w:anchor="_Toc80100098" w:history="1">
        <w:r w:rsidR="001615EF" w:rsidRPr="00576827">
          <w:rPr>
            <w:rStyle w:val="Hipercze"/>
            <w:rFonts w:ascii="PL Times New Roman" w:hAnsi="PL Times New Roman"/>
            <w:bCs/>
          </w:rPr>
          <w:t xml:space="preserve">M.20.02.15. </w:t>
        </w:r>
        <w:r w:rsidR="001615EF">
          <w:rPr>
            <w:rFonts w:asciiTheme="minorHAnsi" w:eastAsiaTheme="minorEastAsia" w:hAnsiTheme="minorHAnsi" w:cstheme="minorBidi"/>
            <w:b w:val="0"/>
            <w:i w:val="0"/>
            <w:snapToGrid/>
            <w:sz w:val="22"/>
            <w:szCs w:val="22"/>
          </w:rPr>
          <w:tab/>
        </w:r>
        <w:r w:rsidR="001615EF" w:rsidRPr="00576827">
          <w:rPr>
            <w:rStyle w:val="Hipercze"/>
            <w:rFonts w:ascii="PL Times New Roman" w:hAnsi="PL Times New Roman"/>
            <w:bCs/>
          </w:rPr>
          <w:t>ROBOTY POMIAROWE - TYCZENIE</w:t>
        </w:r>
        <w:r w:rsidR="001615EF">
          <w:rPr>
            <w:webHidden/>
          </w:rPr>
          <w:tab/>
        </w:r>
        <w:r w:rsidR="001615EF">
          <w:rPr>
            <w:webHidden/>
          </w:rPr>
          <w:fldChar w:fldCharType="begin"/>
        </w:r>
        <w:r w:rsidR="001615EF">
          <w:rPr>
            <w:webHidden/>
          </w:rPr>
          <w:instrText xml:space="preserve"> PAGEREF _Toc80100098 \h </w:instrText>
        </w:r>
        <w:r w:rsidR="001615EF">
          <w:rPr>
            <w:webHidden/>
          </w:rPr>
        </w:r>
        <w:r w:rsidR="001615EF">
          <w:rPr>
            <w:webHidden/>
          </w:rPr>
          <w:fldChar w:fldCharType="separate"/>
        </w:r>
        <w:r w:rsidR="00A4565F">
          <w:rPr>
            <w:webHidden/>
          </w:rPr>
          <w:t>179</w:t>
        </w:r>
        <w:r w:rsidR="001615EF">
          <w:rPr>
            <w:webHidden/>
          </w:rPr>
          <w:fldChar w:fldCharType="end"/>
        </w:r>
      </w:hyperlink>
    </w:p>
    <w:p w:rsidR="001615EF" w:rsidRDefault="00A64F24">
      <w:pPr>
        <w:pStyle w:val="Spistreci1"/>
        <w:rPr>
          <w:rFonts w:asciiTheme="minorHAnsi" w:eastAsiaTheme="minorEastAsia" w:hAnsiTheme="minorHAnsi" w:cstheme="minorBidi"/>
          <w:b w:val="0"/>
          <w:i w:val="0"/>
          <w:snapToGrid/>
          <w:sz w:val="22"/>
          <w:szCs w:val="22"/>
        </w:rPr>
      </w:pPr>
      <w:hyperlink w:anchor="_Toc80100099" w:history="1">
        <w:r w:rsidR="001615EF" w:rsidRPr="00576827">
          <w:rPr>
            <w:rStyle w:val="Hipercze"/>
            <w:rFonts w:ascii="PL Times New Roman" w:hAnsi="PL Times New Roman"/>
          </w:rPr>
          <w:t>M.20.02.17. MONTAŻ REPERÓW I ZNAKÓW WYSOKOŚCIOWYCH</w:t>
        </w:r>
        <w:r w:rsidR="001615EF">
          <w:rPr>
            <w:webHidden/>
          </w:rPr>
          <w:tab/>
        </w:r>
        <w:r w:rsidR="001615EF">
          <w:rPr>
            <w:webHidden/>
          </w:rPr>
          <w:fldChar w:fldCharType="begin"/>
        </w:r>
        <w:r w:rsidR="001615EF">
          <w:rPr>
            <w:webHidden/>
          </w:rPr>
          <w:instrText xml:space="preserve"> PAGEREF _Toc80100099 \h </w:instrText>
        </w:r>
        <w:r w:rsidR="001615EF">
          <w:rPr>
            <w:webHidden/>
          </w:rPr>
        </w:r>
        <w:r w:rsidR="001615EF">
          <w:rPr>
            <w:webHidden/>
          </w:rPr>
          <w:fldChar w:fldCharType="separate"/>
        </w:r>
        <w:r w:rsidR="00A4565F">
          <w:rPr>
            <w:webHidden/>
          </w:rPr>
          <w:t>182</w:t>
        </w:r>
        <w:r w:rsidR="001615EF">
          <w:rPr>
            <w:webHidden/>
          </w:rPr>
          <w:fldChar w:fldCharType="end"/>
        </w:r>
      </w:hyperlink>
    </w:p>
    <w:p w:rsidR="001615EF" w:rsidRDefault="00A64F24">
      <w:pPr>
        <w:pStyle w:val="Spistreci1"/>
        <w:rPr>
          <w:rFonts w:asciiTheme="minorHAnsi" w:eastAsiaTheme="minorEastAsia" w:hAnsiTheme="minorHAnsi" w:cstheme="minorBidi"/>
          <w:b w:val="0"/>
          <w:i w:val="0"/>
          <w:snapToGrid/>
          <w:sz w:val="22"/>
          <w:szCs w:val="22"/>
        </w:rPr>
      </w:pPr>
      <w:hyperlink w:anchor="_Toc80100100" w:history="1">
        <w:r w:rsidR="001615EF" w:rsidRPr="00576827">
          <w:rPr>
            <w:rStyle w:val="Hipercze"/>
            <w:rFonts w:ascii="PL Times New Roman" w:hAnsi="PL Times New Roman"/>
            <w:bCs/>
          </w:rPr>
          <w:t xml:space="preserve">M.20.02.18. </w:t>
        </w:r>
        <w:r w:rsidR="001615EF">
          <w:rPr>
            <w:rFonts w:asciiTheme="minorHAnsi" w:eastAsiaTheme="minorEastAsia" w:hAnsiTheme="minorHAnsi" w:cstheme="minorBidi"/>
            <w:b w:val="0"/>
            <w:i w:val="0"/>
            <w:snapToGrid/>
            <w:sz w:val="22"/>
            <w:szCs w:val="22"/>
          </w:rPr>
          <w:tab/>
        </w:r>
        <w:r w:rsidR="001615EF" w:rsidRPr="00576827">
          <w:rPr>
            <w:rStyle w:val="Hipercze"/>
            <w:rFonts w:ascii="PL Times New Roman" w:hAnsi="PL Times New Roman"/>
            <w:bCs/>
          </w:rPr>
          <w:t>CZASOWA ORGANIZACJA RUCHU</w:t>
        </w:r>
        <w:r w:rsidR="001615EF">
          <w:rPr>
            <w:webHidden/>
          </w:rPr>
          <w:tab/>
        </w:r>
        <w:r w:rsidR="001615EF">
          <w:rPr>
            <w:webHidden/>
          </w:rPr>
          <w:fldChar w:fldCharType="begin"/>
        </w:r>
        <w:r w:rsidR="001615EF">
          <w:rPr>
            <w:webHidden/>
          </w:rPr>
          <w:instrText xml:space="preserve"> PAGEREF _Toc80100100 \h </w:instrText>
        </w:r>
        <w:r w:rsidR="001615EF">
          <w:rPr>
            <w:webHidden/>
          </w:rPr>
        </w:r>
        <w:r w:rsidR="001615EF">
          <w:rPr>
            <w:webHidden/>
          </w:rPr>
          <w:fldChar w:fldCharType="separate"/>
        </w:r>
        <w:r w:rsidR="00A4565F">
          <w:rPr>
            <w:webHidden/>
          </w:rPr>
          <w:t>186</w:t>
        </w:r>
        <w:r w:rsidR="001615EF">
          <w:rPr>
            <w:webHidden/>
          </w:rPr>
          <w:fldChar w:fldCharType="end"/>
        </w:r>
      </w:hyperlink>
    </w:p>
    <w:p w:rsidR="00EE2502" w:rsidRPr="00EE2502" w:rsidRDefault="00EE2502" w:rsidP="00EE2502">
      <w:pPr>
        <w:tabs>
          <w:tab w:val="left" w:pos="-720"/>
          <w:tab w:val="left" w:pos="720"/>
        </w:tabs>
        <w:spacing w:before="120" w:after="120"/>
        <w:rPr>
          <w:rFonts w:ascii="Arial" w:hAnsi="Arial"/>
          <w:b/>
          <w:noProof/>
          <w:snapToGrid w:val="0"/>
          <w:spacing w:val="-3"/>
          <w:sz w:val="28"/>
          <w:u w:val="single"/>
        </w:rPr>
      </w:pPr>
      <w:r w:rsidRPr="00EE2502">
        <w:rPr>
          <w:b/>
          <w:snapToGrid w:val="0"/>
          <w:spacing w:val="-3"/>
          <w:sz w:val="28"/>
          <w:szCs w:val="28"/>
          <w:u w:val="single"/>
        </w:rPr>
        <w:fldChar w:fldCharType="end"/>
      </w:r>
    </w:p>
    <w:p w:rsidR="00EE2502" w:rsidRPr="00EE2502" w:rsidRDefault="00EE2502" w:rsidP="00EE2502">
      <w:pPr>
        <w:outlineLvl w:val="0"/>
        <w:rPr>
          <w:rFonts w:ascii="PL Times New Roman" w:hAnsi="PL Times New Roman"/>
          <w:b/>
          <w:snapToGrid w:val="0"/>
          <w:sz w:val="26"/>
        </w:rPr>
      </w:pPr>
      <w:r w:rsidRPr="00EE2502">
        <w:rPr>
          <w:rFonts w:ascii="PL Times New Roman" w:hAnsi="PL Times New Roman"/>
          <w:b/>
          <w:snapToGrid w:val="0"/>
          <w:sz w:val="26"/>
        </w:rPr>
        <w:br w:type="page"/>
      </w:r>
      <w:bookmarkStart w:id="2" w:name="_Toc80100073"/>
      <w:r w:rsidRPr="00EE2502">
        <w:rPr>
          <w:rFonts w:ascii="PL Times New Roman" w:hAnsi="PL Times New Roman"/>
          <w:b/>
          <w:snapToGrid w:val="0"/>
          <w:sz w:val="26"/>
        </w:rPr>
        <w:lastRenderedPageBreak/>
        <w:t>1. Wymagania ogólne D-M 00.00.00</w:t>
      </w:r>
      <w:bookmarkEnd w:id="2"/>
    </w:p>
    <w:p w:rsidR="00EE2502" w:rsidRPr="00EE2502" w:rsidRDefault="00EE2502" w:rsidP="00EE2502">
      <w:pPr>
        <w:numPr>
          <w:ilvl w:val="0"/>
          <w:numId w:val="90"/>
        </w:numPr>
        <w:tabs>
          <w:tab w:val="num" w:pos="360"/>
        </w:tabs>
        <w:spacing w:before="120" w:after="120"/>
        <w:ind w:left="357" w:hanging="357"/>
        <w:jc w:val="both"/>
        <w:rPr>
          <w:b/>
          <w:bCs/>
          <w:u w:val="single"/>
        </w:rPr>
      </w:pPr>
      <w:r w:rsidRPr="00EE2502">
        <w:rPr>
          <w:b/>
          <w:bCs/>
          <w:u w:val="single"/>
        </w:rPr>
        <w:t>WSTĘP</w:t>
      </w:r>
    </w:p>
    <w:p w:rsidR="00EE2502" w:rsidRPr="00EE2502" w:rsidRDefault="00EE2502" w:rsidP="00EE2502">
      <w:pPr>
        <w:numPr>
          <w:ilvl w:val="1"/>
          <w:numId w:val="90"/>
        </w:numPr>
        <w:tabs>
          <w:tab w:val="num" w:pos="750"/>
        </w:tabs>
        <w:spacing w:before="120"/>
        <w:ind w:left="540" w:hanging="540"/>
        <w:jc w:val="both"/>
        <w:rPr>
          <w:b/>
          <w:bCs/>
        </w:rPr>
      </w:pPr>
      <w:r w:rsidRPr="00EE2502">
        <w:rPr>
          <w:b/>
          <w:bCs/>
        </w:rPr>
        <w:t>Przedmiot ST</w:t>
      </w:r>
    </w:p>
    <w:p w:rsidR="00EE2502" w:rsidRPr="00EE2502" w:rsidRDefault="00EE2502" w:rsidP="00EE2502">
      <w:pPr>
        <w:jc w:val="both"/>
      </w:pPr>
      <w:r w:rsidRPr="00EE2502">
        <w:t>Przedmiotem niniejszej specyfikacji technicznej są wymagania ogólne dotyczące wykonania i odbioru robót drogowych.</w:t>
      </w:r>
    </w:p>
    <w:p w:rsidR="00EE2502" w:rsidRPr="00EE2502" w:rsidRDefault="00EE2502" w:rsidP="00EE2502">
      <w:pPr>
        <w:numPr>
          <w:ilvl w:val="1"/>
          <w:numId w:val="90"/>
        </w:numPr>
        <w:tabs>
          <w:tab w:val="num" w:pos="750"/>
        </w:tabs>
        <w:spacing w:before="120"/>
        <w:ind w:left="540" w:hanging="540"/>
        <w:jc w:val="both"/>
        <w:rPr>
          <w:b/>
          <w:bCs/>
        </w:rPr>
      </w:pPr>
      <w:r w:rsidRPr="00EE2502">
        <w:rPr>
          <w:b/>
          <w:bCs/>
        </w:rPr>
        <w:t>Zakres stosowania ST</w:t>
      </w:r>
    </w:p>
    <w:p w:rsidR="00EE2502" w:rsidRDefault="00EE2502" w:rsidP="00EE2502">
      <w:pPr>
        <w:tabs>
          <w:tab w:val="left" w:pos="-1440"/>
          <w:tab w:val="left" w:pos="-720"/>
          <w:tab w:val="left" w:pos="0"/>
          <w:tab w:val="left" w:pos="720"/>
          <w:tab w:val="left" w:pos="1440"/>
        </w:tabs>
        <w:ind w:hanging="15"/>
        <w:jc w:val="both"/>
        <w:rPr>
          <w:spacing w:val="-3"/>
        </w:rPr>
      </w:pPr>
      <w:r w:rsidRPr="00EE2502">
        <w:rPr>
          <w:spacing w:val="-3"/>
        </w:rPr>
        <w:t>Specyfikacja Technicz</w:t>
      </w:r>
      <w:r w:rsidRPr="00EE2502">
        <w:rPr>
          <w:spacing w:val="-3"/>
        </w:rPr>
        <w:softHyphen/>
        <w:t>na D-M 00.00.00 - Wymagania Ogólne odnosi się do wymagań wspólnych dla poszczególnych wymagań technicznych dotyczących wykona</w:t>
      </w:r>
      <w:r w:rsidRPr="00EE2502">
        <w:rPr>
          <w:spacing w:val="-3"/>
        </w:rPr>
        <w:softHyphen/>
        <w:t>nia i odbioru Robót, które zostaną wykonane w ramach kontraktu:</w:t>
      </w:r>
    </w:p>
    <w:p w:rsidR="008901F5" w:rsidRPr="00EE2502" w:rsidRDefault="008901F5" w:rsidP="00EE2502">
      <w:pPr>
        <w:tabs>
          <w:tab w:val="left" w:pos="-1440"/>
          <w:tab w:val="left" w:pos="-720"/>
          <w:tab w:val="left" w:pos="0"/>
          <w:tab w:val="left" w:pos="720"/>
          <w:tab w:val="left" w:pos="1440"/>
        </w:tabs>
        <w:ind w:hanging="15"/>
        <w:jc w:val="both"/>
        <w:rPr>
          <w:i/>
          <w:spacing w:val="-3"/>
          <w:u w:val="single"/>
        </w:rPr>
      </w:pPr>
    </w:p>
    <w:tbl>
      <w:tblPr>
        <w:tblW w:w="0" w:type="auto"/>
        <w:tblInd w:w="120" w:type="dxa"/>
        <w:tblLayout w:type="fixed"/>
        <w:tblCellMar>
          <w:left w:w="120" w:type="dxa"/>
          <w:right w:w="120" w:type="dxa"/>
        </w:tblCellMar>
        <w:tblLook w:val="0000" w:firstRow="0" w:lastRow="0" w:firstColumn="0" w:lastColumn="0" w:noHBand="0" w:noVBand="0"/>
      </w:tblPr>
      <w:tblGrid>
        <w:gridCol w:w="8838"/>
      </w:tblGrid>
      <w:tr w:rsidR="00EE2502" w:rsidRPr="00EE2502" w:rsidTr="0063058D">
        <w:tc>
          <w:tcPr>
            <w:tcW w:w="8838" w:type="dxa"/>
            <w:tcBorders>
              <w:top w:val="double" w:sz="6" w:space="0" w:color="auto"/>
              <w:left w:val="double" w:sz="6" w:space="0" w:color="auto"/>
              <w:bottom w:val="double" w:sz="6" w:space="0" w:color="auto"/>
              <w:right w:val="double" w:sz="6" w:space="0" w:color="auto"/>
            </w:tcBorders>
          </w:tcPr>
          <w:p w:rsidR="00EE2502" w:rsidRPr="00EE2502" w:rsidRDefault="00F245A0" w:rsidP="00EE2502">
            <w:pPr>
              <w:spacing w:before="100" w:beforeAutospacing="1" w:line="360" w:lineRule="auto"/>
              <w:rPr>
                <w:b/>
                <w:sz w:val="24"/>
                <w:szCs w:val="24"/>
              </w:rPr>
            </w:pPr>
            <w:r w:rsidRPr="00F245A0">
              <w:rPr>
                <w:bCs/>
                <w:snapToGrid w:val="0"/>
              </w:rPr>
              <w:t>Remont przepustu nad rzeką Postomia w ciągu drogi nr 445/k.2922 m. Wędrzyn</w:t>
            </w:r>
          </w:p>
        </w:tc>
      </w:tr>
    </w:tbl>
    <w:p w:rsidR="00EE2502" w:rsidRPr="00EE2502" w:rsidRDefault="00EE2502" w:rsidP="00EE2502">
      <w:pPr>
        <w:numPr>
          <w:ilvl w:val="1"/>
          <w:numId w:val="90"/>
        </w:numPr>
        <w:jc w:val="both"/>
        <w:rPr>
          <w:szCs w:val="18"/>
        </w:rPr>
      </w:pPr>
    </w:p>
    <w:p w:rsidR="00EE2502" w:rsidRPr="00EE2502" w:rsidRDefault="00EE2502" w:rsidP="00EE2502">
      <w:pPr>
        <w:numPr>
          <w:ilvl w:val="1"/>
          <w:numId w:val="90"/>
        </w:numPr>
        <w:spacing w:before="120"/>
        <w:ind w:left="540" w:hanging="540"/>
        <w:jc w:val="both"/>
        <w:rPr>
          <w:b/>
          <w:bCs/>
          <w:szCs w:val="18"/>
        </w:rPr>
      </w:pPr>
      <w:r w:rsidRPr="00EE2502">
        <w:rPr>
          <w:b/>
          <w:bCs/>
          <w:szCs w:val="18"/>
        </w:rPr>
        <w:t>Określenia podstawowe</w:t>
      </w:r>
    </w:p>
    <w:p w:rsidR="00EE2502" w:rsidRPr="00EE2502" w:rsidRDefault="00EE2502" w:rsidP="00EE2502">
      <w:pPr>
        <w:jc w:val="both"/>
        <w:rPr>
          <w:szCs w:val="18"/>
        </w:rPr>
      </w:pPr>
      <w:r w:rsidRPr="00EE2502">
        <w:rPr>
          <w:szCs w:val="18"/>
        </w:rPr>
        <w:t>Użyte w ST wymienione poniżej określenia należy rozumieć w każdym przypadku następująco:</w:t>
      </w:r>
    </w:p>
    <w:p w:rsidR="00EE2502" w:rsidRPr="00EE2502" w:rsidRDefault="00EE2502" w:rsidP="00EE2502">
      <w:pPr>
        <w:tabs>
          <w:tab w:val="left" w:pos="900"/>
        </w:tabs>
        <w:spacing w:after="120"/>
        <w:jc w:val="both"/>
        <w:rPr>
          <w:b/>
          <w:bCs/>
          <w:szCs w:val="18"/>
        </w:rPr>
      </w:pPr>
      <w:r w:rsidRPr="00EE2502">
        <w:rPr>
          <w:b/>
          <w:bCs/>
          <w:szCs w:val="18"/>
        </w:rPr>
        <w:t>Budowla drogowa</w:t>
      </w:r>
      <w:r w:rsidRPr="00EE2502">
        <w:rPr>
          <w:b/>
          <w:bCs/>
          <w:noProof/>
          <w:szCs w:val="18"/>
        </w:rPr>
        <w:t xml:space="preserve"> </w:t>
      </w:r>
      <w:r w:rsidRPr="00EE2502">
        <w:rPr>
          <w:noProof/>
          <w:szCs w:val="18"/>
        </w:rPr>
        <w:t>-</w:t>
      </w:r>
      <w:r w:rsidRPr="00EE2502">
        <w:rPr>
          <w:szCs w:val="18"/>
        </w:rPr>
        <w:t xml:space="preserve"> obiekt budowlany, nie będący budynkiem, stanowiący całość techniczno-użytkową (droga) albo jego część stanowiącą odrębny element konstrukcyjny lub technologiczny (obiekt mostowy, korpus ziemny, węzeł).</w:t>
      </w:r>
    </w:p>
    <w:p w:rsidR="00EE2502" w:rsidRPr="00EE2502" w:rsidRDefault="00EE2502" w:rsidP="00EE2502">
      <w:pPr>
        <w:tabs>
          <w:tab w:val="left" w:pos="900"/>
        </w:tabs>
        <w:spacing w:after="120"/>
        <w:jc w:val="both"/>
        <w:rPr>
          <w:b/>
          <w:bCs/>
          <w:szCs w:val="18"/>
        </w:rPr>
      </w:pPr>
      <w:r w:rsidRPr="00EE2502">
        <w:rPr>
          <w:b/>
          <w:bCs/>
          <w:szCs w:val="18"/>
        </w:rPr>
        <w:t xml:space="preserve">Chodnik </w:t>
      </w:r>
      <w:r w:rsidRPr="00EE2502">
        <w:rPr>
          <w:szCs w:val="18"/>
        </w:rPr>
        <w:t>- wyznaczony pas terenu przyjezdni lub odsunięty od jezdni, przeznaczony do ruchu pieszych.</w:t>
      </w:r>
    </w:p>
    <w:p w:rsidR="00EE2502" w:rsidRPr="00EE2502" w:rsidRDefault="00EE2502" w:rsidP="00EE2502">
      <w:pPr>
        <w:tabs>
          <w:tab w:val="left" w:pos="900"/>
        </w:tabs>
        <w:spacing w:after="120"/>
        <w:jc w:val="both"/>
        <w:rPr>
          <w:b/>
          <w:bCs/>
          <w:szCs w:val="18"/>
        </w:rPr>
      </w:pPr>
      <w:r w:rsidRPr="00EE2502">
        <w:rPr>
          <w:b/>
          <w:bCs/>
          <w:szCs w:val="18"/>
        </w:rPr>
        <w:t xml:space="preserve">Długość mostu </w:t>
      </w:r>
      <w:r w:rsidRPr="00EE2502">
        <w:rPr>
          <w:szCs w:val="18"/>
        </w:rPr>
        <w:t>- odległość między zewnętrznymi krawędziami pomostu, a w przypadku mostów łukowych z nadsypką - odległość w świetle podstaw sklepienia mierzona w osi jezdni drogowej.</w:t>
      </w:r>
    </w:p>
    <w:p w:rsidR="00EE2502" w:rsidRPr="00EE2502" w:rsidRDefault="00EE2502" w:rsidP="00EE2502">
      <w:pPr>
        <w:tabs>
          <w:tab w:val="left" w:pos="900"/>
        </w:tabs>
        <w:spacing w:after="120"/>
        <w:jc w:val="both"/>
        <w:rPr>
          <w:b/>
          <w:bCs/>
          <w:szCs w:val="18"/>
        </w:rPr>
      </w:pPr>
      <w:r w:rsidRPr="00EE2502">
        <w:rPr>
          <w:b/>
          <w:bCs/>
          <w:szCs w:val="18"/>
        </w:rPr>
        <w:t xml:space="preserve">Droga </w:t>
      </w:r>
      <w:r w:rsidRPr="00EE2502">
        <w:rPr>
          <w:szCs w:val="18"/>
        </w:rPr>
        <w:t>- wydzielony pas terenu przeznaczony do ruchu lub postoju pojazdów oraz ruchu pieszych wraz z wszelkimi urządzeniami technicznymi związanymi z prowadzeniem i zabezpieczeniem ruchu.</w:t>
      </w:r>
    </w:p>
    <w:p w:rsidR="00EE2502" w:rsidRPr="00EE2502" w:rsidRDefault="00EE2502" w:rsidP="00EE2502">
      <w:pPr>
        <w:tabs>
          <w:tab w:val="left" w:pos="900"/>
        </w:tabs>
        <w:spacing w:after="120"/>
        <w:jc w:val="both"/>
        <w:rPr>
          <w:b/>
          <w:bCs/>
          <w:szCs w:val="18"/>
        </w:rPr>
      </w:pPr>
      <w:r w:rsidRPr="00EE2502">
        <w:rPr>
          <w:b/>
          <w:bCs/>
          <w:szCs w:val="18"/>
        </w:rPr>
        <w:t xml:space="preserve">Droga tymczasowa (montażowa) </w:t>
      </w:r>
      <w:r w:rsidRPr="00EE2502">
        <w:rPr>
          <w:szCs w:val="18"/>
        </w:rPr>
        <w:t>- droga specjalnie przygotowana, przeznaczona do ruchu pojazdów obsługujących zadanie budowlane na czas jego wykonania, przewidziana do usunięcia po jego zakończeniu.</w:t>
      </w:r>
    </w:p>
    <w:p w:rsidR="00EE2502" w:rsidRPr="00EE2502" w:rsidRDefault="00EE2502" w:rsidP="00EE2502">
      <w:pPr>
        <w:tabs>
          <w:tab w:val="left" w:pos="900"/>
        </w:tabs>
        <w:spacing w:after="120"/>
        <w:jc w:val="both"/>
        <w:rPr>
          <w:b/>
          <w:bCs/>
          <w:szCs w:val="18"/>
        </w:rPr>
      </w:pPr>
      <w:r w:rsidRPr="00EE2502">
        <w:rPr>
          <w:b/>
          <w:bCs/>
          <w:szCs w:val="18"/>
        </w:rPr>
        <w:t xml:space="preserve">Dziennik budowy </w:t>
      </w:r>
      <w:r w:rsidRPr="00EE2502">
        <w:rPr>
          <w:szCs w:val="18"/>
        </w:rPr>
        <w:t>- zeszyt z ponumerowanymi stronami, opatrzony pieczęcią organu wydającego, wydany zgodnie z obowiązującymi przepisami, stanowiący urzędowy dokument przebiegu robót budowlanych, służący do notowania zdarzeń i okoliczności zachodzących w toku wykonywania robót, rejestrowania dokonywanych odbiorów robót, przekazywania poleceń i innej korespondencji technicznej pomiędzy Inżynierem/ Kierownikiem projektu, Wykonawcą i projektantem.</w:t>
      </w:r>
    </w:p>
    <w:p w:rsidR="00EE2502" w:rsidRPr="00EE2502" w:rsidRDefault="00EE2502" w:rsidP="00EE2502">
      <w:pPr>
        <w:tabs>
          <w:tab w:val="left" w:pos="900"/>
        </w:tabs>
        <w:spacing w:after="120"/>
        <w:jc w:val="both"/>
        <w:rPr>
          <w:b/>
          <w:bCs/>
          <w:szCs w:val="18"/>
        </w:rPr>
      </w:pPr>
      <w:r w:rsidRPr="00EE2502">
        <w:rPr>
          <w:b/>
          <w:bCs/>
          <w:szCs w:val="18"/>
        </w:rPr>
        <w:t xml:space="preserve">Estakada </w:t>
      </w:r>
      <w:r w:rsidRPr="00EE2502">
        <w:rPr>
          <w:szCs w:val="18"/>
        </w:rPr>
        <w:t>- obiekt zbudowany nad przeszkodą terenową dla zapewnienia komunikacji drogowej i ruchu pieszego.</w:t>
      </w:r>
    </w:p>
    <w:p w:rsidR="00EE2502" w:rsidRPr="00EE2502" w:rsidRDefault="00EE2502" w:rsidP="00EE2502">
      <w:pPr>
        <w:tabs>
          <w:tab w:val="left" w:pos="900"/>
        </w:tabs>
        <w:spacing w:after="120"/>
        <w:jc w:val="both"/>
        <w:rPr>
          <w:b/>
          <w:bCs/>
          <w:szCs w:val="18"/>
        </w:rPr>
      </w:pPr>
      <w:r w:rsidRPr="00EE2502">
        <w:rPr>
          <w:b/>
          <w:bCs/>
          <w:szCs w:val="18"/>
        </w:rPr>
        <w:t xml:space="preserve">Inżynier/Kierownik projektu </w:t>
      </w:r>
      <w:r w:rsidRPr="00EE2502">
        <w:rPr>
          <w:szCs w:val="18"/>
        </w:rPr>
        <w:t>- osoba wymieniona w danych kontraktowych (wyznaczona przez Zamawiającego, o której wyznaczeniu poinformowany jest Wykonawca), odpowiedzialna za nadzorowanie robót i administrowanie kontraktem.</w:t>
      </w:r>
    </w:p>
    <w:p w:rsidR="00EE2502" w:rsidRPr="00EE2502" w:rsidRDefault="00EE2502" w:rsidP="00EE2502">
      <w:pPr>
        <w:tabs>
          <w:tab w:val="left" w:pos="900"/>
        </w:tabs>
        <w:spacing w:after="120"/>
        <w:jc w:val="both"/>
        <w:rPr>
          <w:b/>
          <w:bCs/>
          <w:szCs w:val="18"/>
        </w:rPr>
      </w:pPr>
      <w:r w:rsidRPr="00EE2502">
        <w:rPr>
          <w:b/>
          <w:bCs/>
          <w:szCs w:val="18"/>
        </w:rPr>
        <w:t xml:space="preserve">Jezdnia </w:t>
      </w:r>
      <w:r w:rsidRPr="00EE2502">
        <w:rPr>
          <w:szCs w:val="18"/>
        </w:rPr>
        <w:t>- część korony drogi przeznaczona do ruchu pojazdów.</w:t>
      </w:r>
    </w:p>
    <w:p w:rsidR="00EE2502" w:rsidRPr="00EE2502" w:rsidRDefault="00EE2502" w:rsidP="00EE2502">
      <w:pPr>
        <w:tabs>
          <w:tab w:val="left" w:pos="900"/>
        </w:tabs>
        <w:spacing w:after="120"/>
        <w:jc w:val="both"/>
        <w:rPr>
          <w:b/>
          <w:bCs/>
          <w:szCs w:val="18"/>
        </w:rPr>
      </w:pPr>
      <w:r w:rsidRPr="00EE2502">
        <w:rPr>
          <w:b/>
          <w:bCs/>
          <w:szCs w:val="18"/>
        </w:rPr>
        <w:t xml:space="preserve">Kierownik budowy </w:t>
      </w:r>
      <w:r w:rsidRPr="00EE2502">
        <w:rPr>
          <w:szCs w:val="18"/>
        </w:rPr>
        <w:t>- osoba wyznaczona przez Wykonawcę, upoważniona do kierowania robotami i do występowania w jego imieniu w sprawach realizacji kontraktu.</w:t>
      </w:r>
    </w:p>
    <w:p w:rsidR="00EE2502" w:rsidRPr="00EE2502" w:rsidRDefault="00EE2502" w:rsidP="00EE2502">
      <w:pPr>
        <w:tabs>
          <w:tab w:val="left" w:pos="900"/>
        </w:tabs>
        <w:spacing w:after="120"/>
        <w:jc w:val="both"/>
        <w:rPr>
          <w:b/>
          <w:bCs/>
          <w:szCs w:val="18"/>
        </w:rPr>
      </w:pPr>
      <w:r w:rsidRPr="00EE2502">
        <w:rPr>
          <w:b/>
          <w:bCs/>
          <w:szCs w:val="18"/>
        </w:rPr>
        <w:t xml:space="preserve">Korona drogi </w:t>
      </w:r>
      <w:r w:rsidRPr="00EE2502">
        <w:rPr>
          <w:szCs w:val="18"/>
        </w:rPr>
        <w:t>- jezdnia (jezdnie) z poboczami lub chodnikami, zatokami, pasami awaryjnego postoju i pasami dzielącymi jezdnie.</w:t>
      </w:r>
    </w:p>
    <w:p w:rsidR="00EE2502" w:rsidRPr="00EE2502" w:rsidRDefault="00EE2502" w:rsidP="00EE2502">
      <w:pPr>
        <w:tabs>
          <w:tab w:val="left" w:pos="900"/>
        </w:tabs>
        <w:spacing w:after="120"/>
        <w:jc w:val="both"/>
        <w:rPr>
          <w:b/>
          <w:bCs/>
          <w:szCs w:val="18"/>
        </w:rPr>
      </w:pPr>
      <w:r w:rsidRPr="00EE2502">
        <w:rPr>
          <w:b/>
          <w:bCs/>
          <w:szCs w:val="18"/>
        </w:rPr>
        <w:t xml:space="preserve">Konstrukcja nawierzchni </w:t>
      </w:r>
      <w:r w:rsidRPr="00EE2502">
        <w:rPr>
          <w:szCs w:val="18"/>
        </w:rPr>
        <w:t>- układ warstw nawierzchni wraz ze sposobem ich połączenia.</w:t>
      </w:r>
    </w:p>
    <w:p w:rsidR="00EE2502" w:rsidRPr="00EE2502" w:rsidRDefault="00EE2502" w:rsidP="00EE2502">
      <w:pPr>
        <w:tabs>
          <w:tab w:val="left" w:pos="900"/>
        </w:tabs>
        <w:spacing w:after="120"/>
        <w:jc w:val="both"/>
        <w:rPr>
          <w:b/>
          <w:bCs/>
          <w:szCs w:val="18"/>
        </w:rPr>
      </w:pPr>
      <w:r w:rsidRPr="00EE2502">
        <w:rPr>
          <w:b/>
          <w:bCs/>
          <w:szCs w:val="18"/>
        </w:rPr>
        <w:t xml:space="preserve">Konstrukcja nośna (przęsło lub przęsła obiektu mostowego) </w:t>
      </w:r>
      <w:r w:rsidRPr="00EE2502">
        <w:rPr>
          <w:szCs w:val="18"/>
        </w:rPr>
        <w:t>- część obiektu oparta na podporach mostowych, tworząca ustrój niosący dla przeniesienia ruchu pojazdów lub pieszych.</w:t>
      </w:r>
    </w:p>
    <w:p w:rsidR="00EE2502" w:rsidRPr="00EE2502" w:rsidRDefault="00EE2502" w:rsidP="00EE2502">
      <w:pPr>
        <w:tabs>
          <w:tab w:val="left" w:pos="900"/>
        </w:tabs>
        <w:spacing w:after="120"/>
        <w:jc w:val="both"/>
        <w:rPr>
          <w:b/>
          <w:bCs/>
          <w:szCs w:val="18"/>
        </w:rPr>
      </w:pPr>
      <w:r w:rsidRPr="00EE2502">
        <w:rPr>
          <w:b/>
          <w:bCs/>
          <w:szCs w:val="18"/>
        </w:rPr>
        <w:t xml:space="preserve">Korpus drogowy </w:t>
      </w:r>
      <w:r w:rsidRPr="00EE2502">
        <w:rPr>
          <w:szCs w:val="18"/>
        </w:rPr>
        <w:t>- nasyp lub ta część wykopu, która jest ograniczona koroną drogi i skarpami rowów.</w:t>
      </w:r>
    </w:p>
    <w:p w:rsidR="00EE2502" w:rsidRPr="00EE2502" w:rsidRDefault="00EE2502" w:rsidP="00EE2502">
      <w:pPr>
        <w:tabs>
          <w:tab w:val="left" w:pos="900"/>
        </w:tabs>
        <w:spacing w:after="120"/>
        <w:jc w:val="both"/>
        <w:rPr>
          <w:b/>
          <w:bCs/>
          <w:szCs w:val="18"/>
        </w:rPr>
      </w:pPr>
      <w:r w:rsidRPr="00EE2502">
        <w:rPr>
          <w:b/>
          <w:bCs/>
          <w:szCs w:val="18"/>
        </w:rPr>
        <w:t xml:space="preserve">Koryto </w:t>
      </w:r>
      <w:r w:rsidRPr="00EE2502">
        <w:rPr>
          <w:szCs w:val="18"/>
        </w:rPr>
        <w:t>- element uformowany w korpusie drogowym w celu ułożenia w nim konstrukcji nawierzchni.</w:t>
      </w:r>
    </w:p>
    <w:p w:rsidR="00EE2502" w:rsidRPr="00EE2502" w:rsidRDefault="00EE2502" w:rsidP="00EE2502">
      <w:pPr>
        <w:tabs>
          <w:tab w:val="left" w:pos="900"/>
        </w:tabs>
        <w:spacing w:after="120"/>
        <w:jc w:val="both"/>
        <w:rPr>
          <w:b/>
          <w:bCs/>
          <w:szCs w:val="18"/>
        </w:rPr>
      </w:pPr>
      <w:r w:rsidRPr="00EE2502">
        <w:rPr>
          <w:b/>
          <w:bCs/>
          <w:szCs w:val="18"/>
        </w:rPr>
        <w:t xml:space="preserve">Książka obmiarów </w:t>
      </w:r>
      <w:r w:rsidRPr="00EE2502">
        <w:rPr>
          <w:szCs w:val="18"/>
        </w:rPr>
        <w:t>- akceptowany przez Inżyniera/Kierownika projektu zeszyt z ponumerowanymi stronami, służący do wpisywania przez Wykonawcę obmiaru dokonywanych robót w formie wyliczeń, szkiców i ew. dodatkowych załączników. Wpisy w książce obmiarów podlegają potwierdzeniu przez Inżyniera/Kierownika projektu.</w:t>
      </w:r>
    </w:p>
    <w:p w:rsidR="00EE2502" w:rsidRPr="00EE2502" w:rsidRDefault="00EE2502" w:rsidP="00EE2502">
      <w:pPr>
        <w:tabs>
          <w:tab w:val="left" w:pos="900"/>
        </w:tabs>
        <w:spacing w:after="120"/>
        <w:jc w:val="both"/>
        <w:rPr>
          <w:b/>
          <w:bCs/>
          <w:szCs w:val="18"/>
        </w:rPr>
      </w:pPr>
      <w:r w:rsidRPr="00EE2502">
        <w:rPr>
          <w:b/>
          <w:bCs/>
          <w:szCs w:val="18"/>
        </w:rPr>
        <w:t xml:space="preserve">Laboratorium </w:t>
      </w:r>
      <w:r w:rsidRPr="00EE2502">
        <w:rPr>
          <w:szCs w:val="18"/>
        </w:rPr>
        <w:t>- drogowe lub inne laboratorium badawcze, zaakceptowane przez Zamawiającego, niezbędne do przeprowadzenia wszelkich badań i prób związanych z oceną jakości materiałów oraz robót.</w:t>
      </w:r>
    </w:p>
    <w:p w:rsidR="00EE2502" w:rsidRPr="00EE2502" w:rsidRDefault="00EE2502" w:rsidP="00EE2502">
      <w:pPr>
        <w:tabs>
          <w:tab w:val="left" w:pos="900"/>
        </w:tabs>
        <w:spacing w:after="120"/>
        <w:jc w:val="both"/>
        <w:rPr>
          <w:b/>
          <w:bCs/>
          <w:szCs w:val="18"/>
        </w:rPr>
      </w:pPr>
      <w:r w:rsidRPr="00EE2502">
        <w:rPr>
          <w:b/>
          <w:bCs/>
          <w:szCs w:val="18"/>
        </w:rPr>
        <w:t xml:space="preserve">Materiały </w:t>
      </w:r>
      <w:r w:rsidRPr="00EE2502">
        <w:rPr>
          <w:szCs w:val="18"/>
        </w:rPr>
        <w:t>- wszelkie tworzywa niezbędne do wykonania robót, zgodne z dokumentacją projektową i specyfikacjami technicznymi, zaakceptowane przez Inżyniera/ Kierownika projektu.</w:t>
      </w:r>
    </w:p>
    <w:p w:rsidR="00EE2502" w:rsidRPr="00EE2502" w:rsidRDefault="00EE2502" w:rsidP="00EE2502">
      <w:pPr>
        <w:tabs>
          <w:tab w:val="left" w:pos="900"/>
        </w:tabs>
        <w:spacing w:after="120"/>
        <w:jc w:val="both"/>
        <w:rPr>
          <w:b/>
          <w:bCs/>
          <w:szCs w:val="18"/>
        </w:rPr>
      </w:pPr>
      <w:r w:rsidRPr="00EE2502">
        <w:rPr>
          <w:b/>
          <w:bCs/>
          <w:szCs w:val="18"/>
        </w:rPr>
        <w:t xml:space="preserve">Most </w:t>
      </w:r>
      <w:r w:rsidRPr="00EE2502">
        <w:rPr>
          <w:szCs w:val="18"/>
        </w:rPr>
        <w:t>- obiekt zbudowany nad przeszkodą wodną dla zapewnienia komunikacji drogowej i ruchu pieszego.</w:t>
      </w:r>
    </w:p>
    <w:p w:rsidR="00EE2502" w:rsidRPr="00EE2502" w:rsidRDefault="00EE2502" w:rsidP="00EE2502">
      <w:pPr>
        <w:tabs>
          <w:tab w:val="left" w:pos="900"/>
        </w:tabs>
        <w:spacing w:after="60"/>
        <w:jc w:val="both"/>
        <w:rPr>
          <w:b/>
          <w:bCs/>
          <w:szCs w:val="18"/>
        </w:rPr>
      </w:pPr>
      <w:r w:rsidRPr="00EE2502">
        <w:rPr>
          <w:b/>
          <w:bCs/>
          <w:szCs w:val="18"/>
        </w:rPr>
        <w:t xml:space="preserve">Nawierzchnia </w:t>
      </w:r>
      <w:r w:rsidRPr="00EE2502">
        <w:rPr>
          <w:szCs w:val="18"/>
        </w:rPr>
        <w:t>- warstwa lub zespół warstw służących do przejmowania i rozkładania obciążeń od ruchu na podłoże gruntowe i zapewniających dogodne warunki dla ruchu.</w:t>
      </w:r>
    </w:p>
    <w:p w:rsidR="00EE2502" w:rsidRPr="00EE2502" w:rsidRDefault="00EE2502" w:rsidP="00EE2502">
      <w:pPr>
        <w:numPr>
          <w:ilvl w:val="0"/>
          <w:numId w:val="91"/>
        </w:numPr>
        <w:tabs>
          <w:tab w:val="num" w:pos="360"/>
        </w:tabs>
        <w:ind w:left="360"/>
        <w:jc w:val="both"/>
        <w:rPr>
          <w:szCs w:val="18"/>
        </w:rPr>
      </w:pPr>
      <w:r w:rsidRPr="00EE2502">
        <w:rPr>
          <w:szCs w:val="18"/>
        </w:rPr>
        <w:t>Warstwa ścieralna</w:t>
      </w:r>
      <w:r w:rsidRPr="00EE2502">
        <w:rPr>
          <w:noProof/>
          <w:szCs w:val="18"/>
        </w:rPr>
        <w:t xml:space="preserve"> -</w:t>
      </w:r>
      <w:r w:rsidRPr="00EE2502">
        <w:rPr>
          <w:szCs w:val="18"/>
        </w:rPr>
        <w:t xml:space="preserve"> górna warstwa nawierzchni poddana bezpośrednio oddziaływaniu ruchu i czynników atmosferycznych.</w:t>
      </w:r>
    </w:p>
    <w:p w:rsidR="00EE2502" w:rsidRPr="00EE2502" w:rsidRDefault="00EE2502" w:rsidP="00EE2502">
      <w:pPr>
        <w:numPr>
          <w:ilvl w:val="0"/>
          <w:numId w:val="91"/>
        </w:numPr>
        <w:tabs>
          <w:tab w:val="num" w:pos="360"/>
        </w:tabs>
        <w:ind w:left="360"/>
        <w:jc w:val="both"/>
        <w:rPr>
          <w:szCs w:val="18"/>
        </w:rPr>
      </w:pPr>
      <w:r w:rsidRPr="00EE2502">
        <w:rPr>
          <w:szCs w:val="18"/>
        </w:rPr>
        <w:t>Warstwa wiążąca</w:t>
      </w:r>
      <w:r w:rsidRPr="00EE2502">
        <w:rPr>
          <w:noProof/>
          <w:szCs w:val="18"/>
        </w:rPr>
        <w:t xml:space="preserve"> -</w:t>
      </w:r>
      <w:r w:rsidRPr="00EE2502">
        <w:rPr>
          <w:szCs w:val="18"/>
        </w:rPr>
        <w:t xml:space="preserve"> warstwa znajdująca się między warstwą ścieralną a podbudową, zapewniająca lepsze rozłożenie naprężeń w nawierzchni i przekazywanie ich na podbudowę. </w:t>
      </w:r>
    </w:p>
    <w:p w:rsidR="00EE2502" w:rsidRPr="00EE2502" w:rsidRDefault="00EE2502" w:rsidP="00EE2502">
      <w:pPr>
        <w:numPr>
          <w:ilvl w:val="0"/>
          <w:numId w:val="91"/>
        </w:numPr>
        <w:tabs>
          <w:tab w:val="num" w:pos="360"/>
        </w:tabs>
        <w:ind w:left="360"/>
        <w:jc w:val="both"/>
        <w:rPr>
          <w:szCs w:val="18"/>
        </w:rPr>
      </w:pPr>
      <w:r w:rsidRPr="00EE2502">
        <w:rPr>
          <w:szCs w:val="18"/>
        </w:rPr>
        <w:t>Warstwa wyrównawcza</w:t>
      </w:r>
      <w:r w:rsidRPr="00EE2502">
        <w:rPr>
          <w:noProof/>
          <w:szCs w:val="18"/>
        </w:rPr>
        <w:t xml:space="preserve"> -</w:t>
      </w:r>
      <w:r w:rsidRPr="00EE2502">
        <w:rPr>
          <w:szCs w:val="18"/>
        </w:rPr>
        <w:t xml:space="preserve"> warstwa służąca do wyrównania nierówności podbudowy lub profilu istniejącej nawierzchni.</w:t>
      </w:r>
    </w:p>
    <w:p w:rsidR="00EE2502" w:rsidRPr="00EE2502" w:rsidRDefault="00EE2502" w:rsidP="00EE2502">
      <w:pPr>
        <w:numPr>
          <w:ilvl w:val="0"/>
          <w:numId w:val="91"/>
        </w:numPr>
        <w:tabs>
          <w:tab w:val="num" w:pos="360"/>
        </w:tabs>
        <w:ind w:left="360"/>
        <w:jc w:val="both"/>
        <w:rPr>
          <w:szCs w:val="18"/>
        </w:rPr>
      </w:pPr>
      <w:r w:rsidRPr="00EE2502">
        <w:rPr>
          <w:szCs w:val="18"/>
        </w:rPr>
        <w:t>Podbudowa</w:t>
      </w:r>
      <w:r w:rsidRPr="00EE2502">
        <w:rPr>
          <w:noProof/>
          <w:szCs w:val="18"/>
        </w:rPr>
        <w:t xml:space="preserve"> -</w:t>
      </w:r>
      <w:r w:rsidRPr="00EE2502">
        <w:rPr>
          <w:szCs w:val="18"/>
        </w:rPr>
        <w:t xml:space="preserve"> dolna część nawierzchni służąca do przenoszenia obciążeń od ruchu na podłoże. Podbudowa może składać się z podbudowy zasadniczej i podbudowy pomocniczej. </w:t>
      </w:r>
    </w:p>
    <w:p w:rsidR="00EE2502" w:rsidRPr="00EE2502" w:rsidRDefault="00EE2502" w:rsidP="00EE2502">
      <w:pPr>
        <w:numPr>
          <w:ilvl w:val="0"/>
          <w:numId w:val="91"/>
        </w:numPr>
        <w:tabs>
          <w:tab w:val="num" w:pos="360"/>
        </w:tabs>
        <w:ind w:left="360"/>
        <w:jc w:val="both"/>
        <w:rPr>
          <w:szCs w:val="18"/>
        </w:rPr>
      </w:pPr>
      <w:r w:rsidRPr="00EE2502">
        <w:rPr>
          <w:szCs w:val="18"/>
        </w:rPr>
        <w:t>Podbudowa zasadnicza</w:t>
      </w:r>
      <w:r w:rsidRPr="00EE2502">
        <w:rPr>
          <w:noProof/>
          <w:szCs w:val="18"/>
        </w:rPr>
        <w:t xml:space="preserve"> -</w:t>
      </w:r>
      <w:r w:rsidRPr="00EE2502">
        <w:rPr>
          <w:szCs w:val="18"/>
        </w:rPr>
        <w:t xml:space="preserve"> górna część podbudowy spełniająca funkcje nośne w konstrukcji nawierzchni. Może ona składać się z jednej lub dwóch warstw. </w:t>
      </w:r>
    </w:p>
    <w:p w:rsidR="00EE2502" w:rsidRPr="00EE2502" w:rsidRDefault="00EE2502" w:rsidP="00EE2502">
      <w:pPr>
        <w:numPr>
          <w:ilvl w:val="0"/>
          <w:numId w:val="91"/>
        </w:numPr>
        <w:tabs>
          <w:tab w:val="num" w:pos="360"/>
        </w:tabs>
        <w:ind w:left="360"/>
        <w:jc w:val="both"/>
        <w:rPr>
          <w:szCs w:val="18"/>
        </w:rPr>
      </w:pPr>
      <w:r w:rsidRPr="00EE2502">
        <w:rPr>
          <w:szCs w:val="18"/>
        </w:rPr>
        <w:t>Podbudowa pomocnicza</w:t>
      </w:r>
      <w:r w:rsidRPr="00EE2502">
        <w:rPr>
          <w:noProof/>
          <w:szCs w:val="18"/>
        </w:rPr>
        <w:t xml:space="preserve"> -</w:t>
      </w:r>
      <w:r w:rsidRPr="00EE2502">
        <w:rPr>
          <w:szCs w:val="18"/>
        </w:rPr>
        <w:t xml:space="preserve"> dolna część podbudowy spełniająca, obok funkcji nośnych, funkcje zabezpieczenia nawierzchni przed działaniem wody, mrozu i przenikaniem cząstek podłoża. Może zawierać warstwę mrozoochronną, odsączającą lub odcinającą. </w:t>
      </w:r>
    </w:p>
    <w:p w:rsidR="00EE2502" w:rsidRPr="00EE2502" w:rsidRDefault="00EE2502" w:rsidP="00EE2502">
      <w:pPr>
        <w:numPr>
          <w:ilvl w:val="0"/>
          <w:numId w:val="91"/>
        </w:numPr>
        <w:tabs>
          <w:tab w:val="num" w:pos="360"/>
        </w:tabs>
        <w:ind w:left="360"/>
        <w:jc w:val="both"/>
        <w:rPr>
          <w:szCs w:val="18"/>
        </w:rPr>
      </w:pPr>
      <w:r w:rsidRPr="00EE2502">
        <w:rPr>
          <w:szCs w:val="18"/>
        </w:rPr>
        <w:t>Warstwa mrozoochronną</w:t>
      </w:r>
      <w:r w:rsidRPr="00EE2502">
        <w:rPr>
          <w:noProof/>
          <w:szCs w:val="18"/>
        </w:rPr>
        <w:t xml:space="preserve"> -</w:t>
      </w:r>
      <w:r w:rsidRPr="00EE2502">
        <w:rPr>
          <w:szCs w:val="18"/>
        </w:rPr>
        <w:t xml:space="preserve"> warstwa, której głównym zadaniem jest ochrona nawierzchni przed skutkami działania mrozu. </w:t>
      </w:r>
    </w:p>
    <w:p w:rsidR="00EE2502" w:rsidRPr="00EE2502" w:rsidRDefault="00EE2502" w:rsidP="00EE2502">
      <w:pPr>
        <w:numPr>
          <w:ilvl w:val="0"/>
          <w:numId w:val="91"/>
        </w:numPr>
        <w:tabs>
          <w:tab w:val="num" w:pos="360"/>
        </w:tabs>
        <w:ind w:left="360"/>
        <w:jc w:val="both"/>
        <w:rPr>
          <w:szCs w:val="18"/>
        </w:rPr>
      </w:pPr>
      <w:r w:rsidRPr="00EE2502">
        <w:rPr>
          <w:szCs w:val="18"/>
        </w:rPr>
        <w:t>Warstwa odcinająca</w:t>
      </w:r>
      <w:r w:rsidRPr="00EE2502">
        <w:rPr>
          <w:noProof/>
          <w:szCs w:val="18"/>
        </w:rPr>
        <w:t xml:space="preserve"> -</w:t>
      </w:r>
      <w:r w:rsidRPr="00EE2502">
        <w:rPr>
          <w:szCs w:val="18"/>
        </w:rPr>
        <w:t xml:space="preserve"> warstwa stosowana w celu uniemożliwienia przenikania cząstek drobnych gruntu do warstwy nawierzchni leżącej powyżej.</w:t>
      </w:r>
    </w:p>
    <w:p w:rsidR="00EE2502" w:rsidRPr="00EE2502" w:rsidRDefault="00EE2502" w:rsidP="00EE2502">
      <w:pPr>
        <w:numPr>
          <w:ilvl w:val="0"/>
          <w:numId w:val="91"/>
        </w:numPr>
        <w:tabs>
          <w:tab w:val="num" w:pos="360"/>
        </w:tabs>
        <w:ind w:left="360"/>
        <w:jc w:val="both"/>
        <w:rPr>
          <w:szCs w:val="18"/>
        </w:rPr>
      </w:pPr>
      <w:r w:rsidRPr="00EE2502">
        <w:rPr>
          <w:szCs w:val="18"/>
        </w:rPr>
        <w:t>Warstwa odsączająca</w:t>
      </w:r>
      <w:r w:rsidRPr="00EE2502">
        <w:rPr>
          <w:noProof/>
          <w:szCs w:val="18"/>
        </w:rPr>
        <w:t xml:space="preserve"> -</w:t>
      </w:r>
      <w:r w:rsidRPr="00EE2502">
        <w:rPr>
          <w:szCs w:val="18"/>
        </w:rPr>
        <w:t xml:space="preserve"> warstwa służąca do odprowadzenia wody przedostającej się do nawierzchni.</w:t>
      </w:r>
    </w:p>
    <w:p w:rsidR="00EE2502" w:rsidRPr="00EE2502" w:rsidRDefault="00EE2502" w:rsidP="00EE2502">
      <w:pPr>
        <w:jc w:val="both"/>
        <w:rPr>
          <w:szCs w:val="18"/>
        </w:rPr>
      </w:pPr>
    </w:p>
    <w:p w:rsidR="00EE2502" w:rsidRPr="00EE2502" w:rsidRDefault="00EE2502" w:rsidP="00EE2502">
      <w:pPr>
        <w:spacing w:after="120"/>
        <w:jc w:val="both"/>
        <w:rPr>
          <w:b/>
          <w:bCs/>
          <w:szCs w:val="18"/>
        </w:rPr>
      </w:pPr>
      <w:r w:rsidRPr="00EE2502">
        <w:rPr>
          <w:b/>
          <w:bCs/>
          <w:szCs w:val="18"/>
        </w:rPr>
        <w:t xml:space="preserve">Niweleta </w:t>
      </w:r>
      <w:r w:rsidRPr="00EE2502">
        <w:rPr>
          <w:szCs w:val="18"/>
        </w:rPr>
        <w:t>- wysokościowe i geometryczne rozwinięcie na płaszczyźnie pionowego przekroju w osi drogi lub obiektu mostowego.</w:t>
      </w:r>
    </w:p>
    <w:p w:rsidR="00EE2502" w:rsidRPr="00EE2502" w:rsidRDefault="00EE2502" w:rsidP="00EE2502">
      <w:pPr>
        <w:spacing w:after="120"/>
        <w:jc w:val="both"/>
        <w:rPr>
          <w:b/>
          <w:bCs/>
          <w:szCs w:val="18"/>
        </w:rPr>
      </w:pPr>
      <w:r w:rsidRPr="00EE2502">
        <w:rPr>
          <w:b/>
          <w:bCs/>
          <w:szCs w:val="18"/>
        </w:rPr>
        <w:t xml:space="preserve">Obiekt mostowy </w:t>
      </w:r>
      <w:r w:rsidRPr="00EE2502">
        <w:rPr>
          <w:szCs w:val="18"/>
        </w:rPr>
        <w:t>- most, wiadukt, estakada, tunel, kładka dla pieszych i przepust.</w:t>
      </w:r>
    </w:p>
    <w:p w:rsidR="00EE2502" w:rsidRPr="00EE2502" w:rsidRDefault="00EE2502" w:rsidP="00EE2502">
      <w:pPr>
        <w:spacing w:after="120"/>
        <w:jc w:val="both"/>
        <w:rPr>
          <w:b/>
          <w:bCs/>
          <w:szCs w:val="18"/>
        </w:rPr>
      </w:pPr>
      <w:r w:rsidRPr="00EE2502">
        <w:rPr>
          <w:b/>
          <w:bCs/>
          <w:szCs w:val="18"/>
        </w:rPr>
        <w:t>Objazd tymczasowy -</w:t>
      </w:r>
      <w:r w:rsidRPr="00EE2502">
        <w:rPr>
          <w:szCs w:val="18"/>
        </w:rPr>
        <w:t xml:space="preserve"> droga specjalnie przygotowana i odpowiednio utrzymana do przeprowadzenia ruchu publicznego na okres budowy.</w:t>
      </w:r>
    </w:p>
    <w:p w:rsidR="00EE2502" w:rsidRPr="00EE2502" w:rsidRDefault="00EE2502" w:rsidP="00EE2502">
      <w:pPr>
        <w:spacing w:after="120"/>
        <w:jc w:val="both"/>
        <w:rPr>
          <w:b/>
          <w:bCs/>
          <w:szCs w:val="18"/>
        </w:rPr>
      </w:pPr>
      <w:r w:rsidRPr="00EE2502">
        <w:rPr>
          <w:b/>
          <w:bCs/>
          <w:szCs w:val="18"/>
        </w:rPr>
        <w:t xml:space="preserve">Odpowiednia (bliska) zgodność </w:t>
      </w:r>
      <w:r w:rsidRPr="00EE2502">
        <w:rPr>
          <w:szCs w:val="18"/>
        </w:rPr>
        <w:t>- zgodność wykonywanych robót z dopuszczonymi tolerancjami, a jeśli przedział tolerancji nie został określony - z przeciętnymi tolerancjami, przyjmowanymi zwyczajowo dla danego rodzaju robót budowlanych.</w:t>
      </w:r>
    </w:p>
    <w:p w:rsidR="00EE2502" w:rsidRPr="00EE2502" w:rsidRDefault="00EE2502" w:rsidP="00EE2502">
      <w:pPr>
        <w:spacing w:after="120"/>
        <w:jc w:val="both"/>
        <w:rPr>
          <w:b/>
          <w:bCs/>
          <w:szCs w:val="18"/>
        </w:rPr>
      </w:pPr>
      <w:r w:rsidRPr="00EE2502">
        <w:rPr>
          <w:b/>
          <w:bCs/>
          <w:szCs w:val="18"/>
        </w:rPr>
        <w:t xml:space="preserve">Pas drogowy </w:t>
      </w:r>
      <w:r w:rsidRPr="00EE2502">
        <w:rPr>
          <w:szCs w:val="18"/>
        </w:rPr>
        <w:t>- wydzielony liniami granicznymi pas terenu przeznaczony do umieszczania w nim drogi i związanych z nią urządzeń oraz drzew i krzewów. Pas drogowy może również obejmować teren przewidziany do rozbudowy drogi i budowy urządzeń chroniących ludzi i środowisko przed uciążliwościami powodowanymi przez ruch na drodze.</w:t>
      </w:r>
    </w:p>
    <w:p w:rsidR="00EE2502" w:rsidRPr="00EE2502" w:rsidRDefault="00EE2502" w:rsidP="00EE2502">
      <w:pPr>
        <w:spacing w:after="120"/>
        <w:jc w:val="both"/>
        <w:rPr>
          <w:b/>
          <w:bCs/>
          <w:szCs w:val="18"/>
        </w:rPr>
      </w:pPr>
      <w:r w:rsidRPr="00EE2502">
        <w:rPr>
          <w:b/>
          <w:bCs/>
          <w:szCs w:val="18"/>
        </w:rPr>
        <w:t xml:space="preserve">Pobocze </w:t>
      </w:r>
      <w:r w:rsidRPr="00EE2502">
        <w:rPr>
          <w:szCs w:val="18"/>
        </w:rPr>
        <w:t>- część korony drogi przeznaczona do chwilowego postoju pojazdów, umieszczenia urządzeń organizacji i bezpieczeństwa ruchu oraz do ruchu pieszych, służąca Jednocześnie do bocznego oparcia konstrukcji nawierzchni.</w:t>
      </w:r>
    </w:p>
    <w:p w:rsidR="00EE2502" w:rsidRPr="00EE2502" w:rsidRDefault="00EE2502" w:rsidP="00EE2502">
      <w:pPr>
        <w:spacing w:after="120"/>
        <w:jc w:val="both"/>
        <w:rPr>
          <w:b/>
          <w:bCs/>
          <w:szCs w:val="18"/>
        </w:rPr>
      </w:pPr>
      <w:r w:rsidRPr="00EE2502">
        <w:rPr>
          <w:b/>
          <w:bCs/>
          <w:szCs w:val="18"/>
        </w:rPr>
        <w:t xml:space="preserve">Podłoże nawierzchni </w:t>
      </w:r>
      <w:r w:rsidRPr="00EE2502">
        <w:rPr>
          <w:szCs w:val="18"/>
        </w:rPr>
        <w:t>- grunt rodzimy lub nasypowy, leżący pod nawierzchnią do głębokości przemarzania.</w:t>
      </w:r>
    </w:p>
    <w:p w:rsidR="00EE2502" w:rsidRPr="00EE2502" w:rsidRDefault="00EE2502" w:rsidP="00EE2502">
      <w:pPr>
        <w:spacing w:after="120"/>
        <w:jc w:val="both"/>
        <w:rPr>
          <w:b/>
          <w:bCs/>
          <w:szCs w:val="18"/>
        </w:rPr>
      </w:pPr>
      <w:r w:rsidRPr="00EE2502">
        <w:rPr>
          <w:b/>
          <w:bCs/>
          <w:szCs w:val="18"/>
        </w:rPr>
        <w:t xml:space="preserve">Podłoże ulepszone nawierzchni </w:t>
      </w:r>
      <w:r w:rsidRPr="00EE2502">
        <w:rPr>
          <w:szCs w:val="18"/>
        </w:rPr>
        <w:t>- górna warstwa podłoża, leżąca bezpośrednio pod nawierzchnią, ulepszona w celu umożliwienia przejęcia ruchu budowlanego i właściwego wykonania nawierzchni.</w:t>
      </w:r>
    </w:p>
    <w:p w:rsidR="00EE2502" w:rsidRPr="00EE2502" w:rsidRDefault="00EE2502" w:rsidP="00EE2502">
      <w:pPr>
        <w:spacing w:after="120"/>
        <w:jc w:val="both"/>
        <w:rPr>
          <w:szCs w:val="18"/>
        </w:rPr>
      </w:pPr>
      <w:r w:rsidRPr="00EE2502">
        <w:rPr>
          <w:b/>
          <w:bCs/>
          <w:szCs w:val="18"/>
        </w:rPr>
        <w:t xml:space="preserve">Polecenie Inżyniera/Kierownika projektu </w:t>
      </w:r>
      <w:r w:rsidRPr="00EE2502">
        <w:rPr>
          <w:szCs w:val="18"/>
        </w:rPr>
        <w:t>- wszelkie polecenia przekazane Wykonawcy przez Inżyniera/Kierownika projektu, w formie pisemnej, dotyczące sposobu realizacji robót lub innych spraw związanych z prowadzeniem budowy.</w:t>
      </w:r>
    </w:p>
    <w:p w:rsidR="00EE2502" w:rsidRPr="00EE2502" w:rsidRDefault="00EE2502" w:rsidP="00EE2502">
      <w:pPr>
        <w:spacing w:after="120"/>
        <w:jc w:val="both"/>
        <w:rPr>
          <w:b/>
          <w:bCs/>
          <w:szCs w:val="18"/>
        </w:rPr>
      </w:pPr>
      <w:r w:rsidRPr="00EE2502">
        <w:rPr>
          <w:b/>
          <w:szCs w:val="18"/>
        </w:rPr>
        <w:t xml:space="preserve">Powinno – </w:t>
      </w:r>
      <w:r w:rsidRPr="00EE2502">
        <w:rPr>
          <w:szCs w:val="18"/>
        </w:rPr>
        <w:t>należy rozumieć jako należy wykonać, trzeba wykonać, musi zostać wykonane</w:t>
      </w:r>
    </w:p>
    <w:p w:rsidR="00EE2502" w:rsidRPr="00EE2502" w:rsidRDefault="00EE2502" w:rsidP="00EE2502">
      <w:pPr>
        <w:spacing w:after="120"/>
        <w:jc w:val="both"/>
        <w:rPr>
          <w:b/>
          <w:bCs/>
          <w:szCs w:val="18"/>
        </w:rPr>
      </w:pPr>
      <w:r w:rsidRPr="00EE2502">
        <w:rPr>
          <w:b/>
          <w:bCs/>
          <w:szCs w:val="18"/>
        </w:rPr>
        <w:t xml:space="preserve">Projektant </w:t>
      </w:r>
      <w:r w:rsidRPr="00EE2502">
        <w:rPr>
          <w:szCs w:val="18"/>
        </w:rPr>
        <w:t>- uprawniona osoba prawna lub fizyczna będąca autorem dokumentacji projektowej.</w:t>
      </w:r>
    </w:p>
    <w:p w:rsidR="00EE2502" w:rsidRPr="00EE2502" w:rsidRDefault="00EE2502" w:rsidP="00EE2502">
      <w:pPr>
        <w:spacing w:after="120"/>
        <w:jc w:val="both"/>
        <w:rPr>
          <w:b/>
          <w:bCs/>
          <w:szCs w:val="18"/>
        </w:rPr>
      </w:pPr>
      <w:r w:rsidRPr="00EE2502">
        <w:rPr>
          <w:b/>
          <w:bCs/>
          <w:szCs w:val="18"/>
        </w:rPr>
        <w:t xml:space="preserve">Przedsięwzięcie budowlane </w:t>
      </w:r>
      <w:r w:rsidRPr="00EE2502">
        <w:rPr>
          <w:szCs w:val="18"/>
        </w:rPr>
        <w:t>- kompleksowa realizacja nowego połączenia drogowego lub całkowita modernizacja/przebudowa (zmiana parametrów geometrycznych trasy w planie i przekroju podłużnym) istniejącego połączenia.</w:t>
      </w:r>
    </w:p>
    <w:p w:rsidR="00EE2502" w:rsidRPr="00EE2502" w:rsidRDefault="00EE2502" w:rsidP="00EE2502">
      <w:pPr>
        <w:spacing w:after="120"/>
        <w:jc w:val="both"/>
        <w:rPr>
          <w:b/>
          <w:bCs/>
          <w:szCs w:val="18"/>
        </w:rPr>
      </w:pPr>
      <w:r w:rsidRPr="00EE2502">
        <w:rPr>
          <w:b/>
          <w:bCs/>
          <w:szCs w:val="18"/>
        </w:rPr>
        <w:t xml:space="preserve">Przepust </w:t>
      </w:r>
      <w:r w:rsidRPr="00EE2502">
        <w:rPr>
          <w:szCs w:val="18"/>
        </w:rPr>
        <w:t>- budowla o przekroju poprzecznym zamkniętym, przeznaczona do przeprowadzenia cieku, szlaku wędrówek zwierząt dziko żyjących lub urządzeń technicznych przez korpus drogowy.</w:t>
      </w:r>
    </w:p>
    <w:p w:rsidR="00EE2502" w:rsidRPr="00EE2502" w:rsidRDefault="00EE2502" w:rsidP="00EE2502">
      <w:pPr>
        <w:spacing w:after="120"/>
        <w:jc w:val="both"/>
        <w:rPr>
          <w:b/>
          <w:bCs/>
          <w:szCs w:val="18"/>
        </w:rPr>
      </w:pPr>
      <w:r w:rsidRPr="00EE2502">
        <w:rPr>
          <w:b/>
          <w:bCs/>
          <w:szCs w:val="18"/>
        </w:rPr>
        <w:t xml:space="preserve">Przeszkoda naturalna </w:t>
      </w:r>
      <w:r w:rsidRPr="00EE2502">
        <w:rPr>
          <w:szCs w:val="18"/>
        </w:rPr>
        <w:t>- element środowiska naturalnego, stanowiący utrudnienie w realizacji zadania budowlanego, na przykład dolina, bagno, rzeka, szlak wędrówek dzikich zwierząt itp.</w:t>
      </w:r>
    </w:p>
    <w:p w:rsidR="00EE2502" w:rsidRPr="00EE2502" w:rsidRDefault="00EE2502" w:rsidP="00EE2502">
      <w:pPr>
        <w:spacing w:after="120"/>
        <w:jc w:val="both"/>
        <w:rPr>
          <w:b/>
          <w:bCs/>
          <w:szCs w:val="18"/>
        </w:rPr>
      </w:pPr>
      <w:r w:rsidRPr="00EE2502">
        <w:rPr>
          <w:b/>
          <w:bCs/>
          <w:szCs w:val="18"/>
        </w:rPr>
        <w:t xml:space="preserve">Przeszkoda sztuczna </w:t>
      </w:r>
      <w:r w:rsidRPr="00EE2502">
        <w:rPr>
          <w:szCs w:val="18"/>
        </w:rPr>
        <w:t>- dzieło ludzkie, stanowiące utrudnienie w realizacji zadania budowlanego, na przykład droga, kolej, rurociąg, kanał, ciąg pieszy lub rowerowy itp.</w:t>
      </w:r>
    </w:p>
    <w:p w:rsidR="00EE2502" w:rsidRPr="00EE2502" w:rsidRDefault="00EE2502" w:rsidP="00EE2502">
      <w:pPr>
        <w:spacing w:after="120"/>
        <w:jc w:val="both"/>
        <w:rPr>
          <w:b/>
          <w:bCs/>
          <w:szCs w:val="18"/>
        </w:rPr>
      </w:pPr>
      <w:r w:rsidRPr="00EE2502">
        <w:rPr>
          <w:b/>
          <w:bCs/>
          <w:szCs w:val="18"/>
        </w:rPr>
        <w:t xml:space="preserve">Przetargowa dokumentacja projektowa </w:t>
      </w:r>
      <w:r w:rsidRPr="00EE2502">
        <w:rPr>
          <w:szCs w:val="18"/>
        </w:rPr>
        <w:t>- część dokumentacji projektowej, która wskazuje lokalizację, charakterystykę i wymiary obiektu będącego przedmiotem robót.</w:t>
      </w:r>
    </w:p>
    <w:p w:rsidR="00EE2502" w:rsidRPr="00EE2502" w:rsidRDefault="00EE2502" w:rsidP="00EE2502">
      <w:pPr>
        <w:spacing w:after="120"/>
        <w:jc w:val="both"/>
        <w:rPr>
          <w:b/>
          <w:bCs/>
          <w:szCs w:val="18"/>
        </w:rPr>
      </w:pPr>
      <w:r w:rsidRPr="00EE2502">
        <w:rPr>
          <w:b/>
          <w:bCs/>
          <w:szCs w:val="18"/>
        </w:rPr>
        <w:t xml:space="preserve">Przyczółek </w:t>
      </w:r>
      <w:r w:rsidRPr="00EE2502">
        <w:rPr>
          <w:szCs w:val="18"/>
        </w:rPr>
        <w:t>- skrajna podpora obiektu mostowego. Może składać się z pełnej ściany, słupów lub innych form konstrukcyjnych, np. skrzyń, komór.</w:t>
      </w:r>
    </w:p>
    <w:p w:rsidR="00EE2502" w:rsidRPr="00EE2502" w:rsidRDefault="00EE2502" w:rsidP="00EE2502">
      <w:pPr>
        <w:spacing w:after="120"/>
        <w:jc w:val="both"/>
        <w:rPr>
          <w:b/>
          <w:bCs/>
          <w:szCs w:val="18"/>
        </w:rPr>
      </w:pPr>
      <w:r w:rsidRPr="00EE2502">
        <w:rPr>
          <w:b/>
          <w:bCs/>
          <w:szCs w:val="18"/>
        </w:rPr>
        <w:t xml:space="preserve">Rekultywacja </w:t>
      </w:r>
      <w:r w:rsidRPr="00EE2502">
        <w:rPr>
          <w:szCs w:val="18"/>
        </w:rPr>
        <w:t>- roboty mające na celu uporządkowanie i przywrócenie pierwotnych funkcji terenom naruszonym w czasie realizacji zadania budowlanego.</w:t>
      </w:r>
    </w:p>
    <w:p w:rsidR="00EE2502" w:rsidRPr="00EE2502" w:rsidRDefault="00EE2502" w:rsidP="00EE2502">
      <w:pPr>
        <w:spacing w:after="120"/>
        <w:jc w:val="both"/>
        <w:rPr>
          <w:b/>
          <w:bCs/>
          <w:szCs w:val="18"/>
        </w:rPr>
      </w:pPr>
      <w:r w:rsidRPr="00EE2502">
        <w:rPr>
          <w:b/>
          <w:bCs/>
          <w:szCs w:val="18"/>
        </w:rPr>
        <w:t xml:space="preserve">Rozpiętość teoretyczna </w:t>
      </w:r>
      <w:r w:rsidRPr="00EE2502">
        <w:rPr>
          <w:szCs w:val="18"/>
        </w:rPr>
        <w:t>- odległość między punktami podparcia (łożyskami), przęsła mostowego.</w:t>
      </w:r>
    </w:p>
    <w:p w:rsidR="00EE2502" w:rsidRPr="00EE2502" w:rsidRDefault="00EE2502" w:rsidP="00EE2502">
      <w:pPr>
        <w:spacing w:after="120"/>
        <w:jc w:val="both"/>
        <w:rPr>
          <w:b/>
          <w:bCs/>
          <w:szCs w:val="18"/>
        </w:rPr>
      </w:pPr>
      <w:r w:rsidRPr="00EE2502">
        <w:rPr>
          <w:b/>
          <w:bCs/>
          <w:szCs w:val="18"/>
        </w:rPr>
        <w:t xml:space="preserve">Szerokość całkowita obiektu (mostu / wiaduktu) </w:t>
      </w:r>
      <w:r w:rsidRPr="00EE2502">
        <w:rPr>
          <w:szCs w:val="18"/>
        </w:rPr>
        <w:t>- odległość między zewnętrznymi krawędziami konstrukcji obiektu, mierzona w linii prostopadłej do osi podłużnej, obejmuje całkowitą szerokość konstrukcyjną ustroju niosącego.</w:t>
      </w:r>
    </w:p>
    <w:p w:rsidR="00EE2502" w:rsidRPr="00EE2502" w:rsidRDefault="00EE2502" w:rsidP="00EE2502">
      <w:pPr>
        <w:spacing w:after="120"/>
        <w:jc w:val="both"/>
        <w:rPr>
          <w:b/>
          <w:bCs/>
          <w:szCs w:val="18"/>
        </w:rPr>
      </w:pPr>
      <w:r w:rsidRPr="00EE2502">
        <w:rPr>
          <w:b/>
          <w:bCs/>
          <w:szCs w:val="18"/>
        </w:rPr>
        <w:t xml:space="preserve">Szerokość użytkowa obiektu </w:t>
      </w:r>
      <w:r w:rsidRPr="00EE2502">
        <w:rPr>
          <w:szCs w:val="18"/>
        </w:rPr>
        <w:t>- szerokość jezdni (nawierzchni) przeznaczona dla poszczególnych rodzajów ruchu oraz szerokość chodników mierzona w świetle poręczy mostowych z wyłączeniem konstrukcji przy jezdni dołem oddzielającej ruch kołowy od ruchu pieszego.</w:t>
      </w:r>
    </w:p>
    <w:p w:rsidR="00EE2502" w:rsidRPr="00EE2502" w:rsidRDefault="00EE2502" w:rsidP="00EE2502">
      <w:pPr>
        <w:spacing w:after="120"/>
        <w:jc w:val="both"/>
        <w:rPr>
          <w:b/>
          <w:bCs/>
          <w:szCs w:val="18"/>
        </w:rPr>
      </w:pPr>
      <w:r w:rsidRPr="00EE2502">
        <w:rPr>
          <w:b/>
          <w:bCs/>
          <w:szCs w:val="18"/>
        </w:rPr>
        <w:t xml:space="preserve">Ofertowy (ślepy) kosztorys </w:t>
      </w:r>
      <w:r w:rsidRPr="00EE2502">
        <w:rPr>
          <w:szCs w:val="18"/>
        </w:rPr>
        <w:t>- wykaz robót z podaniem ich ilości (przedmiarem) w kolejności technologicznej ich wykonania.</w:t>
      </w:r>
    </w:p>
    <w:p w:rsidR="00EE2502" w:rsidRPr="00EE2502" w:rsidRDefault="00EE2502" w:rsidP="00EE2502">
      <w:pPr>
        <w:spacing w:after="120"/>
        <w:jc w:val="both"/>
        <w:rPr>
          <w:b/>
          <w:bCs/>
          <w:szCs w:val="18"/>
        </w:rPr>
      </w:pPr>
      <w:r w:rsidRPr="00EE2502">
        <w:rPr>
          <w:b/>
          <w:bCs/>
          <w:szCs w:val="18"/>
        </w:rPr>
        <w:t xml:space="preserve">Teren budowy </w:t>
      </w:r>
      <w:r w:rsidRPr="00EE2502">
        <w:rPr>
          <w:szCs w:val="18"/>
        </w:rPr>
        <w:t>- teren udostępniony przez Zamawiającego dla wykonania na nim robót oraz inne miejsca wymienione w kontrakcie jako tworzące część terenu budowy.</w:t>
      </w:r>
    </w:p>
    <w:p w:rsidR="00EE2502" w:rsidRPr="00EE2502" w:rsidRDefault="00EE2502" w:rsidP="00EE2502">
      <w:pPr>
        <w:spacing w:after="120"/>
        <w:jc w:val="both"/>
        <w:rPr>
          <w:b/>
          <w:bCs/>
          <w:szCs w:val="18"/>
        </w:rPr>
      </w:pPr>
      <w:r w:rsidRPr="00EE2502">
        <w:rPr>
          <w:b/>
          <w:bCs/>
          <w:szCs w:val="18"/>
        </w:rPr>
        <w:t xml:space="preserve">Tunel </w:t>
      </w:r>
      <w:r w:rsidRPr="00EE2502">
        <w:rPr>
          <w:szCs w:val="18"/>
        </w:rPr>
        <w:t>- obiekt zagłębiony poniżej poziomu terenu dla zapewnienia komunikacji drogowej i ruchu pieszego.</w:t>
      </w:r>
    </w:p>
    <w:p w:rsidR="00EE2502" w:rsidRPr="00EE2502" w:rsidRDefault="00EE2502" w:rsidP="00EE2502">
      <w:pPr>
        <w:spacing w:after="120"/>
        <w:jc w:val="both"/>
        <w:rPr>
          <w:b/>
          <w:bCs/>
          <w:szCs w:val="18"/>
        </w:rPr>
      </w:pPr>
      <w:r w:rsidRPr="00EE2502">
        <w:rPr>
          <w:b/>
          <w:bCs/>
          <w:szCs w:val="18"/>
        </w:rPr>
        <w:t xml:space="preserve">Wiadukt </w:t>
      </w:r>
      <w:r w:rsidRPr="00EE2502">
        <w:rPr>
          <w:szCs w:val="18"/>
        </w:rPr>
        <w:t>- obiekt zbudowany nad linią kolejową lub inną drogą dla bezkolizyjnego zapewnienia komunikacji drogowej i ruchu pieszego.</w:t>
      </w:r>
    </w:p>
    <w:p w:rsidR="00EE2502" w:rsidRPr="00EE2502" w:rsidRDefault="00EE2502" w:rsidP="00EE2502">
      <w:pPr>
        <w:spacing w:after="120"/>
        <w:jc w:val="both"/>
        <w:rPr>
          <w:b/>
          <w:bCs/>
          <w:szCs w:val="18"/>
        </w:rPr>
      </w:pPr>
      <w:r w:rsidRPr="00EE2502">
        <w:rPr>
          <w:b/>
          <w:bCs/>
          <w:szCs w:val="18"/>
        </w:rPr>
        <w:t xml:space="preserve">Zadanie budowlane </w:t>
      </w:r>
      <w:r w:rsidRPr="00EE2502">
        <w:rPr>
          <w:szCs w:val="18"/>
        </w:rPr>
        <w:t>- część przedsięwzięcia budowlanego, stanowiąca odrębną całość konstrukcyjną lub technologiczną, zdolną do samodzielnego pełnienia funkcji techniczno-użytkowych. Zadanie może polegać na wykonywaniu robót związanych z budową, modernizacją/ przebudową, utrzymaniem oraz ochroną budowli drogowej lub jej elementu.</w:t>
      </w:r>
    </w:p>
    <w:p w:rsidR="00EE2502" w:rsidRPr="00EE2502" w:rsidRDefault="00EE2502" w:rsidP="00EE2502">
      <w:pPr>
        <w:numPr>
          <w:ilvl w:val="1"/>
          <w:numId w:val="90"/>
        </w:numPr>
        <w:spacing w:before="120"/>
        <w:ind w:left="540" w:hanging="540"/>
        <w:jc w:val="both"/>
        <w:rPr>
          <w:b/>
          <w:bCs/>
          <w:szCs w:val="18"/>
        </w:rPr>
      </w:pPr>
      <w:r w:rsidRPr="00EE2502">
        <w:rPr>
          <w:b/>
          <w:bCs/>
          <w:szCs w:val="18"/>
        </w:rPr>
        <w:t>Ogólne wymagania dotyczące robót</w:t>
      </w:r>
    </w:p>
    <w:p w:rsidR="00EE2502" w:rsidRPr="00EE2502" w:rsidRDefault="00EE2502" w:rsidP="00EE2502">
      <w:pPr>
        <w:jc w:val="both"/>
        <w:rPr>
          <w:szCs w:val="18"/>
        </w:rPr>
      </w:pPr>
      <w:r w:rsidRPr="00EE2502">
        <w:rPr>
          <w:szCs w:val="18"/>
        </w:rPr>
        <w:t>Wykonawca jest odpowiedzialny za jakość wykonanych robót, bezpieczeństwo wszelkich czynności na terenie budowy, metody użyte przy budowie oraz za ich zgodność z dokumentacją projektową, ST i poleceniami Inżyniera/Kierownika projektu.</w:t>
      </w:r>
    </w:p>
    <w:p w:rsidR="00EE2502" w:rsidRPr="00EE2502" w:rsidRDefault="00EE2502" w:rsidP="00EE2502">
      <w:pPr>
        <w:numPr>
          <w:ilvl w:val="2"/>
          <w:numId w:val="90"/>
        </w:numPr>
        <w:spacing w:before="120"/>
        <w:ind w:left="1134" w:hanging="1077"/>
        <w:jc w:val="both"/>
        <w:rPr>
          <w:b/>
          <w:bCs/>
          <w:szCs w:val="18"/>
        </w:rPr>
      </w:pPr>
      <w:r w:rsidRPr="00EE2502">
        <w:rPr>
          <w:b/>
          <w:bCs/>
          <w:szCs w:val="18"/>
        </w:rPr>
        <w:t>Przekazanie terenu budowy.</w:t>
      </w:r>
    </w:p>
    <w:p w:rsidR="00EE2502" w:rsidRPr="00EE2502" w:rsidRDefault="00EE2502" w:rsidP="00EE2502">
      <w:pPr>
        <w:ind w:hanging="11"/>
        <w:jc w:val="both"/>
        <w:rPr>
          <w:snapToGrid w:val="0"/>
        </w:rPr>
      </w:pPr>
      <w:r w:rsidRPr="00EE2502">
        <w:rPr>
          <w:snapToGrid w:val="0"/>
        </w:rPr>
        <w:t>Zamawiający w terminie określonym w dokumentach kontraktowych przekaże Wykonawcy teren budowy wraz ze wszystkimi wymaganymi uzgodnieniami prawnymi i administracyjnymi, dziennik budowy oraz dwa egzemplarze dokumentacji projektowej i dwa komplety ST.</w:t>
      </w:r>
    </w:p>
    <w:p w:rsidR="00EE2502" w:rsidRPr="00EE2502" w:rsidRDefault="00EE2502" w:rsidP="00EE2502">
      <w:pPr>
        <w:numPr>
          <w:ilvl w:val="2"/>
          <w:numId w:val="90"/>
        </w:numPr>
        <w:spacing w:before="120"/>
        <w:ind w:left="1077" w:hanging="1077"/>
        <w:jc w:val="both"/>
        <w:rPr>
          <w:b/>
          <w:bCs/>
          <w:szCs w:val="18"/>
        </w:rPr>
      </w:pPr>
      <w:r w:rsidRPr="00EE2502">
        <w:rPr>
          <w:b/>
          <w:bCs/>
          <w:szCs w:val="18"/>
        </w:rPr>
        <w:t>Dokumentacja projektowa</w:t>
      </w:r>
    </w:p>
    <w:p w:rsidR="00EE2502" w:rsidRPr="00EE2502" w:rsidRDefault="00EE2502" w:rsidP="00EE2502">
      <w:pPr>
        <w:ind w:hanging="11"/>
        <w:jc w:val="both"/>
        <w:rPr>
          <w:snapToGrid w:val="0"/>
        </w:rPr>
      </w:pPr>
      <w:r w:rsidRPr="00EE2502">
        <w:rPr>
          <w:snapToGrid w:val="0"/>
        </w:rPr>
        <w:t>Dokumentacja projektowa będzie zawierać rysunki, obliczenia i dokumenty, zgodne z wykazem podanym w szczegółowych warunkach umowy, uwzględniającym podział na dokumentację projektową:</w:t>
      </w:r>
    </w:p>
    <w:p w:rsidR="00EE2502" w:rsidRPr="00EE2502" w:rsidRDefault="00EE2502" w:rsidP="00EE2502">
      <w:pPr>
        <w:numPr>
          <w:ilvl w:val="1"/>
          <w:numId w:val="96"/>
        </w:numPr>
        <w:ind w:left="720"/>
        <w:jc w:val="both"/>
        <w:rPr>
          <w:szCs w:val="18"/>
        </w:rPr>
      </w:pPr>
      <w:r w:rsidRPr="00EE2502">
        <w:rPr>
          <w:szCs w:val="18"/>
        </w:rPr>
        <w:t>Zamawiającego; wykaz pozycji, które stanowią przetargową dokumentację projektową oraz projektową dokumentację wykonawczą (techniczną) i zostaną przekazane Wykonawcy,</w:t>
      </w:r>
    </w:p>
    <w:p w:rsidR="00EE2502" w:rsidRPr="00EE2502" w:rsidRDefault="00EE2502" w:rsidP="00EE2502">
      <w:pPr>
        <w:numPr>
          <w:ilvl w:val="1"/>
          <w:numId w:val="96"/>
        </w:numPr>
        <w:ind w:left="720"/>
        <w:jc w:val="both"/>
        <w:rPr>
          <w:szCs w:val="18"/>
        </w:rPr>
      </w:pPr>
      <w:r w:rsidRPr="00EE2502">
        <w:rPr>
          <w:szCs w:val="18"/>
        </w:rPr>
        <w:t>Wykonawcy; wykaz zawierający spis dokumentacji projektowej, którą Wykonawca opracuje w ramach ceny kontraktowej.</w:t>
      </w:r>
    </w:p>
    <w:p w:rsidR="00EE2502" w:rsidRPr="00EE2502" w:rsidRDefault="00EE2502" w:rsidP="00EE2502">
      <w:pPr>
        <w:numPr>
          <w:ilvl w:val="2"/>
          <w:numId w:val="90"/>
        </w:numPr>
        <w:spacing w:before="120"/>
        <w:ind w:left="1077" w:hanging="1077"/>
        <w:jc w:val="both"/>
        <w:rPr>
          <w:b/>
          <w:bCs/>
          <w:szCs w:val="18"/>
        </w:rPr>
      </w:pPr>
      <w:r w:rsidRPr="00EE2502">
        <w:rPr>
          <w:b/>
          <w:bCs/>
          <w:szCs w:val="18"/>
        </w:rPr>
        <w:t>Zgodność robót z dokumentacją projektową i ST</w:t>
      </w:r>
    </w:p>
    <w:p w:rsidR="00EE2502" w:rsidRPr="00EE2502" w:rsidRDefault="00EE2502" w:rsidP="00EE2502">
      <w:pPr>
        <w:ind w:hanging="11"/>
        <w:jc w:val="both"/>
        <w:rPr>
          <w:snapToGrid w:val="0"/>
        </w:rPr>
      </w:pPr>
      <w:r w:rsidRPr="00EE2502">
        <w:rPr>
          <w:snapToGrid w:val="0"/>
        </w:rPr>
        <w:t>Dokumentacja projektowa, ST i wszystkie dodatkowe dokumenty przekazane Wykonawcy przez Inżyniera/Kierownika projektu stanowią część umowy, a wymagania określone w choćby jednym z nich są obowiązujące dla Wykonawcy tak jakby zawarte były w całej dokumentacji.</w:t>
      </w:r>
    </w:p>
    <w:p w:rsidR="00EE2502" w:rsidRPr="00EE2502" w:rsidRDefault="00EE2502" w:rsidP="00EE2502">
      <w:pPr>
        <w:ind w:hanging="11"/>
        <w:jc w:val="both"/>
        <w:rPr>
          <w:snapToGrid w:val="0"/>
        </w:rPr>
      </w:pPr>
      <w:r w:rsidRPr="00EE2502">
        <w:rPr>
          <w:snapToGrid w:val="0"/>
        </w:rPr>
        <w:t>W przypadku rozbieżności w ustaleniach poszczególnych dokumentów obowiązuje kolejność ich ważności wymieniona w „Kontraktowych warunkach ogólnych" („Ogólnych warunkach umowy").</w:t>
      </w:r>
    </w:p>
    <w:p w:rsidR="00EE2502" w:rsidRPr="00EE2502" w:rsidRDefault="00EE2502" w:rsidP="00EE2502">
      <w:pPr>
        <w:ind w:hanging="11"/>
        <w:jc w:val="both"/>
        <w:rPr>
          <w:snapToGrid w:val="0"/>
        </w:rPr>
      </w:pPr>
      <w:r w:rsidRPr="00EE2502">
        <w:rPr>
          <w:snapToGrid w:val="0"/>
        </w:rPr>
        <w:t>Wykonawca nie może wykorzystywać błędów lub opuszczeń w dokumentach kontraktowych, a o ich wykryciu winien natychmiast powiadomić Inżyniera/Kierownika projektu, który podejmie decyzję o wprowadzeniu odpowiednich zmian i poprawek.</w:t>
      </w:r>
    </w:p>
    <w:p w:rsidR="00EE2502" w:rsidRPr="00EE2502" w:rsidRDefault="00EE2502" w:rsidP="00EE2502">
      <w:pPr>
        <w:ind w:hanging="11"/>
        <w:jc w:val="both"/>
        <w:rPr>
          <w:snapToGrid w:val="0"/>
        </w:rPr>
      </w:pPr>
      <w:r w:rsidRPr="00EE2502">
        <w:rPr>
          <w:snapToGrid w:val="0"/>
        </w:rPr>
        <w:t>W przypadku rozbieżności, wymiary podane na piśmie są ważniejsze od wymiarów określonych na podstawie odczytu ze skali rysunku.</w:t>
      </w:r>
    </w:p>
    <w:p w:rsidR="00EE2502" w:rsidRPr="00EE2502" w:rsidRDefault="00EE2502" w:rsidP="00EE2502">
      <w:pPr>
        <w:ind w:hanging="11"/>
        <w:jc w:val="both"/>
        <w:rPr>
          <w:snapToGrid w:val="0"/>
        </w:rPr>
      </w:pPr>
      <w:r w:rsidRPr="00EE2502">
        <w:rPr>
          <w:snapToGrid w:val="0"/>
        </w:rPr>
        <w:t>Wszystkie wykonane roboty i dostarczone materiały będą zgodne z dokumentacją projektową i ST.</w:t>
      </w:r>
    </w:p>
    <w:p w:rsidR="00EE2502" w:rsidRPr="00EE2502" w:rsidRDefault="00EE2502" w:rsidP="00EE2502">
      <w:pPr>
        <w:ind w:hanging="11"/>
        <w:jc w:val="both"/>
        <w:rPr>
          <w:snapToGrid w:val="0"/>
        </w:rPr>
      </w:pPr>
      <w:r w:rsidRPr="00EE2502">
        <w:rPr>
          <w:snapToGrid w:val="0"/>
        </w:rPr>
        <w:t>Dane określone w dokumentacji projektowej i w ST będą uważane za wartości docelowe, od których dopuszczalne są odchylenia w ramach określonego przedziału tolerancji. Cechy materiałów i elementów budowli muszą wykazywać zgodność z określonymi wymaganiami, a rozrzuty tych cech nie mogą przekraczać dopuszczalnego przedziału tolerancji.</w:t>
      </w:r>
    </w:p>
    <w:p w:rsidR="00EE2502" w:rsidRPr="00EE2502" w:rsidRDefault="00EE2502" w:rsidP="00EE2502">
      <w:pPr>
        <w:ind w:hanging="11"/>
        <w:jc w:val="both"/>
        <w:rPr>
          <w:snapToGrid w:val="0"/>
        </w:rPr>
      </w:pPr>
      <w:r w:rsidRPr="00EE2502">
        <w:rPr>
          <w:snapToGrid w:val="0"/>
        </w:rPr>
        <w:t>W przypadku, gdy materiały lub roboty nie będą w pełni zgodne z dokumentacją projektową lub ST i wpłynie to na niezadowalającą jakość elementu budowli, to takie materiały zostaną zastąpione innymi, a elementy budowli rozebrane i wykonane ponownie na koszt Wykonawcy.</w:t>
      </w:r>
    </w:p>
    <w:p w:rsidR="00EE2502" w:rsidRPr="00EE2502" w:rsidRDefault="00EE2502" w:rsidP="00EE2502">
      <w:pPr>
        <w:numPr>
          <w:ilvl w:val="2"/>
          <w:numId w:val="90"/>
        </w:numPr>
        <w:spacing w:before="120"/>
        <w:ind w:left="1077" w:hanging="1077"/>
        <w:jc w:val="both"/>
        <w:rPr>
          <w:b/>
          <w:bCs/>
          <w:szCs w:val="18"/>
        </w:rPr>
      </w:pPr>
      <w:r w:rsidRPr="00EE2502">
        <w:rPr>
          <w:b/>
          <w:bCs/>
          <w:szCs w:val="18"/>
        </w:rPr>
        <w:t>Zabezpieczenie terenu budowy</w:t>
      </w:r>
    </w:p>
    <w:p w:rsidR="00EE2502" w:rsidRPr="00EE2502" w:rsidRDefault="00EE2502" w:rsidP="00EE2502">
      <w:pPr>
        <w:numPr>
          <w:ilvl w:val="0"/>
          <w:numId w:val="92"/>
        </w:numPr>
        <w:tabs>
          <w:tab w:val="num" w:pos="360"/>
        </w:tabs>
        <w:ind w:hanging="11"/>
        <w:jc w:val="both"/>
        <w:rPr>
          <w:szCs w:val="16"/>
        </w:rPr>
      </w:pPr>
      <w:r w:rsidRPr="00EE2502">
        <w:rPr>
          <w:szCs w:val="16"/>
        </w:rPr>
        <w:t xml:space="preserve">Roboty modernizacyjne/ przebudowa i remontowe </w:t>
      </w:r>
    </w:p>
    <w:p w:rsidR="00EE2502" w:rsidRPr="00EE2502" w:rsidRDefault="00EE2502" w:rsidP="00EE2502">
      <w:pPr>
        <w:jc w:val="both"/>
        <w:rPr>
          <w:szCs w:val="16"/>
        </w:rPr>
      </w:pPr>
    </w:p>
    <w:p w:rsidR="00EE2502" w:rsidRPr="00EE2502" w:rsidRDefault="00EE2502" w:rsidP="00EE2502">
      <w:pPr>
        <w:ind w:hanging="11"/>
        <w:jc w:val="both"/>
        <w:rPr>
          <w:snapToGrid w:val="0"/>
        </w:rPr>
      </w:pPr>
      <w:r w:rsidRPr="00EE2502">
        <w:rPr>
          <w:snapToGrid w:val="0"/>
        </w:rPr>
        <w:t xml:space="preserve">    Wykonawca jest zobowiązany do utrzymania ruchu pieszego oraz dojazdów do działak  przez teren budowy, w okresie trwania realizacji kontraktu, aż do zakończenia i odbioru ostatecznego robót. </w:t>
      </w:r>
    </w:p>
    <w:p w:rsidR="00EE2502" w:rsidRPr="00EE2502" w:rsidRDefault="00EE2502" w:rsidP="00EE2502">
      <w:pPr>
        <w:ind w:hanging="11"/>
        <w:jc w:val="both"/>
        <w:rPr>
          <w:snapToGrid w:val="0"/>
        </w:rPr>
      </w:pPr>
      <w:r w:rsidRPr="00EE2502">
        <w:rPr>
          <w:snapToGrid w:val="0"/>
        </w:rPr>
        <w:t>Przed przystąpieniem do robót Zamawiający przekaże Wykonawcy Projekt organizacji ruchu jeśli ze względu na przyjętą technologię Wykonawca zamierza wprowadzić dodatkowe zmiany w organizacji ruchu wtedy przedstawi Inspektorowi nadzoru do zatwierdzenia, uzgodniony z odpowiednim zarządem drogi i organem zarządzającym ruchem, projekt organizacji ruchu i zabezpieczenia robót w okresie trwania budowy</w:t>
      </w:r>
    </w:p>
    <w:p w:rsidR="00EE2502" w:rsidRPr="00EE2502" w:rsidRDefault="00EE2502" w:rsidP="00EE2502">
      <w:pPr>
        <w:ind w:hanging="11"/>
        <w:jc w:val="both"/>
        <w:rPr>
          <w:snapToGrid w:val="0"/>
        </w:rPr>
      </w:pPr>
      <w:r w:rsidRPr="00EE2502">
        <w:rPr>
          <w:snapToGrid w:val="0"/>
        </w:rPr>
        <w:t>W zależności od potrzeb i postępu robót projekt organizacji ruchu powinien być na bieżąco aktualizowany przez Wykonawcę. Każda zmiana, w stosunku do zatwierdzonego projektu organizacji ruchu, wymaga każdorazowo ponownego zatwierdzenia projektu.</w:t>
      </w:r>
    </w:p>
    <w:p w:rsidR="00EE2502" w:rsidRPr="00EE2502" w:rsidRDefault="00EE2502" w:rsidP="00EE2502">
      <w:pPr>
        <w:ind w:hanging="11"/>
        <w:jc w:val="both"/>
        <w:rPr>
          <w:snapToGrid w:val="0"/>
        </w:rPr>
      </w:pPr>
      <w:r w:rsidRPr="00EE2502">
        <w:rPr>
          <w:snapToGrid w:val="0"/>
        </w:rPr>
        <w:t>W czasie wykonywania robót Wykonawca dostarczy, zainstaluje i będzie obsługiwał wszystkie tymczasowe urządzenia zabezpieczające takie jak: zapory, światła ostrzegawcze, sygnały, itp., zapewniając w ten sposób bezpieczeństwo pojazdów i pieszych.</w:t>
      </w:r>
    </w:p>
    <w:p w:rsidR="00EE2502" w:rsidRPr="00EE2502" w:rsidRDefault="00EE2502" w:rsidP="00EE2502">
      <w:pPr>
        <w:ind w:hanging="11"/>
        <w:jc w:val="both"/>
        <w:rPr>
          <w:snapToGrid w:val="0"/>
        </w:rPr>
      </w:pPr>
      <w:r w:rsidRPr="00EE2502">
        <w:rPr>
          <w:snapToGrid w:val="0"/>
        </w:rPr>
        <w:t>Wykonawca zapewni stałe warunki widoczności w dzień i w nocy tych zapór i znaków, dla których jest to nieodzowne ze względów bezpieczeństwa.</w:t>
      </w:r>
    </w:p>
    <w:p w:rsidR="00EE2502" w:rsidRPr="00EE2502" w:rsidRDefault="00EE2502" w:rsidP="00EE2502">
      <w:pPr>
        <w:ind w:hanging="11"/>
        <w:jc w:val="both"/>
        <w:rPr>
          <w:snapToGrid w:val="0"/>
        </w:rPr>
      </w:pPr>
      <w:r w:rsidRPr="00EE2502">
        <w:rPr>
          <w:snapToGrid w:val="0"/>
        </w:rPr>
        <w:t>Wszystkie znaki, zapory i inne urządzenia zabezpieczające będą akceptowane przez Inżyniera/Kierownika projektu.</w:t>
      </w:r>
    </w:p>
    <w:p w:rsidR="00EE2502" w:rsidRPr="00EE2502" w:rsidRDefault="00EE2502" w:rsidP="00EE2502">
      <w:pPr>
        <w:ind w:hanging="11"/>
        <w:jc w:val="both"/>
        <w:rPr>
          <w:snapToGrid w:val="0"/>
        </w:rPr>
      </w:pPr>
      <w:r w:rsidRPr="00EE2502">
        <w:rPr>
          <w:snapToGrid w:val="0"/>
        </w:rPr>
        <w:t>Fakt przystąpienia do robót Wykonawca obwieści publicznie przed ich rozpoczęciem w sposób uzgodniony z Inżynierem/Kierownikiem projektu oraz przez umieszczenie, w miejscach i ilościach określonych przez Inżyniera/Kierownika projektu, tablic informacyjnych, których treść będzie zatwierdzona przez Inżyniera/Kierownika projektu. Tablice informacyjne będą utrzymywane przez Wykonawcę w dobrym stanie przez cały okres realizacji robót.</w:t>
      </w:r>
    </w:p>
    <w:p w:rsidR="00EE2502" w:rsidRPr="00EE2502" w:rsidRDefault="00EE2502" w:rsidP="00EE2502">
      <w:pPr>
        <w:ind w:hanging="11"/>
        <w:jc w:val="both"/>
        <w:rPr>
          <w:snapToGrid w:val="0"/>
        </w:rPr>
      </w:pPr>
      <w:r w:rsidRPr="00EE2502">
        <w:rPr>
          <w:snapToGrid w:val="0"/>
        </w:rPr>
        <w:t>Koszt zabezpieczenia terenu budowy nie podlega odrębnej zapłacie i przyjmuje się, że jest włączony w cenę kontraktową.</w:t>
      </w:r>
    </w:p>
    <w:p w:rsidR="00EE2502" w:rsidRPr="00EE2502" w:rsidRDefault="00EE2502" w:rsidP="00EE2502">
      <w:pPr>
        <w:numPr>
          <w:ilvl w:val="0"/>
          <w:numId w:val="92"/>
        </w:numPr>
        <w:tabs>
          <w:tab w:val="num" w:pos="360"/>
        </w:tabs>
        <w:ind w:hanging="11"/>
        <w:jc w:val="both"/>
        <w:rPr>
          <w:szCs w:val="16"/>
        </w:rPr>
      </w:pPr>
      <w:r w:rsidRPr="00EE2502">
        <w:rPr>
          <w:szCs w:val="16"/>
        </w:rPr>
        <w:t>Roboty o charakterze inwestycyjnym</w:t>
      </w:r>
    </w:p>
    <w:p w:rsidR="00EE2502" w:rsidRPr="00EE2502" w:rsidRDefault="00EE2502" w:rsidP="00EE2502">
      <w:pPr>
        <w:ind w:hanging="11"/>
        <w:jc w:val="both"/>
        <w:rPr>
          <w:snapToGrid w:val="0"/>
        </w:rPr>
      </w:pPr>
      <w:r w:rsidRPr="00EE2502">
        <w:rPr>
          <w:snapToGrid w:val="0"/>
        </w:rPr>
        <w:t>Wykonawca jest zobowiązany do zabezpieczenia terenu budowy w okresie trwania realizacji kontraktu aż do zakończenia i odbioru końcowego robót.</w:t>
      </w:r>
    </w:p>
    <w:p w:rsidR="00EE2502" w:rsidRPr="00EE2502" w:rsidRDefault="00EE2502" w:rsidP="00EE2502">
      <w:pPr>
        <w:ind w:hanging="11"/>
        <w:jc w:val="both"/>
        <w:rPr>
          <w:snapToGrid w:val="0"/>
          <w:szCs w:val="16"/>
        </w:rPr>
      </w:pPr>
      <w:r w:rsidRPr="00EE2502">
        <w:rPr>
          <w:snapToGrid w:val="0"/>
        </w:rPr>
        <w:t>Wykonawca dostarczy, zainstaluje i będzie utrzymywać tymczasowe urządzenia zabezpieczające, w tym: ogrodzenia, poręcze, oświetlenie, sygnały i znaki ostrzegawcze oraz wszelkie inne środki niezbędne do</w:t>
      </w:r>
      <w:r w:rsidRPr="00EE2502">
        <w:rPr>
          <w:snapToGrid w:val="0"/>
          <w:szCs w:val="16"/>
        </w:rPr>
        <w:t xml:space="preserve"> ochrony robót, wygody społeczności i innych.</w:t>
      </w:r>
    </w:p>
    <w:p w:rsidR="00EE2502" w:rsidRPr="00EE2502" w:rsidRDefault="00EE2502" w:rsidP="00EE2502">
      <w:pPr>
        <w:ind w:hanging="11"/>
        <w:jc w:val="both"/>
        <w:rPr>
          <w:snapToGrid w:val="0"/>
        </w:rPr>
      </w:pPr>
      <w:r w:rsidRPr="00EE2502">
        <w:rPr>
          <w:snapToGrid w:val="0"/>
        </w:rPr>
        <w:t>W miejscach przylegających do dróg otwartych dla ruchu. Wykonawca ogrodzi lub wyraźnie oznakuje teren budowy, w sposób uzgodniony z Inżynierem/Kierownikiem projektu.</w:t>
      </w:r>
    </w:p>
    <w:p w:rsidR="00EE2502" w:rsidRPr="00EE2502" w:rsidRDefault="00EE2502" w:rsidP="00EE2502">
      <w:pPr>
        <w:ind w:hanging="11"/>
        <w:jc w:val="both"/>
        <w:rPr>
          <w:snapToGrid w:val="0"/>
        </w:rPr>
      </w:pPr>
      <w:r w:rsidRPr="00EE2502">
        <w:rPr>
          <w:snapToGrid w:val="0"/>
        </w:rPr>
        <w:t>Wjazdy i wyjazdy z terenu budowy przeznaczone dla pojazdów i maszyn pracujących przy realizacji robót. Wykonawca odpowiednio oznakuje w sposób uzgodniony z Inżynierem/Kierownikiem projektu.</w:t>
      </w:r>
    </w:p>
    <w:p w:rsidR="00EE2502" w:rsidRPr="00EE2502" w:rsidRDefault="00EE2502" w:rsidP="00EE2502">
      <w:pPr>
        <w:ind w:hanging="11"/>
        <w:jc w:val="both"/>
        <w:rPr>
          <w:snapToGrid w:val="0"/>
        </w:rPr>
      </w:pPr>
      <w:r w:rsidRPr="00EE2502">
        <w:rPr>
          <w:snapToGrid w:val="0"/>
        </w:rPr>
        <w:t>Fakt przystąpienia do robót Wykonawca obwieści publicznie przed ich rozpoczęciem w sposób uzgodniony z Inżynierem/Kierownikiem projektu oraz przez umieszczenie, w miejscach i ilościach określonych przez Inżyniera/Kierownika projektu, tablic informacyjnych, których treść będzie zatwierdzona przez Inżyniera/Kierownika projektu. Tablice informacyjne będą utrzymywane przez Wykonawcę w dobrym stanie przez cały okres realizacji robót.</w:t>
      </w:r>
    </w:p>
    <w:p w:rsidR="00EE2502" w:rsidRPr="00EE2502" w:rsidRDefault="00EE2502" w:rsidP="00EE2502">
      <w:pPr>
        <w:ind w:hanging="11"/>
        <w:jc w:val="both"/>
        <w:rPr>
          <w:snapToGrid w:val="0"/>
        </w:rPr>
      </w:pPr>
      <w:r w:rsidRPr="00EE2502">
        <w:rPr>
          <w:snapToGrid w:val="0"/>
        </w:rPr>
        <w:t>Koszt zabezpieczenia terenu budowy nie podlega odrębnej zapłacie i przyjmuje się, że jest włączony w cenę kontraktową.</w:t>
      </w:r>
    </w:p>
    <w:p w:rsidR="00EE2502" w:rsidRPr="00EE2502" w:rsidRDefault="00EE2502" w:rsidP="00EE2502">
      <w:pPr>
        <w:numPr>
          <w:ilvl w:val="2"/>
          <w:numId w:val="90"/>
        </w:numPr>
        <w:spacing w:before="120"/>
        <w:ind w:left="1077" w:hanging="1077"/>
        <w:jc w:val="both"/>
        <w:rPr>
          <w:b/>
          <w:bCs/>
          <w:szCs w:val="18"/>
        </w:rPr>
      </w:pPr>
      <w:r w:rsidRPr="00EE2502">
        <w:rPr>
          <w:b/>
          <w:bCs/>
          <w:szCs w:val="18"/>
        </w:rPr>
        <w:t>Ochrona środowiska w czasie wykonywania robót</w:t>
      </w:r>
    </w:p>
    <w:p w:rsidR="00EE2502" w:rsidRPr="00EE2502" w:rsidRDefault="00EE2502" w:rsidP="00EE2502">
      <w:pPr>
        <w:ind w:hanging="11"/>
        <w:jc w:val="both"/>
        <w:rPr>
          <w:snapToGrid w:val="0"/>
        </w:rPr>
      </w:pPr>
      <w:r w:rsidRPr="00EE2502">
        <w:rPr>
          <w:snapToGrid w:val="0"/>
        </w:rPr>
        <w:t>Wykonawca ma obowiązek znać i stosować w czasie prowadzenia robót wszelkie przepisy dotyczące ochrony środowiska naturalnego.</w:t>
      </w:r>
    </w:p>
    <w:p w:rsidR="00EE2502" w:rsidRPr="00EE2502" w:rsidRDefault="00EE2502" w:rsidP="00EE2502">
      <w:pPr>
        <w:ind w:hanging="11"/>
        <w:jc w:val="both"/>
        <w:rPr>
          <w:snapToGrid w:val="0"/>
        </w:rPr>
      </w:pPr>
      <w:r w:rsidRPr="00EE2502">
        <w:rPr>
          <w:snapToGrid w:val="0"/>
        </w:rPr>
        <w:t xml:space="preserve">W okresie trwania budowy i wykańczania robót Wykonawca będzie: </w:t>
      </w:r>
    </w:p>
    <w:p w:rsidR="00EE2502" w:rsidRPr="00EE2502" w:rsidRDefault="00EE2502" w:rsidP="00EE2502">
      <w:pPr>
        <w:numPr>
          <w:ilvl w:val="0"/>
          <w:numId w:val="93"/>
        </w:numPr>
        <w:ind w:hanging="11"/>
        <w:jc w:val="both"/>
        <w:rPr>
          <w:snapToGrid w:val="0"/>
        </w:rPr>
      </w:pPr>
      <w:r w:rsidRPr="00EE2502">
        <w:rPr>
          <w:snapToGrid w:val="0"/>
        </w:rPr>
        <w:t>utrzymywać teren budowy i wykopy w stanie bez wody stojącej,</w:t>
      </w:r>
    </w:p>
    <w:p w:rsidR="00EE2502" w:rsidRPr="00EE2502" w:rsidRDefault="00EE2502" w:rsidP="00EE2502">
      <w:pPr>
        <w:numPr>
          <w:ilvl w:val="0"/>
          <w:numId w:val="93"/>
        </w:numPr>
        <w:ind w:hanging="11"/>
        <w:jc w:val="both"/>
        <w:rPr>
          <w:snapToGrid w:val="0"/>
        </w:rPr>
      </w:pPr>
      <w:r w:rsidRPr="00EE2502">
        <w:rPr>
          <w:snapToGrid w:val="0"/>
        </w:rPr>
        <w:t>należy sprawdzać na bierzaco stan techniczny pracujących maszyn budowlanych i transportowych</w:t>
      </w:r>
    </w:p>
    <w:p w:rsidR="00EE2502" w:rsidRPr="00EE2502" w:rsidRDefault="00EE2502" w:rsidP="00EE2502">
      <w:pPr>
        <w:numPr>
          <w:ilvl w:val="0"/>
          <w:numId w:val="93"/>
        </w:numPr>
        <w:ind w:hanging="11"/>
        <w:jc w:val="both"/>
        <w:rPr>
          <w:snapToGrid w:val="0"/>
        </w:rPr>
      </w:pPr>
      <w:r w:rsidRPr="00EE2502">
        <w:rPr>
          <w:snapToGrid w:val="0"/>
        </w:rPr>
        <w:t>zastosować odpowiednie zabezpieczenie prac rozbiórkowych oraz montażowych w taki sposób, aby do cieku wodnego oraz na przyległy teren nie przedostawały się odpady budowlane</w:t>
      </w:r>
    </w:p>
    <w:p w:rsidR="00EE2502" w:rsidRPr="00EE2502" w:rsidRDefault="00EE2502" w:rsidP="00EE2502">
      <w:pPr>
        <w:numPr>
          <w:ilvl w:val="0"/>
          <w:numId w:val="93"/>
        </w:numPr>
        <w:ind w:hanging="11"/>
        <w:jc w:val="both"/>
        <w:rPr>
          <w:snapToGrid w:val="0"/>
        </w:rPr>
      </w:pPr>
      <w:r w:rsidRPr="00EE2502">
        <w:rPr>
          <w:snapToGrid w:val="0"/>
        </w:rPr>
        <w:t>do prac używać sprawnego technicznie sprzętu, prace wykonywać z zachowaniem sczególnej ostrożności, substancji chemicznych używać zgodnie z przeznaczeniem i przechowywać je w specjalnie wydzielonych i zabezpieczonych miejscach, aby maksymalnie ograniczć możliwość wycieku paliwa, oleju czy innych substancji bezpośrednio do ziemi i wód powierzchniowych</w:t>
      </w:r>
    </w:p>
    <w:p w:rsidR="00EE2502" w:rsidRPr="00EE2502" w:rsidRDefault="00EE2502" w:rsidP="00EE2502">
      <w:pPr>
        <w:numPr>
          <w:ilvl w:val="0"/>
          <w:numId w:val="93"/>
        </w:numPr>
        <w:ind w:hanging="11"/>
        <w:jc w:val="both"/>
        <w:rPr>
          <w:snapToGrid w:val="0"/>
        </w:rPr>
      </w:pPr>
      <w:r w:rsidRPr="00EE2502">
        <w:rPr>
          <w:snapToGrid w:val="0"/>
        </w:rPr>
        <w:t>plac budowy zaopatrzyć w sorbenty na wypadek wycieku substancji ropopochodnych, a w przypadku ich wycieku należ jak najszybciej zabezpieczyć miejsce rozlania, użyć sorbentu, zebrać i zutylizować rozlany płyn</w:t>
      </w:r>
    </w:p>
    <w:p w:rsidR="00EE2502" w:rsidRPr="00EE2502" w:rsidRDefault="00EE2502" w:rsidP="00EE2502">
      <w:pPr>
        <w:numPr>
          <w:ilvl w:val="0"/>
          <w:numId w:val="93"/>
        </w:numPr>
        <w:ind w:hanging="11"/>
        <w:jc w:val="both"/>
        <w:rPr>
          <w:snapToGrid w:val="0"/>
        </w:rPr>
      </w:pPr>
      <w:r w:rsidRPr="00EE2502">
        <w:rPr>
          <w:snapToGrid w:val="0"/>
        </w:rPr>
        <w:t>w trakcie realizacji inwestycji nie dopuścić do zaśmiecenia, zasypania, zanieczszczenia koryta cieku, zwłaszcza substancjami ropopochodnymi – prace nie mogą wpłynąć na pogorszenie stanu czystości wód powierzchniowych i podziemnych oraz zmianę reżimu przepływu cieku.</w:t>
      </w:r>
    </w:p>
    <w:p w:rsidR="00EE2502" w:rsidRPr="00EE2502" w:rsidRDefault="00EE2502" w:rsidP="00EE2502">
      <w:pPr>
        <w:numPr>
          <w:ilvl w:val="0"/>
          <w:numId w:val="93"/>
        </w:numPr>
        <w:ind w:hanging="11"/>
        <w:jc w:val="both"/>
        <w:rPr>
          <w:snapToGrid w:val="0"/>
        </w:rPr>
      </w:pPr>
      <w:r w:rsidRPr="00EE2502">
        <w:rPr>
          <w:snapToGrid w:val="0"/>
        </w:rPr>
        <w:t>ścieki bytowe wytwarzane podczas realizacji inwestycji gromadzić w szczelnych zbiornikach bezodpływowych przewoźnych sanitariów, a następnie systematycznie przekazywać za pośrednictwem uprawnionych odbiorców do oczyszczalni.</w:t>
      </w:r>
    </w:p>
    <w:p w:rsidR="00EE2502" w:rsidRPr="00EE2502" w:rsidRDefault="00EE2502" w:rsidP="00EE2502">
      <w:pPr>
        <w:numPr>
          <w:ilvl w:val="0"/>
          <w:numId w:val="93"/>
        </w:numPr>
        <w:ind w:hanging="11"/>
        <w:jc w:val="both"/>
        <w:rPr>
          <w:snapToGrid w:val="0"/>
        </w:rPr>
      </w:pPr>
      <w:r w:rsidRPr="00EE2502">
        <w:rPr>
          <w:snapToGrid w:val="0"/>
        </w:rPr>
        <w:t>Odpady niebezpieczne magazynować w specjalnych pojemnikach, odpornych na działanie zawartych w nich substancji, a następnie przekazywać je podmiotom posiadającym wymagane prawem zezwolenia w zakresie gospodarowania odpadami.</w:t>
      </w:r>
    </w:p>
    <w:p w:rsidR="00EE2502" w:rsidRPr="00EE2502" w:rsidRDefault="00EE2502" w:rsidP="00EE2502">
      <w:pPr>
        <w:numPr>
          <w:ilvl w:val="0"/>
          <w:numId w:val="93"/>
        </w:numPr>
        <w:ind w:hanging="11"/>
        <w:jc w:val="both"/>
        <w:rPr>
          <w:snapToGrid w:val="0"/>
        </w:rPr>
      </w:pPr>
      <w:r w:rsidRPr="00EE2502">
        <w:rPr>
          <w:snapToGrid w:val="0"/>
        </w:rPr>
        <w:t>podejmować wszelkie uzasadnione kroki mające na celu stosowanie się do przepisów i norm dotyczących ochrony środowiska na terenie i wokół terenu budowy oraz będzie unikać uszkodzeń lub uciążliwości dla osób lub dóbr publicznych i innych, a wynikających z nadmiernego hałasu, wibracji, zanieczyszczenia lub innych przyczyn powstałych w następstwie jego sposobu działania. Stosując się do tych wymagań będzie miał szczególny wzgląd na:</w:t>
      </w:r>
    </w:p>
    <w:p w:rsidR="00EE2502" w:rsidRPr="00EE2502" w:rsidRDefault="00EE2502" w:rsidP="00EE2502">
      <w:pPr>
        <w:numPr>
          <w:ilvl w:val="1"/>
          <w:numId w:val="93"/>
        </w:numPr>
        <w:ind w:hanging="11"/>
        <w:jc w:val="both"/>
        <w:rPr>
          <w:szCs w:val="16"/>
        </w:rPr>
      </w:pPr>
      <w:r w:rsidRPr="00EE2502">
        <w:rPr>
          <w:szCs w:val="16"/>
        </w:rPr>
        <w:t>lokalizację baz, warsztatów, magazynów, składowisk, ukopów i dróg dojazdowych,</w:t>
      </w:r>
    </w:p>
    <w:p w:rsidR="00EE2502" w:rsidRPr="00EE2502" w:rsidRDefault="00EE2502" w:rsidP="00EE2502">
      <w:pPr>
        <w:numPr>
          <w:ilvl w:val="1"/>
          <w:numId w:val="93"/>
        </w:numPr>
        <w:ind w:hanging="11"/>
        <w:jc w:val="both"/>
        <w:rPr>
          <w:szCs w:val="16"/>
        </w:rPr>
      </w:pPr>
      <w:r w:rsidRPr="00EE2502">
        <w:rPr>
          <w:szCs w:val="16"/>
        </w:rPr>
        <w:t xml:space="preserve">środki ostrożności i zabezpieczenia przed: </w:t>
      </w:r>
    </w:p>
    <w:p w:rsidR="00EE2502" w:rsidRPr="00EE2502" w:rsidRDefault="00EE2502" w:rsidP="00EE2502">
      <w:pPr>
        <w:numPr>
          <w:ilvl w:val="0"/>
          <w:numId w:val="94"/>
        </w:numPr>
        <w:tabs>
          <w:tab w:val="num" w:pos="360"/>
        </w:tabs>
        <w:ind w:hanging="11"/>
        <w:jc w:val="both"/>
        <w:rPr>
          <w:szCs w:val="18"/>
        </w:rPr>
      </w:pPr>
      <w:r w:rsidRPr="00EE2502">
        <w:rPr>
          <w:szCs w:val="16"/>
        </w:rPr>
        <w:t xml:space="preserve">zanieczyszczeniem zbiorników i cieków wodnych pyłami lub substancjami </w:t>
      </w:r>
      <w:r w:rsidRPr="00EE2502">
        <w:rPr>
          <w:szCs w:val="18"/>
        </w:rPr>
        <w:t>toksycznymi,</w:t>
      </w:r>
    </w:p>
    <w:p w:rsidR="00EE2502" w:rsidRPr="00EE2502" w:rsidRDefault="00EE2502" w:rsidP="00EE2502">
      <w:pPr>
        <w:numPr>
          <w:ilvl w:val="0"/>
          <w:numId w:val="94"/>
        </w:numPr>
        <w:tabs>
          <w:tab w:val="num" w:pos="360"/>
        </w:tabs>
        <w:ind w:hanging="11"/>
        <w:jc w:val="both"/>
        <w:rPr>
          <w:szCs w:val="16"/>
        </w:rPr>
      </w:pPr>
      <w:r w:rsidRPr="00EE2502">
        <w:rPr>
          <w:szCs w:val="16"/>
        </w:rPr>
        <w:t xml:space="preserve">zanieczyszczeniem powietrza pyłami i gazami, </w:t>
      </w:r>
    </w:p>
    <w:p w:rsidR="00EE2502" w:rsidRPr="00EE2502" w:rsidRDefault="00EE2502" w:rsidP="00EE2502">
      <w:pPr>
        <w:numPr>
          <w:ilvl w:val="0"/>
          <w:numId w:val="94"/>
        </w:numPr>
        <w:tabs>
          <w:tab w:val="num" w:pos="360"/>
        </w:tabs>
        <w:ind w:hanging="11"/>
        <w:jc w:val="both"/>
        <w:rPr>
          <w:szCs w:val="16"/>
        </w:rPr>
      </w:pPr>
      <w:r w:rsidRPr="00EE2502">
        <w:rPr>
          <w:szCs w:val="16"/>
        </w:rPr>
        <w:t>możliwością powstania pożaru.</w:t>
      </w:r>
    </w:p>
    <w:p w:rsidR="00EE2502" w:rsidRPr="00EE2502" w:rsidRDefault="00EE2502" w:rsidP="00EE2502">
      <w:pPr>
        <w:numPr>
          <w:ilvl w:val="2"/>
          <w:numId w:val="90"/>
        </w:numPr>
        <w:spacing w:before="120"/>
        <w:ind w:left="1077" w:hanging="1077"/>
        <w:jc w:val="both"/>
        <w:rPr>
          <w:b/>
          <w:bCs/>
          <w:szCs w:val="18"/>
        </w:rPr>
      </w:pPr>
      <w:r w:rsidRPr="00EE2502">
        <w:rPr>
          <w:b/>
          <w:bCs/>
          <w:szCs w:val="18"/>
        </w:rPr>
        <w:t>Ochrona przeciwpożarowa</w:t>
      </w:r>
    </w:p>
    <w:p w:rsidR="00EE2502" w:rsidRPr="00EE2502" w:rsidRDefault="00EE2502" w:rsidP="00EE2502">
      <w:pPr>
        <w:ind w:hanging="11"/>
        <w:jc w:val="both"/>
        <w:rPr>
          <w:snapToGrid w:val="0"/>
        </w:rPr>
      </w:pPr>
      <w:r w:rsidRPr="00EE2502">
        <w:rPr>
          <w:snapToGrid w:val="0"/>
        </w:rPr>
        <w:t>Wykonawca będzie przestrzegać przepisy ochrony przeciwpożarowej. Wykonawca będzie utrzymywać, wymagany na podstawie odpowiednich przepisów sprawny sprzęt przeciwpożarowy, na terenie baz produkcyjnych, w pomieszczeniach biurowych, mieszkalnych, magazynach oraz w maszynach i pojazdach.</w:t>
      </w:r>
    </w:p>
    <w:p w:rsidR="00EE2502" w:rsidRPr="00EE2502" w:rsidRDefault="00EE2502" w:rsidP="00EE2502">
      <w:pPr>
        <w:ind w:hanging="11"/>
        <w:jc w:val="both"/>
        <w:rPr>
          <w:snapToGrid w:val="0"/>
        </w:rPr>
      </w:pPr>
      <w:r w:rsidRPr="00EE2502">
        <w:rPr>
          <w:snapToGrid w:val="0"/>
        </w:rPr>
        <w:t>Materiały łatwopalne będą składowane w sposób zgodny z odpowiednimi przepisami i zabezpieczone przed dostępem osób trzecich.</w:t>
      </w:r>
    </w:p>
    <w:p w:rsidR="00EE2502" w:rsidRPr="00EE2502" w:rsidRDefault="00EE2502" w:rsidP="00EE2502">
      <w:pPr>
        <w:ind w:hanging="11"/>
        <w:jc w:val="both"/>
        <w:rPr>
          <w:snapToGrid w:val="0"/>
        </w:rPr>
      </w:pPr>
      <w:r w:rsidRPr="00EE2502">
        <w:rPr>
          <w:snapToGrid w:val="0"/>
        </w:rPr>
        <w:t>Wykonawca będzie odpowiedzialny za wszelkie straty spowodowane pożarem wywołanym jako rezultat realizacji robót albo przez personel Wykonawcy.</w:t>
      </w:r>
    </w:p>
    <w:p w:rsidR="00EE2502" w:rsidRPr="00EE2502" w:rsidRDefault="00EE2502" w:rsidP="00EE2502">
      <w:pPr>
        <w:numPr>
          <w:ilvl w:val="2"/>
          <w:numId w:val="90"/>
        </w:numPr>
        <w:spacing w:before="120"/>
        <w:ind w:left="1077" w:hanging="1077"/>
        <w:jc w:val="both"/>
        <w:rPr>
          <w:b/>
          <w:bCs/>
          <w:szCs w:val="18"/>
        </w:rPr>
      </w:pPr>
      <w:r w:rsidRPr="00EE2502">
        <w:rPr>
          <w:b/>
          <w:bCs/>
          <w:szCs w:val="18"/>
        </w:rPr>
        <w:t>Materiały szkodliwe dla otoczenia</w:t>
      </w:r>
    </w:p>
    <w:p w:rsidR="00EE2502" w:rsidRPr="00EE2502" w:rsidRDefault="00EE2502" w:rsidP="00EE2502">
      <w:pPr>
        <w:ind w:hanging="11"/>
        <w:jc w:val="both"/>
        <w:rPr>
          <w:snapToGrid w:val="0"/>
        </w:rPr>
      </w:pPr>
      <w:r w:rsidRPr="00EE2502">
        <w:rPr>
          <w:snapToGrid w:val="0"/>
        </w:rPr>
        <w:t>Materiały, które w sposób trwały są szkodliwe dla otoczenia, nie będą dopuszczone do użycia.</w:t>
      </w:r>
    </w:p>
    <w:p w:rsidR="00EE2502" w:rsidRPr="00EE2502" w:rsidRDefault="00EE2502" w:rsidP="00EE2502">
      <w:pPr>
        <w:ind w:hanging="11"/>
        <w:jc w:val="both"/>
        <w:rPr>
          <w:snapToGrid w:val="0"/>
        </w:rPr>
      </w:pPr>
      <w:r w:rsidRPr="00EE2502">
        <w:rPr>
          <w:snapToGrid w:val="0"/>
        </w:rPr>
        <w:t>Nie dopuszcza się użycia materiałów wywołujących szkodliwe promieniowanie o stężeniu większym od dopuszczalnego, określonego odpowiednimi przepisami.</w:t>
      </w:r>
    </w:p>
    <w:p w:rsidR="00EE2502" w:rsidRPr="00EE2502" w:rsidRDefault="00EE2502" w:rsidP="00EE2502">
      <w:pPr>
        <w:ind w:hanging="11"/>
        <w:jc w:val="both"/>
        <w:rPr>
          <w:snapToGrid w:val="0"/>
        </w:rPr>
      </w:pPr>
      <w:r w:rsidRPr="00EE2502">
        <w:rPr>
          <w:snapToGrid w:val="0"/>
        </w:rPr>
        <w:t>Wszelkie materiały odpadowe użyte do robót będą miały aprobatę techniczną lub krajową ocene techniczną wydaną przez uprawnioną jednostkę, jednoznacznie określającą brak szkodliwego oddziaływania tych materiałów na środowisko.</w:t>
      </w:r>
    </w:p>
    <w:p w:rsidR="00EE2502" w:rsidRPr="00EE2502" w:rsidRDefault="00EE2502" w:rsidP="00EE2502">
      <w:pPr>
        <w:ind w:hanging="11"/>
        <w:jc w:val="both"/>
        <w:rPr>
          <w:snapToGrid w:val="0"/>
        </w:rPr>
      </w:pPr>
      <w:r w:rsidRPr="00EE2502">
        <w:rPr>
          <w:snapToGrid w:val="0"/>
        </w:rPr>
        <w:t>Materiały, które są szkodliwe dla otoczenia tylko w czasie robót, a po zakończeniu robót ich szkodliwość zanika (np. materiały pylaste) mogą być użyte pod warunkiem przestrzegania wymagań technologicznych wbudowania. Jeżeli wymagają tego odpowiednie przepisy Wykonawca powinien otrzymać zgodę na użycie tych materiałów od właściwych organów administracji państwowej.</w:t>
      </w:r>
    </w:p>
    <w:p w:rsidR="00EE2502" w:rsidRPr="00EE2502" w:rsidRDefault="00EE2502" w:rsidP="00EE2502">
      <w:pPr>
        <w:ind w:hanging="11"/>
        <w:jc w:val="both"/>
        <w:rPr>
          <w:snapToGrid w:val="0"/>
        </w:rPr>
      </w:pPr>
      <w:r w:rsidRPr="00EE2502">
        <w:rPr>
          <w:snapToGrid w:val="0"/>
        </w:rPr>
        <w:t>Jeżeli Wykonawca użył materiałów szkodliwych dla otoczenia zgodnie ze specyfikacjami, a ich użycie spowodowało jakiekolwiek zagrożenie środowiska, to konsekwencje tego poniesie Zamawiający.</w:t>
      </w:r>
    </w:p>
    <w:p w:rsidR="00EE2502" w:rsidRPr="00EE2502" w:rsidRDefault="00EE2502" w:rsidP="00EE2502">
      <w:pPr>
        <w:numPr>
          <w:ilvl w:val="2"/>
          <w:numId w:val="90"/>
        </w:numPr>
        <w:spacing w:before="120"/>
        <w:ind w:left="1077" w:hanging="1077"/>
        <w:jc w:val="both"/>
        <w:rPr>
          <w:b/>
          <w:bCs/>
          <w:szCs w:val="18"/>
        </w:rPr>
      </w:pPr>
      <w:r w:rsidRPr="00EE2502">
        <w:rPr>
          <w:b/>
          <w:bCs/>
          <w:szCs w:val="18"/>
        </w:rPr>
        <w:t>Ochrona własności publicznej i prywatnej</w:t>
      </w:r>
    </w:p>
    <w:p w:rsidR="00EE2502" w:rsidRPr="00EE2502" w:rsidRDefault="00EE2502" w:rsidP="00EE2502">
      <w:pPr>
        <w:ind w:hanging="11"/>
        <w:jc w:val="both"/>
        <w:rPr>
          <w:snapToGrid w:val="0"/>
        </w:rPr>
      </w:pPr>
      <w:r w:rsidRPr="00EE2502">
        <w:rPr>
          <w:snapToGrid w:val="0"/>
        </w:rPr>
        <w:t>Wykonawca odpowiada za ochronę instalacji na powierzchni ziemi i za urządzenia podziemne, takie jak rurociągi, kable itp. oraz uzyska od odpowiednich władz będących właścicielami tych urządzeń potwierdzenie informacji dostarczonych mu przez Zamawiającego w ramach planu ich lokalizacji. Wykonawca zapewni właściwe oznaczenie i zabezpieczenie przed uszkodzeniem tych instalacji i urządzeń w czasie trwania budowy.</w:t>
      </w:r>
    </w:p>
    <w:p w:rsidR="00EE2502" w:rsidRPr="00EE2502" w:rsidRDefault="00EE2502" w:rsidP="00EE2502">
      <w:pPr>
        <w:ind w:hanging="11"/>
        <w:jc w:val="both"/>
        <w:rPr>
          <w:snapToGrid w:val="0"/>
        </w:rPr>
      </w:pPr>
      <w:r w:rsidRPr="00EE2502">
        <w:rPr>
          <w:snapToGrid w:val="0"/>
        </w:rPr>
        <w:t>Wykonawca zobowiązany jest umieścić w swoim harmonogramie rezerwę czasową dla wszelkiego rodzaju robót, które mają być wykonane w zakresie przełożenia instalacji i urządzeń podziemnych na terenie budowy i powiadomić Inżyniera/Kierownika projektu i władze lokalne o zamiarze rozpoczęcia robót. O fakcie przypadkowego uszkodzenia tych instalacji Wykonawca bezzwłocznie powiadomi Inżyniera/Kierownika projektu i zainteresowane władze oraz będzie z nimi współpracował dostarczając wszelkiej pomocy potrzebnej przy dokonywaniu napraw. Wykonawca będzie odpowiadać za wszelkie spowodowane przez jego działania uszkodzenia instalacji na powierzchni ziemi i urządzeń podziemnych wykazanych w dokumentach dostarczonych mu przez Zamawiającego.</w:t>
      </w:r>
    </w:p>
    <w:p w:rsidR="00EE2502" w:rsidRPr="00EE2502" w:rsidRDefault="00EE2502" w:rsidP="00EE2502">
      <w:pPr>
        <w:ind w:hanging="11"/>
        <w:jc w:val="both"/>
        <w:rPr>
          <w:snapToGrid w:val="0"/>
        </w:rPr>
      </w:pPr>
      <w:r w:rsidRPr="00EE2502">
        <w:rPr>
          <w:snapToGrid w:val="0"/>
        </w:rPr>
        <w:t>Jeżeli teren budowy przylega do terenów z zabudową mieszkaniową. Wykonawca będzie realizować roboty w sposób powodujący minimalne niedogodności dla mieszkańców. Wykonawca odpowiada za wszelkie uszkodzenia zabudowy mieszkaniowej w sąsiedztwie budowy, spowodowane jego działalnością.</w:t>
      </w:r>
    </w:p>
    <w:p w:rsidR="00EE2502" w:rsidRPr="00EE2502" w:rsidRDefault="00EE2502" w:rsidP="00EE2502">
      <w:pPr>
        <w:ind w:hanging="11"/>
        <w:jc w:val="both"/>
        <w:rPr>
          <w:snapToGrid w:val="0"/>
        </w:rPr>
      </w:pPr>
      <w:r w:rsidRPr="00EE2502">
        <w:rPr>
          <w:snapToGrid w:val="0"/>
        </w:rPr>
        <w:t>Inżynier/Kierownik projektu będzie na bieżąco informowany o wszystkich umowach zawartych pomiędzy Wykonawcą a właścicielami nieruchomości i dotyczących korzystania z własności i dróg wewnętrznych. Jednakże, ani Inżynier/Kierownik projektu ani Zamawiający nie będzie ingerował w takie porozumienia, o ile nie będą one sprzeczne z postanowieniami zawartymi w warunkach umowy.</w:t>
      </w:r>
    </w:p>
    <w:p w:rsidR="00EE2502" w:rsidRPr="00EE2502" w:rsidRDefault="00EE2502" w:rsidP="00EE2502">
      <w:pPr>
        <w:numPr>
          <w:ilvl w:val="2"/>
          <w:numId w:val="90"/>
        </w:numPr>
        <w:spacing w:before="120"/>
        <w:ind w:left="1077" w:hanging="1077"/>
        <w:jc w:val="both"/>
        <w:rPr>
          <w:b/>
          <w:bCs/>
          <w:szCs w:val="18"/>
        </w:rPr>
      </w:pPr>
      <w:r w:rsidRPr="00EE2502">
        <w:rPr>
          <w:b/>
          <w:bCs/>
          <w:szCs w:val="18"/>
        </w:rPr>
        <w:t>Ograniczenie obciążeń osi pojazdów</w:t>
      </w:r>
    </w:p>
    <w:p w:rsidR="00EE2502" w:rsidRPr="00EE2502" w:rsidRDefault="00EE2502" w:rsidP="00EE2502">
      <w:pPr>
        <w:ind w:hanging="11"/>
        <w:jc w:val="both"/>
        <w:rPr>
          <w:snapToGrid w:val="0"/>
        </w:rPr>
      </w:pPr>
      <w:r w:rsidRPr="00EE2502">
        <w:rPr>
          <w:snapToGrid w:val="0"/>
        </w:rPr>
        <w:t>Wykonawca będzie stosować się do ustawowych ograniczeń nacisków o'si na drogach publicznych przy transporcie materiałów i wyposażenia na i z terenu robót. Wykonawca uzyska wszelkie niezbędne zezwolenia i uzgodnienia od właściwych władz co do przewozu nietypowych wagowo ładunków (ponadnormatywnych) i o każdym takim przewozie będzie powiadamiał Inżyniera/Kierownika projektu. Inżynier/Kierownik projektu może polecić, aby pojazdy nie spełniające tych warunków zostały usunięte z terenu budowy. Pojazdy powodujące nadmierne obciążenie osiowe nie będą dopuszczone na świeżo ukończony fragment budowy w obrębie terenu budowy i Wykonawca będzie odpowiadał za naprawę wszelkich robót w ten sposób uszkodzonych, zgodnie z poleceniami Inżyniera/Kierownika projektu.</w:t>
      </w:r>
    </w:p>
    <w:p w:rsidR="00EE2502" w:rsidRPr="00EE2502" w:rsidRDefault="00EE2502" w:rsidP="00EE2502">
      <w:pPr>
        <w:numPr>
          <w:ilvl w:val="2"/>
          <w:numId w:val="90"/>
        </w:numPr>
        <w:spacing w:before="120"/>
        <w:ind w:left="1077" w:hanging="1077"/>
        <w:jc w:val="both"/>
        <w:rPr>
          <w:b/>
          <w:bCs/>
          <w:szCs w:val="18"/>
        </w:rPr>
      </w:pPr>
      <w:r w:rsidRPr="00EE2502">
        <w:rPr>
          <w:b/>
          <w:bCs/>
          <w:szCs w:val="18"/>
        </w:rPr>
        <w:t>Bezpieczeństwo i higiena pracy</w:t>
      </w:r>
    </w:p>
    <w:p w:rsidR="00EE2502" w:rsidRPr="00EE2502" w:rsidRDefault="00EE2502" w:rsidP="00EE2502">
      <w:pPr>
        <w:ind w:hanging="11"/>
        <w:jc w:val="both"/>
        <w:rPr>
          <w:snapToGrid w:val="0"/>
        </w:rPr>
      </w:pPr>
      <w:r w:rsidRPr="00EE2502">
        <w:rPr>
          <w:snapToGrid w:val="0"/>
        </w:rPr>
        <w:t>Podczas realizacji robót Wykonawca będzie przestrzegać przepisów dotyczących bezpieczeństwa i higieny pracy.</w:t>
      </w:r>
    </w:p>
    <w:p w:rsidR="00EE2502" w:rsidRPr="00EE2502" w:rsidRDefault="00EE2502" w:rsidP="00EE2502">
      <w:pPr>
        <w:ind w:hanging="11"/>
        <w:jc w:val="both"/>
        <w:rPr>
          <w:snapToGrid w:val="0"/>
        </w:rPr>
      </w:pPr>
      <w:r w:rsidRPr="00EE2502">
        <w:rPr>
          <w:snapToGrid w:val="0"/>
        </w:rPr>
        <w:t>W szczególności Wykonawca ma obowiązek zadbać, aby personel nie wykonywał pracy w warunkach niebezpiecznych, szkodliwych dla zdrowia oraz nie spełniających odpowiednich wymagań sanitarnych.</w:t>
      </w:r>
    </w:p>
    <w:p w:rsidR="00EE2502" w:rsidRPr="00EE2502" w:rsidRDefault="00EE2502" w:rsidP="00EE2502">
      <w:pPr>
        <w:ind w:hanging="11"/>
        <w:jc w:val="both"/>
        <w:rPr>
          <w:snapToGrid w:val="0"/>
        </w:rPr>
      </w:pPr>
      <w:r w:rsidRPr="00EE2502">
        <w:rPr>
          <w:snapToGrid w:val="0"/>
        </w:rPr>
        <w:t>Wykonawca zapewni i będzie utrzymywał wszelkie urządzenia zabezpieczające, socjalne oraz sprzęt i odpowiednią odzież dla ochrony życia i zdrowia osób zatrudnionych na budowie oraz dla zapewnienia bezpieczeństwa publicznego.</w:t>
      </w:r>
    </w:p>
    <w:p w:rsidR="00EE2502" w:rsidRPr="00EE2502" w:rsidRDefault="00EE2502" w:rsidP="00EE2502">
      <w:pPr>
        <w:ind w:hanging="11"/>
        <w:jc w:val="both"/>
        <w:rPr>
          <w:snapToGrid w:val="0"/>
        </w:rPr>
      </w:pPr>
      <w:r w:rsidRPr="00EE2502">
        <w:rPr>
          <w:snapToGrid w:val="0"/>
        </w:rPr>
        <w:t>Uznaje się, że wszelkie koszty związane z wypełnieniem wymagań określonych powyżej nie podlegają odrębnej zapłacie i są uwzględnione w cenie kontraktowej.</w:t>
      </w:r>
    </w:p>
    <w:p w:rsidR="00EE2502" w:rsidRPr="00EE2502" w:rsidRDefault="00EE2502" w:rsidP="00EE2502">
      <w:pPr>
        <w:numPr>
          <w:ilvl w:val="2"/>
          <w:numId w:val="90"/>
        </w:numPr>
        <w:spacing w:before="120"/>
        <w:ind w:left="1077" w:hanging="1077"/>
        <w:jc w:val="both"/>
        <w:rPr>
          <w:b/>
          <w:bCs/>
          <w:szCs w:val="18"/>
        </w:rPr>
      </w:pPr>
      <w:r w:rsidRPr="00EE2502">
        <w:rPr>
          <w:b/>
          <w:bCs/>
          <w:szCs w:val="18"/>
        </w:rPr>
        <w:t>Ochrona i utrzymanie robót</w:t>
      </w:r>
    </w:p>
    <w:p w:rsidR="00EE2502" w:rsidRPr="00EE2502" w:rsidRDefault="00EE2502" w:rsidP="00EE2502">
      <w:pPr>
        <w:ind w:hanging="11"/>
        <w:jc w:val="both"/>
        <w:rPr>
          <w:snapToGrid w:val="0"/>
        </w:rPr>
      </w:pPr>
      <w:r w:rsidRPr="00EE2502">
        <w:rPr>
          <w:snapToGrid w:val="0"/>
        </w:rPr>
        <w:t>Wykonawca będzie odpowiadał za ochrona robót i za wszelkie materiały i</w:t>
      </w:r>
    </w:p>
    <w:p w:rsidR="00EE2502" w:rsidRPr="00EE2502" w:rsidRDefault="00EE2502" w:rsidP="00EE2502">
      <w:pPr>
        <w:ind w:hanging="11"/>
        <w:jc w:val="both"/>
        <w:rPr>
          <w:snapToGrid w:val="0"/>
        </w:rPr>
      </w:pPr>
      <w:r w:rsidRPr="00EE2502">
        <w:rPr>
          <w:snapToGrid w:val="0"/>
        </w:rPr>
        <w:t>urządzenia używane do robót od daty rozpoczęcia do daty wydania potwierdzenia zakończenia robót przez Inżyniera/Kierownika projektu.</w:t>
      </w:r>
    </w:p>
    <w:p w:rsidR="00EE2502" w:rsidRPr="00EE2502" w:rsidRDefault="00EE2502" w:rsidP="00EE2502">
      <w:pPr>
        <w:ind w:hanging="11"/>
        <w:jc w:val="both"/>
        <w:rPr>
          <w:snapToGrid w:val="0"/>
        </w:rPr>
      </w:pPr>
      <w:r w:rsidRPr="00EE2502">
        <w:rPr>
          <w:snapToGrid w:val="0"/>
        </w:rPr>
        <w:t>Wykonawca będzie utrzymywać roboty do czasu odbioru końcowego. Utrzymanie powinno być prowadzone w taki sposób, aby budowla drogowa lub jej elementy były w zadowalającym stanie przez cały czas, do momentu odbioru końcowego.</w:t>
      </w:r>
    </w:p>
    <w:p w:rsidR="00EE2502" w:rsidRPr="00EE2502" w:rsidRDefault="00EE2502" w:rsidP="00EE2502">
      <w:pPr>
        <w:ind w:hanging="11"/>
        <w:jc w:val="both"/>
        <w:rPr>
          <w:snapToGrid w:val="0"/>
        </w:rPr>
      </w:pPr>
      <w:r w:rsidRPr="00EE2502">
        <w:rPr>
          <w:snapToGrid w:val="0"/>
        </w:rPr>
        <w:t>Jeśli Wykonawca w jakimkolwiek czasie zaniedba utrzymanie, to na polecenie Inżyniera/Kierownika projektu powinien rozpocząć roboty utrzymaniowe nie później niż w 24 godziny po otrzymaniu tego polecenia.</w:t>
      </w:r>
    </w:p>
    <w:p w:rsidR="00EE2502" w:rsidRPr="00EE2502" w:rsidRDefault="00EE2502" w:rsidP="00EE2502">
      <w:pPr>
        <w:numPr>
          <w:ilvl w:val="2"/>
          <w:numId w:val="90"/>
        </w:numPr>
        <w:spacing w:before="120"/>
        <w:ind w:left="1077" w:hanging="1077"/>
        <w:jc w:val="both"/>
        <w:rPr>
          <w:b/>
          <w:bCs/>
          <w:szCs w:val="18"/>
        </w:rPr>
      </w:pPr>
      <w:r w:rsidRPr="00EE2502">
        <w:rPr>
          <w:b/>
          <w:bCs/>
          <w:szCs w:val="18"/>
        </w:rPr>
        <w:t>Stosowanie się do prawa i innych przepisów</w:t>
      </w:r>
    </w:p>
    <w:p w:rsidR="00EE2502" w:rsidRPr="00EE2502" w:rsidRDefault="00EE2502" w:rsidP="00EE2502">
      <w:pPr>
        <w:ind w:hanging="11"/>
        <w:jc w:val="both"/>
        <w:rPr>
          <w:snapToGrid w:val="0"/>
        </w:rPr>
      </w:pPr>
      <w:r w:rsidRPr="00EE2502">
        <w:rPr>
          <w:snapToGrid w:val="0"/>
        </w:rPr>
        <w:t>Wykonawca zobowiązany jest znać wszystkie zarządzenia wydane przez władze centralne i miejscowe oraz inne przepisy, regulaminy i wytyczne, które są w jakikolwiek sposób związane z wykonywanymi robotami i będzie w pełni odpowiedzialny za przestrzeganie tych postanowień podczas prowadzenia robót.</w:t>
      </w:r>
    </w:p>
    <w:p w:rsidR="00EE2502" w:rsidRPr="00EE2502" w:rsidRDefault="00EE2502" w:rsidP="00EE2502">
      <w:pPr>
        <w:ind w:hanging="11"/>
        <w:jc w:val="both"/>
        <w:rPr>
          <w:snapToGrid w:val="0"/>
        </w:rPr>
      </w:pPr>
      <w:r w:rsidRPr="00EE2502">
        <w:rPr>
          <w:snapToGrid w:val="0"/>
        </w:rPr>
        <w:t>Wykonawca będzie przestrzegać praw patentowych i będzie w pełni odpowiedzialny za wypełnienie wszelkich wymagań prawnych odnośnie znaków firmowych, nazw lub innych chronionych praw w odniesieniu do sprzętu, materiałów lub urządzeń użytych lub związanych z wykonywaniem robót i w sposób ciągły będzie informować Inżyniera/Kierownika projektu o swoich działaniach, przedstawiając kopie zezwoleń i inne odnośne dokumenty. Wszelkie straty, koszty postępowania, obciążenia i wydatki wynikłe z lub związane z naruszeniem jakichkolwiek praw patentowych pokryje Wykonawca, z wyjątkiem przypadków, kiedy takie naruszenie wyniknie z wykonania projektu lub specyfikacji dostarczonej przez Inżyniera/Kierownika projektu.</w:t>
      </w:r>
    </w:p>
    <w:p w:rsidR="00EE2502" w:rsidRPr="00EE2502" w:rsidRDefault="00EE2502" w:rsidP="00EE2502">
      <w:pPr>
        <w:numPr>
          <w:ilvl w:val="2"/>
          <w:numId w:val="90"/>
        </w:numPr>
        <w:spacing w:before="120"/>
        <w:ind w:left="1077" w:hanging="1077"/>
        <w:jc w:val="both"/>
        <w:rPr>
          <w:b/>
          <w:bCs/>
          <w:szCs w:val="18"/>
        </w:rPr>
      </w:pPr>
      <w:r w:rsidRPr="00EE2502">
        <w:rPr>
          <w:b/>
          <w:bCs/>
          <w:szCs w:val="18"/>
        </w:rPr>
        <w:t>Równoważność norm i zbiorów przepisów prawnych</w:t>
      </w:r>
    </w:p>
    <w:p w:rsidR="00EE2502" w:rsidRPr="00EE2502" w:rsidRDefault="00EE2502" w:rsidP="00EE2502">
      <w:pPr>
        <w:ind w:hanging="11"/>
        <w:jc w:val="both"/>
        <w:rPr>
          <w:snapToGrid w:val="0"/>
        </w:rPr>
      </w:pPr>
      <w:r w:rsidRPr="00EE2502">
        <w:rPr>
          <w:snapToGrid w:val="0"/>
        </w:rPr>
        <w:t>Gdziekolwiek w dokumentach kontraktowych powołane są konkretne normy i przepisy, które spełniać mają materiały, sprzęt i inne towary oraz wykonane i zbadane roboty, będą obowiązywać postanowienia najnowszego wydania lub poprawionego wydania powołanych norm i przepisów o ile w warunkach kontraktu nie postanowiono inaczej. W przypadku gdy powołane normy i przepisy są państwowe lub odnoszą się do konkretnego kraju lub regionu, mogą być również stosowane inne odpowiednie normy zapewniające równy lub wyższy poziom wykonania niż powołane normy lub przepisy, pod warunkiem ich sprawdzenia i pisemnego zatwierdzenia przez Inżyniera/Kierownika projektu. Różnice pomiędzy powołanymi normami a ich proponowanymi zamiennikami muszą być dokładnie opisane przez Wykonawcę i przedłożone Inżynierowi/Kierownikowi projektu do zatwierdzenia.</w:t>
      </w:r>
    </w:p>
    <w:p w:rsidR="00EE2502" w:rsidRPr="00EE2502" w:rsidRDefault="00EE2502" w:rsidP="00EE2502">
      <w:pPr>
        <w:numPr>
          <w:ilvl w:val="2"/>
          <w:numId w:val="90"/>
        </w:numPr>
        <w:spacing w:before="120"/>
        <w:ind w:left="1077" w:hanging="1077"/>
        <w:jc w:val="both"/>
        <w:rPr>
          <w:b/>
          <w:bCs/>
          <w:szCs w:val="18"/>
        </w:rPr>
      </w:pPr>
      <w:r w:rsidRPr="00EE2502">
        <w:rPr>
          <w:b/>
          <w:bCs/>
          <w:szCs w:val="18"/>
        </w:rPr>
        <w:t>Wykopaliska</w:t>
      </w:r>
    </w:p>
    <w:p w:rsidR="00EE2502" w:rsidRPr="00EE2502" w:rsidRDefault="00EE2502" w:rsidP="00EE2502">
      <w:pPr>
        <w:ind w:hanging="11"/>
        <w:jc w:val="both"/>
        <w:rPr>
          <w:snapToGrid w:val="0"/>
        </w:rPr>
      </w:pPr>
      <w:r w:rsidRPr="00EE2502">
        <w:rPr>
          <w:snapToGrid w:val="0"/>
        </w:rPr>
        <w:t>Wszelkie wykopaliska, monety, przedmioty wartościowe, budowle oraz inne pozostałości o znaczeniu geologicznym lub archeologicznym odkryte na terenie budowy będą uważane za własność Zamawiającego. W przypadku natrafienia w trakcie robót na takie znaleziska</w:t>
      </w:r>
      <w:r w:rsidRPr="00EE2502">
        <w:rPr>
          <w:snapToGrid w:val="0"/>
          <w:color w:val="0000FF"/>
        </w:rPr>
        <w:t xml:space="preserve"> </w:t>
      </w:r>
      <w:r w:rsidRPr="00EE2502">
        <w:rPr>
          <w:snapToGrid w:val="0"/>
        </w:rPr>
        <w:t>Wykonawca zobowiązany jest powiadomić Inżyniera/Kierownika projektu i postępować zgodnie z jego poleceniami. Jeżeli w wyniku tych poleceń Wykonawca poniesie koszty i/lub wystąpią opóźnienia w robotach, Inżynier/ Kierownik projektu po uzgodnieniu z Zamawiającym i Wykonawcą ustali wydłużenie czasu wykonania robót i/lub wysokość kwoty, o którą należy zwiększyć cenę kontraktową.</w:t>
      </w:r>
    </w:p>
    <w:p w:rsidR="00EE2502" w:rsidRPr="00EE2502" w:rsidRDefault="00EE2502" w:rsidP="00EE2502">
      <w:pPr>
        <w:ind w:left="720" w:hanging="11"/>
        <w:jc w:val="both"/>
        <w:rPr>
          <w:b/>
          <w:snapToGrid w:val="0"/>
        </w:rPr>
      </w:pPr>
      <w:r w:rsidRPr="00EE2502">
        <w:rPr>
          <w:b/>
          <w:snapToGrid w:val="0"/>
        </w:rPr>
        <w:t xml:space="preserve">Zaplecze Zamawiającego (o ile warunki kontraktu przewidują realizację) </w:t>
      </w:r>
    </w:p>
    <w:p w:rsidR="00EE2502" w:rsidRPr="00EE2502" w:rsidRDefault="00EE2502" w:rsidP="00EE2502">
      <w:pPr>
        <w:ind w:left="720" w:hanging="11"/>
        <w:jc w:val="both"/>
        <w:rPr>
          <w:snapToGrid w:val="0"/>
        </w:rPr>
      </w:pPr>
      <w:r w:rsidRPr="00EE2502">
        <w:rPr>
          <w:snapToGrid w:val="0"/>
        </w:rPr>
        <w:t xml:space="preserve">  Wykonawca zobowiązany jest zabezpieczyć Zamawiającemu, pomieszczenia biurowe, sprzęt, transport oraz inne urządzenia towarzyszące, zgodnie z wymaganiami podanymi w D-M-00.00.01 „Zaplecze Zamawiającego”.</w:t>
      </w:r>
    </w:p>
    <w:p w:rsidR="00EE2502" w:rsidRPr="00EE2502" w:rsidRDefault="00EE2502" w:rsidP="00EE2502">
      <w:pPr>
        <w:spacing w:before="240" w:after="120"/>
        <w:jc w:val="both"/>
        <w:rPr>
          <w:b/>
          <w:bCs/>
          <w:sz w:val="22"/>
          <w:szCs w:val="22"/>
          <w:u w:val="single"/>
        </w:rPr>
      </w:pPr>
      <w:r w:rsidRPr="00EE2502">
        <w:rPr>
          <w:b/>
          <w:bCs/>
          <w:sz w:val="22"/>
          <w:szCs w:val="22"/>
          <w:u w:val="single"/>
        </w:rPr>
        <w:t>2. MATERIAŁY</w:t>
      </w:r>
    </w:p>
    <w:p w:rsidR="00EE2502" w:rsidRPr="00EE2502" w:rsidRDefault="00EE2502" w:rsidP="00EE2502">
      <w:pPr>
        <w:numPr>
          <w:ilvl w:val="1"/>
          <w:numId w:val="90"/>
        </w:numPr>
        <w:spacing w:before="120"/>
        <w:ind w:left="540" w:hanging="540"/>
        <w:jc w:val="both"/>
        <w:rPr>
          <w:b/>
          <w:bCs/>
          <w:szCs w:val="18"/>
        </w:rPr>
      </w:pPr>
    </w:p>
    <w:p w:rsidR="00EE2502" w:rsidRPr="00EE2502" w:rsidRDefault="00EE2502" w:rsidP="00EE2502">
      <w:pPr>
        <w:numPr>
          <w:ilvl w:val="1"/>
          <w:numId w:val="90"/>
        </w:numPr>
        <w:spacing w:before="120"/>
        <w:ind w:left="540" w:hanging="540"/>
        <w:jc w:val="both"/>
        <w:rPr>
          <w:b/>
          <w:bCs/>
          <w:szCs w:val="18"/>
        </w:rPr>
      </w:pPr>
      <w:r w:rsidRPr="00EE2502">
        <w:rPr>
          <w:b/>
          <w:bCs/>
          <w:szCs w:val="18"/>
        </w:rPr>
        <w:t>2.1 Materiały do zastosowania</w:t>
      </w:r>
    </w:p>
    <w:p w:rsidR="00EE2502" w:rsidRPr="00EE2502" w:rsidRDefault="00EE2502" w:rsidP="00EE2502">
      <w:pPr>
        <w:jc w:val="both"/>
        <w:rPr>
          <w:szCs w:val="18"/>
        </w:rPr>
      </w:pPr>
      <w:r w:rsidRPr="00EE2502">
        <w:rPr>
          <w:b/>
          <w:szCs w:val="18"/>
        </w:rPr>
        <w:t>1)</w:t>
      </w:r>
      <w:r w:rsidRPr="00EE2502">
        <w:rPr>
          <w:szCs w:val="18"/>
        </w:rPr>
        <w:t xml:space="preserve"> Zgodnie z art. 2 pkt 1 ustawy o wyrobach budowlanych, przez wyrób budowlany należy rozumieć wyrób budowlany, o którym mowa w art. 2 pkt 1 rozporządzenia Nr 305/2011. Stosownie natomiast do ww. art. 2 pkt 1 rozporządzenia Nr 305/2011, „wyrób budowlany” oznacza każdy wyrób lub zestaw wyprodukowany i wprowadzony do obrotu w celu trwałego wbudowania w obiektach budowlanych lub ich częściach, którego właściwości wpływają na właściwości użytkowe obiektów budowlanych w stosunku do podstawowych wymagań dotyczących obiektów budowlanych.</w:t>
      </w:r>
    </w:p>
    <w:p w:rsidR="00EE2502" w:rsidRPr="00EE2502" w:rsidRDefault="00EE2502" w:rsidP="00EE2502">
      <w:pPr>
        <w:jc w:val="both"/>
        <w:rPr>
          <w:szCs w:val="18"/>
        </w:rPr>
      </w:pPr>
      <w:r w:rsidRPr="00EE2502">
        <w:rPr>
          <w:szCs w:val="18"/>
        </w:rPr>
        <w:t>Zasady wprowadzania do obrotu wyrobów budowlanych reguluje powyższe rozporządzenie Nr 305/2011, które obowiązuje w całości od dnia 1 lipca 2013 r. i jest bezpośrednio stosowane we wszystkich państwach członkowskich Unii Europejskiej, oraz ustawa o wyrobach budowlanych, która zgodnie z jej art. 1 określa m.in. zasady wprowadzania do obrotu lub udostępniania na rynku krajowym wyrobów budowlanych.</w:t>
      </w:r>
    </w:p>
    <w:p w:rsidR="00EE2502" w:rsidRPr="00EE2502" w:rsidRDefault="00EE2502" w:rsidP="00EE2502">
      <w:pPr>
        <w:jc w:val="both"/>
        <w:rPr>
          <w:szCs w:val="18"/>
        </w:rPr>
      </w:pPr>
    </w:p>
    <w:p w:rsidR="00EE2502" w:rsidRPr="00EE2502" w:rsidRDefault="00EE2502" w:rsidP="00EE2502">
      <w:pPr>
        <w:jc w:val="both"/>
        <w:rPr>
          <w:szCs w:val="18"/>
        </w:rPr>
      </w:pPr>
      <w:r w:rsidRPr="00EE2502">
        <w:rPr>
          <w:szCs w:val="18"/>
        </w:rPr>
        <w:t>Wymaganiom rozporządzenia Nr 305/2011, określającego tzw. system europejski wprowadzania wyrobów do obrotu (w którym stosowane jest oznakowanie CE), podlegają obowiązkowo te wyroby odpowiadające ww. definicji wyrobu budowlanego, które objęte są normami zharmonizowanymi w rozumieniu rozporządzenia, lub dla których wydane zostały (w wyniku dobrowolnie złożonego wniosku przez producenta) europejskie oceny techniczne.</w:t>
      </w:r>
    </w:p>
    <w:p w:rsidR="00EE2502" w:rsidRPr="00EE2502" w:rsidRDefault="00EE2502" w:rsidP="00EE2502">
      <w:pPr>
        <w:jc w:val="both"/>
        <w:rPr>
          <w:szCs w:val="18"/>
        </w:rPr>
      </w:pPr>
    </w:p>
    <w:p w:rsidR="00EE2502" w:rsidRPr="00EE2502" w:rsidRDefault="00EE2502" w:rsidP="00EE2502">
      <w:pPr>
        <w:jc w:val="both"/>
        <w:rPr>
          <w:szCs w:val="18"/>
        </w:rPr>
      </w:pPr>
      <w:r w:rsidRPr="00EE2502">
        <w:rPr>
          <w:szCs w:val="18"/>
        </w:rPr>
        <w:t>Natomiast wymagania tzw. systemu krajowego (z oznakowaniem znakiem budowlanym), dotyczą tych wyrobów budowlanych wprowadzanych do obrotu na terytorium Polski, które nie podlegają obowiązkowo rozporządzeniu Nr 305/2011, i które jednocześnie należą do grup wyrobów budowlanych objętych obowiązkiem sporządzania krajowej deklaracji właściwości użytkowych, ujętych w załączniku nr 1 do rozporządzenia Ministra Infrastruktury i Budownictwa z dnia 17 listopada 2016 r. w sprawie sposobu deklarowania właściwości użytkowych wyrobów budowlanych oraz sposobu znakowania ich znakiem budowlanym (Dz. U. z 2016 r. poz.1966).</w:t>
      </w:r>
    </w:p>
    <w:p w:rsidR="00EE2502" w:rsidRPr="00EE2502" w:rsidRDefault="00EE2502" w:rsidP="00EE2502">
      <w:pPr>
        <w:spacing w:before="100" w:beforeAutospacing="1" w:after="100" w:afterAutospacing="1"/>
        <w:rPr>
          <w:rFonts w:ascii="Open Sans" w:hAnsi="Open Sans"/>
          <w:color w:val="000000"/>
          <w:sz w:val="21"/>
          <w:szCs w:val="21"/>
        </w:rPr>
      </w:pPr>
      <w:r w:rsidRPr="00EE2502">
        <w:rPr>
          <w:rFonts w:ascii="Open Sans" w:hAnsi="Open Sans"/>
          <w:b/>
          <w:bCs/>
          <w:color w:val="000000"/>
          <w:sz w:val="21"/>
          <w:szCs w:val="21"/>
        </w:rPr>
        <w:t>2)  Co to są „zharmonizowane specyfikacje techniczne”?</w:t>
      </w:r>
    </w:p>
    <w:p w:rsidR="00EE2502" w:rsidRPr="00EE2502" w:rsidRDefault="00EE2502" w:rsidP="00EE2502">
      <w:pPr>
        <w:spacing w:before="100" w:beforeAutospacing="1" w:after="100" w:afterAutospacing="1"/>
        <w:rPr>
          <w:color w:val="000000"/>
        </w:rPr>
      </w:pPr>
      <w:r w:rsidRPr="00EE2502">
        <w:rPr>
          <w:color w:val="000000"/>
        </w:rPr>
        <w:t>Zgodnie z art. 2 pkt 10 rozporządzenia Nr 305/2011, „zharmonizowane specyfikacje techniczne” oznaczają normy zharmonizowane i europejskie dokumenty oceny.</w:t>
      </w:r>
    </w:p>
    <w:p w:rsidR="00EE2502" w:rsidRPr="00EE2502" w:rsidRDefault="00EE2502" w:rsidP="00EE2502">
      <w:pPr>
        <w:spacing w:before="100" w:beforeAutospacing="1" w:after="100" w:afterAutospacing="1"/>
        <w:rPr>
          <w:rFonts w:ascii="Open Sans" w:hAnsi="Open Sans"/>
          <w:color w:val="000000"/>
          <w:sz w:val="21"/>
          <w:szCs w:val="21"/>
        </w:rPr>
      </w:pPr>
      <w:r w:rsidRPr="00EE2502">
        <w:rPr>
          <w:rFonts w:ascii="Open Sans" w:hAnsi="Open Sans"/>
          <w:b/>
          <w:bCs/>
          <w:color w:val="000000"/>
          <w:sz w:val="21"/>
          <w:szCs w:val="21"/>
        </w:rPr>
        <w:t>3)  Co to jest „norma zharmonizowana”?</w:t>
      </w:r>
    </w:p>
    <w:p w:rsidR="00EE2502" w:rsidRPr="00EE2502" w:rsidRDefault="00EE2502" w:rsidP="00EE2502">
      <w:pPr>
        <w:spacing w:before="100" w:beforeAutospacing="1" w:after="100" w:afterAutospacing="1"/>
        <w:jc w:val="both"/>
        <w:rPr>
          <w:color w:val="000000"/>
        </w:rPr>
      </w:pPr>
      <w:r w:rsidRPr="00EE2502">
        <w:rPr>
          <w:color w:val="000000"/>
        </w:rPr>
        <w:t>Zgodnie z art. 2 pkt 11 rozporządzenia Nr 305/2011, „norma zharmonizowana” oznacza normę przyjętą przez jeden z europejskich organów normalizacyjnych wymienionych w załączniku I do dyrektywy 98/34/WE, na podstawie wniosku (zwanego mandatem) wydanego przez Komisję, zgodnie z art. 6 tej dyrektywy.</w:t>
      </w:r>
    </w:p>
    <w:p w:rsidR="00EE2502" w:rsidRPr="00EE2502" w:rsidRDefault="00EE2502" w:rsidP="00EE2502">
      <w:pPr>
        <w:spacing w:before="100" w:beforeAutospacing="1" w:after="100" w:afterAutospacing="1"/>
        <w:jc w:val="both"/>
        <w:rPr>
          <w:color w:val="000000"/>
        </w:rPr>
      </w:pPr>
      <w:r w:rsidRPr="00EE2502">
        <w:rPr>
          <w:color w:val="000000"/>
        </w:rPr>
        <w:t>Komisja publikuje w Dzienniku Urzędowym Unii Europejskiej wykaz odniesień do norm zharmonizowanych, które są zgodne z odpowiednimi mandatami. Dla każdej normy zharmonizowanej w wykazie wskazuje się odniesienia do zastępowanych zharmonizowanych specyfikacji technicznych, o ile istnieją, datę początkową okresu koegzystencji i datę końcową okresu koegzystencji. Komisja publikuje aktualizacje tego wykazu (zobacz art. 17 ust. 5 rozporządzenia).</w:t>
      </w:r>
      <w:r w:rsidRPr="00EE2502">
        <w:rPr>
          <w:color w:val="000000"/>
        </w:rPr>
        <w:br/>
        <w:t>Dokonanie oceny i weryfikacji stałości właściwości użytkowych w odniesieniu do zasadniczych charakterystyk określonych w normie zharmonizowanej dla zamierzonego zastosowania lub zamierzonych zastosowań, uprawnia producenta do sporządzenia deklaracji właściwości użytkowych i umieszczenia na wyrobie budowlanym oznakowania CE.</w:t>
      </w:r>
    </w:p>
    <w:p w:rsidR="00EE2502" w:rsidRPr="00EE2502" w:rsidRDefault="00EE2502" w:rsidP="00EE2502">
      <w:pPr>
        <w:spacing w:before="100" w:beforeAutospacing="1" w:after="100" w:afterAutospacing="1"/>
        <w:rPr>
          <w:rFonts w:ascii="Open Sans" w:hAnsi="Open Sans"/>
          <w:color w:val="000000"/>
          <w:sz w:val="21"/>
          <w:szCs w:val="21"/>
        </w:rPr>
      </w:pPr>
      <w:r w:rsidRPr="00EE2502">
        <w:rPr>
          <w:rFonts w:ascii="Open Sans" w:hAnsi="Open Sans"/>
          <w:b/>
          <w:bCs/>
          <w:color w:val="000000"/>
          <w:sz w:val="21"/>
          <w:szCs w:val="21"/>
        </w:rPr>
        <w:t>4)  Co to jest „europejski dokument oceny” ?</w:t>
      </w:r>
    </w:p>
    <w:p w:rsidR="00EE2502" w:rsidRPr="00EE2502" w:rsidRDefault="00EE2502" w:rsidP="00EE2502">
      <w:pPr>
        <w:spacing w:before="100" w:beforeAutospacing="1" w:after="100" w:afterAutospacing="1"/>
        <w:jc w:val="both"/>
        <w:rPr>
          <w:color w:val="000000"/>
        </w:rPr>
      </w:pPr>
      <w:r w:rsidRPr="00EE2502">
        <w:rPr>
          <w:color w:val="000000"/>
        </w:rPr>
        <w:t>„Europejski dokument oceny”, zgodnie z art. 2 pkt 12 rozporządzenia Nr 305/2011, oznacza dokument przyjęty przez organizację JOT (tj. organizację jednostek ds. oceny technicznej) do celów wydawania europejskich ocen technicznych.</w:t>
      </w:r>
    </w:p>
    <w:p w:rsidR="00EE2502" w:rsidRPr="00EE2502" w:rsidRDefault="00EE2502" w:rsidP="00EE2502">
      <w:pPr>
        <w:spacing w:before="100" w:beforeAutospacing="1" w:after="100" w:afterAutospacing="1"/>
        <w:jc w:val="both"/>
        <w:rPr>
          <w:color w:val="000000"/>
        </w:rPr>
      </w:pPr>
      <w:r w:rsidRPr="00EE2502">
        <w:rPr>
          <w:color w:val="000000"/>
        </w:rPr>
        <w:t>Europejskie dokumenty oceny są zharmonizowanymi specyfikacjami technicznymi,  opracowywanymi i przyjmowanymi przez organizację JOT w następstwie wniosku o wydanie europejskiej oceny technicznej, złożonego przez producenta, dla każdego wyrobu budowlanego nieobjętego lub nie w pełni objętego normą zharmonizowaną, którego właściwości użytkowe w odniesieniu do jego zasadniczych charakterystyk nie mogą być w pełni ocenione zgodnie z istniejącą normą zharmonizowaną (porównaj art. 19 ust. 1 rozporządzenia Nr 305/2011).</w:t>
      </w:r>
    </w:p>
    <w:p w:rsidR="00EE2502" w:rsidRPr="00EE2502" w:rsidRDefault="00EE2502" w:rsidP="00EE2502">
      <w:pPr>
        <w:spacing w:before="100" w:beforeAutospacing="1" w:after="100" w:afterAutospacing="1"/>
        <w:jc w:val="both"/>
        <w:rPr>
          <w:color w:val="000000"/>
        </w:rPr>
      </w:pPr>
      <w:r w:rsidRPr="00EE2502">
        <w:rPr>
          <w:color w:val="000000"/>
        </w:rPr>
        <w:t>Podstawa, zasady i procedura przyjmowania europejskich dokumentów oceny zostały określone przepisami art. 19, 20 i 21 oraz załącznikiem II rozporządzenia Nr 305/2011.</w:t>
      </w:r>
    </w:p>
    <w:p w:rsidR="00EE2502" w:rsidRPr="00EE2502" w:rsidRDefault="00EE2502" w:rsidP="00EE2502">
      <w:pPr>
        <w:spacing w:before="100" w:beforeAutospacing="1" w:after="100" w:afterAutospacing="1"/>
        <w:jc w:val="both"/>
        <w:rPr>
          <w:color w:val="000000"/>
        </w:rPr>
      </w:pPr>
      <w:r w:rsidRPr="00EE2502">
        <w:rPr>
          <w:color w:val="000000"/>
        </w:rPr>
        <w:t>Jednocześnie, stosownie do przepisu przejściowego art. 66 ust. 3 ww. rozporządzenia, wytyczne do europejskich aprobat technicznych, opublikowane przed dniem 1 lipca 2013 r. zgodnie z art. 11 dyrektywy 89/106/EWG, mogą być stosowane jako europejskie dokumenty oceny.</w:t>
      </w:r>
    </w:p>
    <w:p w:rsidR="00EE2502" w:rsidRPr="00EE2502" w:rsidRDefault="00EE2502" w:rsidP="00EE2502">
      <w:pPr>
        <w:spacing w:before="100" w:beforeAutospacing="1" w:after="100" w:afterAutospacing="1"/>
        <w:rPr>
          <w:rFonts w:ascii="Open Sans" w:hAnsi="Open Sans"/>
          <w:color w:val="000000"/>
          <w:sz w:val="21"/>
          <w:szCs w:val="21"/>
        </w:rPr>
      </w:pPr>
      <w:r w:rsidRPr="00EE2502">
        <w:rPr>
          <w:rFonts w:ascii="Open Sans" w:hAnsi="Open Sans"/>
          <w:b/>
          <w:bCs/>
          <w:color w:val="000000"/>
          <w:sz w:val="21"/>
          <w:szCs w:val="21"/>
        </w:rPr>
        <w:t>5)  Co to jest „europejska ocena techniczna”?</w:t>
      </w:r>
    </w:p>
    <w:p w:rsidR="00EE2502" w:rsidRPr="00EE2502" w:rsidRDefault="00EE2502" w:rsidP="00EE2502">
      <w:pPr>
        <w:spacing w:before="100" w:beforeAutospacing="1" w:after="100" w:afterAutospacing="1"/>
        <w:jc w:val="both"/>
        <w:rPr>
          <w:color w:val="000000"/>
        </w:rPr>
      </w:pPr>
      <w:r w:rsidRPr="00EE2502">
        <w:rPr>
          <w:color w:val="000000"/>
        </w:rPr>
        <w:t>Zgodnie z art. 2 pkt 13 rozporządzenia Nr 305/2011, europejska ocena techniczna oznacza udokumentowaną ocenę właściwości użytkowych wyrobu budowlanego w odniesieniu do jego zasadniczych charakterystyk zgodnie z odnośnym europejskim dokumentem oceny.</w:t>
      </w:r>
    </w:p>
    <w:p w:rsidR="00EE2502" w:rsidRPr="00EE2502" w:rsidRDefault="00EE2502" w:rsidP="00EE2502">
      <w:pPr>
        <w:spacing w:before="100" w:beforeAutospacing="1" w:after="100" w:afterAutospacing="1"/>
        <w:jc w:val="both"/>
        <w:rPr>
          <w:color w:val="000000"/>
        </w:rPr>
      </w:pPr>
      <w:r w:rsidRPr="00EE2502">
        <w:rPr>
          <w:color w:val="000000"/>
        </w:rPr>
        <w:t>Europejska ocena techniczna jest udzielana na zasadach określonych przepisami art. 26 rozporządzenia Nr 305/2011. Jest ona wydawana przez jednostkę ds. oceny technicznej (zwaną JOT) na wniosek producenta, na podstawie europejskiego dokumentu oceny ustanowionego przez organizację JOT (tj. organizację koordynującą procedury ustanawiania projektów europejskich dokumentów oceny oraz wydawanie europejskich ocen technicznych). Zawiera właściwości użytkowe podlegające zadeklarowaniu, wyrażone w poziomach lub klasach, lub w sposób opisowy, odnoszące się do zasadniczych charakterystyk, które zostały uzgodnione przez producenta i JOT, do której skierowano wniosek o europejską ocenę techniczną dla deklarowanego zamierzonego zastosowania wyrobu, oraz szczegóły techniczne niezbędne do wdrożenia systemu oceny i weryfikacji stałości właściwości użytkowych (art. 26 ust. 2 rozporządzenia).</w:t>
      </w:r>
    </w:p>
    <w:p w:rsidR="00EE2502" w:rsidRPr="00EE2502" w:rsidRDefault="00EE2502" w:rsidP="00EE2502">
      <w:pPr>
        <w:spacing w:before="100" w:beforeAutospacing="1" w:after="100" w:afterAutospacing="1"/>
        <w:jc w:val="both"/>
        <w:rPr>
          <w:color w:val="000000"/>
        </w:rPr>
      </w:pPr>
      <w:r w:rsidRPr="00EE2502">
        <w:rPr>
          <w:color w:val="000000"/>
        </w:rPr>
        <w:t>Dokonanie oceny i weryfikacji stałości właściwości użytkowych w odniesieniu do ww. zasadniczych charakterystyk uprawnia producenta do sporządzenia deklaracji właściwości użytkowych i umieszczenia na wyrobie budowlanym oznakowania CE.</w:t>
      </w:r>
    </w:p>
    <w:p w:rsidR="00EE2502" w:rsidRPr="00EE2502" w:rsidRDefault="00EE2502" w:rsidP="00EE2502">
      <w:pPr>
        <w:spacing w:before="100" w:beforeAutospacing="1" w:after="100" w:afterAutospacing="1"/>
        <w:jc w:val="both"/>
        <w:rPr>
          <w:color w:val="000000"/>
        </w:rPr>
      </w:pPr>
      <w:r w:rsidRPr="00EE2502">
        <w:rPr>
          <w:color w:val="000000"/>
        </w:rPr>
        <w:t>Należy dodatkowo zauważyć, że wydawane na wniosek producenta „europejskie oceny techniczne” nie są – w odróżnieniu do europejskich aprobat technicznych, wydawanych na podstawie wcześniej obowiązujących przepisów – zharmonizowanymi specyfikacjami technicznymi.</w:t>
      </w:r>
    </w:p>
    <w:p w:rsidR="00EE2502" w:rsidRPr="00EE2502" w:rsidRDefault="00EE2502" w:rsidP="00EE2502">
      <w:pPr>
        <w:spacing w:before="100" w:beforeAutospacing="1" w:after="100" w:afterAutospacing="1"/>
        <w:jc w:val="both"/>
        <w:rPr>
          <w:color w:val="000000"/>
        </w:rPr>
      </w:pPr>
      <w:r w:rsidRPr="00EE2502">
        <w:rPr>
          <w:color w:val="000000"/>
        </w:rPr>
        <w:t>Jednocześnie, stosownie do przepisu przejściowego art. 66 ust. 4 ww. rozporządzenia, producenci i importerzy mogą wykorzystywać europejskie aprobaty techniczne wydane zgodnie z art. 9 dyrektywy 89/106/EWG przed dniem 1 lipca 2013 r. jako europejskie oceny techniczne do końca okresu ważności tych aprobat.</w:t>
      </w:r>
    </w:p>
    <w:p w:rsidR="00EE2502" w:rsidRPr="00EE2502" w:rsidRDefault="00EE2502" w:rsidP="00EE2502">
      <w:pPr>
        <w:spacing w:before="100" w:beforeAutospacing="1" w:after="100" w:afterAutospacing="1"/>
        <w:rPr>
          <w:rFonts w:ascii="Open Sans" w:hAnsi="Open Sans"/>
          <w:color w:val="000000"/>
          <w:sz w:val="21"/>
          <w:szCs w:val="21"/>
        </w:rPr>
      </w:pPr>
      <w:r w:rsidRPr="00EE2502">
        <w:rPr>
          <w:rFonts w:ascii="Open Sans" w:hAnsi="Open Sans"/>
          <w:b/>
          <w:bCs/>
          <w:color w:val="000000"/>
          <w:sz w:val="21"/>
          <w:szCs w:val="21"/>
        </w:rPr>
        <w:t>6)  Co to jest „krajowa ocena techniczna”?</w:t>
      </w:r>
    </w:p>
    <w:p w:rsidR="00EE2502" w:rsidRPr="00EE2502" w:rsidRDefault="00EE2502" w:rsidP="00EE2502">
      <w:pPr>
        <w:spacing w:before="100" w:beforeAutospacing="1" w:after="100" w:afterAutospacing="1"/>
        <w:jc w:val="both"/>
        <w:rPr>
          <w:color w:val="000000"/>
        </w:rPr>
      </w:pPr>
      <w:r w:rsidRPr="00EE2502">
        <w:rPr>
          <w:color w:val="000000"/>
        </w:rPr>
        <w:t>Zgodnie z art. 2 pkt 15 ustawy </w:t>
      </w:r>
      <w:r w:rsidRPr="00EE2502">
        <w:rPr>
          <w:i/>
          <w:iCs/>
          <w:color w:val="000000"/>
        </w:rPr>
        <w:t>o wyrobach budowlanych</w:t>
      </w:r>
      <w:r w:rsidRPr="00EE2502">
        <w:rPr>
          <w:color w:val="000000"/>
        </w:rPr>
        <w:t>, przez krajową ocenę techniczną należy rozumieć udokumentowaną, pozytywną ocenę właściwości użytkowych tych zasadniczych charakterystyk wyrobu budowlanego, które zgodnie z zamierzonym zastosowaniem mają wpływ na spełnienie podstawowych wymagań, o których mowa w art. 5 ust. 1 pkt 1 ustawy z dnia 7 lipca 1994 r. - </w:t>
      </w:r>
      <w:r w:rsidRPr="00EE2502">
        <w:rPr>
          <w:i/>
          <w:iCs/>
          <w:color w:val="000000"/>
        </w:rPr>
        <w:t> Prawo budowlane (Dz. U. z 2016 r. poz. 290, z późn. zm.)</w:t>
      </w:r>
      <w:r w:rsidRPr="00EE2502">
        <w:rPr>
          <w:color w:val="000000"/>
        </w:rPr>
        <w:t>, przez obiekty budowlane, w których wyrób będzie zastosowany.</w:t>
      </w:r>
    </w:p>
    <w:p w:rsidR="00EE2502" w:rsidRPr="00EE2502" w:rsidRDefault="00EE2502" w:rsidP="00EE2502">
      <w:pPr>
        <w:spacing w:before="100" w:beforeAutospacing="1" w:after="100" w:afterAutospacing="1"/>
        <w:jc w:val="both"/>
        <w:rPr>
          <w:color w:val="000000"/>
        </w:rPr>
      </w:pPr>
      <w:r w:rsidRPr="00EE2502">
        <w:rPr>
          <w:color w:val="000000"/>
        </w:rPr>
        <w:t>Krajowa ocena techniczna jest rodzajem krajowej specyfikacji technicznej, o której mowa w § 2 pkt 2 rozporządzenia w sprawie sposobu deklarowania właściwości użytkowych wyrobów budowlanych oraz sposobu znakowania ich znakiem budowlanym. Dokonanie wymaganych ww. rozporządzeniem oceny i weryfikacji stałości właściwości użytkowych, zgodnie z właściwą krajową oceną techniczną, potwierdzających zgodność wyrobu z tą specyfikacją, uprawnia producenta do wystawienia krajowej deklaracji właściwości użytkowych i oznakowania wyrobu znakiem budowlanym.</w:t>
      </w:r>
    </w:p>
    <w:p w:rsidR="00EE2502" w:rsidRPr="00EE2502" w:rsidRDefault="00EE2502" w:rsidP="00EE2502">
      <w:pPr>
        <w:spacing w:before="100" w:beforeAutospacing="1" w:after="100" w:afterAutospacing="1"/>
        <w:jc w:val="both"/>
        <w:rPr>
          <w:color w:val="000000"/>
        </w:rPr>
      </w:pPr>
      <w:r w:rsidRPr="00EE2502">
        <w:rPr>
          <w:color w:val="000000"/>
        </w:rPr>
        <w:t>Wzór wniosku o wydanie krajowej oceny technicznej, tryb oraz sposób ustalania liczby godzin pracy niezbędnych do wydawania, zmiany lub przedłużenia terminu ważności krajowej oceny technicznej, zawartość krajowej oceny technicznej, sposób prowadzenia wykazu wydanych i wykazu uchylonych krajowych ocen technicznych oraz zakres umieszczonych w nich danych zostały określone rozporządzeniem </w:t>
      </w:r>
      <w:r w:rsidRPr="00EE2502">
        <w:rPr>
          <w:i/>
          <w:iCs/>
          <w:color w:val="000000"/>
        </w:rPr>
        <w:t>w sprawie krajowych ocen technicznych.</w:t>
      </w:r>
    </w:p>
    <w:p w:rsidR="00EE2502" w:rsidRPr="00EE2502" w:rsidRDefault="00EE2502" w:rsidP="00EE2502">
      <w:pPr>
        <w:spacing w:before="100" w:beforeAutospacing="1" w:after="100" w:afterAutospacing="1"/>
        <w:rPr>
          <w:rFonts w:ascii="Open Sans" w:hAnsi="Open Sans"/>
          <w:color w:val="000000"/>
          <w:sz w:val="21"/>
          <w:szCs w:val="21"/>
        </w:rPr>
      </w:pPr>
      <w:r w:rsidRPr="00EE2502">
        <w:rPr>
          <w:rFonts w:ascii="Open Sans" w:hAnsi="Open Sans"/>
          <w:b/>
          <w:bCs/>
          <w:color w:val="000000"/>
          <w:sz w:val="21"/>
          <w:szCs w:val="21"/>
        </w:rPr>
        <w:t>7)  Co to jest oznakowanie CE?</w:t>
      </w:r>
    </w:p>
    <w:p w:rsidR="00EE2502" w:rsidRPr="00EE2502" w:rsidRDefault="00EE2502" w:rsidP="00EE2502">
      <w:pPr>
        <w:spacing w:before="100" w:beforeAutospacing="1" w:after="100" w:afterAutospacing="1"/>
        <w:jc w:val="both"/>
        <w:rPr>
          <w:color w:val="000000"/>
        </w:rPr>
      </w:pPr>
      <w:r w:rsidRPr="00EE2502">
        <w:rPr>
          <w:color w:val="000000"/>
        </w:rPr>
        <w:t>Definicja „oznakowania CE” została określona w art. 2 pkt 20 </w:t>
      </w:r>
      <w:r w:rsidRPr="00EE2502">
        <w:rPr>
          <w:i/>
          <w:iCs/>
          <w:color w:val="000000"/>
        </w:rPr>
        <w:t>rozporządzenia Parlamentu Europejskiego i Rady (WE) Nr 765/2008 z dnia 9 lipca 2008 r.</w:t>
      </w:r>
      <w:r w:rsidRPr="00EE2502">
        <w:rPr>
          <w:color w:val="000000"/>
        </w:rPr>
        <w:t> </w:t>
      </w:r>
      <w:r w:rsidRPr="00EE2502">
        <w:rPr>
          <w:i/>
          <w:iCs/>
          <w:color w:val="000000"/>
        </w:rPr>
        <w:t>ustanawiającego wymagania w zakresie akredytacji i nadzoru rynku odnoszące się do warunków wprowadzania produktów do obrotu i uchylającego rozporządzenie (EWG) nr 339/93 (Dz.U. L 218 z 13.8.2008, s. 30)</w:t>
      </w:r>
      <w:r w:rsidRPr="00EE2502">
        <w:rPr>
          <w:color w:val="000000"/>
        </w:rPr>
        <w:t> i oznacza oznakowanie, za pomocą którego producent wskazuje, że produkt spełnia mające zastosowanie wymagania określone we wspólnotowym prawodawstwie harmonizacyjnym przewidującym jego umieszczanie. Wzór oznakowania CE określa załącznik II do tego rozporządzenia.</w:t>
      </w:r>
      <w:r w:rsidRPr="00EE2502">
        <w:rPr>
          <w:color w:val="000000"/>
        </w:rPr>
        <w:br/>
        <w:t>W odniesieniu do wyrobów budowlanych, wymagania jakie powinny być spełnione, by producent mógł na tych wyrobach umieścić oznakowanie CE, zostały ustalone przepisami </w:t>
      </w:r>
      <w:r w:rsidRPr="00EE2502">
        <w:rPr>
          <w:i/>
          <w:iCs/>
          <w:color w:val="000000"/>
        </w:rPr>
        <w:t>rozporządzenia </w:t>
      </w:r>
      <w:r w:rsidRPr="00EE2502">
        <w:rPr>
          <w:color w:val="000000"/>
        </w:rPr>
        <w:t>Nr 305/2011 </w:t>
      </w:r>
      <w:r w:rsidRPr="00EE2502">
        <w:rPr>
          <w:i/>
          <w:iCs/>
          <w:color w:val="000000"/>
        </w:rPr>
        <w:t>– </w:t>
      </w:r>
      <w:r w:rsidRPr="00EE2502">
        <w:rPr>
          <w:color w:val="000000"/>
        </w:rPr>
        <w:t>porównaj art. 5 ust. 1 ustawy </w:t>
      </w:r>
      <w:r w:rsidRPr="00EE2502">
        <w:rPr>
          <w:i/>
          <w:iCs/>
          <w:color w:val="000000"/>
        </w:rPr>
        <w:t>o wyrobach budowlanych. P</w:t>
      </w:r>
      <w:r w:rsidRPr="00EE2502">
        <w:rPr>
          <w:color w:val="000000"/>
        </w:rPr>
        <w:t>oprzez umieszczenie oznakowania CE na wyrobie budowlanym producent wskazuje, że bierze na siebie odpowiedzialność za zgodność tego wyrobu z deklarowanymi właściwościami użytkowymi oraz za jego zgodność ze wszystkimi mającymi zastosowanie wymaganiami określonymi w rozporządzeniu Nr 305/2011 i innym stosownym ustawodawstwie harmonizacyjnym Unii odnoszącym się do umieszczenia tego oznakowania (art. 8 ust. 2 </w:t>
      </w:r>
      <w:r w:rsidRPr="00EE2502">
        <w:rPr>
          <w:i/>
          <w:iCs/>
          <w:color w:val="000000"/>
        </w:rPr>
        <w:t>akapit 3 rozporządzenia).</w:t>
      </w:r>
    </w:p>
    <w:p w:rsidR="00EE2502" w:rsidRPr="00EE2502" w:rsidRDefault="00EE2502" w:rsidP="00EE2502">
      <w:pPr>
        <w:spacing w:before="100" w:beforeAutospacing="1" w:after="100" w:afterAutospacing="1"/>
        <w:rPr>
          <w:rFonts w:ascii="Open Sans" w:hAnsi="Open Sans"/>
          <w:color w:val="000000"/>
          <w:sz w:val="21"/>
          <w:szCs w:val="21"/>
        </w:rPr>
      </w:pPr>
      <w:r w:rsidRPr="00EE2502">
        <w:rPr>
          <w:rFonts w:ascii="Open Sans" w:hAnsi="Open Sans"/>
          <w:b/>
          <w:bCs/>
          <w:color w:val="000000"/>
          <w:sz w:val="21"/>
          <w:szCs w:val="21"/>
        </w:rPr>
        <w:t>8)  Co to jest znak budowlany?</w:t>
      </w:r>
    </w:p>
    <w:p w:rsidR="00EE2502" w:rsidRPr="00EE2502" w:rsidRDefault="00EE2502" w:rsidP="00EE2502">
      <w:pPr>
        <w:spacing w:before="100" w:beforeAutospacing="1" w:after="100" w:afterAutospacing="1"/>
        <w:jc w:val="both"/>
        <w:rPr>
          <w:color w:val="000000"/>
        </w:rPr>
      </w:pPr>
      <w:r w:rsidRPr="00EE2502">
        <w:rPr>
          <w:color w:val="000000"/>
        </w:rPr>
        <w:t>Zgodnie z art. 2 pkt 5 ustawy </w:t>
      </w:r>
      <w:r w:rsidRPr="00EE2502">
        <w:rPr>
          <w:i/>
          <w:iCs/>
          <w:color w:val="000000"/>
        </w:rPr>
        <w:t>o wyrobach budowlanych</w:t>
      </w:r>
      <w:r w:rsidRPr="00EE2502">
        <w:rPr>
          <w:color w:val="000000"/>
        </w:rPr>
        <w:t>, przez znak budowlany należy rozumieć znak wskazujący, że wyrób budowlany oznaczony tym znakiem może być udostępniany na rynku krajowym i stosowany przy wykonywaniu robót budowlanych.</w:t>
      </w:r>
    </w:p>
    <w:p w:rsidR="00EE2502" w:rsidRPr="00EE2502" w:rsidRDefault="00EE2502" w:rsidP="00EE2502">
      <w:pPr>
        <w:spacing w:before="100" w:beforeAutospacing="1" w:after="100" w:afterAutospacing="1"/>
        <w:jc w:val="both"/>
        <w:rPr>
          <w:color w:val="000000"/>
        </w:rPr>
      </w:pPr>
      <w:r w:rsidRPr="00EE2502">
        <w:rPr>
          <w:color w:val="000000"/>
        </w:rPr>
        <w:t>Wymagania, jakie powinny być spełnione, aby na wyrobie budowlanym można umieścić znak budowlany, reguluje przede wszystkim art. 8 ust. 1 </w:t>
      </w:r>
      <w:r w:rsidRPr="00EE2502">
        <w:rPr>
          <w:i/>
          <w:iCs/>
          <w:color w:val="000000"/>
        </w:rPr>
        <w:t>ustawy o wyrobach budowlanych </w:t>
      </w:r>
      <w:r w:rsidRPr="00EE2502">
        <w:rPr>
          <w:color w:val="000000"/>
        </w:rPr>
        <w:t>oraz przepisy rozporządzenia w sprawie sposobu deklarowania właściwości użytkowych wyrobów budowlanych oraz sposobu znakowania ich znakiem budowlanym</w:t>
      </w:r>
      <w:r w:rsidRPr="00EE2502">
        <w:rPr>
          <w:i/>
          <w:iCs/>
          <w:color w:val="000000"/>
        </w:rPr>
        <w:t>.</w:t>
      </w:r>
      <w:r w:rsidRPr="00EE2502">
        <w:rPr>
          <w:color w:val="000000"/>
        </w:rPr>
        <w:t>Zgodnie natomiast z ww. przepisem art. 8 ust. 1 ustawy, oznakowanie wyrobu budowlanego znakiem budowlanym umieszcza się na wyrobie budowlanym, dla którego producent sporządził, na swoją wyłączną odpowiedzialność, krajową deklarację właściwości użytkowych wyrobu budowlanego, zwaną dalej "krajową deklaracją". Właściwości użytkowe wyrobu budowlanego, zadeklarowane w krajowej deklaracji zgodnie z właściwą przedmiotowo Polską Normą wyrobu lub krajową oceną techniczną, należy odnieść do tych zasadniczych charakterystyk, które mają wpływ na spełnienie podstawowych wymagań przez obiekty budowlane, zgodnie z zamierzonym zastosowaniem tego wyrobu. Informacje o właściwościach użytkowych wyrobu budowlanego w odniesieniu do zasadniczych charakterystyk tego wyrobu można podać wyłącznie, o ile zostały określone w krajowej deklaracji.</w:t>
      </w:r>
    </w:p>
    <w:p w:rsidR="00EE2502" w:rsidRPr="00EE2502" w:rsidRDefault="00EE2502" w:rsidP="00EE2502">
      <w:pPr>
        <w:spacing w:before="100" w:beforeAutospacing="1" w:after="100" w:afterAutospacing="1"/>
        <w:rPr>
          <w:rFonts w:ascii="Open Sans" w:hAnsi="Open Sans"/>
          <w:color w:val="000000"/>
          <w:sz w:val="21"/>
          <w:szCs w:val="21"/>
        </w:rPr>
      </w:pPr>
      <w:r w:rsidRPr="00EE2502">
        <w:rPr>
          <w:rFonts w:ascii="Open Sans" w:hAnsi="Open Sans"/>
          <w:b/>
          <w:bCs/>
          <w:color w:val="000000"/>
          <w:sz w:val="21"/>
          <w:szCs w:val="21"/>
        </w:rPr>
        <w:t>9)  Jakie wyroby można stosować przy wykonywaniu robót budowlanych?</w:t>
      </w:r>
    </w:p>
    <w:p w:rsidR="00EE2502" w:rsidRPr="00EE2502" w:rsidRDefault="00EE2502" w:rsidP="00EE2502">
      <w:pPr>
        <w:spacing w:before="100" w:beforeAutospacing="1" w:after="100" w:afterAutospacing="1"/>
        <w:jc w:val="both"/>
        <w:rPr>
          <w:color w:val="000000"/>
        </w:rPr>
      </w:pPr>
      <w:r w:rsidRPr="00EE2502">
        <w:rPr>
          <w:color w:val="000000"/>
        </w:rPr>
        <w:t>Stosownie do postanowień art. 10 ustawy – </w:t>
      </w:r>
      <w:r w:rsidRPr="00EE2502">
        <w:rPr>
          <w:i/>
          <w:iCs/>
          <w:color w:val="000000"/>
        </w:rPr>
        <w:t>Prawo budowlane</w:t>
      </w:r>
      <w:r w:rsidRPr="00EE2502">
        <w:rPr>
          <w:color w:val="000000"/>
        </w:rPr>
        <w:t>, wyroby wytworzone w celu zastosowania w obiekcie budowlanym w sposób trwały o właściwościach użytkowych umożliwiających prawidłowo zaprojektowanym i wykonanym obiektom budowlanym spełnienie podstawowych wymagań, można stosować przy wykonywaniu robót budowlanych wyłącznie, jeżeli wyroby te zostały wprowadzone do obrotu lub udostępnione na rynku krajowym zgodnie z przepisami odrębnymi, a w przypadku wyrobów budowlanych - również zgodnie z zamierzonym zastosowaniem.</w:t>
      </w:r>
      <w:r w:rsidRPr="00EE2502">
        <w:rPr>
          <w:color w:val="000000"/>
        </w:rPr>
        <w:br/>
        <w:t>Powyższymi przepisami odrębnymi są między innymi:</w:t>
      </w:r>
    </w:p>
    <w:p w:rsidR="00EE2502" w:rsidRPr="00EE2502" w:rsidRDefault="00EE2502" w:rsidP="00323613">
      <w:pPr>
        <w:numPr>
          <w:ilvl w:val="0"/>
          <w:numId w:val="102"/>
        </w:numPr>
        <w:spacing w:before="100" w:beforeAutospacing="1" w:after="100" w:afterAutospacing="1"/>
        <w:jc w:val="both"/>
        <w:rPr>
          <w:color w:val="000000"/>
        </w:rPr>
      </w:pPr>
      <w:r w:rsidRPr="00EE2502">
        <w:rPr>
          <w:color w:val="000000"/>
        </w:rPr>
        <w:t>rozporządzenie Nr 305/2011</w:t>
      </w:r>
      <w:r w:rsidRPr="00EE2502">
        <w:rPr>
          <w:i/>
          <w:iCs/>
          <w:color w:val="000000"/>
        </w:rPr>
        <w:t>, </w:t>
      </w:r>
      <w:r w:rsidRPr="00EE2502">
        <w:rPr>
          <w:color w:val="000000"/>
        </w:rPr>
        <w:t>w odniesieniu do wyrobów budowlanych objętych normami zharmonizowanymi lub zgodnych z wydanymi dla nich europejskimi ocenami technicznymi,</w:t>
      </w:r>
    </w:p>
    <w:p w:rsidR="00EE2502" w:rsidRPr="00EE2502" w:rsidRDefault="00EE2502" w:rsidP="00323613">
      <w:pPr>
        <w:numPr>
          <w:ilvl w:val="0"/>
          <w:numId w:val="102"/>
        </w:numPr>
        <w:spacing w:before="100" w:beforeAutospacing="1" w:after="100" w:afterAutospacing="1"/>
        <w:jc w:val="both"/>
        <w:rPr>
          <w:color w:val="000000"/>
        </w:rPr>
      </w:pPr>
      <w:r w:rsidRPr="00EE2502">
        <w:rPr>
          <w:color w:val="000000"/>
        </w:rPr>
        <w:t>ustawa </w:t>
      </w:r>
      <w:r w:rsidRPr="00EE2502">
        <w:rPr>
          <w:i/>
          <w:iCs/>
          <w:color w:val="000000"/>
        </w:rPr>
        <w:t>o wyrobach budowlanych </w:t>
      </w:r>
      <w:r w:rsidRPr="00EE2502">
        <w:rPr>
          <w:color w:val="000000"/>
        </w:rPr>
        <w:t>wraz z aktami wykonawczymi, w odniesieniu do wyrobów budowlanych nieobjętych normami zharmonizowanymi, dla których zakończył się okres koegzystencji (o którym mowa w art. 17 ust. 5 ww. rozporządzenia), i dla których nie zostały wydane europejskie oceny techniczne.</w:t>
      </w:r>
    </w:p>
    <w:p w:rsidR="00EE2502" w:rsidRPr="00EE2502" w:rsidRDefault="00EE2502" w:rsidP="00EE2502">
      <w:pPr>
        <w:spacing w:before="100" w:beforeAutospacing="1" w:after="100" w:afterAutospacing="1"/>
        <w:rPr>
          <w:color w:val="000000"/>
        </w:rPr>
      </w:pPr>
      <w:r w:rsidRPr="00EE2502">
        <w:rPr>
          <w:color w:val="000000"/>
        </w:rPr>
        <w:t> </w:t>
      </w:r>
    </w:p>
    <w:p w:rsidR="00EE2502" w:rsidRPr="00EE2502" w:rsidRDefault="00EE2502" w:rsidP="00EE2502">
      <w:pPr>
        <w:spacing w:before="100" w:beforeAutospacing="1" w:after="100" w:afterAutospacing="1"/>
        <w:jc w:val="both"/>
        <w:rPr>
          <w:color w:val="000000"/>
        </w:rPr>
      </w:pPr>
      <w:r w:rsidRPr="00EE2502">
        <w:rPr>
          <w:color w:val="000000"/>
        </w:rPr>
        <w:t>O możliwości zastosowania wyrobu budowlanego w konkretnym obiekcie budowlanym decydują jego właściwości użytkowe. Oznakowanie wyrobu budowlanego oznakowaniem CE albo znakiem budowlanym - zgodnie z wymaganiami określonymi, odpowiednio, w rozporządzeniu Nr 305/2011 albo ustawie </w:t>
      </w:r>
      <w:r w:rsidRPr="00EE2502">
        <w:rPr>
          <w:i/>
          <w:iCs/>
          <w:color w:val="000000"/>
        </w:rPr>
        <w:t>o wyrobach budowlanych - </w:t>
      </w:r>
      <w:r w:rsidRPr="00EE2502">
        <w:rPr>
          <w:color w:val="000000"/>
        </w:rPr>
        <w:t>nie oznacza automatycznie możliwości zastosowania tego wyrobu w każdym obiekcie budowlanym. Możliwość zastosowania wyrobu zależy bowiem między innymi od warunków technicznych, jakie powinien spełnić dany obiekt budowlany.</w:t>
      </w:r>
    </w:p>
    <w:p w:rsidR="00EE2502" w:rsidRPr="00EE2502" w:rsidRDefault="00EE2502" w:rsidP="00EE2502">
      <w:pPr>
        <w:numPr>
          <w:ilvl w:val="1"/>
          <w:numId w:val="90"/>
        </w:numPr>
        <w:spacing w:before="120"/>
        <w:ind w:left="540" w:hanging="540"/>
        <w:jc w:val="both"/>
        <w:rPr>
          <w:b/>
          <w:bCs/>
          <w:szCs w:val="18"/>
        </w:rPr>
      </w:pPr>
    </w:p>
    <w:p w:rsidR="00EE2502" w:rsidRPr="00EE2502" w:rsidRDefault="00EE2502" w:rsidP="00EE2502">
      <w:pPr>
        <w:spacing w:before="120"/>
        <w:jc w:val="both"/>
        <w:rPr>
          <w:b/>
          <w:bCs/>
          <w:szCs w:val="18"/>
        </w:rPr>
      </w:pPr>
      <w:r w:rsidRPr="00EE2502">
        <w:rPr>
          <w:b/>
          <w:bCs/>
          <w:szCs w:val="18"/>
        </w:rPr>
        <w:t>2.2. Źródła uzyskania materiałów</w:t>
      </w:r>
    </w:p>
    <w:p w:rsidR="00EE2502" w:rsidRPr="00EE2502" w:rsidRDefault="00EE2502" w:rsidP="00EE2502">
      <w:pPr>
        <w:jc w:val="both"/>
        <w:rPr>
          <w:szCs w:val="18"/>
        </w:rPr>
      </w:pPr>
      <w:r w:rsidRPr="00EE2502">
        <w:rPr>
          <w:szCs w:val="18"/>
        </w:rPr>
        <w:t>Co najmniej na trzy tygodnie przed zaplanowanym wykorzystaniem jakichkolwiek materiałów przeznaczonych do robót Wykonawca przedstawi Inżynierowi/Kierownikowi projektu do zatwierdzenia, szczegółowe informacje dotyczące proponowanego źródła wytwarzania, zamawiania lub wydobywania tych materiałów jak również odpowiednie świadectwa badań laboratoryjnych oraz próbki materiałów.</w:t>
      </w:r>
    </w:p>
    <w:p w:rsidR="00EE2502" w:rsidRPr="00EE2502" w:rsidRDefault="00EE2502" w:rsidP="00EE2502">
      <w:pPr>
        <w:jc w:val="both"/>
        <w:rPr>
          <w:szCs w:val="18"/>
        </w:rPr>
      </w:pPr>
      <w:r w:rsidRPr="00EE2502">
        <w:rPr>
          <w:szCs w:val="18"/>
        </w:rPr>
        <w:t>Zatwierdzenie partii materiałów z danego źródła nie oznacza automatycznie, że wszelkie materiały z danego źródła uzyskają zatwierdzenie.</w:t>
      </w:r>
    </w:p>
    <w:p w:rsidR="00EE2502" w:rsidRPr="00EE2502" w:rsidRDefault="00EE2502" w:rsidP="00EE2502">
      <w:pPr>
        <w:jc w:val="both"/>
        <w:rPr>
          <w:szCs w:val="18"/>
        </w:rPr>
      </w:pPr>
      <w:r w:rsidRPr="00EE2502">
        <w:rPr>
          <w:szCs w:val="18"/>
        </w:rPr>
        <w:t>Wykonawca zobowiązany jest do prowadzenia badań w celu wykazania, że materiały uzyskane z dopuszczonego źródła w sposób ciągły spełniają wymagania ST w czasie realizacji robót.</w:t>
      </w:r>
    </w:p>
    <w:p w:rsidR="00EE2502" w:rsidRPr="00EE2502" w:rsidRDefault="00EE2502" w:rsidP="00EE2502">
      <w:pPr>
        <w:numPr>
          <w:ilvl w:val="1"/>
          <w:numId w:val="90"/>
        </w:numPr>
        <w:spacing w:before="120"/>
        <w:ind w:left="540" w:hanging="540"/>
        <w:jc w:val="both"/>
        <w:rPr>
          <w:b/>
          <w:bCs/>
          <w:szCs w:val="18"/>
        </w:rPr>
      </w:pPr>
      <w:r w:rsidRPr="00EE2502">
        <w:rPr>
          <w:b/>
          <w:bCs/>
          <w:szCs w:val="18"/>
        </w:rPr>
        <w:t>Pozyskiwanie materiałów miejscowych</w:t>
      </w:r>
    </w:p>
    <w:p w:rsidR="00EE2502" w:rsidRPr="00EE2502" w:rsidRDefault="00EE2502" w:rsidP="00EE2502">
      <w:pPr>
        <w:jc w:val="both"/>
        <w:rPr>
          <w:szCs w:val="18"/>
        </w:rPr>
      </w:pPr>
      <w:r w:rsidRPr="00EE2502">
        <w:rPr>
          <w:szCs w:val="18"/>
        </w:rPr>
        <w:t>Wykonawca odpowiada za uzyskanie pozwoleń od właścicieli i odnośnych władz na pozyskanie materiałów ze źródeł miejscowych włączając w to źródła wskazane przez Zamawiającego. Jest zobowiązany dostarczyć Inżynierowi/Kierownikowi projektu wymagane dokumenty przed rozpoczęciem eksploatacji źródła.</w:t>
      </w:r>
    </w:p>
    <w:p w:rsidR="00EE2502" w:rsidRPr="00EE2502" w:rsidRDefault="00EE2502" w:rsidP="00EE2502">
      <w:pPr>
        <w:jc w:val="both"/>
        <w:rPr>
          <w:szCs w:val="18"/>
        </w:rPr>
      </w:pPr>
      <w:r w:rsidRPr="00EE2502">
        <w:rPr>
          <w:szCs w:val="18"/>
        </w:rPr>
        <w:t>Wykonawca przedstawi Inżynierowi/Kierownikowi projektu do zatwierdzenia dokumentację zawierającą raporty z badań terenowych i laboratoryjnych oraz proponowaną przez siebie metodę wydobycia i selekcji, uwzględniając aktualne decyzje o eksploatacji organów administracji państwowej i samorządowej.</w:t>
      </w:r>
    </w:p>
    <w:p w:rsidR="00EE2502" w:rsidRPr="00EE2502" w:rsidRDefault="00EE2502" w:rsidP="00EE2502">
      <w:pPr>
        <w:jc w:val="both"/>
        <w:rPr>
          <w:szCs w:val="18"/>
        </w:rPr>
      </w:pPr>
      <w:r w:rsidRPr="00EE2502">
        <w:rPr>
          <w:szCs w:val="18"/>
        </w:rPr>
        <w:t>Wykonawca ponosi odpowiedzialność za spełnienie wymagań ilościowych i jakościowych materiałów pochodzących ze źródeł miejscowych.</w:t>
      </w:r>
    </w:p>
    <w:p w:rsidR="00EE2502" w:rsidRPr="00EE2502" w:rsidRDefault="00EE2502" w:rsidP="00EE2502">
      <w:pPr>
        <w:jc w:val="both"/>
        <w:rPr>
          <w:szCs w:val="18"/>
        </w:rPr>
      </w:pPr>
      <w:r w:rsidRPr="00EE2502">
        <w:rPr>
          <w:szCs w:val="18"/>
        </w:rPr>
        <w:t>Wykonawca ponosi wszystkie koszty, z tytułu wydobycia materiałów, dzierżawy i inne jakie okażą się potrzebne w związku z dostarczeniem materiałów do robót.</w:t>
      </w:r>
    </w:p>
    <w:p w:rsidR="00EE2502" w:rsidRPr="00EE2502" w:rsidRDefault="00EE2502" w:rsidP="00EE2502">
      <w:pPr>
        <w:jc w:val="both"/>
        <w:rPr>
          <w:szCs w:val="18"/>
        </w:rPr>
      </w:pPr>
      <w:r w:rsidRPr="00EE2502">
        <w:rPr>
          <w:szCs w:val="18"/>
        </w:rPr>
        <w:t>Humus i nadkład czasowo zdjęte z terenu wykopów, dokopów i miejsc pozyskania materiałów miejscowych będą formowane w hałdy i wykorzystane przy zasypce i rekultywacji terenu po ukończeniu robót.</w:t>
      </w:r>
    </w:p>
    <w:p w:rsidR="00EE2502" w:rsidRPr="00EE2502" w:rsidRDefault="00EE2502" w:rsidP="00EE2502">
      <w:pPr>
        <w:jc w:val="both"/>
        <w:rPr>
          <w:szCs w:val="18"/>
        </w:rPr>
      </w:pPr>
      <w:r w:rsidRPr="00EE2502">
        <w:rPr>
          <w:szCs w:val="18"/>
        </w:rPr>
        <w:t>Wszystkie odpowiednie materiały pozyskane z wykopów na terenie budowy lub z innych miejsc wskazanych w dokumentach umowy będą wykorzystane do robót lub odwiezione na odkład odpowiednio do wymagań umowy lub wskazań Inżyniera/Kierownika projektu.</w:t>
      </w:r>
    </w:p>
    <w:p w:rsidR="00EE2502" w:rsidRPr="00EE2502" w:rsidRDefault="00EE2502" w:rsidP="00EE2502">
      <w:pPr>
        <w:jc w:val="both"/>
        <w:rPr>
          <w:szCs w:val="18"/>
        </w:rPr>
      </w:pPr>
      <w:r w:rsidRPr="00EE2502">
        <w:rPr>
          <w:szCs w:val="18"/>
        </w:rPr>
        <w:t>Wykonawca nie będzie prowadzić żadnych wykopów w obrębie terenu budowy poza tymi, które zostały wyszczególnione w dokumentach umowy, chyba, że uzyska na to pisemną zgodę Inżyniera/Kierownika projektu.</w:t>
      </w:r>
    </w:p>
    <w:p w:rsidR="00EE2502" w:rsidRPr="00EE2502" w:rsidRDefault="00EE2502" w:rsidP="00EE2502">
      <w:pPr>
        <w:jc w:val="both"/>
        <w:rPr>
          <w:szCs w:val="18"/>
        </w:rPr>
      </w:pPr>
      <w:r w:rsidRPr="00EE2502">
        <w:rPr>
          <w:szCs w:val="18"/>
        </w:rPr>
        <w:t>Eksploatacja źródeł materiałów będzie zgodna z wszelkimi regulacjami prawnymi obowiązującymi na danym obszarze.</w:t>
      </w:r>
    </w:p>
    <w:p w:rsidR="00EE2502" w:rsidRPr="00EE2502" w:rsidRDefault="00EE2502" w:rsidP="00EE2502">
      <w:pPr>
        <w:numPr>
          <w:ilvl w:val="1"/>
          <w:numId w:val="90"/>
        </w:numPr>
        <w:spacing w:before="120"/>
        <w:ind w:left="540" w:hanging="540"/>
        <w:jc w:val="both"/>
        <w:rPr>
          <w:b/>
          <w:bCs/>
          <w:szCs w:val="18"/>
        </w:rPr>
      </w:pPr>
      <w:r w:rsidRPr="00EE2502">
        <w:rPr>
          <w:b/>
          <w:bCs/>
          <w:szCs w:val="18"/>
        </w:rPr>
        <w:t>Materiały nie odpowiadające wymaganiom</w:t>
      </w:r>
    </w:p>
    <w:p w:rsidR="00EE2502" w:rsidRPr="00EE2502" w:rsidRDefault="00EE2502" w:rsidP="00EE2502">
      <w:pPr>
        <w:jc w:val="both"/>
        <w:rPr>
          <w:szCs w:val="18"/>
        </w:rPr>
      </w:pPr>
      <w:r w:rsidRPr="00EE2502">
        <w:rPr>
          <w:szCs w:val="18"/>
        </w:rPr>
        <w:t>Materiały nie odpowiadające wymaganiom zostaną przez Wykonawcę wywiezione z terenu budowy i złożone w miejscu wskazanym przez Inżyniera/Kierownika projektu. Jeśli Inżynier/Kierownik projektu zezwoli Wykonawcy na użycie tych materiałów do innych robót niż te dla których zostały zakupione, to koszt tych materiałów zostanie odpowiednio przewartościowany (skorygowany) przez Inżyniera/Kierownika projektu.</w:t>
      </w:r>
    </w:p>
    <w:p w:rsidR="00EE2502" w:rsidRPr="00EE2502" w:rsidRDefault="00EE2502" w:rsidP="00EE2502">
      <w:pPr>
        <w:jc w:val="both"/>
        <w:rPr>
          <w:szCs w:val="18"/>
        </w:rPr>
      </w:pPr>
      <w:r w:rsidRPr="00EE2502">
        <w:rPr>
          <w:szCs w:val="18"/>
        </w:rPr>
        <w:t>Każdy rodzaj robót, w którym znajdują się nie zbadane i nie zaakceptowane materiały, Wykonawca wykonuje na własne ryzyko, licząc się z jego nieprzyjęciem, usunięciem i niezapłaceniem</w:t>
      </w:r>
    </w:p>
    <w:p w:rsidR="00EE2502" w:rsidRPr="00EE2502" w:rsidRDefault="00EE2502" w:rsidP="00EE2502">
      <w:pPr>
        <w:numPr>
          <w:ilvl w:val="1"/>
          <w:numId w:val="90"/>
        </w:numPr>
        <w:spacing w:before="120"/>
        <w:ind w:left="540" w:hanging="540"/>
        <w:jc w:val="both"/>
        <w:rPr>
          <w:b/>
          <w:bCs/>
          <w:szCs w:val="18"/>
        </w:rPr>
      </w:pPr>
      <w:r w:rsidRPr="00EE2502">
        <w:rPr>
          <w:b/>
          <w:bCs/>
          <w:szCs w:val="18"/>
        </w:rPr>
        <w:t>Wariantowe stosowanie materiałów</w:t>
      </w:r>
    </w:p>
    <w:p w:rsidR="00EE2502" w:rsidRPr="00EE2502" w:rsidRDefault="00EE2502" w:rsidP="00EE2502">
      <w:pPr>
        <w:jc w:val="both"/>
        <w:rPr>
          <w:szCs w:val="18"/>
        </w:rPr>
      </w:pPr>
      <w:r w:rsidRPr="00EE2502">
        <w:rPr>
          <w:szCs w:val="18"/>
        </w:rPr>
        <w:t>Jeśli dokumentacja projektowa lub ST przewidują możliwość wariantowego zastosowania rodzaju materiału w wykonywanych robotach. Wykonawca powiadomi Inżyniera/Kierownika projektu o swoim zamiarze co najmniej</w:t>
      </w:r>
      <w:r w:rsidRPr="00EE2502">
        <w:rPr>
          <w:noProof/>
          <w:szCs w:val="18"/>
        </w:rPr>
        <w:t xml:space="preserve"> 3</w:t>
      </w:r>
      <w:r w:rsidRPr="00EE2502">
        <w:rPr>
          <w:szCs w:val="18"/>
        </w:rPr>
        <w:t xml:space="preserve"> tygodnie przed użyciem tego materiału, albo w okresie dłuższym, jeśli będzie to potrzebne z uwagi na wykonanie badań wymaganych przez Inżyniera/Kierownika projektu. Wybrany i zaakceptowany rodzaj materiału nie może być później zmieniany bez zgody Inżyniera/Kierownika projektu.</w:t>
      </w:r>
    </w:p>
    <w:p w:rsidR="00EE2502" w:rsidRPr="00EE2502" w:rsidRDefault="00EE2502" w:rsidP="00EE2502">
      <w:pPr>
        <w:numPr>
          <w:ilvl w:val="1"/>
          <w:numId w:val="90"/>
        </w:numPr>
        <w:spacing w:before="120"/>
        <w:ind w:left="540" w:hanging="540"/>
        <w:jc w:val="both"/>
        <w:rPr>
          <w:b/>
          <w:bCs/>
          <w:szCs w:val="18"/>
        </w:rPr>
      </w:pPr>
      <w:r w:rsidRPr="00EE2502">
        <w:rPr>
          <w:b/>
          <w:bCs/>
          <w:szCs w:val="18"/>
        </w:rPr>
        <w:t>Przechowywanie i składowanie materiałów</w:t>
      </w:r>
    </w:p>
    <w:p w:rsidR="00EE2502" w:rsidRPr="00EE2502" w:rsidRDefault="00EE2502" w:rsidP="00EE2502">
      <w:pPr>
        <w:jc w:val="both"/>
        <w:rPr>
          <w:szCs w:val="18"/>
        </w:rPr>
      </w:pPr>
      <w:r w:rsidRPr="00EE2502">
        <w:rPr>
          <w:szCs w:val="18"/>
        </w:rPr>
        <w:t>Wykonawca zapewni, aby tymczasowo składowane materiały, do czasu gdy będą one użyte do robót, były zabezpieczone przed zanieczyszczeniami, zachowały swoją jakość i właściwości i były dostępne do kontroli przez Inżyniera/Kierownika projektu.</w:t>
      </w:r>
    </w:p>
    <w:p w:rsidR="00EE2502" w:rsidRPr="00EE2502" w:rsidRDefault="00EE2502" w:rsidP="00EE2502">
      <w:pPr>
        <w:jc w:val="both"/>
        <w:rPr>
          <w:szCs w:val="18"/>
        </w:rPr>
      </w:pPr>
      <w:r w:rsidRPr="00EE2502">
        <w:rPr>
          <w:szCs w:val="18"/>
        </w:rPr>
        <w:t>Miejsca czasowego składowania materiałów będą zlokalizowane w obrębie terenu budowy w miejscach uzgodnionych z Inżynierem/Kierownikiem projektu lub poza terenem budowy w miejscach zorganizowanych przez Wykonawcę i zaakceptowanych przez Inżyniera/Kierownika projektu.</w:t>
      </w:r>
    </w:p>
    <w:p w:rsidR="00EE2502" w:rsidRPr="00EE2502" w:rsidRDefault="00EE2502" w:rsidP="00EE2502">
      <w:pPr>
        <w:numPr>
          <w:ilvl w:val="1"/>
          <w:numId w:val="90"/>
        </w:numPr>
        <w:spacing w:before="120"/>
        <w:ind w:left="540" w:hanging="540"/>
        <w:jc w:val="both"/>
        <w:rPr>
          <w:b/>
          <w:bCs/>
          <w:szCs w:val="18"/>
        </w:rPr>
      </w:pPr>
      <w:r w:rsidRPr="00EE2502">
        <w:rPr>
          <w:b/>
          <w:bCs/>
          <w:szCs w:val="18"/>
        </w:rPr>
        <w:t>Inspekcja wytwórni materiałów</w:t>
      </w:r>
    </w:p>
    <w:p w:rsidR="00EE2502" w:rsidRPr="00EE2502" w:rsidRDefault="00EE2502" w:rsidP="00EE2502">
      <w:pPr>
        <w:jc w:val="both"/>
        <w:rPr>
          <w:szCs w:val="18"/>
        </w:rPr>
      </w:pPr>
      <w:r w:rsidRPr="00EE2502">
        <w:rPr>
          <w:szCs w:val="18"/>
        </w:rPr>
        <w:t>Wytwórnie materiałów mogą być okresowo kontrolowane przez Inżyniera/ Kierownika projektu w celu sprawdzenia zgodności stosowanych metod produkcji z wymaganiami. Próbki materiałów mogą być pobierane w celu sprawdzenia ich właściwości. Wyniki tych kontroli będą stanowić podstawę do akceptacji określonej partii materiałów pod względem jakości.</w:t>
      </w:r>
    </w:p>
    <w:p w:rsidR="00EE2502" w:rsidRPr="00EE2502" w:rsidRDefault="00EE2502" w:rsidP="00EE2502">
      <w:pPr>
        <w:jc w:val="both"/>
        <w:rPr>
          <w:szCs w:val="18"/>
        </w:rPr>
      </w:pPr>
      <w:r w:rsidRPr="00EE2502">
        <w:rPr>
          <w:szCs w:val="18"/>
        </w:rPr>
        <w:t>W przypadku, gdy Inżynier/Kierownik projektu będzie przeprowadzał inspekcję wytwórni, muszą być spełnione następujące warunki: a) Inżynier/Kierownik projektu będzie miał zapewnioną współpracę i pomoc Wykonawcy</w:t>
      </w:r>
    </w:p>
    <w:p w:rsidR="00EE2502" w:rsidRPr="00EE2502" w:rsidRDefault="00EE2502" w:rsidP="00EE2502">
      <w:pPr>
        <w:jc w:val="both"/>
        <w:rPr>
          <w:szCs w:val="18"/>
        </w:rPr>
      </w:pPr>
      <w:r w:rsidRPr="00EE2502">
        <w:rPr>
          <w:szCs w:val="18"/>
        </w:rPr>
        <w:t>oraz producenta materiałów w czasie przeprowadzania inspekcji,</w:t>
      </w:r>
    </w:p>
    <w:p w:rsidR="00EE2502" w:rsidRPr="00EE2502" w:rsidRDefault="00EE2502" w:rsidP="00EE2502">
      <w:pPr>
        <w:jc w:val="both"/>
        <w:rPr>
          <w:szCs w:val="18"/>
        </w:rPr>
      </w:pPr>
      <w:r w:rsidRPr="00EE2502">
        <w:rPr>
          <w:szCs w:val="18"/>
        </w:rPr>
        <w:t>b) Inżynier/Kierownik projektu będzie miał wolny dostęp, w dowolnym czasie, do tych części wytwórni, gdzie odbywa się produkcja materiałów przeznaczonych do realizacji robót,</w:t>
      </w:r>
    </w:p>
    <w:p w:rsidR="00EE2502" w:rsidRPr="00EE2502" w:rsidRDefault="00EE2502" w:rsidP="00EE2502">
      <w:pPr>
        <w:jc w:val="both"/>
        <w:rPr>
          <w:szCs w:val="18"/>
        </w:rPr>
      </w:pPr>
      <w:r w:rsidRPr="00EE2502">
        <w:rPr>
          <w:szCs w:val="18"/>
        </w:rPr>
        <w:t>c) Jeżeli produkcja odbywa się w miejscu nie należącym do Wykonawcy, Wykonawca uzyska dla Inżyniera/Kierownika projektu zezwolenie dla przeprowadzenia inspekcji i badań w tych miejscach na w/w zasadach.</w:t>
      </w:r>
    </w:p>
    <w:p w:rsidR="00EE2502" w:rsidRPr="00EE2502" w:rsidRDefault="00EE2502" w:rsidP="00EE2502">
      <w:pPr>
        <w:spacing w:before="240" w:after="120"/>
        <w:jc w:val="both"/>
        <w:rPr>
          <w:b/>
          <w:bCs/>
          <w:sz w:val="22"/>
          <w:szCs w:val="22"/>
          <w:u w:val="single"/>
        </w:rPr>
      </w:pPr>
      <w:r w:rsidRPr="00EE2502">
        <w:rPr>
          <w:b/>
          <w:bCs/>
          <w:sz w:val="22"/>
          <w:szCs w:val="22"/>
          <w:u w:val="single"/>
        </w:rPr>
        <w:t>3. SPRZĘT</w:t>
      </w:r>
    </w:p>
    <w:p w:rsidR="00EE2502" w:rsidRPr="00EE2502" w:rsidRDefault="00EE2502" w:rsidP="00EE2502">
      <w:pPr>
        <w:jc w:val="both"/>
        <w:rPr>
          <w:szCs w:val="18"/>
        </w:rPr>
      </w:pPr>
      <w:r w:rsidRPr="00EE2502">
        <w:rPr>
          <w:szCs w:val="18"/>
        </w:rPr>
        <w:t>Wykonawca jest zobowiązany do używania jedynie takiego sprzętu, który nie spowoduje niekorzystnego wpływu na jakość wykonywanych robót. Sprzęt używany do robót powinien być zgodny z ofertą Wykonawcy i powinien odpowiadać pod względem typów i ilości wskazaniom zawartym w ST, PZJ lub projekcie organizacji robót, zaakceptowanym przez Inżyniera/Kierownika projektu; w przypadku braku ustaleń w wymienionych wyżej dokumentach, sprzęt powinien być uzgodniony i zaakceptowany przez Inżyniera/Kierownika projektu.</w:t>
      </w:r>
    </w:p>
    <w:p w:rsidR="00EE2502" w:rsidRPr="00EE2502" w:rsidRDefault="00EE2502" w:rsidP="00EE2502">
      <w:pPr>
        <w:jc w:val="both"/>
        <w:rPr>
          <w:szCs w:val="18"/>
        </w:rPr>
      </w:pPr>
      <w:r w:rsidRPr="00EE2502">
        <w:rPr>
          <w:szCs w:val="18"/>
        </w:rPr>
        <w:t>Liczba i wydajność sprzętu powinny gwarantować przeprowadzenie robót, zgodnie z zasadami określonymi w dokumentacji projektowej, ST i wskazaniach lnżyniera / Kierownika projektu.</w:t>
      </w:r>
    </w:p>
    <w:p w:rsidR="00EE2502" w:rsidRPr="00EE2502" w:rsidRDefault="00EE2502" w:rsidP="00EE2502">
      <w:pPr>
        <w:jc w:val="both"/>
        <w:rPr>
          <w:szCs w:val="18"/>
        </w:rPr>
      </w:pPr>
      <w:r w:rsidRPr="00EE2502">
        <w:rPr>
          <w:szCs w:val="18"/>
        </w:rPr>
        <w:t>Sprzęt będący własnością Wykonawcy lub wynajęty do wykonania robót ma być utrzymywany w dobrym stanie i gotowości do pracy. Powinien być zgodny z normami ochrony środowiska i przepisami dotyczącymi jego użytkowania.</w:t>
      </w:r>
    </w:p>
    <w:p w:rsidR="00EE2502" w:rsidRPr="00EE2502" w:rsidRDefault="00EE2502" w:rsidP="00EE2502">
      <w:pPr>
        <w:jc w:val="both"/>
        <w:rPr>
          <w:szCs w:val="18"/>
        </w:rPr>
      </w:pPr>
      <w:r w:rsidRPr="00EE2502">
        <w:rPr>
          <w:szCs w:val="18"/>
        </w:rPr>
        <w:t>Wykonawca dostarczy Inżynierowi/Kierownikowi projektu kopie dokumentów potwierdzających dopuszczenie sprzętu do użytkowania i badań okresowych, tam gdzie jest to wymagane przepisami.</w:t>
      </w:r>
    </w:p>
    <w:p w:rsidR="00EE2502" w:rsidRPr="00EE2502" w:rsidRDefault="00EE2502" w:rsidP="00EE2502">
      <w:pPr>
        <w:jc w:val="both"/>
        <w:rPr>
          <w:szCs w:val="18"/>
        </w:rPr>
      </w:pPr>
      <w:r w:rsidRPr="00EE2502">
        <w:rPr>
          <w:szCs w:val="18"/>
        </w:rPr>
        <w:t>Wykonawca będzie konserwować sprzęt jak również naprawiać lub wymieniać sprzęt niesprawny.</w:t>
      </w:r>
    </w:p>
    <w:p w:rsidR="00EE2502" w:rsidRPr="00EE2502" w:rsidRDefault="00EE2502" w:rsidP="00EE2502">
      <w:pPr>
        <w:jc w:val="both"/>
        <w:rPr>
          <w:szCs w:val="18"/>
        </w:rPr>
      </w:pPr>
      <w:r w:rsidRPr="00EE2502">
        <w:rPr>
          <w:szCs w:val="18"/>
        </w:rPr>
        <w:t>Jeżeli dokumentacja projektowa lub ST przewidują możliwość wariantowego użycia sprzętu przy wykonywanych robotach, Wykonawca powiadomi</w:t>
      </w:r>
      <w:r w:rsidRPr="00EE2502">
        <w:rPr>
          <w:noProof/>
          <w:szCs w:val="18"/>
        </w:rPr>
        <w:t xml:space="preserve"> lnżyniera/ </w:t>
      </w:r>
      <w:r w:rsidRPr="00EE2502">
        <w:rPr>
          <w:szCs w:val="18"/>
        </w:rPr>
        <w:t>Kierownika projektu o swoim zamiarze wyboru i uzyska jego akceptację przed użyciem sprzętu. Wybrany sprzęt, po akceptacji Inżyniera/Kierownika projektu, nie może być później zmieniany bez jego zgody.</w:t>
      </w:r>
    </w:p>
    <w:p w:rsidR="00EE2502" w:rsidRPr="00EE2502" w:rsidRDefault="00EE2502" w:rsidP="00EE2502">
      <w:pPr>
        <w:jc w:val="both"/>
        <w:rPr>
          <w:szCs w:val="18"/>
        </w:rPr>
      </w:pPr>
      <w:r w:rsidRPr="00EE2502">
        <w:rPr>
          <w:szCs w:val="18"/>
        </w:rPr>
        <w:t>Jakikolwiek sprzęt, maszyny, urządzenia i narzędzia nie gwarantujące zachowania warunków umowy, zostaną przez Inżyniera/Kierownika projektu zdyskwalifikowane i nie dopuszczone do robót.</w:t>
      </w:r>
    </w:p>
    <w:p w:rsidR="00EE2502" w:rsidRPr="00EE2502" w:rsidRDefault="00EE2502" w:rsidP="00EE2502">
      <w:pPr>
        <w:spacing w:before="240" w:after="120"/>
        <w:jc w:val="both"/>
        <w:rPr>
          <w:b/>
          <w:bCs/>
          <w:sz w:val="22"/>
          <w:szCs w:val="22"/>
          <w:u w:val="single"/>
        </w:rPr>
      </w:pPr>
      <w:r w:rsidRPr="00EE2502">
        <w:rPr>
          <w:b/>
          <w:bCs/>
          <w:sz w:val="22"/>
          <w:szCs w:val="22"/>
          <w:u w:val="single"/>
        </w:rPr>
        <w:t>4. TRANSPORT</w:t>
      </w:r>
    </w:p>
    <w:p w:rsidR="00EE2502" w:rsidRPr="00EE2502" w:rsidRDefault="00EE2502" w:rsidP="00EE2502">
      <w:pPr>
        <w:jc w:val="both"/>
        <w:rPr>
          <w:szCs w:val="18"/>
        </w:rPr>
      </w:pPr>
      <w:r w:rsidRPr="00EE2502">
        <w:rPr>
          <w:szCs w:val="18"/>
        </w:rPr>
        <w:t>Wykonawca jest zobowiązany do stosowania jedynie takich środków transportu, które nie wpłyną niekorzystnie na jakość wykonywanych robót i właściwości przewożonych materiałów.</w:t>
      </w:r>
    </w:p>
    <w:p w:rsidR="00EE2502" w:rsidRPr="00EE2502" w:rsidRDefault="00EE2502" w:rsidP="00EE2502">
      <w:pPr>
        <w:jc w:val="both"/>
        <w:rPr>
          <w:szCs w:val="18"/>
        </w:rPr>
      </w:pPr>
      <w:r w:rsidRPr="00EE2502">
        <w:rPr>
          <w:szCs w:val="18"/>
        </w:rPr>
        <w:t>Liczba środków transportu powinna zapewniać prowadzenie robót zgodnie z zasadami określonymi w dokumentacji projektowej, ST i wskazaniach</w:t>
      </w:r>
      <w:r w:rsidRPr="00EE2502">
        <w:rPr>
          <w:noProof/>
          <w:szCs w:val="18"/>
        </w:rPr>
        <w:t xml:space="preserve"> lnżyniera/ </w:t>
      </w:r>
      <w:r w:rsidRPr="00EE2502">
        <w:rPr>
          <w:szCs w:val="18"/>
        </w:rPr>
        <w:t>Kierownika projektu, w terminie przewidzianym umową.</w:t>
      </w:r>
    </w:p>
    <w:p w:rsidR="00EE2502" w:rsidRPr="00EE2502" w:rsidRDefault="00EE2502" w:rsidP="00EE2502">
      <w:pPr>
        <w:jc w:val="both"/>
        <w:rPr>
          <w:szCs w:val="18"/>
        </w:rPr>
      </w:pPr>
      <w:r w:rsidRPr="00EE2502">
        <w:rPr>
          <w:szCs w:val="18"/>
        </w:rPr>
        <w:t>Przy ruchu na drogach publicznych pojazdy będą spełniać wymagania dotyczące przepisów ruchu drogowego w odniesieniu do dopuszczalnych nacisków na oś i innych parametrów technicznych. Środki transportu nie spełniające tych warunków mogą być dopuszczone przez Inżyniera/Kierownika projektu, pod warunkiem przywrócenia stanu pierwotnego użytkowanych odcinków dróg na koszt Wykonawcy.</w:t>
      </w:r>
    </w:p>
    <w:p w:rsidR="00EE2502" w:rsidRPr="00EE2502" w:rsidRDefault="00EE2502" w:rsidP="00EE2502">
      <w:pPr>
        <w:jc w:val="both"/>
        <w:rPr>
          <w:szCs w:val="18"/>
        </w:rPr>
      </w:pPr>
      <w:r w:rsidRPr="00EE2502">
        <w:rPr>
          <w:szCs w:val="18"/>
        </w:rPr>
        <w:t>Wykonawca będzie usuwać na bieżąco, na własny koszt, wszelkie zanieczyszczenia, uszkodzenia spowodowane jego pojazdami na drogach publicznych oraz dojazdach do terenu budowy.</w:t>
      </w:r>
    </w:p>
    <w:p w:rsidR="00EE2502" w:rsidRPr="00EE2502" w:rsidRDefault="00EE2502" w:rsidP="00EE2502">
      <w:pPr>
        <w:spacing w:before="240" w:after="120"/>
        <w:jc w:val="both"/>
        <w:rPr>
          <w:b/>
          <w:bCs/>
          <w:sz w:val="22"/>
          <w:szCs w:val="22"/>
          <w:u w:val="single"/>
        </w:rPr>
      </w:pPr>
      <w:r w:rsidRPr="00EE2502">
        <w:rPr>
          <w:b/>
          <w:bCs/>
          <w:sz w:val="22"/>
          <w:szCs w:val="22"/>
          <w:u w:val="single"/>
        </w:rPr>
        <w:t>5. WYKONANIE ROBÓT</w:t>
      </w:r>
    </w:p>
    <w:p w:rsidR="00EE2502" w:rsidRPr="00EE2502" w:rsidRDefault="00EE2502" w:rsidP="00EE2502">
      <w:pPr>
        <w:jc w:val="both"/>
        <w:rPr>
          <w:szCs w:val="18"/>
        </w:rPr>
      </w:pPr>
      <w:r w:rsidRPr="00EE2502">
        <w:rPr>
          <w:szCs w:val="18"/>
        </w:rPr>
        <w:t>Wykonawca jest odpowiedzialny za prowadzenie robót zgodnie z warunkami umowy oraz za jakość zastosowanych materiałów i wykonywanych robót, za ich zgodność z dokumentacją projektową, wymaganiami ST, projektem organizacji robót opracowanym przez Wykonawcę oraz poleceniami Inżyniera/Kierownika projektu. Wykonawca jest odpowiedzialny za stosowane metody wykonywania robót. Wykonawca jest odpowiedzialny za dokładne wytyczenie w planie i wyznaczenie wysokości wszystkich elementów robót zgodnie z wymiarami i rzędnymi określonymi w dokumentacji projektowej lub przekazanymi na piśmie przez Inżyniera/Kierownika projektu.</w:t>
      </w:r>
    </w:p>
    <w:p w:rsidR="00EE2502" w:rsidRPr="00EE2502" w:rsidRDefault="00EE2502" w:rsidP="00EE2502">
      <w:pPr>
        <w:jc w:val="both"/>
        <w:rPr>
          <w:szCs w:val="18"/>
        </w:rPr>
      </w:pPr>
      <w:r w:rsidRPr="00EE2502">
        <w:rPr>
          <w:szCs w:val="18"/>
        </w:rPr>
        <w:t>Błędy popełnione przez Wykonawcę w wytyczeniu i wyznaczaniu robót zostaną, usunięte przez Wykonawcę na własny koszt, z wyjątkiem, kiedy dany błąd okaże się skutkiem błędu zawartego w danych dostarczonych Wykonawcy na piśmie przez Inżyniera/ Kierownika projektu.</w:t>
      </w:r>
    </w:p>
    <w:p w:rsidR="00EE2502" w:rsidRPr="00EE2502" w:rsidRDefault="00EE2502" w:rsidP="00EE2502">
      <w:pPr>
        <w:jc w:val="both"/>
        <w:rPr>
          <w:szCs w:val="18"/>
        </w:rPr>
      </w:pPr>
      <w:r w:rsidRPr="00EE2502">
        <w:rPr>
          <w:szCs w:val="18"/>
        </w:rPr>
        <w:t>Sprawdzenie wytyczenia robót lub wyznaczenia wysokości przez</w:t>
      </w:r>
      <w:r w:rsidRPr="00EE2502">
        <w:rPr>
          <w:noProof/>
          <w:szCs w:val="18"/>
        </w:rPr>
        <w:t xml:space="preserve"> Inżyniera/ </w:t>
      </w:r>
      <w:r w:rsidRPr="00EE2502">
        <w:rPr>
          <w:szCs w:val="18"/>
        </w:rPr>
        <w:t>Kierownika projektu nie zwalnia Wykonawcy od odpowiedzialności za ich dokładność.</w:t>
      </w:r>
    </w:p>
    <w:p w:rsidR="00EE2502" w:rsidRPr="00EE2502" w:rsidRDefault="00EE2502" w:rsidP="00EE2502">
      <w:pPr>
        <w:jc w:val="both"/>
        <w:rPr>
          <w:szCs w:val="18"/>
        </w:rPr>
      </w:pPr>
      <w:r w:rsidRPr="00EE2502">
        <w:rPr>
          <w:szCs w:val="18"/>
        </w:rPr>
        <w:t>Decyzje Inżyniera/Kierownika projektu dotyczące akceptacji lub odrzucenia materiałów i elementów robót będą oparte na wymaganiach określonych w dokumentach umowy, dokumentacji projektowej i w ST, a także w normach i wytycznych. Przy podejmowaniu decyzji Inżynier/Kierownik projektu uwzględni wyniki badań materiałów i robót, rozrzuty normalnie występujące przy produkcji i przy badaniach materiałów, doświadczenia z przeszłości, wyniki badań naukowych oraz inne czynniki wpływające na rozważaną kwestię.</w:t>
      </w:r>
    </w:p>
    <w:p w:rsidR="00EE2502" w:rsidRPr="00EE2502" w:rsidRDefault="00EE2502" w:rsidP="00EE2502">
      <w:pPr>
        <w:jc w:val="both"/>
        <w:rPr>
          <w:szCs w:val="18"/>
        </w:rPr>
      </w:pPr>
      <w:r w:rsidRPr="00EE2502">
        <w:rPr>
          <w:szCs w:val="18"/>
        </w:rPr>
        <w:t>Polecenia Inżyniera/Kierownika projektu powinny być wykonywane przez Wykonawcę w czasie określonym przez Inżyniera/Kierownika projektu, pod groźbą zatrzymania robót. Skutki finansowe z tego tytułu poniesie Wykonawca.</w:t>
      </w:r>
    </w:p>
    <w:p w:rsidR="00EE2502" w:rsidRPr="00EE2502" w:rsidRDefault="00EE2502" w:rsidP="00EE2502">
      <w:pPr>
        <w:spacing w:before="240" w:after="120"/>
        <w:jc w:val="both"/>
        <w:rPr>
          <w:b/>
          <w:bCs/>
          <w:sz w:val="22"/>
          <w:szCs w:val="22"/>
          <w:u w:val="single"/>
        </w:rPr>
      </w:pPr>
      <w:r w:rsidRPr="00EE2502">
        <w:rPr>
          <w:b/>
          <w:bCs/>
          <w:sz w:val="22"/>
          <w:szCs w:val="22"/>
          <w:u w:val="single"/>
        </w:rPr>
        <w:t>6. KONTROLA JAKOŚCI ROBÓT</w:t>
      </w:r>
    </w:p>
    <w:p w:rsidR="00EE2502" w:rsidRPr="00EE2502" w:rsidRDefault="00EE2502" w:rsidP="00EE2502">
      <w:pPr>
        <w:numPr>
          <w:ilvl w:val="1"/>
          <w:numId w:val="90"/>
        </w:numPr>
        <w:spacing w:before="120"/>
        <w:ind w:left="540" w:hanging="540"/>
        <w:jc w:val="both"/>
        <w:rPr>
          <w:b/>
          <w:bCs/>
          <w:szCs w:val="18"/>
        </w:rPr>
      </w:pPr>
      <w:r w:rsidRPr="00EE2502">
        <w:rPr>
          <w:b/>
          <w:bCs/>
          <w:szCs w:val="18"/>
        </w:rPr>
        <w:t xml:space="preserve">Program zapewnienia jakości  </w:t>
      </w:r>
    </w:p>
    <w:p w:rsidR="00EE2502" w:rsidRPr="00EE2502" w:rsidRDefault="00EE2502" w:rsidP="00EE2502">
      <w:pPr>
        <w:jc w:val="both"/>
        <w:rPr>
          <w:szCs w:val="18"/>
        </w:rPr>
      </w:pPr>
      <w:r w:rsidRPr="00EE2502">
        <w:rPr>
          <w:szCs w:val="18"/>
        </w:rPr>
        <w:t xml:space="preserve">  Wykonawca  jest  zobowiązany  opracować  i  przedstawić  do  akceptacji  Inżyniera/  Kierownika  projektu  program zapewnienia  jakości  dla  robót  wyznaczonych  przez  Inżyniera.  W  programie  zapewnienia  jakości  Wykonawca  powinien określić,  zamierzony  sposób  wykonywania  robót,  możliwości  techniczne,  kadrowe  i  plan  organizacji  robót  gwarantujący wykonanie robót zgodnie z dokumentacją projektową, ST oraz ustaleniami.  </w:t>
      </w:r>
    </w:p>
    <w:p w:rsidR="00EE2502" w:rsidRPr="00EE2502" w:rsidRDefault="00EE2502" w:rsidP="00EE2502">
      <w:pPr>
        <w:jc w:val="both"/>
        <w:rPr>
          <w:szCs w:val="18"/>
        </w:rPr>
      </w:pPr>
      <w:r w:rsidRPr="00EE2502">
        <w:rPr>
          <w:szCs w:val="18"/>
        </w:rPr>
        <w:t xml:space="preserve">  Program zapewnienia jakości powinien zawierać: </w:t>
      </w:r>
    </w:p>
    <w:p w:rsidR="00EE2502" w:rsidRPr="00EE2502" w:rsidRDefault="00EE2502" w:rsidP="00EE2502">
      <w:pPr>
        <w:jc w:val="both"/>
        <w:rPr>
          <w:szCs w:val="18"/>
        </w:rPr>
      </w:pPr>
      <w:r w:rsidRPr="00EE2502">
        <w:rPr>
          <w:szCs w:val="18"/>
        </w:rPr>
        <w:t xml:space="preserve">a) część ogólną opisującą: </w:t>
      </w:r>
    </w:p>
    <w:p w:rsidR="00EE2502" w:rsidRPr="00EE2502" w:rsidRDefault="00EE2502" w:rsidP="00EE2502">
      <w:pPr>
        <w:jc w:val="both"/>
        <w:rPr>
          <w:szCs w:val="18"/>
        </w:rPr>
      </w:pPr>
      <w:r w:rsidRPr="00EE2502">
        <w:rPr>
          <w:szCs w:val="18"/>
        </w:rPr>
        <w:t xml:space="preserve">−  organizację wykonania robót, w tym terminy i sposób prowadzenia robót, </w:t>
      </w:r>
    </w:p>
    <w:p w:rsidR="00EE2502" w:rsidRPr="00EE2502" w:rsidRDefault="00EE2502" w:rsidP="00EE2502">
      <w:pPr>
        <w:jc w:val="both"/>
        <w:rPr>
          <w:szCs w:val="18"/>
        </w:rPr>
      </w:pPr>
      <w:r w:rsidRPr="00EE2502">
        <w:rPr>
          <w:szCs w:val="18"/>
        </w:rPr>
        <w:t xml:space="preserve">−  organizację ruchu na budowie wraz z oznakowaniem robót, </w:t>
      </w:r>
    </w:p>
    <w:p w:rsidR="00EE2502" w:rsidRPr="00EE2502" w:rsidRDefault="00EE2502" w:rsidP="00EE2502">
      <w:pPr>
        <w:jc w:val="both"/>
        <w:rPr>
          <w:szCs w:val="18"/>
        </w:rPr>
      </w:pPr>
      <w:r w:rsidRPr="00EE2502">
        <w:rPr>
          <w:szCs w:val="18"/>
        </w:rPr>
        <w:t xml:space="preserve">−  sposób zapewnienia bhp., </w:t>
      </w:r>
    </w:p>
    <w:p w:rsidR="00EE2502" w:rsidRPr="00EE2502" w:rsidRDefault="00EE2502" w:rsidP="00EE2502">
      <w:pPr>
        <w:jc w:val="both"/>
        <w:rPr>
          <w:szCs w:val="18"/>
        </w:rPr>
      </w:pPr>
      <w:r w:rsidRPr="00EE2502">
        <w:rPr>
          <w:szCs w:val="18"/>
        </w:rPr>
        <w:t xml:space="preserve">−  wykaz zespołów roboczych, ich kwalifikacje i przygotowanie praktyczne, </w:t>
      </w:r>
    </w:p>
    <w:p w:rsidR="00EE2502" w:rsidRPr="00EE2502" w:rsidRDefault="00EE2502" w:rsidP="00EE2502">
      <w:pPr>
        <w:jc w:val="both"/>
        <w:rPr>
          <w:szCs w:val="18"/>
        </w:rPr>
      </w:pPr>
      <w:r w:rsidRPr="00EE2502">
        <w:rPr>
          <w:szCs w:val="18"/>
        </w:rPr>
        <w:t xml:space="preserve">−  wykaz osób odpowiedzialnych za jakość i terminowość wykonania poszczególnych elementów robót, </w:t>
      </w:r>
    </w:p>
    <w:p w:rsidR="00EE2502" w:rsidRPr="00EE2502" w:rsidRDefault="00EE2502" w:rsidP="00EE2502">
      <w:pPr>
        <w:jc w:val="both"/>
        <w:rPr>
          <w:szCs w:val="18"/>
        </w:rPr>
      </w:pPr>
      <w:r w:rsidRPr="00EE2502">
        <w:rPr>
          <w:szCs w:val="18"/>
        </w:rPr>
        <w:t xml:space="preserve">−  system (sposób i procedurę) proponowanej kontroli i sterowania jakością wykonywanych robót, </w:t>
      </w:r>
    </w:p>
    <w:p w:rsidR="00EE2502" w:rsidRPr="00EE2502" w:rsidRDefault="00EE2502" w:rsidP="00EE2502">
      <w:pPr>
        <w:jc w:val="both"/>
        <w:rPr>
          <w:szCs w:val="18"/>
        </w:rPr>
      </w:pPr>
      <w:r w:rsidRPr="00EE2502">
        <w:rPr>
          <w:szCs w:val="18"/>
        </w:rPr>
        <w:t xml:space="preserve">−  wyposażenie  w  sprzęt  i  urządzenia  do  pomiarów  i  kontroli  (opis  laboratorium  własnego  lub  laboratorium, </w:t>
      </w:r>
    </w:p>
    <w:p w:rsidR="00EE2502" w:rsidRPr="00EE2502" w:rsidRDefault="00EE2502" w:rsidP="00EE2502">
      <w:pPr>
        <w:jc w:val="both"/>
        <w:rPr>
          <w:szCs w:val="18"/>
        </w:rPr>
      </w:pPr>
      <w:r w:rsidRPr="00EE2502">
        <w:rPr>
          <w:szCs w:val="18"/>
        </w:rPr>
        <w:t xml:space="preserve">któremu Wykonawca zamierza zlecić prowadzenie badań), </w:t>
      </w:r>
    </w:p>
    <w:p w:rsidR="00EE2502" w:rsidRPr="00EE2502" w:rsidRDefault="00EE2502" w:rsidP="00EE2502">
      <w:pPr>
        <w:jc w:val="both"/>
        <w:rPr>
          <w:szCs w:val="18"/>
        </w:rPr>
      </w:pPr>
      <w:r w:rsidRPr="00EE2502">
        <w:rPr>
          <w:szCs w:val="18"/>
        </w:rPr>
        <w:t xml:space="preserve">−  sposób  oraz  formę  gromadzenia  wyników  badań  laboratoryjnych,  zapis  pomiarów,  nastaw  mechanizmów </w:t>
      </w:r>
    </w:p>
    <w:p w:rsidR="00EE2502" w:rsidRPr="00EE2502" w:rsidRDefault="00EE2502" w:rsidP="00EE2502">
      <w:pPr>
        <w:jc w:val="both"/>
        <w:rPr>
          <w:szCs w:val="18"/>
        </w:rPr>
      </w:pPr>
      <w:r w:rsidRPr="00EE2502">
        <w:rPr>
          <w:szCs w:val="18"/>
        </w:rPr>
        <w:t xml:space="preserve">sterujących,  a  także  wyciąganych  wniosków  i  zastosowanych  korekt  w  procesie  technologicznym, </w:t>
      </w:r>
    </w:p>
    <w:p w:rsidR="00EE2502" w:rsidRPr="00EE2502" w:rsidRDefault="00EE2502" w:rsidP="00EE2502">
      <w:pPr>
        <w:jc w:val="both"/>
        <w:rPr>
          <w:szCs w:val="18"/>
        </w:rPr>
      </w:pPr>
      <w:r w:rsidRPr="00EE2502">
        <w:rPr>
          <w:szCs w:val="18"/>
        </w:rPr>
        <w:t xml:space="preserve">proponowany sposób i formę przekazywania tych informacji Inżynierowi/Kierownikowi projektu; </w:t>
      </w:r>
    </w:p>
    <w:p w:rsidR="00EE2502" w:rsidRPr="00EE2502" w:rsidRDefault="00EE2502" w:rsidP="00EE2502">
      <w:pPr>
        <w:jc w:val="both"/>
        <w:rPr>
          <w:szCs w:val="18"/>
        </w:rPr>
      </w:pPr>
      <w:r w:rsidRPr="00EE2502">
        <w:rPr>
          <w:szCs w:val="18"/>
        </w:rPr>
        <w:t xml:space="preserve">b) część szczegółową opisującą dla każdego asortymentu robót: </w:t>
      </w:r>
    </w:p>
    <w:p w:rsidR="00EE2502" w:rsidRPr="00EE2502" w:rsidRDefault="00EE2502" w:rsidP="00EE2502">
      <w:pPr>
        <w:jc w:val="both"/>
        <w:rPr>
          <w:szCs w:val="18"/>
        </w:rPr>
      </w:pPr>
      <w:r w:rsidRPr="00EE2502">
        <w:rPr>
          <w:szCs w:val="18"/>
        </w:rPr>
        <w:t xml:space="preserve">−  wykaz  maszyn  i  urządzeń  stosowanych  na  budowie  z  ich  parametrami  technicznymi  oraz  wyposażeniem  w </w:t>
      </w:r>
    </w:p>
    <w:p w:rsidR="00EE2502" w:rsidRPr="00EE2502" w:rsidRDefault="00EE2502" w:rsidP="00EE2502">
      <w:pPr>
        <w:jc w:val="both"/>
        <w:rPr>
          <w:szCs w:val="18"/>
        </w:rPr>
      </w:pPr>
      <w:r w:rsidRPr="00EE2502">
        <w:rPr>
          <w:szCs w:val="18"/>
        </w:rPr>
        <w:t xml:space="preserve">mechanizmy do sterowania i urządzenia pomiarowo-kontrolne, </w:t>
      </w:r>
    </w:p>
    <w:p w:rsidR="00EE2502" w:rsidRPr="00EE2502" w:rsidRDefault="00EE2502" w:rsidP="00EE2502">
      <w:pPr>
        <w:jc w:val="both"/>
        <w:rPr>
          <w:szCs w:val="18"/>
        </w:rPr>
      </w:pPr>
      <w:r w:rsidRPr="00EE2502">
        <w:rPr>
          <w:szCs w:val="18"/>
        </w:rPr>
        <w:t xml:space="preserve">−  rodzaje i ilość środków transportu oraz urządzeń do magazynowania i załadunku materiałów, spoiw, lepiszczy, </w:t>
      </w:r>
    </w:p>
    <w:p w:rsidR="00EE2502" w:rsidRPr="00EE2502" w:rsidRDefault="00EE2502" w:rsidP="00EE2502">
      <w:pPr>
        <w:jc w:val="both"/>
        <w:rPr>
          <w:szCs w:val="18"/>
        </w:rPr>
      </w:pPr>
      <w:r w:rsidRPr="00EE2502">
        <w:rPr>
          <w:szCs w:val="18"/>
        </w:rPr>
        <w:t xml:space="preserve">kruszyw itp., </w:t>
      </w:r>
    </w:p>
    <w:p w:rsidR="00EE2502" w:rsidRPr="00EE2502" w:rsidRDefault="00EE2502" w:rsidP="00EE2502">
      <w:pPr>
        <w:jc w:val="both"/>
        <w:rPr>
          <w:szCs w:val="18"/>
        </w:rPr>
      </w:pPr>
      <w:r w:rsidRPr="00EE2502">
        <w:rPr>
          <w:szCs w:val="18"/>
        </w:rPr>
        <w:t xml:space="preserve">−  sposób zabezpieczenia i ochrony ładunków przed utratą ich właściwości w czasie transportu, </w:t>
      </w:r>
    </w:p>
    <w:p w:rsidR="00EE2502" w:rsidRPr="00EE2502" w:rsidRDefault="00EE2502" w:rsidP="00EE2502">
      <w:pPr>
        <w:jc w:val="both"/>
        <w:rPr>
          <w:szCs w:val="18"/>
        </w:rPr>
      </w:pPr>
      <w:r w:rsidRPr="00EE2502">
        <w:rPr>
          <w:szCs w:val="18"/>
        </w:rPr>
        <w:t xml:space="preserve">−  sposób  i  procedurę  pomiarów  i  badań  (rodzaj  i  częstotliwość,  pobieranie  próbek,  legalizacja  i  sprawdzanie </w:t>
      </w:r>
    </w:p>
    <w:p w:rsidR="00EE2502" w:rsidRPr="00EE2502" w:rsidRDefault="00EE2502" w:rsidP="00EE2502">
      <w:pPr>
        <w:jc w:val="both"/>
        <w:rPr>
          <w:szCs w:val="18"/>
        </w:rPr>
      </w:pPr>
      <w:r w:rsidRPr="00EE2502">
        <w:rPr>
          <w:szCs w:val="18"/>
        </w:rPr>
        <w:t xml:space="preserve">urządzeń,  itp.)  prowadzonych  podczas  dostaw  materiałów,  wytwarzania  mieszanek  i  wykonywania </w:t>
      </w:r>
    </w:p>
    <w:p w:rsidR="00EE2502" w:rsidRPr="00EE2502" w:rsidRDefault="00EE2502" w:rsidP="00EE2502">
      <w:pPr>
        <w:jc w:val="both"/>
        <w:rPr>
          <w:szCs w:val="18"/>
        </w:rPr>
      </w:pPr>
      <w:r w:rsidRPr="00EE2502">
        <w:rPr>
          <w:szCs w:val="18"/>
        </w:rPr>
        <w:t xml:space="preserve">poszczególnych elementów robót, </w:t>
      </w:r>
    </w:p>
    <w:p w:rsidR="00EE2502" w:rsidRPr="00EE2502" w:rsidRDefault="00EE2502" w:rsidP="00EE2502">
      <w:pPr>
        <w:jc w:val="both"/>
        <w:rPr>
          <w:szCs w:val="18"/>
        </w:rPr>
      </w:pPr>
      <w:r w:rsidRPr="00EE2502">
        <w:rPr>
          <w:szCs w:val="18"/>
        </w:rPr>
        <w:t>−  sposób postępowania z materiałami i robotami nie odpowiadającymi wymaganiom.</w:t>
      </w:r>
    </w:p>
    <w:p w:rsidR="00EE2502" w:rsidRPr="00EE2502" w:rsidRDefault="00EE2502" w:rsidP="00EE2502">
      <w:pPr>
        <w:numPr>
          <w:ilvl w:val="1"/>
          <w:numId w:val="90"/>
        </w:numPr>
        <w:spacing w:before="120"/>
        <w:ind w:left="540" w:hanging="540"/>
        <w:jc w:val="both"/>
        <w:rPr>
          <w:b/>
          <w:bCs/>
          <w:szCs w:val="18"/>
        </w:rPr>
      </w:pPr>
      <w:r w:rsidRPr="00EE2502">
        <w:rPr>
          <w:b/>
          <w:bCs/>
          <w:szCs w:val="18"/>
        </w:rPr>
        <w:t>Zasady kontroli jakości robót</w:t>
      </w:r>
    </w:p>
    <w:p w:rsidR="00EE2502" w:rsidRPr="00EE2502" w:rsidRDefault="00EE2502" w:rsidP="00EE2502">
      <w:pPr>
        <w:jc w:val="both"/>
        <w:rPr>
          <w:szCs w:val="16"/>
        </w:rPr>
      </w:pPr>
      <w:r w:rsidRPr="00EE2502">
        <w:rPr>
          <w:szCs w:val="16"/>
        </w:rPr>
        <w:t>Celem kontroli robót będzie takie sterowanie ich przygotowaniem i wykonaniem, aby osiągnąć założoną jakość robót.</w:t>
      </w:r>
    </w:p>
    <w:p w:rsidR="00EE2502" w:rsidRPr="00EE2502" w:rsidRDefault="00EE2502" w:rsidP="00EE2502">
      <w:pPr>
        <w:jc w:val="both"/>
        <w:rPr>
          <w:szCs w:val="16"/>
        </w:rPr>
      </w:pPr>
      <w:r w:rsidRPr="00EE2502">
        <w:rPr>
          <w:szCs w:val="16"/>
        </w:rPr>
        <w:t>Wykonawca jest odpowiedzialny za pełną kontrolę robót i jakości materiałów. Wykonawca zapewni odpowiedni system kontroli, włączając personel, laboratorium, sprzęt, zaopatrzenie i wszystkie urządzenia niezbędne do pobierania próbek i badań materiałów oraz robót. Przedstawiony system kontroli (w tym laboratorium) podlega zatwierdzeniu przez Zamawiającego.</w:t>
      </w:r>
    </w:p>
    <w:p w:rsidR="00EE2502" w:rsidRPr="00EE2502" w:rsidRDefault="00EE2502" w:rsidP="00EE2502">
      <w:pPr>
        <w:jc w:val="both"/>
        <w:rPr>
          <w:szCs w:val="18"/>
        </w:rPr>
      </w:pPr>
      <w:r w:rsidRPr="00EE2502">
        <w:rPr>
          <w:szCs w:val="18"/>
        </w:rPr>
        <w:t>Przed zatwierdzeniem systemu kontroli Inżynier/Kierownik projektu może zażądać od Wykonawcy przeprowadzenia badań w celu zademonstrowania, że poziom ich wykonywania jest zadowalający.</w:t>
      </w:r>
    </w:p>
    <w:p w:rsidR="00EE2502" w:rsidRPr="00EE2502" w:rsidRDefault="00EE2502" w:rsidP="00EE2502">
      <w:pPr>
        <w:jc w:val="both"/>
        <w:rPr>
          <w:szCs w:val="18"/>
        </w:rPr>
      </w:pPr>
      <w:r w:rsidRPr="00EE2502">
        <w:rPr>
          <w:szCs w:val="18"/>
        </w:rPr>
        <w:t>Wykonawca będzie przeprowadzać pomiary i badania materiałów oraz robót z częstotliwością zapewniającą stwierdzenie, że roboty wykonano zgodnie z wymaganiami zawartymi w dokumentacji projektowej i ST</w:t>
      </w:r>
    </w:p>
    <w:p w:rsidR="00EE2502" w:rsidRPr="00EE2502" w:rsidRDefault="00EE2502" w:rsidP="00EE2502">
      <w:pPr>
        <w:jc w:val="both"/>
        <w:rPr>
          <w:szCs w:val="18"/>
        </w:rPr>
      </w:pPr>
      <w:r w:rsidRPr="00EE2502">
        <w:rPr>
          <w:szCs w:val="18"/>
        </w:rPr>
        <w:t>Minimalne wymagania co do zakresu badań i ich częstotliwość są określone w ST, normach i wytycznych. W przypadku, gdy nie zostały one tam określone, Inżynier/ Kierownik projektu ustali jaki zakres kontroli jest konieczny, aby zapewnić wykonanie robót zgodnie z umową.</w:t>
      </w:r>
    </w:p>
    <w:p w:rsidR="00EE2502" w:rsidRPr="00EE2502" w:rsidRDefault="00EE2502" w:rsidP="00EE2502">
      <w:pPr>
        <w:jc w:val="both"/>
        <w:rPr>
          <w:szCs w:val="18"/>
        </w:rPr>
      </w:pPr>
      <w:r w:rsidRPr="00EE2502">
        <w:rPr>
          <w:szCs w:val="16"/>
        </w:rPr>
        <w:t xml:space="preserve">Wykonawca dostarczy Inżynierowi/Kierownikowi projektu świadectwa, że wszystkie stosowane urządzenia i sprzęt badawczy posiadają ważną legalizację, zostały </w:t>
      </w:r>
      <w:r w:rsidRPr="00EE2502">
        <w:rPr>
          <w:szCs w:val="18"/>
        </w:rPr>
        <w:t>prawidłowo wykalibrowane i odpowiadają wymaganiom norm określających procedury badań.</w:t>
      </w:r>
    </w:p>
    <w:p w:rsidR="00EE2502" w:rsidRPr="00EE2502" w:rsidRDefault="00EE2502" w:rsidP="00EE2502">
      <w:pPr>
        <w:jc w:val="both"/>
        <w:rPr>
          <w:szCs w:val="18"/>
        </w:rPr>
      </w:pPr>
      <w:r w:rsidRPr="00EE2502">
        <w:rPr>
          <w:szCs w:val="18"/>
        </w:rPr>
        <w:t>Inżynier/Kierownik projektu będzie mieć nieograniczony dostęp do pomieszczeń laboratoryjnych, w celu ich inspekcji.</w:t>
      </w:r>
    </w:p>
    <w:p w:rsidR="00EE2502" w:rsidRPr="00EE2502" w:rsidRDefault="00EE2502" w:rsidP="00EE2502">
      <w:pPr>
        <w:jc w:val="both"/>
        <w:rPr>
          <w:szCs w:val="18"/>
        </w:rPr>
      </w:pPr>
      <w:r w:rsidRPr="00EE2502">
        <w:rPr>
          <w:szCs w:val="18"/>
        </w:rPr>
        <w:t>Inżynier/Kierownik projektu będzie przekazywać Wykonawcy pisemne informacje o jakichkolwiek niedociągnięciach dotyczących urządzeń laboratoryjnych, sprzętu, zaopatrzenia laboratorium, pracy personelu lub metod badawczych. Jeżeli niedociągnięcia te będą tak poważne, że mogą wpłynąć ujemnie na wyniki badań, Inżynier/Kierownik projektu natychmiast wstrzyma użycie do robót badanych materiałów i dopuści je do użycia dopiero wtedy, gdy niedociągnięcia w pracy laboratorium Wykonawcy zostaną usunięte i stwierdzona zostanie odpowiednia jakość tych materiałów.</w:t>
      </w:r>
    </w:p>
    <w:p w:rsidR="00EE2502" w:rsidRPr="00EE2502" w:rsidRDefault="00EE2502" w:rsidP="00EE2502">
      <w:pPr>
        <w:jc w:val="both"/>
        <w:rPr>
          <w:szCs w:val="18"/>
        </w:rPr>
      </w:pPr>
      <w:r w:rsidRPr="00EE2502">
        <w:rPr>
          <w:szCs w:val="18"/>
        </w:rPr>
        <w:t>Wszystkie koszty związane z organizowaniem i prowadzeniem badań materiałów ponosi Wykonawca.</w:t>
      </w:r>
    </w:p>
    <w:p w:rsidR="00EE2502" w:rsidRPr="00EE2502" w:rsidRDefault="00EE2502" w:rsidP="00EE2502">
      <w:pPr>
        <w:numPr>
          <w:ilvl w:val="1"/>
          <w:numId w:val="90"/>
        </w:numPr>
        <w:spacing w:before="120"/>
        <w:ind w:left="540" w:hanging="540"/>
        <w:jc w:val="both"/>
        <w:rPr>
          <w:b/>
          <w:bCs/>
          <w:szCs w:val="18"/>
        </w:rPr>
      </w:pPr>
      <w:r w:rsidRPr="00EE2502">
        <w:rPr>
          <w:b/>
          <w:bCs/>
          <w:szCs w:val="18"/>
        </w:rPr>
        <w:t>Pobieranie próbek</w:t>
      </w:r>
    </w:p>
    <w:p w:rsidR="00EE2502" w:rsidRPr="00EE2502" w:rsidRDefault="00EE2502" w:rsidP="00EE2502">
      <w:pPr>
        <w:jc w:val="both"/>
        <w:rPr>
          <w:szCs w:val="18"/>
        </w:rPr>
      </w:pPr>
      <w:r w:rsidRPr="00EE2502">
        <w:rPr>
          <w:szCs w:val="18"/>
        </w:rPr>
        <w:t>Próbki będą pobierane losowo. Zaleca się stosowanie statystycznych metod pobierania próbek, opartych na zasadzie, że wszystkie jednostkowe elementy produkcji mogą być z jednakowym prawdopodobieństwem wytypowane do badań.</w:t>
      </w:r>
    </w:p>
    <w:p w:rsidR="00EE2502" w:rsidRPr="00EE2502" w:rsidRDefault="00EE2502" w:rsidP="00EE2502">
      <w:pPr>
        <w:jc w:val="both"/>
        <w:rPr>
          <w:szCs w:val="18"/>
        </w:rPr>
      </w:pPr>
      <w:r w:rsidRPr="00EE2502">
        <w:rPr>
          <w:szCs w:val="18"/>
        </w:rPr>
        <w:t>Inżynier/Kierownik projektu będzie mieć zapewnioną możliwość udziału w pobieraniu próbek.</w:t>
      </w:r>
    </w:p>
    <w:p w:rsidR="00EE2502" w:rsidRPr="00EE2502" w:rsidRDefault="00EE2502" w:rsidP="00EE2502">
      <w:pPr>
        <w:jc w:val="both"/>
        <w:rPr>
          <w:szCs w:val="18"/>
        </w:rPr>
      </w:pPr>
      <w:r w:rsidRPr="00EE2502">
        <w:rPr>
          <w:szCs w:val="18"/>
        </w:rPr>
        <w:t>Pojemniki do pobierania próbek będą dostarczone przez Wykonawcę i zatwierdzone przez Inżyniera/Kierownika projektu. Próbki dostarczone przez Wykonawcę do badań wykonywanych przez Inżyniera/Kierownik projektu będą odpowiednio opisane i oznakowane, w sposób zaakceptowany przez Inżyniera/Kierownika projektu.</w:t>
      </w:r>
    </w:p>
    <w:p w:rsidR="00EE2502" w:rsidRPr="00EE2502" w:rsidRDefault="00EE2502" w:rsidP="00EE2502">
      <w:pPr>
        <w:jc w:val="both"/>
        <w:rPr>
          <w:szCs w:val="18"/>
        </w:rPr>
      </w:pPr>
      <w:r w:rsidRPr="00EE2502">
        <w:rPr>
          <w:szCs w:val="18"/>
        </w:rPr>
        <w:t>Na zlecenie Inżyniera/Kierownika projektu Wykonawca będzie przeprowadzać dodatkowe badania tych materiałów, które budzą wątpliwości co do jakości, o ile kwestionowane materiały nie zostaną przez Wykonawcę usunięte lub ulepszone z własnej woli. Koszty tych dodatkowych badań pokrywa Wykonawca tylko w przypadku stwierdzenia usterek; w przeciwnym przypadku koszty te pokrywa Zamawiający.</w:t>
      </w:r>
    </w:p>
    <w:p w:rsidR="00EE2502" w:rsidRPr="00EE2502" w:rsidRDefault="00EE2502" w:rsidP="00EE2502">
      <w:pPr>
        <w:numPr>
          <w:ilvl w:val="1"/>
          <w:numId w:val="90"/>
        </w:numPr>
        <w:spacing w:before="120"/>
        <w:ind w:left="540" w:hanging="540"/>
        <w:jc w:val="both"/>
        <w:rPr>
          <w:b/>
          <w:bCs/>
          <w:szCs w:val="18"/>
        </w:rPr>
      </w:pPr>
      <w:r w:rsidRPr="00EE2502">
        <w:rPr>
          <w:b/>
          <w:bCs/>
          <w:szCs w:val="18"/>
        </w:rPr>
        <w:t>Badania i pomiary</w:t>
      </w:r>
    </w:p>
    <w:p w:rsidR="00EE2502" w:rsidRPr="00EE2502" w:rsidRDefault="00EE2502" w:rsidP="00EE2502">
      <w:pPr>
        <w:jc w:val="both"/>
        <w:rPr>
          <w:szCs w:val="18"/>
        </w:rPr>
      </w:pPr>
      <w:r w:rsidRPr="00EE2502">
        <w:rPr>
          <w:szCs w:val="18"/>
        </w:rPr>
        <w:t>Wszystkie badania i pomiary będą przeprowadzone zgodnie z wymaganiami norm. W przypadku, gdy normy nie obejmują jakiegokolwiek badania wymaganego w ST, stosować można wytyczne krajowe, albo inne procedury, zaakceptowane przez Inżyniera/ Kierownika projektu.</w:t>
      </w:r>
    </w:p>
    <w:p w:rsidR="00EE2502" w:rsidRPr="00EE2502" w:rsidRDefault="00EE2502" w:rsidP="00EE2502">
      <w:pPr>
        <w:jc w:val="both"/>
        <w:rPr>
          <w:szCs w:val="18"/>
        </w:rPr>
      </w:pPr>
      <w:r w:rsidRPr="00EE2502">
        <w:rPr>
          <w:szCs w:val="18"/>
        </w:rPr>
        <w:t>Przed przystąpieniem do pomiarów lub badań, Wykonawca powiadomi</w:t>
      </w:r>
      <w:r w:rsidRPr="00EE2502">
        <w:rPr>
          <w:noProof/>
          <w:szCs w:val="18"/>
        </w:rPr>
        <w:t xml:space="preserve"> Inżyniera/ </w:t>
      </w:r>
      <w:r w:rsidRPr="00EE2502">
        <w:rPr>
          <w:szCs w:val="18"/>
        </w:rPr>
        <w:t>Kierownika projektu o rodzaju, miejscu i terminie pomiaru lub badania. Po wykonaniu pomiaru lub badania Wykonawca przedstawi na piśmie ich wyniki do akceptacji</w:t>
      </w:r>
      <w:r w:rsidRPr="00EE2502">
        <w:rPr>
          <w:noProof/>
          <w:szCs w:val="18"/>
        </w:rPr>
        <w:t xml:space="preserve"> Inżyniera/ </w:t>
      </w:r>
      <w:r w:rsidRPr="00EE2502">
        <w:rPr>
          <w:szCs w:val="18"/>
        </w:rPr>
        <w:t>Kierownika projektu.</w:t>
      </w:r>
    </w:p>
    <w:p w:rsidR="00EE2502" w:rsidRPr="00EE2502" w:rsidRDefault="00EE2502" w:rsidP="00EE2502">
      <w:pPr>
        <w:numPr>
          <w:ilvl w:val="1"/>
          <w:numId w:val="90"/>
        </w:numPr>
        <w:spacing w:before="120"/>
        <w:ind w:left="540" w:hanging="540"/>
        <w:jc w:val="both"/>
        <w:rPr>
          <w:b/>
          <w:bCs/>
          <w:szCs w:val="18"/>
        </w:rPr>
      </w:pPr>
      <w:r w:rsidRPr="00EE2502">
        <w:rPr>
          <w:b/>
          <w:bCs/>
          <w:szCs w:val="18"/>
        </w:rPr>
        <w:t>Raporty z badań</w:t>
      </w:r>
    </w:p>
    <w:p w:rsidR="00EE2502" w:rsidRPr="00EE2502" w:rsidRDefault="00EE2502" w:rsidP="00EE2502">
      <w:pPr>
        <w:jc w:val="both"/>
        <w:rPr>
          <w:noProof/>
          <w:szCs w:val="18"/>
        </w:rPr>
      </w:pPr>
      <w:r w:rsidRPr="00EE2502">
        <w:rPr>
          <w:szCs w:val="18"/>
        </w:rPr>
        <w:t>Wykonawca będzie przekazywać Inżynierowi/Kierownikowi projektu kopie raportów z wynikami badań jak najszybciej, bez zbędnej zwłoki. Wyniki badań (kopie) będą przekazywane Inżynierowi/Kierownikowi projektu na formularzach według dostarczonego przez niego wzoru lub innych, przez niego zaaprobowanych</w:t>
      </w:r>
      <w:r w:rsidRPr="00EE2502">
        <w:rPr>
          <w:noProof/>
          <w:szCs w:val="18"/>
        </w:rPr>
        <w:t>.</w:t>
      </w:r>
    </w:p>
    <w:p w:rsidR="00EE2502" w:rsidRPr="00EE2502" w:rsidRDefault="00EE2502" w:rsidP="00EE2502">
      <w:pPr>
        <w:numPr>
          <w:ilvl w:val="1"/>
          <w:numId w:val="90"/>
        </w:numPr>
        <w:spacing w:before="120"/>
        <w:ind w:left="540" w:hanging="540"/>
        <w:jc w:val="both"/>
        <w:rPr>
          <w:b/>
          <w:bCs/>
          <w:szCs w:val="18"/>
        </w:rPr>
      </w:pPr>
      <w:r w:rsidRPr="00EE2502">
        <w:rPr>
          <w:b/>
          <w:bCs/>
          <w:szCs w:val="18"/>
        </w:rPr>
        <w:t>Badania prowadzone przez Inżyniera/Kierownika projektu</w:t>
      </w:r>
    </w:p>
    <w:p w:rsidR="00EE2502" w:rsidRPr="00EE2502" w:rsidRDefault="00EE2502" w:rsidP="00EE2502">
      <w:pPr>
        <w:jc w:val="both"/>
        <w:rPr>
          <w:szCs w:val="18"/>
        </w:rPr>
      </w:pPr>
      <w:r w:rsidRPr="00EE2502">
        <w:rPr>
          <w:szCs w:val="18"/>
        </w:rPr>
        <w:t>Inżynier/Kierownik projektu jest uprawniony do dokonywania kontroli, pobierania próbek i badania materiałów w miejscu ich wytwarzania/pozyskiwania, a Wykonawca i producent materiałów powinien udzielić mu niezbędnej pomocy.</w:t>
      </w:r>
    </w:p>
    <w:p w:rsidR="00EE2502" w:rsidRPr="00EE2502" w:rsidRDefault="00EE2502" w:rsidP="00EE2502">
      <w:pPr>
        <w:jc w:val="both"/>
        <w:rPr>
          <w:szCs w:val="18"/>
        </w:rPr>
      </w:pPr>
      <w:r w:rsidRPr="00EE2502">
        <w:rPr>
          <w:szCs w:val="18"/>
        </w:rPr>
        <w:t>Inżynier/Kierownik projektu, dokonując weryfikacji systemu kontroli robót prowadzonego przez Wykonawcę, poprzez między innymi swoje badania, będzie oceniać zgodność materiałów i robót z wymaganiami ST na podstawie wyników własnych badań kontrolnych jak i wyników badań dostarczonych przez Wykonawcę.</w:t>
      </w:r>
    </w:p>
    <w:p w:rsidR="00EE2502" w:rsidRPr="00EE2502" w:rsidRDefault="00EE2502" w:rsidP="00EE2502">
      <w:pPr>
        <w:jc w:val="both"/>
        <w:rPr>
          <w:szCs w:val="18"/>
        </w:rPr>
      </w:pPr>
      <w:r w:rsidRPr="00EE2502">
        <w:rPr>
          <w:szCs w:val="18"/>
        </w:rPr>
        <w:t>Inżynier/Kierownik projektu powinien pobierać próbki materiałów i prowadzić badania niezależnie od Wykonawcy, na swój koszt. Jeżeli wyniki tych badań wykażą, że raporty Wykonawcy są niewiarygodne, to Inżynier/Kierownik projektu oprze się wyłącznie na własnych badaniach przy ocenie zgodności materiałów i robót z dokumentacją projektową i ST. Może również zlecić, sam lub poprzez Wykonawcę, przeprowadzenie powtórnych lub dodatkowych badań niezależnemu laboratorium. W takim przypadku całkowite koszty powtórnych lub dodatkowych badań i pobierania próbek poniesione zostaną przez Wykonawcę.</w:t>
      </w:r>
    </w:p>
    <w:p w:rsidR="00EE2502" w:rsidRPr="00EE2502" w:rsidRDefault="00EE2502" w:rsidP="00EE2502">
      <w:pPr>
        <w:numPr>
          <w:ilvl w:val="1"/>
          <w:numId w:val="90"/>
        </w:numPr>
        <w:spacing w:before="120"/>
        <w:ind w:left="540" w:hanging="540"/>
        <w:jc w:val="both"/>
        <w:rPr>
          <w:b/>
          <w:bCs/>
          <w:szCs w:val="18"/>
        </w:rPr>
      </w:pPr>
      <w:r w:rsidRPr="00EE2502">
        <w:rPr>
          <w:b/>
          <w:bCs/>
          <w:szCs w:val="18"/>
        </w:rPr>
        <w:t>Certyfikaty i deklaracje</w:t>
      </w:r>
    </w:p>
    <w:p w:rsidR="00EE2502" w:rsidRPr="00EE2502" w:rsidRDefault="00EE2502" w:rsidP="00EE2502">
      <w:pPr>
        <w:jc w:val="both"/>
        <w:rPr>
          <w:szCs w:val="18"/>
        </w:rPr>
      </w:pPr>
      <w:r w:rsidRPr="00EE2502">
        <w:rPr>
          <w:szCs w:val="18"/>
        </w:rPr>
        <w:t>Inżynier/Kierownik projektu może dopuścić do użycia tylko te materiały, które posiadają:</w:t>
      </w:r>
    </w:p>
    <w:p w:rsidR="00EE2502" w:rsidRPr="00EE2502" w:rsidRDefault="00EE2502" w:rsidP="00EE2502">
      <w:pPr>
        <w:jc w:val="both"/>
        <w:rPr>
          <w:szCs w:val="18"/>
        </w:rPr>
      </w:pPr>
      <w:r w:rsidRPr="00EE2502">
        <w:rPr>
          <w:noProof/>
          <w:szCs w:val="18"/>
        </w:rPr>
        <w:t>1.</w:t>
      </w:r>
      <w:r w:rsidRPr="00EE2502">
        <w:rPr>
          <w:szCs w:val="18"/>
        </w:rPr>
        <w:t xml:space="preserve"> certyfikat na znak bezpieczeństwa wykazujący, że zapewniono zgodność z kryteriami technicznymi określonymi na podstawie Polskich Norm, aprobat technicznych oraz właściwych przepisów i dokumentów technicznych,</w:t>
      </w:r>
    </w:p>
    <w:p w:rsidR="00EE2502" w:rsidRPr="00EE2502" w:rsidRDefault="00EE2502" w:rsidP="00EE2502">
      <w:pPr>
        <w:jc w:val="both"/>
        <w:rPr>
          <w:szCs w:val="18"/>
        </w:rPr>
      </w:pPr>
      <w:r w:rsidRPr="00EE2502">
        <w:rPr>
          <w:noProof/>
          <w:szCs w:val="18"/>
        </w:rPr>
        <w:t>2.</w:t>
      </w:r>
      <w:r w:rsidRPr="00EE2502">
        <w:rPr>
          <w:szCs w:val="18"/>
        </w:rPr>
        <w:t xml:space="preserve"> deklarację zgodności lub certyfikat zgodności z:</w:t>
      </w:r>
    </w:p>
    <w:p w:rsidR="00EE2502" w:rsidRPr="00EE2502" w:rsidRDefault="00EE2502" w:rsidP="00EE2502">
      <w:pPr>
        <w:jc w:val="both"/>
        <w:rPr>
          <w:szCs w:val="18"/>
        </w:rPr>
      </w:pPr>
      <w:r w:rsidRPr="00EE2502">
        <w:rPr>
          <w:noProof/>
          <w:szCs w:val="18"/>
        </w:rPr>
        <w:t>-</w:t>
      </w:r>
      <w:r w:rsidRPr="00EE2502">
        <w:rPr>
          <w:szCs w:val="18"/>
        </w:rPr>
        <w:t xml:space="preserve"> Polską Normą lub</w:t>
      </w:r>
    </w:p>
    <w:p w:rsidR="00EE2502" w:rsidRPr="00EE2502" w:rsidRDefault="00EE2502" w:rsidP="00EE2502">
      <w:pPr>
        <w:jc w:val="both"/>
        <w:rPr>
          <w:szCs w:val="18"/>
        </w:rPr>
      </w:pPr>
      <w:r w:rsidRPr="00EE2502">
        <w:rPr>
          <w:noProof/>
          <w:szCs w:val="18"/>
        </w:rPr>
        <w:t>-</w:t>
      </w:r>
      <w:r w:rsidRPr="00EE2502">
        <w:rPr>
          <w:szCs w:val="18"/>
        </w:rPr>
        <w:t xml:space="preserve"> aprobatą techniczną, w przypadku wyrobów, dla których nie ustanowiono Polskiej Normy, jeżeli nie są objęte certyfikacją określoną w pkt. l i które spełniają wymogi ST. </w:t>
      </w:r>
    </w:p>
    <w:p w:rsidR="00EE2502" w:rsidRPr="00EE2502" w:rsidRDefault="00EE2502" w:rsidP="00EE2502">
      <w:pPr>
        <w:jc w:val="both"/>
        <w:rPr>
          <w:szCs w:val="18"/>
        </w:rPr>
      </w:pPr>
      <w:r w:rsidRPr="00EE2502">
        <w:rPr>
          <w:szCs w:val="18"/>
        </w:rPr>
        <w:t>W przypadku materiałów, dla których ww. dokumenty są wymagane przez ST, każda partia dostarczona do robót będzie posiadać te dokumenty, określające w sposób jednoznaczny jej cechy.</w:t>
      </w:r>
    </w:p>
    <w:p w:rsidR="00EE2502" w:rsidRPr="00EE2502" w:rsidRDefault="00EE2502" w:rsidP="00EE2502">
      <w:pPr>
        <w:jc w:val="both"/>
        <w:rPr>
          <w:szCs w:val="18"/>
        </w:rPr>
      </w:pPr>
      <w:r w:rsidRPr="00EE2502">
        <w:rPr>
          <w:szCs w:val="18"/>
        </w:rPr>
        <w:t>Produkty przemysłowe muszą posiadać ww. dokumenty wydane przez producenta, a w razie potrzeby poparte wynikami badań wykonanych przez niego. Kopie wyników tych badań będą dostarczone przez Wykonawcę Inżynierowi/Kierownikowi projektu. Jakiekolwiek materiały, które nie spełniają tych wymagań będą odrzucone.</w:t>
      </w:r>
    </w:p>
    <w:p w:rsidR="00EE2502" w:rsidRPr="00EE2502" w:rsidRDefault="00EE2502" w:rsidP="00EE2502">
      <w:pPr>
        <w:jc w:val="both"/>
        <w:rPr>
          <w:szCs w:val="18"/>
        </w:rPr>
      </w:pPr>
      <w:r w:rsidRPr="00EE2502">
        <w:rPr>
          <w:szCs w:val="18"/>
        </w:rPr>
        <w:t>3. Deklarację właściwości użytkowych</w:t>
      </w:r>
    </w:p>
    <w:p w:rsidR="00EE2502" w:rsidRPr="00EE2502" w:rsidRDefault="00EE2502" w:rsidP="00EE2502">
      <w:pPr>
        <w:numPr>
          <w:ilvl w:val="1"/>
          <w:numId w:val="90"/>
        </w:numPr>
        <w:spacing w:before="120"/>
        <w:ind w:left="540" w:hanging="540"/>
        <w:jc w:val="both"/>
        <w:rPr>
          <w:b/>
          <w:bCs/>
          <w:szCs w:val="18"/>
        </w:rPr>
      </w:pPr>
      <w:r w:rsidRPr="00EE2502">
        <w:rPr>
          <w:b/>
          <w:bCs/>
          <w:szCs w:val="18"/>
        </w:rPr>
        <w:t xml:space="preserve">Dokumenty budowy </w:t>
      </w:r>
    </w:p>
    <w:p w:rsidR="00EE2502" w:rsidRPr="00EE2502" w:rsidRDefault="00EE2502" w:rsidP="00EE2502">
      <w:pPr>
        <w:jc w:val="both"/>
        <w:rPr>
          <w:szCs w:val="18"/>
        </w:rPr>
      </w:pPr>
      <w:r w:rsidRPr="00EE2502">
        <w:rPr>
          <w:szCs w:val="18"/>
        </w:rPr>
        <w:t>(1) Dziennik budowy</w:t>
      </w:r>
    </w:p>
    <w:p w:rsidR="00EE2502" w:rsidRPr="00EE2502" w:rsidRDefault="00EE2502" w:rsidP="00EE2502">
      <w:pPr>
        <w:jc w:val="both"/>
        <w:rPr>
          <w:szCs w:val="16"/>
        </w:rPr>
      </w:pPr>
      <w:r w:rsidRPr="00EE2502">
        <w:rPr>
          <w:szCs w:val="18"/>
        </w:rPr>
        <w:t xml:space="preserve">Dziennik budowy jest wymaganym dokumentem prawnym obowiązującym Zamawiającego i Wykonawcę w okresie od przekazania Wykonawcy terenu budowy do </w:t>
      </w:r>
      <w:r w:rsidRPr="00EE2502">
        <w:rPr>
          <w:szCs w:val="16"/>
        </w:rPr>
        <w:t>końca okresu gwarancyjnego. Odpowiedzialność za prowadzenie dziennika budowy zgodnie z obowiązującymi przepisami</w:t>
      </w:r>
      <w:r w:rsidRPr="00EE2502">
        <w:rPr>
          <w:noProof/>
          <w:szCs w:val="16"/>
        </w:rPr>
        <w:t xml:space="preserve"> [2]</w:t>
      </w:r>
      <w:r w:rsidRPr="00EE2502">
        <w:rPr>
          <w:szCs w:val="16"/>
        </w:rPr>
        <w:t xml:space="preserve"> spoczywa na Wykonawcy.</w:t>
      </w:r>
    </w:p>
    <w:p w:rsidR="00EE2502" w:rsidRPr="00EE2502" w:rsidRDefault="00EE2502" w:rsidP="00EE2502">
      <w:pPr>
        <w:jc w:val="both"/>
        <w:rPr>
          <w:szCs w:val="18"/>
        </w:rPr>
      </w:pPr>
      <w:r w:rsidRPr="00EE2502">
        <w:rPr>
          <w:szCs w:val="18"/>
        </w:rPr>
        <w:t>Zapisy w dzienniku budowy będą dokonywane na bieżąco i będą dotyczyć przebiegu robót, stanu bezpieczeństwa ludzi i mienia oraz technicznej i gospodarczej strony budowy.</w:t>
      </w:r>
    </w:p>
    <w:p w:rsidR="00EE2502" w:rsidRPr="00EE2502" w:rsidRDefault="00EE2502" w:rsidP="00EE2502">
      <w:pPr>
        <w:jc w:val="both"/>
        <w:rPr>
          <w:szCs w:val="16"/>
        </w:rPr>
      </w:pPr>
      <w:r w:rsidRPr="00EE2502">
        <w:rPr>
          <w:szCs w:val="16"/>
        </w:rPr>
        <w:t>Każdy zapis w dzienniku budowy będzie opatrzony datą jego dokonania, podpisem osoby, która dokonała zapisu, z podaniem jej imienia i nazwiska oraz stanowiska służbowego.  Zapisy będą czytelne,  dokonane trwałą techniką,  w porządku chronologicznym, bezpośrednio jeden pod drugim, bez przerw.</w:t>
      </w:r>
    </w:p>
    <w:p w:rsidR="00EE2502" w:rsidRPr="00EE2502" w:rsidRDefault="00EE2502" w:rsidP="00EE2502">
      <w:pPr>
        <w:jc w:val="both"/>
        <w:rPr>
          <w:szCs w:val="16"/>
        </w:rPr>
      </w:pPr>
      <w:r w:rsidRPr="00EE2502">
        <w:rPr>
          <w:szCs w:val="16"/>
        </w:rPr>
        <w:t>Załączone do dziennika budowy protokoły i inne dokumenty będą oznaczone kolejnym numerem załącznika i opatrzone datą i podpisem Wykonawcy i Inżyniera/ Kierownika projektu. Do dziennika budowy należy wpisywać w szczególności:</w:t>
      </w:r>
    </w:p>
    <w:p w:rsidR="00EE2502" w:rsidRPr="00EE2502" w:rsidRDefault="00EE2502" w:rsidP="00EE2502">
      <w:pPr>
        <w:jc w:val="both"/>
        <w:rPr>
          <w:szCs w:val="18"/>
        </w:rPr>
      </w:pPr>
      <w:r w:rsidRPr="00EE2502">
        <w:rPr>
          <w:szCs w:val="18"/>
        </w:rPr>
        <w:t>- datę przekazania Wykonawcy terenu budowy,</w:t>
      </w:r>
    </w:p>
    <w:p w:rsidR="00EE2502" w:rsidRPr="00EE2502" w:rsidRDefault="00EE2502" w:rsidP="00EE2502">
      <w:pPr>
        <w:jc w:val="both"/>
        <w:rPr>
          <w:szCs w:val="16"/>
        </w:rPr>
      </w:pPr>
      <w:r w:rsidRPr="00EE2502">
        <w:rPr>
          <w:szCs w:val="16"/>
        </w:rPr>
        <w:t>- datę przekazania przez Zamawiającego dokumentacji projektowej,</w:t>
      </w:r>
    </w:p>
    <w:p w:rsidR="00EE2502" w:rsidRPr="00EE2502" w:rsidRDefault="00EE2502" w:rsidP="00EE2502">
      <w:pPr>
        <w:jc w:val="both"/>
        <w:rPr>
          <w:szCs w:val="16"/>
        </w:rPr>
      </w:pPr>
      <w:r w:rsidRPr="00EE2502">
        <w:rPr>
          <w:szCs w:val="16"/>
        </w:rPr>
        <w:t>- datę uzgodnienia przez Inżyniera/Kierownika projektu programu zapewnienia jakości i harmonogramów robót,</w:t>
      </w:r>
    </w:p>
    <w:p w:rsidR="00EE2502" w:rsidRPr="00EE2502" w:rsidRDefault="00EE2502" w:rsidP="00EE2502">
      <w:pPr>
        <w:jc w:val="both"/>
        <w:rPr>
          <w:szCs w:val="16"/>
        </w:rPr>
      </w:pPr>
      <w:r w:rsidRPr="00EE2502">
        <w:rPr>
          <w:szCs w:val="16"/>
        </w:rPr>
        <w:t>- terminy rozpoczęcia i zakończenia poszczególnych elementów robót,</w:t>
      </w:r>
    </w:p>
    <w:p w:rsidR="00EE2502" w:rsidRPr="00EE2502" w:rsidRDefault="00EE2502" w:rsidP="00EE2502">
      <w:pPr>
        <w:jc w:val="both"/>
        <w:rPr>
          <w:szCs w:val="16"/>
        </w:rPr>
      </w:pPr>
      <w:r w:rsidRPr="00EE2502">
        <w:rPr>
          <w:szCs w:val="16"/>
        </w:rPr>
        <w:t>- przebieg robót, trudności i przeszkody w ich prowadzeniu, okresy i przyczyny przerw w robotach,</w:t>
      </w:r>
    </w:p>
    <w:p w:rsidR="00EE2502" w:rsidRPr="00EE2502" w:rsidRDefault="00EE2502" w:rsidP="00EE2502">
      <w:pPr>
        <w:jc w:val="both"/>
        <w:rPr>
          <w:szCs w:val="16"/>
        </w:rPr>
      </w:pPr>
      <w:r w:rsidRPr="00EE2502">
        <w:rPr>
          <w:szCs w:val="16"/>
        </w:rPr>
        <w:t>- uwagi i polecenia Inżyniera/Kierownika projektu,</w:t>
      </w:r>
    </w:p>
    <w:p w:rsidR="00EE2502" w:rsidRPr="00EE2502" w:rsidRDefault="00EE2502" w:rsidP="00EE2502">
      <w:pPr>
        <w:jc w:val="both"/>
        <w:rPr>
          <w:szCs w:val="18"/>
        </w:rPr>
      </w:pPr>
      <w:r w:rsidRPr="00EE2502">
        <w:rPr>
          <w:szCs w:val="18"/>
        </w:rPr>
        <w:t>- daty zarządzenia wstrzymania robót, z podaniem powodu,</w:t>
      </w:r>
    </w:p>
    <w:p w:rsidR="00EE2502" w:rsidRPr="00EE2502" w:rsidRDefault="00EE2502" w:rsidP="00EE2502">
      <w:pPr>
        <w:jc w:val="both"/>
        <w:rPr>
          <w:szCs w:val="16"/>
        </w:rPr>
      </w:pPr>
      <w:r w:rsidRPr="00EE2502">
        <w:rPr>
          <w:szCs w:val="16"/>
        </w:rPr>
        <w:t>- zgłoszenia i daty odbiorów robót zanikających i ulegających zakryciu, częściowych i końcowych odbiorów robót,</w:t>
      </w:r>
    </w:p>
    <w:p w:rsidR="00EE2502" w:rsidRPr="00EE2502" w:rsidRDefault="00EE2502" w:rsidP="00EE2502">
      <w:pPr>
        <w:jc w:val="both"/>
        <w:rPr>
          <w:szCs w:val="16"/>
        </w:rPr>
      </w:pPr>
      <w:r w:rsidRPr="00EE2502">
        <w:rPr>
          <w:szCs w:val="16"/>
        </w:rPr>
        <w:t>- wyjaśnienia, uwagi i propozycje Wykonawcy,</w:t>
      </w:r>
    </w:p>
    <w:p w:rsidR="00EE2502" w:rsidRPr="00EE2502" w:rsidRDefault="00EE2502" w:rsidP="00EE2502">
      <w:pPr>
        <w:jc w:val="both"/>
        <w:rPr>
          <w:szCs w:val="18"/>
        </w:rPr>
      </w:pPr>
      <w:r w:rsidRPr="00EE2502">
        <w:rPr>
          <w:szCs w:val="18"/>
        </w:rPr>
        <w:t>- stan pogody i temperaturę powietrza w okresie wykonywania robót podlegających ograniczeniom lub wymaganiom szczególnym w związku z warunkami klimatycznymi,</w:t>
      </w:r>
    </w:p>
    <w:p w:rsidR="00EE2502" w:rsidRPr="00EE2502" w:rsidRDefault="00EE2502" w:rsidP="00EE2502">
      <w:pPr>
        <w:jc w:val="both"/>
        <w:rPr>
          <w:szCs w:val="16"/>
        </w:rPr>
      </w:pPr>
      <w:r w:rsidRPr="00EE2502">
        <w:rPr>
          <w:szCs w:val="16"/>
        </w:rPr>
        <w:t>- zgodność rzeczywistych warunków geotechnicznych z ich opisem w dokumentacji projektowej,</w:t>
      </w:r>
    </w:p>
    <w:p w:rsidR="00EE2502" w:rsidRPr="00EE2502" w:rsidRDefault="00EE2502" w:rsidP="00EE2502">
      <w:pPr>
        <w:jc w:val="both"/>
        <w:rPr>
          <w:szCs w:val="18"/>
        </w:rPr>
      </w:pPr>
      <w:r w:rsidRPr="00EE2502">
        <w:rPr>
          <w:szCs w:val="18"/>
        </w:rPr>
        <w:t>- dane dotyczące czynności geodezyjnych (pomiarowych) dokonywanych przed i w trakcie wykonywania robót,</w:t>
      </w:r>
    </w:p>
    <w:p w:rsidR="00EE2502" w:rsidRPr="00EE2502" w:rsidRDefault="00EE2502" w:rsidP="00EE2502">
      <w:pPr>
        <w:jc w:val="both"/>
        <w:rPr>
          <w:szCs w:val="16"/>
        </w:rPr>
      </w:pPr>
      <w:r w:rsidRPr="00EE2502">
        <w:rPr>
          <w:szCs w:val="16"/>
        </w:rPr>
        <w:t>- dane dotyczące sposobu wykonywania zabezpieczenia robót,</w:t>
      </w:r>
    </w:p>
    <w:p w:rsidR="00EE2502" w:rsidRPr="00EE2502" w:rsidRDefault="00EE2502" w:rsidP="00EE2502">
      <w:pPr>
        <w:jc w:val="both"/>
        <w:rPr>
          <w:szCs w:val="18"/>
        </w:rPr>
      </w:pPr>
      <w:r w:rsidRPr="00EE2502">
        <w:rPr>
          <w:szCs w:val="18"/>
        </w:rPr>
        <w:t>- dane dotyczące jakości materiałów, pobierania próbek oraz wyniki przeprowadzonych badań z podaniem, kto je przeprowadzał,</w:t>
      </w:r>
    </w:p>
    <w:p w:rsidR="00EE2502" w:rsidRPr="00EE2502" w:rsidRDefault="00EE2502" w:rsidP="00EE2502">
      <w:pPr>
        <w:jc w:val="both"/>
        <w:rPr>
          <w:szCs w:val="16"/>
        </w:rPr>
      </w:pPr>
      <w:r w:rsidRPr="00EE2502">
        <w:rPr>
          <w:szCs w:val="16"/>
        </w:rPr>
        <w:t>- wyniki prób poszczególnych elementów budowli z podaniem, kto je przeprowadzał,</w:t>
      </w:r>
    </w:p>
    <w:p w:rsidR="00EE2502" w:rsidRPr="00EE2502" w:rsidRDefault="00EE2502" w:rsidP="00EE2502">
      <w:pPr>
        <w:jc w:val="both"/>
        <w:rPr>
          <w:szCs w:val="16"/>
        </w:rPr>
      </w:pPr>
      <w:r w:rsidRPr="00EE2502">
        <w:rPr>
          <w:szCs w:val="16"/>
        </w:rPr>
        <w:t>- inne istotne informacje o przebiegu robót.</w:t>
      </w:r>
    </w:p>
    <w:p w:rsidR="00EE2502" w:rsidRPr="00EE2502" w:rsidRDefault="00EE2502" w:rsidP="00EE2502">
      <w:pPr>
        <w:jc w:val="both"/>
        <w:rPr>
          <w:szCs w:val="18"/>
        </w:rPr>
      </w:pPr>
      <w:r w:rsidRPr="00EE2502">
        <w:rPr>
          <w:szCs w:val="18"/>
        </w:rPr>
        <w:t>Propozycje, uwagi i wyjaśnienia Wykonawcy, wpisane do dziennika budowy będą przedłożone Inżynierowi/Kierownikowi projektu do ustosunkowania się.</w:t>
      </w:r>
    </w:p>
    <w:p w:rsidR="00EE2502" w:rsidRPr="00EE2502" w:rsidRDefault="00EE2502" w:rsidP="00EE2502">
      <w:pPr>
        <w:jc w:val="both"/>
        <w:rPr>
          <w:szCs w:val="16"/>
        </w:rPr>
      </w:pPr>
      <w:r w:rsidRPr="00EE2502">
        <w:rPr>
          <w:szCs w:val="16"/>
        </w:rPr>
        <w:t>Decyzje Inżyniera/Kierownika projektu wpisane do dziennika budowy Wykonawca podpisuje z zaznaczeniem ich przyjęcia lub zajęciem stanowiska.</w:t>
      </w:r>
    </w:p>
    <w:p w:rsidR="00EE2502" w:rsidRPr="00EE2502" w:rsidRDefault="00EE2502" w:rsidP="00EE2502">
      <w:pPr>
        <w:jc w:val="both"/>
        <w:rPr>
          <w:szCs w:val="16"/>
        </w:rPr>
      </w:pPr>
      <w:r w:rsidRPr="00EE2502">
        <w:rPr>
          <w:szCs w:val="16"/>
        </w:rPr>
        <w:t>Wpis projektanta do dziennika budowy obliguje Inżyniera/Kierownika projektu do ustosunkowania się. Projektant nie jest jednak stroną umowy i nie ma uprawnień do wydawania poleceń Wykonawcy robót.</w:t>
      </w:r>
    </w:p>
    <w:p w:rsidR="00EE2502" w:rsidRPr="00EE2502" w:rsidRDefault="00EE2502" w:rsidP="00EE2502">
      <w:pPr>
        <w:spacing w:before="120"/>
        <w:jc w:val="both"/>
        <w:rPr>
          <w:szCs w:val="18"/>
        </w:rPr>
      </w:pPr>
      <w:r w:rsidRPr="00EE2502">
        <w:rPr>
          <w:szCs w:val="18"/>
        </w:rPr>
        <w:t>(2) Książka obmiarów</w:t>
      </w:r>
    </w:p>
    <w:p w:rsidR="00EE2502" w:rsidRPr="00EE2502" w:rsidRDefault="00EE2502" w:rsidP="00EE2502">
      <w:pPr>
        <w:jc w:val="both"/>
        <w:rPr>
          <w:szCs w:val="18"/>
        </w:rPr>
      </w:pPr>
      <w:r w:rsidRPr="00EE2502">
        <w:rPr>
          <w:szCs w:val="18"/>
        </w:rPr>
        <w:t>Książka obmiarów stanowi dokument pozwalający na rozliczenie faktycznego postępu każdego z elementów robót. Obmiary wykonanych robót przeprowadza się w sposób ciągły w jednostkach przyjętych w kosztorysie i wpisuje do książki obmiarów.</w:t>
      </w:r>
    </w:p>
    <w:p w:rsidR="00EE2502" w:rsidRPr="00EE2502" w:rsidRDefault="00EE2502" w:rsidP="00EE2502">
      <w:pPr>
        <w:spacing w:before="120"/>
        <w:jc w:val="both"/>
        <w:rPr>
          <w:szCs w:val="18"/>
        </w:rPr>
      </w:pPr>
      <w:r w:rsidRPr="00EE2502">
        <w:rPr>
          <w:szCs w:val="18"/>
        </w:rPr>
        <w:t>(3) Dokumenty laboratoryjne</w:t>
      </w:r>
    </w:p>
    <w:p w:rsidR="00EE2502" w:rsidRPr="00EE2502" w:rsidRDefault="00EE2502" w:rsidP="00EE2502">
      <w:pPr>
        <w:jc w:val="both"/>
        <w:rPr>
          <w:szCs w:val="18"/>
        </w:rPr>
      </w:pPr>
      <w:r w:rsidRPr="00EE2502">
        <w:rPr>
          <w:szCs w:val="18"/>
        </w:rPr>
        <w:t>Dzienniki laboratoryjne, deklaracje zgodności lub certyfikaty zgodności materiałów, orzeczenia o jakości materiałów, recepty robocze i kontrolne wyniki badań Wykonawcy będą gromadzone w formie uzgodnionej z  Inżynierem/Kierownikiem projektu. Dokumenty te stanowią załączniki do odbioru robót. Winny być udostępnione na każde życzenie Inżyniera/Kierownika projektu.</w:t>
      </w:r>
    </w:p>
    <w:p w:rsidR="00EE2502" w:rsidRPr="00EE2502" w:rsidRDefault="00EE2502" w:rsidP="00EE2502">
      <w:pPr>
        <w:spacing w:before="120"/>
        <w:jc w:val="both"/>
        <w:rPr>
          <w:szCs w:val="18"/>
        </w:rPr>
      </w:pPr>
      <w:r w:rsidRPr="00EE2502">
        <w:rPr>
          <w:szCs w:val="18"/>
        </w:rPr>
        <w:t>(4) Pozostałe dokumenty budowy</w:t>
      </w:r>
    </w:p>
    <w:p w:rsidR="00EE2502" w:rsidRPr="00EE2502" w:rsidRDefault="00EE2502" w:rsidP="00EE2502">
      <w:pPr>
        <w:jc w:val="both"/>
        <w:rPr>
          <w:szCs w:val="18"/>
        </w:rPr>
      </w:pPr>
      <w:r w:rsidRPr="00EE2502">
        <w:rPr>
          <w:szCs w:val="18"/>
        </w:rPr>
        <w:t>Do dokumentów budowy zalicza się, oprócz wymienionych w punktach (l)</w:t>
      </w:r>
      <w:r w:rsidRPr="00EE2502">
        <w:rPr>
          <w:noProof/>
          <w:szCs w:val="18"/>
        </w:rPr>
        <w:t xml:space="preserve"> - (3) </w:t>
      </w:r>
      <w:r w:rsidRPr="00EE2502">
        <w:rPr>
          <w:szCs w:val="18"/>
        </w:rPr>
        <w:t>następujące dokumenty:</w:t>
      </w:r>
    </w:p>
    <w:p w:rsidR="00EE2502" w:rsidRPr="00EE2502" w:rsidRDefault="00EE2502" w:rsidP="00EE2502">
      <w:pPr>
        <w:jc w:val="both"/>
        <w:rPr>
          <w:szCs w:val="18"/>
        </w:rPr>
      </w:pPr>
      <w:r w:rsidRPr="00EE2502">
        <w:rPr>
          <w:szCs w:val="18"/>
        </w:rPr>
        <w:t>a) pozwolenie na realizację zadania budowlanego, b) protokoły przekazania terenu budowy,</w:t>
      </w:r>
    </w:p>
    <w:p w:rsidR="00EE2502" w:rsidRPr="00EE2502" w:rsidRDefault="00EE2502" w:rsidP="00EE2502">
      <w:pPr>
        <w:jc w:val="both"/>
        <w:rPr>
          <w:szCs w:val="18"/>
        </w:rPr>
      </w:pPr>
      <w:r w:rsidRPr="00EE2502">
        <w:rPr>
          <w:szCs w:val="18"/>
        </w:rPr>
        <w:t>c) umowy cywilno-prawne z osobami trzecimi i inne umowy cywilno-prawne, d) protokoły odbioru robót, e) protokoły z narad i ustaleń, f) korespondencję na budowie.</w:t>
      </w:r>
    </w:p>
    <w:p w:rsidR="00EE2502" w:rsidRPr="00EE2502" w:rsidRDefault="00EE2502" w:rsidP="00EE2502">
      <w:pPr>
        <w:spacing w:before="120"/>
        <w:jc w:val="both"/>
        <w:rPr>
          <w:szCs w:val="18"/>
        </w:rPr>
      </w:pPr>
      <w:r w:rsidRPr="00EE2502">
        <w:rPr>
          <w:szCs w:val="18"/>
        </w:rPr>
        <w:t>(5) Przechowywanie dokumentów budowy</w:t>
      </w:r>
    </w:p>
    <w:p w:rsidR="00EE2502" w:rsidRPr="00EE2502" w:rsidRDefault="00EE2502" w:rsidP="00EE2502">
      <w:pPr>
        <w:jc w:val="both"/>
        <w:rPr>
          <w:szCs w:val="18"/>
        </w:rPr>
      </w:pPr>
      <w:r w:rsidRPr="00EE2502">
        <w:rPr>
          <w:szCs w:val="18"/>
        </w:rPr>
        <w:t>Dokumenty budowy będą przechowywane na terenie budowy w miejscu odpowiednio zabezpieczonym. Za ich bezpieczeństwo odpowiada Kierownik Budowy.</w:t>
      </w:r>
    </w:p>
    <w:p w:rsidR="00EE2502" w:rsidRPr="00EE2502" w:rsidRDefault="00EE2502" w:rsidP="00EE2502">
      <w:pPr>
        <w:jc w:val="both"/>
        <w:rPr>
          <w:szCs w:val="18"/>
        </w:rPr>
      </w:pPr>
      <w:r w:rsidRPr="00EE2502">
        <w:rPr>
          <w:szCs w:val="18"/>
        </w:rPr>
        <w:t>Zaginięcie  któregokolwiek  z  dokumentów  budowy  spowoduje  Jego natychmiastowe odtworzenie w formie przewidzianej prawem.</w:t>
      </w:r>
    </w:p>
    <w:p w:rsidR="00EE2502" w:rsidRPr="00EE2502" w:rsidRDefault="00EE2502" w:rsidP="00EE2502">
      <w:pPr>
        <w:jc w:val="both"/>
        <w:rPr>
          <w:szCs w:val="18"/>
        </w:rPr>
      </w:pPr>
      <w:r w:rsidRPr="00EE2502">
        <w:rPr>
          <w:szCs w:val="18"/>
        </w:rPr>
        <w:t>Wszelkie dokumenty budowy będą zawsze dostępne dla Inżyniera/Kierownika projektu i przedstawiane do wglądu na życzenie Zamawiającego.</w:t>
      </w:r>
    </w:p>
    <w:p w:rsidR="00EE2502" w:rsidRPr="00EE2502" w:rsidRDefault="00EE2502" w:rsidP="00EE2502">
      <w:pPr>
        <w:spacing w:before="240" w:after="120"/>
        <w:jc w:val="both"/>
        <w:rPr>
          <w:b/>
          <w:bCs/>
          <w:sz w:val="22"/>
          <w:szCs w:val="22"/>
          <w:u w:val="single"/>
        </w:rPr>
      </w:pPr>
      <w:r w:rsidRPr="00EE2502">
        <w:rPr>
          <w:b/>
          <w:bCs/>
          <w:sz w:val="22"/>
          <w:szCs w:val="22"/>
          <w:u w:val="single"/>
        </w:rPr>
        <w:t>7. OBMIAR ROBÓT</w:t>
      </w:r>
    </w:p>
    <w:p w:rsidR="00EE2502" w:rsidRPr="00EE2502" w:rsidRDefault="00EE2502" w:rsidP="00EE2502">
      <w:pPr>
        <w:numPr>
          <w:ilvl w:val="1"/>
          <w:numId w:val="90"/>
        </w:numPr>
        <w:spacing w:before="120"/>
        <w:ind w:left="540" w:hanging="540"/>
        <w:jc w:val="both"/>
        <w:rPr>
          <w:b/>
          <w:bCs/>
          <w:szCs w:val="18"/>
        </w:rPr>
      </w:pPr>
      <w:r w:rsidRPr="00EE2502">
        <w:rPr>
          <w:b/>
          <w:bCs/>
          <w:szCs w:val="18"/>
        </w:rPr>
        <w:t>Ogólne zasady obmiaru robót</w:t>
      </w:r>
    </w:p>
    <w:p w:rsidR="00EE2502" w:rsidRPr="00EE2502" w:rsidRDefault="00EE2502" w:rsidP="00EE2502">
      <w:pPr>
        <w:jc w:val="both"/>
        <w:rPr>
          <w:szCs w:val="18"/>
        </w:rPr>
      </w:pPr>
      <w:r w:rsidRPr="00EE2502">
        <w:rPr>
          <w:szCs w:val="18"/>
        </w:rPr>
        <w:t>Obmiar robót będzie określać faktyczny zakres wykonywanych robót zgodnie z dokumentacją projektową i ST, w jednostkach ustalonych w kosztorysie.</w:t>
      </w:r>
    </w:p>
    <w:p w:rsidR="00EE2502" w:rsidRPr="00EE2502" w:rsidRDefault="00EE2502" w:rsidP="00EE2502">
      <w:pPr>
        <w:jc w:val="both"/>
        <w:rPr>
          <w:szCs w:val="18"/>
        </w:rPr>
      </w:pPr>
      <w:r w:rsidRPr="00EE2502">
        <w:rPr>
          <w:szCs w:val="18"/>
        </w:rPr>
        <w:t>Obmiaru robót dokonuje Wykonawca po pisemnym powiadomieniu Inżyniera/ Kierownika projektu o zakresie obmierzanych robót i terminie obmiaru, co najmniej na</w:t>
      </w:r>
      <w:r w:rsidRPr="00EE2502">
        <w:rPr>
          <w:noProof/>
          <w:szCs w:val="18"/>
        </w:rPr>
        <w:t xml:space="preserve"> 3 </w:t>
      </w:r>
      <w:r w:rsidRPr="00EE2502">
        <w:rPr>
          <w:szCs w:val="18"/>
        </w:rPr>
        <w:t>dni przed tym terminem.</w:t>
      </w:r>
    </w:p>
    <w:p w:rsidR="00EE2502" w:rsidRPr="00EE2502" w:rsidRDefault="00EE2502" w:rsidP="00EE2502">
      <w:pPr>
        <w:jc w:val="both"/>
        <w:rPr>
          <w:szCs w:val="18"/>
        </w:rPr>
      </w:pPr>
      <w:r w:rsidRPr="00EE2502">
        <w:rPr>
          <w:szCs w:val="18"/>
        </w:rPr>
        <w:t>Wyniki obmiaru będą wpisane do książki obmiarów.</w:t>
      </w:r>
    </w:p>
    <w:p w:rsidR="00EE2502" w:rsidRPr="00EE2502" w:rsidRDefault="00EE2502" w:rsidP="00EE2502">
      <w:pPr>
        <w:jc w:val="both"/>
        <w:rPr>
          <w:szCs w:val="16"/>
        </w:rPr>
      </w:pPr>
      <w:r w:rsidRPr="00EE2502">
        <w:rPr>
          <w:szCs w:val="18"/>
        </w:rPr>
        <w:t>Jakikolwiek błąd lub przeoczenie (opuszczenie) w ilościach podanych w ofertowym  (ślepym) kosztorysie lub gdzie indziej w ST nie zwalnia Wykonawcy od obowiązku ukończenia wszystkich robót. Błędne dane zostaną poprawione wg instrukcji inżyniera/Kierownika projektu na piśmie.</w:t>
      </w:r>
    </w:p>
    <w:p w:rsidR="00EE2502" w:rsidRPr="00EE2502" w:rsidRDefault="00EE2502" w:rsidP="00EE2502">
      <w:pPr>
        <w:jc w:val="both"/>
        <w:rPr>
          <w:szCs w:val="18"/>
        </w:rPr>
      </w:pPr>
      <w:r w:rsidRPr="00EE2502">
        <w:rPr>
          <w:szCs w:val="18"/>
        </w:rPr>
        <w:t>Obmiar gotowych robót będzie przeprowadzony z częstością wymaganą do celu miesięcznej płatności na rzecz Wykonawcy lub w innym czasie określonym w umowie lub oczekiwanym przez Wykonawcę i Inżyniera/Kierownika projektu.</w:t>
      </w:r>
    </w:p>
    <w:p w:rsidR="00EE2502" w:rsidRPr="00EE2502" w:rsidRDefault="00EE2502" w:rsidP="00EE2502">
      <w:pPr>
        <w:numPr>
          <w:ilvl w:val="1"/>
          <w:numId w:val="90"/>
        </w:numPr>
        <w:spacing w:before="120"/>
        <w:ind w:left="540" w:hanging="540"/>
        <w:jc w:val="both"/>
        <w:rPr>
          <w:b/>
          <w:bCs/>
          <w:szCs w:val="18"/>
        </w:rPr>
      </w:pPr>
      <w:r w:rsidRPr="00EE2502">
        <w:rPr>
          <w:b/>
          <w:bCs/>
          <w:szCs w:val="18"/>
        </w:rPr>
        <w:t>Zasady określania ilości robót i materiałów</w:t>
      </w:r>
    </w:p>
    <w:p w:rsidR="00EE2502" w:rsidRPr="00EE2502" w:rsidRDefault="00EE2502" w:rsidP="00EE2502">
      <w:pPr>
        <w:jc w:val="both"/>
        <w:rPr>
          <w:szCs w:val="16"/>
        </w:rPr>
      </w:pPr>
      <w:r w:rsidRPr="00EE2502">
        <w:rPr>
          <w:szCs w:val="16"/>
        </w:rPr>
        <w:t>Długości i odległości pomiędzy wyszczególnionymi punktami skrajnymi będą obmierzone poziomo wzdłuż linii osiowej.</w:t>
      </w:r>
    </w:p>
    <w:p w:rsidR="00EE2502" w:rsidRPr="00EE2502" w:rsidRDefault="00EE2502" w:rsidP="00EE2502">
      <w:pPr>
        <w:jc w:val="both"/>
        <w:rPr>
          <w:szCs w:val="18"/>
        </w:rPr>
      </w:pPr>
      <w:r w:rsidRPr="00EE2502">
        <w:rPr>
          <w:szCs w:val="18"/>
        </w:rPr>
        <w:t>Jeśli ST właściwe dla danych robót nie wymagają tego inaczej, objętości będą wyliczone w m3 jako długość pomnożona przez średni przekrój.</w:t>
      </w:r>
    </w:p>
    <w:p w:rsidR="00EE2502" w:rsidRPr="00EE2502" w:rsidRDefault="00EE2502" w:rsidP="00EE2502">
      <w:pPr>
        <w:jc w:val="both"/>
        <w:rPr>
          <w:szCs w:val="16"/>
        </w:rPr>
      </w:pPr>
      <w:r w:rsidRPr="00EE2502">
        <w:rPr>
          <w:szCs w:val="16"/>
        </w:rPr>
        <w:t>Ilości, które mają być obmierzone wagowo, będą ważone w tonach lub kilogramach zgodnie z wymaganiami ST.</w:t>
      </w:r>
    </w:p>
    <w:p w:rsidR="00EE2502" w:rsidRPr="00EE2502" w:rsidRDefault="00EE2502" w:rsidP="00EE2502">
      <w:pPr>
        <w:numPr>
          <w:ilvl w:val="1"/>
          <w:numId w:val="90"/>
        </w:numPr>
        <w:spacing w:before="120"/>
        <w:ind w:left="540" w:hanging="540"/>
        <w:jc w:val="both"/>
        <w:rPr>
          <w:b/>
          <w:bCs/>
          <w:szCs w:val="18"/>
        </w:rPr>
      </w:pPr>
      <w:r w:rsidRPr="00EE2502">
        <w:rPr>
          <w:b/>
          <w:bCs/>
          <w:szCs w:val="18"/>
        </w:rPr>
        <w:t>Urządzenia i sprzęt pomiarowy</w:t>
      </w:r>
    </w:p>
    <w:p w:rsidR="00EE2502" w:rsidRPr="00EE2502" w:rsidRDefault="00EE2502" w:rsidP="00EE2502">
      <w:pPr>
        <w:jc w:val="both"/>
        <w:rPr>
          <w:szCs w:val="18"/>
        </w:rPr>
      </w:pPr>
      <w:r w:rsidRPr="00EE2502">
        <w:rPr>
          <w:szCs w:val="18"/>
        </w:rPr>
        <w:t>Wszystkie urządzenia i sprzęt pomiarowy, stosowany w czasie obmiaru robót będą zaakceptowane przez Inżyniera/Kierownika projektu.</w:t>
      </w:r>
    </w:p>
    <w:p w:rsidR="00EE2502" w:rsidRPr="00EE2502" w:rsidRDefault="00EE2502" w:rsidP="00EE2502">
      <w:pPr>
        <w:jc w:val="both"/>
        <w:rPr>
          <w:szCs w:val="16"/>
        </w:rPr>
      </w:pPr>
      <w:r w:rsidRPr="00EE2502">
        <w:rPr>
          <w:szCs w:val="16"/>
        </w:rPr>
        <w:t>Urządzenia i sprzęt pomiarowy zostaną dostarczone przez Wykonawcę. Jeżeli urządzenia te lub sprzęt wymagają badań atestujących to Wykonawca będzie posiadać ważne świadectwa legalizacji.</w:t>
      </w:r>
    </w:p>
    <w:p w:rsidR="00EE2502" w:rsidRPr="00EE2502" w:rsidRDefault="00EE2502" w:rsidP="00EE2502">
      <w:pPr>
        <w:jc w:val="both"/>
        <w:rPr>
          <w:szCs w:val="18"/>
        </w:rPr>
      </w:pPr>
      <w:r w:rsidRPr="00EE2502">
        <w:rPr>
          <w:szCs w:val="18"/>
        </w:rPr>
        <w:t>Wszystkie urządzenia pomiarowe będą przez Wykonawcę utrzymywane w dobrym stanie, w całym okresie trwania robót.</w:t>
      </w:r>
    </w:p>
    <w:p w:rsidR="00EE2502" w:rsidRPr="00EE2502" w:rsidRDefault="00EE2502" w:rsidP="00EE2502">
      <w:pPr>
        <w:numPr>
          <w:ilvl w:val="1"/>
          <w:numId w:val="90"/>
        </w:numPr>
        <w:spacing w:before="120"/>
        <w:ind w:left="540" w:hanging="540"/>
        <w:jc w:val="both"/>
        <w:rPr>
          <w:b/>
          <w:bCs/>
          <w:szCs w:val="18"/>
        </w:rPr>
      </w:pPr>
      <w:r w:rsidRPr="00EE2502">
        <w:rPr>
          <w:b/>
          <w:bCs/>
          <w:szCs w:val="18"/>
        </w:rPr>
        <w:t>Wagi i zasady ważenia</w:t>
      </w:r>
    </w:p>
    <w:p w:rsidR="00EE2502" w:rsidRPr="00EE2502" w:rsidRDefault="00EE2502" w:rsidP="00EE2502">
      <w:pPr>
        <w:jc w:val="both"/>
        <w:rPr>
          <w:szCs w:val="16"/>
        </w:rPr>
      </w:pPr>
      <w:r w:rsidRPr="00EE2502">
        <w:rPr>
          <w:szCs w:val="16"/>
        </w:rPr>
        <w:t>Wykonawca dostarczy i zainstaluje urządzenia wagowe odpowiadające odnośnym wymaganiom ST. Będzie utrzymywać to wyposażenie zapewniając w sposób ciągły zachowanie dokładności wg norm zatwierdzonych przez Inżyniera/Kierownika projektu.</w:t>
      </w:r>
    </w:p>
    <w:p w:rsidR="00EE2502" w:rsidRPr="00EE2502" w:rsidRDefault="00EE2502" w:rsidP="00EE2502">
      <w:pPr>
        <w:numPr>
          <w:ilvl w:val="1"/>
          <w:numId w:val="90"/>
        </w:numPr>
        <w:spacing w:before="120"/>
        <w:ind w:left="540" w:hanging="540"/>
        <w:jc w:val="both"/>
        <w:rPr>
          <w:b/>
          <w:bCs/>
          <w:szCs w:val="18"/>
        </w:rPr>
      </w:pPr>
      <w:r w:rsidRPr="00EE2502">
        <w:rPr>
          <w:b/>
          <w:bCs/>
          <w:szCs w:val="18"/>
        </w:rPr>
        <w:t>Czas przeprowadzenia obmiaru</w:t>
      </w:r>
    </w:p>
    <w:p w:rsidR="00EE2502" w:rsidRPr="00EE2502" w:rsidRDefault="00EE2502" w:rsidP="00EE2502">
      <w:pPr>
        <w:jc w:val="both"/>
        <w:rPr>
          <w:szCs w:val="18"/>
        </w:rPr>
      </w:pPr>
      <w:r w:rsidRPr="00EE2502">
        <w:rPr>
          <w:szCs w:val="18"/>
        </w:rPr>
        <w:t>Obmiary będą przeprowadzone przed częściowym lub końcowym odbiorem odcinków robót, a także w przypadku występowania dłuższej przerwy w robotach. Obmiar robót zanikających przeprowadza się w czasie ich wykonywania. Obmiar robót podlegających zakryciu przeprowadza się przed ich zakryciem. Roboty pomiarowe do obmiaru oraz nieodzowne obliczenia będą wykonane w sposób zrozumiały i jednoznaczny.</w:t>
      </w:r>
    </w:p>
    <w:p w:rsidR="00EE2502" w:rsidRPr="00EE2502" w:rsidRDefault="00EE2502" w:rsidP="00EE2502">
      <w:pPr>
        <w:jc w:val="both"/>
        <w:rPr>
          <w:szCs w:val="16"/>
        </w:rPr>
      </w:pPr>
      <w:r w:rsidRPr="00EE2502">
        <w:rPr>
          <w:szCs w:val="16"/>
        </w:rPr>
        <w:t>Wymiary skomplikowanych powierzchni lub objętości będą uzupełnione odpowiednimi szkicami umieszczonymi na karcie książki obmiarów. W razie braku miejsca szkice mogą być dołączone w formie oddzielnego załącznika do książki obmiarów, którego wzór zostanie uzgodniony z Inżynierem/Kierownikiem projektu.</w:t>
      </w:r>
    </w:p>
    <w:p w:rsidR="00EE2502" w:rsidRPr="00EE2502" w:rsidRDefault="00EE2502" w:rsidP="00EE2502">
      <w:pPr>
        <w:spacing w:before="240" w:after="120"/>
        <w:jc w:val="both"/>
        <w:rPr>
          <w:b/>
          <w:bCs/>
          <w:sz w:val="22"/>
          <w:szCs w:val="22"/>
          <w:u w:val="single"/>
        </w:rPr>
      </w:pPr>
      <w:r w:rsidRPr="00EE2502">
        <w:rPr>
          <w:b/>
          <w:bCs/>
          <w:sz w:val="22"/>
          <w:szCs w:val="22"/>
          <w:u w:val="single"/>
        </w:rPr>
        <w:t>8. ODBIÓR ROBÓT</w:t>
      </w:r>
    </w:p>
    <w:p w:rsidR="00EE2502" w:rsidRPr="00EE2502" w:rsidRDefault="00EE2502" w:rsidP="00EE2502">
      <w:pPr>
        <w:numPr>
          <w:ilvl w:val="1"/>
          <w:numId w:val="90"/>
        </w:numPr>
        <w:spacing w:before="120"/>
        <w:ind w:left="540" w:hanging="540"/>
        <w:jc w:val="both"/>
        <w:rPr>
          <w:b/>
          <w:bCs/>
          <w:szCs w:val="18"/>
        </w:rPr>
      </w:pPr>
      <w:r w:rsidRPr="00EE2502">
        <w:rPr>
          <w:b/>
          <w:bCs/>
          <w:szCs w:val="18"/>
        </w:rPr>
        <w:t>Rodzaje odbiorów robót</w:t>
      </w:r>
    </w:p>
    <w:p w:rsidR="00EE2502" w:rsidRPr="00EE2502" w:rsidRDefault="00EE2502" w:rsidP="00EE2502">
      <w:pPr>
        <w:jc w:val="both"/>
        <w:rPr>
          <w:szCs w:val="16"/>
        </w:rPr>
      </w:pPr>
      <w:r w:rsidRPr="00EE2502">
        <w:rPr>
          <w:szCs w:val="16"/>
        </w:rPr>
        <w:t xml:space="preserve">W zależności od ustaleń odpowiednich ST, roboty podlegają następującym etapom odbioru: </w:t>
      </w:r>
    </w:p>
    <w:p w:rsidR="00EE2502" w:rsidRPr="00EE2502" w:rsidRDefault="00EE2502" w:rsidP="00EE2502">
      <w:pPr>
        <w:numPr>
          <w:ilvl w:val="0"/>
          <w:numId w:val="95"/>
        </w:numPr>
        <w:tabs>
          <w:tab w:val="left" w:pos="540"/>
        </w:tabs>
        <w:ind w:left="540"/>
        <w:jc w:val="both"/>
        <w:rPr>
          <w:szCs w:val="16"/>
        </w:rPr>
      </w:pPr>
      <w:r w:rsidRPr="00EE2502">
        <w:rPr>
          <w:szCs w:val="16"/>
        </w:rPr>
        <w:t>odbiorowi robót zanikających i ulegających zakryciu,</w:t>
      </w:r>
    </w:p>
    <w:p w:rsidR="00EE2502" w:rsidRPr="00EE2502" w:rsidRDefault="00EE2502" w:rsidP="00EE2502">
      <w:pPr>
        <w:numPr>
          <w:ilvl w:val="0"/>
          <w:numId w:val="95"/>
        </w:numPr>
        <w:tabs>
          <w:tab w:val="left" w:pos="540"/>
        </w:tabs>
        <w:ind w:left="540"/>
        <w:jc w:val="both"/>
        <w:rPr>
          <w:szCs w:val="18"/>
        </w:rPr>
      </w:pPr>
      <w:r w:rsidRPr="00EE2502">
        <w:rPr>
          <w:szCs w:val="18"/>
        </w:rPr>
        <w:t xml:space="preserve">odbiorowi częściowemu, </w:t>
      </w:r>
    </w:p>
    <w:p w:rsidR="00EE2502" w:rsidRPr="00EE2502" w:rsidRDefault="00EE2502" w:rsidP="00EE2502">
      <w:pPr>
        <w:numPr>
          <w:ilvl w:val="0"/>
          <w:numId w:val="95"/>
        </w:numPr>
        <w:tabs>
          <w:tab w:val="left" w:pos="540"/>
        </w:tabs>
        <w:ind w:left="540"/>
        <w:jc w:val="both"/>
        <w:rPr>
          <w:szCs w:val="18"/>
        </w:rPr>
      </w:pPr>
      <w:r w:rsidRPr="00EE2502">
        <w:rPr>
          <w:szCs w:val="18"/>
        </w:rPr>
        <w:t xml:space="preserve">odbiorowi końcowemu, </w:t>
      </w:r>
    </w:p>
    <w:p w:rsidR="00EE2502" w:rsidRPr="00EE2502" w:rsidRDefault="00EE2502" w:rsidP="00EE2502">
      <w:pPr>
        <w:numPr>
          <w:ilvl w:val="1"/>
          <w:numId w:val="90"/>
        </w:numPr>
        <w:spacing w:before="120"/>
        <w:ind w:left="540" w:hanging="540"/>
        <w:jc w:val="both"/>
        <w:rPr>
          <w:b/>
          <w:bCs/>
          <w:szCs w:val="18"/>
        </w:rPr>
      </w:pPr>
      <w:r w:rsidRPr="00EE2502">
        <w:rPr>
          <w:b/>
          <w:bCs/>
          <w:szCs w:val="18"/>
        </w:rPr>
        <w:t>Odbiór robót zanikających i ulegających zakryciu</w:t>
      </w:r>
    </w:p>
    <w:p w:rsidR="00EE2502" w:rsidRPr="00EE2502" w:rsidRDefault="00EE2502" w:rsidP="00EE2502">
      <w:pPr>
        <w:jc w:val="both"/>
        <w:rPr>
          <w:szCs w:val="18"/>
        </w:rPr>
      </w:pPr>
      <w:r w:rsidRPr="00EE2502">
        <w:rPr>
          <w:szCs w:val="18"/>
        </w:rPr>
        <w:t>Odbiór robót zanikających i ulegających zakryciu polega na finalnej ocenie ilości i jakości wykonywanych robót, które w dalszym procesie realizacji ulegną zakryciu.</w:t>
      </w:r>
    </w:p>
    <w:p w:rsidR="00EE2502" w:rsidRPr="00EE2502" w:rsidRDefault="00EE2502" w:rsidP="00EE2502">
      <w:pPr>
        <w:jc w:val="both"/>
        <w:rPr>
          <w:szCs w:val="18"/>
        </w:rPr>
      </w:pPr>
      <w:r w:rsidRPr="00EE2502">
        <w:rPr>
          <w:szCs w:val="18"/>
        </w:rPr>
        <w:t>Odbiór robót zanikających i ulegających zakryciu będzie dokonany w czasie umożliwiającym wykonanie ewentualnych korekt i poprawek bez hamowania ogólnego postępu robót.</w:t>
      </w:r>
    </w:p>
    <w:p w:rsidR="00EE2502" w:rsidRPr="00EE2502" w:rsidRDefault="00EE2502" w:rsidP="00EE2502">
      <w:pPr>
        <w:jc w:val="both"/>
        <w:rPr>
          <w:szCs w:val="18"/>
        </w:rPr>
      </w:pPr>
      <w:r w:rsidRPr="00EE2502">
        <w:rPr>
          <w:szCs w:val="18"/>
        </w:rPr>
        <w:t>Odbioru robót dokonuje Inżynier/Kierownik projektu.</w:t>
      </w:r>
    </w:p>
    <w:p w:rsidR="00EE2502" w:rsidRPr="00EE2502" w:rsidRDefault="00EE2502" w:rsidP="00EE2502">
      <w:pPr>
        <w:jc w:val="both"/>
        <w:rPr>
          <w:szCs w:val="18"/>
        </w:rPr>
      </w:pPr>
      <w:r w:rsidRPr="00EE2502">
        <w:rPr>
          <w:szCs w:val="18"/>
        </w:rPr>
        <w:t>Gotowość danej części robót do odbioru zgłasza Wykonawca wpisem do dziennika budowy i jednoczesnym powiadomieniem Inżyniera/Kierownika projektu. Odbiór będzie przeprowadzony niezwłocznie, nie później jednak niż w ciągu</w:t>
      </w:r>
      <w:r w:rsidRPr="00EE2502">
        <w:rPr>
          <w:noProof/>
          <w:szCs w:val="18"/>
        </w:rPr>
        <w:t xml:space="preserve"> 3</w:t>
      </w:r>
      <w:r w:rsidRPr="00EE2502">
        <w:rPr>
          <w:szCs w:val="18"/>
        </w:rPr>
        <w:t xml:space="preserve"> dni od daty zgłoszenia wpisem do dziennika budowy i powiadomienia o tym fakcie Inżyniera/Kierownika projektu.</w:t>
      </w:r>
    </w:p>
    <w:p w:rsidR="00EE2502" w:rsidRPr="00EE2502" w:rsidRDefault="00EE2502" w:rsidP="00EE2502">
      <w:pPr>
        <w:jc w:val="both"/>
        <w:rPr>
          <w:szCs w:val="18"/>
        </w:rPr>
      </w:pPr>
      <w:r w:rsidRPr="00EE2502">
        <w:rPr>
          <w:szCs w:val="18"/>
        </w:rPr>
        <w:t>Jakość i ilość robót ulegających zakryciu ocenia Inżynier/Kierownik projektu na podstawie dokumentów zawierających komplet wyników badań laboratoryjnych i w oparciu o przeprowadzone pomiary, w konfrontacji z dokumentacją projektową, ST i uprzednimi ustaleniami.</w:t>
      </w:r>
    </w:p>
    <w:p w:rsidR="00EE2502" w:rsidRPr="00EE2502" w:rsidRDefault="00EE2502" w:rsidP="00EE2502">
      <w:pPr>
        <w:numPr>
          <w:ilvl w:val="1"/>
          <w:numId w:val="90"/>
        </w:numPr>
        <w:spacing w:before="120"/>
        <w:ind w:left="540" w:hanging="540"/>
        <w:jc w:val="both"/>
        <w:rPr>
          <w:b/>
          <w:bCs/>
          <w:szCs w:val="18"/>
        </w:rPr>
      </w:pPr>
      <w:r w:rsidRPr="00EE2502">
        <w:rPr>
          <w:b/>
          <w:bCs/>
          <w:szCs w:val="18"/>
        </w:rPr>
        <w:t>Odbiór częściowy</w:t>
      </w:r>
    </w:p>
    <w:p w:rsidR="00EE2502" w:rsidRPr="00EE2502" w:rsidRDefault="00EE2502" w:rsidP="00EE2502">
      <w:pPr>
        <w:jc w:val="both"/>
        <w:rPr>
          <w:szCs w:val="16"/>
        </w:rPr>
      </w:pPr>
      <w:r w:rsidRPr="00EE2502">
        <w:rPr>
          <w:szCs w:val="16"/>
        </w:rPr>
        <w:t>Odbiór częściowy polega na ocenie ilości i jakości wykonanych części robót. Odbioru częściowego robót dokonuje się wg zasad jak przy odbiorze końcowym robót. Odbioru robót dokonuje Inżynier/Kierownik projektu.</w:t>
      </w:r>
    </w:p>
    <w:p w:rsidR="00EE2502" w:rsidRPr="00EE2502" w:rsidRDefault="00EE2502" w:rsidP="00EE2502">
      <w:pPr>
        <w:numPr>
          <w:ilvl w:val="1"/>
          <w:numId w:val="90"/>
        </w:numPr>
        <w:spacing w:before="120"/>
        <w:ind w:left="540" w:hanging="540"/>
        <w:jc w:val="both"/>
        <w:rPr>
          <w:b/>
          <w:bCs/>
          <w:szCs w:val="18"/>
        </w:rPr>
      </w:pPr>
      <w:r w:rsidRPr="00EE2502">
        <w:rPr>
          <w:b/>
          <w:bCs/>
          <w:szCs w:val="18"/>
        </w:rPr>
        <w:t>Odbiór końcowy robót</w:t>
      </w:r>
    </w:p>
    <w:p w:rsidR="00EE2502" w:rsidRPr="00EE2502" w:rsidRDefault="00EE2502" w:rsidP="00EE2502">
      <w:pPr>
        <w:numPr>
          <w:ilvl w:val="2"/>
          <w:numId w:val="90"/>
        </w:numPr>
        <w:spacing w:before="120"/>
        <w:ind w:left="1077" w:hanging="1077"/>
        <w:jc w:val="both"/>
        <w:rPr>
          <w:b/>
          <w:bCs/>
          <w:szCs w:val="18"/>
        </w:rPr>
      </w:pPr>
      <w:r w:rsidRPr="00EE2502">
        <w:rPr>
          <w:b/>
          <w:bCs/>
          <w:szCs w:val="18"/>
        </w:rPr>
        <w:t>Zasady odbioru końcowego robót</w:t>
      </w:r>
    </w:p>
    <w:p w:rsidR="00EE2502" w:rsidRPr="00EE2502" w:rsidRDefault="00EE2502" w:rsidP="00EE2502">
      <w:pPr>
        <w:ind w:hanging="6"/>
        <w:jc w:val="both"/>
        <w:rPr>
          <w:szCs w:val="18"/>
        </w:rPr>
      </w:pPr>
      <w:r w:rsidRPr="00EE2502">
        <w:rPr>
          <w:szCs w:val="18"/>
        </w:rPr>
        <w:t xml:space="preserve">Odbiór końcowy polega </w:t>
      </w:r>
      <w:r w:rsidRPr="00EE2502">
        <w:t>na finalnej ocenie rzeczywistego wykonania robót w odniesieniu do ich ilości, jakości i wartości.</w:t>
      </w:r>
    </w:p>
    <w:p w:rsidR="00EE2502" w:rsidRPr="00EE2502" w:rsidRDefault="00EE2502" w:rsidP="00EE2502">
      <w:pPr>
        <w:ind w:hanging="6"/>
        <w:jc w:val="both"/>
        <w:rPr>
          <w:szCs w:val="18"/>
        </w:rPr>
      </w:pPr>
      <w:r w:rsidRPr="00EE2502">
        <w:rPr>
          <w:szCs w:val="18"/>
        </w:rPr>
        <w:t>Całkowite zakończenie robót oraz gotowość do odbioru końcowego będzie stwierdzona przez Wykonawcę wpisem do dziennika budowy z bezzwłocznym powiadomieniem na piśmie o tym fakcie Inżyniera/Kierownika projektu.</w:t>
      </w:r>
    </w:p>
    <w:p w:rsidR="00EE2502" w:rsidRPr="00EE2502" w:rsidRDefault="00EE2502" w:rsidP="00EE2502">
      <w:pPr>
        <w:ind w:hanging="6"/>
        <w:jc w:val="both"/>
        <w:rPr>
          <w:szCs w:val="18"/>
        </w:rPr>
      </w:pPr>
      <w:r w:rsidRPr="00EE2502">
        <w:rPr>
          <w:szCs w:val="18"/>
        </w:rPr>
        <w:t>Odbiór końcowy robót nastąpi w terminie ustalonym w dokumentach umowy, licząc od dnia potwierdzenia przez Inżyniera/Kierownika projektu zakończenia robót i przyjęcia dokumentów, o których mowa w punkcie 8.4.2.</w:t>
      </w:r>
    </w:p>
    <w:p w:rsidR="00EE2502" w:rsidRPr="00EE2502" w:rsidRDefault="00EE2502" w:rsidP="00EE2502">
      <w:pPr>
        <w:ind w:hanging="6"/>
        <w:jc w:val="both"/>
        <w:rPr>
          <w:szCs w:val="18"/>
        </w:rPr>
      </w:pPr>
      <w:r w:rsidRPr="00EE2502">
        <w:rPr>
          <w:szCs w:val="16"/>
        </w:rPr>
        <w:t xml:space="preserve">Odbioru końcowego robót dokona komisja wyznaczona przez Zamawiającego w obecności </w:t>
      </w:r>
      <w:r w:rsidRPr="00EE2502">
        <w:rPr>
          <w:szCs w:val="18"/>
        </w:rPr>
        <w:t>Inżyniera/Kierownika projektu i Wykonawcy. Komisja odbierająca roboty dokona ich oceny jakościowej na podstawie przedłożonych dokumentów, wyników badań i pomiarów, ocenie wizualnej oraz zgodności wykonania robót z dokumentacją projektową i ST.</w:t>
      </w:r>
    </w:p>
    <w:p w:rsidR="00EE2502" w:rsidRPr="00EE2502" w:rsidRDefault="00EE2502" w:rsidP="00EE2502">
      <w:pPr>
        <w:ind w:hanging="6"/>
        <w:jc w:val="both"/>
        <w:rPr>
          <w:szCs w:val="18"/>
        </w:rPr>
      </w:pPr>
      <w:r w:rsidRPr="00EE2502">
        <w:rPr>
          <w:szCs w:val="18"/>
        </w:rPr>
        <w:t>W toku odbioru końcowegorobót komisja zapozna się z realizacją ustaleń przyjętych w trakcie odbiorów robót zanikających i ulegających zakryciu, zwłaszcza w zakresie wykonania robót uzupełniających i robót poprawkowych.</w:t>
      </w:r>
    </w:p>
    <w:p w:rsidR="00EE2502" w:rsidRPr="00EE2502" w:rsidRDefault="00EE2502" w:rsidP="00EE2502">
      <w:pPr>
        <w:ind w:hanging="6"/>
        <w:jc w:val="both"/>
        <w:rPr>
          <w:szCs w:val="18"/>
        </w:rPr>
      </w:pPr>
      <w:r w:rsidRPr="00EE2502">
        <w:rPr>
          <w:szCs w:val="18"/>
        </w:rPr>
        <w:t>W przypadkach niewykonania wyznaczonych robót poprawkowych lub robót uzupełniających, komisja przerwie swoje czynności i ustali nowy termin odbioru końcowego.</w:t>
      </w:r>
    </w:p>
    <w:p w:rsidR="00EE2502" w:rsidRPr="00EE2502" w:rsidRDefault="00EE2502" w:rsidP="00EE2502">
      <w:pPr>
        <w:numPr>
          <w:ilvl w:val="2"/>
          <w:numId w:val="90"/>
        </w:numPr>
        <w:spacing w:before="120"/>
        <w:ind w:left="1077" w:hanging="1077"/>
        <w:jc w:val="both"/>
        <w:rPr>
          <w:b/>
          <w:bCs/>
          <w:szCs w:val="18"/>
        </w:rPr>
      </w:pPr>
      <w:r w:rsidRPr="00EE2502">
        <w:rPr>
          <w:b/>
          <w:bCs/>
          <w:szCs w:val="18"/>
        </w:rPr>
        <w:t>Dokumenty do odbioru końcowego</w:t>
      </w:r>
    </w:p>
    <w:p w:rsidR="00EE2502" w:rsidRPr="00EE2502" w:rsidRDefault="00EE2502" w:rsidP="00EE2502">
      <w:pPr>
        <w:jc w:val="both"/>
        <w:rPr>
          <w:szCs w:val="18"/>
        </w:rPr>
      </w:pPr>
      <w:r w:rsidRPr="00EE2502">
        <w:rPr>
          <w:szCs w:val="18"/>
        </w:rPr>
        <w:t>Podstawowym dokumentem do dokonania odbioru końcowego robót jest protokół odbioru końcowego robót sporządzony wg wzoru ustalonego przez Zamawiającego.</w:t>
      </w:r>
    </w:p>
    <w:p w:rsidR="00EE2502" w:rsidRPr="00EE2502" w:rsidRDefault="00EE2502" w:rsidP="00EE2502">
      <w:pPr>
        <w:jc w:val="both"/>
        <w:rPr>
          <w:szCs w:val="18"/>
        </w:rPr>
      </w:pPr>
      <w:r w:rsidRPr="00EE2502">
        <w:rPr>
          <w:szCs w:val="18"/>
        </w:rPr>
        <w:t>Do odbioru końcowego Wykonawca jest zobowiązany przygotować następujące dokumenty:</w:t>
      </w:r>
    </w:p>
    <w:p w:rsidR="00EE2502" w:rsidRPr="00EE2502" w:rsidRDefault="00EE2502" w:rsidP="00EE2502">
      <w:pPr>
        <w:numPr>
          <w:ilvl w:val="0"/>
          <w:numId w:val="101"/>
        </w:numPr>
        <w:jc w:val="both"/>
        <w:rPr>
          <w:snapToGrid w:val="0"/>
          <w:szCs w:val="18"/>
        </w:rPr>
      </w:pPr>
      <w:r w:rsidRPr="00EE2502">
        <w:rPr>
          <w:snapToGrid w:val="0"/>
          <w:szCs w:val="18"/>
        </w:rPr>
        <w:t>dokumentację projektową podstawową z naniesionymi zmianami oraz dodatkową, jeśli została sporządzona w trakcie realizacji umowy,</w:t>
      </w:r>
    </w:p>
    <w:p w:rsidR="00EE2502" w:rsidRPr="00EE2502" w:rsidRDefault="00EE2502" w:rsidP="00EE2502">
      <w:pPr>
        <w:numPr>
          <w:ilvl w:val="0"/>
          <w:numId w:val="101"/>
        </w:numPr>
        <w:jc w:val="both"/>
        <w:rPr>
          <w:snapToGrid w:val="0"/>
          <w:szCs w:val="18"/>
        </w:rPr>
      </w:pPr>
      <w:r w:rsidRPr="00EE2502">
        <w:rPr>
          <w:snapToGrid w:val="0"/>
          <w:szCs w:val="18"/>
        </w:rPr>
        <w:t>szczegółowe specyfikacje techniczne (podstawowe z dokumentów umowy i ew. uzupełniające lub zamienne),</w:t>
      </w:r>
    </w:p>
    <w:p w:rsidR="00EE2502" w:rsidRPr="00EE2502" w:rsidRDefault="00EE2502" w:rsidP="00EE2502">
      <w:pPr>
        <w:numPr>
          <w:ilvl w:val="0"/>
          <w:numId w:val="101"/>
        </w:numPr>
        <w:jc w:val="both"/>
        <w:rPr>
          <w:snapToGrid w:val="0"/>
          <w:szCs w:val="18"/>
        </w:rPr>
      </w:pPr>
      <w:r w:rsidRPr="00EE2502">
        <w:rPr>
          <w:snapToGrid w:val="0"/>
          <w:szCs w:val="18"/>
        </w:rPr>
        <w:t>recepty i ustalenia technologiczne,</w:t>
      </w:r>
    </w:p>
    <w:p w:rsidR="00EE2502" w:rsidRPr="00EE2502" w:rsidRDefault="00EE2502" w:rsidP="00EE2502">
      <w:pPr>
        <w:numPr>
          <w:ilvl w:val="0"/>
          <w:numId w:val="101"/>
        </w:numPr>
        <w:jc w:val="both"/>
        <w:rPr>
          <w:snapToGrid w:val="0"/>
          <w:szCs w:val="18"/>
        </w:rPr>
      </w:pPr>
      <w:r w:rsidRPr="00EE2502">
        <w:rPr>
          <w:snapToGrid w:val="0"/>
          <w:szCs w:val="18"/>
        </w:rPr>
        <w:t>dzienniki budowy i książki obmiarów (oryginały),</w:t>
      </w:r>
    </w:p>
    <w:p w:rsidR="00EE2502" w:rsidRPr="00EE2502" w:rsidRDefault="00EE2502" w:rsidP="00EE2502">
      <w:pPr>
        <w:numPr>
          <w:ilvl w:val="0"/>
          <w:numId w:val="101"/>
        </w:numPr>
        <w:jc w:val="both"/>
        <w:rPr>
          <w:snapToGrid w:val="0"/>
          <w:szCs w:val="18"/>
        </w:rPr>
      </w:pPr>
      <w:r w:rsidRPr="00EE2502">
        <w:rPr>
          <w:snapToGrid w:val="0"/>
          <w:szCs w:val="18"/>
        </w:rPr>
        <w:t>wyniki pomiarów kontrolnych oraz badań i oznaczeń laboratoryjnych, zgodne z ST,</w:t>
      </w:r>
    </w:p>
    <w:p w:rsidR="00EE2502" w:rsidRPr="00EE2502" w:rsidRDefault="00EE2502" w:rsidP="00EE2502">
      <w:pPr>
        <w:numPr>
          <w:ilvl w:val="0"/>
          <w:numId w:val="101"/>
        </w:numPr>
        <w:jc w:val="both"/>
        <w:rPr>
          <w:snapToGrid w:val="0"/>
          <w:szCs w:val="18"/>
        </w:rPr>
      </w:pPr>
      <w:r w:rsidRPr="00EE2502">
        <w:rPr>
          <w:snapToGrid w:val="0"/>
          <w:szCs w:val="18"/>
        </w:rPr>
        <w:t>deklaracje zgodności lub certyfikaty zgodności wbudowanych materiałów zgodnie z ST ,</w:t>
      </w:r>
    </w:p>
    <w:p w:rsidR="00EE2502" w:rsidRPr="00EE2502" w:rsidRDefault="00EE2502" w:rsidP="00EE2502">
      <w:pPr>
        <w:numPr>
          <w:ilvl w:val="0"/>
          <w:numId w:val="101"/>
        </w:numPr>
        <w:jc w:val="both"/>
        <w:rPr>
          <w:szCs w:val="18"/>
        </w:rPr>
      </w:pPr>
      <w:r w:rsidRPr="00EE2502">
        <w:rPr>
          <w:szCs w:val="18"/>
        </w:rPr>
        <w:t>opinię technologiczną sporządzoną na podstawie wszystkich wyników badań i pomiarów załączonych do dokumentów odbioru, wykonanych zgodnie z ST ,</w:t>
      </w:r>
    </w:p>
    <w:p w:rsidR="00EE2502" w:rsidRPr="00EE2502" w:rsidRDefault="00EE2502" w:rsidP="00EE2502">
      <w:pPr>
        <w:numPr>
          <w:ilvl w:val="0"/>
          <w:numId w:val="101"/>
        </w:numPr>
        <w:jc w:val="both"/>
        <w:rPr>
          <w:snapToGrid w:val="0"/>
          <w:szCs w:val="18"/>
        </w:rPr>
      </w:pPr>
      <w:r w:rsidRPr="00EE2502">
        <w:rPr>
          <w:snapToGrid w:val="0"/>
          <w:szCs w:val="18"/>
        </w:rPr>
        <w:t>rysunki (dokumentacje) na wykonanie robót towarzyszących (np. na przełożenie linii telefonicznej, energetycznej, gazowej, oświetlenia itp.) oraz protokoły odbioru i przekazania tych robót właścicielom urządzeń,</w:t>
      </w:r>
    </w:p>
    <w:p w:rsidR="00EE2502" w:rsidRPr="00EE2502" w:rsidRDefault="00EE2502" w:rsidP="00EE2502">
      <w:pPr>
        <w:numPr>
          <w:ilvl w:val="0"/>
          <w:numId w:val="101"/>
        </w:numPr>
        <w:jc w:val="both"/>
        <w:rPr>
          <w:szCs w:val="18"/>
        </w:rPr>
      </w:pPr>
      <w:r w:rsidRPr="00EE2502">
        <w:rPr>
          <w:szCs w:val="18"/>
        </w:rPr>
        <w:t>geodezyjną inwentaryzację powykonawczą robót i sieci uzbrojenia terenu,</w:t>
      </w:r>
    </w:p>
    <w:p w:rsidR="00EE2502" w:rsidRPr="00EE2502" w:rsidRDefault="00EE2502" w:rsidP="00EE2502">
      <w:pPr>
        <w:numPr>
          <w:ilvl w:val="0"/>
          <w:numId w:val="101"/>
        </w:numPr>
        <w:jc w:val="both"/>
        <w:rPr>
          <w:noProof/>
          <w:szCs w:val="18"/>
        </w:rPr>
      </w:pPr>
      <w:r w:rsidRPr="00EE2502">
        <w:rPr>
          <w:szCs w:val="18"/>
        </w:rPr>
        <w:t>kopię mapy zasadniczej  powstałej  w wyniku geodezyjnej  inwentaryzacji powykonawczej</w:t>
      </w:r>
      <w:r w:rsidRPr="00EE2502">
        <w:rPr>
          <w:noProof/>
          <w:szCs w:val="18"/>
        </w:rPr>
        <w:t>,</w:t>
      </w:r>
    </w:p>
    <w:p w:rsidR="00EE2502" w:rsidRPr="00EE2502" w:rsidRDefault="00EE2502" w:rsidP="00EE2502">
      <w:pPr>
        <w:numPr>
          <w:ilvl w:val="0"/>
          <w:numId w:val="101"/>
        </w:numPr>
        <w:jc w:val="both"/>
        <w:rPr>
          <w:noProof/>
          <w:szCs w:val="18"/>
        </w:rPr>
      </w:pPr>
      <w:r w:rsidRPr="00EE2502">
        <w:rPr>
          <w:noProof/>
          <w:szCs w:val="18"/>
        </w:rPr>
        <w:t>Oświadczenie kierownika budowy o zakonczeniu robót zgodnie z wymogiem art. 57 ustawy Prawo Budowlane.</w:t>
      </w:r>
    </w:p>
    <w:p w:rsidR="00EE2502" w:rsidRPr="00EE2502" w:rsidRDefault="00EE2502" w:rsidP="00EE2502">
      <w:pPr>
        <w:jc w:val="both"/>
        <w:rPr>
          <w:noProof/>
          <w:szCs w:val="18"/>
        </w:rPr>
      </w:pPr>
      <w:r w:rsidRPr="00EE2502">
        <w:rPr>
          <w:noProof/>
          <w:szCs w:val="18"/>
        </w:rPr>
        <w:t>Dokumentację powykonawczą wykonać w 3 egzemplarzach + wersja elektroniczna na płycie CD</w:t>
      </w:r>
    </w:p>
    <w:p w:rsidR="00EE2502" w:rsidRPr="00EE2502" w:rsidRDefault="00EE2502" w:rsidP="00EE2502">
      <w:pPr>
        <w:jc w:val="both"/>
        <w:rPr>
          <w:snapToGrid w:val="0"/>
        </w:rPr>
      </w:pPr>
      <w:r w:rsidRPr="00EE2502">
        <w:rPr>
          <w:snapToGrid w:val="0"/>
        </w:rPr>
        <w:t>W przypadku, gdy wg komisji, roboty pod względem przygotowania dokumentacyjnego nie będą gotowe do odbioru końcowego, komisja w porozumieniu z Wykonawcą wyznaczy ponowny termin odbioru końcowego robót.</w:t>
      </w:r>
    </w:p>
    <w:p w:rsidR="00EE2502" w:rsidRPr="00EE2502" w:rsidRDefault="00EE2502" w:rsidP="00EE2502">
      <w:pPr>
        <w:jc w:val="both"/>
        <w:rPr>
          <w:szCs w:val="18"/>
        </w:rPr>
      </w:pPr>
      <w:r w:rsidRPr="00EE2502">
        <w:rPr>
          <w:szCs w:val="18"/>
        </w:rPr>
        <w:t>Wszystkie zarządzone przez komisję roboty poprawkowe lub uzupełniające będą zestawione wg wzoru ustalonego przez Zamawiającego.</w:t>
      </w:r>
    </w:p>
    <w:p w:rsidR="00EE2502" w:rsidRPr="00EE2502" w:rsidRDefault="00EE2502" w:rsidP="00EE2502">
      <w:pPr>
        <w:jc w:val="both"/>
        <w:rPr>
          <w:szCs w:val="18"/>
        </w:rPr>
      </w:pPr>
      <w:r w:rsidRPr="00EE2502">
        <w:rPr>
          <w:szCs w:val="18"/>
        </w:rPr>
        <w:t>Termin wykonania robót poprawkowych i robót uzupełniających wyznaczy komisja.</w:t>
      </w:r>
    </w:p>
    <w:p w:rsidR="00EE2502" w:rsidRPr="00EE2502" w:rsidRDefault="00EE2502" w:rsidP="00EE2502">
      <w:pPr>
        <w:spacing w:before="240" w:after="120"/>
        <w:jc w:val="both"/>
        <w:rPr>
          <w:b/>
          <w:bCs/>
          <w:sz w:val="22"/>
          <w:szCs w:val="22"/>
          <w:u w:val="single"/>
        </w:rPr>
      </w:pPr>
      <w:r w:rsidRPr="00EE2502">
        <w:rPr>
          <w:b/>
          <w:bCs/>
          <w:sz w:val="22"/>
          <w:szCs w:val="22"/>
          <w:u w:val="single"/>
        </w:rPr>
        <w:t>9. PODSTAWA PŁATNOŚCI</w:t>
      </w:r>
    </w:p>
    <w:p w:rsidR="00EE2502" w:rsidRPr="00EE2502" w:rsidRDefault="00EE2502" w:rsidP="00EE2502">
      <w:pPr>
        <w:numPr>
          <w:ilvl w:val="1"/>
          <w:numId w:val="90"/>
        </w:numPr>
        <w:spacing w:before="120"/>
        <w:ind w:left="540" w:hanging="540"/>
        <w:jc w:val="both"/>
        <w:rPr>
          <w:b/>
          <w:bCs/>
          <w:szCs w:val="18"/>
        </w:rPr>
      </w:pPr>
      <w:r w:rsidRPr="00EE2502">
        <w:rPr>
          <w:b/>
          <w:bCs/>
          <w:szCs w:val="18"/>
        </w:rPr>
        <w:t>Ustalenia ogólne</w:t>
      </w:r>
    </w:p>
    <w:p w:rsidR="00EE2502" w:rsidRPr="00EE2502" w:rsidRDefault="00EE2502" w:rsidP="00EE2502">
      <w:pPr>
        <w:jc w:val="both"/>
        <w:rPr>
          <w:szCs w:val="18"/>
        </w:rPr>
      </w:pPr>
      <w:r w:rsidRPr="00EE2502">
        <w:rPr>
          <w:szCs w:val="18"/>
        </w:rPr>
        <w:t>Podstawą płatności jest cena jednostkowa skalkulowana przez Wykonawcę za jednostkę obmiarową ustaloną dla danej pozycji kosztorysu.</w:t>
      </w:r>
    </w:p>
    <w:p w:rsidR="00EE2502" w:rsidRPr="00EE2502" w:rsidRDefault="00EE2502" w:rsidP="00EE2502">
      <w:pPr>
        <w:jc w:val="both"/>
        <w:rPr>
          <w:szCs w:val="18"/>
        </w:rPr>
      </w:pPr>
      <w:r w:rsidRPr="00EE2502">
        <w:rPr>
          <w:szCs w:val="18"/>
        </w:rPr>
        <w:t>Dla pozycji kosztorysowych wycenionych ryczałtowo podstawą płatności jest wartość (kwota) podana przez Wykonawcę w danej pozycji kosztorysu.</w:t>
      </w:r>
    </w:p>
    <w:p w:rsidR="00EE2502" w:rsidRPr="00EE2502" w:rsidRDefault="00EE2502" w:rsidP="00EE2502">
      <w:pPr>
        <w:jc w:val="both"/>
        <w:rPr>
          <w:szCs w:val="18"/>
        </w:rPr>
      </w:pPr>
      <w:r w:rsidRPr="00EE2502">
        <w:rPr>
          <w:szCs w:val="18"/>
        </w:rPr>
        <w:t>Cena jednostkowa lub kwota ryczałtowa pozycji kosztorysowej będzie uwzględniać wszystkie czynności, wymagania i badania składające się na jej wykonanie, określone dla tej roboty w ST i w dokumentacji projektowej. Ceny jednostkowe lub kwoty ryczałtowe robót będą obejmować:</w:t>
      </w:r>
    </w:p>
    <w:p w:rsidR="00EE2502" w:rsidRPr="00EE2502" w:rsidRDefault="00EE2502" w:rsidP="00EE2502">
      <w:pPr>
        <w:jc w:val="both"/>
        <w:rPr>
          <w:szCs w:val="18"/>
        </w:rPr>
      </w:pPr>
      <w:r w:rsidRPr="00EE2502">
        <w:rPr>
          <w:noProof/>
          <w:szCs w:val="18"/>
        </w:rPr>
        <w:t>-</w:t>
      </w:r>
      <w:r w:rsidRPr="00EE2502">
        <w:rPr>
          <w:szCs w:val="18"/>
        </w:rPr>
        <w:t xml:space="preserve"> robociznę bezpośrednią wraz z towarzyszącymi kosztami,</w:t>
      </w:r>
    </w:p>
    <w:p w:rsidR="00EE2502" w:rsidRPr="00EE2502" w:rsidRDefault="00EE2502" w:rsidP="00EE2502">
      <w:pPr>
        <w:jc w:val="both"/>
        <w:rPr>
          <w:szCs w:val="18"/>
        </w:rPr>
      </w:pPr>
      <w:r w:rsidRPr="00EE2502">
        <w:rPr>
          <w:noProof/>
          <w:szCs w:val="18"/>
        </w:rPr>
        <w:t>-</w:t>
      </w:r>
      <w:r w:rsidRPr="00EE2502">
        <w:rPr>
          <w:szCs w:val="18"/>
        </w:rPr>
        <w:t xml:space="preserve"> wartość zużytych materiałów wraz z kosztami zakupu, magazynowania, ewentualnych ubytków i transportu na teren budowy,</w:t>
      </w:r>
    </w:p>
    <w:p w:rsidR="00EE2502" w:rsidRPr="00EE2502" w:rsidRDefault="00EE2502" w:rsidP="00EE2502">
      <w:pPr>
        <w:jc w:val="both"/>
        <w:rPr>
          <w:szCs w:val="18"/>
        </w:rPr>
      </w:pPr>
      <w:r w:rsidRPr="00EE2502">
        <w:rPr>
          <w:noProof/>
          <w:szCs w:val="18"/>
        </w:rPr>
        <w:t>-</w:t>
      </w:r>
      <w:r w:rsidRPr="00EE2502">
        <w:rPr>
          <w:szCs w:val="18"/>
        </w:rPr>
        <w:t xml:space="preserve"> wartość pracy sprzętu wraz z towarzyszącymi kosztami,</w:t>
      </w:r>
    </w:p>
    <w:p w:rsidR="00EE2502" w:rsidRPr="00EE2502" w:rsidRDefault="00EE2502" w:rsidP="00EE2502">
      <w:pPr>
        <w:jc w:val="both"/>
        <w:rPr>
          <w:szCs w:val="18"/>
        </w:rPr>
      </w:pPr>
      <w:r w:rsidRPr="00EE2502">
        <w:rPr>
          <w:noProof/>
          <w:szCs w:val="18"/>
        </w:rPr>
        <w:t>-</w:t>
      </w:r>
      <w:r w:rsidRPr="00EE2502">
        <w:rPr>
          <w:szCs w:val="18"/>
        </w:rPr>
        <w:t xml:space="preserve"> koszty pośrednie, zysk kalkulacyjny i ryzyko,</w:t>
      </w:r>
    </w:p>
    <w:p w:rsidR="00EE2502" w:rsidRPr="00EE2502" w:rsidRDefault="00EE2502" w:rsidP="00EE2502">
      <w:pPr>
        <w:jc w:val="both"/>
        <w:rPr>
          <w:szCs w:val="18"/>
        </w:rPr>
      </w:pPr>
      <w:r w:rsidRPr="00EE2502">
        <w:rPr>
          <w:szCs w:val="18"/>
        </w:rPr>
        <w:t>- prace związane z zabezpieczeniem sieci na czas wykonywania robót, prace wynikające z uzgodnień z właścieielami sieci</w:t>
      </w:r>
    </w:p>
    <w:p w:rsidR="00EE2502" w:rsidRPr="00EE2502" w:rsidRDefault="00EE2502" w:rsidP="00EE2502">
      <w:pPr>
        <w:jc w:val="both"/>
        <w:rPr>
          <w:b/>
          <w:szCs w:val="18"/>
        </w:rPr>
      </w:pPr>
      <w:r w:rsidRPr="00EE2502">
        <w:rPr>
          <w:b/>
          <w:szCs w:val="18"/>
        </w:rPr>
        <w:t>- prace związane z wykonywaniem robót w korycie rzeki np. wygrodzenia, przekładanie cieku, wykonywanie gródz z worków z piaskiem, zabijanie stalowych scianek szczelnych, przepuszczeniem wody w przepustach</w:t>
      </w:r>
      <w:r w:rsidR="00471CC1">
        <w:rPr>
          <w:b/>
          <w:szCs w:val="18"/>
        </w:rPr>
        <w:t xml:space="preserve"> lub innych konstrukcjach tymczasowych</w:t>
      </w:r>
      <w:r w:rsidRPr="00EE2502">
        <w:rPr>
          <w:b/>
          <w:szCs w:val="18"/>
        </w:rPr>
        <w:t>, pomopwanie wody, w razie konieczności uzyskanie decyzji, uzgodnień wymaganych dla prowadzonch robót,  wykonywanie rusztowań roboczych oraz wszystkie inne roboty</w:t>
      </w:r>
    </w:p>
    <w:p w:rsidR="00EE2502" w:rsidRPr="00EE2502" w:rsidRDefault="00EE2502" w:rsidP="00EE2502">
      <w:pPr>
        <w:jc w:val="both"/>
        <w:rPr>
          <w:b/>
          <w:szCs w:val="18"/>
        </w:rPr>
      </w:pPr>
      <w:r w:rsidRPr="00EE2502">
        <w:rPr>
          <w:b/>
          <w:szCs w:val="18"/>
        </w:rPr>
        <w:t xml:space="preserve">- prace związane </w:t>
      </w:r>
      <w:r w:rsidR="00471CC1">
        <w:rPr>
          <w:b/>
          <w:szCs w:val="18"/>
        </w:rPr>
        <w:t>z zabezpieczeniem miejsca prowadzenia robót</w:t>
      </w:r>
    </w:p>
    <w:p w:rsidR="00EE2502" w:rsidRPr="00EE2502" w:rsidRDefault="00EE2502" w:rsidP="00EE2502">
      <w:pPr>
        <w:jc w:val="both"/>
        <w:rPr>
          <w:szCs w:val="18"/>
        </w:rPr>
      </w:pPr>
      <w:r w:rsidRPr="00EE2502">
        <w:rPr>
          <w:noProof/>
          <w:szCs w:val="18"/>
        </w:rPr>
        <w:t>-</w:t>
      </w:r>
      <w:r w:rsidRPr="00EE2502">
        <w:rPr>
          <w:szCs w:val="18"/>
        </w:rPr>
        <w:t xml:space="preserve"> podatki obliczone zgodnie z obowiązującymi przepisami. Do cen jednostkowych nie należy wliczać podatku VAT.</w:t>
      </w:r>
    </w:p>
    <w:p w:rsidR="00EE2502" w:rsidRPr="00EE2502" w:rsidRDefault="00EE2502" w:rsidP="00EE2502">
      <w:pPr>
        <w:numPr>
          <w:ilvl w:val="1"/>
          <w:numId w:val="90"/>
        </w:numPr>
        <w:spacing w:before="120"/>
        <w:ind w:left="540" w:hanging="540"/>
        <w:jc w:val="both"/>
        <w:rPr>
          <w:b/>
          <w:bCs/>
          <w:szCs w:val="18"/>
        </w:rPr>
      </w:pPr>
      <w:r w:rsidRPr="00EE2502">
        <w:rPr>
          <w:b/>
          <w:bCs/>
          <w:szCs w:val="18"/>
        </w:rPr>
        <w:t>Warunki umowy i wymagania ogólne D-M-00.00.00</w:t>
      </w:r>
    </w:p>
    <w:p w:rsidR="00EE2502" w:rsidRPr="00EE2502" w:rsidRDefault="00EE2502" w:rsidP="00EE2502">
      <w:pPr>
        <w:jc w:val="both"/>
        <w:rPr>
          <w:szCs w:val="18"/>
        </w:rPr>
      </w:pPr>
      <w:r w:rsidRPr="00EE2502">
        <w:rPr>
          <w:szCs w:val="18"/>
        </w:rPr>
        <w:t>Koszt dostosowania się do wymagań warunków umowy i wymagań ogólnych zawartych w D-M-00.00.00 obejmuje wszystkie warunki określone w ww. dokumentach, a nie wyszczególnione w kosztorysie.</w:t>
      </w:r>
    </w:p>
    <w:p w:rsidR="00EE2502" w:rsidRPr="00EE2502" w:rsidRDefault="00EE2502" w:rsidP="00EE2502">
      <w:pPr>
        <w:numPr>
          <w:ilvl w:val="1"/>
          <w:numId w:val="90"/>
        </w:numPr>
        <w:spacing w:before="120"/>
        <w:ind w:left="540" w:hanging="540"/>
        <w:jc w:val="both"/>
        <w:rPr>
          <w:b/>
          <w:bCs/>
          <w:szCs w:val="18"/>
        </w:rPr>
      </w:pPr>
      <w:r w:rsidRPr="00EE2502">
        <w:rPr>
          <w:b/>
          <w:bCs/>
          <w:szCs w:val="18"/>
        </w:rPr>
        <w:t>Objazdy, przejazdy i organizacja ruchu</w:t>
      </w:r>
    </w:p>
    <w:p w:rsidR="00EE2502" w:rsidRPr="00EE2502" w:rsidRDefault="00EE2502" w:rsidP="00EE2502">
      <w:pPr>
        <w:jc w:val="both"/>
        <w:rPr>
          <w:szCs w:val="18"/>
        </w:rPr>
      </w:pPr>
      <w:r w:rsidRPr="00EE2502">
        <w:rPr>
          <w:szCs w:val="18"/>
        </w:rPr>
        <w:t>Koszt wybudowania objazdów/przejazdów i organizacji ruchu obejmuje:</w:t>
      </w:r>
    </w:p>
    <w:p w:rsidR="00EE2502" w:rsidRPr="00EE2502" w:rsidRDefault="00EE2502" w:rsidP="00EE2502">
      <w:pPr>
        <w:numPr>
          <w:ilvl w:val="0"/>
          <w:numId w:val="97"/>
        </w:numPr>
        <w:tabs>
          <w:tab w:val="left" w:pos="1008"/>
        </w:tabs>
        <w:jc w:val="both"/>
        <w:rPr>
          <w:snapToGrid w:val="0"/>
        </w:rPr>
      </w:pPr>
      <w:r w:rsidRPr="00EE2502">
        <w:rPr>
          <w:snapToGrid w:val="0"/>
        </w:rPr>
        <w:t xml:space="preserve">Wykonawca </w:t>
      </w:r>
      <w:r w:rsidR="00471CC1">
        <w:rPr>
          <w:snapToGrid w:val="0"/>
        </w:rPr>
        <w:t>w razie konieczności wykona projekt tymczasowej organizacji ruchu wraz z zatwierdzeniem.</w:t>
      </w:r>
      <w:r w:rsidRPr="00EE2502">
        <w:rPr>
          <w:snapToGrid w:val="0"/>
        </w:rPr>
        <w:t xml:space="preserve"> Wykonawca zaaktualizuje projekt organizacji ruchu o wprowadzone zmiany uzyska stosowne opinie i dokona zatwierdzenia projektu czasowej organizacji ruchu </w:t>
      </w:r>
    </w:p>
    <w:p w:rsidR="00EE2502" w:rsidRPr="00EE2502" w:rsidRDefault="00EE2502" w:rsidP="00EE2502">
      <w:pPr>
        <w:numPr>
          <w:ilvl w:val="0"/>
          <w:numId w:val="97"/>
        </w:numPr>
        <w:tabs>
          <w:tab w:val="left" w:pos="1008"/>
        </w:tabs>
        <w:jc w:val="both"/>
        <w:rPr>
          <w:snapToGrid w:val="0"/>
        </w:rPr>
      </w:pPr>
      <w:r w:rsidRPr="00EE2502">
        <w:rPr>
          <w:snapToGrid w:val="0"/>
        </w:rPr>
        <w:t xml:space="preserve">Ewentualne zmiany wraz ze wszystkimi niezbędnymi uzgodnieniami w zależności od potrzeb i postępu robót projektu organizacji ruchu, </w:t>
      </w:r>
    </w:p>
    <w:p w:rsidR="00EE2502" w:rsidRPr="00EE2502" w:rsidRDefault="00EE2502" w:rsidP="00EE2502">
      <w:pPr>
        <w:numPr>
          <w:ilvl w:val="0"/>
          <w:numId w:val="97"/>
        </w:numPr>
        <w:jc w:val="both"/>
        <w:rPr>
          <w:szCs w:val="18"/>
        </w:rPr>
      </w:pPr>
      <w:r w:rsidRPr="00EE2502">
        <w:rPr>
          <w:szCs w:val="18"/>
        </w:rPr>
        <w:t xml:space="preserve">ustawienie tymczasowego oznakowania i oświetlenia zgodnie z wymaganiami bezpieczeństwa ruchu, </w:t>
      </w:r>
    </w:p>
    <w:p w:rsidR="00EE2502" w:rsidRPr="00EE2502" w:rsidRDefault="00EE2502" w:rsidP="00EE2502">
      <w:pPr>
        <w:numPr>
          <w:ilvl w:val="0"/>
          <w:numId w:val="97"/>
        </w:numPr>
        <w:jc w:val="both"/>
        <w:rPr>
          <w:szCs w:val="18"/>
        </w:rPr>
      </w:pPr>
      <w:r w:rsidRPr="00EE2502">
        <w:rPr>
          <w:szCs w:val="18"/>
        </w:rPr>
        <w:t xml:space="preserve">opłaty/dzierżawy terenu, </w:t>
      </w:r>
    </w:p>
    <w:p w:rsidR="00EE2502" w:rsidRPr="00EE2502" w:rsidRDefault="00EE2502" w:rsidP="00EE2502">
      <w:pPr>
        <w:numPr>
          <w:ilvl w:val="0"/>
          <w:numId w:val="97"/>
        </w:numPr>
        <w:jc w:val="both"/>
        <w:rPr>
          <w:szCs w:val="18"/>
        </w:rPr>
      </w:pPr>
      <w:r w:rsidRPr="00EE2502">
        <w:rPr>
          <w:szCs w:val="18"/>
        </w:rPr>
        <w:t>przygotowanie terenu,</w:t>
      </w:r>
    </w:p>
    <w:p w:rsidR="00EE2502" w:rsidRPr="00EE2502" w:rsidRDefault="00EE2502" w:rsidP="00EE2502">
      <w:pPr>
        <w:numPr>
          <w:ilvl w:val="0"/>
          <w:numId w:val="97"/>
        </w:numPr>
        <w:jc w:val="both"/>
        <w:rPr>
          <w:szCs w:val="18"/>
        </w:rPr>
      </w:pPr>
      <w:r w:rsidRPr="00EE2502">
        <w:rPr>
          <w:szCs w:val="18"/>
        </w:rPr>
        <w:t>konstrukcję tymczasowego mostu, nawierzchni, ramp, chodników, krawężników, barier, oznakowań i drenażu,</w:t>
      </w:r>
    </w:p>
    <w:p w:rsidR="00EE2502" w:rsidRPr="00EE2502" w:rsidRDefault="00EE2502" w:rsidP="00EE2502">
      <w:pPr>
        <w:numPr>
          <w:ilvl w:val="0"/>
          <w:numId w:val="97"/>
        </w:numPr>
        <w:jc w:val="both"/>
        <w:rPr>
          <w:szCs w:val="18"/>
        </w:rPr>
      </w:pPr>
      <w:r w:rsidRPr="00EE2502">
        <w:rPr>
          <w:szCs w:val="18"/>
        </w:rPr>
        <w:t xml:space="preserve">tymczasową przebudowę urządzeń obcych. </w:t>
      </w:r>
    </w:p>
    <w:p w:rsidR="00EE2502" w:rsidRPr="00EE2502" w:rsidRDefault="00EE2502" w:rsidP="00EE2502">
      <w:pPr>
        <w:tabs>
          <w:tab w:val="left" w:pos="576"/>
          <w:tab w:val="left" w:pos="1008"/>
        </w:tabs>
        <w:jc w:val="both"/>
        <w:rPr>
          <w:snapToGrid w:val="0"/>
        </w:rPr>
      </w:pPr>
      <w:r w:rsidRPr="00EE2502">
        <w:rPr>
          <w:snapToGrid w:val="0"/>
        </w:rPr>
        <w:t>Koszt utrzymania objazdów/przejazdów i organizacji ruchu obejmuje:</w:t>
      </w:r>
    </w:p>
    <w:p w:rsidR="00EE2502" w:rsidRPr="00EE2502" w:rsidRDefault="00EE2502" w:rsidP="00EE2502">
      <w:pPr>
        <w:numPr>
          <w:ilvl w:val="0"/>
          <w:numId w:val="98"/>
        </w:numPr>
        <w:jc w:val="both"/>
        <w:rPr>
          <w:szCs w:val="18"/>
        </w:rPr>
      </w:pPr>
      <w:r w:rsidRPr="00EE2502">
        <w:rPr>
          <w:szCs w:val="18"/>
        </w:rPr>
        <w:t>oczyszczanie, przestawienie, przykrycie i usunięcie tymczasowych oznakowań pionowych, poziomych, barier i świateł,</w:t>
      </w:r>
    </w:p>
    <w:p w:rsidR="00EE2502" w:rsidRPr="00EE2502" w:rsidRDefault="00EE2502" w:rsidP="00EE2502">
      <w:pPr>
        <w:numPr>
          <w:ilvl w:val="0"/>
          <w:numId w:val="98"/>
        </w:numPr>
        <w:jc w:val="both"/>
        <w:rPr>
          <w:szCs w:val="18"/>
        </w:rPr>
      </w:pPr>
      <w:r w:rsidRPr="00EE2502">
        <w:rPr>
          <w:szCs w:val="18"/>
        </w:rPr>
        <w:t xml:space="preserve">utrzymanie dróg, poboczy i ustawionego oznakowania przez cały czas trwania robót. </w:t>
      </w:r>
    </w:p>
    <w:p w:rsidR="00EE2502" w:rsidRPr="00EE2502" w:rsidRDefault="00EE2502" w:rsidP="00EE2502">
      <w:pPr>
        <w:numPr>
          <w:ilvl w:val="0"/>
          <w:numId w:val="98"/>
        </w:numPr>
        <w:jc w:val="both"/>
        <w:rPr>
          <w:szCs w:val="18"/>
        </w:rPr>
      </w:pPr>
      <w:r w:rsidRPr="00EE2502">
        <w:rPr>
          <w:szCs w:val="18"/>
        </w:rPr>
        <w:t>utrzymanie płynności ruchu publicznego.</w:t>
      </w:r>
    </w:p>
    <w:p w:rsidR="00EE2502" w:rsidRPr="00EE2502" w:rsidRDefault="00EE2502" w:rsidP="00EE2502">
      <w:pPr>
        <w:jc w:val="both"/>
        <w:rPr>
          <w:szCs w:val="18"/>
        </w:rPr>
      </w:pPr>
      <w:r w:rsidRPr="00EE2502">
        <w:rPr>
          <w:szCs w:val="18"/>
        </w:rPr>
        <w:t xml:space="preserve">Koszt likwidacji objazdów/przejazdów i organizacji ruchu obejmuje: </w:t>
      </w:r>
    </w:p>
    <w:p w:rsidR="00EE2502" w:rsidRPr="00EE2502" w:rsidRDefault="00EE2502" w:rsidP="00EE2502">
      <w:pPr>
        <w:numPr>
          <w:ilvl w:val="0"/>
          <w:numId w:val="99"/>
        </w:numPr>
        <w:jc w:val="both"/>
        <w:rPr>
          <w:szCs w:val="18"/>
        </w:rPr>
      </w:pPr>
      <w:r w:rsidRPr="00EE2502">
        <w:rPr>
          <w:szCs w:val="18"/>
        </w:rPr>
        <w:t>usunięcie wbudowanych materiałów i oznakowania,</w:t>
      </w:r>
    </w:p>
    <w:p w:rsidR="00EE2502" w:rsidRPr="00EE2502" w:rsidRDefault="00EE2502" w:rsidP="00EE2502">
      <w:pPr>
        <w:numPr>
          <w:ilvl w:val="0"/>
          <w:numId w:val="99"/>
        </w:numPr>
        <w:jc w:val="both"/>
        <w:rPr>
          <w:szCs w:val="18"/>
        </w:rPr>
      </w:pPr>
      <w:r w:rsidRPr="00EE2502">
        <w:rPr>
          <w:szCs w:val="18"/>
        </w:rPr>
        <w:t xml:space="preserve">doprowadzenie dróg objazdowych i poboczy do stanu pierwotnego, </w:t>
      </w:r>
    </w:p>
    <w:p w:rsidR="00EE2502" w:rsidRPr="00EE2502" w:rsidRDefault="00EE2502" w:rsidP="00EE2502">
      <w:pPr>
        <w:numPr>
          <w:ilvl w:val="0"/>
          <w:numId w:val="99"/>
        </w:numPr>
        <w:jc w:val="both"/>
        <w:rPr>
          <w:szCs w:val="18"/>
        </w:rPr>
      </w:pPr>
      <w:r w:rsidRPr="00EE2502">
        <w:rPr>
          <w:szCs w:val="18"/>
        </w:rPr>
        <w:t>doprowadzenie terenu do stanu pierwotnego.</w:t>
      </w:r>
    </w:p>
    <w:p w:rsidR="00EE2502" w:rsidRPr="00EE2502" w:rsidRDefault="00EE2502" w:rsidP="00EE2502">
      <w:pPr>
        <w:spacing w:before="240" w:after="120"/>
        <w:jc w:val="both"/>
        <w:rPr>
          <w:b/>
          <w:bCs/>
          <w:sz w:val="22"/>
          <w:szCs w:val="22"/>
          <w:u w:val="single"/>
        </w:rPr>
      </w:pPr>
      <w:r w:rsidRPr="00EE2502">
        <w:rPr>
          <w:b/>
          <w:bCs/>
          <w:sz w:val="22"/>
          <w:szCs w:val="22"/>
          <w:u w:val="single"/>
        </w:rPr>
        <w:t>10. PRZEPISY ZWIĄZANE</w:t>
      </w:r>
    </w:p>
    <w:p w:rsidR="00EE2502" w:rsidRPr="00EE2502" w:rsidRDefault="00EE2502" w:rsidP="00EE2502">
      <w:pPr>
        <w:numPr>
          <w:ilvl w:val="0"/>
          <w:numId w:val="100"/>
        </w:numPr>
        <w:tabs>
          <w:tab w:val="left" w:pos="-1725"/>
          <w:tab w:val="left" w:pos="-1005"/>
          <w:tab w:val="left" w:pos="-285"/>
          <w:tab w:val="left" w:pos="1011"/>
          <w:tab w:val="left" w:pos="1299"/>
          <w:tab w:val="left" w:pos="1875"/>
          <w:tab w:val="left" w:pos="2595"/>
          <w:tab w:val="left" w:pos="3315"/>
          <w:tab w:val="left" w:pos="4035"/>
          <w:tab w:val="left" w:pos="4755"/>
          <w:tab w:val="left" w:pos="5475"/>
          <w:tab w:val="left" w:pos="6195"/>
          <w:tab w:val="left" w:pos="6915"/>
          <w:tab w:val="left" w:pos="7635"/>
          <w:tab w:val="left" w:pos="8355"/>
          <w:tab w:val="left" w:pos="9075"/>
          <w:tab w:val="left" w:pos="9795"/>
          <w:tab w:val="left" w:pos="10515"/>
          <w:tab w:val="left" w:pos="11235"/>
          <w:tab w:val="left" w:pos="11955"/>
          <w:tab w:val="left" w:pos="12675"/>
          <w:tab w:val="left" w:pos="13395"/>
          <w:tab w:val="left" w:pos="14115"/>
          <w:tab w:val="left" w:pos="14835"/>
          <w:tab w:val="left" w:pos="15555"/>
          <w:tab w:val="left" w:pos="16275"/>
          <w:tab w:val="left" w:pos="16995"/>
          <w:tab w:val="left" w:pos="17715"/>
          <w:tab w:val="left" w:pos="18435"/>
        </w:tabs>
        <w:jc w:val="both"/>
        <w:rPr>
          <w:spacing w:val="-3"/>
        </w:rPr>
      </w:pPr>
      <w:r w:rsidRPr="00EE2502">
        <w:rPr>
          <w:spacing w:val="-3"/>
        </w:rPr>
        <w:t>Ustawa z dnia 7 lipca 1994 - Prawo budowlane (Dz. U Nr 207 z 2003 r., poz. 2016) z późniejszymi zmianami.</w:t>
      </w:r>
    </w:p>
    <w:p w:rsidR="00EE2502" w:rsidRPr="00EE2502" w:rsidRDefault="00EE2502" w:rsidP="00EE2502">
      <w:pPr>
        <w:numPr>
          <w:ilvl w:val="0"/>
          <w:numId w:val="100"/>
        </w:numPr>
        <w:tabs>
          <w:tab w:val="left" w:pos="-1725"/>
          <w:tab w:val="left" w:pos="-1005"/>
          <w:tab w:val="left" w:pos="-285"/>
          <w:tab w:val="left" w:pos="1011"/>
          <w:tab w:val="left" w:pos="1299"/>
          <w:tab w:val="left" w:pos="1875"/>
          <w:tab w:val="left" w:pos="2595"/>
          <w:tab w:val="left" w:pos="3315"/>
          <w:tab w:val="left" w:pos="4035"/>
          <w:tab w:val="left" w:pos="4755"/>
          <w:tab w:val="left" w:pos="5475"/>
          <w:tab w:val="left" w:pos="6195"/>
          <w:tab w:val="left" w:pos="6915"/>
          <w:tab w:val="left" w:pos="7635"/>
          <w:tab w:val="left" w:pos="8355"/>
          <w:tab w:val="left" w:pos="9075"/>
          <w:tab w:val="left" w:pos="9795"/>
          <w:tab w:val="left" w:pos="10515"/>
          <w:tab w:val="left" w:pos="11235"/>
          <w:tab w:val="left" w:pos="11955"/>
          <w:tab w:val="left" w:pos="12675"/>
          <w:tab w:val="left" w:pos="13395"/>
          <w:tab w:val="left" w:pos="14115"/>
          <w:tab w:val="left" w:pos="14835"/>
          <w:tab w:val="left" w:pos="15555"/>
          <w:tab w:val="left" w:pos="16275"/>
          <w:tab w:val="left" w:pos="16995"/>
          <w:tab w:val="left" w:pos="17715"/>
          <w:tab w:val="left" w:pos="18435"/>
        </w:tabs>
        <w:jc w:val="both"/>
        <w:rPr>
          <w:spacing w:val="-3"/>
        </w:rPr>
      </w:pPr>
      <w:r w:rsidRPr="00EE2502">
        <w:rPr>
          <w:spacing w:val="-3"/>
        </w:rPr>
        <w:t>Ustawa z dnia 21 marca 1985 r. O drogach publicznych (Dz. U. Nr 204 z 2004 r., poz. 2086 z późniejszymi zmianami).</w:t>
      </w:r>
    </w:p>
    <w:p w:rsidR="00EE2502" w:rsidRPr="00EE2502" w:rsidRDefault="00EE2502" w:rsidP="00EE2502">
      <w:pPr>
        <w:numPr>
          <w:ilvl w:val="0"/>
          <w:numId w:val="100"/>
        </w:numPr>
        <w:tabs>
          <w:tab w:val="left" w:pos="-1725"/>
          <w:tab w:val="left" w:pos="-1005"/>
          <w:tab w:val="left" w:pos="-285"/>
          <w:tab w:val="left" w:pos="1011"/>
          <w:tab w:val="left" w:pos="1299"/>
          <w:tab w:val="left" w:pos="1875"/>
          <w:tab w:val="left" w:pos="2595"/>
          <w:tab w:val="left" w:pos="3315"/>
          <w:tab w:val="left" w:pos="4035"/>
          <w:tab w:val="left" w:pos="4755"/>
          <w:tab w:val="left" w:pos="5475"/>
          <w:tab w:val="left" w:pos="6195"/>
          <w:tab w:val="left" w:pos="6915"/>
          <w:tab w:val="left" w:pos="7635"/>
          <w:tab w:val="left" w:pos="8355"/>
          <w:tab w:val="left" w:pos="9075"/>
          <w:tab w:val="left" w:pos="9795"/>
          <w:tab w:val="left" w:pos="10515"/>
          <w:tab w:val="left" w:pos="11235"/>
          <w:tab w:val="left" w:pos="11955"/>
          <w:tab w:val="left" w:pos="12675"/>
          <w:tab w:val="left" w:pos="13395"/>
          <w:tab w:val="left" w:pos="14115"/>
          <w:tab w:val="left" w:pos="14835"/>
          <w:tab w:val="left" w:pos="15555"/>
          <w:tab w:val="left" w:pos="16275"/>
          <w:tab w:val="left" w:pos="16995"/>
          <w:tab w:val="left" w:pos="17715"/>
          <w:tab w:val="left" w:pos="18435"/>
        </w:tabs>
        <w:jc w:val="both"/>
        <w:rPr>
          <w:spacing w:val="-3"/>
        </w:rPr>
      </w:pPr>
      <w:r w:rsidRPr="00EE2502">
        <w:rPr>
          <w:spacing w:val="-3"/>
        </w:rPr>
        <w:t>Rozporządzenie Ministra Infrastruktury z dnia 2 września 2004 r. w sprawie szczegółowego zakresu i formy dokumentacji projektowej, specyfikacji technicznych wykonania i odbioru robót budowlanych oraz programu funkcjonalno-użytkowego (Dz. U. nr 202 poz. 2072)</w:t>
      </w:r>
    </w:p>
    <w:p w:rsidR="00EE2502" w:rsidRPr="00EE2502" w:rsidRDefault="00EE2502" w:rsidP="00EE2502">
      <w:pPr>
        <w:numPr>
          <w:ilvl w:val="0"/>
          <w:numId w:val="100"/>
        </w:numPr>
        <w:tabs>
          <w:tab w:val="left" w:pos="-1725"/>
          <w:tab w:val="left" w:pos="-1005"/>
          <w:tab w:val="left" w:pos="-285"/>
          <w:tab w:val="left" w:pos="1011"/>
          <w:tab w:val="left" w:pos="1299"/>
          <w:tab w:val="left" w:pos="1875"/>
          <w:tab w:val="left" w:pos="2595"/>
          <w:tab w:val="left" w:pos="3315"/>
          <w:tab w:val="left" w:pos="4035"/>
          <w:tab w:val="left" w:pos="4755"/>
          <w:tab w:val="left" w:pos="5475"/>
          <w:tab w:val="left" w:pos="6195"/>
          <w:tab w:val="left" w:pos="6915"/>
          <w:tab w:val="left" w:pos="7635"/>
          <w:tab w:val="left" w:pos="8355"/>
          <w:tab w:val="left" w:pos="9075"/>
          <w:tab w:val="left" w:pos="9795"/>
          <w:tab w:val="left" w:pos="10515"/>
          <w:tab w:val="left" w:pos="11235"/>
          <w:tab w:val="left" w:pos="11955"/>
          <w:tab w:val="left" w:pos="12675"/>
          <w:tab w:val="left" w:pos="13395"/>
          <w:tab w:val="left" w:pos="14115"/>
          <w:tab w:val="left" w:pos="14835"/>
          <w:tab w:val="left" w:pos="15555"/>
          <w:tab w:val="left" w:pos="16275"/>
          <w:tab w:val="left" w:pos="16995"/>
          <w:tab w:val="left" w:pos="17715"/>
          <w:tab w:val="left" w:pos="18435"/>
        </w:tabs>
        <w:jc w:val="both"/>
        <w:rPr>
          <w:spacing w:val="-3"/>
        </w:rPr>
      </w:pPr>
      <w:r w:rsidRPr="00EE2502">
        <w:rPr>
          <w:spacing w:val="-3"/>
        </w:rPr>
        <w:t>Rozporządzenie MGPiB z 21.02.1995r (Dz. U Nr 25, poz. 133 z dnia 13 marca 1995r) dot. rodzaju i zakresu opracowań geodezyjno-kartograficznych oraz czynności geodezyjne obowiązujące w budownictwie.</w:t>
      </w:r>
    </w:p>
    <w:p w:rsidR="00EE2502" w:rsidRPr="00EE2502" w:rsidRDefault="00EE2502" w:rsidP="00EE2502">
      <w:pPr>
        <w:numPr>
          <w:ilvl w:val="0"/>
          <w:numId w:val="100"/>
        </w:numPr>
        <w:tabs>
          <w:tab w:val="left" w:pos="-1725"/>
          <w:tab w:val="left" w:pos="-1005"/>
          <w:tab w:val="left" w:pos="-285"/>
          <w:tab w:val="left" w:pos="1011"/>
          <w:tab w:val="left" w:pos="1299"/>
          <w:tab w:val="left" w:pos="1875"/>
          <w:tab w:val="left" w:pos="2595"/>
          <w:tab w:val="left" w:pos="3315"/>
          <w:tab w:val="left" w:pos="4035"/>
          <w:tab w:val="left" w:pos="4755"/>
          <w:tab w:val="left" w:pos="5475"/>
          <w:tab w:val="left" w:pos="6195"/>
          <w:tab w:val="left" w:pos="6915"/>
          <w:tab w:val="left" w:pos="7635"/>
          <w:tab w:val="left" w:pos="8355"/>
          <w:tab w:val="left" w:pos="9075"/>
          <w:tab w:val="left" w:pos="9795"/>
          <w:tab w:val="left" w:pos="10515"/>
          <w:tab w:val="left" w:pos="11235"/>
          <w:tab w:val="left" w:pos="11955"/>
          <w:tab w:val="left" w:pos="12675"/>
          <w:tab w:val="left" w:pos="13395"/>
          <w:tab w:val="left" w:pos="14115"/>
          <w:tab w:val="left" w:pos="14835"/>
          <w:tab w:val="left" w:pos="15555"/>
          <w:tab w:val="left" w:pos="16275"/>
          <w:tab w:val="left" w:pos="16995"/>
          <w:tab w:val="left" w:pos="17715"/>
          <w:tab w:val="left" w:pos="18435"/>
        </w:tabs>
        <w:jc w:val="both"/>
        <w:rPr>
          <w:spacing w:val="-3"/>
        </w:rPr>
      </w:pPr>
      <w:r w:rsidRPr="00EE2502">
        <w:rPr>
          <w:spacing w:val="-3"/>
        </w:rPr>
        <w:t>Rozporządzenie Min. Infrastruktury z 26.06.2002 r. dot. dziennika budowy, montażu i rozbiórki oraz tablicy informacyjnej (Dz. U. Nr 108 poz. 953 z 2002 r.)</w:t>
      </w:r>
    </w:p>
    <w:p w:rsidR="00EE2502" w:rsidRPr="00EE2502" w:rsidRDefault="00EE2502" w:rsidP="00EE2502">
      <w:pPr>
        <w:numPr>
          <w:ilvl w:val="0"/>
          <w:numId w:val="100"/>
        </w:numPr>
        <w:tabs>
          <w:tab w:val="left" w:pos="-1725"/>
          <w:tab w:val="left" w:pos="-1005"/>
          <w:tab w:val="left" w:pos="-285"/>
          <w:tab w:val="left" w:pos="1011"/>
          <w:tab w:val="left" w:pos="1299"/>
          <w:tab w:val="left" w:pos="1875"/>
          <w:tab w:val="left" w:pos="2595"/>
          <w:tab w:val="left" w:pos="3315"/>
          <w:tab w:val="left" w:pos="4035"/>
          <w:tab w:val="left" w:pos="4755"/>
          <w:tab w:val="left" w:pos="5475"/>
          <w:tab w:val="left" w:pos="6195"/>
          <w:tab w:val="left" w:pos="6915"/>
          <w:tab w:val="left" w:pos="7635"/>
          <w:tab w:val="left" w:pos="8355"/>
          <w:tab w:val="left" w:pos="9075"/>
          <w:tab w:val="left" w:pos="9795"/>
          <w:tab w:val="left" w:pos="10515"/>
          <w:tab w:val="left" w:pos="11235"/>
          <w:tab w:val="left" w:pos="11955"/>
          <w:tab w:val="left" w:pos="12675"/>
          <w:tab w:val="left" w:pos="13395"/>
          <w:tab w:val="left" w:pos="14115"/>
          <w:tab w:val="left" w:pos="14835"/>
          <w:tab w:val="left" w:pos="15555"/>
          <w:tab w:val="left" w:pos="16275"/>
          <w:tab w:val="left" w:pos="16995"/>
          <w:tab w:val="left" w:pos="17715"/>
          <w:tab w:val="left" w:pos="18435"/>
        </w:tabs>
        <w:jc w:val="both"/>
        <w:rPr>
          <w:spacing w:val="-3"/>
        </w:rPr>
      </w:pPr>
      <w:r w:rsidRPr="00EE2502">
        <w:rPr>
          <w:spacing w:val="-3"/>
        </w:rPr>
        <w:t>Rozporządzenie Min. Infrastruktury z 27.08.2002 r.  w sprawie szczegółowego zakresu formy planu bezpieczeństwa i ochrony zdrowia oraz szczegółowego zakresu rodzajów robót budowlanych, stwarzających zagrożenie bezpieczeństwa i zdrowia ludzi (Dz. U. Nr 151 poz. 1256 z 2002 r.),</w:t>
      </w:r>
    </w:p>
    <w:p w:rsidR="00EE2502" w:rsidRPr="00EE2502" w:rsidRDefault="00EE2502" w:rsidP="00EE2502">
      <w:pPr>
        <w:numPr>
          <w:ilvl w:val="0"/>
          <w:numId w:val="100"/>
        </w:numPr>
        <w:tabs>
          <w:tab w:val="left" w:pos="-1725"/>
          <w:tab w:val="left" w:pos="-1005"/>
          <w:tab w:val="left" w:pos="-285"/>
          <w:tab w:val="left" w:pos="1011"/>
          <w:tab w:val="left" w:pos="1299"/>
          <w:tab w:val="left" w:pos="1875"/>
          <w:tab w:val="left" w:pos="2595"/>
          <w:tab w:val="left" w:pos="3315"/>
          <w:tab w:val="left" w:pos="4035"/>
          <w:tab w:val="left" w:pos="4755"/>
          <w:tab w:val="left" w:pos="5475"/>
          <w:tab w:val="left" w:pos="6195"/>
          <w:tab w:val="left" w:pos="6915"/>
          <w:tab w:val="left" w:pos="7635"/>
          <w:tab w:val="left" w:pos="8355"/>
          <w:tab w:val="left" w:pos="9075"/>
          <w:tab w:val="left" w:pos="9795"/>
          <w:tab w:val="left" w:pos="10515"/>
          <w:tab w:val="left" w:pos="11235"/>
          <w:tab w:val="left" w:pos="11955"/>
          <w:tab w:val="left" w:pos="12675"/>
          <w:tab w:val="left" w:pos="13395"/>
          <w:tab w:val="left" w:pos="14115"/>
          <w:tab w:val="left" w:pos="14835"/>
          <w:tab w:val="left" w:pos="15555"/>
          <w:tab w:val="left" w:pos="16275"/>
          <w:tab w:val="left" w:pos="16995"/>
          <w:tab w:val="left" w:pos="17715"/>
          <w:tab w:val="left" w:pos="18435"/>
        </w:tabs>
        <w:jc w:val="both"/>
        <w:rPr>
          <w:spacing w:val="-3"/>
        </w:rPr>
      </w:pPr>
      <w:r w:rsidRPr="00EE2502">
        <w:rPr>
          <w:spacing w:val="-3"/>
        </w:rPr>
        <w:t>Rozporządzenie Min. Infrastruktury z 23.06.2003 r.  w sprawie informacji dotyczącej bezpieczeństwa i ochrony zdrowia oraz planu bezpieczeństwa i ochrony zdrowia (Dz. U. Nr 120 poz. 1126 z 2003 r.)</w:t>
      </w:r>
    </w:p>
    <w:p w:rsidR="00EE2502" w:rsidRPr="00EE2502" w:rsidRDefault="00EE2502" w:rsidP="00EE2502">
      <w:pPr>
        <w:numPr>
          <w:ilvl w:val="0"/>
          <w:numId w:val="100"/>
        </w:numPr>
        <w:tabs>
          <w:tab w:val="left" w:pos="-1725"/>
          <w:tab w:val="left" w:pos="-1005"/>
          <w:tab w:val="left" w:pos="-285"/>
          <w:tab w:val="left" w:pos="1011"/>
          <w:tab w:val="left" w:pos="1299"/>
          <w:tab w:val="left" w:pos="1875"/>
          <w:tab w:val="left" w:pos="2595"/>
          <w:tab w:val="left" w:pos="3315"/>
          <w:tab w:val="left" w:pos="4035"/>
          <w:tab w:val="left" w:pos="4755"/>
          <w:tab w:val="left" w:pos="5475"/>
          <w:tab w:val="left" w:pos="6195"/>
          <w:tab w:val="left" w:pos="6915"/>
          <w:tab w:val="left" w:pos="7635"/>
          <w:tab w:val="left" w:pos="8355"/>
          <w:tab w:val="left" w:pos="9075"/>
          <w:tab w:val="left" w:pos="9795"/>
          <w:tab w:val="left" w:pos="10515"/>
          <w:tab w:val="left" w:pos="11235"/>
          <w:tab w:val="left" w:pos="11955"/>
          <w:tab w:val="left" w:pos="12675"/>
          <w:tab w:val="left" w:pos="13395"/>
          <w:tab w:val="left" w:pos="14115"/>
          <w:tab w:val="left" w:pos="14835"/>
          <w:tab w:val="left" w:pos="15555"/>
          <w:tab w:val="left" w:pos="16275"/>
          <w:tab w:val="left" w:pos="16995"/>
          <w:tab w:val="left" w:pos="17715"/>
          <w:tab w:val="left" w:pos="18435"/>
        </w:tabs>
        <w:jc w:val="both"/>
        <w:rPr>
          <w:spacing w:val="-3"/>
        </w:rPr>
      </w:pPr>
      <w:r w:rsidRPr="00EE2502">
        <w:rPr>
          <w:spacing w:val="-3"/>
        </w:rPr>
        <w:t>Ustawa z dnia 17 maja 1989 roku – Prawo geodezyjne i kartograficzne (Dz. U. Nr 30 poz. 163 z późniejszymi zmianami).</w:t>
      </w:r>
    </w:p>
    <w:p w:rsidR="00EE2502" w:rsidRPr="00EE2502" w:rsidRDefault="00EE2502" w:rsidP="00EE2502">
      <w:pPr>
        <w:numPr>
          <w:ilvl w:val="0"/>
          <w:numId w:val="100"/>
        </w:numPr>
        <w:tabs>
          <w:tab w:val="left" w:pos="-1725"/>
          <w:tab w:val="left" w:pos="-1005"/>
          <w:tab w:val="left" w:pos="-285"/>
          <w:tab w:val="left" w:pos="1011"/>
          <w:tab w:val="left" w:pos="1299"/>
          <w:tab w:val="left" w:pos="1875"/>
          <w:tab w:val="left" w:pos="2595"/>
          <w:tab w:val="left" w:pos="3315"/>
          <w:tab w:val="left" w:pos="4035"/>
          <w:tab w:val="left" w:pos="4755"/>
          <w:tab w:val="left" w:pos="5475"/>
          <w:tab w:val="left" w:pos="6195"/>
          <w:tab w:val="left" w:pos="6915"/>
          <w:tab w:val="left" w:pos="7635"/>
          <w:tab w:val="left" w:pos="8355"/>
          <w:tab w:val="left" w:pos="9075"/>
          <w:tab w:val="left" w:pos="9795"/>
          <w:tab w:val="left" w:pos="10515"/>
          <w:tab w:val="left" w:pos="11235"/>
          <w:tab w:val="left" w:pos="11955"/>
          <w:tab w:val="left" w:pos="12675"/>
          <w:tab w:val="left" w:pos="13395"/>
          <w:tab w:val="left" w:pos="14115"/>
          <w:tab w:val="left" w:pos="14835"/>
          <w:tab w:val="left" w:pos="15555"/>
          <w:tab w:val="left" w:pos="16275"/>
          <w:tab w:val="left" w:pos="16995"/>
          <w:tab w:val="left" w:pos="17715"/>
          <w:tab w:val="left" w:pos="18435"/>
        </w:tabs>
        <w:jc w:val="both"/>
        <w:rPr>
          <w:spacing w:val="-3"/>
        </w:rPr>
      </w:pPr>
      <w:r w:rsidRPr="00EE2502">
        <w:rPr>
          <w:spacing w:val="-3"/>
        </w:rPr>
        <w:t>Rozporządzenie MTiGM z 02.03.1999 r. – w sprawie warunków technicznych, jakim powinny odpowiadać drogi publiczne i ich usytuowanie.</w:t>
      </w:r>
    </w:p>
    <w:p w:rsidR="00EE2502" w:rsidRPr="00EE2502" w:rsidRDefault="00EE2502" w:rsidP="00EE2502">
      <w:pPr>
        <w:numPr>
          <w:ilvl w:val="0"/>
          <w:numId w:val="100"/>
        </w:numPr>
        <w:tabs>
          <w:tab w:val="left" w:pos="-1725"/>
          <w:tab w:val="left" w:pos="-1005"/>
          <w:tab w:val="left" w:pos="-285"/>
          <w:tab w:val="left" w:pos="1011"/>
          <w:tab w:val="left" w:pos="1299"/>
          <w:tab w:val="left" w:pos="1875"/>
          <w:tab w:val="left" w:pos="2595"/>
          <w:tab w:val="left" w:pos="3315"/>
          <w:tab w:val="left" w:pos="4035"/>
          <w:tab w:val="left" w:pos="4755"/>
          <w:tab w:val="left" w:pos="5475"/>
          <w:tab w:val="left" w:pos="6195"/>
          <w:tab w:val="left" w:pos="6915"/>
          <w:tab w:val="left" w:pos="7635"/>
          <w:tab w:val="left" w:pos="8355"/>
          <w:tab w:val="left" w:pos="9075"/>
          <w:tab w:val="left" w:pos="9795"/>
          <w:tab w:val="left" w:pos="10515"/>
          <w:tab w:val="left" w:pos="11235"/>
          <w:tab w:val="left" w:pos="11955"/>
          <w:tab w:val="left" w:pos="12675"/>
          <w:tab w:val="left" w:pos="13395"/>
          <w:tab w:val="left" w:pos="14115"/>
          <w:tab w:val="left" w:pos="14835"/>
          <w:tab w:val="left" w:pos="15555"/>
          <w:tab w:val="left" w:pos="16275"/>
          <w:tab w:val="left" w:pos="16995"/>
          <w:tab w:val="left" w:pos="17715"/>
          <w:tab w:val="left" w:pos="18435"/>
        </w:tabs>
        <w:jc w:val="both"/>
        <w:rPr>
          <w:spacing w:val="-3"/>
        </w:rPr>
      </w:pPr>
      <w:r w:rsidRPr="00EE2502">
        <w:rPr>
          <w:spacing w:val="-3"/>
        </w:rPr>
        <w:t>R</w:t>
      </w:r>
      <w:r w:rsidRPr="00EE2502">
        <w:t>ozporządzenie MTiGM z 30.05.2000r. – w sprawie warunków technicznych, jakim powinny odpowiadać drogowe obiekty inżynierskie i ich usytuowanie.</w:t>
      </w:r>
    </w:p>
    <w:p w:rsidR="00EE2502" w:rsidRPr="00EE2502" w:rsidRDefault="00EE2502" w:rsidP="00EE2502">
      <w:pPr>
        <w:tabs>
          <w:tab w:val="left" w:pos="-1725"/>
          <w:tab w:val="left" w:pos="-1005"/>
          <w:tab w:val="left" w:pos="-285"/>
          <w:tab w:val="left" w:pos="3"/>
          <w:tab w:val="left" w:pos="147"/>
          <w:tab w:val="left" w:pos="291"/>
          <w:tab w:val="left" w:pos="435"/>
          <w:tab w:val="left" w:pos="723"/>
          <w:tab w:val="left" w:pos="867"/>
          <w:tab w:val="left" w:pos="1011"/>
          <w:tab w:val="left" w:pos="1299"/>
          <w:tab w:val="left" w:pos="1875"/>
          <w:tab w:val="left" w:pos="2595"/>
          <w:tab w:val="left" w:pos="3315"/>
          <w:tab w:val="left" w:pos="4035"/>
          <w:tab w:val="left" w:pos="4755"/>
          <w:tab w:val="left" w:pos="5475"/>
          <w:tab w:val="left" w:pos="6195"/>
          <w:tab w:val="left" w:pos="6915"/>
          <w:tab w:val="left" w:pos="7635"/>
          <w:tab w:val="left" w:pos="8355"/>
          <w:tab w:val="left" w:pos="9075"/>
          <w:tab w:val="left" w:pos="9795"/>
          <w:tab w:val="left" w:pos="10515"/>
          <w:tab w:val="left" w:pos="11235"/>
          <w:tab w:val="left" w:pos="11955"/>
          <w:tab w:val="left" w:pos="12675"/>
          <w:tab w:val="left" w:pos="13395"/>
          <w:tab w:val="left" w:pos="14115"/>
          <w:tab w:val="left" w:pos="14835"/>
          <w:tab w:val="left" w:pos="15555"/>
          <w:tab w:val="left" w:pos="16275"/>
          <w:tab w:val="left" w:pos="16995"/>
          <w:tab w:val="left" w:pos="17715"/>
          <w:tab w:val="left" w:pos="18435"/>
        </w:tabs>
        <w:jc w:val="both"/>
        <w:rPr>
          <w:spacing w:val="-3"/>
        </w:rPr>
      </w:pPr>
    </w:p>
    <w:p w:rsidR="00EE2502" w:rsidRDefault="00EE2502">
      <w:pPr>
        <w:rPr>
          <w:rFonts w:ascii="PL Times New Roman" w:hAnsi="PL Times New Roman"/>
          <w:b/>
          <w:bCs/>
          <w:snapToGrid w:val="0"/>
          <w:sz w:val="26"/>
          <w:szCs w:val="26"/>
        </w:rPr>
      </w:pPr>
      <w:r>
        <w:rPr>
          <w:rFonts w:ascii="PL Times New Roman" w:hAnsi="PL Times New Roman"/>
          <w:b/>
          <w:bCs/>
          <w:snapToGrid w:val="0"/>
          <w:sz w:val="26"/>
          <w:szCs w:val="26"/>
        </w:rPr>
        <w:br w:type="page"/>
      </w:r>
    </w:p>
    <w:p w:rsidR="00585D0E" w:rsidRPr="00044874" w:rsidRDefault="00585D0E" w:rsidP="00585D0E">
      <w:pPr>
        <w:rPr>
          <w:bCs/>
          <w:szCs w:val="26"/>
        </w:rPr>
      </w:pPr>
      <w:r>
        <w:rPr>
          <w:rFonts w:ascii="PL Times New Roman" w:hAnsi="PL Times New Roman"/>
          <w:b/>
          <w:bCs/>
          <w:snapToGrid w:val="0"/>
          <w:sz w:val="26"/>
          <w:szCs w:val="26"/>
        </w:rPr>
        <w:t>M.11.00</w:t>
      </w:r>
      <w:r w:rsidRPr="00044874">
        <w:rPr>
          <w:rFonts w:ascii="PL Times New Roman" w:hAnsi="PL Times New Roman"/>
          <w:b/>
          <w:bCs/>
          <w:snapToGrid w:val="0"/>
          <w:sz w:val="26"/>
          <w:szCs w:val="26"/>
        </w:rPr>
        <w:t xml:space="preserve">.00. </w:t>
      </w:r>
      <w:r w:rsidRPr="00044874">
        <w:rPr>
          <w:rFonts w:ascii="PL Times New Roman" w:hAnsi="PL Times New Roman"/>
          <w:b/>
          <w:bCs/>
          <w:snapToGrid w:val="0"/>
          <w:sz w:val="26"/>
          <w:szCs w:val="26"/>
        </w:rPr>
        <w:tab/>
        <w:t>ROBOTY ZIEMNE – WYMAGANIA OGÓLNE</w:t>
      </w:r>
    </w:p>
    <w:p w:rsidR="00585D0E" w:rsidRPr="00044874" w:rsidRDefault="00585D0E" w:rsidP="00585D0E">
      <w:pPr>
        <w:widowControl w:val="0"/>
        <w:spacing w:before="120" w:after="120"/>
        <w:rPr>
          <w:b/>
          <w:u w:val="single"/>
        </w:rPr>
      </w:pPr>
      <w:r w:rsidRPr="00044874">
        <w:rPr>
          <w:b/>
          <w:u w:val="single"/>
        </w:rPr>
        <w:t>l. WSTĘP</w:t>
      </w:r>
    </w:p>
    <w:p w:rsidR="00585D0E" w:rsidRPr="00044874" w:rsidRDefault="00585D0E" w:rsidP="00585D0E">
      <w:pPr>
        <w:widowControl w:val="0"/>
      </w:pPr>
      <w:r w:rsidRPr="00044874">
        <w:t>1.1 Przedmiot ST</w:t>
      </w:r>
    </w:p>
    <w:p w:rsidR="00585D0E" w:rsidRPr="00044874" w:rsidRDefault="00585D0E" w:rsidP="00585D0E">
      <w:pPr>
        <w:jc w:val="both"/>
      </w:pPr>
      <w:r w:rsidRPr="00044874">
        <w:t xml:space="preserve">Przedmiotem niniejszej Specyfikacji Technicznej są wymagania dotyczące wykonania i odbioru liniowych robót ziemnych wykonanych w </w:t>
      </w:r>
      <w:r w:rsidRPr="00044874">
        <w:rPr>
          <w:snapToGrid w:val="0"/>
        </w:rPr>
        <w:t xml:space="preserve">ramach </w:t>
      </w:r>
      <w:r w:rsidRPr="00044874">
        <w:rPr>
          <w:bCs/>
          <w:snapToGrid w:val="0"/>
        </w:rPr>
        <w:t xml:space="preserve">projektu : </w:t>
      </w:r>
      <w:r>
        <w:rPr>
          <w:bCs/>
        </w:rPr>
        <w:t>"Remont przepustu nad rzeką Postomia w ciągu drogi nr 445/k.2922 m. Wędrzyn."</w:t>
      </w:r>
    </w:p>
    <w:p w:rsidR="00585D0E" w:rsidRPr="00044874" w:rsidRDefault="00585D0E" w:rsidP="00585D0E">
      <w:pPr>
        <w:jc w:val="both"/>
        <w:rPr>
          <w:b/>
        </w:rPr>
      </w:pPr>
      <w:r w:rsidRPr="00044874">
        <w:rPr>
          <w:b/>
        </w:rPr>
        <w:t>1.2 Zakres stosowania ST</w:t>
      </w:r>
    </w:p>
    <w:p w:rsidR="00585D0E" w:rsidRPr="00044874" w:rsidRDefault="00585D0E" w:rsidP="00585D0E">
      <w:pPr>
        <w:widowControl w:val="0"/>
        <w:ind w:firstLine="709"/>
        <w:jc w:val="both"/>
      </w:pPr>
      <w:r w:rsidRPr="00044874">
        <w:t>Specyfikacja Techniczna jest stosowana jako dokument przetargowy i kontraktowy przy zlecaniu i realizacji robot wymienionych w punkcie 1.1.</w:t>
      </w:r>
    </w:p>
    <w:p w:rsidR="00585D0E" w:rsidRPr="00044874" w:rsidRDefault="00585D0E" w:rsidP="00585D0E">
      <w:pPr>
        <w:widowControl w:val="0"/>
      </w:pPr>
      <w:r w:rsidRPr="00044874">
        <w:t>1.3 Zakres robót objętych ST</w:t>
      </w:r>
    </w:p>
    <w:p w:rsidR="00585D0E" w:rsidRPr="00044874" w:rsidRDefault="00585D0E" w:rsidP="00585D0E">
      <w:pPr>
        <w:overflowPunct w:val="0"/>
        <w:autoSpaceDE w:val="0"/>
        <w:autoSpaceDN w:val="0"/>
        <w:adjustRightInd w:val="0"/>
        <w:ind w:firstLine="709"/>
        <w:jc w:val="both"/>
      </w:pPr>
      <w:r w:rsidRPr="00044874">
        <w:t>Ustalenia zawarte w niniejszej specyfikacji dotyczą zasad prowadzenia robót ziemnych na zjazdach, na skrzyżowaniach, w miejscach wykonania nowej konstrukcji drogi, przy moście i obejmują:</w:t>
      </w:r>
    </w:p>
    <w:p w:rsidR="00585D0E" w:rsidRPr="00044874" w:rsidRDefault="00585D0E" w:rsidP="0097494B">
      <w:pPr>
        <w:numPr>
          <w:ilvl w:val="0"/>
          <w:numId w:val="7"/>
        </w:numPr>
        <w:suppressAutoHyphens/>
        <w:overflowPunct w:val="0"/>
        <w:autoSpaceDE w:val="0"/>
        <w:ind w:left="340" w:hanging="340"/>
        <w:jc w:val="both"/>
        <w:textAlignment w:val="baseline"/>
      </w:pPr>
      <w:r w:rsidRPr="00044874">
        <w:t>wykonanie wykopów w gruntach nieskalistych,</w:t>
      </w:r>
    </w:p>
    <w:p w:rsidR="00585D0E" w:rsidRPr="00044874" w:rsidRDefault="00585D0E" w:rsidP="0097494B">
      <w:pPr>
        <w:numPr>
          <w:ilvl w:val="0"/>
          <w:numId w:val="7"/>
        </w:numPr>
        <w:suppressAutoHyphens/>
        <w:overflowPunct w:val="0"/>
        <w:autoSpaceDE w:val="0"/>
        <w:ind w:left="340" w:hanging="340"/>
        <w:jc w:val="both"/>
        <w:textAlignment w:val="baseline"/>
      </w:pPr>
      <w:r w:rsidRPr="00044874">
        <w:t>wykonanie wykopów liniowych,</w:t>
      </w:r>
    </w:p>
    <w:p w:rsidR="00585D0E" w:rsidRPr="00044874" w:rsidRDefault="00585D0E" w:rsidP="0097494B">
      <w:pPr>
        <w:numPr>
          <w:ilvl w:val="0"/>
          <w:numId w:val="7"/>
        </w:numPr>
        <w:suppressAutoHyphens/>
        <w:overflowPunct w:val="0"/>
        <w:autoSpaceDE w:val="0"/>
        <w:ind w:left="340" w:hanging="340"/>
        <w:jc w:val="both"/>
        <w:textAlignment w:val="baseline"/>
      </w:pPr>
      <w:r w:rsidRPr="00044874">
        <w:t>budowę nasypów drogowych,</w:t>
      </w:r>
    </w:p>
    <w:p w:rsidR="00585D0E" w:rsidRPr="00044874" w:rsidRDefault="00585D0E" w:rsidP="0097494B">
      <w:pPr>
        <w:numPr>
          <w:ilvl w:val="0"/>
          <w:numId w:val="7"/>
        </w:numPr>
        <w:suppressAutoHyphens/>
        <w:overflowPunct w:val="0"/>
        <w:autoSpaceDE w:val="0"/>
        <w:ind w:left="340" w:hanging="340"/>
        <w:jc w:val="both"/>
        <w:textAlignment w:val="baseline"/>
      </w:pPr>
      <w:r w:rsidRPr="00044874">
        <w:t>wykonanie zasypek,</w:t>
      </w:r>
    </w:p>
    <w:p w:rsidR="00585D0E" w:rsidRPr="00044874" w:rsidRDefault="00585D0E" w:rsidP="0097494B">
      <w:pPr>
        <w:widowControl w:val="0"/>
        <w:numPr>
          <w:ilvl w:val="0"/>
          <w:numId w:val="7"/>
        </w:numPr>
        <w:suppressAutoHyphens/>
        <w:ind w:left="340" w:hanging="340"/>
      </w:pPr>
      <w:r w:rsidRPr="00044874">
        <w:t>pozyskiwanie gruntu z ukopu lub dokopu.</w:t>
      </w:r>
    </w:p>
    <w:p w:rsidR="00585D0E" w:rsidRPr="00044874" w:rsidRDefault="00585D0E" w:rsidP="00585D0E">
      <w:pPr>
        <w:tabs>
          <w:tab w:val="left" w:pos="1080"/>
        </w:tabs>
        <w:outlineLvl w:val="1"/>
        <w:rPr>
          <w:b/>
          <w:snapToGrid w:val="0"/>
        </w:rPr>
      </w:pPr>
      <w:r w:rsidRPr="00044874">
        <w:rPr>
          <w:b/>
          <w:snapToGrid w:val="0"/>
        </w:rPr>
        <w:t>1.4. Określenia podstawowe</w:t>
      </w:r>
    </w:p>
    <w:p w:rsidR="00585D0E" w:rsidRPr="00044874" w:rsidRDefault="00585D0E" w:rsidP="00585D0E">
      <w:pPr>
        <w:tabs>
          <w:tab w:val="right" w:pos="-1985"/>
          <w:tab w:val="left" w:pos="567"/>
        </w:tabs>
        <w:overflowPunct w:val="0"/>
        <w:autoSpaceDE w:val="0"/>
        <w:autoSpaceDN w:val="0"/>
        <w:adjustRightInd w:val="0"/>
        <w:jc w:val="both"/>
      </w:pPr>
      <w:r w:rsidRPr="00044874">
        <w:t>1.4.1.</w:t>
      </w:r>
      <w:r w:rsidRPr="00044874">
        <w:tab/>
        <w:t>Budowla ziemna - budowla wykonana w gruncie lub z gruntu naturalnego lub z gruntu antropogenicznego spełniająca warunki stateczności i odwodnienia.</w:t>
      </w:r>
    </w:p>
    <w:p w:rsidR="00585D0E" w:rsidRPr="00044874" w:rsidRDefault="00585D0E" w:rsidP="00585D0E">
      <w:pPr>
        <w:tabs>
          <w:tab w:val="right" w:pos="-1985"/>
          <w:tab w:val="left" w:pos="567"/>
        </w:tabs>
        <w:overflowPunct w:val="0"/>
        <w:autoSpaceDE w:val="0"/>
        <w:autoSpaceDN w:val="0"/>
        <w:adjustRightInd w:val="0"/>
        <w:jc w:val="both"/>
      </w:pPr>
      <w:r w:rsidRPr="00044874">
        <w:t>1.4.2.</w:t>
      </w:r>
      <w:r w:rsidRPr="00044874">
        <w:tab/>
        <w:t xml:space="preserve">Korpus drogowy - nasyp lub ta część wykopu, która jest ograniczona koroną drogi i skarpami rowów. </w:t>
      </w:r>
    </w:p>
    <w:p w:rsidR="00585D0E" w:rsidRPr="00044874" w:rsidRDefault="00585D0E" w:rsidP="00585D0E">
      <w:pPr>
        <w:tabs>
          <w:tab w:val="right" w:pos="-1985"/>
          <w:tab w:val="left" w:pos="567"/>
        </w:tabs>
        <w:overflowPunct w:val="0"/>
        <w:autoSpaceDE w:val="0"/>
        <w:autoSpaceDN w:val="0"/>
        <w:adjustRightInd w:val="0"/>
        <w:jc w:val="both"/>
      </w:pPr>
      <w:r w:rsidRPr="00044874">
        <w:t>1.4.3.</w:t>
      </w:r>
      <w:r w:rsidRPr="00044874">
        <w:tab/>
        <w:t>Wysokość nasypu lub głębokość wykopu - różnica rzędnej terenu i rzędnej robót ziemnych, wyznaczonych w osi nasypu lub wykopu.</w:t>
      </w:r>
    </w:p>
    <w:p w:rsidR="00585D0E" w:rsidRPr="00044874" w:rsidRDefault="00585D0E" w:rsidP="00585D0E">
      <w:pPr>
        <w:tabs>
          <w:tab w:val="right" w:pos="-1985"/>
          <w:tab w:val="left" w:pos="567"/>
        </w:tabs>
        <w:overflowPunct w:val="0"/>
        <w:autoSpaceDE w:val="0"/>
        <w:autoSpaceDN w:val="0"/>
        <w:adjustRightInd w:val="0"/>
        <w:jc w:val="both"/>
      </w:pPr>
      <w:r w:rsidRPr="00044874">
        <w:t>1.4.4.</w:t>
      </w:r>
      <w:r w:rsidRPr="00044874">
        <w:tab/>
        <w:t>Nasyp niski - nasyp, którego wysokość jest mniejsza niż 1 m.</w:t>
      </w:r>
    </w:p>
    <w:p w:rsidR="00585D0E" w:rsidRPr="00044874" w:rsidRDefault="00585D0E" w:rsidP="00585D0E">
      <w:pPr>
        <w:tabs>
          <w:tab w:val="left" w:pos="567"/>
        </w:tabs>
        <w:overflowPunct w:val="0"/>
        <w:autoSpaceDE w:val="0"/>
        <w:autoSpaceDN w:val="0"/>
        <w:adjustRightInd w:val="0"/>
        <w:jc w:val="both"/>
      </w:pPr>
      <w:r w:rsidRPr="00044874">
        <w:t>1.4.5.</w:t>
      </w:r>
      <w:r w:rsidRPr="00044874">
        <w:tab/>
        <w:t>Nasyp średni - nasyp, którego wysokość jest zawarta w granicach od 1 do 3 m.</w:t>
      </w:r>
    </w:p>
    <w:p w:rsidR="00585D0E" w:rsidRPr="00044874" w:rsidRDefault="00585D0E" w:rsidP="00585D0E">
      <w:pPr>
        <w:tabs>
          <w:tab w:val="left" w:pos="567"/>
        </w:tabs>
        <w:overflowPunct w:val="0"/>
        <w:autoSpaceDE w:val="0"/>
        <w:autoSpaceDN w:val="0"/>
        <w:adjustRightInd w:val="0"/>
        <w:jc w:val="both"/>
      </w:pPr>
      <w:r w:rsidRPr="00044874">
        <w:t>1.4.6.</w:t>
      </w:r>
      <w:r w:rsidRPr="00044874">
        <w:tab/>
        <w:t>Nasyp wysoki - nasyp, którego wysokość przekracza 3 m.</w:t>
      </w:r>
    </w:p>
    <w:p w:rsidR="00585D0E" w:rsidRPr="00044874" w:rsidRDefault="00585D0E" w:rsidP="00585D0E">
      <w:pPr>
        <w:tabs>
          <w:tab w:val="left" w:pos="567"/>
        </w:tabs>
        <w:overflowPunct w:val="0"/>
        <w:autoSpaceDE w:val="0"/>
        <w:autoSpaceDN w:val="0"/>
        <w:adjustRightInd w:val="0"/>
        <w:jc w:val="both"/>
      </w:pPr>
      <w:r w:rsidRPr="00044874">
        <w:t>1.4.7.</w:t>
      </w:r>
      <w:r w:rsidRPr="00044874">
        <w:tab/>
        <w:t>Wykop płytki - wykop, którego głębokość jest mniejsza niż 1 m.</w:t>
      </w:r>
    </w:p>
    <w:p w:rsidR="00585D0E" w:rsidRPr="00044874" w:rsidRDefault="00585D0E" w:rsidP="00585D0E">
      <w:pPr>
        <w:tabs>
          <w:tab w:val="left" w:pos="567"/>
        </w:tabs>
        <w:overflowPunct w:val="0"/>
        <w:autoSpaceDE w:val="0"/>
        <w:autoSpaceDN w:val="0"/>
        <w:adjustRightInd w:val="0"/>
        <w:jc w:val="both"/>
      </w:pPr>
      <w:r w:rsidRPr="00044874">
        <w:t>1.4.8.</w:t>
      </w:r>
      <w:r w:rsidRPr="00044874">
        <w:tab/>
        <w:t>Wykop średni - wykop, którego głębokość jest zawarta w granicach od 1 do 3 m.</w:t>
      </w:r>
    </w:p>
    <w:p w:rsidR="00585D0E" w:rsidRPr="00044874" w:rsidRDefault="00585D0E" w:rsidP="00585D0E">
      <w:pPr>
        <w:tabs>
          <w:tab w:val="left" w:pos="567"/>
        </w:tabs>
        <w:overflowPunct w:val="0"/>
        <w:autoSpaceDE w:val="0"/>
        <w:autoSpaceDN w:val="0"/>
        <w:adjustRightInd w:val="0"/>
        <w:jc w:val="both"/>
      </w:pPr>
      <w:r w:rsidRPr="00044874">
        <w:t>1.4.9.</w:t>
      </w:r>
      <w:r w:rsidRPr="00044874">
        <w:tab/>
        <w:t>Wykop głęboki - wykop, którego głębokość przekracza 3 m.</w:t>
      </w:r>
    </w:p>
    <w:p w:rsidR="00585D0E" w:rsidRPr="00044874" w:rsidRDefault="00585D0E" w:rsidP="0097494B">
      <w:pPr>
        <w:numPr>
          <w:ilvl w:val="0"/>
          <w:numId w:val="4"/>
        </w:numPr>
        <w:suppressAutoHyphens/>
        <w:overflowPunct w:val="0"/>
        <w:autoSpaceDE w:val="0"/>
        <w:ind w:left="283" w:hanging="283"/>
        <w:jc w:val="both"/>
        <w:textAlignment w:val="baseline"/>
      </w:pPr>
      <w:r w:rsidRPr="00044874">
        <w:t>Bagno - grunt organiczny nasycony wodą, o małej nośności, charakteryzujący się znacznym i długotrwałym osiadaniem pod obciążeniem.</w:t>
      </w:r>
    </w:p>
    <w:p w:rsidR="00585D0E" w:rsidRPr="00044874" w:rsidRDefault="00585D0E" w:rsidP="0097494B">
      <w:pPr>
        <w:numPr>
          <w:ilvl w:val="0"/>
          <w:numId w:val="4"/>
        </w:numPr>
        <w:suppressAutoHyphens/>
        <w:overflowPunct w:val="0"/>
        <w:autoSpaceDE w:val="0"/>
        <w:ind w:left="283" w:hanging="283"/>
        <w:jc w:val="both"/>
        <w:textAlignment w:val="baseline"/>
      </w:pPr>
      <w:r w:rsidRPr="00044874">
        <w:t>Grunt nieskalisty - każdy grunt rodzimy, nie określony w punkcie 1.4.12 jako grunt skalisty.</w:t>
      </w:r>
    </w:p>
    <w:p w:rsidR="00585D0E" w:rsidRPr="00044874" w:rsidRDefault="00585D0E" w:rsidP="00585D0E">
      <w:pPr>
        <w:overflowPunct w:val="0"/>
        <w:autoSpaceDE w:val="0"/>
        <w:autoSpaceDN w:val="0"/>
        <w:adjustRightInd w:val="0"/>
        <w:jc w:val="both"/>
      </w:pPr>
      <w:r w:rsidRPr="00044874">
        <w:t>1.4.12.</w:t>
      </w:r>
      <w:r w:rsidRPr="00044874">
        <w:tab/>
        <w:t>Grunt skalisty - grunt rodzimy, lity lub spękany o nieprzesuniętych blokach, którego próbki nie wykazują zmian objętości ani nie rozpadają się pod działaniem wody destylowanej; mają wytrzymałość na ściskanie R</w:t>
      </w:r>
      <w:r w:rsidRPr="00044874">
        <w:rPr>
          <w:vertAlign w:val="subscript"/>
        </w:rPr>
        <w:t>c</w:t>
      </w:r>
      <w:r w:rsidRPr="00044874">
        <w:t xml:space="preserve"> ponad 0,2 MPa; wymaga użycia środków wybuchowych albo narzędzi pneumatycznych lub hydraulicznych do odspojenia.</w:t>
      </w:r>
    </w:p>
    <w:p w:rsidR="00585D0E" w:rsidRPr="00044874" w:rsidRDefault="00585D0E" w:rsidP="00585D0E">
      <w:pPr>
        <w:overflowPunct w:val="0"/>
        <w:autoSpaceDE w:val="0"/>
        <w:autoSpaceDN w:val="0"/>
        <w:adjustRightInd w:val="0"/>
        <w:jc w:val="both"/>
      </w:pPr>
      <w:r w:rsidRPr="00044874">
        <w:t>1.4.13.</w:t>
      </w:r>
      <w:r w:rsidRPr="00044874">
        <w:tab/>
        <w:t>Ukop - miejsce pozyskania gruntu do wykonania nasypów, położone w obrębie pasa robót drogowych.</w:t>
      </w:r>
    </w:p>
    <w:p w:rsidR="00585D0E" w:rsidRPr="00044874" w:rsidRDefault="00585D0E" w:rsidP="00585D0E">
      <w:pPr>
        <w:overflowPunct w:val="0"/>
        <w:autoSpaceDE w:val="0"/>
        <w:autoSpaceDN w:val="0"/>
        <w:adjustRightInd w:val="0"/>
        <w:jc w:val="both"/>
      </w:pPr>
      <w:r w:rsidRPr="00044874">
        <w:t>1.4.14.</w:t>
      </w:r>
      <w:r w:rsidRPr="00044874">
        <w:tab/>
        <w:t>Dokop - miejsce pozyskania gruntu do wykonania nasypów, położone poza pasem robót drogowych.</w:t>
      </w:r>
    </w:p>
    <w:p w:rsidR="00585D0E" w:rsidRPr="00044874" w:rsidRDefault="00585D0E" w:rsidP="00585D0E">
      <w:pPr>
        <w:overflowPunct w:val="0"/>
        <w:autoSpaceDE w:val="0"/>
        <w:autoSpaceDN w:val="0"/>
        <w:adjustRightInd w:val="0"/>
        <w:jc w:val="both"/>
      </w:pPr>
      <w:r w:rsidRPr="00044874">
        <w:t>1.4.15.</w:t>
      </w:r>
      <w:r w:rsidRPr="00044874">
        <w:tab/>
        <w:t>Odkład - miejsce wbudowania lub składowania (odwiezienia) gruntów pozyskanych w czasie wykonywania wykopów, a nie wykorzystanych do budowy nasypów oraz innych prac związanych z trasą drogową.</w:t>
      </w:r>
    </w:p>
    <w:p w:rsidR="00585D0E" w:rsidRPr="00044874" w:rsidRDefault="00585D0E" w:rsidP="00585D0E">
      <w:pPr>
        <w:overflowPunct w:val="0"/>
        <w:autoSpaceDE w:val="0"/>
        <w:autoSpaceDN w:val="0"/>
        <w:adjustRightInd w:val="0"/>
        <w:jc w:val="both"/>
      </w:pPr>
      <w:r w:rsidRPr="00044874">
        <w:t>1.4.16.</w:t>
      </w:r>
      <w:r w:rsidRPr="00044874">
        <w:tab/>
        <w:t xml:space="preserve">Wskaźnik zagęszczenia gruntu - wielkość charakteryzująca stan zagęszczenia gruntu, określona wg wzoru: </w:t>
      </w:r>
    </w:p>
    <w:p w:rsidR="00585D0E" w:rsidRPr="00044874" w:rsidRDefault="00585D0E" w:rsidP="00585D0E">
      <w:pPr>
        <w:overflowPunct w:val="0"/>
        <w:autoSpaceDE w:val="0"/>
        <w:autoSpaceDN w:val="0"/>
        <w:adjustRightInd w:val="0"/>
        <w:jc w:val="center"/>
      </w:pPr>
      <w:r>
        <w:rPr>
          <w:noProof/>
          <w:position w:val="-20"/>
        </w:rPr>
        <w:drawing>
          <wp:inline distT="0" distB="0" distL="0" distR="0" wp14:anchorId="2C7FCF1F" wp14:editId="3E399AE0">
            <wp:extent cx="506730" cy="380365"/>
            <wp:effectExtent l="0" t="0" r="7620" b="635"/>
            <wp:docPr id="1"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6730" cy="380365"/>
                    </a:xfrm>
                    <a:prstGeom prst="rect">
                      <a:avLst/>
                    </a:prstGeom>
                    <a:solidFill>
                      <a:srgbClr val="FFFFFF"/>
                    </a:solidFill>
                    <a:ln>
                      <a:noFill/>
                    </a:ln>
                  </pic:spPr>
                </pic:pic>
              </a:graphicData>
            </a:graphic>
          </wp:inline>
        </w:drawing>
      </w:r>
    </w:p>
    <w:p w:rsidR="00585D0E" w:rsidRPr="00044874" w:rsidRDefault="00585D0E" w:rsidP="00585D0E">
      <w:pPr>
        <w:overflowPunct w:val="0"/>
        <w:autoSpaceDE w:val="0"/>
        <w:autoSpaceDN w:val="0"/>
        <w:adjustRightInd w:val="0"/>
      </w:pPr>
      <w:r w:rsidRPr="00044874">
        <w:t>gdzie:</w:t>
      </w:r>
    </w:p>
    <w:p w:rsidR="00585D0E" w:rsidRPr="00044874" w:rsidRDefault="00585D0E" w:rsidP="00585D0E">
      <w:pPr>
        <w:tabs>
          <w:tab w:val="left" w:pos="426"/>
          <w:tab w:val="left" w:pos="709"/>
        </w:tabs>
        <w:overflowPunct w:val="0"/>
        <w:autoSpaceDE w:val="0"/>
        <w:autoSpaceDN w:val="0"/>
        <w:adjustRightInd w:val="0"/>
        <w:ind w:left="709" w:hanging="709"/>
        <w:jc w:val="both"/>
      </w:pPr>
      <w:r w:rsidRPr="00044874">
        <w:rPr>
          <w:rFonts w:ascii="Symbol" w:hAnsi="Symbol"/>
          <w:i/>
        </w:rPr>
        <w:t></w:t>
      </w:r>
      <w:r w:rsidRPr="00044874">
        <w:rPr>
          <w:vertAlign w:val="subscript"/>
        </w:rPr>
        <w:t>d</w:t>
      </w:r>
      <w:r w:rsidRPr="00044874">
        <w:tab/>
        <w:t>-</w:t>
      </w:r>
      <w:r w:rsidRPr="00044874">
        <w:tab/>
        <w:t>gęstość objętościowa szkieletu zagęszczonego gruntu, zgodnie z BN-77/8931-12 [9], (Mg/m</w:t>
      </w:r>
      <w:r w:rsidRPr="00044874">
        <w:rPr>
          <w:vertAlign w:val="superscript"/>
        </w:rPr>
        <w:t>3</w:t>
      </w:r>
      <w:r w:rsidRPr="00044874">
        <w:t>),</w:t>
      </w:r>
    </w:p>
    <w:p w:rsidR="00585D0E" w:rsidRPr="00044874" w:rsidRDefault="00585D0E" w:rsidP="00585D0E">
      <w:pPr>
        <w:tabs>
          <w:tab w:val="left" w:pos="426"/>
          <w:tab w:val="left" w:pos="709"/>
        </w:tabs>
        <w:overflowPunct w:val="0"/>
        <w:autoSpaceDE w:val="0"/>
        <w:autoSpaceDN w:val="0"/>
        <w:adjustRightInd w:val="0"/>
        <w:ind w:left="709" w:hanging="709"/>
        <w:jc w:val="both"/>
      </w:pPr>
      <w:r w:rsidRPr="00044874">
        <w:rPr>
          <w:rFonts w:ascii="Symbol" w:hAnsi="Symbol"/>
          <w:i/>
        </w:rPr>
        <w:t></w:t>
      </w:r>
      <w:r w:rsidRPr="00044874">
        <w:rPr>
          <w:vertAlign w:val="subscript"/>
        </w:rPr>
        <w:t>ds</w:t>
      </w:r>
      <w:r w:rsidRPr="00044874">
        <w:tab/>
        <w:t>-</w:t>
      </w:r>
      <w:r w:rsidRPr="00044874">
        <w:tab/>
        <w:t>maksymalna gęstość objętościowa szkieletu gruntowego przy wilgotności optymalnej, zgodnie z PN-B-04481:1988 [2], służąca do oceny zagęszczenia gruntu w robotach ziemnych, (Mg/m</w:t>
      </w:r>
      <w:r w:rsidRPr="00044874">
        <w:rPr>
          <w:vertAlign w:val="superscript"/>
        </w:rPr>
        <w:t>3</w:t>
      </w:r>
      <w:r w:rsidRPr="00044874">
        <w:t>).</w:t>
      </w:r>
    </w:p>
    <w:p w:rsidR="00585D0E" w:rsidRPr="00044874" w:rsidRDefault="00585D0E" w:rsidP="00585D0E">
      <w:pPr>
        <w:overflowPunct w:val="0"/>
        <w:autoSpaceDE w:val="0"/>
        <w:autoSpaceDN w:val="0"/>
        <w:adjustRightInd w:val="0"/>
        <w:jc w:val="both"/>
      </w:pPr>
      <w:r w:rsidRPr="00044874">
        <w:t>1.4.17. Wskaźnik różnoziarnistości - wielkość charakteryzująca zagęszczalność gruntów niespoistych, określona wg wzoru:</w:t>
      </w:r>
    </w:p>
    <w:p w:rsidR="00585D0E" w:rsidRPr="00044874" w:rsidRDefault="00585D0E" w:rsidP="00585D0E">
      <w:pPr>
        <w:overflowPunct w:val="0"/>
        <w:autoSpaceDE w:val="0"/>
        <w:autoSpaceDN w:val="0"/>
        <w:adjustRightInd w:val="0"/>
        <w:jc w:val="center"/>
      </w:pPr>
      <w:r>
        <w:rPr>
          <w:noProof/>
          <w:position w:val="-20"/>
        </w:rPr>
        <w:drawing>
          <wp:inline distT="0" distB="0" distL="0" distR="0" wp14:anchorId="42F74935" wp14:editId="23C05B2F">
            <wp:extent cx="506730" cy="380365"/>
            <wp:effectExtent l="0" t="0" r="7620" b="635"/>
            <wp:docPr id="2"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6730" cy="380365"/>
                    </a:xfrm>
                    <a:prstGeom prst="rect">
                      <a:avLst/>
                    </a:prstGeom>
                    <a:solidFill>
                      <a:srgbClr val="FFFFFF"/>
                    </a:solidFill>
                    <a:ln>
                      <a:noFill/>
                    </a:ln>
                  </pic:spPr>
                </pic:pic>
              </a:graphicData>
            </a:graphic>
          </wp:inline>
        </w:drawing>
      </w:r>
    </w:p>
    <w:p w:rsidR="00585D0E" w:rsidRPr="00044874" w:rsidRDefault="00585D0E" w:rsidP="00585D0E">
      <w:pPr>
        <w:overflowPunct w:val="0"/>
        <w:autoSpaceDE w:val="0"/>
        <w:autoSpaceDN w:val="0"/>
        <w:adjustRightInd w:val="0"/>
        <w:jc w:val="both"/>
      </w:pPr>
      <w:r w:rsidRPr="00044874">
        <w:t>gdzie:</w:t>
      </w:r>
    </w:p>
    <w:p w:rsidR="00585D0E" w:rsidRPr="00044874" w:rsidRDefault="00585D0E" w:rsidP="00585D0E">
      <w:pPr>
        <w:tabs>
          <w:tab w:val="left" w:pos="426"/>
          <w:tab w:val="left" w:pos="709"/>
        </w:tabs>
        <w:overflowPunct w:val="0"/>
        <w:autoSpaceDE w:val="0"/>
        <w:autoSpaceDN w:val="0"/>
        <w:adjustRightInd w:val="0"/>
        <w:jc w:val="both"/>
      </w:pPr>
      <w:r w:rsidRPr="00044874">
        <w:rPr>
          <w:i/>
        </w:rPr>
        <w:t>d</w:t>
      </w:r>
      <w:r w:rsidRPr="00044874">
        <w:rPr>
          <w:i/>
          <w:vertAlign w:val="subscript"/>
        </w:rPr>
        <w:t>60</w:t>
      </w:r>
      <w:r w:rsidRPr="00044874">
        <w:tab/>
        <w:t>-</w:t>
      </w:r>
      <w:r w:rsidRPr="00044874">
        <w:tab/>
        <w:t>średnica oczek sita, przez które przechodzi 60% gruntu, (mm),</w:t>
      </w:r>
    </w:p>
    <w:p w:rsidR="00585D0E" w:rsidRPr="00044874" w:rsidRDefault="00585D0E" w:rsidP="00585D0E">
      <w:pPr>
        <w:tabs>
          <w:tab w:val="left" w:pos="426"/>
          <w:tab w:val="left" w:pos="709"/>
        </w:tabs>
        <w:overflowPunct w:val="0"/>
        <w:autoSpaceDE w:val="0"/>
        <w:autoSpaceDN w:val="0"/>
        <w:adjustRightInd w:val="0"/>
        <w:jc w:val="both"/>
      </w:pPr>
      <w:r w:rsidRPr="00044874">
        <w:rPr>
          <w:i/>
        </w:rPr>
        <w:t>d</w:t>
      </w:r>
      <w:r w:rsidRPr="00044874">
        <w:rPr>
          <w:i/>
          <w:vertAlign w:val="subscript"/>
        </w:rPr>
        <w:t>10</w:t>
      </w:r>
      <w:r w:rsidRPr="00044874">
        <w:tab/>
        <w:t>-</w:t>
      </w:r>
      <w:r w:rsidRPr="00044874">
        <w:tab/>
        <w:t>średnica oczek sita, przez które przechodzi 10% gruntu, (mm).</w:t>
      </w:r>
    </w:p>
    <w:p w:rsidR="00585D0E" w:rsidRPr="00044874" w:rsidRDefault="00585D0E" w:rsidP="00585D0E">
      <w:pPr>
        <w:overflowPunct w:val="0"/>
        <w:autoSpaceDE w:val="0"/>
        <w:autoSpaceDN w:val="0"/>
        <w:adjustRightInd w:val="0"/>
        <w:jc w:val="both"/>
      </w:pPr>
      <w:r w:rsidRPr="00044874">
        <w:t xml:space="preserve">1.4.18. Wskaźnik odkształcenia gruntu - wielkość charakteryzująca stan zagęszczenia gruntu, określona wg wzoru: </w:t>
      </w:r>
    </w:p>
    <w:p w:rsidR="00585D0E" w:rsidRPr="00044874" w:rsidRDefault="00585D0E" w:rsidP="00585D0E">
      <w:pPr>
        <w:tabs>
          <w:tab w:val="left" w:pos="426"/>
          <w:tab w:val="left" w:pos="709"/>
        </w:tabs>
        <w:overflowPunct w:val="0"/>
        <w:autoSpaceDE w:val="0"/>
        <w:autoSpaceDN w:val="0"/>
        <w:adjustRightInd w:val="0"/>
        <w:jc w:val="center"/>
      </w:pPr>
      <w:r>
        <w:rPr>
          <w:noProof/>
          <w:position w:val="-20"/>
        </w:rPr>
        <w:drawing>
          <wp:inline distT="0" distB="0" distL="0" distR="0" wp14:anchorId="2576E741" wp14:editId="5D925F89">
            <wp:extent cx="461645" cy="380365"/>
            <wp:effectExtent l="0" t="0" r="0" b="635"/>
            <wp:docPr id="3"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61645" cy="380365"/>
                    </a:xfrm>
                    <a:prstGeom prst="rect">
                      <a:avLst/>
                    </a:prstGeom>
                    <a:solidFill>
                      <a:srgbClr val="FFFFFF"/>
                    </a:solidFill>
                    <a:ln>
                      <a:noFill/>
                    </a:ln>
                  </pic:spPr>
                </pic:pic>
              </a:graphicData>
            </a:graphic>
          </wp:inline>
        </w:drawing>
      </w:r>
    </w:p>
    <w:p w:rsidR="00585D0E" w:rsidRPr="00044874" w:rsidRDefault="00585D0E" w:rsidP="00585D0E">
      <w:pPr>
        <w:tabs>
          <w:tab w:val="left" w:pos="426"/>
          <w:tab w:val="left" w:pos="709"/>
        </w:tabs>
        <w:overflowPunct w:val="0"/>
        <w:autoSpaceDE w:val="0"/>
        <w:autoSpaceDN w:val="0"/>
        <w:adjustRightInd w:val="0"/>
        <w:jc w:val="both"/>
      </w:pPr>
      <w:r w:rsidRPr="00044874">
        <w:t>gdzie:</w:t>
      </w:r>
    </w:p>
    <w:p w:rsidR="00585D0E" w:rsidRPr="00044874" w:rsidRDefault="00585D0E" w:rsidP="00585D0E">
      <w:pPr>
        <w:tabs>
          <w:tab w:val="left" w:pos="426"/>
          <w:tab w:val="left" w:pos="709"/>
        </w:tabs>
        <w:overflowPunct w:val="0"/>
        <w:autoSpaceDE w:val="0"/>
        <w:autoSpaceDN w:val="0"/>
        <w:adjustRightInd w:val="0"/>
        <w:jc w:val="both"/>
      </w:pPr>
      <w:r w:rsidRPr="00044874">
        <w:rPr>
          <w:i/>
        </w:rPr>
        <w:t>E</w:t>
      </w:r>
      <w:r w:rsidRPr="00044874">
        <w:rPr>
          <w:i/>
          <w:vertAlign w:val="subscript"/>
        </w:rPr>
        <w:t>1</w:t>
      </w:r>
      <w:r w:rsidRPr="00044874">
        <w:tab/>
        <w:t>-</w:t>
      </w:r>
      <w:r w:rsidRPr="00044874">
        <w:tab/>
        <w:t>moduł odkształcenia gruntu oznaczony w pierwszym obciążeniu badanej warstwy zgodnie z PN-S-02205:1998,</w:t>
      </w:r>
    </w:p>
    <w:p w:rsidR="00585D0E" w:rsidRPr="00044874" w:rsidRDefault="00585D0E" w:rsidP="00585D0E">
      <w:pPr>
        <w:tabs>
          <w:tab w:val="left" w:pos="426"/>
          <w:tab w:val="left" w:pos="709"/>
        </w:tabs>
        <w:overflowPunct w:val="0"/>
        <w:autoSpaceDE w:val="0"/>
        <w:autoSpaceDN w:val="0"/>
        <w:adjustRightInd w:val="0"/>
        <w:jc w:val="both"/>
      </w:pPr>
      <w:r w:rsidRPr="00044874">
        <w:rPr>
          <w:i/>
        </w:rPr>
        <w:t>E</w:t>
      </w:r>
      <w:r w:rsidRPr="00044874">
        <w:rPr>
          <w:i/>
          <w:vertAlign w:val="subscript"/>
        </w:rPr>
        <w:t>2</w:t>
      </w:r>
      <w:r w:rsidRPr="00044874">
        <w:tab/>
        <w:t>-</w:t>
      </w:r>
      <w:r w:rsidRPr="00044874">
        <w:tab/>
        <w:t>moduł odkształcenia gruntu oznaczony w powtórnym obciążeniu badanej warstwy zgodnie z PN-S-02205:1998.</w:t>
      </w:r>
    </w:p>
    <w:p w:rsidR="00585D0E" w:rsidRPr="00044874" w:rsidRDefault="00585D0E" w:rsidP="00585D0E">
      <w:pPr>
        <w:overflowPunct w:val="0"/>
        <w:autoSpaceDE w:val="0"/>
        <w:autoSpaceDN w:val="0"/>
        <w:adjustRightInd w:val="0"/>
        <w:jc w:val="both"/>
      </w:pPr>
      <w:r w:rsidRPr="00044874">
        <w:t>1.4.19. Geosyntetyk - materiał stosowany w budownictwie drogowym, wytwarzany  z wysoko polimeryzowanych włókien syntetycznych, w tym tworzyw termoplastycznych polietylenowych, polipropylenowych i poliestrowych, charakteryzujący się między innymi dużą wytrzymałością oraz wodoprzepuszczalnością, zgodny z PN-ISO10318:1993, PN-EN-963:1999.</w:t>
      </w:r>
    </w:p>
    <w:p w:rsidR="00585D0E" w:rsidRPr="00044874" w:rsidRDefault="00585D0E" w:rsidP="00585D0E">
      <w:pPr>
        <w:overflowPunct w:val="0"/>
        <w:autoSpaceDE w:val="0"/>
        <w:autoSpaceDN w:val="0"/>
        <w:adjustRightInd w:val="0"/>
        <w:jc w:val="both"/>
      </w:pPr>
      <w:r w:rsidRPr="00044874">
        <w:t>Geosyntetyki obejmują: geotkaniny, geowłókniny, geodzianiny, georuszty, geosiatki, geokompozyty, geomembrany, zgodnie z wytycznymi IBDiM.</w:t>
      </w:r>
    </w:p>
    <w:p w:rsidR="00585D0E" w:rsidRPr="00044874" w:rsidRDefault="00585D0E" w:rsidP="00585D0E">
      <w:pPr>
        <w:overflowPunct w:val="0"/>
        <w:autoSpaceDE w:val="0"/>
        <w:autoSpaceDN w:val="0"/>
        <w:adjustRightInd w:val="0"/>
        <w:jc w:val="both"/>
      </w:pPr>
      <w:r w:rsidRPr="00044874">
        <w:t xml:space="preserve">1.4.20. Pozostałe określenia podstawowe są zgodne z obowiązującymi, odpowiednimi polskimi normami i z definicjami podanymi w ST D-M 00.00.00 „Wymagania ogólne”. </w:t>
      </w:r>
    </w:p>
    <w:p w:rsidR="00585D0E" w:rsidRPr="00044874" w:rsidRDefault="00585D0E" w:rsidP="00585D0E">
      <w:pPr>
        <w:tabs>
          <w:tab w:val="left" w:pos="1080"/>
        </w:tabs>
        <w:outlineLvl w:val="1"/>
        <w:rPr>
          <w:b/>
          <w:snapToGrid w:val="0"/>
        </w:rPr>
      </w:pPr>
      <w:r w:rsidRPr="00044874">
        <w:rPr>
          <w:b/>
          <w:snapToGrid w:val="0"/>
        </w:rPr>
        <w:t>1.5. Ogólne wymagania dotyczące robót</w:t>
      </w:r>
    </w:p>
    <w:p w:rsidR="00585D0E" w:rsidRPr="00044874" w:rsidRDefault="00585D0E" w:rsidP="00585D0E">
      <w:pPr>
        <w:overflowPunct w:val="0"/>
        <w:autoSpaceDE w:val="0"/>
        <w:autoSpaceDN w:val="0"/>
        <w:adjustRightInd w:val="0"/>
        <w:jc w:val="both"/>
      </w:pPr>
      <w:r w:rsidRPr="00044874">
        <w:tab/>
        <w:t>Ogólne wymagania dotyczące robót podano w ST D-M 00.00.00 „Wymagania ogólne”.</w:t>
      </w:r>
    </w:p>
    <w:p w:rsidR="00585D0E" w:rsidRPr="00044874" w:rsidRDefault="00585D0E" w:rsidP="00585D0E">
      <w:pPr>
        <w:rPr>
          <w:b/>
          <w:u w:val="single"/>
        </w:rPr>
      </w:pPr>
      <w:r w:rsidRPr="00044874">
        <w:rPr>
          <w:b/>
          <w:u w:val="single"/>
        </w:rPr>
        <w:t>2. MATERIAŁY (GRUNTY)</w:t>
      </w:r>
    </w:p>
    <w:p w:rsidR="00585D0E" w:rsidRPr="00044874" w:rsidRDefault="00585D0E" w:rsidP="00585D0E">
      <w:pPr>
        <w:tabs>
          <w:tab w:val="left" w:pos="1080"/>
        </w:tabs>
        <w:outlineLvl w:val="1"/>
        <w:rPr>
          <w:b/>
          <w:snapToGrid w:val="0"/>
        </w:rPr>
      </w:pPr>
      <w:r w:rsidRPr="00044874">
        <w:rPr>
          <w:b/>
          <w:snapToGrid w:val="0"/>
        </w:rPr>
        <w:t>2.1. Ogólne wymagania dotyczące materiałów</w:t>
      </w:r>
    </w:p>
    <w:p w:rsidR="00585D0E" w:rsidRPr="00044874" w:rsidRDefault="00585D0E" w:rsidP="00585D0E">
      <w:pPr>
        <w:overflowPunct w:val="0"/>
        <w:autoSpaceDE w:val="0"/>
        <w:autoSpaceDN w:val="0"/>
        <w:adjustRightInd w:val="0"/>
        <w:jc w:val="both"/>
      </w:pPr>
      <w:r w:rsidRPr="00044874">
        <w:tab/>
        <w:t>Ogólne wymagania dotyczące materiałów, ich pozyskiwania i składowania, podano w ST D-M 00.00.00 „Wymagania ogólne” .</w:t>
      </w:r>
    </w:p>
    <w:p w:rsidR="00585D0E" w:rsidRPr="00044874" w:rsidRDefault="00585D0E" w:rsidP="00585D0E">
      <w:pPr>
        <w:tabs>
          <w:tab w:val="left" w:pos="1080"/>
        </w:tabs>
        <w:outlineLvl w:val="1"/>
        <w:rPr>
          <w:b/>
          <w:snapToGrid w:val="0"/>
        </w:rPr>
      </w:pPr>
      <w:r w:rsidRPr="00044874">
        <w:rPr>
          <w:b/>
          <w:snapToGrid w:val="0"/>
        </w:rPr>
        <w:t>2.2. Podział gruntów</w:t>
      </w:r>
    </w:p>
    <w:p w:rsidR="00585D0E" w:rsidRPr="00044874" w:rsidRDefault="00585D0E" w:rsidP="00585D0E">
      <w:pPr>
        <w:overflowPunct w:val="0"/>
        <w:autoSpaceDE w:val="0"/>
        <w:autoSpaceDN w:val="0"/>
        <w:adjustRightInd w:val="0"/>
        <w:jc w:val="both"/>
      </w:pPr>
      <w:r w:rsidRPr="00044874">
        <w:tab/>
        <w:t>Podział gruntów pod względem wysadzinowości podaje tablica 1.</w:t>
      </w:r>
    </w:p>
    <w:p w:rsidR="00585D0E" w:rsidRPr="00044874" w:rsidRDefault="00585D0E" w:rsidP="00585D0E">
      <w:pPr>
        <w:overflowPunct w:val="0"/>
        <w:autoSpaceDE w:val="0"/>
        <w:autoSpaceDN w:val="0"/>
        <w:adjustRightInd w:val="0"/>
        <w:jc w:val="both"/>
      </w:pPr>
      <w:r w:rsidRPr="00044874">
        <w:tab/>
        <w:t>Podział gruntów pod względem przydatności</w:t>
      </w:r>
      <w:r w:rsidR="00FD19C7">
        <w:t xml:space="preserve"> do budowy nasypów podano w ST M-11.01.04</w:t>
      </w:r>
      <w:r w:rsidRPr="00044874">
        <w:t xml:space="preserve"> .</w:t>
      </w:r>
    </w:p>
    <w:p w:rsidR="00585D0E" w:rsidRPr="00044874" w:rsidRDefault="00585D0E" w:rsidP="00585D0E">
      <w:pPr>
        <w:tabs>
          <w:tab w:val="left" w:pos="1080"/>
        </w:tabs>
        <w:outlineLvl w:val="1"/>
        <w:rPr>
          <w:b/>
          <w:snapToGrid w:val="0"/>
        </w:rPr>
      </w:pPr>
      <w:r w:rsidRPr="00044874">
        <w:rPr>
          <w:b/>
          <w:snapToGrid w:val="0"/>
        </w:rPr>
        <w:t>2.3. Zasady wykorzystania gruntów</w:t>
      </w:r>
    </w:p>
    <w:p w:rsidR="00585D0E" w:rsidRPr="00044874" w:rsidRDefault="00585D0E" w:rsidP="00585D0E">
      <w:pPr>
        <w:overflowPunct w:val="0"/>
        <w:autoSpaceDE w:val="0"/>
        <w:autoSpaceDN w:val="0"/>
        <w:adjustRightInd w:val="0"/>
        <w:jc w:val="both"/>
      </w:pPr>
      <w:r w:rsidRPr="00044874">
        <w:tab/>
        <w:t>Grunty uzyskane przy wykonywaniu wykopów powinny być przez Wykonawcę wykorzystane w maksymalnym stopniu do budowy nasypów. Grunty przydatne do budowy nasypów mogą być wywiezione poza teren budowy tylko wówczas, gdy stanowią nadmiar objętości robót zie</w:t>
      </w:r>
      <w:r>
        <w:t>mnych i za zezwoleniem przedstawiciela  Zamawiającego</w:t>
      </w:r>
      <w:r w:rsidRPr="00044874">
        <w:t>.</w:t>
      </w:r>
    </w:p>
    <w:p w:rsidR="00585D0E" w:rsidRPr="00044874" w:rsidRDefault="00585D0E" w:rsidP="00585D0E">
      <w:pPr>
        <w:overflowPunct w:val="0"/>
        <w:autoSpaceDE w:val="0"/>
        <w:autoSpaceDN w:val="0"/>
        <w:adjustRightInd w:val="0"/>
        <w:jc w:val="both"/>
      </w:pPr>
      <w:r w:rsidRPr="00044874">
        <w:tab/>
        <w:t>Jeżeli grunty przydatne, uzyskane przy wykonaniu wykopów, nie będąc nadmiarem objętości robót ziem</w:t>
      </w:r>
      <w:r>
        <w:t>nych, zostały za zgodą przedstawiciela Zamawiającego</w:t>
      </w:r>
      <w:r w:rsidRPr="00044874">
        <w:t xml:space="preserve"> wywiezione przez Wykonawcę poza teren budowy z przeznaczeniem innym niż budowa nasypów lub wykonanie prac objętych kontraktem, Wykonawca jest zobowiązany do dostarczenia równoważnej objętości gruntów przydatnych ze źródeł własnych,</w:t>
      </w:r>
      <w:r>
        <w:t xml:space="preserve"> zaakceptowanych przez przedstawiciela  Zamawiającego</w:t>
      </w:r>
      <w:r w:rsidRPr="00044874">
        <w:t>.</w:t>
      </w:r>
    </w:p>
    <w:p w:rsidR="00585D0E" w:rsidRPr="00044874" w:rsidRDefault="00585D0E" w:rsidP="00585D0E">
      <w:pPr>
        <w:overflowPunct w:val="0"/>
        <w:autoSpaceDE w:val="0"/>
        <w:autoSpaceDN w:val="0"/>
        <w:adjustRightInd w:val="0"/>
        <w:jc w:val="both"/>
      </w:pPr>
      <w:r w:rsidRPr="00044874">
        <w:tab/>
        <w:t xml:space="preserve">Grunty i materiały nieprzydatne do </w:t>
      </w:r>
      <w:r w:rsidR="00FD19C7">
        <w:t>budowy nasypów, określone w ST M</w:t>
      </w:r>
      <w:r w:rsidRPr="00044874">
        <w:t>-</w:t>
      </w:r>
      <w:r w:rsidR="00FD19C7">
        <w:t>11.01.04</w:t>
      </w:r>
      <w:r w:rsidRPr="00044874">
        <w:t xml:space="preserve">, powinny być wywiezione przez Wykonawcę na odkład. Zapewnienie terenów na odkład należy do obowiązków </w:t>
      </w:r>
      <w:r>
        <w:t>przedstawiciela</w:t>
      </w:r>
      <w:r w:rsidRPr="00044874">
        <w:t>Zamawiającego, o ile nie określono teg</w:t>
      </w:r>
      <w:r>
        <w:t>o inaczej w kontrakcie. Przedstawiciela Zamawiający</w:t>
      </w:r>
      <w:r w:rsidRPr="00044874">
        <w:t xml:space="preserve"> może nakazać pozostawienie na terenie budowy gruntów, których czasowa nieprzydatność wynika jedynie z powodu zamarznięcia lub nadmiernej wilgotności.</w:t>
      </w:r>
    </w:p>
    <w:p w:rsidR="00585D0E" w:rsidRPr="00044874" w:rsidRDefault="00585D0E" w:rsidP="00585D0E">
      <w:pPr>
        <w:pageBreakBefore/>
        <w:overflowPunct w:val="0"/>
        <w:autoSpaceDE w:val="0"/>
        <w:autoSpaceDN w:val="0"/>
        <w:adjustRightInd w:val="0"/>
        <w:jc w:val="both"/>
      </w:pPr>
      <w:r w:rsidRPr="00044874">
        <w:t>Tablica 1. Podział gruntów pod względem wysadzinowości wg PN-S-02205:1998</w:t>
      </w:r>
    </w:p>
    <w:tbl>
      <w:tblPr>
        <w:tblW w:w="0" w:type="auto"/>
        <w:tblInd w:w="-32" w:type="dxa"/>
        <w:tblLayout w:type="fixed"/>
        <w:tblCellMar>
          <w:left w:w="70" w:type="dxa"/>
          <w:right w:w="70" w:type="dxa"/>
        </w:tblCellMar>
        <w:tblLook w:val="0000" w:firstRow="0" w:lastRow="0" w:firstColumn="0" w:lastColumn="0" w:noHBand="0" w:noVBand="0"/>
      </w:tblPr>
      <w:tblGrid>
        <w:gridCol w:w="496"/>
        <w:gridCol w:w="1417"/>
        <w:gridCol w:w="709"/>
        <w:gridCol w:w="1628"/>
        <w:gridCol w:w="1628"/>
        <w:gridCol w:w="1694"/>
      </w:tblGrid>
      <w:tr w:rsidR="00585D0E" w:rsidRPr="00044874" w:rsidTr="00585D0E">
        <w:tc>
          <w:tcPr>
            <w:tcW w:w="496" w:type="dxa"/>
            <w:tcBorders>
              <w:top w:val="single" w:sz="4" w:space="0" w:color="000000"/>
              <w:left w:val="single" w:sz="4" w:space="0" w:color="000000"/>
            </w:tcBorders>
            <w:shd w:val="clear" w:color="auto" w:fill="auto"/>
          </w:tcPr>
          <w:p w:rsidR="00585D0E" w:rsidRPr="00044874" w:rsidRDefault="00585D0E" w:rsidP="00585D0E">
            <w:pPr>
              <w:overflowPunct w:val="0"/>
              <w:autoSpaceDE w:val="0"/>
              <w:autoSpaceDN w:val="0"/>
              <w:adjustRightInd w:val="0"/>
              <w:snapToGrid w:val="0"/>
              <w:jc w:val="center"/>
            </w:pPr>
            <w:r w:rsidRPr="00044874">
              <w:t>Lp.</w:t>
            </w:r>
          </w:p>
        </w:tc>
        <w:tc>
          <w:tcPr>
            <w:tcW w:w="1417" w:type="dxa"/>
            <w:tcBorders>
              <w:top w:val="single" w:sz="4" w:space="0" w:color="000000"/>
              <w:left w:val="single" w:sz="4" w:space="0" w:color="000000"/>
            </w:tcBorders>
            <w:shd w:val="clear" w:color="auto" w:fill="auto"/>
          </w:tcPr>
          <w:p w:rsidR="00585D0E" w:rsidRPr="00044874" w:rsidRDefault="00585D0E" w:rsidP="00585D0E">
            <w:pPr>
              <w:overflowPunct w:val="0"/>
              <w:autoSpaceDE w:val="0"/>
              <w:autoSpaceDN w:val="0"/>
              <w:adjustRightInd w:val="0"/>
              <w:snapToGrid w:val="0"/>
              <w:jc w:val="center"/>
            </w:pPr>
            <w:r w:rsidRPr="00044874">
              <w:t>Wyszczególnienie</w:t>
            </w:r>
          </w:p>
        </w:tc>
        <w:tc>
          <w:tcPr>
            <w:tcW w:w="709" w:type="dxa"/>
            <w:tcBorders>
              <w:top w:val="single" w:sz="4" w:space="0" w:color="000000"/>
              <w:left w:val="single" w:sz="4" w:space="0" w:color="000000"/>
            </w:tcBorders>
            <w:shd w:val="clear" w:color="auto" w:fill="auto"/>
          </w:tcPr>
          <w:p w:rsidR="00585D0E" w:rsidRPr="00044874" w:rsidRDefault="00585D0E" w:rsidP="00585D0E">
            <w:pPr>
              <w:overflowPunct w:val="0"/>
              <w:autoSpaceDE w:val="0"/>
              <w:autoSpaceDN w:val="0"/>
              <w:adjustRightInd w:val="0"/>
              <w:snapToGrid w:val="0"/>
              <w:jc w:val="center"/>
            </w:pPr>
            <w:r w:rsidRPr="00044874">
              <w:t>Jed-</w:t>
            </w:r>
          </w:p>
        </w:tc>
        <w:tc>
          <w:tcPr>
            <w:tcW w:w="4950" w:type="dxa"/>
            <w:gridSpan w:val="3"/>
            <w:tcBorders>
              <w:top w:val="single" w:sz="4" w:space="0" w:color="000000"/>
              <w:left w:val="single" w:sz="4" w:space="0" w:color="000000"/>
              <w:bottom w:val="single" w:sz="4" w:space="0" w:color="000000"/>
              <w:right w:val="single" w:sz="4" w:space="0" w:color="000000"/>
            </w:tcBorders>
            <w:shd w:val="clear" w:color="auto" w:fill="auto"/>
          </w:tcPr>
          <w:p w:rsidR="00585D0E" w:rsidRPr="00044874" w:rsidRDefault="00585D0E" w:rsidP="00585D0E">
            <w:pPr>
              <w:overflowPunct w:val="0"/>
              <w:autoSpaceDE w:val="0"/>
              <w:autoSpaceDN w:val="0"/>
              <w:adjustRightInd w:val="0"/>
              <w:snapToGrid w:val="0"/>
              <w:jc w:val="center"/>
            </w:pPr>
            <w:r w:rsidRPr="00044874">
              <w:t>Grupy gruntów</w:t>
            </w:r>
          </w:p>
        </w:tc>
      </w:tr>
      <w:tr w:rsidR="00585D0E" w:rsidTr="00585D0E">
        <w:tc>
          <w:tcPr>
            <w:tcW w:w="496" w:type="dxa"/>
            <w:shd w:val="clear" w:color="auto" w:fill="auto"/>
          </w:tcPr>
          <w:p w:rsidR="00585D0E" w:rsidRPr="00044874" w:rsidRDefault="00585D0E" w:rsidP="00585D0E">
            <w:pPr>
              <w:overflowPunct w:val="0"/>
              <w:autoSpaceDE w:val="0"/>
              <w:autoSpaceDN w:val="0"/>
              <w:adjustRightInd w:val="0"/>
              <w:snapToGrid w:val="0"/>
              <w:jc w:val="center"/>
            </w:pPr>
          </w:p>
        </w:tc>
        <w:tc>
          <w:tcPr>
            <w:tcW w:w="1417" w:type="dxa"/>
            <w:shd w:val="clear" w:color="auto" w:fill="auto"/>
          </w:tcPr>
          <w:p w:rsidR="00585D0E" w:rsidRPr="00044874" w:rsidRDefault="00585D0E" w:rsidP="00585D0E">
            <w:pPr>
              <w:overflowPunct w:val="0"/>
              <w:autoSpaceDE w:val="0"/>
              <w:autoSpaceDN w:val="0"/>
              <w:adjustRightInd w:val="0"/>
              <w:snapToGrid w:val="0"/>
              <w:jc w:val="center"/>
            </w:pPr>
            <w:r w:rsidRPr="00044874">
              <w:t>właściwości</w:t>
            </w:r>
          </w:p>
        </w:tc>
        <w:tc>
          <w:tcPr>
            <w:tcW w:w="709" w:type="dxa"/>
            <w:shd w:val="clear" w:color="auto" w:fill="auto"/>
          </w:tcPr>
          <w:p w:rsidR="00585D0E" w:rsidRPr="00044874" w:rsidRDefault="00585D0E" w:rsidP="00585D0E">
            <w:pPr>
              <w:overflowPunct w:val="0"/>
              <w:autoSpaceDE w:val="0"/>
              <w:autoSpaceDN w:val="0"/>
              <w:adjustRightInd w:val="0"/>
              <w:snapToGrid w:val="0"/>
              <w:jc w:val="center"/>
            </w:pPr>
            <w:r w:rsidRPr="00044874">
              <w:t>nostki</w:t>
            </w:r>
          </w:p>
        </w:tc>
        <w:tc>
          <w:tcPr>
            <w:tcW w:w="1628" w:type="dxa"/>
            <w:shd w:val="clear" w:color="auto" w:fill="auto"/>
          </w:tcPr>
          <w:p w:rsidR="00585D0E" w:rsidRPr="00044874" w:rsidRDefault="00585D0E" w:rsidP="00585D0E">
            <w:pPr>
              <w:overflowPunct w:val="0"/>
              <w:autoSpaceDE w:val="0"/>
              <w:autoSpaceDN w:val="0"/>
              <w:adjustRightInd w:val="0"/>
              <w:snapToGrid w:val="0"/>
              <w:jc w:val="center"/>
            </w:pPr>
            <w:r w:rsidRPr="00044874">
              <w:t>niewysadzinowe</w:t>
            </w:r>
          </w:p>
        </w:tc>
        <w:tc>
          <w:tcPr>
            <w:tcW w:w="1628" w:type="dxa"/>
            <w:shd w:val="clear" w:color="auto" w:fill="auto"/>
          </w:tcPr>
          <w:p w:rsidR="00585D0E" w:rsidRPr="00044874" w:rsidRDefault="00585D0E" w:rsidP="00585D0E">
            <w:pPr>
              <w:overflowPunct w:val="0"/>
              <w:autoSpaceDE w:val="0"/>
              <w:autoSpaceDN w:val="0"/>
              <w:adjustRightInd w:val="0"/>
              <w:snapToGrid w:val="0"/>
              <w:jc w:val="center"/>
            </w:pPr>
            <w:r w:rsidRPr="00044874">
              <w:t>wątpliwe</w:t>
            </w:r>
          </w:p>
        </w:tc>
        <w:tc>
          <w:tcPr>
            <w:tcW w:w="1694" w:type="dxa"/>
            <w:shd w:val="clear" w:color="auto" w:fill="auto"/>
          </w:tcPr>
          <w:p w:rsidR="00585D0E" w:rsidRPr="00044874" w:rsidRDefault="00585D0E" w:rsidP="00585D0E">
            <w:pPr>
              <w:overflowPunct w:val="0"/>
              <w:autoSpaceDE w:val="0"/>
              <w:autoSpaceDN w:val="0"/>
              <w:adjustRightInd w:val="0"/>
              <w:snapToGrid w:val="0"/>
              <w:jc w:val="center"/>
            </w:pPr>
            <w:r w:rsidRPr="00044874">
              <w:t>wysadzinowe</w:t>
            </w:r>
          </w:p>
        </w:tc>
      </w:tr>
      <w:tr w:rsidR="00585D0E" w:rsidRPr="00044874" w:rsidTr="00585D0E">
        <w:tc>
          <w:tcPr>
            <w:tcW w:w="496" w:type="dxa"/>
            <w:tcBorders>
              <w:left w:val="single" w:sz="4" w:space="0" w:color="000000"/>
              <w:bottom w:val="single" w:sz="4" w:space="0" w:color="000000"/>
            </w:tcBorders>
            <w:shd w:val="clear" w:color="auto" w:fill="auto"/>
          </w:tcPr>
          <w:p w:rsidR="00585D0E" w:rsidRPr="00044874" w:rsidRDefault="00585D0E" w:rsidP="00585D0E">
            <w:pPr>
              <w:overflowPunct w:val="0"/>
              <w:autoSpaceDE w:val="0"/>
              <w:autoSpaceDN w:val="0"/>
              <w:adjustRightInd w:val="0"/>
              <w:snapToGrid w:val="0"/>
              <w:jc w:val="center"/>
            </w:pPr>
            <w:r w:rsidRPr="00044874">
              <w:t>1</w:t>
            </w:r>
          </w:p>
        </w:tc>
        <w:tc>
          <w:tcPr>
            <w:tcW w:w="1417" w:type="dxa"/>
            <w:tcBorders>
              <w:left w:val="single" w:sz="4" w:space="0" w:color="000000"/>
              <w:bottom w:val="single" w:sz="4" w:space="0" w:color="000000"/>
            </w:tcBorders>
            <w:shd w:val="clear" w:color="auto" w:fill="auto"/>
          </w:tcPr>
          <w:p w:rsidR="00585D0E" w:rsidRPr="00044874" w:rsidRDefault="00585D0E" w:rsidP="00585D0E">
            <w:pPr>
              <w:overflowPunct w:val="0"/>
              <w:autoSpaceDE w:val="0"/>
              <w:autoSpaceDN w:val="0"/>
              <w:adjustRightInd w:val="0"/>
              <w:snapToGrid w:val="0"/>
              <w:jc w:val="both"/>
            </w:pPr>
            <w:r w:rsidRPr="00044874">
              <w:t>Rodzaj gruntu</w:t>
            </w:r>
          </w:p>
        </w:tc>
        <w:tc>
          <w:tcPr>
            <w:tcW w:w="709" w:type="dxa"/>
            <w:tcBorders>
              <w:left w:val="single" w:sz="4" w:space="0" w:color="000000"/>
              <w:bottom w:val="single" w:sz="4" w:space="0" w:color="000000"/>
            </w:tcBorders>
            <w:shd w:val="clear" w:color="auto" w:fill="auto"/>
          </w:tcPr>
          <w:p w:rsidR="00585D0E" w:rsidRPr="00044874" w:rsidRDefault="00585D0E" w:rsidP="00585D0E">
            <w:pPr>
              <w:overflowPunct w:val="0"/>
              <w:autoSpaceDE w:val="0"/>
              <w:autoSpaceDN w:val="0"/>
              <w:adjustRightInd w:val="0"/>
              <w:snapToGrid w:val="0"/>
              <w:jc w:val="center"/>
            </w:pPr>
          </w:p>
        </w:tc>
        <w:tc>
          <w:tcPr>
            <w:tcW w:w="1628" w:type="dxa"/>
            <w:tcBorders>
              <w:left w:val="single" w:sz="4" w:space="0" w:color="000000"/>
              <w:bottom w:val="single" w:sz="4" w:space="0" w:color="000000"/>
            </w:tcBorders>
            <w:shd w:val="clear" w:color="auto" w:fill="auto"/>
          </w:tcPr>
          <w:p w:rsidR="00585D0E" w:rsidRPr="00044874" w:rsidRDefault="00585D0E" w:rsidP="0097494B">
            <w:pPr>
              <w:numPr>
                <w:ilvl w:val="0"/>
                <w:numId w:val="25"/>
              </w:numPr>
              <w:suppressAutoHyphens/>
              <w:overflowPunct w:val="0"/>
              <w:autoSpaceDE w:val="0"/>
              <w:snapToGrid w:val="0"/>
              <w:ind w:left="283" w:hanging="283"/>
              <w:jc w:val="both"/>
              <w:textAlignment w:val="baseline"/>
            </w:pPr>
            <w:r w:rsidRPr="00044874">
              <w:t>rumosz niegliniasty</w:t>
            </w:r>
          </w:p>
          <w:p w:rsidR="00585D0E" w:rsidRPr="00044874" w:rsidRDefault="00585D0E" w:rsidP="0097494B">
            <w:pPr>
              <w:numPr>
                <w:ilvl w:val="0"/>
                <w:numId w:val="25"/>
              </w:numPr>
              <w:suppressAutoHyphens/>
              <w:overflowPunct w:val="0"/>
              <w:autoSpaceDE w:val="0"/>
              <w:ind w:left="283" w:hanging="283"/>
              <w:jc w:val="both"/>
              <w:textAlignment w:val="baseline"/>
            </w:pPr>
            <w:r w:rsidRPr="00044874">
              <w:t>żwir</w:t>
            </w:r>
          </w:p>
          <w:p w:rsidR="00585D0E" w:rsidRPr="00044874" w:rsidRDefault="00585D0E" w:rsidP="0097494B">
            <w:pPr>
              <w:numPr>
                <w:ilvl w:val="0"/>
                <w:numId w:val="25"/>
              </w:numPr>
              <w:suppressAutoHyphens/>
              <w:overflowPunct w:val="0"/>
              <w:autoSpaceDE w:val="0"/>
              <w:ind w:left="283" w:hanging="283"/>
              <w:jc w:val="both"/>
              <w:textAlignment w:val="baseline"/>
            </w:pPr>
            <w:r w:rsidRPr="00044874">
              <w:t>pospółka</w:t>
            </w:r>
          </w:p>
          <w:p w:rsidR="00585D0E" w:rsidRPr="00044874" w:rsidRDefault="00585D0E" w:rsidP="0097494B">
            <w:pPr>
              <w:numPr>
                <w:ilvl w:val="0"/>
                <w:numId w:val="25"/>
              </w:numPr>
              <w:suppressAutoHyphens/>
              <w:overflowPunct w:val="0"/>
              <w:autoSpaceDE w:val="0"/>
              <w:ind w:left="283" w:hanging="283"/>
              <w:jc w:val="both"/>
              <w:textAlignment w:val="baseline"/>
            </w:pPr>
            <w:r w:rsidRPr="00044874">
              <w:t>piasek gruby</w:t>
            </w:r>
          </w:p>
          <w:p w:rsidR="00585D0E" w:rsidRPr="00044874" w:rsidRDefault="00585D0E" w:rsidP="0097494B">
            <w:pPr>
              <w:numPr>
                <w:ilvl w:val="0"/>
                <w:numId w:val="25"/>
              </w:numPr>
              <w:suppressAutoHyphens/>
              <w:overflowPunct w:val="0"/>
              <w:autoSpaceDE w:val="0"/>
              <w:ind w:left="283" w:hanging="283"/>
              <w:jc w:val="both"/>
              <w:textAlignment w:val="baseline"/>
            </w:pPr>
            <w:r w:rsidRPr="00044874">
              <w:t>piasek średni</w:t>
            </w:r>
          </w:p>
          <w:p w:rsidR="00585D0E" w:rsidRPr="00044874" w:rsidRDefault="00585D0E" w:rsidP="0097494B">
            <w:pPr>
              <w:numPr>
                <w:ilvl w:val="0"/>
                <w:numId w:val="25"/>
              </w:numPr>
              <w:suppressAutoHyphens/>
              <w:overflowPunct w:val="0"/>
              <w:autoSpaceDE w:val="0"/>
              <w:ind w:left="283" w:hanging="283"/>
              <w:jc w:val="both"/>
              <w:textAlignment w:val="baseline"/>
            </w:pPr>
            <w:r w:rsidRPr="00044874">
              <w:t>piasek drobny</w:t>
            </w:r>
          </w:p>
          <w:p w:rsidR="00585D0E" w:rsidRPr="00044874" w:rsidRDefault="00585D0E" w:rsidP="0097494B">
            <w:pPr>
              <w:numPr>
                <w:ilvl w:val="0"/>
                <w:numId w:val="25"/>
              </w:numPr>
              <w:suppressAutoHyphens/>
              <w:overflowPunct w:val="0"/>
              <w:autoSpaceDE w:val="0"/>
              <w:ind w:left="283" w:hanging="283"/>
              <w:jc w:val="both"/>
              <w:textAlignment w:val="baseline"/>
            </w:pPr>
            <w:r w:rsidRPr="00044874">
              <w:t>żużel nierozpadowy</w:t>
            </w:r>
          </w:p>
        </w:tc>
        <w:tc>
          <w:tcPr>
            <w:tcW w:w="1628" w:type="dxa"/>
            <w:tcBorders>
              <w:left w:val="single" w:sz="4" w:space="0" w:color="000000"/>
              <w:bottom w:val="single" w:sz="4" w:space="0" w:color="000000"/>
            </w:tcBorders>
            <w:shd w:val="clear" w:color="auto" w:fill="auto"/>
          </w:tcPr>
          <w:p w:rsidR="00585D0E" w:rsidRPr="00044874" w:rsidRDefault="00585D0E" w:rsidP="0097494B">
            <w:pPr>
              <w:numPr>
                <w:ilvl w:val="0"/>
                <w:numId w:val="25"/>
              </w:numPr>
              <w:suppressAutoHyphens/>
              <w:overflowPunct w:val="0"/>
              <w:autoSpaceDE w:val="0"/>
              <w:snapToGrid w:val="0"/>
              <w:ind w:left="283" w:hanging="283"/>
              <w:jc w:val="both"/>
              <w:textAlignment w:val="baseline"/>
            </w:pPr>
            <w:r w:rsidRPr="00044874">
              <w:t>piasek pylasty</w:t>
            </w:r>
          </w:p>
          <w:p w:rsidR="00585D0E" w:rsidRPr="00044874" w:rsidRDefault="00585D0E" w:rsidP="0097494B">
            <w:pPr>
              <w:numPr>
                <w:ilvl w:val="0"/>
                <w:numId w:val="25"/>
              </w:numPr>
              <w:suppressAutoHyphens/>
              <w:overflowPunct w:val="0"/>
              <w:autoSpaceDE w:val="0"/>
              <w:ind w:left="283" w:hanging="283"/>
              <w:jc w:val="both"/>
              <w:textAlignment w:val="baseline"/>
            </w:pPr>
            <w:r w:rsidRPr="00044874">
              <w:t>zwietrzelina gliniasta</w:t>
            </w:r>
          </w:p>
          <w:p w:rsidR="00585D0E" w:rsidRPr="00044874" w:rsidRDefault="00585D0E" w:rsidP="0097494B">
            <w:pPr>
              <w:numPr>
                <w:ilvl w:val="0"/>
                <w:numId w:val="25"/>
              </w:numPr>
              <w:suppressAutoHyphens/>
              <w:overflowPunct w:val="0"/>
              <w:autoSpaceDE w:val="0"/>
              <w:ind w:left="283" w:hanging="283"/>
              <w:jc w:val="both"/>
              <w:textAlignment w:val="baseline"/>
            </w:pPr>
            <w:r w:rsidRPr="00044874">
              <w:t>rumosz gliniasty</w:t>
            </w:r>
          </w:p>
          <w:p w:rsidR="00585D0E" w:rsidRPr="00044874" w:rsidRDefault="00585D0E" w:rsidP="0097494B">
            <w:pPr>
              <w:numPr>
                <w:ilvl w:val="0"/>
                <w:numId w:val="25"/>
              </w:numPr>
              <w:suppressAutoHyphens/>
              <w:overflowPunct w:val="0"/>
              <w:autoSpaceDE w:val="0"/>
              <w:ind w:left="283" w:hanging="283"/>
              <w:jc w:val="both"/>
              <w:textAlignment w:val="baseline"/>
            </w:pPr>
            <w:r w:rsidRPr="00044874">
              <w:t>żwir gliniasty</w:t>
            </w:r>
          </w:p>
          <w:p w:rsidR="00585D0E" w:rsidRPr="00044874" w:rsidRDefault="00585D0E" w:rsidP="0097494B">
            <w:pPr>
              <w:numPr>
                <w:ilvl w:val="0"/>
                <w:numId w:val="25"/>
              </w:numPr>
              <w:suppressAutoHyphens/>
              <w:overflowPunct w:val="0"/>
              <w:autoSpaceDE w:val="0"/>
              <w:ind w:left="283" w:hanging="283"/>
              <w:jc w:val="both"/>
              <w:textAlignment w:val="baseline"/>
            </w:pPr>
            <w:r w:rsidRPr="00044874">
              <w:t>pospółka gliniasta</w:t>
            </w:r>
          </w:p>
        </w:tc>
        <w:tc>
          <w:tcPr>
            <w:tcW w:w="1694" w:type="dxa"/>
            <w:tcBorders>
              <w:left w:val="single" w:sz="4" w:space="0" w:color="000000"/>
              <w:bottom w:val="single" w:sz="4" w:space="0" w:color="000000"/>
              <w:right w:val="single" w:sz="4" w:space="0" w:color="000000"/>
            </w:tcBorders>
            <w:shd w:val="clear" w:color="auto" w:fill="auto"/>
          </w:tcPr>
          <w:p w:rsidR="00585D0E" w:rsidRPr="00044874" w:rsidRDefault="00585D0E" w:rsidP="00585D0E">
            <w:pPr>
              <w:overflowPunct w:val="0"/>
              <w:autoSpaceDE w:val="0"/>
              <w:autoSpaceDN w:val="0"/>
              <w:adjustRightInd w:val="0"/>
              <w:snapToGrid w:val="0"/>
              <w:jc w:val="both"/>
              <w:rPr>
                <w:b/>
              </w:rPr>
            </w:pPr>
            <w:r w:rsidRPr="00044874">
              <w:rPr>
                <w:b/>
              </w:rPr>
              <w:t>mało wysadzinowe</w:t>
            </w:r>
          </w:p>
          <w:p w:rsidR="00585D0E" w:rsidRPr="00044874" w:rsidRDefault="00585D0E" w:rsidP="0097494B">
            <w:pPr>
              <w:numPr>
                <w:ilvl w:val="0"/>
                <w:numId w:val="25"/>
              </w:numPr>
              <w:suppressAutoHyphens/>
              <w:overflowPunct w:val="0"/>
              <w:autoSpaceDE w:val="0"/>
              <w:ind w:left="283" w:hanging="283"/>
              <w:textAlignment w:val="baseline"/>
            </w:pPr>
            <w:r w:rsidRPr="00044874">
              <w:t>glina piasz-    czysta zwięzła, glina zwięzła, glina pylasta zwięzła</w:t>
            </w:r>
          </w:p>
          <w:p w:rsidR="00585D0E" w:rsidRPr="00044874" w:rsidRDefault="00585D0E" w:rsidP="0097494B">
            <w:pPr>
              <w:numPr>
                <w:ilvl w:val="0"/>
                <w:numId w:val="25"/>
              </w:numPr>
              <w:suppressAutoHyphens/>
              <w:overflowPunct w:val="0"/>
              <w:autoSpaceDE w:val="0"/>
              <w:ind w:left="283" w:hanging="283"/>
              <w:textAlignment w:val="baseline"/>
            </w:pPr>
            <w:r w:rsidRPr="00044874">
              <w:t>ił, ił piaszczys-ty, ił pylasty</w:t>
            </w:r>
          </w:p>
          <w:p w:rsidR="00585D0E" w:rsidRPr="00044874" w:rsidRDefault="00585D0E" w:rsidP="00585D0E">
            <w:pPr>
              <w:overflowPunct w:val="0"/>
              <w:autoSpaceDE w:val="0"/>
              <w:autoSpaceDN w:val="0"/>
              <w:adjustRightInd w:val="0"/>
              <w:rPr>
                <w:b/>
              </w:rPr>
            </w:pPr>
            <w:r w:rsidRPr="00044874">
              <w:rPr>
                <w:b/>
              </w:rPr>
              <w:t>bardzo wysadzinowe</w:t>
            </w:r>
          </w:p>
          <w:p w:rsidR="00585D0E" w:rsidRPr="00044874" w:rsidRDefault="00585D0E" w:rsidP="0097494B">
            <w:pPr>
              <w:numPr>
                <w:ilvl w:val="0"/>
                <w:numId w:val="25"/>
              </w:numPr>
              <w:suppressAutoHyphens/>
              <w:overflowPunct w:val="0"/>
              <w:autoSpaceDE w:val="0"/>
              <w:ind w:left="283" w:hanging="283"/>
              <w:textAlignment w:val="baseline"/>
            </w:pPr>
            <w:r w:rsidRPr="00044874">
              <w:t>piasek gliniasty</w:t>
            </w:r>
          </w:p>
          <w:p w:rsidR="00585D0E" w:rsidRPr="00044874" w:rsidRDefault="00585D0E" w:rsidP="0097494B">
            <w:pPr>
              <w:numPr>
                <w:ilvl w:val="0"/>
                <w:numId w:val="25"/>
              </w:numPr>
              <w:suppressAutoHyphens/>
              <w:overflowPunct w:val="0"/>
              <w:autoSpaceDE w:val="0"/>
              <w:ind w:left="283" w:hanging="283"/>
              <w:textAlignment w:val="baseline"/>
            </w:pPr>
            <w:r w:rsidRPr="00044874">
              <w:t>pył, pył piasz-czysty</w:t>
            </w:r>
          </w:p>
          <w:p w:rsidR="00585D0E" w:rsidRPr="00044874" w:rsidRDefault="00585D0E" w:rsidP="0097494B">
            <w:pPr>
              <w:numPr>
                <w:ilvl w:val="0"/>
                <w:numId w:val="25"/>
              </w:numPr>
              <w:suppressAutoHyphens/>
              <w:overflowPunct w:val="0"/>
              <w:autoSpaceDE w:val="0"/>
              <w:ind w:left="283" w:hanging="283"/>
              <w:textAlignment w:val="baseline"/>
            </w:pPr>
            <w:r w:rsidRPr="00044874">
              <w:t>glina piasz-  czysta, glina, glina pylasta</w:t>
            </w:r>
          </w:p>
          <w:p w:rsidR="00585D0E" w:rsidRPr="00044874" w:rsidRDefault="00585D0E" w:rsidP="0097494B">
            <w:pPr>
              <w:numPr>
                <w:ilvl w:val="0"/>
                <w:numId w:val="25"/>
              </w:numPr>
              <w:suppressAutoHyphens/>
              <w:overflowPunct w:val="0"/>
              <w:autoSpaceDE w:val="0"/>
              <w:ind w:left="283" w:hanging="283"/>
              <w:textAlignment w:val="baseline"/>
            </w:pPr>
            <w:r w:rsidRPr="00044874">
              <w:t>ił warwowy</w:t>
            </w:r>
          </w:p>
        </w:tc>
      </w:tr>
      <w:tr w:rsidR="00585D0E" w:rsidRPr="00044874" w:rsidTr="00585D0E">
        <w:tc>
          <w:tcPr>
            <w:tcW w:w="496" w:type="dxa"/>
            <w:tcBorders>
              <w:left w:val="single" w:sz="4" w:space="0" w:color="000000"/>
              <w:bottom w:val="single" w:sz="4" w:space="0" w:color="000000"/>
            </w:tcBorders>
            <w:shd w:val="clear" w:color="auto" w:fill="auto"/>
          </w:tcPr>
          <w:p w:rsidR="00585D0E" w:rsidRPr="00044874" w:rsidRDefault="00585D0E" w:rsidP="00585D0E">
            <w:pPr>
              <w:overflowPunct w:val="0"/>
              <w:autoSpaceDE w:val="0"/>
              <w:autoSpaceDN w:val="0"/>
              <w:adjustRightInd w:val="0"/>
              <w:snapToGrid w:val="0"/>
              <w:jc w:val="center"/>
            </w:pPr>
            <w:r w:rsidRPr="00044874">
              <w:t>2</w:t>
            </w:r>
          </w:p>
        </w:tc>
        <w:tc>
          <w:tcPr>
            <w:tcW w:w="1417" w:type="dxa"/>
            <w:tcBorders>
              <w:left w:val="single" w:sz="4" w:space="0" w:color="000000"/>
              <w:bottom w:val="single" w:sz="4" w:space="0" w:color="000000"/>
            </w:tcBorders>
            <w:shd w:val="clear" w:color="auto" w:fill="auto"/>
          </w:tcPr>
          <w:p w:rsidR="00585D0E" w:rsidRPr="00044874" w:rsidRDefault="00585D0E" w:rsidP="00585D0E">
            <w:pPr>
              <w:overflowPunct w:val="0"/>
              <w:autoSpaceDE w:val="0"/>
              <w:autoSpaceDN w:val="0"/>
              <w:adjustRightInd w:val="0"/>
              <w:snapToGrid w:val="0"/>
              <w:jc w:val="both"/>
            </w:pPr>
            <w:r w:rsidRPr="00044874">
              <w:t>Zawartość cząstek</w:t>
            </w:r>
          </w:p>
          <w:p w:rsidR="00585D0E" w:rsidRPr="00044874" w:rsidRDefault="00585D0E" w:rsidP="00585D0E">
            <w:pPr>
              <w:overflowPunct w:val="0"/>
              <w:autoSpaceDE w:val="0"/>
              <w:autoSpaceDN w:val="0"/>
              <w:adjustRightInd w:val="0"/>
              <w:jc w:val="both"/>
            </w:pPr>
            <w:r w:rsidRPr="00044874">
              <w:rPr>
                <w:rFonts w:ascii="Symbol" w:hAnsi="Symbol"/>
              </w:rPr>
              <w:t></w:t>
            </w:r>
            <w:r w:rsidRPr="00044874">
              <w:t xml:space="preserve"> 0,075 mm</w:t>
            </w:r>
          </w:p>
          <w:p w:rsidR="00585D0E" w:rsidRPr="00044874" w:rsidRDefault="00585D0E" w:rsidP="00585D0E">
            <w:pPr>
              <w:overflowPunct w:val="0"/>
              <w:autoSpaceDE w:val="0"/>
              <w:autoSpaceDN w:val="0"/>
              <w:adjustRightInd w:val="0"/>
              <w:jc w:val="both"/>
            </w:pPr>
            <w:r w:rsidRPr="00044874">
              <w:rPr>
                <w:rFonts w:ascii="Symbol" w:hAnsi="Symbol"/>
              </w:rPr>
              <w:t></w:t>
            </w:r>
            <w:r w:rsidRPr="00044874">
              <w:t xml:space="preserve"> 0,02   mm</w:t>
            </w:r>
          </w:p>
        </w:tc>
        <w:tc>
          <w:tcPr>
            <w:tcW w:w="709" w:type="dxa"/>
            <w:tcBorders>
              <w:left w:val="single" w:sz="4" w:space="0" w:color="000000"/>
              <w:bottom w:val="single" w:sz="4" w:space="0" w:color="000000"/>
            </w:tcBorders>
            <w:shd w:val="clear" w:color="auto" w:fill="auto"/>
          </w:tcPr>
          <w:p w:rsidR="00585D0E" w:rsidRPr="00044874" w:rsidRDefault="00585D0E" w:rsidP="00585D0E">
            <w:pPr>
              <w:overflowPunct w:val="0"/>
              <w:autoSpaceDE w:val="0"/>
              <w:autoSpaceDN w:val="0"/>
              <w:adjustRightInd w:val="0"/>
              <w:snapToGrid w:val="0"/>
              <w:jc w:val="center"/>
            </w:pPr>
          </w:p>
          <w:p w:rsidR="00585D0E" w:rsidRPr="00044874" w:rsidRDefault="00585D0E" w:rsidP="00585D0E">
            <w:pPr>
              <w:overflowPunct w:val="0"/>
              <w:autoSpaceDE w:val="0"/>
              <w:autoSpaceDN w:val="0"/>
              <w:adjustRightInd w:val="0"/>
              <w:jc w:val="center"/>
            </w:pPr>
            <w:r w:rsidRPr="00044874">
              <w:t>%</w:t>
            </w:r>
          </w:p>
        </w:tc>
        <w:tc>
          <w:tcPr>
            <w:tcW w:w="1628" w:type="dxa"/>
            <w:tcBorders>
              <w:left w:val="single" w:sz="4" w:space="0" w:color="000000"/>
              <w:bottom w:val="single" w:sz="4" w:space="0" w:color="000000"/>
            </w:tcBorders>
            <w:shd w:val="clear" w:color="auto" w:fill="auto"/>
          </w:tcPr>
          <w:p w:rsidR="00585D0E" w:rsidRPr="00044874" w:rsidRDefault="00585D0E" w:rsidP="00585D0E">
            <w:pPr>
              <w:overflowPunct w:val="0"/>
              <w:autoSpaceDE w:val="0"/>
              <w:autoSpaceDN w:val="0"/>
              <w:adjustRightInd w:val="0"/>
              <w:snapToGrid w:val="0"/>
              <w:jc w:val="center"/>
            </w:pPr>
          </w:p>
          <w:p w:rsidR="00585D0E" w:rsidRPr="00044874" w:rsidRDefault="00585D0E" w:rsidP="00585D0E">
            <w:pPr>
              <w:overflowPunct w:val="0"/>
              <w:autoSpaceDE w:val="0"/>
              <w:autoSpaceDN w:val="0"/>
              <w:adjustRightInd w:val="0"/>
              <w:jc w:val="center"/>
            </w:pPr>
          </w:p>
          <w:p w:rsidR="00585D0E" w:rsidRPr="00044874" w:rsidRDefault="00585D0E" w:rsidP="00585D0E">
            <w:pPr>
              <w:overflowPunct w:val="0"/>
              <w:autoSpaceDE w:val="0"/>
              <w:autoSpaceDN w:val="0"/>
              <w:adjustRightInd w:val="0"/>
              <w:jc w:val="center"/>
            </w:pPr>
            <w:r w:rsidRPr="00044874">
              <w:rPr>
                <w:rFonts w:ascii="Symbol" w:hAnsi="Symbol"/>
              </w:rPr>
              <w:t></w:t>
            </w:r>
            <w:r w:rsidRPr="00044874">
              <w:t xml:space="preserve"> 15</w:t>
            </w:r>
          </w:p>
          <w:p w:rsidR="00585D0E" w:rsidRPr="00044874" w:rsidRDefault="00585D0E" w:rsidP="00585D0E">
            <w:pPr>
              <w:overflowPunct w:val="0"/>
              <w:autoSpaceDE w:val="0"/>
              <w:autoSpaceDN w:val="0"/>
              <w:adjustRightInd w:val="0"/>
              <w:jc w:val="center"/>
            </w:pPr>
            <w:r w:rsidRPr="00044874">
              <w:rPr>
                <w:rFonts w:ascii="Symbol" w:hAnsi="Symbol"/>
              </w:rPr>
              <w:t></w:t>
            </w:r>
            <w:r w:rsidRPr="00044874">
              <w:t xml:space="preserve"> 3</w:t>
            </w:r>
          </w:p>
        </w:tc>
        <w:tc>
          <w:tcPr>
            <w:tcW w:w="1628" w:type="dxa"/>
            <w:tcBorders>
              <w:left w:val="single" w:sz="4" w:space="0" w:color="000000"/>
              <w:bottom w:val="single" w:sz="4" w:space="0" w:color="000000"/>
            </w:tcBorders>
            <w:shd w:val="clear" w:color="auto" w:fill="auto"/>
          </w:tcPr>
          <w:p w:rsidR="00585D0E" w:rsidRPr="00044874" w:rsidRDefault="00585D0E" w:rsidP="00585D0E">
            <w:pPr>
              <w:overflowPunct w:val="0"/>
              <w:autoSpaceDE w:val="0"/>
              <w:autoSpaceDN w:val="0"/>
              <w:adjustRightInd w:val="0"/>
              <w:snapToGrid w:val="0"/>
              <w:jc w:val="center"/>
            </w:pPr>
          </w:p>
          <w:p w:rsidR="00585D0E" w:rsidRPr="00044874" w:rsidRDefault="00585D0E" w:rsidP="00585D0E">
            <w:pPr>
              <w:overflowPunct w:val="0"/>
              <w:autoSpaceDE w:val="0"/>
              <w:autoSpaceDN w:val="0"/>
              <w:adjustRightInd w:val="0"/>
              <w:jc w:val="center"/>
            </w:pPr>
          </w:p>
          <w:p w:rsidR="00585D0E" w:rsidRPr="00044874" w:rsidRDefault="00585D0E" w:rsidP="00585D0E">
            <w:pPr>
              <w:overflowPunct w:val="0"/>
              <w:autoSpaceDE w:val="0"/>
              <w:autoSpaceDN w:val="0"/>
              <w:adjustRightInd w:val="0"/>
              <w:jc w:val="center"/>
            </w:pPr>
            <w:r w:rsidRPr="00044874">
              <w:t>od 15 do 30</w:t>
            </w:r>
          </w:p>
          <w:p w:rsidR="00585D0E" w:rsidRPr="00044874" w:rsidRDefault="00585D0E" w:rsidP="00585D0E">
            <w:pPr>
              <w:overflowPunct w:val="0"/>
              <w:autoSpaceDE w:val="0"/>
              <w:autoSpaceDN w:val="0"/>
              <w:adjustRightInd w:val="0"/>
              <w:jc w:val="center"/>
            </w:pPr>
            <w:r w:rsidRPr="00044874">
              <w:t>od 3 do 10</w:t>
            </w:r>
          </w:p>
        </w:tc>
        <w:tc>
          <w:tcPr>
            <w:tcW w:w="1694" w:type="dxa"/>
            <w:tcBorders>
              <w:left w:val="single" w:sz="4" w:space="0" w:color="000000"/>
              <w:bottom w:val="single" w:sz="4" w:space="0" w:color="000000"/>
              <w:right w:val="single" w:sz="4" w:space="0" w:color="000000"/>
            </w:tcBorders>
            <w:shd w:val="clear" w:color="auto" w:fill="auto"/>
          </w:tcPr>
          <w:p w:rsidR="00585D0E" w:rsidRPr="00044874" w:rsidRDefault="00585D0E" w:rsidP="00585D0E">
            <w:pPr>
              <w:overflowPunct w:val="0"/>
              <w:autoSpaceDE w:val="0"/>
              <w:autoSpaceDN w:val="0"/>
              <w:adjustRightInd w:val="0"/>
              <w:snapToGrid w:val="0"/>
              <w:jc w:val="center"/>
            </w:pPr>
          </w:p>
          <w:p w:rsidR="00585D0E" w:rsidRPr="00044874" w:rsidRDefault="00585D0E" w:rsidP="00585D0E">
            <w:pPr>
              <w:overflowPunct w:val="0"/>
              <w:autoSpaceDE w:val="0"/>
              <w:autoSpaceDN w:val="0"/>
              <w:adjustRightInd w:val="0"/>
              <w:jc w:val="center"/>
            </w:pPr>
          </w:p>
          <w:p w:rsidR="00585D0E" w:rsidRPr="00044874" w:rsidRDefault="00585D0E" w:rsidP="00585D0E">
            <w:pPr>
              <w:overflowPunct w:val="0"/>
              <w:autoSpaceDE w:val="0"/>
              <w:autoSpaceDN w:val="0"/>
              <w:adjustRightInd w:val="0"/>
              <w:jc w:val="center"/>
            </w:pPr>
            <w:r w:rsidRPr="00044874">
              <w:rPr>
                <w:rFonts w:ascii="Symbol" w:hAnsi="Symbol"/>
              </w:rPr>
              <w:t></w:t>
            </w:r>
            <w:r w:rsidRPr="00044874">
              <w:t xml:space="preserve"> 30</w:t>
            </w:r>
          </w:p>
          <w:p w:rsidR="00585D0E" w:rsidRPr="00044874" w:rsidRDefault="00585D0E" w:rsidP="00585D0E">
            <w:pPr>
              <w:overflowPunct w:val="0"/>
              <w:autoSpaceDE w:val="0"/>
              <w:autoSpaceDN w:val="0"/>
              <w:adjustRightInd w:val="0"/>
              <w:jc w:val="center"/>
            </w:pPr>
            <w:r w:rsidRPr="00044874">
              <w:rPr>
                <w:rFonts w:ascii="Symbol" w:hAnsi="Symbol"/>
              </w:rPr>
              <w:t></w:t>
            </w:r>
            <w:r w:rsidRPr="00044874">
              <w:t xml:space="preserve"> 10</w:t>
            </w:r>
          </w:p>
        </w:tc>
      </w:tr>
      <w:tr w:rsidR="00585D0E" w:rsidRPr="00044874" w:rsidTr="00585D0E">
        <w:tc>
          <w:tcPr>
            <w:tcW w:w="496" w:type="dxa"/>
            <w:tcBorders>
              <w:left w:val="single" w:sz="4" w:space="0" w:color="000000"/>
              <w:bottom w:val="single" w:sz="4" w:space="0" w:color="000000"/>
            </w:tcBorders>
            <w:shd w:val="clear" w:color="auto" w:fill="auto"/>
          </w:tcPr>
          <w:p w:rsidR="00585D0E" w:rsidRPr="00044874" w:rsidRDefault="00585D0E" w:rsidP="00585D0E">
            <w:pPr>
              <w:overflowPunct w:val="0"/>
              <w:autoSpaceDE w:val="0"/>
              <w:autoSpaceDN w:val="0"/>
              <w:adjustRightInd w:val="0"/>
              <w:snapToGrid w:val="0"/>
              <w:jc w:val="center"/>
            </w:pPr>
            <w:r w:rsidRPr="00044874">
              <w:t>3</w:t>
            </w:r>
          </w:p>
        </w:tc>
        <w:tc>
          <w:tcPr>
            <w:tcW w:w="1417" w:type="dxa"/>
            <w:tcBorders>
              <w:left w:val="single" w:sz="4" w:space="0" w:color="000000"/>
              <w:bottom w:val="single" w:sz="4" w:space="0" w:color="000000"/>
            </w:tcBorders>
            <w:shd w:val="clear" w:color="auto" w:fill="auto"/>
          </w:tcPr>
          <w:p w:rsidR="00585D0E" w:rsidRPr="00044874" w:rsidRDefault="00585D0E" w:rsidP="00585D0E">
            <w:pPr>
              <w:overflowPunct w:val="0"/>
              <w:autoSpaceDE w:val="0"/>
              <w:autoSpaceDN w:val="0"/>
              <w:adjustRightInd w:val="0"/>
              <w:snapToGrid w:val="0"/>
              <w:jc w:val="both"/>
              <w:rPr>
                <w:vertAlign w:val="subscript"/>
              </w:rPr>
            </w:pPr>
            <w:r w:rsidRPr="00044874">
              <w:t>Kapilarność bierna H</w:t>
            </w:r>
            <w:r w:rsidRPr="00044874">
              <w:rPr>
                <w:vertAlign w:val="subscript"/>
              </w:rPr>
              <w:t>kb</w:t>
            </w:r>
          </w:p>
        </w:tc>
        <w:tc>
          <w:tcPr>
            <w:tcW w:w="709" w:type="dxa"/>
            <w:tcBorders>
              <w:left w:val="single" w:sz="4" w:space="0" w:color="000000"/>
              <w:bottom w:val="single" w:sz="4" w:space="0" w:color="000000"/>
            </w:tcBorders>
            <w:shd w:val="clear" w:color="auto" w:fill="auto"/>
          </w:tcPr>
          <w:p w:rsidR="00585D0E" w:rsidRPr="00044874" w:rsidRDefault="00585D0E" w:rsidP="00585D0E">
            <w:pPr>
              <w:overflowPunct w:val="0"/>
              <w:autoSpaceDE w:val="0"/>
              <w:autoSpaceDN w:val="0"/>
              <w:adjustRightInd w:val="0"/>
              <w:snapToGrid w:val="0"/>
              <w:jc w:val="center"/>
            </w:pPr>
          </w:p>
          <w:p w:rsidR="00585D0E" w:rsidRPr="00044874" w:rsidRDefault="00585D0E" w:rsidP="00585D0E">
            <w:pPr>
              <w:overflowPunct w:val="0"/>
              <w:autoSpaceDE w:val="0"/>
              <w:autoSpaceDN w:val="0"/>
              <w:adjustRightInd w:val="0"/>
              <w:jc w:val="center"/>
            </w:pPr>
            <w:r w:rsidRPr="00044874">
              <w:t>m</w:t>
            </w:r>
          </w:p>
        </w:tc>
        <w:tc>
          <w:tcPr>
            <w:tcW w:w="1628" w:type="dxa"/>
            <w:tcBorders>
              <w:left w:val="single" w:sz="4" w:space="0" w:color="000000"/>
              <w:bottom w:val="single" w:sz="4" w:space="0" w:color="000000"/>
            </w:tcBorders>
            <w:shd w:val="clear" w:color="auto" w:fill="auto"/>
          </w:tcPr>
          <w:p w:rsidR="00585D0E" w:rsidRPr="00044874" w:rsidRDefault="00585D0E" w:rsidP="00585D0E">
            <w:pPr>
              <w:overflowPunct w:val="0"/>
              <w:autoSpaceDE w:val="0"/>
              <w:autoSpaceDN w:val="0"/>
              <w:adjustRightInd w:val="0"/>
              <w:snapToGrid w:val="0"/>
              <w:jc w:val="center"/>
            </w:pPr>
          </w:p>
          <w:p w:rsidR="00585D0E" w:rsidRPr="00044874" w:rsidRDefault="00585D0E" w:rsidP="00585D0E">
            <w:pPr>
              <w:overflowPunct w:val="0"/>
              <w:autoSpaceDE w:val="0"/>
              <w:autoSpaceDN w:val="0"/>
              <w:adjustRightInd w:val="0"/>
              <w:jc w:val="center"/>
            </w:pPr>
            <w:r w:rsidRPr="00044874">
              <w:rPr>
                <w:rFonts w:ascii="Symbol" w:hAnsi="Symbol"/>
              </w:rPr>
              <w:t></w:t>
            </w:r>
            <w:r w:rsidRPr="00044874">
              <w:t xml:space="preserve"> 1,0</w:t>
            </w:r>
          </w:p>
        </w:tc>
        <w:tc>
          <w:tcPr>
            <w:tcW w:w="1628" w:type="dxa"/>
            <w:tcBorders>
              <w:left w:val="single" w:sz="4" w:space="0" w:color="000000"/>
              <w:bottom w:val="single" w:sz="4" w:space="0" w:color="000000"/>
            </w:tcBorders>
            <w:shd w:val="clear" w:color="auto" w:fill="auto"/>
          </w:tcPr>
          <w:p w:rsidR="00585D0E" w:rsidRPr="00044874" w:rsidRDefault="00585D0E" w:rsidP="00585D0E">
            <w:pPr>
              <w:overflowPunct w:val="0"/>
              <w:autoSpaceDE w:val="0"/>
              <w:autoSpaceDN w:val="0"/>
              <w:adjustRightInd w:val="0"/>
              <w:snapToGrid w:val="0"/>
              <w:jc w:val="center"/>
            </w:pPr>
          </w:p>
          <w:p w:rsidR="00585D0E" w:rsidRPr="00044874" w:rsidRDefault="00585D0E" w:rsidP="00585D0E">
            <w:pPr>
              <w:overflowPunct w:val="0"/>
              <w:autoSpaceDE w:val="0"/>
              <w:autoSpaceDN w:val="0"/>
              <w:adjustRightInd w:val="0"/>
              <w:jc w:val="center"/>
            </w:pPr>
            <w:r w:rsidRPr="00044874">
              <w:rPr>
                <w:rFonts w:ascii="Symbol" w:hAnsi="Symbol"/>
              </w:rPr>
              <w:t></w:t>
            </w:r>
            <w:r w:rsidRPr="00044874">
              <w:t xml:space="preserve"> 1,0</w:t>
            </w:r>
          </w:p>
        </w:tc>
        <w:tc>
          <w:tcPr>
            <w:tcW w:w="1694" w:type="dxa"/>
            <w:tcBorders>
              <w:left w:val="single" w:sz="4" w:space="0" w:color="000000"/>
              <w:bottom w:val="single" w:sz="4" w:space="0" w:color="000000"/>
              <w:right w:val="single" w:sz="4" w:space="0" w:color="000000"/>
            </w:tcBorders>
            <w:shd w:val="clear" w:color="auto" w:fill="auto"/>
          </w:tcPr>
          <w:p w:rsidR="00585D0E" w:rsidRPr="00044874" w:rsidRDefault="00585D0E" w:rsidP="00585D0E">
            <w:pPr>
              <w:overflowPunct w:val="0"/>
              <w:autoSpaceDE w:val="0"/>
              <w:autoSpaceDN w:val="0"/>
              <w:adjustRightInd w:val="0"/>
              <w:snapToGrid w:val="0"/>
              <w:jc w:val="center"/>
            </w:pPr>
          </w:p>
          <w:p w:rsidR="00585D0E" w:rsidRPr="00044874" w:rsidRDefault="00585D0E" w:rsidP="00585D0E">
            <w:pPr>
              <w:overflowPunct w:val="0"/>
              <w:autoSpaceDE w:val="0"/>
              <w:autoSpaceDN w:val="0"/>
              <w:adjustRightInd w:val="0"/>
              <w:jc w:val="center"/>
            </w:pPr>
            <w:r w:rsidRPr="00044874">
              <w:rPr>
                <w:rFonts w:ascii="Symbol" w:hAnsi="Symbol"/>
              </w:rPr>
              <w:t></w:t>
            </w:r>
            <w:r w:rsidRPr="00044874">
              <w:t xml:space="preserve"> 1,0</w:t>
            </w:r>
          </w:p>
        </w:tc>
      </w:tr>
      <w:tr w:rsidR="00585D0E" w:rsidRPr="00044874" w:rsidTr="00585D0E">
        <w:tc>
          <w:tcPr>
            <w:tcW w:w="496" w:type="dxa"/>
            <w:tcBorders>
              <w:left w:val="single" w:sz="4" w:space="0" w:color="000000"/>
              <w:bottom w:val="single" w:sz="4" w:space="0" w:color="000000"/>
            </w:tcBorders>
            <w:shd w:val="clear" w:color="auto" w:fill="auto"/>
          </w:tcPr>
          <w:p w:rsidR="00585D0E" w:rsidRPr="00044874" w:rsidRDefault="00585D0E" w:rsidP="00585D0E">
            <w:pPr>
              <w:overflowPunct w:val="0"/>
              <w:autoSpaceDE w:val="0"/>
              <w:autoSpaceDN w:val="0"/>
              <w:adjustRightInd w:val="0"/>
              <w:snapToGrid w:val="0"/>
              <w:jc w:val="center"/>
            </w:pPr>
            <w:r w:rsidRPr="00044874">
              <w:t>4</w:t>
            </w:r>
          </w:p>
        </w:tc>
        <w:tc>
          <w:tcPr>
            <w:tcW w:w="1417" w:type="dxa"/>
            <w:tcBorders>
              <w:left w:val="single" w:sz="4" w:space="0" w:color="000000"/>
              <w:bottom w:val="single" w:sz="4" w:space="0" w:color="000000"/>
            </w:tcBorders>
            <w:shd w:val="clear" w:color="auto" w:fill="auto"/>
          </w:tcPr>
          <w:p w:rsidR="00585D0E" w:rsidRPr="00044874" w:rsidRDefault="00585D0E" w:rsidP="00585D0E">
            <w:pPr>
              <w:overflowPunct w:val="0"/>
              <w:autoSpaceDE w:val="0"/>
              <w:autoSpaceDN w:val="0"/>
              <w:adjustRightInd w:val="0"/>
              <w:snapToGrid w:val="0"/>
              <w:jc w:val="both"/>
            </w:pPr>
            <w:r w:rsidRPr="00044874">
              <w:t>Wskaźnik piaskowy WP</w:t>
            </w:r>
          </w:p>
        </w:tc>
        <w:tc>
          <w:tcPr>
            <w:tcW w:w="709" w:type="dxa"/>
            <w:tcBorders>
              <w:left w:val="single" w:sz="4" w:space="0" w:color="000000"/>
              <w:bottom w:val="single" w:sz="4" w:space="0" w:color="000000"/>
            </w:tcBorders>
            <w:shd w:val="clear" w:color="auto" w:fill="auto"/>
          </w:tcPr>
          <w:p w:rsidR="00585D0E" w:rsidRPr="00044874" w:rsidRDefault="00585D0E" w:rsidP="00585D0E">
            <w:pPr>
              <w:overflowPunct w:val="0"/>
              <w:autoSpaceDE w:val="0"/>
              <w:autoSpaceDN w:val="0"/>
              <w:adjustRightInd w:val="0"/>
              <w:snapToGrid w:val="0"/>
              <w:jc w:val="center"/>
            </w:pPr>
          </w:p>
        </w:tc>
        <w:tc>
          <w:tcPr>
            <w:tcW w:w="1628" w:type="dxa"/>
            <w:tcBorders>
              <w:left w:val="single" w:sz="4" w:space="0" w:color="000000"/>
              <w:bottom w:val="single" w:sz="4" w:space="0" w:color="000000"/>
            </w:tcBorders>
            <w:shd w:val="clear" w:color="auto" w:fill="auto"/>
          </w:tcPr>
          <w:p w:rsidR="00585D0E" w:rsidRPr="00044874" w:rsidRDefault="00585D0E" w:rsidP="00585D0E">
            <w:pPr>
              <w:overflowPunct w:val="0"/>
              <w:autoSpaceDE w:val="0"/>
              <w:autoSpaceDN w:val="0"/>
              <w:adjustRightInd w:val="0"/>
              <w:snapToGrid w:val="0"/>
              <w:jc w:val="center"/>
            </w:pPr>
          </w:p>
          <w:p w:rsidR="00585D0E" w:rsidRPr="00044874" w:rsidRDefault="00585D0E" w:rsidP="00585D0E">
            <w:pPr>
              <w:overflowPunct w:val="0"/>
              <w:autoSpaceDE w:val="0"/>
              <w:autoSpaceDN w:val="0"/>
              <w:adjustRightInd w:val="0"/>
              <w:jc w:val="center"/>
            </w:pPr>
            <w:r w:rsidRPr="00044874">
              <w:rPr>
                <w:rFonts w:ascii="Symbol" w:hAnsi="Symbol"/>
              </w:rPr>
              <w:t></w:t>
            </w:r>
            <w:r w:rsidRPr="00044874">
              <w:t xml:space="preserve"> 35</w:t>
            </w:r>
          </w:p>
        </w:tc>
        <w:tc>
          <w:tcPr>
            <w:tcW w:w="1628" w:type="dxa"/>
            <w:tcBorders>
              <w:left w:val="single" w:sz="4" w:space="0" w:color="000000"/>
              <w:bottom w:val="single" w:sz="4" w:space="0" w:color="000000"/>
            </w:tcBorders>
            <w:shd w:val="clear" w:color="auto" w:fill="auto"/>
          </w:tcPr>
          <w:p w:rsidR="00585D0E" w:rsidRPr="00044874" w:rsidRDefault="00585D0E" w:rsidP="00585D0E">
            <w:pPr>
              <w:overflowPunct w:val="0"/>
              <w:autoSpaceDE w:val="0"/>
              <w:autoSpaceDN w:val="0"/>
              <w:adjustRightInd w:val="0"/>
              <w:snapToGrid w:val="0"/>
              <w:jc w:val="center"/>
            </w:pPr>
          </w:p>
          <w:p w:rsidR="00585D0E" w:rsidRPr="00044874" w:rsidRDefault="00585D0E" w:rsidP="00585D0E">
            <w:pPr>
              <w:overflowPunct w:val="0"/>
              <w:autoSpaceDE w:val="0"/>
              <w:autoSpaceDN w:val="0"/>
              <w:adjustRightInd w:val="0"/>
              <w:jc w:val="center"/>
            </w:pPr>
            <w:r w:rsidRPr="00044874">
              <w:t>od 25 do 35</w:t>
            </w:r>
          </w:p>
        </w:tc>
        <w:tc>
          <w:tcPr>
            <w:tcW w:w="1694" w:type="dxa"/>
            <w:tcBorders>
              <w:left w:val="single" w:sz="4" w:space="0" w:color="000000"/>
              <w:bottom w:val="single" w:sz="4" w:space="0" w:color="000000"/>
              <w:right w:val="single" w:sz="4" w:space="0" w:color="000000"/>
            </w:tcBorders>
            <w:shd w:val="clear" w:color="auto" w:fill="auto"/>
          </w:tcPr>
          <w:p w:rsidR="00585D0E" w:rsidRPr="00044874" w:rsidRDefault="00585D0E" w:rsidP="00585D0E">
            <w:pPr>
              <w:overflowPunct w:val="0"/>
              <w:autoSpaceDE w:val="0"/>
              <w:autoSpaceDN w:val="0"/>
              <w:adjustRightInd w:val="0"/>
              <w:snapToGrid w:val="0"/>
              <w:jc w:val="center"/>
            </w:pPr>
          </w:p>
          <w:p w:rsidR="00585D0E" w:rsidRPr="00044874" w:rsidRDefault="00585D0E" w:rsidP="00585D0E">
            <w:pPr>
              <w:overflowPunct w:val="0"/>
              <w:autoSpaceDE w:val="0"/>
              <w:autoSpaceDN w:val="0"/>
              <w:adjustRightInd w:val="0"/>
              <w:jc w:val="center"/>
            </w:pPr>
            <w:r w:rsidRPr="00044874">
              <w:rPr>
                <w:rFonts w:ascii="Symbol" w:hAnsi="Symbol"/>
              </w:rPr>
              <w:t></w:t>
            </w:r>
            <w:r w:rsidRPr="00044874">
              <w:t xml:space="preserve"> 25</w:t>
            </w:r>
          </w:p>
        </w:tc>
      </w:tr>
    </w:tbl>
    <w:p w:rsidR="00585D0E" w:rsidRPr="00044874" w:rsidRDefault="00585D0E" w:rsidP="00585D0E">
      <w:pPr>
        <w:rPr>
          <w:b/>
          <w:u w:val="single"/>
        </w:rPr>
      </w:pPr>
      <w:r w:rsidRPr="00044874">
        <w:rPr>
          <w:b/>
          <w:u w:val="single"/>
        </w:rPr>
        <w:t>3. SPRZĘT</w:t>
      </w:r>
    </w:p>
    <w:p w:rsidR="00585D0E" w:rsidRPr="00044874" w:rsidRDefault="00585D0E" w:rsidP="00585D0E">
      <w:pPr>
        <w:tabs>
          <w:tab w:val="left" w:pos="1080"/>
        </w:tabs>
        <w:outlineLvl w:val="1"/>
        <w:rPr>
          <w:b/>
          <w:snapToGrid w:val="0"/>
        </w:rPr>
      </w:pPr>
      <w:r w:rsidRPr="00044874">
        <w:rPr>
          <w:b/>
          <w:snapToGrid w:val="0"/>
        </w:rPr>
        <w:t>3.1. Ogólne wymagania dotyczące sprzętu</w:t>
      </w:r>
    </w:p>
    <w:p w:rsidR="00585D0E" w:rsidRPr="00044874" w:rsidRDefault="00585D0E" w:rsidP="00585D0E">
      <w:pPr>
        <w:jc w:val="both"/>
      </w:pPr>
      <w:r w:rsidRPr="00044874">
        <w:tab/>
        <w:t>Ogólne wymagania dotyczące sprzętu podano w ST D-M 00.00.00 „Wymagania ogólne” .</w:t>
      </w:r>
    </w:p>
    <w:p w:rsidR="00585D0E" w:rsidRPr="00044874" w:rsidRDefault="00585D0E" w:rsidP="00585D0E">
      <w:pPr>
        <w:tabs>
          <w:tab w:val="left" w:pos="1080"/>
        </w:tabs>
        <w:outlineLvl w:val="1"/>
        <w:rPr>
          <w:b/>
          <w:snapToGrid w:val="0"/>
        </w:rPr>
      </w:pPr>
      <w:r w:rsidRPr="00044874">
        <w:rPr>
          <w:b/>
          <w:snapToGrid w:val="0"/>
        </w:rPr>
        <w:t>3.2. Sprzęt do robót ziemnych</w:t>
      </w:r>
    </w:p>
    <w:p w:rsidR="00585D0E" w:rsidRPr="00044874" w:rsidRDefault="00585D0E" w:rsidP="00585D0E">
      <w:pPr>
        <w:overflowPunct w:val="0"/>
        <w:autoSpaceDE w:val="0"/>
        <w:autoSpaceDN w:val="0"/>
        <w:adjustRightInd w:val="0"/>
        <w:jc w:val="both"/>
      </w:pPr>
      <w:r w:rsidRPr="00044874">
        <w:tab/>
        <w:t>Wykonawca przystępujący do wykonania robót ziemnych powinien wykazać się możliwością korzystania z następującego sprzętu do:</w:t>
      </w:r>
    </w:p>
    <w:p w:rsidR="00585D0E" w:rsidRPr="00044874" w:rsidRDefault="00585D0E" w:rsidP="0097494B">
      <w:pPr>
        <w:numPr>
          <w:ilvl w:val="0"/>
          <w:numId w:val="19"/>
        </w:numPr>
        <w:suppressAutoHyphens/>
        <w:overflowPunct w:val="0"/>
        <w:autoSpaceDE w:val="0"/>
        <w:ind w:left="340" w:hanging="340"/>
        <w:jc w:val="both"/>
        <w:textAlignment w:val="baseline"/>
      </w:pPr>
      <w:r w:rsidRPr="00044874">
        <w:t>odspajania i wydobywania gruntów (narzędzia mechaniczne, młoty pneumatyczne, zrywarki, koparki, ładowarki, wiertarki mechaniczne itp.),</w:t>
      </w:r>
    </w:p>
    <w:p w:rsidR="00585D0E" w:rsidRPr="00044874" w:rsidRDefault="00585D0E" w:rsidP="0097494B">
      <w:pPr>
        <w:numPr>
          <w:ilvl w:val="0"/>
          <w:numId w:val="19"/>
        </w:numPr>
        <w:suppressAutoHyphens/>
        <w:overflowPunct w:val="0"/>
        <w:autoSpaceDE w:val="0"/>
        <w:ind w:left="340" w:hanging="340"/>
        <w:jc w:val="both"/>
        <w:textAlignment w:val="baseline"/>
      </w:pPr>
      <w:r w:rsidRPr="00044874">
        <w:t>jednoczesnego wydobywania i przemieszczania gruntów (spycharki, zgarniarki, równiarki, urządzenia do hydromechanizacji itp.),</w:t>
      </w:r>
    </w:p>
    <w:p w:rsidR="00585D0E" w:rsidRPr="00044874" w:rsidRDefault="00585D0E" w:rsidP="0097494B">
      <w:pPr>
        <w:numPr>
          <w:ilvl w:val="0"/>
          <w:numId w:val="19"/>
        </w:numPr>
        <w:suppressAutoHyphens/>
        <w:overflowPunct w:val="0"/>
        <w:autoSpaceDE w:val="0"/>
        <w:ind w:left="340" w:hanging="340"/>
        <w:jc w:val="both"/>
        <w:textAlignment w:val="baseline"/>
      </w:pPr>
      <w:r w:rsidRPr="00044874">
        <w:t>transportu mas ziemnych (samochody wywrotki, samochody skrzyniowe, taśmociągi itp.),</w:t>
      </w:r>
    </w:p>
    <w:p w:rsidR="00585D0E" w:rsidRPr="00044874" w:rsidRDefault="00585D0E" w:rsidP="0097494B">
      <w:pPr>
        <w:numPr>
          <w:ilvl w:val="0"/>
          <w:numId w:val="19"/>
        </w:numPr>
        <w:suppressAutoHyphens/>
        <w:overflowPunct w:val="0"/>
        <w:autoSpaceDE w:val="0"/>
        <w:ind w:left="340" w:hanging="340"/>
        <w:jc w:val="both"/>
        <w:textAlignment w:val="baseline"/>
      </w:pPr>
      <w:r w:rsidRPr="00044874">
        <w:t>sprzętu zagęszczającego (walce, ubijaki, płyty wibracyjne itp.).</w:t>
      </w:r>
    </w:p>
    <w:p w:rsidR="00585D0E" w:rsidRPr="00044874" w:rsidRDefault="00585D0E" w:rsidP="00585D0E">
      <w:pPr>
        <w:rPr>
          <w:b/>
        </w:rPr>
      </w:pPr>
      <w:r w:rsidRPr="00044874">
        <w:rPr>
          <w:b/>
        </w:rPr>
        <w:t>3.3. Sprzęt do przenoszenia i układania geosyntetyków</w:t>
      </w:r>
    </w:p>
    <w:p w:rsidR="00585D0E" w:rsidRPr="00044874" w:rsidRDefault="00585D0E" w:rsidP="00585D0E">
      <w:pPr>
        <w:ind w:firstLine="709"/>
      </w:pPr>
      <w:r w:rsidRPr="00044874">
        <w:t>Do przenoszenia i układania geosyntetyków Wykonawca powinien używać odpowiedniego sprzętu zalecanego przez producenta. Wykonawca nie powinien stosować sprzętu mogącego spowodować uszkodzenie układanego materiału.</w:t>
      </w:r>
    </w:p>
    <w:p w:rsidR="00585D0E" w:rsidRPr="00044874" w:rsidRDefault="00585D0E" w:rsidP="00585D0E">
      <w:pPr>
        <w:rPr>
          <w:b/>
          <w:u w:val="single"/>
        </w:rPr>
      </w:pPr>
      <w:r w:rsidRPr="00044874">
        <w:rPr>
          <w:b/>
          <w:u w:val="single"/>
        </w:rPr>
        <w:t>4. TRANSPORT</w:t>
      </w:r>
    </w:p>
    <w:p w:rsidR="00585D0E" w:rsidRPr="00044874" w:rsidRDefault="00585D0E" w:rsidP="00585D0E">
      <w:pPr>
        <w:tabs>
          <w:tab w:val="left" w:pos="1080"/>
        </w:tabs>
        <w:outlineLvl w:val="1"/>
        <w:rPr>
          <w:b/>
          <w:snapToGrid w:val="0"/>
        </w:rPr>
      </w:pPr>
      <w:r w:rsidRPr="00044874">
        <w:rPr>
          <w:b/>
          <w:snapToGrid w:val="0"/>
        </w:rPr>
        <w:t>4.1. Ogólne wymagania dotyczące transportu</w:t>
      </w:r>
    </w:p>
    <w:p w:rsidR="00585D0E" w:rsidRPr="00044874" w:rsidRDefault="00585D0E" w:rsidP="00585D0E">
      <w:pPr>
        <w:overflowPunct w:val="0"/>
        <w:autoSpaceDE w:val="0"/>
        <w:autoSpaceDN w:val="0"/>
        <w:adjustRightInd w:val="0"/>
        <w:jc w:val="both"/>
      </w:pPr>
      <w:r w:rsidRPr="00044874">
        <w:tab/>
        <w:t>Ogólne wymagania dotyczące transportu podano w ST D-M 00.00.00 „Wymagania ogólne” .</w:t>
      </w:r>
    </w:p>
    <w:p w:rsidR="00585D0E" w:rsidRPr="00044874" w:rsidRDefault="00585D0E" w:rsidP="00585D0E">
      <w:pPr>
        <w:tabs>
          <w:tab w:val="left" w:pos="1080"/>
        </w:tabs>
        <w:outlineLvl w:val="1"/>
        <w:rPr>
          <w:b/>
          <w:snapToGrid w:val="0"/>
        </w:rPr>
      </w:pPr>
      <w:r w:rsidRPr="00044874">
        <w:rPr>
          <w:b/>
          <w:snapToGrid w:val="0"/>
        </w:rPr>
        <w:t>4.2. Transport gruntów</w:t>
      </w:r>
    </w:p>
    <w:p w:rsidR="00585D0E" w:rsidRPr="00044874" w:rsidRDefault="00585D0E" w:rsidP="00585D0E">
      <w:pPr>
        <w:overflowPunct w:val="0"/>
        <w:autoSpaceDE w:val="0"/>
        <w:autoSpaceDN w:val="0"/>
        <w:adjustRightInd w:val="0"/>
        <w:jc w:val="both"/>
      </w:pPr>
      <w:r w:rsidRPr="00044874">
        <w:tab/>
        <w:t>Wybór środków transportowych oraz metod transportu powinien być dostosowany do rodzaju gruntu (materiału), jego objętości, sposobu odspajania i załadunku oraz do odległości transportu. Wydajność środków transportowych powinna być ponadto dostosowana do wydajności sprzętu stosowanego do urabiania i wbudowania gruntu (materiału).</w:t>
      </w:r>
    </w:p>
    <w:p w:rsidR="00585D0E" w:rsidRPr="00044874" w:rsidRDefault="00585D0E" w:rsidP="00585D0E">
      <w:pPr>
        <w:overflowPunct w:val="0"/>
        <w:autoSpaceDE w:val="0"/>
        <w:autoSpaceDN w:val="0"/>
        <w:adjustRightInd w:val="0"/>
        <w:jc w:val="both"/>
      </w:pPr>
      <w:r w:rsidRPr="00044874">
        <w:tab/>
        <w:t>Zwiększenie odległości transportu ponad wartości zatwierdzone nie może być podstawą roszczeń Wykonawcy, dotyczących dodatkowej zapłaty za transport, o ile zwiększone odległości nie zostały wcześniej zaakcep</w:t>
      </w:r>
      <w:r>
        <w:t>towane na piśmie przez Zamawiającego</w:t>
      </w:r>
      <w:r w:rsidRPr="00044874">
        <w:t>.</w:t>
      </w:r>
    </w:p>
    <w:p w:rsidR="00585D0E" w:rsidRPr="00044874" w:rsidRDefault="00585D0E" w:rsidP="00585D0E">
      <w:pPr>
        <w:rPr>
          <w:b/>
        </w:rPr>
      </w:pPr>
      <w:r w:rsidRPr="00044874">
        <w:rPr>
          <w:b/>
        </w:rPr>
        <w:t>4.3. Transport i składowanie geosyntetyków</w:t>
      </w:r>
    </w:p>
    <w:p w:rsidR="00585D0E" w:rsidRPr="00044874" w:rsidRDefault="00585D0E" w:rsidP="00585D0E">
      <w:pPr>
        <w:suppressAutoHyphens/>
        <w:ind w:firstLine="709"/>
        <w:jc w:val="both"/>
        <w:rPr>
          <w:lang w:eastAsia="ar-SA"/>
        </w:rPr>
      </w:pPr>
      <w:r w:rsidRPr="00044874">
        <w:rPr>
          <w:lang w:eastAsia="ar-SA"/>
        </w:rPr>
        <w:t xml:space="preserve">Wykonawca powinien zadbać, aby transport, przenoszenie, przechowywanie i zabezpieczanie geosyntetyków były wykonywane w sposób nie powodujący mechanicznych lub chemicznych ich uszkodzeń. Geosyntetyki wrażliwe na światło słoneczne powinny pozostawać zakryte w czasie od ich wyprodukowania do wbudowania. </w:t>
      </w:r>
    </w:p>
    <w:p w:rsidR="00585D0E" w:rsidRPr="00044874" w:rsidRDefault="00585D0E" w:rsidP="00585D0E">
      <w:pPr>
        <w:rPr>
          <w:b/>
          <w:u w:val="single"/>
        </w:rPr>
      </w:pPr>
      <w:r w:rsidRPr="00044874">
        <w:rPr>
          <w:b/>
          <w:u w:val="single"/>
        </w:rPr>
        <w:t>5. WYKONANIE ROBÓT</w:t>
      </w:r>
    </w:p>
    <w:p w:rsidR="00585D0E" w:rsidRPr="00044874" w:rsidRDefault="00585D0E" w:rsidP="00585D0E">
      <w:pPr>
        <w:tabs>
          <w:tab w:val="left" w:pos="1080"/>
        </w:tabs>
        <w:outlineLvl w:val="1"/>
        <w:rPr>
          <w:b/>
          <w:snapToGrid w:val="0"/>
        </w:rPr>
      </w:pPr>
      <w:r w:rsidRPr="00044874">
        <w:rPr>
          <w:b/>
          <w:snapToGrid w:val="0"/>
        </w:rPr>
        <w:t>5.1. Ogólne zasady wykonania robót</w:t>
      </w:r>
    </w:p>
    <w:p w:rsidR="00585D0E" w:rsidRPr="00044874" w:rsidRDefault="00585D0E" w:rsidP="00585D0E">
      <w:pPr>
        <w:overflowPunct w:val="0"/>
        <w:autoSpaceDE w:val="0"/>
        <w:autoSpaceDN w:val="0"/>
        <w:adjustRightInd w:val="0"/>
        <w:jc w:val="both"/>
      </w:pPr>
      <w:r w:rsidRPr="00044874">
        <w:tab/>
        <w:t xml:space="preserve">Ogólne zasady wykonania robót podano w ST D-M 00.00.00 „Wymagania ogólne” </w:t>
      </w:r>
    </w:p>
    <w:p w:rsidR="00585D0E" w:rsidRPr="00044874" w:rsidRDefault="00585D0E" w:rsidP="00585D0E">
      <w:pPr>
        <w:tabs>
          <w:tab w:val="left" w:pos="1080"/>
        </w:tabs>
        <w:outlineLvl w:val="1"/>
        <w:rPr>
          <w:b/>
          <w:snapToGrid w:val="0"/>
        </w:rPr>
      </w:pPr>
      <w:r w:rsidRPr="00044874">
        <w:rPr>
          <w:snapToGrid w:val="0"/>
        </w:rPr>
        <w:t>5</w:t>
      </w:r>
      <w:r w:rsidRPr="00044874">
        <w:rPr>
          <w:b/>
          <w:snapToGrid w:val="0"/>
        </w:rPr>
        <w:t>.2. Dokładność wykonania wykopów i nasypów</w:t>
      </w:r>
    </w:p>
    <w:p w:rsidR="00585D0E" w:rsidRPr="00044874" w:rsidRDefault="00585D0E" w:rsidP="00585D0E">
      <w:pPr>
        <w:overflowPunct w:val="0"/>
        <w:autoSpaceDE w:val="0"/>
        <w:autoSpaceDN w:val="0"/>
        <w:adjustRightInd w:val="0"/>
        <w:jc w:val="both"/>
      </w:pPr>
      <w:r w:rsidRPr="00044874">
        <w:tab/>
        <w:t xml:space="preserve">Odchylenie osi korpusu ziemnego, w wykopie lub nasypie, od osi projektowanej nie powinny być większe niż </w:t>
      </w:r>
      <w:r w:rsidRPr="00044874">
        <w:rPr>
          <w:rFonts w:ascii="Symbol" w:hAnsi="Symbol"/>
        </w:rPr>
        <w:t></w:t>
      </w:r>
      <w:r w:rsidRPr="00044874">
        <w:t xml:space="preserve"> 10 cm. Różnica w stosunku do projektowanych rzędnych robót ziemnych nie może przekraczać + 1 cm i –3cm.</w:t>
      </w:r>
    </w:p>
    <w:p w:rsidR="00585D0E" w:rsidRPr="00044874" w:rsidRDefault="00585D0E" w:rsidP="00585D0E">
      <w:pPr>
        <w:overflowPunct w:val="0"/>
        <w:autoSpaceDE w:val="0"/>
        <w:autoSpaceDN w:val="0"/>
        <w:adjustRightInd w:val="0"/>
        <w:jc w:val="both"/>
      </w:pPr>
      <w:r w:rsidRPr="00044874">
        <w:tab/>
        <w:t xml:space="preserve">Szerokość górnej powierzchni korpusu nie może różnić się od szerokości projektowanej o więcej niż </w:t>
      </w:r>
      <w:r w:rsidRPr="00044874">
        <w:rPr>
          <w:rFonts w:ascii="Symbol" w:hAnsi="Symbol"/>
        </w:rPr>
        <w:t></w:t>
      </w:r>
      <w:r w:rsidRPr="00044874">
        <w:t xml:space="preserve"> 10 cm, a krawędzie korony drogi nie powinny mieć wyraźnych załamań w planie.</w:t>
      </w:r>
    </w:p>
    <w:p w:rsidR="00585D0E" w:rsidRPr="00044874" w:rsidRDefault="00585D0E" w:rsidP="00585D0E">
      <w:pPr>
        <w:overflowPunct w:val="0"/>
        <w:autoSpaceDE w:val="0"/>
        <w:autoSpaceDN w:val="0"/>
        <w:adjustRightInd w:val="0"/>
        <w:jc w:val="both"/>
      </w:pPr>
      <w:r w:rsidRPr="00044874">
        <w:tab/>
        <w:t xml:space="preserve">Pochylenie skarp nie powinno różnić się od projektowanego o więcej niż 10% jego wartości wyrażonej tangensem kąta. Maksymalne nierówności na powierzchni skarp nie powinny przekraczać </w:t>
      </w:r>
      <w:r w:rsidRPr="00044874">
        <w:rPr>
          <w:rFonts w:ascii="Symbol" w:hAnsi="Symbol"/>
        </w:rPr>
        <w:t></w:t>
      </w:r>
      <w:r w:rsidRPr="00044874">
        <w:t xml:space="preserve"> 10 cm przy pomiarze łatą 3-metrową, albo powinny być spełnione inne wymagania dotyczące nierówności, wynikające ze sposobu umocnienia powierzchni skarpy.</w:t>
      </w:r>
    </w:p>
    <w:p w:rsidR="00585D0E" w:rsidRPr="00044874" w:rsidRDefault="00585D0E" w:rsidP="00585D0E">
      <w:pPr>
        <w:overflowPunct w:val="0"/>
        <w:autoSpaceDE w:val="0"/>
        <w:autoSpaceDN w:val="0"/>
        <w:adjustRightInd w:val="0"/>
        <w:jc w:val="both"/>
      </w:pPr>
      <w:r w:rsidRPr="00044874">
        <w:tab/>
        <w:t>W gruntach skalistych wymagania, dotyczące równości powierzchni dna wykopu oraz pochylenia i równości skarp, powinny być określone w dokumentacji projektowej i ST.</w:t>
      </w:r>
    </w:p>
    <w:p w:rsidR="00585D0E" w:rsidRPr="00044874" w:rsidRDefault="00585D0E" w:rsidP="00585D0E">
      <w:pPr>
        <w:tabs>
          <w:tab w:val="left" w:pos="1080"/>
        </w:tabs>
        <w:outlineLvl w:val="1"/>
        <w:rPr>
          <w:b/>
          <w:snapToGrid w:val="0"/>
        </w:rPr>
      </w:pPr>
      <w:r w:rsidRPr="00044874">
        <w:rPr>
          <w:b/>
          <w:snapToGrid w:val="0"/>
        </w:rPr>
        <w:t>5.3. Odwodnienia pasa robót ziemnych</w:t>
      </w:r>
    </w:p>
    <w:p w:rsidR="00585D0E" w:rsidRPr="00044874" w:rsidRDefault="00585D0E" w:rsidP="00585D0E">
      <w:pPr>
        <w:overflowPunct w:val="0"/>
        <w:autoSpaceDE w:val="0"/>
        <w:autoSpaceDN w:val="0"/>
        <w:adjustRightInd w:val="0"/>
        <w:jc w:val="both"/>
      </w:pPr>
      <w:r w:rsidRPr="00044874">
        <w:tab/>
        <w:t>Niezależnie od budowy urządzeń, stanowiących elementy systemów odwadniających, ujętych w dokumentacji projektowej, Wykonawca powinien, o ile wymagają tego warunki terenowe, wykonać urządzenia, które zapewnią odprowadzenie wód gruntowych i opadowych poza obszar robót ziemnych tak, aby zabezpieczyć grunty przed przewilgoceniem i nawodnieniem. Wykonawca ma obowiązek takiego wykonywania wykopów i nasypów, aby powierzchniom gruntu nadawać w całym okresie trwania robót spadki, zapewniające prawidłowe odwodnienie.</w:t>
      </w:r>
    </w:p>
    <w:p w:rsidR="00585D0E" w:rsidRPr="00044874" w:rsidRDefault="00585D0E" w:rsidP="00585D0E">
      <w:pPr>
        <w:overflowPunct w:val="0"/>
        <w:autoSpaceDE w:val="0"/>
        <w:autoSpaceDN w:val="0"/>
        <w:adjustRightInd w:val="0"/>
        <w:jc w:val="both"/>
      </w:pPr>
      <w:r w:rsidRPr="00044874">
        <w:tab/>
        <w:t>Jeżeli, wskutek zaniedbania Wykonawcy, grunty ulegną nawodnieniu, które spowoduje ich długotrwałą nieprzydatność, Wykonawca ma obowiązek usunięcia tych gruntów i zastąpienia ich gruntami przydatnymi na własny koszt bez jakichkolwiek dodatkowych opłat ze strony Zamawiającego za te czynności, jak również za dowieziony grunt.</w:t>
      </w:r>
    </w:p>
    <w:p w:rsidR="00585D0E" w:rsidRPr="00044874" w:rsidRDefault="00585D0E" w:rsidP="00585D0E">
      <w:pPr>
        <w:overflowPunct w:val="0"/>
        <w:autoSpaceDE w:val="0"/>
        <w:autoSpaceDN w:val="0"/>
        <w:adjustRightInd w:val="0"/>
        <w:jc w:val="both"/>
      </w:pPr>
      <w:r w:rsidRPr="00044874">
        <w:tab/>
        <w:t>Odprowadzenie wód do istniejących zbiorników naturalnych i urządzeń odwadniających musi być poprzedzone uzgodnieniem z odpowiednimi instytucjami.</w:t>
      </w:r>
    </w:p>
    <w:p w:rsidR="00585D0E" w:rsidRPr="00044874" w:rsidRDefault="00585D0E" w:rsidP="00585D0E">
      <w:pPr>
        <w:tabs>
          <w:tab w:val="left" w:pos="1080"/>
        </w:tabs>
        <w:outlineLvl w:val="1"/>
        <w:rPr>
          <w:b/>
          <w:snapToGrid w:val="0"/>
        </w:rPr>
      </w:pPr>
      <w:r w:rsidRPr="00044874">
        <w:rPr>
          <w:b/>
          <w:snapToGrid w:val="0"/>
        </w:rPr>
        <w:t>5.4. Odwodnienie wykopów</w:t>
      </w:r>
    </w:p>
    <w:p w:rsidR="00585D0E" w:rsidRPr="00044874" w:rsidRDefault="00585D0E" w:rsidP="00585D0E">
      <w:pPr>
        <w:overflowPunct w:val="0"/>
        <w:autoSpaceDE w:val="0"/>
        <w:autoSpaceDN w:val="0"/>
        <w:adjustRightInd w:val="0"/>
        <w:jc w:val="both"/>
      </w:pPr>
      <w:r w:rsidRPr="00044874">
        <w:tab/>
        <w:t>Technologia wykonania wykopu musi umożliwiać jego prawidłowe odwodnienie w całym okresie trwania robót ziemnych. Wykonanie wykopów powinno postępować w kierunku podnoszenia się niwelety.</w:t>
      </w:r>
    </w:p>
    <w:p w:rsidR="00585D0E" w:rsidRPr="00044874" w:rsidRDefault="00585D0E" w:rsidP="00585D0E">
      <w:pPr>
        <w:overflowPunct w:val="0"/>
        <w:autoSpaceDE w:val="0"/>
        <w:autoSpaceDN w:val="0"/>
        <w:adjustRightInd w:val="0"/>
        <w:jc w:val="both"/>
      </w:pPr>
      <w:r w:rsidRPr="00044874">
        <w:tab/>
        <w:t>W czasie robót ziemnych należy zachować odpowiedni spadek podłużny i nadać przekrojom poprzecznym spadki, umożliwiające szybki odpływ wód z wykopu. O ile w dokumentacji projektowej nie zawarto innego wymagania, spadek poprzeczny nie powinien być mniejszy niż 4% w przypadku gruntów spoistych i nie mniejszy niż 2% w przypadku gruntów niespoistych. Należy uwzględnić ewentualny wpływ kolejności i sposobu odspajania gruntów oraz terminów wykonywania innych robót na spełnienie wymagań dotyczących prawidłowego odwodnienia wykopu w czasie postępu robót ziemnych.</w:t>
      </w:r>
    </w:p>
    <w:p w:rsidR="00585D0E" w:rsidRPr="00044874" w:rsidRDefault="00585D0E" w:rsidP="00585D0E">
      <w:pPr>
        <w:overflowPunct w:val="0"/>
        <w:autoSpaceDE w:val="0"/>
        <w:autoSpaceDN w:val="0"/>
        <w:adjustRightInd w:val="0"/>
        <w:jc w:val="both"/>
      </w:pPr>
      <w:r w:rsidRPr="00044874">
        <w:tab/>
        <w:t>Źródła wody, odsłonięte przy wykonywaniu wykopów, należy ująć w rowy i /lub dreny. Wody opadowe i gruntowe należy odprowadzić poza teren pasa robót ziemnych.</w:t>
      </w:r>
    </w:p>
    <w:p w:rsidR="00585D0E" w:rsidRPr="00044874" w:rsidRDefault="00585D0E" w:rsidP="00585D0E">
      <w:pPr>
        <w:tabs>
          <w:tab w:val="left" w:pos="1080"/>
        </w:tabs>
        <w:outlineLvl w:val="1"/>
        <w:rPr>
          <w:b/>
          <w:snapToGrid w:val="0"/>
        </w:rPr>
      </w:pPr>
      <w:r w:rsidRPr="00044874">
        <w:rPr>
          <w:b/>
          <w:snapToGrid w:val="0"/>
        </w:rPr>
        <w:t>5.5. Rowy</w:t>
      </w:r>
    </w:p>
    <w:p w:rsidR="00585D0E" w:rsidRPr="00044874" w:rsidRDefault="00585D0E" w:rsidP="00585D0E">
      <w:pPr>
        <w:overflowPunct w:val="0"/>
        <w:autoSpaceDE w:val="0"/>
        <w:autoSpaceDN w:val="0"/>
        <w:adjustRightInd w:val="0"/>
        <w:jc w:val="both"/>
      </w:pPr>
      <w:r w:rsidRPr="00044874">
        <w:tab/>
        <w:t xml:space="preserve">Rowy boczne oraz rowy stokowe powinny być wykonane zgodnie z dokumentacją projektową i ST. Szerokość dna i głębokość rowu nie mogą różnić się od wymiarów projektowanych o więcej niż </w:t>
      </w:r>
      <w:r w:rsidRPr="00044874">
        <w:rPr>
          <w:rFonts w:ascii="Symbol" w:hAnsi="Symbol"/>
        </w:rPr>
        <w:t></w:t>
      </w:r>
      <w:r w:rsidRPr="00044874">
        <w:t xml:space="preserve"> 5 cm. Dokładność wykonania skarp rowów powinna być zgodna z ok</w:t>
      </w:r>
      <w:r w:rsidR="00CD59DC">
        <w:t>reśloną dla skarp wykopów w ST M-11</w:t>
      </w:r>
      <w:r w:rsidRPr="00044874">
        <w:t>.01.01.</w:t>
      </w:r>
    </w:p>
    <w:p w:rsidR="00585D0E" w:rsidRPr="00044874" w:rsidRDefault="00585D0E" w:rsidP="00585D0E">
      <w:pPr>
        <w:overflowPunct w:val="0"/>
        <w:autoSpaceDE w:val="0"/>
        <w:autoSpaceDN w:val="0"/>
        <w:adjustRightInd w:val="0"/>
        <w:jc w:val="both"/>
        <w:rPr>
          <w:b/>
        </w:rPr>
      </w:pPr>
      <w:r w:rsidRPr="00044874">
        <w:rPr>
          <w:b/>
        </w:rPr>
        <w:t>5.6. Układanie geosyntetyków</w:t>
      </w:r>
    </w:p>
    <w:p w:rsidR="00585D0E" w:rsidRPr="00044874" w:rsidRDefault="00585D0E" w:rsidP="00585D0E">
      <w:pPr>
        <w:ind w:firstLine="709"/>
      </w:pPr>
      <w:r w:rsidRPr="00044874">
        <w:t>Geosyntetyki należy układać łącząc je na zakład zgodnie z dokumentacją projektową i ST. Jeżeli dokumentacja projektowa i ST nie podają inaczej, przylegające do siebie arkusze lub pasy geosyntetyków należy układać z zakładem (i kotwieniem) zgodnie z instrukcją producenta lub decyzją projektanta.</w:t>
      </w:r>
    </w:p>
    <w:p w:rsidR="00585D0E" w:rsidRPr="00044874" w:rsidRDefault="00585D0E" w:rsidP="00585D0E">
      <w:pPr>
        <w:ind w:firstLine="709"/>
      </w:pPr>
      <w:r w:rsidRPr="00044874">
        <w:t>W przypadku uszkodzenia geosyntetyku, n</w:t>
      </w:r>
      <w:r>
        <w:t>ależy w uzgodnieniu z przedstawicielem Zamawiającego</w:t>
      </w:r>
      <w:r w:rsidRPr="00044874">
        <w:t>, przykryć to uszkodzenie pasami geosyntetyku na długości i szerokości większej o 90 cm od obszaru uszkodzonego.</w:t>
      </w:r>
    </w:p>
    <w:p w:rsidR="00585D0E" w:rsidRPr="00044874" w:rsidRDefault="00585D0E" w:rsidP="00585D0E">
      <w:pPr>
        <w:ind w:firstLine="709"/>
      </w:pPr>
      <w:r w:rsidRPr="00044874">
        <w:t>Warstwa gruntu, na której przewiduje się ułożenie geosyntetyku powinna być równa i bez ostrych występów, mogących spowodować uszkodzenie geosyntetyku w czasie układania lub pracy. Metoda układania powinna zapewnić przyleganie geosyntetyku do warstwy, na której jest układana, na całej jej powierzchni. Geosyntetyków nie należy naciągać lub powodować ich zawieszenia na wzgórkach (garbach) lub nad dołami. Nie dopuszcza się ruchu maszyn budowlanych bezpośrednio na ułożonych geosyntetykach. Należy je przykryć gruntem nasypowym niezwłocznie po ułożeniu.</w:t>
      </w:r>
    </w:p>
    <w:p w:rsidR="00585D0E" w:rsidRPr="00044874" w:rsidRDefault="00585D0E" w:rsidP="00585D0E">
      <w:pPr>
        <w:keepNext/>
        <w:keepLines/>
        <w:tabs>
          <w:tab w:val="left" w:pos="864"/>
        </w:tabs>
        <w:jc w:val="both"/>
        <w:outlineLvl w:val="3"/>
        <w:rPr>
          <w:b/>
          <w:snapToGrid w:val="0"/>
        </w:rPr>
      </w:pPr>
      <w:r w:rsidRPr="00044874">
        <w:rPr>
          <w:b/>
          <w:snapToGrid w:val="0"/>
        </w:rPr>
        <w:t>5.7. Sprawdzenie zgodności rzędnych terenu i warunków gruntowych z danymi dokumentacji projektowej.</w:t>
      </w:r>
    </w:p>
    <w:p w:rsidR="00585D0E" w:rsidRPr="00044874" w:rsidRDefault="00585D0E" w:rsidP="00585D0E">
      <w:pPr>
        <w:tabs>
          <w:tab w:val="left" w:pos="576"/>
          <w:tab w:val="left" w:pos="1008"/>
        </w:tabs>
        <w:jc w:val="both"/>
      </w:pPr>
      <w:r w:rsidRPr="00044874">
        <w:tab/>
        <w:t>Przed przystąpieniem do wykonywania wykopów, wykonawca ma obowiązek sprawdzić zgodność rzędnych terenu z danymi wg dokumentacji projektowej. Wszelkie odstępstwa od dokumentacji powinny być odnotowane w dzienniku budowy wpis</w:t>
      </w:r>
      <w:r>
        <w:t>em potwierdzonym przez przedstawiciela Zamawiającego</w:t>
      </w:r>
      <w:r w:rsidRPr="00044874">
        <w:t>, co będzie stanowić podstawę do korekty ilości robót w Księdze Obmiaru.</w:t>
      </w:r>
    </w:p>
    <w:p w:rsidR="00585D0E" w:rsidRPr="00044874" w:rsidRDefault="00585D0E" w:rsidP="00585D0E">
      <w:pPr>
        <w:ind w:firstLine="708"/>
        <w:jc w:val="both"/>
      </w:pPr>
      <w:r w:rsidRPr="00044874">
        <w:t>Wykonawca ma obowiązek bieżącej kontroli i oceny warunków gruntowych w trakcie wykonywania wykopów i ich konfrontacji z dokumentacją.</w:t>
      </w:r>
    </w:p>
    <w:p w:rsidR="00585D0E" w:rsidRPr="00044874" w:rsidRDefault="00585D0E" w:rsidP="00585D0E">
      <w:pPr>
        <w:keepNext/>
        <w:keepLines/>
        <w:tabs>
          <w:tab w:val="left" w:pos="864"/>
        </w:tabs>
        <w:jc w:val="both"/>
        <w:outlineLvl w:val="3"/>
        <w:rPr>
          <w:b/>
          <w:snapToGrid w:val="0"/>
        </w:rPr>
      </w:pPr>
      <w:r w:rsidRPr="00044874">
        <w:rPr>
          <w:b/>
          <w:snapToGrid w:val="0"/>
        </w:rPr>
        <w:t>5.8. BHP i ochrona środowiska</w:t>
      </w:r>
    </w:p>
    <w:p w:rsidR="00585D0E" w:rsidRPr="00044874" w:rsidRDefault="00585D0E" w:rsidP="00585D0E">
      <w:pPr>
        <w:ind w:firstLine="708"/>
        <w:jc w:val="both"/>
      </w:pPr>
      <w:r w:rsidRPr="00044874">
        <w:t>W trakcie prowadzenia prac przy wykopach należy zwrócić uwagę by w obrębie pracy koparki nie przebywali ludzie. Wykopy zabezpieczyć barierami.</w:t>
      </w:r>
    </w:p>
    <w:p w:rsidR="00585D0E" w:rsidRPr="00044874" w:rsidRDefault="00585D0E" w:rsidP="00585D0E">
      <w:pPr>
        <w:tabs>
          <w:tab w:val="left" w:pos="576"/>
          <w:tab w:val="left" w:pos="1008"/>
          <w:tab w:val="left" w:pos="1440"/>
        </w:tabs>
        <w:jc w:val="both"/>
      </w:pPr>
      <w:r w:rsidRPr="00044874">
        <w:t>Przy wykonywaniu robót ziemnych ręcznie należy:</w:t>
      </w:r>
    </w:p>
    <w:p w:rsidR="00585D0E" w:rsidRPr="00044874" w:rsidRDefault="00585D0E" w:rsidP="0097494B">
      <w:pPr>
        <w:numPr>
          <w:ilvl w:val="0"/>
          <w:numId w:val="8"/>
        </w:numPr>
        <w:suppressAutoHyphens/>
        <w:ind w:left="360"/>
        <w:jc w:val="both"/>
      </w:pPr>
      <w:r w:rsidRPr="00044874">
        <w:t>używać właściwych i znajdujących się w dobrym stanie narzędzi,</w:t>
      </w:r>
    </w:p>
    <w:p w:rsidR="00585D0E" w:rsidRPr="00044874" w:rsidRDefault="00585D0E" w:rsidP="0097494B">
      <w:pPr>
        <w:numPr>
          <w:ilvl w:val="0"/>
          <w:numId w:val="8"/>
        </w:numPr>
        <w:suppressAutoHyphens/>
        <w:ind w:left="360"/>
        <w:jc w:val="both"/>
      </w:pPr>
      <w:r w:rsidRPr="00044874">
        <w:t>zapewnić należyte odwadnianie terenu robót,</w:t>
      </w:r>
    </w:p>
    <w:p w:rsidR="00585D0E" w:rsidRPr="00044874" w:rsidRDefault="00585D0E" w:rsidP="0097494B">
      <w:pPr>
        <w:numPr>
          <w:ilvl w:val="0"/>
          <w:numId w:val="8"/>
        </w:numPr>
        <w:suppressAutoHyphens/>
        <w:ind w:left="360"/>
        <w:jc w:val="both"/>
      </w:pPr>
      <w:r w:rsidRPr="00044874">
        <w:t>wykonywać wykopy w gruntach nawodnionych ze skarpami zapewniającymi stateczność gruntu pod wodą,</w:t>
      </w:r>
    </w:p>
    <w:p w:rsidR="00585D0E" w:rsidRPr="00044874" w:rsidRDefault="00585D0E" w:rsidP="0097494B">
      <w:pPr>
        <w:numPr>
          <w:ilvl w:val="0"/>
          <w:numId w:val="8"/>
        </w:numPr>
        <w:suppressAutoHyphens/>
        <w:ind w:left="360"/>
        <w:jc w:val="both"/>
      </w:pPr>
      <w:r w:rsidRPr="00044874">
        <w:t>pozostawić pas terenu co najmniej 0.5 m wzdłuż krawędzi wykopu, na którym nie wolno składować ziemi pochodzącej z wykopu,</w:t>
      </w:r>
    </w:p>
    <w:p w:rsidR="00585D0E" w:rsidRPr="00044874" w:rsidRDefault="00585D0E" w:rsidP="0097494B">
      <w:pPr>
        <w:numPr>
          <w:ilvl w:val="0"/>
          <w:numId w:val="8"/>
        </w:numPr>
        <w:suppressAutoHyphens/>
        <w:ind w:left="360"/>
        <w:jc w:val="both"/>
      </w:pPr>
      <w:r w:rsidRPr="00044874">
        <w:t>środki transportowe pod załadunek mas ziemnych ustawiać co najmniej 2.0 m od krawędzi skarpy wykopu,</w:t>
      </w:r>
    </w:p>
    <w:p w:rsidR="00585D0E" w:rsidRPr="00044874" w:rsidRDefault="00585D0E" w:rsidP="0097494B">
      <w:pPr>
        <w:numPr>
          <w:ilvl w:val="0"/>
          <w:numId w:val="8"/>
        </w:numPr>
        <w:suppressAutoHyphens/>
        <w:ind w:left="360"/>
        <w:jc w:val="both"/>
      </w:pPr>
      <w:r w:rsidRPr="00044874">
        <w:t>rozstaw środków transportowych pomiędzy sobą powinien wynosić co najmniej 1.5 m dla umożliwienia ucieczki robotnikom w przypadku obsunięcia się mas ziemnych,</w:t>
      </w:r>
    </w:p>
    <w:p w:rsidR="00585D0E" w:rsidRPr="00044874" w:rsidRDefault="00585D0E" w:rsidP="0097494B">
      <w:pPr>
        <w:numPr>
          <w:ilvl w:val="0"/>
          <w:numId w:val="8"/>
        </w:numPr>
        <w:suppressAutoHyphens/>
        <w:ind w:left="360"/>
        <w:jc w:val="both"/>
      </w:pPr>
      <w:r w:rsidRPr="00044874">
        <w:t>sprawdzić po każdej zmianie warunków atmosferycznych (deszcz, śnieg) stan skarp nasypów i wykopów.</w:t>
      </w:r>
    </w:p>
    <w:p w:rsidR="00585D0E" w:rsidRPr="00044874" w:rsidRDefault="00585D0E" w:rsidP="00585D0E">
      <w:pPr>
        <w:jc w:val="both"/>
      </w:pPr>
      <w:r w:rsidRPr="00044874">
        <w:t>Wykonywanie robót sprzętem zmechanizowanym.</w:t>
      </w:r>
    </w:p>
    <w:p w:rsidR="00585D0E" w:rsidRPr="00044874" w:rsidRDefault="00585D0E" w:rsidP="00585D0E">
      <w:pPr>
        <w:tabs>
          <w:tab w:val="left" w:pos="576"/>
          <w:tab w:val="left" w:pos="1008"/>
          <w:tab w:val="left" w:pos="1440"/>
        </w:tabs>
        <w:jc w:val="both"/>
      </w:pPr>
      <w:r w:rsidRPr="00044874">
        <w:tab/>
        <w:t>Przy wykonywaniu robót sprzętem zmechanizowanym, niezależnie od wymagań dla ręcznego sposobu wykonania robót, należy zachować niżej wymienione wymagania dodatkowe:</w:t>
      </w:r>
    </w:p>
    <w:p w:rsidR="00585D0E" w:rsidRPr="00044874" w:rsidRDefault="00585D0E" w:rsidP="0097494B">
      <w:pPr>
        <w:numPr>
          <w:ilvl w:val="0"/>
          <w:numId w:val="17"/>
        </w:numPr>
        <w:suppressAutoHyphens/>
        <w:jc w:val="both"/>
      </w:pPr>
      <w:r w:rsidRPr="00044874">
        <w:t>głębokość odspajanej jednocześnie warstwy gruntu i nachylenie skarpy wykopu powinny być dostosowane do rodzaju gruntu i zasięgu wysięgnika koparki,</w:t>
      </w:r>
    </w:p>
    <w:p w:rsidR="00585D0E" w:rsidRPr="00044874" w:rsidRDefault="00585D0E" w:rsidP="0097494B">
      <w:pPr>
        <w:numPr>
          <w:ilvl w:val="0"/>
          <w:numId w:val="17"/>
        </w:numPr>
        <w:suppressAutoHyphens/>
        <w:jc w:val="both"/>
      </w:pPr>
      <w:r w:rsidRPr="00044874">
        <w:t>roboty ziemne przy nasypach i wykopach wykonywać warstwami, nie dopuszczając do powstawania nierówności,</w:t>
      </w:r>
    </w:p>
    <w:p w:rsidR="00585D0E" w:rsidRPr="00044874" w:rsidRDefault="00585D0E" w:rsidP="0097494B">
      <w:pPr>
        <w:numPr>
          <w:ilvl w:val="0"/>
          <w:numId w:val="17"/>
        </w:numPr>
        <w:suppressAutoHyphens/>
        <w:jc w:val="both"/>
      </w:pPr>
      <w:r w:rsidRPr="00044874">
        <w:t>zachować szczególną ostrożność podczas zagęszczania krawędzi nasypów,</w:t>
      </w:r>
    </w:p>
    <w:p w:rsidR="00585D0E" w:rsidRPr="00044874" w:rsidRDefault="00585D0E" w:rsidP="0097494B">
      <w:pPr>
        <w:numPr>
          <w:ilvl w:val="0"/>
          <w:numId w:val="17"/>
        </w:numPr>
        <w:suppressAutoHyphens/>
        <w:jc w:val="both"/>
      </w:pPr>
      <w:r w:rsidRPr="00044874">
        <w:t>rozstaw pracujących maszyn powinien wykluczać możliwość ich wzajemnego uszkodzenia,</w:t>
      </w:r>
    </w:p>
    <w:p w:rsidR="00585D0E" w:rsidRPr="00044874" w:rsidRDefault="00585D0E" w:rsidP="0097494B">
      <w:pPr>
        <w:numPr>
          <w:ilvl w:val="0"/>
          <w:numId w:val="17"/>
        </w:numPr>
        <w:suppressAutoHyphens/>
        <w:jc w:val="both"/>
      </w:pPr>
      <w:r w:rsidRPr="00044874">
        <w:t>robotnikom nie wolno przebywać w zasięgu pracy maszyn.</w:t>
      </w:r>
    </w:p>
    <w:p w:rsidR="00585D0E" w:rsidRPr="00044874" w:rsidRDefault="00585D0E" w:rsidP="00585D0E">
      <w:pPr>
        <w:rPr>
          <w:b/>
          <w:u w:val="single"/>
        </w:rPr>
      </w:pPr>
      <w:r w:rsidRPr="00044874">
        <w:rPr>
          <w:b/>
          <w:u w:val="single"/>
        </w:rPr>
        <w:t>6. KONTROLA JAKOŚCI ROBÓT</w:t>
      </w:r>
    </w:p>
    <w:p w:rsidR="00585D0E" w:rsidRPr="00044874" w:rsidRDefault="00585D0E" w:rsidP="00585D0E">
      <w:pPr>
        <w:tabs>
          <w:tab w:val="left" w:pos="1080"/>
        </w:tabs>
        <w:outlineLvl w:val="1"/>
        <w:rPr>
          <w:b/>
          <w:snapToGrid w:val="0"/>
        </w:rPr>
      </w:pPr>
      <w:r w:rsidRPr="00044874">
        <w:rPr>
          <w:b/>
          <w:snapToGrid w:val="0"/>
        </w:rPr>
        <w:t>6.1. Ogólne zasady kontroli jakości robót</w:t>
      </w:r>
    </w:p>
    <w:p w:rsidR="00585D0E" w:rsidRPr="00044874" w:rsidRDefault="00585D0E" w:rsidP="00585D0E">
      <w:pPr>
        <w:overflowPunct w:val="0"/>
        <w:autoSpaceDE w:val="0"/>
        <w:autoSpaceDN w:val="0"/>
        <w:adjustRightInd w:val="0"/>
        <w:jc w:val="both"/>
      </w:pPr>
      <w:r w:rsidRPr="00044874">
        <w:tab/>
        <w:t>Ogólne zasady kontroli jakości robót podano w ST D-M 00.00.00 „Wymagania ogólne” .</w:t>
      </w:r>
    </w:p>
    <w:p w:rsidR="00585D0E" w:rsidRPr="00044874" w:rsidRDefault="00585D0E" w:rsidP="00585D0E">
      <w:pPr>
        <w:tabs>
          <w:tab w:val="left" w:pos="1080"/>
        </w:tabs>
        <w:outlineLvl w:val="1"/>
        <w:rPr>
          <w:b/>
          <w:snapToGrid w:val="0"/>
        </w:rPr>
      </w:pPr>
      <w:r w:rsidRPr="00044874">
        <w:rPr>
          <w:b/>
          <w:snapToGrid w:val="0"/>
        </w:rPr>
        <w:t>6.2. Badania i pomiary w czasie wykonywania robót ziemnych</w:t>
      </w:r>
    </w:p>
    <w:p w:rsidR="00585D0E" w:rsidRPr="00044874" w:rsidRDefault="00585D0E" w:rsidP="00585D0E">
      <w:pPr>
        <w:keepNext/>
        <w:overflowPunct w:val="0"/>
        <w:autoSpaceDE w:val="0"/>
        <w:autoSpaceDN w:val="0"/>
        <w:adjustRightInd w:val="0"/>
        <w:jc w:val="both"/>
        <w:rPr>
          <w:bCs/>
        </w:rPr>
      </w:pPr>
      <w:r w:rsidRPr="00044874">
        <w:rPr>
          <w:bCs/>
        </w:rPr>
        <w:t>6.2.1. Sprawdzenie odwodnienia</w:t>
      </w:r>
    </w:p>
    <w:p w:rsidR="00585D0E" w:rsidRPr="00044874" w:rsidRDefault="00585D0E" w:rsidP="00585D0E">
      <w:pPr>
        <w:overflowPunct w:val="0"/>
        <w:autoSpaceDE w:val="0"/>
        <w:autoSpaceDN w:val="0"/>
        <w:adjustRightInd w:val="0"/>
        <w:jc w:val="both"/>
      </w:pPr>
      <w:r w:rsidRPr="00044874">
        <w:tab/>
        <w:t>Sprawdzenie odwodnienia korpusu ziemnego polega na kontroli zgodności z wymaganiami specyfikacji  oraz z dokumentacją projektową.</w:t>
      </w:r>
    </w:p>
    <w:p w:rsidR="00585D0E" w:rsidRPr="00044874" w:rsidRDefault="00585D0E" w:rsidP="00585D0E">
      <w:pPr>
        <w:overflowPunct w:val="0"/>
        <w:autoSpaceDE w:val="0"/>
        <w:autoSpaceDN w:val="0"/>
        <w:adjustRightInd w:val="0"/>
        <w:jc w:val="both"/>
      </w:pPr>
      <w:r w:rsidRPr="00044874">
        <w:tab/>
        <w:t>Szczególną uwagę należy zwrócić na:</w:t>
      </w:r>
    </w:p>
    <w:p w:rsidR="00585D0E" w:rsidRPr="00044874" w:rsidRDefault="00585D0E" w:rsidP="00585D0E">
      <w:pPr>
        <w:tabs>
          <w:tab w:val="left" w:pos="340"/>
        </w:tabs>
        <w:overflowPunct w:val="0"/>
        <w:autoSpaceDE w:val="0"/>
        <w:autoSpaceDN w:val="0"/>
        <w:adjustRightInd w:val="0"/>
        <w:ind w:left="340" w:hanging="340"/>
        <w:jc w:val="both"/>
      </w:pPr>
      <w:r w:rsidRPr="00044874">
        <w:t>właściwe ujęcie i odprowadzenie wód opadowych,</w:t>
      </w:r>
    </w:p>
    <w:p w:rsidR="00585D0E" w:rsidRPr="00044874" w:rsidRDefault="00585D0E" w:rsidP="00585D0E">
      <w:pPr>
        <w:tabs>
          <w:tab w:val="left" w:pos="340"/>
        </w:tabs>
        <w:overflowPunct w:val="0"/>
        <w:autoSpaceDE w:val="0"/>
        <w:autoSpaceDN w:val="0"/>
        <w:adjustRightInd w:val="0"/>
        <w:ind w:left="340" w:hanging="340"/>
        <w:jc w:val="both"/>
      </w:pPr>
      <w:r w:rsidRPr="00044874">
        <w:t>właściwe ujęcie i odprowadzenie wysięków wodnych.</w:t>
      </w:r>
    </w:p>
    <w:p w:rsidR="00585D0E" w:rsidRPr="00044874" w:rsidRDefault="00585D0E" w:rsidP="00585D0E">
      <w:pPr>
        <w:overflowPunct w:val="0"/>
        <w:autoSpaceDE w:val="0"/>
        <w:autoSpaceDN w:val="0"/>
        <w:adjustRightInd w:val="0"/>
        <w:jc w:val="both"/>
      </w:pPr>
      <w:r w:rsidRPr="00044874">
        <w:t>6.2.2. Sprawdzenie jakości wykonania robót</w:t>
      </w:r>
    </w:p>
    <w:p w:rsidR="00585D0E" w:rsidRPr="00044874" w:rsidRDefault="00585D0E" w:rsidP="00585D0E">
      <w:pPr>
        <w:overflowPunct w:val="0"/>
        <w:autoSpaceDE w:val="0"/>
        <w:autoSpaceDN w:val="0"/>
        <w:adjustRightInd w:val="0"/>
        <w:jc w:val="both"/>
      </w:pPr>
      <w:r w:rsidRPr="00044874">
        <w:tab/>
        <w:t xml:space="preserve">Czynności wchodzące w zakres sprawdzenia jakości wykonania robót określono w ST </w:t>
      </w:r>
      <w:r>
        <w:t>M 11.</w:t>
      </w:r>
      <w:r w:rsidRPr="00044874">
        <w:t>0</w:t>
      </w:r>
      <w:r>
        <w:t>1</w:t>
      </w:r>
      <w:r w:rsidRPr="00044874">
        <w:t xml:space="preserve">.01.01 i </w:t>
      </w:r>
      <w:r>
        <w:t>M 11.01.04</w:t>
      </w:r>
    </w:p>
    <w:p w:rsidR="00585D0E" w:rsidRPr="00044874" w:rsidRDefault="00585D0E" w:rsidP="00585D0E">
      <w:pPr>
        <w:tabs>
          <w:tab w:val="left" w:pos="1080"/>
        </w:tabs>
        <w:outlineLvl w:val="1"/>
        <w:rPr>
          <w:b/>
          <w:snapToGrid w:val="0"/>
        </w:rPr>
      </w:pPr>
      <w:r w:rsidRPr="00044874">
        <w:rPr>
          <w:b/>
          <w:snapToGrid w:val="0"/>
        </w:rPr>
        <w:t>6.3. Badania do odbioru korpusu ziemnego</w:t>
      </w:r>
    </w:p>
    <w:p w:rsidR="00585D0E" w:rsidRPr="00044874" w:rsidRDefault="00585D0E" w:rsidP="00585D0E">
      <w:pPr>
        <w:overflowPunct w:val="0"/>
        <w:autoSpaceDE w:val="0"/>
        <w:autoSpaceDN w:val="0"/>
        <w:adjustRightInd w:val="0"/>
        <w:jc w:val="both"/>
      </w:pPr>
      <w:r w:rsidRPr="00044874">
        <w:t>6.3.1. Częstotliwość oraz zakres badań i pomiarów</w:t>
      </w:r>
    </w:p>
    <w:p w:rsidR="00585D0E" w:rsidRPr="00044874" w:rsidRDefault="00585D0E" w:rsidP="00585D0E">
      <w:pPr>
        <w:pageBreakBefore/>
        <w:overflowPunct w:val="0"/>
        <w:autoSpaceDE w:val="0"/>
        <w:autoSpaceDN w:val="0"/>
        <w:adjustRightInd w:val="0"/>
        <w:jc w:val="both"/>
      </w:pPr>
    </w:p>
    <w:p w:rsidR="00585D0E" w:rsidRPr="00044874" w:rsidRDefault="00585D0E" w:rsidP="00585D0E">
      <w:pPr>
        <w:overflowPunct w:val="0"/>
        <w:autoSpaceDE w:val="0"/>
        <w:autoSpaceDN w:val="0"/>
        <w:adjustRightInd w:val="0"/>
        <w:jc w:val="both"/>
      </w:pPr>
      <w:r w:rsidRPr="00044874">
        <w:tab/>
        <w:t>Częstotliwość oraz zakres badań i pomiarów do odbioru korpusu ziemnego podaje tablica 2.</w:t>
      </w:r>
    </w:p>
    <w:p w:rsidR="00585D0E" w:rsidRPr="00044874" w:rsidRDefault="00585D0E" w:rsidP="00585D0E">
      <w:pPr>
        <w:overflowPunct w:val="0"/>
        <w:autoSpaceDE w:val="0"/>
        <w:autoSpaceDN w:val="0"/>
        <w:adjustRightInd w:val="0"/>
        <w:jc w:val="center"/>
      </w:pPr>
      <w:r w:rsidRPr="00044874">
        <w:t>Tablica 2. Częstotliwość oraz zakres badań i pomiarów wykonanych robót ziemnych</w:t>
      </w:r>
    </w:p>
    <w:tbl>
      <w:tblPr>
        <w:tblW w:w="0" w:type="auto"/>
        <w:tblInd w:w="70" w:type="dxa"/>
        <w:tblLayout w:type="fixed"/>
        <w:tblCellMar>
          <w:left w:w="70" w:type="dxa"/>
          <w:right w:w="70" w:type="dxa"/>
        </w:tblCellMar>
        <w:tblLook w:val="0000" w:firstRow="0" w:lastRow="0" w:firstColumn="0" w:lastColumn="0" w:noHBand="0" w:noVBand="0"/>
      </w:tblPr>
      <w:tblGrid>
        <w:gridCol w:w="495"/>
        <w:gridCol w:w="2499"/>
        <w:gridCol w:w="4578"/>
      </w:tblGrid>
      <w:tr w:rsidR="00585D0E" w:rsidTr="00585D0E">
        <w:tc>
          <w:tcPr>
            <w:tcW w:w="495" w:type="dxa"/>
            <w:shd w:val="clear" w:color="auto" w:fill="auto"/>
          </w:tcPr>
          <w:p w:rsidR="00585D0E" w:rsidRPr="00044874" w:rsidRDefault="00585D0E" w:rsidP="00585D0E">
            <w:pPr>
              <w:overflowPunct w:val="0"/>
              <w:autoSpaceDE w:val="0"/>
              <w:autoSpaceDN w:val="0"/>
              <w:adjustRightInd w:val="0"/>
              <w:snapToGrid w:val="0"/>
              <w:jc w:val="center"/>
            </w:pPr>
            <w:r w:rsidRPr="00044874">
              <w:t>Lp.</w:t>
            </w:r>
          </w:p>
        </w:tc>
        <w:tc>
          <w:tcPr>
            <w:tcW w:w="2499" w:type="dxa"/>
            <w:shd w:val="clear" w:color="auto" w:fill="auto"/>
          </w:tcPr>
          <w:p w:rsidR="00585D0E" w:rsidRPr="00044874" w:rsidRDefault="00585D0E" w:rsidP="00585D0E">
            <w:pPr>
              <w:overflowPunct w:val="0"/>
              <w:autoSpaceDE w:val="0"/>
              <w:autoSpaceDN w:val="0"/>
              <w:adjustRightInd w:val="0"/>
              <w:snapToGrid w:val="0"/>
              <w:jc w:val="center"/>
            </w:pPr>
            <w:r w:rsidRPr="00044874">
              <w:t>Badana cecha</w:t>
            </w:r>
          </w:p>
        </w:tc>
        <w:tc>
          <w:tcPr>
            <w:tcW w:w="4578" w:type="dxa"/>
            <w:shd w:val="clear" w:color="auto" w:fill="auto"/>
          </w:tcPr>
          <w:p w:rsidR="00585D0E" w:rsidRPr="00044874" w:rsidRDefault="00585D0E" w:rsidP="00585D0E">
            <w:pPr>
              <w:overflowPunct w:val="0"/>
              <w:autoSpaceDE w:val="0"/>
              <w:autoSpaceDN w:val="0"/>
              <w:adjustRightInd w:val="0"/>
              <w:snapToGrid w:val="0"/>
              <w:jc w:val="center"/>
            </w:pPr>
            <w:r w:rsidRPr="00044874">
              <w:t>Minimalna częstotliwość badań i pomiarów</w:t>
            </w:r>
          </w:p>
        </w:tc>
      </w:tr>
      <w:tr w:rsidR="00585D0E" w:rsidRPr="00044874" w:rsidTr="00585D0E">
        <w:tc>
          <w:tcPr>
            <w:tcW w:w="495" w:type="dxa"/>
            <w:tcBorders>
              <w:left w:val="single" w:sz="4" w:space="0" w:color="000000"/>
              <w:bottom w:val="single" w:sz="4" w:space="0" w:color="000000"/>
            </w:tcBorders>
            <w:shd w:val="clear" w:color="auto" w:fill="auto"/>
          </w:tcPr>
          <w:p w:rsidR="00585D0E" w:rsidRPr="00044874" w:rsidRDefault="00585D0E" w:rsidP="00585D0E">
            <w:pPr>
              <w:overflowPunct w:val="0"/>
              <w:autoSpaceDE w:val="0"/>
              <w:autoSpaceDN w:val="0"/>
              <w:adjustRightInd w:val="0"/>
              <w:snapToGrid w:val="0"/>
              <w:jc w:val="center"/>
            </w:pPr>
            <w:r w:rsidRPr="00044874">
              <w:t>1</w:t>
            </w:r>
          </w:p>
        </w:tc>
        <w:tc>
          <w:tcPr>
            <w:tcW w:w="2499" w:type="dxa"/>
            <w:tcBorders>
              <w:left w:val="single" w:sz="4" w:space="0" w:color="000000"/>
              <w:bottom w:val="single" w:sz="4" w:space="0" w:color="000000"/>
            </w:tcBorders>
            <w:shd w:val="clear" w:color="auto" w:fill="auto"/>
          </w:tcPr>
          <w:p w:rsidR="00585D0E" w:rsidRPr="00044874" w:rsidRDefault="00585D0E" w:rsidP="00585D0E">
            <w:pPr>
              <w:overflowPunct w:val="0"/>
              <w:autoSpaceDE w:val="0"/>
              <w:autoSpaceDN w:val="0"/>
              <w:adjustRightInd w:val="0"/>
              <w:snapToGrid w:val="0"/>
            </w:pPr>
            <w:r w:rsidRPr="00044874">
              <w:t>Pomiar szerokości korpusu ziemnego</w:t>
            </w:r>
          </w:p>
        </w:tc>
        <w:tc>
          <w:tcPr>
            <w:tcW w:w="4578" w:type="dxa"/>
            <w:tcBorders>
              <w:left w:val="single" w:sz="4" w:space="0" w:color="000000"/>
              <w:right w:val="single" w:sz="4" w:space="0" w:color="000000"/>
            </w:tcBorders>
            <w:shd w:val="clear" w:color="auto" w:fill="auto"/>
          </w:tcPr>
          <w:p w:rsidR="00585D0E" w:rsidRPr="00044874" w:rsidRDefault="00585D0E" w:rsidP="00585D0E">
            <w:pPr>
              <w:overflowPunct w:val="0"/>
              <w:autoSpaceDE w:val="0"/>
              <w:autoSpaceDN w:val="0"/>
              <w:adjustRightInd w:val="0"/>
              <w:snapToGrid w:val="0"/>
              <w:jc w:val="both"/>
            </w:pPr>
            <w:r w:rsidRPr="00044874">
              <w:t>Pomiar taśmą, szablonem, łatą o długości 3 m i poziomicą lub niwelatorem, w odstępach co 200 m na</w:t>
            </w:r>
          </w:p>
        </w:tc>
      </w:tr>
      <w:tr w:rsidR="00585D0E" w:rsidRPr="00044874" w:rsidTr="00585D0E">
        <w:tc>
          <w:tcPr>
            <w:tcW w:w="495" w:type="dxa"/>
            <w:tcBorders>
              <w:left w:val="single" w:sz="4" w:space="0" w:color="000000"/>
              <w:bottom w:val="single" w:sz="4" w:space="0" w:color="000000"/>
            </w:tcBorders>
            <w:shd w:val="clear" w:color="auto" w:fill="auto"/>
          </w:tcPr>
          <w:p w:rsidR="00585D0E" w:rsidRPr="00044874" w:rsidRDefault="00585D0E" w:rsidP="00585D0E">
            <w:pPr>
              <w:overflowPunct w:val="0"/>
              <w:autoSpaceDE w:val="0"/>
              <w:autoSpaceDN w:val="0"/>
              <w:adjustRightInd w:val="0"/>
              <w:snapToGrid w:val="0"/>
              <w:jc w:val="center"/>
            </w:pPr>
            <w:r w:rsidRPr="00044874">
              <w:t>2</w:t>
            </w:r>
          </w:p>
        </w:tc>
        <w:tc>
          <w:tcPr>
            <w:tcW w:w="2499" w:type="dxa"/>
            <w:tcBorders>
              <w:left w:val="single" w:sz="4" w:space="0" w:color="000000"/>
              <w:bottom w:val="single" w:sz="4" w:space="0" w:color="000000"/>
            </w:tcBorders>
            <w:shd w:val="clear" w:color="auto" w:fill="auto"/>
          </w:tcPr>
          <w:p w:rsidR="00585D0E" w:rsidRPr="00044874" w:rsidRDefault="00585D0E" w:rsidP="00585D0E">
            <w:pPr>
              <w:overflowPunct w:val="0"/>
              <w:autoSpaceDE w:val="0"/>
              <w:autoSpaceDN w:val="0"/>
              <w:adjustRightInd w:val="0"/>
              <w:snapToGrid w:val="0"/>
            </w:pPr>
            <w:r w:rsidRPr="00044874">
              <w:t>Pomiar szerokości dna rowów</w:t>
            </w:r>
          </w:p>
        </w:tc>
        <w:tc>
          <w:tcPr>
            <w:tcW w:w="4578" w:type="dxa"/>
            <w:tcBorders>
              <w:left w:val="single" w:sz="4" w:space="0" w:color="000000"/>
              <w:right w:val="single" w:sz="4" w:space="0" w:color="000000"/>
            </w:tcBorders>
            <w:shd w:val="clear" w:color="auto" w:fill="auto"/>
          </w:tcPr>
          <w:p w:rsidR="00585D0E" w:rsidRPr="00044874" w:rsidRDefault="00585D0E" w:rsidP="00585D0E">
            <w:pPr>
              <w:overflowPunct w:val="0"/>
              <w:autoSpaceDE w:val="0"/>
              <w:autoSpaceDN w:val="0"/>
              <w:adjustRightInd w:val="0"/>
              <w:snapToGrid w:val="0"/>
              <w:jc w:val="both"/>
            </w:pPr>
            <w:r w:rsidRPr="00044874">
              <w:t xml:space="preserve">prostych, w punktach głównych łuku, co 100 m na łukach o R </w:t>
            </w:r>
            <w:r w:rsidRPr="00044874">
              <w:rPr>
                <w:rFonts w:ascii="Symbol" w:hAnsi="Symbol"/>
              </w:rPr>
              <w:t></w:t>
            </w:r>
            <w:r w:rsidRPr="00044874">
              <w:t xml:space="preserve"> 100 m co 50 m na łukach o R </w:t>
            </w:r>
            <w:r w:rsidRPr="00044874">
              <w:rPr>
                <w:rFonts w:ascii="Symbol" w:hAnsi="Symbol"/>
              </w:rPr>
              <w:t></w:t>
            </w:r>
            <w:r w:rsidRPr="00044874">
              <w:t xml:space="preserve"> 100 m</w:t>
            </w:r>
          </w:p>
        </w:tc>
      </w:tr>
      <w:tr w:rsidR="00585D0E" w:rsidRPr="00044874" w:rsidTr="00585D0E">
        <w:tc>
          <w:tcPr>
            <w:tcW w:w="495" w:type="dxa"/>
            <w:tcBorders>
              <w:left w:val="single" w:sz="4" w:space="0" w:color="000000"/>
              <w:bottom w:val="single" w:sz="4" w:space="0" w:color="000000"/>
            </w:tcBorders>
            <w:shd w:val="clear" w:color="auto" w:fill="auto"/>
          </w:tcPr>
          <w:p w:rsidR="00585D0E" w:rsidRPr="00044874" w:rsidRDefault="00585D0E" w:rsidP="00585D0E">
            <w:pPr>
              <w:overflowPunct w:val="0"/>
              <w:autoSpaceDE w:val="0"/>
              <w:autoSpaceDN w:val="0"/>
              <w:adjustRightInd w:val="0"/>
              <w:snapToGrid w:val="0"/>
              <w:jc w:val="center"/>
            </w:pPr>
            <w:r w:rsidRPr="00044874">
              <w:t>3</w:t>
            </w:r>
          </w:p>
        </w:tc>
        <w:tc>
          <w:tcPr>
            <w:tcW w:w="2499" w:type="dxa"/>
            <w:tcBorders>
              <w:left w:val="single" w:sz="4" w:space="0" w:color="000000"/>
              <w:bottom w:val="single" w:sz="4" w:space="0" w:color="000000"/>
            </w:tcBorders>
            <w:shd w:val="clear" w:color="auto" w:fill="auto"/>
          </w:tcPr>
          <w:p w:rsidR="00585D0E" w:rsidRPr="00044874" w:rsidRDefault="00585D0E" w:rsidP="00585D0E">
            <w:pPr>
              <w:overflowPunct w:val="0"/>
              <w:autoSpaceDE w:val="0"/>
              <w:autoSpaceDN w:val="0"/>
              <w:adjustRightInd w:val="0"/>
              <w:snapToGrid w:val="0"/>
            </w:pPr>
            <w:r w:rsidRPr="00044874">
              <w:t>Pomiar rzędnych powierzchni korpusu ziemnego</w:t>
            </w:r>
          </w:p>
        </w:tc>
        <w:tc>
          <w:tcPr>
            <w:tcW w:w="4578" w:type="dxa"/>
            <w:tcBorders>
              <w:left w:val="single" w:sz="4" w:space="0" w:color="000000"/>
              <w:right w:val="single" w:sz="4" w:space="0" w:color="000000"/>
            </w:tcBorders>
            <w:shd w:val="clear" w:color="auto" w:fill="auto"/>
          </w:tcPr>
          <w:p w:rsidR="00585D0E" w:rsidRPr="00044874" w:rsidRDefault="00585D0E" w:rsidP="00585D0E">
            <w:pPr>
              <w:overflowPunct w:val="0"/>
              <w:autoSpaceDE w:val="0"/>
              <w:autoSpaceDN w:val="0"/>
              <w:adjustRightInd w:val="0"/>
              <w:snapToGrid w:val="0"/>
              <w:jc w:val="both"/>
            </w:pPr>
            <w:r w:rsidRPr="00044874">
              <w:t>oraz w miejscach, które budzą wątpliwości</w:t>
            </w:r>
          </w:p>
        </w:tc>
      </w:tr>
      <w:tr w:rsidR="00585D0E" w:rsidRPr="00044874" w:rsidTr="00585D0E">
        <w:tc>
          <w:tcPr>
            <w:tcW w:w="495" w:type="dxa"/>
            <w:tcBorders>
              <w:left w:val="single" w:sz="4" w:space="0" w:color="000000"/>
              <w:bottom w:val="single" w:sz="4" w:space="0" w:color="000000"/>
            </w:tcBorders>
            <w:shd w:val="clear" w:color="auto" w:fill="auto"/>
          </w:tcPr>
          <w:p w:rsidR="00585D0E" w:rsidRPr="00044874" w:rsidRDefault="00585D0E" w:rsidP="00585D0E">
            <w:pPr>
              <w:overflowPunct w:val="0"/>
              <w:autoSpaceDE w:val="0"/>
              <w:autoSpaceDN w:val="0"/>
              <w:adjustRightInd w:val="0"/>
              <w:snapToGrid w:val="0"/>
              <w:jc w:val="center"/>
            </w:pPr>
            <w:r w:rsidRPr="00044874">
              <w:t>4</w:t>
            </w:r>
          </w:p>
        </w:tc>
        <w:tc>
          <w:tcPr>
            <w:tcW w:w="2499" w:type="dxa"/>
            <w:tcBorders>
              <w:left w:val="single" w:sz="4" w:space="0" w:color="000000"/>
              <w:bottom w:val="single" w:sz="4" w:space="0" w:color="000000"/>
            </w:tcBorders>
            <w:shd w:val="clear" w:color="auto" w:fill="auto"/>
          </w:tcPr>
          <w:p w:rsidR="00585D0E" w:rsidRPr="00044874" w:rsidRDefault="00585D0E" w:rsidP="00585D0E">
            <w:pPr>
              <w:overflowPunct w:val="0"/>
              <w:autoSpaceDE w:val="0"/>
              <w:autoSpaceDN w:val="0"/>
              <w:adjustRightInd w:val="0"/>
              <w:snapToGrid w:val="0"/>
              <w:jc w:val="both"/>
            </w:pPr>
            <w:r w:rsidRPr="00044874">
              <w:t>Pomiar pochylenia skarp</w:t>
            </w:r>
          </w:p>
        </w:tc>
        <w:tc>
          <w:tcPr>
            <w:tcW w:w="4578" w:type="dxa"/>
            <w:tcBorders>
              <w:left w:val="single" w:sz="4" w:space="0" w:color="000000"/>
              <w:right w:val="single" w:sz="4" w:space="0" w:color="000000"/>
            </w:tcBorders>
            <w:shd w:val="clear" w:color="auto" w:fill="auto"/>
          </w:tcPr>
          <w:p w:rsidR="00585D0E" w:rsidRPr="00044874" w:rsidRDefault="00585D0E" w:rsidP="00585D0E">
            <w:pPr>
              <w:overflowPunct w:val="0"/>
              <w:autoSpaceDE w:val="0"/>
              <w:autoSpaceDN w:val="0"/>
              <w:adjustRightInd w:val="0"/>
              <w:snapToGrid w:val="0"/>
              <w:jc w:val="both"/>
            </w:pPr>
          </w:p>
        </w:tc>
      </w:tr>
      <w:tr w:rsidR="00585D0E" w:rsidRPr="00044874" w:rsidTr="00585D0E">
        <w:tc>
          <w:tcPr>
            <w:tcW w:w="495" w:type="dxa"/>
            <w:tcBorders>
              <w:left w:val="single" w:sz="4" w:space="0" w:color="000000"/>
              <w:bottom w:val="single" w:sz="4" w:space="0" w:color="000000"/>
            </w:tcBorders>
            <w:shd w:val="clear" w:color="auto" w:fill="auto"/>
          </w:tcPr>
          <w:p w:rsidR="00585D0E" w:rsidRPr="00044874" w:rsidRDefault="00585D0E" w:rsidP="00585D0E">
            <w:pPr>
              <w:overflowPunct w:val="0"/>
              <w:autoSpaceDE w:val="0"/>
              <w:autoSpaceDN w:val="0"/>
              <w:adjustRightInd w:val="0"/>
              <w:snapToGrid w:val="0"/>
              <w:jc w:val="center"/>
            </w:pPr>
            <w:r w:rsidRPr="00044874">
              <w:t>5</w:t>
            </w:r>
          </w:p>
        </w:tc>
        <w:tc>
          <w:tcPr>
            <w:tcW w:w="2499" w:type="dxa"/>
            <w:tcBorders>
              <w:left w:val="single" w:sz="4" w:space="0" w:color="000000"/>
              <w:bottom w:val="single" w:sz="4" w:space="0" w:color="000000"/>
            </w:tcBorders>
            <w:shd w:val="clear" w:color="auto" w:fill="auto"/>
          </w:tcPr>
          <w:p w:rsidR="00585D0E" w:rsidRPr="00044874" w:rsidRDefault="00585D0E" w:rsidP="00585D0E">
            <w:pPr>
              <w:overflowPunct w:val="0"/>
              <w:autoSpaceDE w:val="0"/>
              <w:autoSpaceDN w:val="0"/>
              <w:adjustRightInd w:val="0"/>
              <w:snapToGrid w:val="0"/>
            </w:pPr>
            <w:r w:rsidRPr="00044874">
              <w:t>Pomiar równości powierzchni korpusu</w:t>
            </w:r>
          </w:p>
        </w:tc>
        <w:tc>
          <w:tcPr>
            <w:tcW w:w="4578" w:type="dxa"/>
            <w:tcBorders>
              <w:left w:val="single" w:sz="4" w:space="0" w:color="000000"/>
              <w:right w:val="single" w:sz="4" w:space="0" w:color="000000"/>
            </w:tcBorders>
            <w:shd w:val="clear" w:color="auto" w:fill="auto"/>
          </w:tcPr>
          <w:p w:rsidR="00585D0E" w:rsidRPr="00044874" w:rsidRDefault="00585D0E" w:rsidP="00585D0E">
            <w:pPr>
              <w:overflowPunct w:val="0"/>
              <w:autoSpaceDE w:val="0"/>
              <w:autoSpaceDN w:val="0"/>
              <w:adjustRightInd w:val="0"/>
              <w:snapToGrid w:val="0"/>
              <w:jc w:val="both"/>
            </w:pPr>
          </w:p>
        </w:tc>
      </w:tr>
      <w:tr w:rsidR="00585D0E" w:rsidRPr="00044874" w:rsidTr="00585D0E">
        <w:tc>
          <w:tcPr>
            <w:tcW w:w="495" w:type="dxa"/>
            <w:tcBorders>
              <w:left w:val="single" w:sz="4" w:space="0" w:color="000000"/>
              <w:bottom w:val="single" w:sz="4" w:space="0" w:color="000000"/>
            </w:tcBorders>
            <w:shd w:val="clear" w:color="auto" w:fill="auto"/>
          </w:tcPr>
          <w:p w:rsidR="00585D0E" w:rsidRPr="00044874" w:rsidRDefault="00585D0E" w:rsidP="00585D0E">
            <w:pPr>
              <w:overflowPunct w:val="0"/>
              <w:autoSpaceDE w:val="0"/>
              <w:autoSpaceDN w:val="0"/>
              <w:adjustRightInd w:val="0"/>
              <w:snapToGrid w:val="0"/>
              <w:jc w:val="center"/>
            </w:pPr>
            <w:r w:rsidRPr="00044874">
              <w:t>6</w:t>
            </w:r>
          </w:p>
        </w:tc>
        <w:tc>
          <w:tcPr>
            <w:tcW w:w="2499" w:type="dxa"/>
            <w:tcBorders>
              <w:left w:val="single" w:sz="4" w:space="0" w:color="000000"/>
              <w:bottom w:val="single" w:sz="4" w:space="0" w:color="000000"/>
            </w:tcBorders>
            <w:shd w:val="clear" w:color="auto" w:fill="auto"/>
          </w:tcPr>
          <w:p w:rsidR="00585D0E" w:rsidRPr="00044874" w:rsidRDefault="00585D0E" w:rsidP="00585D0E">
            <w:pPr>
              <w:overflowPunct w:val="0"/>
              <w:autoSpaceDE w:val="0"/>
              <w:autoSpaceDN w:val="0"/>
              <w:adjustRightInd w:val="0"/>
              <w:snapToGrid w:val="0"/>
              <w:jc w:val="both"/>
            </w:pPr>
            <w:r w:rsidRPr="00044874">
              <w:t>Pomiar równości skarp</w:t>
            </w:r>
          </w:p>
        </w:tc>
        <w:tc>
          <w:tcPr>
            <w:tcW w:w="4578" w:type="dxa"/>
            <w:tcBorders>
              <w:left w:val="single" w:sz="4" w:space="0" w:color="000000"/>
              <w:bottom w:val="single" w:sz="4" w:space="0" w:color="000000"/>
              <w:right w:val="single" w:sz="4" w:space="0" w:color="000000"/>
            </w:tcBorders>
            <w:shd w:val="clear" w:color="auto" w:fill="auto"/>
          </w:tcPr>
          <w:p w:rsidR="00585D0E" w:rsidRPr="00044874" w:rsidRDefault="00585D0E" w:rsidP="00585D0E">
            <w:pPr>
              <w:overflowPunct w:val="0"/>
              <w:autoSpaceDE w:val="0"/>
              <w:autoSpaceDN w:val="0"/>
              <w:adjustRightInd w:val="0"/>
              <w:snapToGrid w:val="0"/>
              <w:jc w:val="both"/>
            </w:pPr>
          </w:p>
        </w:tc>
      </w:tr>
      <w:tr w:rsidR="00585D0E" w:rsidRPr="00044874" w:rsidTr="00585D0E">
        <w:tc>
          <w:tcPr>
            <w:tcW w:w="495" w:type="dxa"/>
            <w:tcBorders>
              <w:left w:val="single" w:sz="4" w:space="0" w:color="000000"/>
              <w:bottom w:val="single" w:sz="4" w:space="0" w:color="000000"/>
            </w:tcBorders>
            <w:shd w:val="clear" w:color="auto" w:fill="auto"/>
          </w:tcPr>
          <w:p w:rsidR="00585D0E" w:rsidRPr="00044874" w:rsidRDefault="00585D0E" w:rsidP="00585D0E">
            <w:pPr>
              <w:overflowPunct w:val="0"/>
              <w:autoSpaceDE w:val="0"/>
              <w:autoSpaceDN w:val="0"/>
              <w:adjustRightInd w:val="0"/>
              <w:snapToGrid w:val="0"/>
              <w:jc w:val="center"/>
            </w:pPr>
            <w:r w:rsidRPr="00044874">
              <w:t>7</w:t>
            </w:r>
          </w:p>
        </w:tc>
        <w:tc>
          <w:tcPr>
            <w:tcW w:w="2499" w:type="dxa"/>
            <w:tcBorders>
              <w:left w:val="single" w:sz="4" w:space="0" w:color="000000"/>
              <w:bottom w:val="single" w:sz="4" w:space="0" w:color="000000"/>
            </w:tcBorders>
            <w:shd w:val="clear" w:color="auto" w:fill="auto"/>
          </w:tcPr>
          <w:p w:rsidR="00585D0E" w:rsidRPr="00044874" w:rsidRDefault="00585D0E" w:rsidP="00585D0E">
            <w:pPr>
              <w:overflowPunct w:val="0"/>
              <w:autoSpaceDE w:val="0"/>
              <w:autoSpaceDN w:val="0"/>
              <w:adjustRightInd w:val="0"/>
              <w:snapToGrid w:val="0"/>
              <w:jc w:val="both"/>
            </w:pPr>
            <w:r w:rsidRPr="00044874">
              <w:t>Pomiar spadku podłużnego powierzchni korpusu lub dna rowu</w:t>
            </w:r>
          </w:p>
        </w:tc>
        <w:tc>
          <w:tcPr>
            <w:tcW w:w="4578" w:type="dxa"/>
            <w:tcBorders>
              <w:left w:val="single" w:sz="4" w:space="0" w:color="000000"/>
              <w:bottom w:val="single" w:sz="4" w:space="0" w:color="000000"/>
              <w:right w:val="single" w:sz="4" w:space="0" w:color="000000"/>
            </w:tcBorders>
            <w:shd w:val="clear" w:color="auto" w:fill="auto"/>
          </w:tcPr>
          <w:p w:rsidR="00585D0E" w:rsidRPr="00044874" w:rsidRDefault="00585D0E" w:rsidP="00585D0E">
            <w:pPr>
              <w:overflowPunct w:val="0"/>
              <w:autoSpaceDE w:val="0"/>
              <w:autoSpaceDN w:val="0"/>
              <w:adjustRightInd w:val="0"/>
              <w:snapToGrid w:val="0"/>
              <w:jc w:val="both"/>
            </w:pPr>
            <w:r w:rsidRPr="00044874">
              <w:t>Pomiar niwelatorem rzędnych w odstępach co 200 m oraz w punktach wątpliwych</w:t>
            </w:r>
          </w:p>
        </w:tc>
      </w:tr>
      <w:tr w:rsidR="00585D0E" w:rsidRPr="00044874" w:rsidTr="00585D0E">
        <w:tc>
          <w:tcPr>
            <w:tcW w:w="495" w:type="dxa"/>
            <w:tcBorders>
              <w:left w:val="single" w:sz="4" w:space="0" w:color="000000"/>
              <w:bottom w:val="single" w:sz="4" w:space="0" w:color="000000"/>
            </w:tcBorders>
            <w:shd w:val="clear" w:color="auto" w:fill="auto"/>
          </w:tcPr>
          <w:p w:rsidR="00585D0E" w:rsidRPr="00044874" w:rsidRDefault="00585D0E" w:rsidP="00585D0E">
            <w:pPr>
              <w:overflowPunct w:val="0"/>
              <w:autoSpaceDE w:val="0"/>
              <w:autoSpaceDN w:val="0"/>
              <w:adjustRightInd w:val="0"/>
              <w:snapToGrid w:val="0"/>
              <w:jc w:val="center"/>
            </w:pPr>
            <w:r w:rsidRPr="00044874">
              <w:t>8</w:t>
            </w:r>
          </w:p>
        </w:tc>
        <w:tc>
          <w:tcPr>
            <w:tcW w:w="2499" w:type="dxa"/>
            <w:tcBorders>
              <w:left w:val="single" w:sz="4" w:space="0" w:color="000000"/>
              <w:bottom w:val="single" w:sz="4" w:space="0" w:color="000000"/>
            </w:tcBorders>
            <w:shd w:val="clear" w:color="auto" w:fill="auto"/>
          </w:tcPr>
          <w:p w:rsidR="00585D0E" w:rsidRPr="00044874" w:rsidRDefault="00585D0E" w:rsidP="00585D0E">
            <w:pPr>
              <w:overflowPunct w:val="0"/>
              <w:autoSpaceDE w:val="0"/>
              <w:autoSpaceDN w:val="0"/>
              <w:adjustRightInd w:val="0"/>
              <w:snapToGrid w:val="0"/>
              <w:jc w:val="both"/>
            </w:pPr>
            <w:r w:rsidRPr="00044874">
              <w:t>Badanie zagęszczenia gruntu</w:t>
            </w:r>
          </w:p>
        </w:tc>
        <w:tc>
          <w:tcPr>
            <w:tcW w:w="4578" w:type="dxa"/>
            <w:tcBorders>
              <w:left w:val="single" w:sz="4" w:space="0" w:color="000000"/>
              <w:bottom w:val="single" w:sz="4" w:space="0" w:color="000000"/>
              <w:right w:val="single" w:sz="4" w:space="0" w:color="000000"/>
            </w:tcBorders>
            <w:shd w:val="clear" w:color="auto" w:fill="auto"/>
          </w:tcPr>
          <w:p w:rsidR="00585D0E" w:rsidRPr="00044874" w:rsidRDefault="00585D0E" w:rsidP="00585D0E">
            <w:pPr>
              <w:overflowPunct w:val="0"/>
              <w:autoSpaceDE w:val="0"/>
              <w:autoSpaceDN w:val="0"/>
              <w:adjustRightInd w:val="0"/>
              <w:snapToGrid w:val="0"/>
              <w:jc w:val="both"/>
            </w:pPr>
            <w:r w:rsidRPr="00044874">
              <w:t>Wskaźnik zagęszczenia określać dla każdej ułożonej warstwy lecz nie rzadziej niż</w:t>
            </w:r>
            <w:r>
              <w:t xml:space="preserve"> w trzech punktach na 5</w:t>
            </w:r>
            <w:r w:rsidRPr="00044874">
              <w:t>000 m</w:t>
            </w:r>
            <w:r w:rsidRPr="00044874">
              <w:rPr>
                <w:vertAlign w:val="superscript"/>
              </w:rPr>
              <w:t>2</w:t>
            </w:r>
            <w:r w:rsidRPr="00044874">
              <w:t xml:space="preserve"> warstwy</w:t>
            </w:r>
          </w:p>
        </w:tc>
      </w:tr>
    </w:tbl>
    <w:p w:rsidR="00585D0E" w:rsidRPr="00044874" w:rsidRDefault="00585D0E" w:rsidP="00585D0E">
      <w:pPr>
        <w:overflowPunct w:val="0"/>
        <w:autoSpaceDE w:val="0"/>
        <w:autoSpaceDN w:val="0"/>
        <w:adjustRightInd w:val="0"/>
        <w:jc w:val="both"/>
      </w:pPr>
    </w:p>
    <w:p w:rsidR="00585D0E" w:rsidRPr="00044874" w:rsidRDefault="00585D0E" w:rsidP="00585D0E">
      <w:pPr>
        <w:overflowPunct w:val="0"/>
        <w:autoSpaceDE w:val="0"/>
        <w:autoSpaceDN w:val="0"/>
        <w:adjustRightInd w:val="0"/>
        <w:jc w:val="both"/>
      </w:pPr>
      <w:r w:rsidRPr="00044874">
        <w:t>6.3.2. Szerokość korpusu ziemnego</w:t>
      </w:r>
    </w:p>
    <w:p w:rsidR="00585D0E" w:rsidRPr="00044874" w:rsidRDefault="00585D0E" w:rsidP="00585D0E">
      <w:pPr>
        <w:overflowPunct w:val="0"/>
        <w:autoSpaceDE w:val="0"/>
        <w:autoSpaceDN w:val="0"/>
        <w:adjustRightInd w:val="0"/>
        <w:jc w:val="both"/>
      </w:pPr>
      <w:r w:rsidRPr="00044874">
        <w:tab/>
        <w:t xml:space="preserve">Szerokość korpusu ziemnego nie może różnić się od szerokości projektowanej o więcej niż </w:t>
      </w:r>
      <w:r w:rsidRPr="00044874">
        <w:rPr>
          <w:rFonts w:ascii="Symbol" w:hAnsi="Symbol"/>
        </w:rPr>
        <w:t></w:t>
      </w:r>
      <w:r w:rsidRPr="00044874">
        <w:t xml:space="preserve"> 10 cm.</w:t>
      </w:r>
    </w:p>
    <w:p w:rsidR="00585D0E" w:rsidRPr="00044874" w:rsidRDefault="00585D0E" w:rsidP="00585D0E">
      <w:pPr>
        <w:keepNext/>
        <w:overflowPunct w:val="0"/>
        <w:autoSpaceDE w:val="0"/>
        <w:autoSpaceDN w:val="0"/>
        <w:adjustRightInd w:val="0"/>
        <w:jc w:val="both"/>
      </w:pPr>
      <w:r w:rsidRPr="00044874">
        <w:t>6.3.3. Szerokość dna rowów</w:t>
      </w:r>
    </w:p>
    <w:p w:rsidR="00585D0E" w:rsidRPr="00044874" w:rsidRDefault="00585D0E" w:rsidP="00585D0E">
      <w:pPr>
        <w:keepNext/>
        <w:overflowPunct w:val="0"/>
        <w:autoSpaceDE w:val="0"/>
        <w:autoSpaceDN w:val="0"/>
        <w:adjustRightInd w:val="0"/>
        <w:jc w:val="both"/>
      </w:pPr>
      <w:r w:rsidRPr="00044874">
        <w:tab/>
        <w:t xml:space="preserve">Szerokość dna rowów nie może różnić się od szerokości projektowanej o więcej niż </w:t>
      </w:r>
      <w:r w:rsidRPr="00044874">
        <w:rPr>
          <w:rFonts w:ascii="Symbol" w:hAnsi="Symbol"/>
        </w:rPr>
        <w:t></w:t>
      </w:r>
      <w:r w:rsidRPr="00044874">
        <w:t xml:space="preserve"> 5 cm.</w:t>
      </w:r>
    </w:p>
    <w:p w:rsidR="00585D0E" w:rsidRPr="00044874" w:rsidRDefault="00585D0E" w:rsidP="00585D0E">
      <w:pPr>
        <w:keepNext/>
        <w:overflowPunct w:val="0"/>
        <w:autoSpaceDE w:val="0"/>
        <w:autoSpaceDN w:val="0"/>
        <w:adjustRightInd w:val="0"/>
        <w:jc w:val="both"/>
      </w:pPr>
      <w:r w:rsidRPr="00044874">
        <w:t>6.3.4. Rzędne korony korpusu ziemnego</w:t>
      </w:r>
    </w:p>
    <w:p w:rsidR="00585D0E" w:rsidRPr="00044874" w:rsidRDefault="00585D0E" w:rsidP="00585D0E">
      <w:pPr>
        <w:overflowPunct w:val="0"/>
        <w:autoSpaceDE w:val="0"/>
        <w:autoSpaceDN w:val="0"/>
        <w:adjustRightInd w:val="0"/>
        <w:jc w:val="both"/>
      </w:pPr>
      <w:r w:rsidRPr="00044874">
        <w:tab/>
        <w:t>Rzędne korony korpusu ziemnego nie mogą różnić się od rzędnych projektowanych o więcej niż -3 cm lub +1 cm.</w:t>
      </w:r>
    </w:p>
    <w:p w:rsidR="00585D0E" w:rsidRPr="00044874" w:rsidRDefault="00585D0E" w:rsidP="00585D0E">
      <w:pPr>
        <w:overflowPunct w:val="0"/>
        <w:autoSpaceDE w:val="0"/>
        <w:autoSpaceDN w:val="0"/>
        <w:adjustRightInd w:val="0"/>
        <w:jc w:val="both"/>
      </w:pPr>
      <w:r w:rsidRPr="00044874">
        <w:t>6.3.5. Pochylenie skarp</w:t>
      </w:r>
    </w:p>
    <w:p w:rsidR="00585D0E" w:rsidRPr="00044874" w:rsidRDefault="00585D0E" w:rsidP="00585D0E">
      <w:pPr>
        <w:overflowPunct w:val="0"/>
        <w:autoSpaceDE w:val="0"/>
        <w:autoSpaceDN w:val="0"/>
        <w:adjustRightInd w:val="0"/>
        <w:jc w:val="both"/>
      </w:pPr>
      <w:r w:rsidRPr="00044874">
        <w:tab/>
        <w:t>Pochylenie skarp nie może różnić się od pochylenia projektowanego o więcej niż 10% wartości pochylenia wyrażonego tangensem kąta.</w:t>
      </w:r>
    </w:p>
    <w:p w:rsidR="00585D0E" w:rsidRPr="00044874" w:rsidRDefault="00585D0E" w:rsidP="00585D0E">
      <w:pPr>
        <w:overflowPunct w:val="0"/>
        <w:autoSpaceDE w:val="0"/>
        <w:autoSpaceDN w:val="0"/>
        <w:adjustRightInd w:val="0"/>
        <w:jc w:val="both"/>
      </w:pPr>
      <w:r w:rsidRPr="00044874">
        <w:t>6.3.6. Równość korony korpusu</w:t>
      </w:r>
    </w:p>
    <w:p w:rsidR="00585D0E" w:rsidRPr="00044874" w:rsidRDefault="00585D0E" w:rsidP="00585D0E">
      <w:pPr>
        <w:overflowPunct w:val="0"/>
        <w:autoSpaceDE w:val="0"/>
        <w:autoSpaceDN w:val="0"/>
        <w:adjustRightInd w:val="0"/>
        <w:jc w:val="both"/>
      </w:pPr>
      <w:r w:rsidRPr="00044874">
        <w:tab/>
        <w:t>Nierówności powierzchni korpusu ziemnego mierzone łatą 3-metrową, nie mogą przekraczać 3 cm.</w:t>
      </w:r>
    </w:p>
    <w:p w:rsidR="00585D0E" w:rsidRPr="00044874" w:rsidRDefault="00585D0E" w:rsidP="00585D0E">
      <w:pPr>
        <w:overflowPunct w:val="0"/>
        <w:autoSpaceDE w:val="0"/>
        <w:autoSpaceDN w:val="0"/>
        <w:adjustRightInd w:val="0"/>
        <w:jc w:val="both"/>
      </w:pPr>
      <w:r w:rsidRPr="00044874">
        <w:t>6.3.7. Równość skarp</w:t>
      </w:r>
    </w:p>
    <w:p w:rsidR="00585D0E" w:rsidRPr="00044874" w:rsidRDefault="00585D0E" w:rsidP="00585D0E">
      <w:pPr>
        <w:overflowPunct w:val="0"/>
        <w:autoSpaceDE w:val="0"/>
        <w:autoSpaceDN w:val="0"/>
        <w:adjustRightInd w:val="0"/>
        <w:jc w:val="both"/>
      </w:pPr>
      <w:r w:rsidRPr="00044874">
        <w:tab/>
        <w:t xml:space="preserve">Nierówności skarp, mierzone łatą 3-metrową, nie mogą przekraczać </w:t>
      </w:r>
      <w:r w:rsidRPr="00044874">
        <w:rPr>
          <w:rFonts w:ascii="Symbol" w:hAnsi="Symbol"/>
        </w:rPr>
        <w:t></w:t>
      </w:r>
      <w:r w:rsidRPr="00044874">
        <w:t xml:space="preserve"> 10 cm.</w:t>
      </w:r>
    </w:p>
    <w:p w:rsidR="00585D0E" w:rsidRPr="00044874" w:rsidRDefault="00585D0E" w:rsidP="00585D0E">
      <w:pPr>
        <w:overflowPunct w:val="0"/>
        <w:autoSpaceDE w:val="0"/>
        <w:autoSpaceDN w:val="0"/>
        <w:adjustRightInd w:val="0"/>
        <w:jc w:val="both"/>
      </w:pPr>
      <w:r w:rsidRPr="00044874">
        <w:t>6.3.8. Spadek podłużny korony korpusu lub dna rowu</w:t>
      </w:r>
    </w:p>
    <w:p w:rsidR="00585D0E" w:rsidRPr="00044874" w:rsidRDefault="00585D0E" w:rsidP="00585D0E">
      <w:pPr>
        <w:overflowPunct w:val="0"/>
        <w:autoSpaceDE w:val="0"/>
        <w:autoSpaceDN w:val="0"/>
        <w:adjustRightInd w:val="0"/>
        <w:jc w:val="both"/>
      </w:pPr>
      <w:r w:rsidRPr="00044874">
        <w:tab/>
        <w:t>Spadek podłużny powierzchni korpusu ziemnego lub dna rowu, sprawdzony przez pomiar niwelatorem rzędnych wysokościowych, nie może dawać różnic, w stosunku do rzędnych projektowanych, większych niż -3 cm lub +1 cm.</w:t>
      </w:r>
    </w:p>
    <w:p w:rsidR="00585D0E" w:rsidRPr="00044874" w:rsidRDefault="00585D0E" w:rsidP="00585D0E">
      <w:pPr>
        <w:overflowPunct w:val="0"/>
        <w:autoSpaceDE w:val="0"/>
        <w:autoSpaceDN w:val="0"/>
        <w:adjustRightInd w:val="0"/>
        <w:jc w:val="both"/>
      </w:pPr>
      <w:r w:rsidRPr="00044874">
        <w:t>6.3.9. Zagęszczenie gruntu</w:t>
      </w:r>
    </w:p>
    <w:p w:rsidR="00585D0E" w:rsidRPr="00044874" w:rsidRDefault="00585D0E" w:rsidP="00585D0E">
      <w:pPr>
        <w:overflowPunct w:val="0"/>
        <w:autoSpaceDE w:val="0"/>
        <w:autoSpaceDN w:val="0"/>
        <w:adjustRightInd w:val="0"/>
        <w:jc w:val="both"/>
      </w:pPr>
      <w:r w:rsidRPr="00044874">
        <w:tab/>
        <w:t>Wskaźnik zagęszczenia gruntu określony zgodnie z BN-77/8931-12 powinien być zgodny z założonym dla odpowiedniej kategorii ruchu. W przypadku gruntów dla których nie można określić wskaźnika zagęszczenia należy określić wskaźnik odkształcenia I</w:t>
      </w:r>
      <w:r w:rsidRPr="00044874">
        <w:rPr>
          <w:vertAlign w:val="subscript"/>
        </w:rPr>
        <w:t>0</w:t>
      </w:r>
      <w:r w:rsidRPr="00044874">
        <w:t>, zgodnie z normą PN-S-02205:1998.</w:t>
      </w:r>
    </w:p>
    <w:p w:rsidR="00585D0E" w:rsidRPr="00044874" w:rsidRDefault="00585D0E" w:rsidP="00585D0E">
      <w:pPr>
        <w:overflowPunct w:val="0"/>
        <w:autoSpaceDE w:val="0"/>
        <w:autoSpaceDN w:val="0"/>
        <w:adjustRightInd w:val="0"/>
        <w:jc w:val="both"/>
        <w:rPr>
          <w:b/>
        </w:rPr>
      </w:pPr>
      <w:r w:rsidRPr="00044874">
        <w:rPr>
          <w:b/>
        </w:rPr>
        <w:t>6.4. Badania geosyntetyków</w:t>
      </w:r>
    </w:p>
    <w:p w:rsidR="00585D0E" w:rsidRPr="00044874" w:rsidRDefault="00585D0E" w:rsidP="00585D0E">
      <w:pPr>
        <w:ind w:firstLine="709"/>
      </w:pPr>
      <w:r w:rsidRPr="00044874">
        <w:t xml:space="preserve">Przed zastosowaniem geosyntetyków w robotach ziemnych, Wykonawca </w:t>
      </w:r>
      <w:r>
        <w:t>powinien przedstawić przedstawicielowi Zamawiającego</w:t>
      </w:r>
      <w:r w:rsidRPr="00044874">
        <w:t xml:space="preserve"> świadectwa stwierdzające, iż zastosowany geosyntetyk odpowiada wymaganiom norm, aprobaty technicznej i zachowa swoje właściwości w kontakcie z materiałami, które będzie oddzielać lub wzmacniać przez okres czasu nie krótszy od podanego w dokumentacji projektowej i ST.</w:t>
      </w:r>
    </w:p>
    <w:p w:rsidR="00585D0E" w:rsidRPr="00044874" w:rsidRDefault="00585D0E" w:rsidP="00585D0E">
      <w:pPr>
        <w:tabs>
          <w:tab w:val="left" w:pos="1080"/>
        </w:tabs>
        <w:outlineLvl w:val="1"/>
        <w:rPr>
          <w:b/>
          <w:snapToGrid w:val="0"/>
        </w:rPr>
      </w:pPr>
      <w:r w:rsidRPr="00044874">
        <w:rPr>
          <w:b/>
          <w:snapToGrid w:val="0"/>
        </w:rPr>
        <w:t>6.5. Zasady postępowania z wadliwie wykonanymi robotami</w:t>
      </w:r>
    </w:p>
    <w:p w:rsidR="00585D0E" w:rsidRPr="00044874" w:rsidRDefault="00585D0E" w:rsidP="00585D0E">
      <w:pPr>
        <w:overflowPunct w:val="0"/>
        <w:autoSpaceDE w:val="0"/>
        <w:autoSpaceDN w:val="0"/>
        <w:adjustRightInd w:val="0"/>
        <w:jc w:val="both"/>
      </w:pPr>
      <w:r w:rsidRPr="00044874">
        <w:tab/>
        <w:t>Wszystkie materiały nie spełniające wymagań podanych w odpowiednich punktach specyfikacji, zostaną odrzucone. Jeśli materiały nie spełniające wymagań zostaną wbudowane lub zastos</w:t>
      </w:r>
      <w:r>
        <w:t>owane, to na polecenie przedstawiciela Zamawiającego</w:t>
      </w:r>
      <w:r w:rsidRPr="00044874">
        <w:t xml:space="preserve"> Wykonawca wymieni je na właściwe, na własny koszt.</w:t>
      </w:r>
    </w:p>
    <w:p w:rsidR="00585D0E" w:rsidRPr="00044874" w:rsidRDefault="00585D0E" w:rsidP="00585D0E">
      <w:pPr>
        <w:overflowPunct w:val="0"/>
        <w:autoSpaceDE w:val="0"/>
        <w:autoSpaceDN w:val="0"/>
        <w:adjustRightInd w:val="0"/>
        <w:jc w:val="both"/>
      </w:pPr>
      <w:r w:rsidRPr="00044874">
        <w:tab/>
        <w:t>Wszystkie roboty, które wykazują większe odchylenia cech od określonych w punktach 5 i 6 specyfikacji powinny być ponownie wykonane przez Wykonawcę na jego koszt.</w:t>
      </w:r>
    </w:p>
    <w:p w:rsidR="00585D0E" w:rsidRPr="00044874" w:rsidRDefault="00585D0E" w:rsidP="00585D0E">
      <w:pPr>
        <w:overflowPunct w:val="0"/>
        <w:autoSpaceDE w:val="0"/>
        <w:autoSpaceDN w:val="0"/>
        <w:adjustRightInd w:val="0"/>
        <w:jc w:val="both"/>
      </w:pPr>
      <w:r w:rsidRPr="00044874">
        <w:tab/>
        <w:t>Na pisemne</w:t>
      </w:r>
      <w:r>
        <w:t xml:space="preserve"> wystąpienie Wykonawcy, przedstawiciel Zamawiającego</w:t>
      </w:r>
      <w:r w:rsidRPr="00044874">
        <w:t xml:space="preserve"> może uznać wadę za nie mającą zasadniczego wpływu na cechy eksploatacyjne drogi i ustali zakres i wielkość potrąceń za obniżoną jakość.</w:t>
      </w:r>
    </w:p>
    <w:p w:rsidR="00585D0E" w:rsidRPr="00044874" w:rsidRDefault="00585D0E" w:rsidP="00585D0E">
      <w:pPr>
        <w:rPr>
          <w:b/>
          <w:u w:val="single"/>
        </w:rPr>
      </w:pPr>
      <w:r w:rsidRPr="00044874">
        <w:rPr>
          <w:b/>
          <w:u w:val="single"/>
        </w:rPr>
        <w:t>7. OBMIAR ROBÓT</w:t>
      </w:r>
    </w:p>
    <w:p w:rsidR="00585D0E" w:rsidRPr="00044874" w:rsidRDefault="00585D0E" w:rsidP="00585D0E">
      <w:pPr>
        <w:tabs>
          <w:tab w:val="left" w:pos="1080"/>
        </w:tabs>
        <w:outlineLvl w:val="1"/>
        <w:rPr>
          <w:b/>
          <w:snapToGrid w:val="0"/>
        </w:rPr>
      </w:pPr>
      <w:r w:rsidRPr="00044874">
        <w:rPr>
          <w:b/>
          <w:snapToGrid w:val="0"/>
        </w:rPr>
        <w:t>7.1. Ogólne zasady obmiaru robót</w:t>
      </w:r>
    </w:p>
    <w:p w:rsidR="00585D0E" w:rsidRPr="00044874" w:rsidRDefault="00585D0E" w:rsidP="00585D0E">
      <w:pPr>
        <w:overflowPunct w:val="0"/>
        <w:autoSpaceDE w:val="0"/>
        <w:autoSpaceDN w:val="0"/>
        <w:adjustRightInd w:val="0"/>
        <w:jc w:val="both"/>
      </w:pPr>
      <w:r w:rsidRPr="00044874">
        <w:tab/>
        <w:t>Ogólne zasady obmiaru robót podano w ST D-M 00.00.00 „Wymagania ogólne” .</w:t>
      </w:r>
    </w:p>
    <w:p w:rsidR="00585D0E" w:rsidRPr="00044874" w:rsidRDefault="00585D0E" w:rsidP="00585D0E">
      <w:pPr>
        <w:tabs>
          <w:tab w:val="left" w:pos="1080"/>
        </w:tabs>
        <w:outlineLvl w:val="1"/>
        <w:rPr>
          <w:b/>
          <w:snapToGrid w:val="0"/>
        </w:rPr>
      </w:pPr>
      <w:r w:rsidRPr="00044874">
        <w:rPr>
          <w:b/>
          <w:snapToGrid w:val="0"/>
        </w:rPr>
        <w:t>7.2. Obmiar robót ziemnych</w:t>
      </w:r>
    </w:p>
    <w:p w:rsidR="00585D0E" w:rsidRPr="00044874" w:rsidRDefault="00585D0E" w:rsidP="00585D0E">
      <w:pPr>
        <w:overflowPunct w:val="0"/>
        <w:autoSpaceDE w:val="0"/>
        <w:autoSpaceDN w:val="0"/>
        <w:adjustRightInd w:val="0"/>
        <w:jc w:val="both"/>
      </w:pPr>
      <w:r w:rsidRPr="00044874">
        <w:tab/>
        <w:t>Jednostką obmiarową jest m</w:t>
      </w:r>
      <w:r w:rsidRPr="00044874">
        <w:rPr>
          <w:vertAlign w:val="superscript"/>
        </w:rPr>
        <w:t>3</w:t>
      </w:r>
      <w:r w:rsidRPr="00044874">
        <w:t xml:space="preserve"> (metr sześcienny) wykonanych robót ziemnych.</w:t>
      </w:r>
    </w:p>
    <w:p w:rsidR="00585D0E" w:rsidRPr="00044874" w:rsidRDefault="00585D0E" w:rsidP="00585D0E">
      <w:pPr>
        <w:rPr>
          <w:b/>
          <w:u w:val="single"/>
        </w:rPr>
      </w:pPr>
      <w:r w:rsidRPr="00044874">
        <w:rPr>
          <w:b/>
          <w:u w:val="single"/>
        </w:rPr>
        <w:t>8. ODBIÓR ROBÓT</w:t>
      </w:r>
    </w:p>
    <w:p w:rsidR="00585D0E" w:rsidRPr="00044874" w:rsidRDefault="00585D0E" w:rsidP="00585D0E">
      <w:pPr>
        <w:overflowPunct w:val="0"/>
        <w:autoSpaceDE w:val="0"/>
        <w:autoSpaceDN w:val="0"/>
        <w:adjustRightInd w:val="0"/>
        <w:jc w:val="both"/>
      </w:pPr>
      <w:r w:rsidRPr="00044874">
        <w:tab/>
        <w:t>Ogólne zasady odbioru robót podano w ST D-M 00.00.00 „Wymagania ogólne”.</w:t>
      </w:r>
    </w:p>
    <w:p w:rsidR="00585D0E" w:rsidRPr="00044874" w:rsidRDefault="00585D0E" w:rsidP="00585D0E">
      <w:pPr>
        <w:overflowPunct w:val="0"/>
        <w:autoSpaceDE w:val="0"/>
        <w:autoSpaceDN w:val="0"/>
        <w:adjustRightInd w:val="0"/>
        <w:spacing w:after="120"/>
        <w:jc w:val="both"/>
      </w:pPr>
      <w:r w:rsidRPr="00044874">
        <w:tab/>
        <w:t>Roboty ziemne uznaje się za wykonane zgodnie z dokumentacją projek</w:t>
      </w:r>
      <w:r>
        <w:t>tową, ST i wymaganiami przedstawiciela Zamawiającego</w:t>
      </w:r>
      <w:r w:rsidRPr="00044874">
        <w:t>, jeżeli wszystkie pomiary i badania dały wyniki pozytywne.</w:t>
      </w:r>
    </w:p>
    <w:p w:rsidR="00585D0E" w:rsidRPr="00044874" w:rsidRDefault="00585D0E" w:rsidP="00585D0E">
      <w:pPr>
        <w:rPr>
          <w:b/>
          <w:u w:val="single"/>
        </w:rPr>
      </w:pPr>
      <w:r w:rsidRPr="00044874">
        <w:rPr>
          <w:b/>
          <w:u w:val="single"/>
        </w:rPr>
        <w:t>9. PODSTAWA PŁATNOŚCI</w:t>
      </w:r>
    </w:p>
    <w:p w:rsidR="00585D0E" w:rsidRPr="00044874" w:rsidRDefault="00585D0E" w:rsidP="00585D0E">
      <w:pPr>
        <w:overflowPunct w:val="0"/>
        <w:autoSpaceDE w:val="0"/>
        <w:autoSpaceDN w:val="0"/>
        <w:adjustRightInd w:val="0"/>
        <w:jc w:val="both"/>
      </w:pPr>
      <w:r w:rsidRPr="00044874">
        <w:tab/>
        <w:t>Ogólne ustalenia dotyczące podstawy płatności podano w ST D-M 00.00.00 „Wymagania ogólne”.</w:t>
      </w:r>
    </w:p>
    <w:p w:rsidR="00585D0E" w:rsidRPr="00044874" w:rsidRDefault="00585D0E" w:rsidP="00585D0E">
      <w:pPr>
        <w:overflowPunct w:val="0"/>
        <w:autoSpaceDE w:val="0"/>
        <w:autoSpaceDN w:val="0"/>
        <w:adjustRightInd w:val="0"/>
        <w:jc w:val="both"/>
      </w:pPr>
      <w:r w:rsidRPr="00044874">
        <w:tab/>
        <w:t>Zakres czynności objętych ceną jednostkową podano w odpowiednich ST  dla robót ziemnych.</w:t>
      </w:r>
    </w:p>
    <w:p w:rsidR="00585D0E" w:rsidRPr="00044874" w:rsidRDefault="00585D0E" w:rsidP="00585D0E">
      <w:pPr>
        <w:rPr>
          <w:b/>
          <w:u w:val="single"/>
        </w:rPr>
      </w:pPr>
      <w:r w:rsidRPr="00044874">
        <w:rPr>
          <w:b/>
          <w:u w:val="single"/>
        </w:rPr>
        <w:t>10.PRZEPISY ZWIĄZANE</w:t>
      </w:r>
    </w:p>
    <w:p w:rsidR="00585D0E" w:rsidRPr="00044874" w:rsidRDefault="00585D0E" w:rsidP="00585D0E">
      <w:pPr>
        <w:widowControl w:val="0"/>
        <w:spacing w:before="120" w:after="120"/>
        <w:jc w:val="both"/>
      </w:pPr>
      <w:r w:rsidRPr="00044874">
        <w:t>10.1. Normy</w:t>
      </w:r>
    </w:p>
    <w:p w:rsidR="00585D0E" w:rsidRPr="00044874" w:rsidRDefault="00585D0E" w:rsidP="0097494B">
      <w:pPr>
        <w:numPr>
          <w:ilvl w:val="0"/>
          <w:numId w:val="20"/>
        </w:numPr>
        <w:suppressAutoHyphens/>
        <w:ind w:left="720" w:hanging="360"/>
      </w:pPr>
      <w:r w:rsidRPr="00044874">
        <w:t>PN-B-02480:1986</w:t>
      </w:r>
      <w:r w:rsidRPr="00044874">
        <w:tab/>
        <w:t>Grunty budowlane. Określenia. Symbole. Podział i opis gruntów</w:t>
      </w:r>
    </w:p>
    <w:p w:rsidR="00585D0E" w:rsidRPr="00044874" w:rsidRDefault="00585D0E" w:rsidP="0097494B">
      <w:pPr>
        <w:numPr>
          <w:ilvl w:val="0"/>
          <w:numId w:val="20"/>
        </w:numPr>
        <w:suppressAutoHyphens/>
        <w:ind w:left="720" w:hanging="360"/>
      </w:pPr>
      <w:r w:rsidRPr="00044874">
        <w:t>PN-B-04481:1988</w:t>
      </w:r>
      <w:r w:rsidRPr="00044874">
        <w:tab/>
        <w:t>Grunty budowlane. Badania próbek gruntów</w:t>
      </w:r>
    </w:p>
    <w:p w:rsidR="00585D0E" w:rsidRPr="00044874" w:rsidRDefault="00585D0E" w:rsidP="0097494B">
      <w:pPr>
        <w:numPr>
          <w:ilvl w:val="0"/>
          <w:numId w:val="20"/>
        </w:numPr>
        <w:suppressAutoHyphens/>
        <w:ind w:left="720" w:hanging="360"/>
      </w:pPr>
      <w:r w:rsidRPr="00044874">
        <w:t xml:space="preserve">PN-B-04493:1960 </w:t>
      </w:r>
      <w:r w:rsidRPr="00044874">
        <w:tab/>
        <w:t>Grunty budowlane. Oznaczanie kapilarności biernej</w:t>
      </w:r>
    </w:p>
    <w:p w:rsidR="00585D0E" w:rsidRPr="00044874" w:rsidRDefault="00585D0E" w:rsidP="0097494B">
      <w:pPr>
        <w:numPr>
          <w:ilvl w:val="0"/>
          <w:numId w:val="20"/>
        </w:numPr>
        <w:suppressAutoHyphens/>
        <w:ind w:left="720" w:hanging="360"/>
      </w:pPr>
      <w:r w:rsidRPr="00044874">
        <w:t xml:space="preserve">PN-S-02205:1998 </w:t>
      </w:r>
      <w:r w:rsidRPr="00044874">
        <w:tab/>
        <w:t>Drogi samochodowe. Roboty ziemne. Wymagania i badania</w:t>
      </w:r>
    </w:p>
    <w:p w:rsidR="00585D0E" w:rsidRPr="00044874" w:rsidRDefault="00585D0E" w:rsidP="0097494B">
      <w:pPr>
        <w:numPr>
          <w:ilvl w:val="0"/>
          <w:numId w:val="20"/>
        </w:numPr>
        <w:suppressAutoHyphens/>
        <w:ind w:left="720" w:hanging="360"/>
      </w:pPr>
      <w:r w:rsidRPr="00044874">
        <w:t>PN-ISO10318:1993</w:t>
      </w:r>
      <w:r w:rsidRPr="00044874">
        <w:tab/>
        <w:t xml:space="preserve"> Geotekstylia – Terminologia</w:t>
      </w:r>
    </w:p>
    <w:p w:rsidR="00585D0E" w:rsidRPr="00044874" w:rsidRDefault="00585D0E" w:rsidP="0097494B">
      <w:pPr>
        <w:numPr>
          <w:ilvl w:val="0"/>
          <w:numId w:val="20"/>
        </w:numPr>
        <w:suppressAutoHyphens/>
        <w:ind w:left="720" w:hanging="360"/>
      </w:pPr>
      <w:r w:rsidRPr="00044874">
        <w:t xml:space="preserve">PN-EN-963:1999 </w:t>
      </w:r>
      <w:r w:rsidRPr="00044874">
        <w:tab/>
        <w:t>Geotekstylia i wyroby pokrewne</w:t>
      </w:r>
    </w:p>
    <w:p w:rsidR="00585D0E" w:rsidRPr="00044874" w:rsidRDefault="00585D0E" w:rsidP="0097494B">
      <w:pPr>
        <w:numPr>
          <w:ilvl w:val="0"/>
          <w:numId w:val="20"/>
        </w:numPr>
        <w:suppressAutoHyphens/>
        <w:ind w:left="720" w:hanging="360"/>
      </w:pPr>
      <w:r w:rsidRPr="00044874">
        <w:t>PN-EN-932-1</w:t>
      </w:r>
      <w:r w:rsidRPr="00044874">
        <w:tab/>
      </w:r>
      <w:r w:rsidRPr="00044874">
        <w:tab/>
        <w:t>Badania podstawowych właściwości kruszyw. Część 1: Metody pobierania próbek</w:t>
      </w:r>
    </w:p>
    <w:p w:rsidR="00585D0E" w:rsidRPr="00044874" w:rsidRDefault="00585D0E" w:rsidP="0097494B">
      <w:pPr>
        <w:numPr>
          <w:ilvl w:val="0"/>
          <w:numId w:val="20"/>
        </w:numPr>
        <w:suppressAutoHyphens/>
        <w:ind w:left="720" w:hanging="360"/>
      </w:pPr>
      <w:r w:rsidRPr="00044874">
        <w:t>PN-EN-933-8</w:t>
      </w:r>
      <w:r w:rsidRPr="00044874">
        <w:tab/>
      </w:r>
      <w:r w:rsidRPr="00044874">
        <w:tab/>
        <w:t>Badania geometryczne właściwości kruszyw. Badanie wskaźnika piaskowego</w:t>
      </w:r>
    </w:p>
    <w:p w:rsidR="00585D0E" w:rsidRPr="00044874" w:rsidRDefault="00585D0E" w:rsidP="0097494B">
      <w:pPr>
        <w:numPr>
          <w:ilvl w:val="0"/>
          <w:numId w:val="20"/>
        </w:numPr>
        <w:suppressAutoHyphens/>
        <w:ind w:left="720" w:hanging="360"/>
      </w:pPr>
      <w:r w:rsidRPr="00044874">
        <w:t xml:space="preserve">BN-64/8931-02 </w:t>
      </w:r>
      <w:r w:rsidRPr="00044874">
        <w:tab/>
      </w:r>
      <w:r w:rsidRPr="00044874">
        <w:tab/>
        <w:t>Drogi samochodowe. Oznaczenie modułu odkształcenia nawierzchni podatnych i podłoża przez obciążenie płytą</w:t>
      </w:r>
    </w:p>
    <w:p w:rsidR="00585D0E" w:rsidRPr="00044874" w:rsidRDefault="00585D0E" w:rsidP="0097494B">
      <w:pPr>
        <w:numPr>
          <w:ilvl w:val="0"/>
          <w:numId w:val="20"/>
        </w:numPr>
        <w:suppressAutoHyphens/>
        <w:ind w:left="720" w:hanging="360"/>
      </w:pPr>
      <w:r w:rsidRPr="00044874">
        <w:t xml:space="preserve">BN-77/8931-12 </w:t>
      </w:r>
      <w:r w:rsidRPr="00044874">
        <w:tab/>
      </w:r>
      <w:r w:rsidRPr="00044874">
        <w:tab/>
        <w:t>Oznaczenie wskaźnika zagęszczenia gruntu</w:t>
      </w:r>
    </w:p>
    <w:p w:rsidR="00585D0E" w:rsidRPr="00044874" w:rsidRDefault="00585D0E" w:rsidP="00585D0E">
      <w:pPr>
        <w:widowControl w:val="0"/>
        <w:spacing w:before="120" w:after="120"/>
        <w:jc w:val="both"/>
      </w:pPr>
      <w:r w:rsidRPr="00044874">
        <w:t>10.2. Inne dokumenty</w:t>
      </w:r>
    </w:p>
    <w:p w:rsidR="00585D0E" w:rsidRPr="00044874" w:rsidRDefault="00585D0E" w:rsidP="0097494B">
      <w:pPr>
        <w:numPr>
          <w:ilvl w:val="0"/>
          <w:numId w:val="20"/>
        </w:numPr>
        <w:suppressAutoHyphens/>
        <w:overflowPunct w:val="0"/>
        <w:autoSpaceDE w:val="0"/>
        <w:ind w:left="720" w:hanging="360"/>
        <w:jc w:val="both"/>
        <w:textAlignment w:val="baseline"/>
      </w:pPr>
      <w:r w:rsidRPr="00044874">
        <w:t>Instrukcja badań podłoża gruntowego budowli drogowych i mostowych, GDDP,Warszawa 1998.</w:t>
      </w:r>
    </w:p>
    <w:p w:rsidR="00585D0E" w:rsidRDefault="00585D0E" w:rsidP="0097494B">
      <w:pPr>
        <w:numPr>
          <w:ilvl w:val="0"/>
          <w:numId w:val="20"/>
        </w:numPr>
        <w:suppressAutoHyphens/>
        <w:overflowPunct w:val="0"/>
        <w:autoSpaceDE w:val="0"/>
        <w:ind w:left="720" w:hanging="360"/>
        <w:jc w:val="both"/>
        <w:textAlignment w:val="baseline"/>
      </w:pPr>
      <w:r w:rsidRPr="00044874">
        <w:t>Katalog typowych konstrukcji nawierzchni podatnych i półsztywnych, IBDiM, Warszawa 1997.</w:t>
      </w:r>
    </w:p>
    <w:p w:rsidR="00585D0E" w:rsidRDefault="00585D0E" w:rsidP="0097494B">
      <w:pPr>
        <w:numPr>
          <w:ilvl w:val="0"/>
          <w:numId w:val="20"/>
        </w:numPr>
        <w:suppressAutoHyphens/>
        <w:overflowPunct w:val="0"/>
        <w:autoSpaceDE w:val="0"/>
        <w:ind w:left="720" w:hanging="360"/>
        <w:jc w:val="both"/>
        <w:textAlignment w:val="baseline"/>
      </w:pPr>
      <w:r w:rsidRPr="00044874">
        <w:t>Wytyczne wzmacniania podłoża gruntowego w budownictwie drogowym, IBDiM, Warszawa 2002.</w:t>
      </w:r>
    </w:p>
    <w:p w:rsidR="00585D0E" w:rsidRDefault="00585D0E" w:rsidP="00585D0E">
      <w:pPr>
        <w:pStyle w:val="Nagwek1"/>
        <w:jc w:val="both"/>
      </w:pPr>
    </w:p>
    <w:p w:rsidR="00CD59DC" w:rsidRDefault="00CD59DC" w:rsidP="00CD59DC"/>
    <w:p w:rsidR="00CD59DC" w:rsidRDefault="00CD59DC" w:rsidP="00CD59DC"/>
    <w:p w:rsidR="00CD59DC" w:rsidRDefault="00CD59DC" w:rsidP="00CD59DC"/>
    <w:p w:rsidR="00CD59DC" w:rsidRDefault="00CD59DC" w:rsidP="00CD59DC"/>
    <w:p w:rsidR="00CD59DC" w:rsidRDefault="00CD59DC" w:rsidP="00CD59DC"/>
    <w:p w:rsidR="00CD59DC" w:rsidRDefault="00CD59DC" w:rsidP="00CD59DC"/>
    <w:p w:rsidR="00CD59DC" w:rsidRDefault="00CD59DC" w:rsidP="00CD59DC"/>
    <w:p w:rsidR="00CD59DC" w:rsidRDefault="00CD59DC" w:rsidP="00CD59DC"/>
    <w:p w:rsidR="00CD59DC" w:rsidRDefault="00CD59DC" w:rsidP="00CD59DC"/>
    <w:p w:rsidR="00CD59DC" w:rsidRDefault="00CD59DC" w:rsidP="00CD59DC"/>
    <w:p w:rsidR="00CD59DC" w:rsidRDefault="00CD59DC" w:rsidP="00CD59DC"/>
    <w:p w:rsidR="00CD59DC" w:rsidRDefault="00CD59DC" w:rsidP="00CD59DC"/>
    <w:p w:rsidR="00CD59DC" w:rsidRDefault="00CD59DC" w:rsidP="00CD59DC"/>
    <w:p w:rsidR="00CD59DC" w:rsidRDefault="00CD59DC" w:rsidP="00CD59DC"/>
    <w:p w:rsidR="00CD59DC" w:rsidRDefault="00CD59DC" w:rsidP="00CD59DC"/>
    <w:p w:rsidR="00CD59DC" w:rsidRDefault="00CD59DC" w:rsidP="00CD59DC"/>
    <w:p w:rsidR="00CD59DC" w:rsidRDefault="00CD59DC" w:rsidP="00CD59DC"/>
    <w:p w:rsidR="00CD59DC" w:rsidRDefault="00CD59DC" w:rsidP="00CD59DC"/>
    <w:p w:rsidR="00CD59DC" w:rsidRDefault="00CD59DC" w:rsidP="00CD59DC"/>
    <w:p w:rsidR="00CD59DC" w:rsidRDefault="00CD59DC" w:rsidP="00CD59DC"/>
    <w:p w:rsidR="00CD59DC" w:rsidRDefault="00CD59DC" w:rsidP="00CD59DC"/>
    <w:p w:rsidR="00CD59DC" w:rsidRDefault="00CD59DC" w:rsidP="00CD59DC"/>
    <w:p w:rsidR="00CD59DC" w:rsidRDefault="00CD59DC" w:rsidP="00CD59DC"/>
    <w:p w:rsidR="00CD59DC" w:rsidRDefault="00CD59DC" w:rsidP="00CD59DC"/>
    <w:p w:rsidR="00CD59DC" w:rsidRDefault="00CD59DC" w:rsidP="00CD59DC"/>
    <w:p w:rsidR="00CD59DC" w:rsidRDefault="00CD59DC" w:rsidP="00CD59DC"/>
    <w:p w:rsidR="00CD59DC" w:rsidRDefault="00CD59DC" w:rsidP="00CD59DC"/>
    <w:p w:rsidR="00CD59DC" w:rsidRDefault="00CD59DC" w:rsidP="00CD59DC"/>
    <w:p w:rsidR="00EE2502" w:rsidRDefault="00EE2502" w:rsidP="00CD59DC">
      <w:pPr>
        <w:jc w:val="both"/>
        <w:outlineLvl w:val="0"/>
        <w:rPr>
          <w:rFonts w:ascii="PL Times New Roman" w:hAnsi="PL Times New Roman"/>
          <w:b/>
          <w:bCs/>
          <w:snapToGrid w:val="0"/>
          <w:sz w:val="26"/>
          <w:szCs w:val="26"/>
        </w:rPr>
      </w:pPr>
      <w:bookmarkStart w:id="3" w:name="_Toc80100074"/>
      <w:r>
        <w:rPr>
          <w:rFonts w:ascii="PL Times New Roman" w:hAnsi="PL Times New Roman"/>
          <w:b/>
          <w:snapToGrid w:val="0"/>
          <w:sz w:val="26"/>
        </w:rPr>
        <w:t>2</w:t>
      </w:r>
      <w:r w:rsidRPr="00EE2502">
        <w:rPr>
          <w:rFonts w:ascii="PL Times New Roman" w:hAnsi="PL Times New Roman"/>
          <w:b/>
          <w:snapToGrid w:val="0"/>
          <w:sz w:val="26"/>
        </w:rPr>
        <w:t xml:space="preserve">. </w:t>
      </w:r>
      <w:r>
        <w:rPr>
          <w:rFonts w:ascii="PL Times New Roman" w:hAnsi="PL Times New Roman"/>
          <w:b/>
          <w:snapToGrid w:val="0"/>
          <w:sz w:val="26"/>
        </w:rPr>
        <w:t>Roboty mostowe</w:t>
      </w:r>
      <w:bookmarkEnd w:id="3"/>
    </w:p>
    <w:p w:rsidR="00CD59DC" w:rsidRPr="00044874" w:rsidRDefault="00CD59DC" w:rsidP="00CD59DC">
      <w:pPr>
        <w:jc w:val="both"/>
        <w:outlineLvl w:val="0"/>
        <w:rPr>
          <w:rFonts w:ascii="PL Times New Roman" w:hAnsi="PL Times New Roman"/>
          <w:b/>
          <w:bCs/>
          <w:snapToGrid w:val="0"/>
          <w:sz w:val="26"/>
          <w:szCs w:val="26"/>
        </w:rPr>
      </w:pPr>
      <w:bookmarkStart w:id="4" w:name="_Toc80100075"/>
      <w:r>
        <w:rPr>
          <w:rFonts w:ascii="PL Times New Roman" w:hAnsi="PL Times New Roman"/>
          <w:b/>
          <w:bCs/>
          <w:snapToGrid w:val="0"/>
          <w:sz w:val="26"/>
          <w:szCs w:val="26"/>
        </w:rPr>
        <w:t>M.11</w:t>
      </w:r>
      <w:r w:rsidRPr="00044874">
        <w:rPr>
          <w:rFonts w:ascii="PL Times New Roman" w:hAnsi="PL Times New Roman"/>
          <w:b/>
          <w:bCs/>
          <w:snapToGrid w:val="0"/>
          <w:sz w:val="26"/>
          <w:szCs w:val="26"/>
        </w:rPr>
        <w:t>.</w:t>
      </w:r>
      <w:r>
        <w:rPr>
          <w:rFonts w:ascii="PL Times New Roman" w:hAnsi="PL Times New Roman"/>
          <w:b/>
          <w:bCs/>
          <w:snapToGrid w:val="0"/>
          <w:sz w:val="26"/>
          <w:szCs w:val="26"/>
        </w:rPr>
        <w:t>01.01</w:t>
      </w:r>
      <w:r w:rsidRPr="00044874">
        <w:rPr>
          <w:rFonts w:ascii="PL Times New Roman" w:hAnsi="PL Times New Roman"/>
          <w:b/>
          <w:bCs/>
          <w:snapToGrid w:val="0"/>
          <w:sz w:val="26"/>
          <w:szCs w:val="26"/>
        </w:rPr>
        <w:tab/>
        <w:t>WYKONANIE WYKOPÓW</w:t>
      </w:r>
      <w:bookmarkEnd w:id="4"/>
    </w:p>
    <w:p w:rsidR="00CD59DC" w:rsidRPr="00044874" w:rsidRDefault="00CD59DC" w:rsidP="00CD59DC">
      <w:pPr>
        <w:widowControl w:val="0"/>
        <w:spacing w:before="120" w:after="120"/>
        <w:rPr>
          <w:b/>
          <w:u w:val="single"/>
        </w:rPr>
      </w:pPr>
      <w:r w:rsidRPr="00044874">
        <w:rPr>
          <w:b/>
          <w:u w:val="single"/>
        </w:rPr>
        <w:t>l. WSTĘP</w:t>
      </w:r>
    </w:p>
    <w:p w:rsidR="00CD59DC" w:rsidRPr="00044874" w:rsidRDefault="00CD59DC" w:rsidP="00CD59DC">
      <w:pPr>
        <w:widowControl w:val="0"/>
        <w:rPr>
          <w:b/>
          <w:bCs/>
        </w:rPr>
      </w:pPr>
      <w:r w:rsidRPr="00044874">
        <w:rPr>
          <w:b/>
          <w:bCs/>
        </w:rPr>
        <w:t>1.1 Przedmiot S T</w:t>
      </w:r>
    </w:p>
    <w:p w:rsidR="00CD59DC" w:rsidRPr="00044874" w:rsidRDefault="00CD59DC" w:rsidP="00CD59DC">
      <w:pPr>
        <w:jc w:val="both"/>
      </w:pPr>
      <w:r w:rsidRPr="00044874">
        <w:rPr>
          <w:bCs/>
        </w:rPr>
        <w:t xml:space="preserve">Przedmiotem niniejszej Specyfikacji Technicznej są wymagania dotyczące wykonania i odbioru robót przy wykonaniu wykopów w gruntach nieskalistych </w:t>
      </w:r>
      <w:r w:rsidRPr="00044874">
        <w:t xml:space="preserve">w </w:t>
      </w:r>
      <w:r w:rsidRPr="00044874">
        <w:rPr>
          <w:snapToGrid w:val="0"/>
        </w:rPr>
        <w:t xml:space="preserve">ramach </w:t>
      </w:r>
      <w:r w:rsidRPr="00044874">
        <w:rPr>
          <w:bCs/>
          <w:snapToGrid w:val="0"/>
        </w:rPr>
        <w:t xml:space="preserve">projektu : </w:t>
      </w:r>
      <w:r>
        <w:rPr>
          <w:bCs/>
        </w:rPr>
        <w:t>"Remont przepustu nad rzeką Postomia w ciągu drogi nr 445/k.2922 m. Wędrzyn."</w:t>
      </w:r>
    </w:p>
    <w:p w:rsidR="00CD59DC" w:rsidRPr="00044874" w:rsidRDefault="00CD59DC" w:rsidP="00CD59DC">
      <w:pPr>
        <w:jc w:val="both"/>
        <w:rPr>
          <w:b/>
          <w:bCs/>
        </w:rPr>
      </w:pPr>
      <w:r w:rsidRPr="00044874">
        <w:rPr>
          <w:b/>
          <w:bCs/>
        </w:rPr>
        <w:t>1.2. Zakres stosowania ST</w:t>
      </w:r>
    </w:p>
    <w:p w:rsidR="00CD59DC" w:rsidRPr="00044874" w:rsidRDefault="00CD59DC" w:rsidP="00CD59DC">
      <w:pPr>
        <w:widowControl w:val="0"/>
        <w:ind w:firstLine="709"/>
        <w:jc w:val="both"/>
        <w:rPr>
          <w:bCs/>
        </w:rPr>
      </w:pPr>
      <w:r w:rsidRPr="00044874">
        <w:rPr>
          <w:bCs/>
        </w:rPr>
        <w:t>Specyfikacja Techniczna jest stosowana jako dokument przetargowy i kontraktowy przy zlecaniu i realizacji robót wymienionych w punkcie 1.1.</w:t>
      </w:r>
    </w:p>
    <w:p w:rsidR="00CD59DC" w:rsidRPr="00044874" w:rsidRDefault="00CD59DC" w:rsidP="00CD59DC">
      <w:pPr>
        <w:widowControl w:val="0"/>
        <w:rPr>
          <w:b/>
          <w:bCs/>
        </w:rPr>
      </w:pPr>
      <w:r w:rsidRPr="00044874">
        <w:rPr>
          <w:b/>
          <w:bCs/>
        </w:rPr>
        <w:t>1.3. Zakres robot objętych ST</w:t>
      </w:r>
    </w:p>
    <w:p w:rsidR="00CD59DC" w:rsidRDefault="00CD59DC" w:rsidP="00CD59DC">
      <w:pPr>
        <w:widowControl w:val="0"/>
        <w:ind w:firstLine="340"/>
        <w:jc w:val="both"/>
      </w:pPr>
      <w:r w:rsidRPr="00044874">
        <w:t>Ustalenia zawarte w niniejszej specyfikacji dotyczą prowadzenia robót przy wykonaniu wykopów w nieskalistych i obejmują :</w:t>
      </w:r>
    </w:p>
    <w:p w:rsidR="00CD59DC" w:rsidRPr="00044874" w:rsidRDefault="00CD59DC" w:rsidP="00CD59DC">
      <w:pPr>
        <w:widowControl w:val="0"/>
        <w:ind w:firstLine="340"/>
        <w:jc w:val="both"/>
      </w:pPr>
    </w:p>
    <w:p w:rsidR="00CD59DC" w:rsidRDefault="00CD59DC" w:rsidP="0097494B">
      <w:pPr>
        <w:numPr>
          <w:ilvl w:val="0"/>
          <w:numId w:val="27"/>
        </w:numPr>
        <w:autoSpaceDE w:val="0"/>
        <w:autoSpaceDN w:val="0"/>
        <w:adjustRightInd w:val="0"/>
      </w:pPr>
      <w:r w:rsidRPr="003E1008">
        <w:t>Wykonanie wykopów (na do</w:t>
      </w:r>
      <w:r>
        <w:t>jazdach do obiektu</w:t>
      </w:r>
      <w:r w:rsidRPr="003E1008">
        <w:t>) wraz z odwiezieniem urobku na składowisko Wykonawcy</w:t>
      </w:r>
    </w:p>
    <w:p w:rsidR="00CD59DC" w:rsidRDefault="00CD59DC" w:rsidP="0097494B">
      <w:pPr>
        <w:numPr>
          <w:ilvl w:val="0"/>
          <w:numId w:val="27"/>
        </w:numPr>
        <w:autoSpaceDE w:val="0"/>
        <w:autoSpaceDN w:val="0"/>
        <w:adjustRightInd w:val="0"/>
      </w:pPr>
      <w:r w:rsidRPr="003E1008">
        <w:t>Wykonanie wykopów wraz z odwiezieniem urobku na sk</w:t>
      </w:r>
      <w:r>
        <w:t xml:space="preserve">ładowisko Wykonawcy przy obiekcie </w:t>
      </w:r>
      <w:r w:rsidRPr="003E1008">
        <w:t>wraz z zabezpieczeniem wykopu  i ewentualnym pompowaniem wody</w:t>
      </w:r>
      <w:r>
        <w:t>.</w:t>
      </w:r>
      <w:r w:rsidRPr="003E1008">
        <w:t xml:space="preserve"> Sposób zabezpieczenia wykopu zależny od Wykonawcy (np. stalowa ścianka szczelna</w:t>
      </w:r>
      <w:r>
        <w:t>)</w:t>
      </w:r>
      <w:r w:rsidRPr="003E1008">
        <w:t>.</w:t>
      </w:r>
    </w:p>
    <w:p w:rsidR="00CD59DC" w:rsidRDefault="00CD59DC" w:rsidP="0097494B">
      <w:pPr>
        <w:numPr>
          <w:ilvl w:val="0"/>
          <w:numId w:val="27"/>
        </w:numPr>
        <w:autoSpaceDE w:val="0"/>
        <w:autoSpaceDN w:val="0"/>
        <w:adjustRightInd w:val="0"/>
      </w:pPr>
      <w:r w:rsidRPr="003E1008">
        <w:t>Wykonanie wykopów ręcznie wraz z odwiezieniem urobku na składowisko Wykonawcy</w:t>
      </w:r>
    </w:p>
    <w:p w:rsidR="00CD59DC" w:rsidRPr="003E1008" w:rsidRDefault="00CD59DC" w:rsidP="00CD59DC">
      <w:pPr>
        <w:autoSpaceDE w:val="0"/>
        <w:autoSpaceDN w:val="0"/>
        <w:adjustRightInd w:val="0"/>
        <w:ind w:left="720"/>
      </w:pPr>
    </w:p>
    <w:p w:rsidR="00CD59DC" w:rsidRPr="00044874" w:rsidRDefault="00CD59DC" w:rsidP="00CD59DC">
      <w:pPr>
        <w:autoSpaceDE w:val="0"/>
        <w:autoSpaceDN w:val="0"/>
        <w:adjustRightInd w:val="0"/>
        <w:rPr>
          <w:b/>
          <w:bCs/>
        </w:rPr>
      </w:pPr>
      <w:r w:rsidRPr="00044874">
        <w:rPr>
          <w:b/>
          <w:bCs/>
        </w:rPr>
        <w:t>1.4. Określenia podstawowe</w:t>
      </w:r>
    </w:p>
    <w:p w:rsidR="00CD59DC" w:rsidRPr="00044874" w:rsidRDefault="00CD59DC" w:rsidP="00CD59DC">
      <w:pPr>
        <w:widowControl w:val="0"/>
        <w:ind w:firstLine="708"/>
      </w:pPr>
      <w:r w:rsidRPr="00044874">
        <w:t xml:space="preserve">Podstawowe określenia zostały podane w ST </w:t>
      </w:r>
      <w:r>
        <w:t>M.11.00.00</w:t>
      </w:r>
      <w:r w:rsidRPr="00044874">
        <w:t>.</w:t>
      </w:r>
    </w:p>
    <w:p w:rsidR="00CD59DC" w:rsidRPr="00044874" w:rsidRDefault="00CD59DC" w:rsidP="00CD59DC">
      <w:pPr>
        <w:widowControl w:val="0"/>
        <w:rPr>
          <w:b/>
          <w:bCs/>
        </w:rPr>
      </w:pPr>
      <w:r w:rsidRPr="00044874">
        <w:rPr>
          <w:b/>
          <w:bCs/>
        </w:rPr>
        <w:t>1.5 Ogólne wymagania dotyczące robót.</w:t>
      </w:r>
    </w:p>
    <w:p w:rsidR="00CD59DC" w:rsidRPr="00044874" w:rsidRDefault="00CD59DC" w:rsidP="00CD59DC">
      <w:pPr>
        <w:ind w:firstLine="709"/>
      </w:pPr>
      <w:r w:rsidRPr="00044874">
        <w:t>Ogólne wymag</w:t>
      </w:r>
      <w:r>
        <w:t>ania dotyczące robót podano w SM</w:t>
      </w:r>
      <w:r w:rsidRPr="00044874">
        <w:t xml:space="preserve"> </w:t>
      </w:r>
      <w:r>
        <w:t>11.00.00</w:t>
      </w:r>
      <w:r w:rsidRPr="00044874">
        <w:t>.</w:t>
      </w:r>
    </w:p>
    <w:p w:rsidR="00CD59DC" w:rsidRPr="00044874" w:rsidRDefault="00CD59DC" w:rsidP="00CD59DC">
      <w:pPr>
        <w:widowControl w:val="0"/>
        <w:tabs>
          <w:tab w:val="left" w:pos="1080"/>
        </w:tabs>
        <w:spacing w:before="120" w:after="120"/>
        <w:outlineLvl w:val="1"/>
        <w:rPr>
          <w:b/>
          <w:bCs/>
          <w:snapToGrid w:val="0"/>
          <w:u w:val="single"/>
        </w:rPr>
      </w:pPr>
      <w:r w:rsidRPr="00044874">
        <w:rPr>
          <w:b/>
          <w:bCs/>
          <w:snapToGrid w:val="0"/>
          <w:u w:val="single"/>
        </w:rPr>
        <w:t xml:space="preserve">2. MATERIAŁY  </w:t>
      </w:r>
    </w:p>
    <w:p w:rsidR="00CD59DC" w:rsidRPr="00044874" w:rsidRDefault="00CD59DC" w:rsidP="00CD59DC">
      <w:pPr>
        <w:widowControl w:val="0"/>
        <w:tabs>
          <w:tab w:val="left" w:pos="1080"/>
        </w:tabs>
        <w:outlineLvl w:val="1"/>
        <w:rPr>
          <w:b/>
          <w:snapToGrid w:val="0"/>
        </w:rPr>
      </w:pPr>
      <w:r w:rsidRPr="00044874">
        <w:rPr>
          <w:b/>
          <w:snapToGrid w:val="0"/>
        </w:rPr>
        <w:t>2.1. Ogólne wymagania dotyczące materiałów</w:t>
      </w:r>
    </w:p>
    <w:p w:rsidR="00CD59DC" w:rsidRPr="00044874" w:rsidRDefault="00CD59DC" w:rsidP="00CD59DC">
      <w:pPr>
        <w:widowControl w:val="0"/>
        <w:overflowPunct w:val="0"/>
        <w:autoSpaceDE w:val="0"/>
        <w:autoSpaceDN w:val="0"/>
        <w:adjustRightInd w:val="0"/>
        <w:jc w:val="both"/>
      </w:pPr>
      <w:r w:rsidRPr="00044874">
        <w:tab/>
        <w:t>Materiał występujący w podłożu wykopu jest gruntem rodzimym, który będzie stanowił podłoże nawierzchni. Zgodnie z Katalogiem typowych konstrukcji nawierzchni podatnych i półsztywnych powinien charakteryzować się grupą nośności G</w:t>
      </w:r>
      <w:r w:rsidRPr="00044874">
        <w:rPr>
          <w:vertAlign w:val="subscript"/>
        </w:rPr>
        <w:t>1</w:t>
      </w:r>
      <w:r w:rsidRPr="00044874">
        <w:t>. Gdy podłoże nawierzchni zaklasyfikowano do innej grupy nośności, należy podłoże doprowadzić do grupy nośności G</w:t>
      </w:r>
      <w:r w:rsidRPr="00044874">
        <w:rPr>
          <w:vertAlign w:val="subscript"/>
        </w:rPr>
        <w:t>1</w:t>
      </w:r>
      <w:r w:rsidRPr="00044874">
        <w:t xml:space="preserve"> zgodnie z dokumentacja projektową i ST.</w:t>
      </w:r>
    </w:p>
    <w:p w:rsidR="00CD59DC" w:rsidRDefault="00CD59DC" w:rsidP="00CD59DC">
      <w:pPr>
        <w:widowControl w:val="0"/>
        <w:overflowPunct w:val="0"/>
        <w:autoSpaceDE w:val="0"/>
        <w:autoSpaceDN w:val="0"/>
        <w:adjustRightInd w:val="0"/>
        <w:jc w:val="both"/>
      </w:pPr>
      <w:r w:rsidRPr="00044874">
        <w:tab/>
        <w:t>Do zabezpieczenia ścian wykopu należy użyć drewnianych lub stalowych ścianek szczelnych.</w:t>
      </w:r>
    </w:p>
    <w:p w:rsidR="00CD59DC" w:rsidRPr="0005227F" w:rsidRDefault="00CD59DC" w:rsidP="00CD59DC">
      <w:pPr>
        <w:widowControl w:val="0"/>
        <w:ind w:firstLine="709"/>
        <w:jc w:val="both"/>
        <w:rPr>
          <w:snapToGrid w:val="0"/>
        </w:rPr>
      </w:pPr>
      <w:r w:rsidRPr="0075125F">
        <w:rPr>
          <w:snapToGrid w:val="0"/>
        </w:rPr>
        <w:t>Przed przystąpieniem do wbudowywania materiału Wykonawca zobowiązany jest do przedstawienia przy każd</w:t>
      </w:r>
      <w:r>
        <w:rPr>
          <w:snapToGrid w:val="0"/>
        </w:rPr>
        <w:t>ej dostawie deklaracji właściwości</w:t>
      </w:r>
      <w:r w:rsidRPr="0075125F">
        <w:rPr>
          <w:snapToGrid w:val="0"/>
        </w:rPr>
        <w:t xml:space="preserve"> użytkowych materiału objętego normą zharmonizowaną lub europejską oceną techniczną lub europejską aprobatą techniczną, </w:t>
      </w:r>
      <w:r>
        <w:rPr>
          <w:snapToGrid w:val="0"/>
        </w:rPr>
        <w:t>lub krajowej deklaracji właściwości</w:t>
      </w:r>
      <w:r w:rsidRPr="0075125F">
        <w:rPr>
          <w:snapToGrid w:val="0"/>
        </w:rPr>
        <w:t xml:space="preserve"> użytkowych dla materiału objętego Polską Normą lub krajową oceną techniczną lub aprobatą techniczną, a także kart technicznych i instrukcji użytkowania poszczególnych materiałów. Za sprawdzenie przydatności materiałów oraz jakość wbudowania odpowiada Wykonawca.</w:t>
      </w:r>
    </w:p>
    <w:p w:rsidR="00CD59DC" w:rsidRPr="00044874" w:rsidRDefault="00CD59DC" w:rsidP="00CD59DC">
      <w:pPr>
        <w:widowControl w:val="0"/>
        <w:spacing w:before="120" w:after="120"/>
        <w:rPr>
          <w:b/>
          <w:u w:val="single"/>
        </w:rPr>
      </w:pPr>
      <w:r w:rsidRPr="00044874">
        <w:rPr>
          <w:b/>
          <w:u w:val="single"/>
        </w:rPr>
        <w:t>3. SPRZĘT</w:t>
      </w:r>
    </w:p>
    <w:p w:rsidR="00CD59DC" w:rsidRPr="00044874" w:rsidRDefault="00CD59DC" w:rsidP="00CD59DC">
      <w:pPr>
        <w:widowControl w:val="0"/>
        <w:tabs>
          <w:tab w:val="left" w:pos="1080"/>
        </w:tabs>
        <w:outlineLvl w:val="1"/>
        <w:rPr>
          <w:b/>
          <w:snapToGrid w:val="0"/>
        </w:rPr>
      </w:pPr>
      <w:r w:rsidRPr="00044874">
        <w:rPr>
          <w:b/>
          <w:snapToGrid w:val="0"/>
        </w:rPr>
        <w:t>3.1. Ogólne wymagania dotyczące sprzętu</w:t>
      </w:r>
    </w:p>
    <w:p w:rsidR="00CD59DC" w:rsidRPr="00044874" w:rsidRDefault="00CD59DC" w:rsidP="00CD59DC">
      <w:pPr>
        <w:widowControl w:val="0"/>
        <w:jc w:val="both"/>
      </w:pPr>
      <w:r w:rsidRPr="00044874">
        <w:tab/>
        <w:t xml:space="preserve">Ogólne wymagania dotyczące sprzętu podano w ST </w:t>
      </w:r>
      <w:r>
        <w:t>M.11.00.00</w:t>
      </w:r>
      <w:r w:rsidRPr="00044874">
        <w:t>.</w:t>
      </w:r>
    </w:p>
    <w:p w:rsidR="00CD59DC" w:rsidRPr="00044874" w:rsidRDefault="00CD59DC" w:rsidP="00CD59DC">
      <w:pPr>
        <w:widowControl w:val="0"/>
        <w:tabs>
          <w:tab w:val="left" w:pos="1080"/>
        </w:tabs>
        <w:outlineLvl w:val="1"/>
        <w:rPr>
          <w:b/>
          <w:snapToGrid w:val="0"/>
        </w:rPr>
      </w:pPr>
      <w:r w:rsidRPr="00044874">
        <w:rPr>
          <w:b/>
          <w:snapToGrid w:val="0"/>
        </w:rPr>
        <w:t>3.2 Sprzęt do robót ziemnych</w:t>
      </w:r>
    </w:p>
    <w:p w:rsidR="00CD59DC" w:rsidRPr="00044874" w:rsidRDefault="00CD59DC" w:rsidP="00CD59DC">
      <w:pPr>
        <w:widowControl w:val="0"/>
        <w:overflowPunct w:val="0"/>
        <w:autoSpaceDE w:val="0"/>
        <w:autoSpaceDN w:val="0"/>
        <w:adjustRightInd w:val="0"/>
        <w:jc w:val="both"/>
      </w:pPr>
      <w:r w:rsidRPr="00044874">
        <w:tab/>
        <w:t>Wykonawca przystępujący do wykonania robót ziemnych powinien wykazać się możliwością korzystania z następującego sprzętu do:</w:t>
      </w:r>
    </w:p>
    <w:p w:rsidR="00CD59DC" w:rsidRPr="00044874" w:rsidRDefault="00CD59DC" w:rsidP="0097494B">
      <w:pPr>
        <w:widowControl w:val="0"/>
        <w:numPr>
          <w:ilvl w:val="0"/>
          <w:numId w:val="15"/>
        </w:numPr>
        <w:suppressAutoHyphens/>
        <w:ind w:left="340" w:hanging="340"/>
        <w:jc w:val="both"/>
      </w:pPr>
      <w:r w:rsidRPr="00044874">
        <w:t>odspajania i wydobywania gruntów (narzędzia mechaniczne, młoty pneumatyczne, zrywarki, koparki, ładowarki, wiertarki mechaniczne itp.),</w:t>
      </w:r>
    </w:p>
    <w:p w:rsidR="00CD59DC" w:rsidRPr="00044874" w:rsidRDefault="00CD59DC" w:rsidP="0097494B">
      <w:pPr>
        <w:widowControl w:val="0"/>
        <w:numPr>
          <w:ilvl w:val="0"/>
          <w:numId w:val="15"/>
        </w:numPr>
        <w:suppressAutoHyphens/>
        <w:ind w:left="340" w:hanging="340"/>
        <w:jc w:val="both"/>
      </w:pPr>
      <w:r w:rsidRPr="00044874">
        <w:t>jednoczesnego wydobywania i przemieszczania gruntów (spycharki, zgarniarki, równiarki, urządzenia do hydromechanizacji itp.),</w:t>
      </w:r>
    </w:p>
    <w:p w:rsidR="00CD59DC" w:rsidRPr="00044874" w:rsidRDefault="00CD59DC" w:rsidP="0097494B">
      <w:pPr>
        <w:widowControl w:val="0"/>
        <w:numPr>
          <w:ilvl w:val="0"/>
          <w:numId w:val="15"/>
        </w:numPr>
        <w:suppressAutoHyphens/>
        <w:ind w:left="340" w:hanging="340"/>
        <w:jc w:val="both"/>
      </w:pPr>
      <w:r w:rsidRPr="00044874">
        <w:t>transportu mas ziemnych (samochody wywrotki, samochody skrzyniowe, taśmociągi itp.),</w:t>
      </w:r>
    </w:p>
    <w:p w:rsidR="00CD59DC" w:rsidRPr="00044874" w:rsidRDefault="00CD59DC" w:rsidP="0097494B">
      <w:pPr>
        <w:widowControl w:val="0"/>
        <w:numPr>
          <w:ilvl w:val="0"/>
          <w:numId w:val="15"/>
        </w:numPr>
        <w:suppressAutoHyphens/>
        <w:ind w:left="340" w:hanging="340"/>
      </w:pPr>
      <w:r w:rsidRPr="00044874">
        <w:t>sprzętu zagęszczającego (walce, ubijaki, płyty wibracyjne itp.).</w:t>
      </w:r>
    </w:p>
    <w:p w:rsidR="00CD59DC" w:rsidRPr="00044874" w:rsidRDefault="00CD59DC" w:rsidP="0097494B">
      <w:pPr>
        <w:widowControl w:val="0"/>
        <w:numPr>
          <w:ilvl w:val="0"/>
          <w:numId w:val="15"/>
        </w:numPr>
        <w:suppressAutoHyphens/>
        <w:ind w:left="340" w:hanging="340"/>
      </w:pPr>
      <w:r w:rsidRPr="00044874">
        <w:t>sprzęt do zabezpieczenia ścian wykopu</w:t>
      </w:r>
    </w:p>
    <w:p w:rsidR="00CD59DC" w:rsidRPr="00044874" w:rsidRDefault="00CD59DC" w:rsidP="0097494B">
      <w:pPr>
        <w:widowControl w:val="0"/>
        <w:numPr>
          <w:ilvl w:val="0"/>
          <w:numId w:val="15"/>
        </w:numPr>
        <w:suppressAutoHyphens/>
        <w:ind w:left="340" w:hanging="340"/>
      </w:pPr>
      <w:r w:rsidRPr="00044874">
        <w:t>sprzęt do pompowania wody</w:t>
      </w:r>
    </w:p>
    <w:p w:rsidR="00CD59DC" w:rsidRPr="00044874" w:rsidRDefault="00CD59DC" w:rsidP="00CD59DC">
      <w:pPr>
        <w:widowControl w:val="0"/>
        <w:spacing w:before="120" w:after="120"/>
        <w:rPr>
          <w:b/>
          <w:u w:val="single"/>
        </w:rPr>
      </w:pPr>
      <w:r w:rsidRPr="00044874">
        <w:rPr>
          <w:b/>
          <w:u w:val="single"/>
        </w:rPr>
        <w:t>4. TRANSPORT</w:t>
      </w:r>
    </w:p>
    <w:p w:rsidR="00CD59DC" w:rsidRPr="00044874" w:rsidRDefault="00CD59DC" w:rsidP="00CD59DC">
      <w:pPr>
        <w:widowControl w:val="0"/>
        <w:tabs>
          <w:tab w:val="left" w:pos="1080"/>
        </w:tabs>
        <w:outlineLvl w:val="1"/>
        <w:rPr>
          <w:b/>
          <w:snapToGrid w:val="0"/>
        </w:rPr>
      </w:pPr>
      <w:r w:rsidRPr="00044874">
        <w:rPr>
          <w:b/>
          <w:snapToGrid w:val="0"/>
        </w:rPr>
        <w:t>4.1. Ogólne wymagania dotyczące transportu</w:t>
      </w:r>
    </w:p>
    <w:p w:rsidR="00CD59DC" w:rsidRPr="00044874" w:rsidRDefault="00CD59DC" w:rsidP="00CD59DC">
      <w:pPr>
        <w:widowControl w:val="0"/>
        <w:overflowPunct w:val="0"/>
        <w:autoSpaceDE w:val="0"/>
        <w:autoSpaceDN w:val="0"/>
        <w:adjustRightInd w:val="0"/>
        <w:jc w:val="both"/>
      </w:pPr>
      <w:r w:rsidRPr="00044874">
        <w:tab/>
        <w:t xml:space="preserve">Ogólne wymagania dotyczące transportu podano w ST </w:t>
      </w:r>
      <w:r>
        <w:t>M.11.00.00</w:t>
      </w:r>
      <w:r w:rsidRPr="00044874">
        <w:t>.</w:t>
      </w:r>
    </w:p>
    <w:p w:rsidR="00CD59DC" w:rsidRPr="00044874" w:rsidRDefault="00CD59DC" w:rsidP="00CD59DC">
      <w:pPr>
        <w:widowControl w:val="0"/>
        <w:tabs>
          <w:tab w:val="left" w:pos="1080"/>
        </w:tabs>
        <w:jc w:val="both"/>
        <w:outlineLvl w:val="1"/>
        <w:rPr>
          <w:b/>
          <w:snapToGrid w:val="0"/>
        </w:rPr>
      </w:pPr>
      <w:r w:rsidRPr="00044874">
        <w:rPr>
          <w:b/>
          <w:snapToGrid w:val="0"/>
        </w:rPr>
        <w:t>4.2. Transport gruntów</w:t>
      </w:r>
    </w:p>
    <w:p w:rsidR="00CD59DC" w:rsidRPr="00044874" w:rsidRDefault="00CD59DC" w:rsidP="00CD59DC">
      <w:pPr>
        <w:widowControl w:val="0"/>
        <w:overflowPunct w:val="0"/>
        <w:autoSpaceDE w:val="0"/>
        <w:autoSpaceDN w:val="0"/>
        <w:adjustRightInd w:val="0"/>
        <w:jc w:val="both"/>
      </w:pPr>
      <w:r w:rsidRPr="00044874">
        <w:tab/>
        <w:t>Wybór środków transportowych oraz metod transportu powinien być dostosowany do kategorii gruntu (materiału), jego objętości, technologii odspajania i załadunku oraz od odległości transportu. Wydajność środków transportowych powinna być ponadto dostosowana do wydajności sprzętu stosowanego do urabiania i wbudowania gruntu (materiału).</w:t>
      </w:r>
    </w:p>
    <w:p w:rsidR="00CD59DC" w:rsidRPr="00044874" w:rsidRDefault="00CD59DC" w:rsidP="00CD59DC">
      <w:pPr>
        <w:widowControl w:val="0"/>
        <w:overflowPunct w:val="0"/>
        <w:autoSpaceDE w:val="0"/>
        <w:autoSpaceDN w:val="0"/>
        <w:adjustRightInd w:val="0"/>
        <w:jc w:val="both"/>
      </w:pPr>
      <w:r w:rsidRPr="00044874">
        <w:t xml:space="preserve">            Wykonawca ma obowiązek zorganizowania transportu z uwzględnieniem wymogów bezpieczeństwa w obrębie pasa drogowego jak i poza nim.</w:t>
      </w:r>
    </w:p>
    <w:p w:rsidR="00CD59DC" w:rsidRPr="00044874" w:rsidRDefault="00CD59DC" w:rsidP="00CD59DC">
      <w:pPr>
        <w:widowControl w:val="0"/>
        <w:ind w:firstLine="709"/>
        <w:jc w:val="both"/>
      </w:pPr>
      <w:r w:rsidRPr="00044874">
        <w:t>Zwiększenie odległości transportu ponad wartości zatwierdzone nie może być podstawą roszczeń Wykonawcy, dotyczących dodatkowej zapłaty za transport, o ile zwiększone odległości nie zostały wcześniej zaakcep</w:t>
      </w:r>
      <w:r>
        <w:t>towane na piśmie przez przedstawiciela Zamawiającego</w:t>
      </w:r>
      <w:r w:rsidRPr="00044874">
        <w:t>.</w:t>
      </w:r>
    </w:p>
    <w:p w:rsidR="00CD59DC" w:rsidRPr="00044874" w:rsidRDefault="00CD59DC" w:rsidP="00CD59DC">
      <w:pPr>
        <w:widowControl w:val="0"/>
        <w:spacing w:before="120" w:after="120"/>
        <w:ind w:right="198"/>
        <w:rPr>
          <w:b/>
          <w:u w:val="single"/>
        </w:rPr>
      </w:pPr>
      <w:r w:rsidRPr="00044874">
        <w:rPr>
          <w:b/>
          <w:u w:val="single"/>
        </w:rPr>
        <w:t xml:space="preserve">5. WYKONANIE ROBÓT </w:t>
      </w:r>
    </w:p>
    <w:p w:rsidR="00CD59DC" w:rsidRPr="00044874" w:rsidRDefault="00CD59DC" w:rsidP="00CD59DC">
      <w:pPr>
        <w:widowControl w:val="0"/>
        <w:tabs>
          <w:tab w:val="left" w:pos="1080"/>
        </w:tabs>
        <w:outlineLvl w:val="1"/>
        <w:rPr>
          <w:b/>
          <w:snapToGrid w:val="0"/>
        </w:rPr>
      </w:pPr>
      <w:r w:rsidRPr="00044874">
        <w:rPr>
          <w:b/>
          <w:snapToGrid w:val="0"/>
        </w:rPr>
        <w:t>5.1. Ogólne zasady wykonania robót</w:t>
      </w:r>
    </w:p>
    <w:p w:rsidR="00CD59DC" w:rsidRPr="00044874" w:rsidRDefault="00CD59DC" w:rsidP="00CD59DC">
      <w:pPr>
        <w:widowControl w:val="0"/>
        <w:overflowPunct w:val="0"/>
        <w:autoSpaceDE w:val="0"/>
        <w:autoSpaceDN w:val="0"/>
        <w:adjustRightInd w:val="0"/>
      </w:pPr>
      <w:r w:rsidRPr="00044874">
        <w:tab/>
        <w:t xml:space="preserve">Ogólne zasady wykonania robót podano w ST </w:t>
      </w:r>
      <w:r>
        <w:t>M.11.00.00</w:t>
      </w:r>
      <w:r w:rsidRPr="00044874">
        <w:t>.</w:t>
      </w:r>
    </w:p>
    <w:p w:rsidR="00CD59DC" w:rsidRPr="00044874" w:rsidRDefault="00CD59DC" w:rsidP="00CD59DC">
      <w:pPr>
        <w:widowControl w:val="0"/>
        <w:ind w:firstLine="709"/>
        <w:jc w:val="both"/>
      </w:pPr>
      <w:r w:rsidRPr="00044874">
        <w:t>Sposób wykonania skarp wykopu powinien gwarantować ich stateczność w całym okresie prowadzenia robót, a naprawa uszkodzeń, wynikających z nieprawidłowego ukształtowania skarp wykopu, ich podcięcia lub innych odstępstw od dokumentacji projektowej obciąża Wykonawcę robót ziemnych.</w:t>
      </w:r>
    </w:p>
    <w:p w:rsidR="00CD59DC" w:rsidRPr="00044874" w:rsidRDefault="00CD59DC" w:rsidP="00CD59DC">
      <w:pPr>
        <w:widowControl w:val="0"/>
        <w:jc w:val="both"/>
      </w:pPr>
      <w:r w:rsidRPr="00044874">
        <w:tab/>
        <w:t>Wykonawca powinien wykonywać wykopy w taki sposób, aby grunty o różnym stopniu przydatności do budowy nasypów były odspajane oddzielnie, w sposób uniemożliwiający ich wymieszanie. Odstępstwo od powyższego wymagania, uzasadnione skomplikowanym układem warstw geotech</w:t>
      </w:r>
      <w:r>
        <w:t>nicznych, wymaga zgody przedstawiciela Zamawiającego</w:t>
      </w:r>
      <w:r w:rsidRPr="00044874">
        <w:t>.Odspojone grunty przydatne do wykonania nasypów powinny być bezpośrednio wbudowane w nasyp lub przewi</w:t>
      </w:r>
      <w:r>
        <w:t>ezione na odkład. O ile przedstawiciel Zamawiającego</w:t>
      </w:r>
      <w:r w:rsidRPr="00044874">
        <w:t xml:space="preserve"> dopuści czasowe składowanie odspojonych  gruntów, należy je odpowiednio zabezpieczyć przed nadmiernym zawilgoceniem.</w:t>
      </w:r>
    </w:p>
    <w:p w:rsidR="00CD59DC" w:rsidRPr="00044874" w:rsidRDefault="00CD59DC" w:rsidP="00CD59DC">
      <w:pPr>
        <w:widowControl w:val="0"/>
        <w:tabs>
          <w:tab w:val="left" w:pos="1080"/>
        </w:tabs>
        <w:outlineLvl w:val="1"/>
        <w:rPr>
          <w:b/>
          <w:snapToGrid w:val="0"/>
        </w:rPr>
      </w:pPr>
      <w:r w:rsidRPr="00044874">
        <w:rPr>
          <w:b/>
          <w:snapToGrid w:val="0"/>
        </w:rPr>
        <w:t>5.2.  Wymagania dotyczące zagęszczenia i nośności gruntu</w:t>
      </w:r>
    </w:p>
    <w:p w:rsidR="00CD59DC" w:rsidRPr="00044874" w:rsidRDefault="00CD59DC" w:rsidP="00CD59DC">
      <w:r w:rsidRPr="00044874">
        <w:t xml:space="preserve">            Zagęszczenie gruntu w wykopach i miejscach zerowych robót ziemnych powinno spełniać wymagania, dotyczące minimalnej wartości wskaźnika zagęszczenia (I</w:t>
      </w:r>
      <w:r w:rsidRPr="00044874">
        <w:rPr>
          <w:vertAlign w:val="subscript"/>
        </w:rPr>
        <w:t>s</w:t>
      </w:r>
      <w:r w:rsidRPr="00044874">
        <w:t>), podanego w tablicy 1.</w:t>
      </w:r>
    </w:p>
    <w:p w:rsidR="00CD59DC" w:rsidRPr="00044874" w:rsidRDefault="00CD59DC" w:rsidP="00CD59DC">
      <w:pPr>
        <w:ind w:left="851" w:hanging="851"/>
      </w:pPr>
      <w:r w:rsidRPr="00044874">
        <w:t>Tablica 1. Minimalne wartości wskaźnika zagęszczenia w wykopach i miejscach zerowych robót ziemnych</w:t>
      </w:r>
    </w:p>
    <w:tbl>
      <w:tblPr>
        <w:tblW w:w="0" w:type="auto"/>
        <w:tblInd w:w="-32" w:type="dxa"/>
        <w:tblLayout w:type="fixed"/>
        <w:tblCellMar>
          <w:left w:w="70" w:type="dxa"/>
          <w:right w:w="70" w:type="dxa"/>
        </w:tblCellMar>
        <w:tblLook w:val="0000" w:firstRow="0" w:lastRow="0" w:firstColumn="0" w:lastColumn="0" w:noHBand="0" w:noVBand="0"/>
      </w:tblPr>
      <w:tblGrid>
        <w:gridCol w:w="2905"/>
        <w:gridCol w:w="1603"/>
        <w:gridCol w:w="1501"/>
        <w:gridCol w:w="1566"/>
      </w:tblGrid>
      <w:tr w:rsidR="00CD59DC" w:rsidRPr="00044874" w:rsidTr="00B751AC">
        <w:tc>
          <w:tcPr>
            <w:tcW w:w="2905" w:type="dxa"/>
            <w:tcBorders>
              <w:top w:val="single" w:sz="4" w:space="0" w:color="000000"/>
              <w:left w:val="single" w:sz="4" w:space="0" w:color="000000"/>
            </w:tcBorders>
            <w:shd w:val="clear" w:color="auto" w:fill="auto"/>
          </w:tcPr>
          <w:p w:rsidR="00CD59DC" w:rsidRPr="00044874" w:rsidRDefault="00CD59DC" w:rsidP="00B751AC">
            <w:pPr>
              <w:snapToGrid w:val="0"/>
            </w:pPr>
          </w:p>
        </w:tc>
        <w:tc>
          <w:tcPr>
            <w:tcW w:w="4670" w:type="dxa"/>
            <w:gridSpan w:val="3"/>
            <w:tcBorders>
              <w:top w:val="single" w:sz="4" w:space="0" w:color="000000"/>
              <w:left w:val="single" w:sz="4" w:space="0" w:color="000000"/>
              <w:right w:val="single" w:sz="4" w:space="0" w:color="000000"/>
            </w:tcBorders>
            <w:shd w:val="clear" w:color="auto" w:fill="auto"/>
          </w:tcPr>
          <w:p w:rsidR="00CD59DC" w:rsidRPr="00044874" w:rsidRDefault="00CD59DC" w:rsidP="00B751AC">
            <w:pPr>
              <w:snapToGrid w:val="0"/>
              <w:jc w:val="center"/>
            </w:pPr>
            <w:r w:rsidRPr="00044874">
              <w:t>Minimalna wartość I</w:t>
            </w:r>
            <w:r w:rsidRPr="00044874">
              <w:rPr>
                <w:vertAlign w:val="subscript"/>
              </w:rPr>
              <w:t>s</w:t>
            </w:r>
            <w:r w:rsidRPr="00044874">
              <w:t xml:space="preserve"> dla:</w:t>
            </w:r>
          </w:p>
        </w:tc>
      </w:tr>
      <w:tr w:rsidR="00CD59DC" w:rsidRPr="00044874" w:rsidTr="00B751AC">
        <w:tc>
          <w:tcPr>
            <w:tcW w:w="2905" w:type="dxa"/>
            <w:tcBorders>
              <w:left w:val="single" w:sz="4" w:space="0" w:color="000000"/>
            </w:tcBorders>
            <w:shd w:val="clear" w:color="auto" w:fill="auto"/>
          </w:tcPr>
          <w:p w:rsidR="00CD59DC" w:rsidRPr="00044874" w:rsidRDefault="00CD59DC" w:rsidP="00B751AC">
            <w:pPr>
              <w:snapToGrid w:val="0"/>
              <w:jc w:val="center"/>
            </w:pPr>
            <w:r w:rsidRPr="00044874">
              <w:t>Strefa</w:t>
            </w:r>
          </w:p>
        </w:tc>
        <w:tc>
          <w:tcPr>
            <w:tcW w:w="1603" w:type="dxa"/>
            <w:tcBorders>
              <w:top w:val="single" w:sz="4" w:space="0" w:color="000000"/>
              <w:left w:val="single" w:sz="4" w:space="0" w:color="000000"/>
            </w:tcBorders>
            <w:shd w:val="clear" w:color="auto" w:fill="auto"/>
          </w:tcPr>
          <w:p w:rsidR="00CD59DC" w:rsidRPr="00044874" w:rsidRDefault="00CD59DC" w:rsidP="00B751AC">
            <w:pPr>
              <w:snapToGrid w:val="0"/>
              <w:jc w:val="center"/>
            </w:pPr>
            <w:r w:rsidRPr="00044874">
              <w:t>autostrad</w:t>
            </w:r>
          </w:p>
        </w:tc>
        <w:tc>
          <w:tcPr>
            <w:tcW w:w="3067" w:type="dxa"/>
            <w:gridSpan w:val="2"/>
            <w:tcBorders>
              <w:top w:val="single" w:sz="4" w:space="0" w:color="000000"/>
              <w:left w:val="single" w:sz="4" w:space="0" w:color="000000"/>
              <w:bottom w:val="single" w:sz="4" w:space="0" w:color="000000"/>
              <w:right w:val="single" w:sz="4" w:space="0" w:color="000000"/>
            </w:tcBorders>
            <w:shd w:val="clear" w:color="auto" w:fill="auto"/>
          </w:tcPr>
          <w:p w:rsidR="00CD59DC" w:rsidRPr="00044874" w:rsidRDefault="00CD59DC" w:rsidP="00B751AC">
            <w:pPr>
              <w:snapToGrid w:val="0"/>
              <w:jc w:val="center"/>
            </w:pPr>
            <w:r w:rsidRPr="00044874">
              <w:t>innych dróg</w:t>
            </w:r>
          </w:p>
        </w:tc>
      </w:tr>
      <w:tr w:rsidR="00CD59DC" w:rsidTr="00B751AC">
        <w:tc>
          <w:tcPr>
            <w:tcW w:w="2905" w:type="dxa"/>
            <w:shd w:val="clear" w:color="auto" w:fill="auto"/>
          </w:tcPr>
          <w:p w:rsidR="00CD59DC" w:rsidRPr="00044874" w:rsidRDefault="00CD59DC" w:rsidP="00B751AC">
            <w:pPr>
              <w:snapToGrid w:val="0"/>
              <w:jc w:val="center"/>
            </w:pPr>
            <w:r w:rsidRPr="00044874">
              <w:t>korpusu</w:t>
            </w:r>
          </w:p>
        </w:tc>
        <w:tc>
          <w:tcPr>
            <w:tcW w:w="1603" w:type="dxa"/>
            <w:shd w:val="clear" w:color="auto" w:fill="auto"/>
          </w:tcPr>
          <w:p w:rsidR="00CD59DC" w:rsidRPr="00044874" w:rsidRDefault="00CD59DC" w:rsidP="00B751AC">
            <w:pPr>
              <w:snapToGrid w:val="0"/>
              <w:jc w:val="center"/>
            </w:pPr>
            <w:r w:rsidRPr="00044874">
              <w:t>i dróg</w:t>
            </w:r>
          </w:p>
          <w:p w:rsidR="00CD59DC" w:rsidRPr="00044874" w:rsidRDefault="00CD59DC" w:rsidP="00B751AC">
            <w:pPr>
              <w:jc w:val="center"/>
            </w:pPr>
            <w:r w:rsidRPr="00044874">
              <w:t>ekspresowych</w:t>
            </w:r>
          </w:p>
        </w:tc>
        <w:tc>
          <w:tcPr>
            <w:tcW w:w="1501" w:type="dxa"/>
            <w:shd w:val="clear" w:color="auto" w:fill="auto"/>
          </w:tcPr>
          <w:p w:rsidR="00CD59DC" w:rsidRPr="00044874" w:rsidRDefault="00CD59DC" w:rsidP="00B751AC">
            <w:pPr>
              <w:snapToGrid w:val="0"/>
              <w:ind w:left="28" w:right="-85"/>
              <w:jc w:val="center"/>
            </w:pPr>
            <w:r w:rsidRPr="00044874">
              <w:t>kategoria ruchu KR3-KR6</w:t>
            </w:r>
          </w:p>
        </w:tc>
        <w:tc>
          <w:tcPr>
            <w:tcW w:w="1566" w:type="dxa"/>
            <w:shd w:val="clear" w:color="auto" w:fill="auto"/>
          </w:tcPr>
          <w:p w:rsidR="00CD59DC" w:rsidRPr="00044874" w:rsidRDefault="00CD59DC" w:rsidP="00B751AC">
            <w:pPr>
              <w:snapToGrid w:val="0"/>
              <w:jc w:val="center"/>
            </w:pPr>
            <w:r w:rsidRPr="00044874">
              <w:t>kategoria ruchu KR1-KR2</w:t>
            </w:r>
          </w:p>
        </w:tc>
      </w:tr>
      <w:tr w:rsidR="00CD59DC" w:rsidRPr="00044874" w:rsidTr="00B751AC">
        <w:tc>
          <w:tcPr>
            <w:tcW w:w="2905" w:type="dxa"/>
            <w:tcBorders>
              <w:left w:val="single" w:sz="4" w:space="0" w:color="000000"/>
              <w:bottom w:val="single" w:sz="4" w:space="0" w:color="000000"/>
            </w:tcBorders>
            <w:shd w:val="clear" w:color="auto" w:fill="auto"/>
          </w:tcPr>
          <w:p w:rsidR="00CD59DC" w:rsidRPr="00044874" w:rsidRDefault="00CD59DC" w:rsidP="00B751AC">
            <w:pPr>
              <w:snapToGrid w:val="0"/>
            </w:pPr>
            <w:r w:rsidRPr="00044874">
              <w:t>Górna warstwa o grubości 20 cm</w:t>
            </w:r>
          </w:p>
        </w:tc>
        <w:tc>
          <w:tcPr>
            <w:tcW w:w="1603" w:type="dxa"/>
            <w:tcBorders>
              <w:left w:val="single" w:sz="4" w:space="0" w:color="000000"/>
              <w:bottom w:val="single" w:sz="4" w:space="0" w:color="000000"/>
            </w:tcBorders>
            <w:shd w:val="clear" w:color="auto" w:fill="auto"/>
          </w:tcPr>
          <w:p w:rsidR="00CD59DC" w:rsidRPr="00044874" w:rsidRDefault="00CD59DC" w:rsidP="00B751AC">
            <w:pPr>
              <w:snapToGrid w:val="0"/>
              <w:jc w:val="center"/>
            </w:pPr>
            <w:r w:rsidRPr="00044874">
              <w:t>1,03</w:t>
            </w:r>
          </w:p>
        </w:tc>
        <w:tc>
          <w:tcPr>
            <w:tcW w:w="1501" w:type="dxa"/>
            <w:tcBorders>
              <w:left w:val="single" w:sz="4" w:space="0" w:color="000000"/>
              <w:bottom w:val="single" w:sz="4" w:space="0" w:color="000000"/>
            </w:tcBorders>
            <w:shd w:val="clear" w:color="auto" w:fill="auto"/>
          </w:tcPr>
          <w:p w:rsidR="00CD59DC" w:rsidRPr="00044874" w:rsidRDefault="00CD59DC" w:rsidP="00B751AC">
            <w:pPr>
              <w:snapToGrid w:val="0"/>
              <w:jc w:val="center"/>
            </w:pPr>
            <w:r w:rsidRPr="00044874">
              <w:t>1,00</w:t>
            </w:r>
          </w:p>
        </w:tc>
        <w:tc>
          <w:tcPr>
            <w:tcW w:w="1566" w:type="dxa"/>
            <w:tcBorders>
              <w:left w:val="single" w:sz="4" w:space="0" w:color="000000"/>
              <w:bottom w:val="single" w:sz="4" w:space="0" w:color="000000"/>
              <w:right w:val="single" w:sz="4" w:space="0" w:color="000000"/>
            </w:tcBorders>
            <w:shd w:val="clear" w:color="auto" w:fill="auto"/>
          </w:tcPr>
          <w:p w:rsidR="00CD59DC" w:rsidRPr="00044874" w:rsidRDefault="00CD59DC" w:rsidP="00B751AC">
            <w:pPr>
              <w:snapToGrid w:val="0"/>
              <w:jc w:val="center"/>
            </w:pPr>
            <w:r w:rsidRPr="00044874">
              <w:t>1,00</w:t>
            </w:r>
          </w:p>
        </w:tc>
      </w:tr>
      <w:tr w:rsidR="00CD59DC" w:rsidRPr="00044874" w:rsidTr="00B751AC">
        <w:tc>
          <w:tcPr>
            <w:tcW w:w="2905" w:type="dxa"/>
            <w:tcBorders>
              <w:left w:val="single" w:sz="4" w:space="0" w:color="000000"/>
              <w:bottom w:val="single" w:sz="4" w:space="0" w:color="000000"/>
            </w:tcBorders>
            <w:shd w:val="clear" w:color="auto" w:fill="auto"/>
          </w:tcPr>
          <w:p w:rsidR="00CD59DC" w:rsidRPr="00044874" w:rsidRDefault="00CD59DC" w:rsidP="00B751AC">
            <w:pPr>
              <w:snapToGrid w:val="0"/>
            </w:pPr>
            <w:r w:rsidRPr="00044874">
              <w:t>Na głębokości od 20 do 50 cm od powierzchni robót ziemnych</w:t>
            </w:r>
          </w:p>
        </w:tc>
        <w:tc>
          <w:tcPr>
            <w:tcW w:w="1603" w:type="dxa"/>
            <w:tcBorders>
              <w:left w:val="single" w:sz="4" w:space="0" w:color="000000"/>
              <w:bottom w:val="single" w:sz="4" w:space="0" w:color="000000"/>
            </w:tcBorders>
            <w:shd w:val="clear" w:color="auto" w:fill="auto"/>
          </w:tcPr>
          <w:p w:rsidR="00CD59DC" w:rsidRPr="00044874" w:rsidRDefault="00CD59DC" w:rsidP="00B751AC">
            <w:pPr>
              <w:snapToGrid w:val="0"/>
              <w:jc w:val="center"/>
            </w:pPr>
          </w:p>
          <w:p w:rsidR="00CD59DC" w:rsidRPr="00044874" w:rsidRDefault="00CD59DC" w:rsidP="00B751AC">
            <w:pPr>
              <w:jc w:val="center"/>
            </w:pPr>
            <w:r w:rsidRPr="00044874">
              <w:t>1,00</w:t>
            </w:r>
          </w:p>
        </w:tc>
        <w:tc>
          <w:tcPr>
            <w:tcW w:w="1501" w:type="dxa"/>
            <w:tcBorders>
              <w:left w:val="single" w:sz="4" w:space="0" w:color="000000"/>
              <w:bottom w:val="single" w:sz="4" w:space="0" w:color="000000"/>
            </w:tcBorders>
            <w:shd w:val="clear" w:color="auto" w:fill="auto"/>
          </w:tcPr>
          <w:p w:rsidR="00CD59DC" w:rsidRPr="00044874" w:rsidRDefault="00CD59DC" w:rsidP="00B751AC">
            <w:pPr>
              <w:snapToGrid w:val="0"/>
              <w:jc w:val="center"/>
            </w:pPr>
          </w:p>
          <w:p w:rsidR="00CD59DC" w:rsidRPr="00044874" w:rsidRDefault="00CD59DC" w:rsidP="00B751AC">
            <w:pPr>
              <w:jc w:val="center"/>
            </w:pPr>
            <w:r w:rsidRPr="00044874">
              <w:t>1,00</w:t>
            </w:r>
          </w:p>
        </w:tc>
        <w:tc>
          <w:tcPr>
            <w:tcW w:w="1566" w:type="dxa"/>
            <w:tcBorders>
              <w:left w:val="single" w:sz="4" w:space="0" w:color="000000"/>
              <w:bottom w:val="single" w:sz="4" w:space="0" w:color="000000"/>
              <w:right w:val="single" w:sz="4" w:space="0" w:color="000000"/>
            </w:tcBorders>
            <w:shd w:val="clear" w:color="auto" w:fill="auto"/>
          </w:tcPr>
          <w:p w:rsidR="00CD59DC" w:rsidRPr="00044874" w:rsidRDefault="00CD59DC" w:rsidP="00B751AC">
            <w:pPr>
              <w:snapToGrid w:val="0"/>
              <w:jc w:val="center"/>
            </w:pPr>
          </w:p>
          <w:p w:rsidR="00CD59DC" w:rsidRPr="00044874" w:rsidRDefault="00CD59DC" w:rsidP="00B751AC">
            <w:pPr>
              <w:jc w:val="center"/>
            </w:pPr>
            <w:r w:rsidRPr="00044874">
              <w:t>0,97</w:t>
            </w:r>
          </w:p>
        </w:tc>
      </w:tr>
    </w:tbl>
    <w:p w:rsidR="00CD59DC" w:rsidRPr="00044874" w:rsidRDefault="00CD59DC" w:rsidP="00CD59DC"/>
    <w:p w:rsidR="00CD59DC" w:rsidRPr="00044874" w:rsidRDefault="00CD59DC" w:rsidP="00CD59DC">
      <w:r w:rsidRPr="00044874">
        <w:tab/>
        <w:t>Jeżeli grunty rodzime w wykopach i miejscach zerowych nie spełniają wymaganego wskaźnika zagęszczenia, to przed ułożeniem konstrukcji nawierzchni należy je dogęścić do wartości I</w:t>
      </w:r>
      <w:r w:rsidRPr="00044874">
        <w:rPr>
          <w:vertAlign w:val="subscript"/>
        </w:rPr>
        <w:t>s</w:t>
      </w:r>
      <w:r w:rsidRPr="00044874">
        <w:t>, podanych w tablicy 1. Jeżeli wartości wskaźnika zagęszczenia określone w tablicy 1 nie mogą być osiągnięte przez bezpośrednie zagęszczanie gruntów rodzimych, to należy podjąć środki w celu ulepszenia gruntu podłoża, umożliwiającego uzyskanie wymaganych wartości wskaźnika zagęszczenia. Możliwe do zastosowania środki, o ile nie są określone w ST, proponuje Wykonawca i prze</w:t>
      </w:r>
      <w:r>
        <w:t>dstawia do akceptacji przedstawicielowi Zamawiającego</w:t>
      </w:r>
      <w:r w:rsidRPr="00044874">
        <w:t>.</w:t>
      </w:r>
    </w:p>
    <w:p w:rsidR="00CD59DC" w:rsidRPr="00044874" w:rsidRDefault="00CD59DC" w:rsidP="00CD59DC">
      <w:r w:rsidRPr="00044874">
        <w:tab/>
        <w:t>Dodatkowo można sprawdzić nośność warstwy gruntu na powierzchni robót ziemnych na podstawie pomiaru wtórnego modułu odkształcenia E</w:t>
      </w:r>
      <w:r w:rsidRPr="00044874">
        <w:rPr>
          <w:vertAlign w:val="subscript"/>
        </w:rPr>
        <w:t>2</w:t>
      </w:r>
      <w:r w:rsidRPr="00044874">
        <w:t xml:space="preserve"> zgodnie z PN-02205:1998.</w:t>
      </w:r>
    </w:p>
    <w:p w:rsidR="00CD59DC" w:rsidRPr="00044874" w:rsidRDefault="00CD59DC" w:rsidP="00CD59DC">
      <w:pPr>
        <w:tabs>
          <w:tab w:val="left" w:pos="1080"/>
        </w:tabs>
        <w:outlineLvl w:val="1"/>
        <w:rPr>
          <w:b/>
          <w:snapToGrid w:val="0"/>
        </w:rPr>
      </w:pPr>
      <w:r w:rsidRPr="00044874">
        <w:rPr>
          <w:b/>
          <w:snapToGrid w:val="0"/>
        </w:rPr>
        <w:t>5.3. Ruch budowlany</w:t>
      </w:r>
    </w:p>
    <w:p w:rsidR="00CD59DC" w:rsidRPr="00044874" w:rsidRDefault="00CD59DC" w:rsidP="00CD59DC">
      <w:r w:rsidRPr="00044874">
        <w:tab/>
        <w:t>Nie należy dopuszczać ruchu budowlanego po dnie wykopu o ile grubość warstwy gruntu (nadkładu) powyżej rzędnych robót ziemnych jest mniejsza niż 0,3 m.</w:t>
      </w:r>
    </w:p>
    <w:p w:rsidR="00CD59DC" w:rsidRPr="00044874" w:rsidRDefault="00CD59DC" w:rsidP="00CD59DC">
      <w:r w:rsidRPr="00044874">
        <w:tab/>
        <w:t>Z chwilą przystąpienia do ostatecznego profilowania dna wykopu dopuszcza się po nim jedynie ruch maszyn wykonujących tę czynność budowlaną. Może odbywać się jedynie sporadyczny ruch pojazdów, które nie spowodują uszkodzeń powierzchni korpusu.</w:t>
      </w:r>
    </w:p>
    <w:p w:rsidR="00CD59DC" w:rsidRPr="00044874" w:rsidRDefault="00CD59DC" w:rsidP="00CD59DC">
      <w:r w:rsidRPr="00044874">
        <w:tab/>
        <w:t>Naprawa uszkodzeń powierzchni robót ziemnych, wynikających z niedotrzymania podanych powyżej warunków obciąża Wykonawcę robót ziemnych.</w:t>
      </w:r>
    </w:p>
    <w:p w:rsidR="00CD59DC" w:rsidRPr="00044874" w:rsidRDefault="00CD59DC" w:rsidP="00CD59DC">
      <w:pPr>
        <w:rPr>
          <w:b/>
          <w:lang w:eastAsia="ar-SA"/>
        </w:rPr>
      </w:pPr>
      <w:r w:rsidRPr="00044874">
        <w:rPr>
          <w:b/>
          <w:lang w:eastAsia="ar-SA"/>
        </w:rPr>
        <w:t>5.4. Podparcie lub rozparcie ścian wykopów</w:t>
      </w:r>
    </w:p>
    <w:p w:rsidR="00CD59DC" w:rsidRPr="00044874" w:rsidRDefault="00CD59DC" w:rsidP="00CD59DC">
      <w:pPr>
        <w:rPr>
          <w:lang w:eastAsia="ar-SA"/>
        </w:rPr>
      </w:pPr>
      <w:r w:rsidRPr="00044874">
        <w:rPr>
          <w:lang w:eastAsia="ar-SA"/>
        </w:rPr>
        <w:t>W wykopach o ścianach podpartych lub rozpartych należy przestrzegać, żeby :</w:t>
      </w:r>
    </w:p>
    <w:p w:rsidR="00CD59DC" w:rsidRPr="00044874" w:rsidRDefault="00CD59DC" w:rsidP="00CD59DC">
      <w:pPr>
        <w:suppressAutoHyphens/>
        <w:outlineLvl w:val="1"/>
        <w:rPr>
          <w:snapToGrid w:val="0"/>
          <w:lang w:eastAsia="ar-SA"/>
        </w:rPr>
      </w:pPr>
      <w:r w:rsidRPr="00044874">
        <w:rPr>
          <w:snapToGrid w:val="0"/>
          <w:lang w:eastAsia="ar-SA"/>
        </w:rPr>
        <w:t>- główne krawędzie bali przyściennych wystawały na wysokość 10 do 15 cm ponad teren,</w:t>
      </w:r>
    </w:p>
    <w:p w:rsidR="00CD59DC" w:rsidRPr="00044874" w:rsidRDefault="00CD59DC" w:rsidP="00CD59DC">
      <w:pPr>
        <w:suppressAutoHyphens/>
        <w:outlineLvl w:val="1"/>
        <w:rPr>
          <w:snapToGrid w:val="0"/>
          <w:lang w:eastAsia="ar-SA"/>
        </w:rPr>
      </w:pPr>
      <w:r w:rsidRPr="00044874">
        <w:rPr>
          <w:snapToGrid w:val="0"/>
          <w:lang w:eastAsia="ar-SA"/>
        </w:rPr>
        <w:t xml:space="preserve">  rozpory miały trwałe zabezpieczenie przed opadnięciem w dół, </w:t>
      </w:r>
    </w:p>
    <w:p w:rsidR="00CD59DC" w:rsidRPr="00044874" w:rsidRDefault="00CD59DC" w:rsidP="00CD59DC">
      <w:pPr>
        <w:suppressAutoHyphens/>
        <w:outlineLvl w:val="1"/>
        <w:rPr>
          <w:snapToGrid w:val="0"/>
          <w:lang w:eastAsia="ar-SA"/>
        </w:rPr>
      </w:pPr>
      <w:r w:rsidRPr="00044874">
        <w:rPr>
          <w:snapToGrid w:val="0"/>
          <w:lang w:eastAsia="ar-SA"/>
        </w:rPr>
        <w:t>- krawędzie wykopu były zabezpieczone szczelnie balami lub płytami żelbetowymi, w przypadku przewidywanego ruchu przy wykopie lub w zasięgu pracy żurawi,- w wykopie rozpartym o głębokości większej od 1.0 m były wykonane dogodne wyjścia awaryjne,</w:t>
      </w:r>
    </w:p>
    <w:p w:rsidR="00CD59DC" w:rsidRPr="00044874" w:rsidRDefault="00CD59DC" w:rsidP="00CD59DC">
      <w:pPr>
        <w:rPr>
          <w:lang w:eastAsia="ar-SA"/>
        </w:rPr>
      </w:pPr>
      <w:r w:rsidRPr="00044874">
        <w:rPr>
          <w:lang w:eastAsia="ar-SA"/>
        </w:rPr>
        <w:t xml:space="preserve">- </w:t>
      </w:r>
      <w:r w:rsidRPr="00044874">
        <w:rPr>
          <w:b/>
          <w:lang w:eastAsia="ar-SA"/>
        </w:rPr>
        <w:t>w przypadku głębokich wykopów i wykopów w pobliżu koryta rzeki zaleca się zabezpieczenie wykopów za pomocą stalowej ścianki szczelnej,</w:t>
      </w:r>
    </w:p>
    <w:p w:rsidR="00CD59DC" w:rsidRPr="00044874" w:rsidRDefault="00CD59DC" w:rsidP="00CD59DC">
      <w:pPr>
        <w:suppressAutoHyphens/>
        <w:outlineLvl w:val="1"/>
        <w:rPr>
          <w:snapToGrid w:val="0"/>
          <w:lang w:eastAsia="ar-SA"/>
        </w:rPr>
      </w:pPr>
      <w:r w:rsidRPr="00044874">
        <w:rPr>
          <w:snapToGrid w:val="0"/>
          <w:lang w:eastAsia="ar-SA"/>
        </w:rPr>
        <w:t>Stan konstrukcji podporowych i rozporowych należy sprawdzać okresowo, a obowiązkowo niezwłocznie po wystąpieniu czynników niekorzystnych (duże opady atmosferyczne, mróz, szybka odwilż itp.).</w:t>
      </w:r>
    </w:p>
    <w:p w:rsidR="00CD59DC" w:rsidRPr="00044874" w:rsidRDefault="00CD59DC" w:rsidP="00CD59DC">
      <w:pPr>
        <w:suppressAutoHyphens/>
        <w:outlineLvl w:val="1"/>
        <w:rPr>
          <w:b/>
          <w:snapToGrid w:val="0"/>
          <w:lang w:eastAsia="ar-SA"/>
        </w:rPr>
      </w:pPr>
      <w:r w:rsidRPr="00044874">
        <w:rPr>
          <w:b/>
          <w:snapToGrid w:val="0"/>
          <w:lang w:eastAsia="ar-SA"/>
        </w:rPr>
        <w:t>5.5. Rozbiórka zabezpieczeń ścian wykopów</w:t>
      </w:r>
    </w:p>
    <w:p w:rsidR="00CD59DC" w:rsidRPr="00044874" w:rsidRDefault="00CD59DC" w:rsidP="00CD59DC">
      <w:pPr>
        <w:suppressAutoHyphens/>
        <w:outlineLvl w:val="1"/>
        <w:rPr>
          <w:rFonts w:ascii="PL Times New Roman" w:hAnsi="PL Times New Roman"/>
          <w:snapToGrid w:val="0"/>
          <w:lang w:eastAsia="ar-SA"/>
        </w:rPr>
      </w:pPr>
      <w:r w:rsidRPr="00044874">
        <w:rPr>
          <w:rFonts w:ascii="PL Times New Roman" w:hAnsi="PL Times New Roman"/>
          <w:snapToGrid w:val="0"/>
          <w:lang w:eastAsia="ar-SA"/>
        </w:rPr>
        <w:t>Rozbiórka zabezpieczeń ścian wykopów powinna być prowadzona w miarę wykonywania zasypki. Pozostawienie obudowy dopuszczalne jest tylko w przypadkach technicznej niemożliwości jej usunięcia lub gdy wydobywanie elementów obudowy zagraża bezpieczeństwu pracy albo stwarza możliwość uszkodzenia konstrukcji wykonywanego obiektu.</w:t>
      </w:r>
    </w:p>
    <w:p w:rsidR="00CD59DC" w:rsidRPr="00044874" w:rsidRDefault="00CD59DC" w:rsidP="00CD59DC">
      <w:pPr>
        <w:rPr>
          <w:b/>
          <w:lang w:eastAsia="ar-SA"/>
        </w:rPr>
      </w:pPr>
      <w:r w:rsidRPr="00044874">
        <w:rPr>
          <w:b/>
          <w:lang w:eastAsia="ar-SA"/>
        </w:rPr>
        <w:t>5.6. Pompowanie wody</w:t>
      </w:r>
    </w:p>
    <w:p w:rsidR="00CD59DC" w:rsidRPr="00044874" w:rsidRDefault="00CD59DC" w:rsidP="00CD59DC">
      <w:pPr>
        <w:rPr>
          <w:lang w:eastAsia="ar-SA"/>
        </w:rPr>
      </w:pPr>
      <w:r w:rsidRPr="00044874">
        <w:rPr>
          <w:lang w:eastAsia="ar-SA"/>
        </w:rPr>
        <w:t xml:space="preserve">Wykonawca powinien być wyposażony w sprzęt do pompowania wody. </w:t>
      </w:r>
    </w:p>
    <w:p w:rsidR="00CD59DC" w:rsidRPr="00044874" w:rsidRDefault="00CD59DC" w:rsidP="00CD59DC">
      <w:pPr>
        <w:widowControl w:val="0"/>
        <w:spacing w:before="120" w:after="120"/>
        <w:ind w:right="-6"/>
        <w:rPr>
          <w:b/>
          <w:u w:val="single"/>
        </w:rPr>
      </w:pPr>
      <w:r w:rsidRPr="00044874">
        <w:rPr>
          <w:b/>
          <w:u w:val="single"/>
        </w:rPr>
        <w:t xml:space="preserve">6. KONTROLA JAKOŚCI ROBÓT </w:t>
      </w:r>
    </w:p>
    <w:p w:rsidR="00CD59DC" w:rsidRPr="00044874" w:rsidRDefault="00CD59DC" w:rsidP="00CD59DC">
      <w:pPr>
        <w:widowControl w:val="0"/>
        <w:tabs>
          <w:tab w:val="left" w:pos="1080"/>
        </w:tabs>
        <w:outlineLvl w:val="1"/>
        <w:rPr>
          <w:snapToGrid w:val="0"/>
        </w:rPr>
      </w:pPr>
      <w:r w:rsidRPr="00044874">
        <w:rPr>
          <w:snapToGrid w:val="0"/>
        </w:rPr>
        <w:t>6.1. Ogólne zasady kontroli jakości robót</w:t>
      </w:r>
    </w:p>
    <w:p w:rsidR="00CD59DC" w:rsidRPr="00044874" w:rsidRDefault="00CD59DC" w:rsidP="00CD59DC">
      <w:pPr>
        <w:widowControl w:val="0"/>
        <w:overflowPunct w:val="0"/>
        <w:autoSpaceDE w:val="0"/>
        <w:autoSpaceDN w:val="0"/>
        <w:adjustRightInd w:val="0"/>
        <w:jc w:val="both"/>
      </w:pPr>
      <w:r w:rsidRPr="00044874">
        <w:tab/>
        <w:t xml:space="preserve">Ogólne zasady kontroli jakości robót podano w ST </w:t>
      </w:r>
      <w:r>
        <w:t>D.02.00.00</w:t>
      </w:r>
      <w:r w:rsidRPr="00044874">
        <w:t>.</w:t>
      </w:r>
    </w:p>
    <w:p w:rsidR="00CD59DC" w:rsidRPr="00044874" w:rsidRDefault="00CD59DC" w:rsidP="00CD59DC">
      <w:pPr>
        <w:tabs>
          <w:tab w:val="left" w:pos="1080"/>
        </w:tabs>
        <w:outlineLvl w:val="1"/>
        <w:rPr>
          <w:b/>
          <w:snapToGrid w:val="0"/>
        </w:rPr>
      </w:pPr>
      <w:r w:rsidRPr="00044874">
        <w:rPr>
          <w:b/>
          <w:snapToGrid w:val="0"/>
        </w:rPr>
        <w:t>6.2. Kontrola wykonania wykopów</w:t>
      </w:r>
    </w:p>
    <w:p w:rsidR="00CD59DC" w:rsidRPr="00044874" w:rsidRDefault="00CD59DC" w:rsidP="00CD59DC">
      <w:r w:rsidRPr="00044874">
        <w:tab/>
        <w:t>Kontrola wykonania wykopów polega na sprawdzeniu zgodności z wymaganiami określonymi w dokumentacji projektowej i ST. W czasie kontroli szczególną uwagę należy zwrócić na:</w:t>
      </w:r>
    </w:p>
    <w:p w:rsidR="00CD59DC" w:rsidRPr="00044874" w:rsidRDefault="00CD59DC" w:rsidP="0097494B">
      <w:pPr>
        <w:numPr>
          <w:ilvl w:val="0"/>
          <w:numId w:val="13"/>
        </w:numPr>
        <w:suppressAutoHyphens/>
        <w:overflowPunct w:val="0"/>
        <w:autoSpaceDE w:val="0"/>
        <w:jc w:val="both"/>
        <w:textAlignment w:val="baseline"/>
      </w:pPr>
      <w:r w:rsidRPr="00044874">
        <w:t>sposób odspajania gruntów nie pogarszający ich właściwości,</w:t>
      </w:r>
    </w:p>
    <w:p w:rsidR="00CD59DC" w:rsidRPr="00044874" w:rsidRDefault="00CD59DC" w:rsidP="0097494B">
      <w:pPr>
        <w:numPr>
          <w:ilvl w:val="0"/>
          <w:numId w:val="13"/>
        </w:numPr>
        <w:suppressAutoHyphens/>
        <w:overflowPunct w:val="0"/>
        <w:autoSpaceDE w:val="0"/>
        <w:jc w:val="both"/>
        <w:textAlignment w:val="baseline"/>
      </w:pPr>
      <w:r w:rsidRPr="00044874">
        <w:t>zapewnienie stateczności skarp,</w:t>
      </w:r>
    </w:p>
    <w:p w:rsidR="00CD59DC" w:rsidRPr="00044874" w:rsidRDefault="00CD59DC" w:rsidP="0097494B">
      <w:pPr>
        <w:numPr>
          <w:ilvl w:val="0"/>
          <w:numId w:val="13"/>
        </w:numPr>
        <w:suppressAutoHyphens/>
        <w:overflowPunct w:val="0"/>
        <w:autoSpaceDE w:val="0"/>
        <w:jc w:val="both"/>
        <w:textAlignment w:val="baseline"/>
      </w:pPr>
      <w:r w:rsidRPr="00044874">
        <w:t>odwodnienie wykopów w czasie wykonywania robót i po ich zakończeniu,</w:t>
      </w:r>
    </w:p>
    <w:p w:rsidR="00CD59DC" w:rsidRPr="00044874" w:rsidRDefault="00CD59DC" w:rsidP="0097494B">
      <w:pPr>
        <w:numPr>
          <w:ilvl w:val="0"/>
          <w:numId w:val="13"/>
        </w:numPr>
        <w:suppressAutoHyphens/>
        <w:overflowPunct w:val="0"/>
        <w:autoSpaceDE w:val="0"/>
        <w:jc w:val="both"/>
        <w:textAlignment w:val="baseline"/>
      </w:pPr>
      <w:r w:rsidRPr="00044874">
        <w:t>dokładność wykonania wykopów (usytuowanie i wykończenie),</w:t>
      </w:r>
    </w:p>
    <w:p w:rsidR="00CD59DC" w:rsidRPr="00044874" w:rsidRDefault="00CD59DC" w:rsidP="0097494B">
      <w:pPr>
        <w:numPr>
          <w:ilvl w:val="0"/>
          <w:numId w:val="13"/>
        </w:numPr>
        <w:suppressAutoHyphens/>
        <w:overflowPunct w:val="0"/>
        <w:autoSpaceDE w:val="0"/>
        <w:jc w:val="both"/>
        <w:textAlignment w:val="baseline"/>
      </w:pPr>
      <w:r w:rsidRPr="00044874">
        <w:t>zagęszczenie górnej strefy korpusu w wykopie według wymagań określonych w pkcie 5.2.</w:t>
      </w:r>
    </w:p>
    <w:p w:rsidR="00CD59DC" w:rsidRPr="00044874" w:rsidRDefault="00CD59DC" w:rsidP="00CD59DC">
      <w:pPr>
        <w:overflowPunct w:val="0"/>
        <w:autoSpaceDE w:val="0"/>
        <w:jc w:val="both"/>
        <w:textAlignment w:val="baseline"/>
      </w:pPr>
      <w:r w:rsidRPr="00044874">
        <w:t>6.3 Dopuszczalne odchyłki od ustaleń projektu wynoszą:</w:t>
      </w:r>
    </w:p>
    <w:p w:rsidR="00CD59DC" w:rsidRPr="00044874" w:rsidRDefault="00CD59DC" w:rsidP="00CD59DC">
      <w:pPr>
        <w:tabs>
          <w:tab w:val="left" w:pos="1060"/>
        </w:tabs>
        <w:ind w:left="1060" w:hanging="340"/>
        <w:jc w:val="both"/>
      </w:pPr>
      <w:r w:rsidRPr="00044874">
        <w:t>0,002 dla spadków terenu,</w:t>
      </w:r>
    </w:p>
    <w:p w:rsidR="00CD59DC" w:rsidRPr="00044874" w:rsidRDefault="00CD59DC" w:rsidP="00CD59DC">
      <w:pPr>
        <w:tabs>
          <w:tab w:val="left" w:pos="1060"/>
        </w:tabs>
        <w:ind w:left="1060" w:hanging="340"/>
        <w:jc w:val="both"/>
      </w:pPr>
      <w:r w:rsidRPr="00044874">
        <w:t>± 4 cm dla rzędnych w siatce kwadratów 40x40 m,</w:t>
      </w:r>
    </w:p>
    <w:p w:rsidR="00CD59DC" w:rsidRPr="00044874" w:rsidRDefault="00CD59DC" w:rsidP="00CD59DC">
      <w:pPr>
        <w:tabs>
          <w:tab w:val="left" w:pos="1060"/>
        </w:tabs>
        <w:ind w:left="1060" w:hanging="340"/>
        <w:jc w:val="both"/>
      </w:pPr>
      <w:r w:rsidRPr="00044874">
        <w:t>+ 2 cm dla rzędnych dna wykopu pod fundamenty,</w:t>
      </w:r>
    </w:p>
    <w:p w:rsidR="00CD59DC" w:rsidRPr="00044874" w:rsidRDefault="00CD59DC" w:rsidP="00CD59DC">
      <w:pPr>
        <w:tabs>
          <w:tab w:val="left" w:pos="1060"/>
        </w:tabs>
        <w:ind w:left="1060" w:hanging="340"/>
        <w:jc w:val="both"/>
      </w:pPr>
      <w:r w:rsidRPr="00044874">
        <w:t>15 cm w wymiarach w planie wykopu o szerokości dna &gt; 1,5 m,</w:t>
      </w:r>
    </w:p>
    <w:p w:rsidR="00CD59DC" w:rsidRPr="00044874" w:rsidRDefault="00CD59DC" w:rsidP="00CD59DC">
      <w:pPr>
        <w:tabs>
          <w:tab w:val="left" w:pos="1060"/>
        </w:tabs>
        <w:ind w:left="1060" w:hanging="340"/>
        <w:jc w:val="both"/>
      </w:pPr>
      <w:r w:rsidRPr="00044874">
        <w:t>5 cm w wymiarach w planie wykopu o szerokości dna &lt; 1,5 m.</w:t>
      </w:r>
    </w:p>
    <w:p w:rsidR="00CD59DC" w:rsidRPr="00044874" w:rsidRDefault="00CD59DC" w:rsidP="00CD59DC">
      <w:pPr>
        <w:widowControl w:val="0"/>
        <w:spacing w:before="120" w:after="120"/>
        <w:rPr>
          <w:b/>
          <w:u w:val="single"/>
        </w:rPr>
      </w:pPr>
      <w:r w:rsidRPr="00044874">
        <w:rPr>
          <w:b/>
          <w:u w:val="single"/>
        </w:rPr>
        <w:t>7. OBMIAR ROBÓT</w:t>
      </w:r>
    </w:p>
    <w:p w:rsidR="00CD59DC" w:rsidRPr="00044874" w:rsidRDefault="00CD59DC" w:rsidP="00CD59DC">
      <w:pPr>
        <w:widowControl w:val="0"/>
        <w:tabs>
          <w:tab w:val="left" w:pos="1080"/>
        </w:tabs>
        <w:outlineLvl w:val="1"/>
        <w:rPr>
          <w:b/>
          <w:snapToGrid w:val="0"/>
        </w:rPr>
      </w:pPr>
      <w:r w:rsidRPr="00044874">
        <w:rPr>
          <w:b/>
          <w:snapToGrid w:val="0"/>
        </w:rPr>
        <w:t>7.1. Ogólne zasady obmiaru robót</w:t>
      </w:r>
    </w:p>
    <w:p w:rsidR="00CD59DC" w:rsidRPr="00044874" w:rsidRDefault="00CD59DC" w:rsidP="00CD59DC">
      <w:pPr>
        <w:widowControl w:val="0"/>
        <w:overflowPunct w:val="0"/>
        <w:autoSpaceDE w:val="0"/>
        <w:autoSpaceDN w:val="0"/>
        <w:adjustRightInd w:val="0"/>
      </w:pPr>
      <w:r w:rsidRPr="00044874">
        <w:tab/>
        <w:t xml:space="preserve">Ogólne zasady obmiaru robót podano w ST </w:t>
      </w:r>
      <w:r>
        <w:t>D.02.00.00</w:t>
      </w:r>
      <w:r w:rsidRPr="00044874">
        <w:t>.</w:t>
      </w:r>
    </w:p>
    <w:p w:rsidR="00CD59DC" w:rsidRPr="00044874" w:rsidRDefault="00CD59DC" w:rsidP="00CD59DC">
      <w:pPr>
        <w:widowControl w:val="0"/>
        <w:tabs>
          <w:tab w:val="left" w:pos="1080"/>
        </w:tabs>
        <w:outlineLvl w:val="1"/>
        <w:rPr>
          <w:b/>
          <w:snapToGrid w:val="0"/>
        </w:rPr>
      </w:pPr>
      <w:r w:rsidRPr="00044874">
        <w:rPr>
          <w:b/>
          <w:snapToGrid w:val="0"/>
        </w:rPr>
        <w:t>7.2. Obmiar robót ziemnych</w:t>
      </w:r>
    </w:p>
    <w:p w:rsidR="00CD59DC" w:rsidRPr="00044874" w:rsidRDefault="00CD59DC" w:rsidP="00CD59DC">
      <w:pPr>
        <w:tabs>
          <w:tab w:val="right" w:leader="dot" w:pos="-1985"/>
          <w:tab w:val="left" w:pos="426"/>
          <w:tab w:val="right" w:leader="dot" w:pos="8505"/>
        </w:tabs>
      </w:pPr>
      <w:r w:rsidRPr="00044874">
        <w:tab/>
        <w:t>Jednostką obmiarową robót związanych z rozbiórką elementów jest m3, w zależności od asortymentu wykopów.</w:t>
      </w:r>
    </w:p>
    <w:p w:rsidR="00CD59DC" w:rsidRPr="00044874" w:rsidRDefault="00CD59DC" w:rsidP="00CD59DC">
      <w:pPr>
        <w:widowControl w:val="0"/>
        <w:spacing w:before="120" w:after="120"/>
        <w:ind w:right="2801"/>
        <w:rPr>
          <w:b/>
          <w:i/>
          <w:u w:val="single"/>
        </w:rPr>
      </w:pPr>
      <w:r w:rsidRPr="00044874">
        <w:rPr>
          <w:b/>
          <w:u w:val="single"/>
        </w:rPr>
        <w:t>8. ODBIÓR ROBÓT</w:t>
      </w:r>
    </w:p>
    <w:p w:rsidR="00CD59DC" w:rsidRPr="00044874" w:rsidRDefault="00CD59DC" w:rsidP="00CD59DC">
      <w:pPr>
        <w:widowControl w:val="0"/>
        <w:overflowPunct w:val="0"/>
        <w:autoSpaceDE w:val="0"/>
        <w:autoSpaceDN w:val="0"/>
        <w:adjustRightInd w:val="0"/>
        <w:ind w:firstLine="709"/>
        <w:jc w:val="both"/>
      </w:pPr>
      <w:r w:rsidRPr="00044874">
        <w:t xml:space="preserve">Ogólne zasady odbioru robót podano w ST </w:t>
      </w:r>
      <w:r>
        <w:t>D. 02.00.00</w:t>
      </w:r>
      <w:r w:rsidRPr="00044874">
        <w:t>.</w:t>
      </w:r>
    </w:p>
    <w:p w:rsidR="00CD59DC" w:rsidRPr="00044874" w:rsidRDefault="00CD59DC" w:rsidP="00CD59DC">
      <w:pPr>
        <w:jc w:val="both"/>
        <w:rPr>
          <w:snapToGrid w:val="0"/>
        </w:rPr>
      </w:pPr>
      <w:r w:rsidRPr="00044874">
        <w:rPr>
          <w:snapToGrid w:val="0"/>
        </w:rPr>
        <w:t>Jeżeli wszystkie badania wg p.6 dały wyniki dodatnie, wykonane roboty ziemne należy uznać za zgodne z wymaganiami. Jeżeli choć jedno badanie dało wynik ujemny, wykonane roboty należy uznać za niezgodne z wymaganiami norm i kontraktu. W takiej sytuacji Wykonawca obowiązany jest doprowadzić roboty do zgodności z normą i przedstawić je do ponownego odbioru.</w:t>
      </w:r>
    </w:p>
    <w:p w:rsidR="00CD59DC" w:rsidRPr="00044874" w:rsidRDefault="00CD59DC" w:rsidP="00CD59DC">
      <w:pPr>
        <w:widowControl w:val="0"/>
        <w:spacing w:before="120" w:after="120"/>
        <w:rPr>
          <w:b/>
          <w:u w:val="single"/>
        </w:rPr>
      </w:pPr>
      <w:r w:rsidRPr="00044874">
        <w:rPr>
          <w:b/>
          <w:u w:val="single"/>
        </w:rPr>
        <w:t>9. PODSTAWA PŁATNOŚCI</w:t>
      </w:r>
    </w:p>
    <w:p w:rsidR="00CD59DC" w:rsidRPr="00044874" w:rsidRDefault="00CD59DC" w:rsidP="00CD59DC">
      <w:pPr>
        <w:widowControl w:val="0"/>
        <w:ind w:firstLine="708"/>
        <w:jc w:val="both"/>
      </w:pPr>
      <w:r w:rsidRPr="00044874">
        <w:t xml:space="preserve">Ogólne wymagania dotyczące płatności podano w ST </w:t>
      </w:r>
      <w:r>
        <w:t>D.02.00.00</w:t>
      </w:r>
      <w:r w:rsidRPr="00044874">
        <w:t>.</w:t>
      </w:r>
    </w:p>
    <w:p w:rsidR="00CD59DC" w:rsidRPr="00044874" w:rsidRDefault="00CD59DC" w:rsidP="00CD59DC">
      <w:pPr>
        <w:widowControl w:val="0"/>
        <w:ind w:firstLine="708"/>
        <w:jc w:val="both"/>
      </w:pPr>
      <w:r w:rsidRPr="00044874">
        <w:t>Cena wykonania robót obejmuje :</w:t>
      </w:r>
    </w:p>
    <w:p w:rsidR="00CD59DC" w:rsidRDefault="00CD59DC" w:rsidP="0097494B">
      <w:pPr>
        <w:numPr>
          <w:ilvl w:val="0"/>
          <w:numId w:val="11"/>
        </w:numPr>
        <w:suppressAutoHyphens/>
        <w:overflowPunct w:val="0"/>
        <w:autoSpaceDE w:val="0"/>
        <w:ind w:left="340" w:hanging="340"/>
        <w:jc w:val="both"/>
        <w:textAlignment w:val="baseline"/>
      </w:pPr>
      <w:r w:rsidRPr="00044874">
        <w:t>prace pomiarowe i roboty przygotowawcze,</w:t>
      </w:r>
    </w:p>
    <w:p w:rsidR="00CD59DC" w:rsidRPr="00044874" w:rsidRDefault="00CD59DC" w:rsidP="0097494B">
      <w:pPr>
        <w:numPr>
          <w:ilvl w:val="0"/>
          <w:numId w:val="11"/>
        </w:numPr>
        <w:suppressAutoHyphens/>
        <w:overflowPunct w:val="0"/>
        <w:autoSpaceDE w:val="0"/>
        <w:ind w:left="340" w:hanging="340"/>
        <w:jc w:val="both"/>
        <w:textAlignment w:val="baseline"/>
      </w:pPr>
      <w:r>
        <w:t>zakup materiałów,</w:t>
      </w:r>
    </w:p>
    <w:p w:rsidR="00CD59DC" w:rsidRPr="00044874" w:rsidRDefault="00CD59DC" w:rsidP="0097494B">
      <w:pPr>
        <w:numPr>
          <w:ilvl w:val="0"/>
          <w:numId w:val="11"/>
        </w:numPr>
        <w:suppressAutoHyphens/>
        <w:overflowPunct w:val="0"/>
        <w:autoSpaceDE w:val="0"/>
        <w:ind w:left="340" w:hanging="340"/>
        <w:jc w:val="both"/>
        <w:textAlignment w:val="baseline"/>
      </w:pPr>
      <w:r w:rsidRPr="00044874">
        <w:t>oznakowanie robót,</w:t>
      </w:r>
    </w:p>
    <w:p w:rsidR="00CD59DC" w:rsidRPr="00044874" w:rsidRDefault="00CD59DC" w:rsidP="0097494B">
      <w:pPr>
        <w:numPr>
          <w:ilvl w:val="0"/>
          <w:numId w:val="11"/>
        </w:numPr>
        <w:suppressAutoHyphens/>
        <w:ind w:left="340" w:hanging="340"/>
        <w:jc w:val="both"/>
        <w:rPr>
          <w:snapToGrid w:val="0"/>
        </w:rPr>
      </w:pPr>
      <w:r w:rsidRPr="00044874">
        <w:rPr>
          <w:snapToGrid w:val="0"/>
        </w:rPr>
        <w:t>wyznaczenie zarysu wykopu,</w:t>
      </w:r>
    </w:p>
    <w:p w:rsidR="00CD59DC" w:rsidRPr="00044874" w:rsidRDefault="00CD59DC" w:rsidP="0097494B">
      <w:pPr>
        <w:numPr>
          <w:ilvl w:val="0"/>
          <w:numId w:val="11"/>
        </w:numPr>
        <w:suppressAutoHyphens/>
        <w:ind w:left="340" w:hanging="340"/>
        <w:jc w:val="both"/>
        <w:rPr>
          <w:snapToGrid w:val="0"/>
        </w:rPr>
      </w:pPr>
      <w:r w:rsidRPr="00044874">
        <w:rPr>
          <w:snapToGrid w:val="0"/>
        </w:rPr>
        <w:t>opracowanie rysunków umocnienia ścian wykopu,</w:t>
      </w:r>
    </w:p>
    <w:p w:rsidR="00CD59DC" w:rsidRPr="00044874" w:rsidRDefault="00CD59DC" w:rsidP="0097494B">
      <w:pPr>
        <w:numPr>
          <w:ilvl w:val="0"/>
          <w:numId w:val="11"/>
        </w:numPr>
        <w:suppressAutoHyphens/>
        <w:ind w:left="340" w:hanging="340"/>
        <w:jc w:val="both"/>
        <w:rPr>
          <w:snapToGrid w:val="0"/>
        </w:rPr>
      </w:pPr>
      <w:r w:rsidRPr="00044874">
        <w:rPr>
          <w:snapToGrid w:val="0"/>
        </w:rPr>
        <w:t>wykonanie umocnienia ścian dostosowanego do warunków gruntowych, za pomocą drewnianych lub stalowych ścianek szczelnych</w:t>
      </w:r>
    </w:p>
    <w:p w:rsidR="00CD59DC" w:rsidRPr="00044874" w:rsidRDefault="00CD59DC" w:rsidP="0097494B">
      <w:pPr>
        <w:numPr>
          <w:ilvl w:val="0"/>
          <w:numId w:val="11"/>
        </w:numPr>
        <w:suppressAutoHyphens/>
        <w:overflowPunct w:val="0"/>
        <w:autoSpaceDE w:val="0"/>
        <w:ind w:left="340" w:hanging="340"/>
        <w:jc w:val="both"/>
        <w:textAlignment w:val="baseline"/>
      </w:pPr>
      <w:r w:rsidRPr="00044874">
        <w:t>wykonanie wykopu z transportem urobku na nasyp lub odkład, obejmujące: odspojenie, przemieszczenie, załadunek, przewiezienie i wyładunek,</w:t>
      </w:r>
    </w:p>
    <w:p w:rsidR="00CD59DC" w:rsidRPr="00044874" w:rsidRDefault="00CD59DC" w:rsidP="0097494B">
      <w:pPr>
        <w:numPr>
          <w:ilvl w:val="0"/>
          <w:numId w:val="11"/>
        </w:numPr>
        <w:suppressAutoHyphens/>
        <w:ind w:left="340" w:hanging="340"/>
        <w:jc w:val="both"/>
        <w:rPr>
          <w:snapToGrid w:val="0"/>
        </w:rPr>
      </w:pPr>
      <w:r w:rsidRPr="00044874">
        <w:rPr>
          <w:snapToGrid w:val="0"/>
        </w:rPr>
        <w:t>odwodnienie wykopu z wypompowaniem wody z wykopu,</w:t>
      </w:r>
    </w:p>
    <w:p w:rsidR="00CD59DC" w:rsidRPr="00044874" w:rsidRDefault="00CD59DC" w:rsidP="0097494B">
      <w:pPr>
        <w:numPr>
          <w:ilvl w:val="0"/>
          <w:numId w:val="11"/>
        </w:numPr>
        <w:suppressAutoHyphens/>
        <w:overflowPunct w:val="0"/>
        <w:autoSpaceDE w:val="0"/>
        <w:ind w:left="340" w:hanging="340"/>
        <w:jc w:val="both"/>
        <w:textAlignment w:val="baseline"/>
      </w:pPr>
      <w:r w:rsidRPr="00044874">
        <w:t xml:space="preserve">profilowanie dna wykopu, rowów, skarp, </w:t>
      </w:r>
    </w:p>
    <w:p w:rsidR="00CD59DC" w:rsidRPr="00044874" w:rsidRDefault="00CD59DC" w:rsidP="0097494B">
      <w:pPr>
        <w:numPr>
          <w:ilvl w:val="0"/>
          <w:numId w:val="11"/>
        </w:numPr>
        <w:suppressAutoHyphens/>
        <w:overflowPunct w:val="0"/>
        <w:autoSpaceDE w:val="0"/>
        <w:ind w:left="340" w:hanging="340"/>
        <w:jc w:val="both"/>
        <w:textAlignment w:val="baseline"/>
      </w:pPr>
      <w:r w:rsidRPr="00044874">
        <w:t xml:space="preserve">zagęszczenie powierzchni wykopu, </w:t>
      </w:r>
    </w:p>
    <w:p w:rsidR="00CD59DC" w:rsidRPr="00044874" w:rsidRDefault="00CD59DC" w:rsidP="0097494B">
      <w:pPr>
        <w:numPr>
          <w:ilvl w:val="0"/>
          <w:numId w:val="11"/>
        </w:numPr>
        <w:suppressAutoHyphens/>
        <w:overflowPunct w:val="0"/>
        <w:autoSpaceDE w:val="0"/>
        <w:ind w:left="340" w:hanging="340"/>
        <w:jc w:val="both"/>
        <w:textAlignment w:val="baseline"/>
      </w:pPr>
      <w:r w:rsidRPr="00044874">
        <w:t>wykonanie, a następnie rozebranie dróg dojazdowych,</w:t>
      </w:r>
    </w:p>
    <w:p w:rsidR="00CD59DC" w:rsidRPr="00044874" w:rsidRDefault="00CD59DC" w:rsidP="0097494B">
      <w:pPr>
        <w:numPr>
          <w:ilvl w:val="0"/>
          <w:numId w:val="11"/>
        </w:numPr>
        <w:suppressAutoHyphens/>
        <w:ind w:left="340" w:hanging="340"/>
        <w:jc w:val="both"/>
        <w:rPr>
          <w:snapToGrid w:val="0"/>
        </w:rPr>
      </w:pPr>
      <w:r w:rsidRPr="00044874">
        <w:rPr>
          <w:snapToGrid w:val="0"/>
        </w:rPr>
        <w:t>wydobycie z dna wykopu przypadkowo zsuniętego gruntu,</w:t>
      </w:r>
    </w:p>
    <w:p w:rsidR="00CD59DC" w:rsidRPr="004C5CAB" w:rsidRDefault="00CD59DC" w:rsidP="0097494B">
      <w:pPr>
        <w:numPr>
          <w:ilvl w:val="0"/>
          <w:numId w:val="11"/>
        </w:numPr>
        <w:suppressAutoHyphens/>
        <w:ind w:left="340" w:hanging="340"/>
        <w:jc w:val="both"/>
        <w:rPr>
          <w:snapToGrid w:val="0"/>
        </w:rPr>
      </w:pPr>
      <w:r w:rsidRPr="00044874">
        <w:rPr>
          <w:snapToGrid w:val="0"/>
        </w:rPr>
        <w:t>wypoziomowanie dna wykopu,</w:t>
      </w:r>
      <w:r w:rsidRPr="004C5CAB">
        <w:rPr>
          <w:snapToGrid w:val="0"/>
        </w:rPr>
        <w:t>uszczelnienie wykopu,</w:t>
      </w:r>
    </w:p>
    <w:p w:rsidR="00CD59DC" w:rsidRPr="00044874" w:rsidRDefault="00CD59DC" w:rsidP="0097494B">
      <w:pPr>
        <w:numPr>
          <w:ilvl w:val="0"/>
          <w:numId w:val="11"/>
        </w:numPr>
        <w:suppressAutoHyphens/>
        <w:ind w:left="340" w:hanging="340"/>
        <w:jc w:val="both"/>
        <w:rPr>
          <w:snapToGrid w:val="0"/>
        </w:rPr>
      </w:pPr>
      <w:r w:rsidRPr="00044874">
        <w:rPr>
          <w:snapToGrid w:val="0"/>
        </w:rPr>
        <w:t>dostarczenie niezbędnego materiału i narzędzi,</w:t>
      </w:r>
    </w:p>
    <w:p w:rsidR="00CD59DC" w:rsidRPr="00044874" w:rsidRDefault="00CD59DC" w:rsidP="0097494B">
      <w:pPr>
        <w:numPr>
          <w:ilvl w:val="0"/>
          <w:numId w:val="11"/>
        </w:numPr>
        <w:suppressAutoHyphens/>
        <w:ind w:left="340" w:hanging="340"/>
        <w:jc w:val="both"/>
        <w:rPr>
          <w:snapToGrid w:val="0"/>
        </w:rPr>
      </w:pPr>
      <w:r w:rsidRPr="00044874">
        <w:rPr>
          <w:snapToGrid w:val="0"/>
        </w:rPr>
        <w:t>rozbiórkę umocnienia ścian wykopu,</w:t>
      </w:r>
    </w:p>
    <w:p w:rsidR="00CD59DC" w:rsidRPr="00044874" w:rsidRDefault="00CD59DC" w:rsidP="0097494B">
      <w:pPr>
        <w:numPr>
          <w:ilvl w:val="0"/>
          <w:numId w:val="11"/>
        </w:numPr>
        <w:suppressAutoHyphens/>
        <w:ind w:left="340" w:hanging="340"/>
        <w:jc w:val="both"/>
        <w:rPr>
          <w:snapToGrid w:val="0"/>
        </w:rPr>
      </w:pPr>
      <w:r w:rsidRPr="00044874">
        <w:rPr>
          <w:snapToGrid w:val="0"/>
        </w:rPr>
        <w:t>odwiezienie gruntu na odkład,</w:t>
      </w:r>
    </w:p>
    <w:p w:rsidR="00CD59DC" w:rsidRPr="00044874" w:rsidRDefault="00CD59DC" w:rsidP="0097494B">
      <w:pPr>
        <w:numPr>
          <w:ilvl w:val="0"/>
          <w:numId w:val="11"/>
        </w:numPr>
        <w:suppressAutoHyphens/>
        <w:overflowPunct w:val="0"/>
        <w:autoSpaceDE w:val="0"/>
        <w:ind w:left="340" w:hanging="340"/>
        <w:jc w:val="both"/>
        <w:textAlignment w:val="baseline"/>
      </w:pPr>
      <w:r w:rsidRPr="00044874">
        <w:t xml:space="preserve">rozplantowanie urobku na odkładzie, </w:t>
      </w:r>
    </w:p>
    <w:p w:rsidR="00CD59DC" w:rsidRPr="00044874" w:rsidRDefault="00CD59DC" w:rsidP="0097494B">
      <w:pPr>
        <w:numPr>
          <w:ilvl w:val="0"/>
          <w:numId w:val="11"/>
        </w:numPr>
        <w:suppressAutoHyphens/>
        <w:ind w:left="340" w:hanging="340"/>
        <w:jc w:val="both"/>
        <w:rPr>
          <w:snapToGrid w:val="0"/>
        </w:rPr>
      </w:pPr>
      <w:r w:rsidRPr="00044874">
        <w:rPr>
          <w:snapToGrid w:val="0"/>
        </w:rPr>
        <w:t>rekultywację terenu,</w:t>
      </w:r>
    </w:p>
    <w:p w:rsidR="00CD59DC" w:rsidRPr="00044874" w:rsidRDefault="00CD59DC" w:rsidP="0097494B">
      <w:pPr>
        <w:numPr>
          <w:ilvl w:val="0"/>
          <w:numId w:val="11"/>
        </w:numPr>
        <w:suppressAutoHyphens/>
        <w:ind w:left="340" w:hanging="340"/>
        <w:jc w:val="both"/>
        <w:rPr>
          <w:snapToGrid w:val="0"/>
        </w:rPr>
      </w:pPr>
      <w:r w:rsidRPr="00044874">
        <w:rPr>
          <w:snapToGrid w:val="0"/>
        </w:rPr>
        <w:t>odwiezienie nadmiaru gruntu na składowisko Wykonawcy,</w:t>
      </w:r>
    </w:p>
    <w:p w:rsidR="00CD59DC" w:rsidRPr="00044874" w:rsidRDefault="00CD59DC" w:rsidP="0097494B">
      <w:pPr>
        <w:numPr>
          <w:ilvl w:val="0"/>
          <w:numId w:val="11"/>
        </w:numPr>
        <w:suppressAutoHyphens/>
        <w:ind w:left="340" w:hanging="340"/>
        <w:jc w:val="both"/>
        <w:rPr>
          <w:snapToGrid w:val="0"/>
        </w:rPr>
      </w:pPr>
      <w:r w:rsidRPr="00044874">
        <w:rPr>
          <w:snapToGrid w:val="0"/>
        </w:rPr>
        <w:t>poniesienie kosztów opłaty za wysypisko,</w:t>
      </w:r>
    </w:p>
    <w:p w:rsidR="00CD59DC" w:rsidRPr="00044874" w:rsidRDefault="00CD59DC" w:rsidP="0097494B">
      <w:pPr>
        <w:numPr>
          <w:ilvl w:val="0"/>
          <w:numId w:val="11"/>
        </w:numPr>
        <w:suppressAutoHyphens/>
        <w:ind w:left="340" w:hanging="340"/>
        <w:jc w:val="both"/>
        <w:rPr>
          <w:snapToGrid w:val="0"/>
        </w:rPr>
      </w:pPr>
      <w:r w:rsidRPr="00044874">
        <w:rPr>
          <w:snapToGrid w:val="0"/>
        </w:rPr>
        <w:t>wykonanie prac wykończeniowych i porządkowych,</w:t>
      </w:r>
    </w:p>
    <w:p w:rsidR="00CD59DC" w:rsidRPr="00044874" w:rsidRDefault="00CD59DC" w:rsidP="0097494B">
      <w:pPr>
        <w:numPr>
          <w:ilvl w:val="0"/>
          <w:numId w:val="11"/>
        </w:numPr>
        <w:suppressAutoHyphens/>
        <w:overflowPunct w:val="0"/>
        <w:autoSpaceDE w:val="0"/>
        <w:ind w:left="340" w:hanging="340"/>
        <w:jc w:val="both"/>
        <w:textAlignment w:val="baseline"/>
      </w:pPr>
      <w:r w:rsidRPr="00044874">
        <w:t>przeprowadzenie pomiarów i badań laboratoryjnych, wymaganych w niniejszej specyfikacji technicznej,</w:t>
      </w:r>
    </w:p>
    <w:p w:rsidR="00CD59DC" w:rsidRPr="00044874" w:rsidRDefault="00CD59DC" w:rsidP="00CD59DC">
      <w:pPr>
        <w:widowControl w:val="0"/>
        <w:spacing w:before="120" w:after="120"/>
        <w:jc w:val="both"/>
        <w:rPr>
          <w:b/>
          <w:u w:val="single"/>
        </w:rPr>
      </w:pPr>
      <w:r w:rsidRPr="00044874">
        <w:rPr>
          <w:b/>
          <w:u w:val="single"/>
        </w:rPr>
        <w:t>10. PRZEPISY ZWIĄZANE</w:t>
      </w:r>
    </w:p>
    <w:p w:rsidR="00CD59DC" w:rsidRPr="00044874" w:rsidRDefault="00CD59DC" w:rsidP="00CD59DC">
      <w:pPr>
        <w:widowControl w:val="0"/>
        <w:overflowPunct w:val="0"/>
        <w:autoSpaceDE w:val="0"/>
        <w:autoSpaceDN w:val="0"/>
        <w:adjustRightInd w:val="0"/>
        <w:jc w:val="both"/>
      </w:pPr>
      <w:r w:rsidRPr="00044874">
        <w:t xml:space="preserve">Spis przepisów związanych podano w ST </w:t>
      </w:r>
      <w:r w:rsidR="00423A6C">
        <w:t>M.11</w:t>
      </w:r>
      <w:r>
        <w:t>.00.00</w:t>
      </w:r>
      <w:r w:rsidRPr="00044874">
        <w:t>.</w:t>
      </w:r>
    </w:p>
    <w:p w:rsidR="00CD59DC" w:rsidRDefault="00CD59DC" w:rsidP="00CD59DC"/>
    <w:p w:rsidR="00CD59DC" w:rsidRDefault="00CD59DC" w:rsidP="00CD59DC"/>
    <w:p w:rsidR="00CD59DC" w:rsidRDefault="00CD59DC" w:rsidP="00CD59DC"/>
    <w:p w:rsidR="00CD59DC" w:rsidRDefault="00CD59DC" w:rsidP="00CD59DC"/>
    <w:p w:rsidR="00CD59DC" w:rsidRDefault="00CD59DC" w:rsidP="00CD59DC"/>
    <w:p w:rsidR="00423A6C" w:rsidRDefault="00423A6C" w:rsidP="00CD59DC"/>
    <w:p w:rsidR="00423A6C" w:rsidRDefault="00423A6C" w:rsidP="00CD59DC"/>
    <w:p w:rsidR="00423A6C" w:rsidRDefault="00423A6C" w:rsidP="00CD59DC"/>
    <w:p w:rsidR="00423A6C" w:rsidRDefault="00423A6C" w:rsidP="00CD59DC"/>
    <w:p w:rsidR="00423A6C" w:rsidRDefault="00423A6C" w:rsidP="00CD59DC"/>
    <w:p w:rsidR="00423A6C" w:rsidRDefault="00423A6C" w:rsidP="00CD59DC"/>
    <w:p w:rsidR="00423A6C" w:rsidRDefault="00423A6C" w:rsidP="00CD59DC"/>
    <w:p w:rsidR="00423A6C" w:rsidRDefault="00423A6C" w:rsidP="00CD59DC"/>
    <w:p w:rsidR="00423A6C" w:rsidRDefault="00423A6C" w:rsidP="00CD59DC"/>
    <w:p w:rsidR="00423A6C" w:rsidRDefault="00423A6C" w:rsidP="00CD59DC"/>
    <w:p w:rsidR="00423A6C" w:rsidRDefault="00423A6C" w:rsidP="00CD59DC"/>
    <w:p w:rsidR="00423A6C" w:rsidRDefault="00423A6C" w:rsidP="00CD59DC"/>
    <w:p w:rsidR="00423A6C" w:rsidRDefault="00423A6C" w:rsidP="00CD59DC"/>
    <w:p w:rsidR="00423A6C" w:rsidRDefault="00423A6C" w:rsidP="00CD59DC"/>
    <w:p w:rsidR="00423A6C" w:rsidRDefault="00423A6C" w:rsidP="00CD59DC"/>
    <w:p w:rsidR="00423A6C" w:rsidRDefault="00423A6C" w:rsidP="00CD59DC"/>
    <w:p w:rsidR="00423A6C" w:rsidRDefault="00423A6C" w:rsidP="00CD59DC"/>
    <w:p w:rsidR="00423A6C" w:rsidRDefault="00423A6C" w:rsidP="00CD59DC"/>
    <w:p w:rsidR="00423A6C" w:rsidRDefault="00423A6C" w:rsidP="00CD59DC"/>
    <w:p w:rsidR="00423A6C" w:rsidRDefault="00423A6C" w:rsidP="00CD59DC"/>
    <w:p w:rsidR="00423A6C" w:rsidRDefault="00423A6C" w:rsidP="00CD59DC"/>
    <w:p w:rsidR="00423A6C" w:rsidRDefault="00423A6C" w:rsidP="00CD59DC"/>
    <w:p w:rsidR="00423A6C" w:rsidRDefault="00423A6C" w:rsidP="00CD59DC"/>
    <w:p w:rsidR="00423A6C" w:rsidRDefault="00423A6C" w:rsidP="00CD59DC"/>
    <w:p w:rsidR="00423A6C" w:rsidRDefault="00423A6C" w:rsidP="00CD59DC"/>
    <w:p w:rsidR="00423A6C" w:rsidRDefault="00423A6C" w:rsidP="00CD59DC"/>
    <w:p w:rsidR="00423A6C" w:rsidRDefault="00423A6C" w:rsidP="00CD59DC"/>
    <w:p w:rsidR="00423A6C" w:rsidRDefault="00423A6C" w:rsidP="00CD59DC"/>
    <w:p w:rsidR="00423A6C" w:rsidRDefault="00423A6C" w:rsidP="00CD59DC"/>
    <w:p w:rsidR="00423A6C" w:rsidRDefault="00423A6C" w:rsidP="00CD59DC"/>
    <w:p w:rsidR="00423A6C" w:rsidRDefault="00423A6C" w:rsidP="00CD59DC"/>
    <w:p w:rsidR="00423A6C" w:rsidRDefault="00423A6C" w:rsidP="00CD59DC"/>
    <w:p w:rsidR="00423A6C" w:rsidRDefault="00423A6C" w:rsidP="00CD59DC"/>
    <w:p w:rsidR="00423A6C" w:rsidRDefault="00423A6C" w:rsidP="00CD59DC"/>
    <w:p w:rsidR="00423A6C" w:rsidRDefault="00423A6C" w:rsidP="00CD59DC"/>
    <w:p w:rsidR="00423A6C" w:rsidRDefault="00423A6C" w:rsidP="00CD59DC"/>
    <w:p w:rsidR="00423A6C" w:rsidRDefault="00423A6C" w:rsidP="00CD59DC"/>
    <w:p w:rsidR="00423A6C" w:rsidRDefault="00423A6C" w:rsidP="00CD59DC"/>
    <w:p w:rsidR="00423A6C" w:rsidRDefault="00423A6C" w:rsidP="00CD59DC"/>
    <w:p w:rsidR="00423A6C" w:rsidRDefault="00423A6C" w:rsidP="00CD59DC"/>
    <w:p w:rsidR="00423A6C" w:rsidRDefault="00423A6C" w:rsidP="00CD59DC"/>
    <w:p w:rsidR="00423A6C" w:rsidRPr="00CD59DC" w:rsidRDefault="00423A6C" w:rsidP="00CD59DC"/>
    <w:p w:rsidR="003E3D07" w:rsidRDefault="003E3D07" w:rsidP="009000BD">
      <w:pPr>
        <w:pStyle w:val="Nagwek1"/>
        <w:jc w:val="both"/>
      </w:pPr>
    </w:p>
    <w:p w:rsidR="0091388D" w:rsidRPr="009B6525" w:rsidRDefault="00585D0E" w:rsidP="0091388D">
      <w:pPr>
        <w:snapToGrid w:val="0"/>
        <w:outlineLvl w:val="0"/>
        <w:rPr>
          <w:rFonts w:ascii="PL Times New Roman" w:hAnsi="PL Times New Roman"/>
          <w:b/>
          <w:sz w:val="28"/>
          <w:szCs w:val="28"/>
        </w:rPr>
      </w:pPr>
      <w:bookmarkStart w:id="5" w:name="_Toc504342136"/>
      <w:bookmarkStart w:id="6" w:name="_Toc80100076"/>
      <w:r>
        <w:rPr>
          <w:rFonts w:ascii="PL Times New Roman" w:hAnsi="PL Times New Roman"/>
          <w:b/>
          <w:sz w:val="26"/>
        </w:rPr>
        <w:t>M</w:t>
      </w:r>
      <w:r w:rsidR="0091388D" w:rsidRPr="009B6525">
        <w:rPr>
          <w:rFonts w:ascii="PL Times New Roman" w:hAnsi="PL Times New Roman"/>
          <w:b/>
          <w:sz w:val="26"/>
        </w:rPr>
        <w:t>.</w:t>
      </w:r>
      <w:r>
        <w:rPr>
          <w:rFonts w:ascii="PL Times New Roman" w:hAnsi="PL Times New Roman"/>
          <w:b/>
          <w:sz w:val="26"/>
        </w:rPr>
        <w:t>1</w:t>
      </w:r>
      <w:r w:rsidR="0091388D">
        <w:rPr>
          <w:rFonts w:ascii="PL Times New Roman" w:hAnsi="PL Times New Roman"/>
          <w:b/>
          <w:sz w:val="26"/>
        </w:rPr>
        <w:t>1</w:t>
      </w:r>
      <w:r w:rsidR="0091388D" w:rsidRPr="009B6525">
        <w:rPr>
          <w:rFonts w:ascii="PL Times New Roman" w:hAnsi="PL Times New Roman"/>
          <w:b/>
          <w:sz w:val="26"/>
        </w:rPr>
        <w:t>.0</w:t>
      </w:r>
      <w:r>
        <w:rPr>
          <w:rFonts w:ascii="PL Times New Roman" w:hAnsi="PL Times New Roman"/>
          <w:b/>
          <w:sz w:val="26"/>
        </w:rPr>
        <w:t>1.02</w:t>
      </w:r>
      <w:r w:rsidR="0091388D" w:rsidRPr="009B6525">
        <w:rPr>
          <w:rFonts w:ascii="PL Times New Roman" w:hAnsi="PL Times New Roman"/>
          <w:b/>
          <w:sz w:val="26"/>
        </w:rPr>
        <w:t>.</w:t>
      </w:r>
      <w:r w:rsidR="0091388D" w:rsidRPr="009B6525">
        <w:rPr>
          <w:rFonts w:ascii="PL Times New Roman" w:hAnsi="PL Times New Roman"/>
          <w:b/>
          <w:sz w:val="26"/>
        </w:rPr>
        <w:tab/>
        <w:t>ZDJĘCIE HUMUSU</w:t>
      </w:r>
      <w:bookmarkEnd w:id="5"/>
      <w:bookmarkEnd w:id="6"/>
    </w:p>
    <w:p w:rsidR="0091388D" w:rsidRPr="009B6525" w:rsidRDefault="0091388D" w:rsidP="0091388D">
      <w:pPr>
        <w:widowControl w:val="0"/>
        <w:snapToGrid w:val="0"/>
        <w:spacing w:before="120" w:after="120"/>
        <w:jc w:val="both"/>
        <w:rPr>
          <w:b/>
          <w:noProof/>
          <w:u w:val="single"/>
        </w:rPr>
      </w:pPr>
      <w:r w:rsidRPr="009B6525">
        <w:rPr>
          <w:b/>
          <w:noProof/>
          <w:u w:val="single"/>
        </w:rPr>
        <w:t xml:space="preserve">l. WSTĘP </w:t>
      </w:r>
    </w:p>
    <w:p w:rsidR="0091388D" w:rsidRPr="009B6525" w:rsidRDefault="0091388D" w:rsidP="0091388D">
      <w:pPr>
        <w:snapToGrid w:val="0"/>
        <w:jc w:val="both"/>
        <w:rPr>
          <w:b/>
        </w:rPr>
      </w:pPr>
      <w:r w:rsidRPr="009B6525">
        <w:rPr>
          <w:b/>
        </w:rPr>
        <w:t>1.1. Przedmiot specyfikacji technicznej</w:t>
      </w:r>
    </w:p>
    <w:p w:rsidR="0091388D" w:rsidRPr="009B6525" w:rsidRDefault="0091388D" w:rsidP="0091388D">
      <w:pPr>
        <w:widowControl w:val="0"/>
        <w:jc w:val="both"/>
        <w:rPr>
          <w:b/>
        </w:rPr>
      </w:pPr>
      <w:r w:rsidRPr="009B6525">
        <w:t xml:space="preserve">niniejszej Specyfikacji Technicznej są wymagania dotyczące usunięcia humusu, </w:t>
      </w:r>
      <w:r w:rsidRPr="009B6525">
        <w:rPr>
          <w:bCs/>
          <w:szCs w:val="19"/>
        </w:rPr>
        <w:t xml:space="preserve">które zostaną wykonane </w:t>
      </w:r>
      <w:r w:rsidRPr="009B6525">
        <w:t xml:space="preserve">w ramach </w:t>
      </w:r>
      <w:r w:rsidRPr="009B6525">
        <w:rPr>
          <w:bCs/>
          <w:snapToGrid w:val="0"/>
        </w:rPr>
        <w:t>projektu :</w:t>
      </w:r>
      <w:r w:rsidR="00585D0E">
        <w:rPr>
          <w:bCs/>
        </w:rPr>
        <w:t>"Remont przepustu nad rzeką Postomia w ciągu drogi nr 445/k.2922 m. Wędrzyn."</w:t>
      </w:r>
    </w:p>
    <w:p w:rsidR="0091388D" w:rsidRPr="009B6525" w:rsidRDefault="0091388D" w:rsidP="0091388D">
      <w:pPr>
        <w:widowControl w:val="0"/>
        <w:jc w:val="both"/>
        <w:rPr>
          <w:b/>
        </w:rPr>
      </w:pPr>
      <w:r w:rsidRPr="009B6525">
        <w:rPr>
          <w:b/>
        </w:rPr>
        <w:t>1.2. Zakres stosowania ST</w:t>
      </w:r>
    </w:p>
    <w:p w:rsidR="0091388D" w:rsidRPr="009B6525" w:rsidRDefault="0091388D" w:rsidP="0091388D">
      <w:pPr>
        <w:widowControl w:val="0"/>
        <w:ind w:firstLine="709"/>
        <w:jc w:val="both"/>
      </w:pPr>
      <w:r w:rsidRPr="009B6525">
        <w:t>Specyfikacja Techniczna stosowana jest jako dokument przetargowy i kontraktowy przy zlecaniu i realizacji robót wymienionych w punkcie 1.1.</w:t>
      </w:r>
    </w:p>
    <w:p w:rsidR="0091388D" w:rsidRPr="009B6525" w:rsidRDefault="0091388D" w:rsidP="0091388D">
      <w:pPr>
        <w:widowControl w:val="0"/>
        <w:rPr>
          <w:b/>
        </w:rPr>
      </w:pPr>
      <w:r w:rsidRPr="009B6525">
        <w:rPr>
          <w:b/>
        </w:rPr>
        <w:t>1.3 Zakres robót objętych ST</w:t>
      </w:r>
    </w:p>
    <w:p w:rsidR="0091388D" w:rsidRPr="009B6525" w:rsidRDefault="0091388D" w:rsidP="0091388D">
      <w:pPr>
        <w:widowControl w:val="0"/>
        <w:ind w:right="32" w:firstLine="709"/>
        <w:jc w:val="both"/>
      </w:pPr>
      <w:r w:rsidRPr="009B6525">
        <w:t>Ustalenia zawarte w niniejszej Specyfikacji dotyczą prowadzenia robót przy usunięciu humusu i obejmują :</w:t>
      </w:r>
    </w:p>
    <w:p w:rsidR="0091388D" w:rsidRDefault="0091388D" w:rsidP="0097494B">
      <w:pPr>
        <w:widowControl w:val="0"/>
        <w:numPr>
          <w:ilvl w:val="0"/>
          <w:numId w:val="41"/>
        </w:numPr>
        <w:suppressAutoHyphens/>
      </w:pPr>
      <w:r w:rsidRPr="009B6525">
        <w:t xml:space="preserve">Zdjęcie warstwy humusu gr. </w:t>
      </w:r>
      <w:r>
        <w:t>30</w:t>
      </w:r>
      <w:r w:rsidR="00585D0E">
        <w:t>-50</w:t>
      </w:r>
      <w:r w:rsidRPr="009B6525">
        <w:t xml:space="preserve"> cm wymieszanego z tłuczniem, żwirem, piaskiem wraz z wywiezieniem na składowisko Wykonawcy</w:t>
      </w:r>
      <w:r>
        <w:t xml:space="preserve"> </w:t>
      </w:r>
    </w:p>
    <w:p w:rsidR="0091388D" w:rsidRPr="009B6525" w:rsidRDefault="0091388D" w:rsidP="00585D0E">
      <w:pPr>
        <w:widowControl w:val="0"/>
        <w:suppressAutoHyphens/>
        <w:ind w:left="309"/>
      </w:pPr>
    </w:p>
    <w:p w:rsidR="0091388D" w:rsidRPr="009B6525" w:rsidRDefault="0091388D" w:rsidP="0091388D">
      <w:pPr>
        <w:widowControl w:val="0"/>
        <w:rPr>
          <w:b/>
        </w:rPr>
      </w:pPr>
      <w:r w:rsidRPr="009B6525">
        <w:rPr>
          <w:b/>
        </w:rPr>
        <w:t>1.4 Określenia podstawowe</w:t>
      </w:r>
    </w:p>
    <w:p w:rsidR="0091388D" w:rsidRPr="009B6525" w:rsidRDefault="0091388D" w:rsidP="0091388D">
      <w:pPr>
        <w:widowControl w:val="0"/>
        <w:ind w:right="-7" w:firstLine="709"/>
        <w:jc w:val="both"/>
      </w:pPr>
      <w:r w:rsidRPr="009B6525">
        <w:t>Określenia podane w niniejszej ST są zgodne z obowiązującymi odpowiednimi normami, ST D-M 00.00.00 .</w:t>
      </w:r>
    </w:p>
    <w:p w:rsidR="0091388D" w:rsidRPr="009B6525" w:rsidRDefault="0091388D" w:rsidP="0091388D">
      <w:pPr>
        <w:widowControl w:val="0"/>
        <w:rPr>
          <w:b/>
        </w:rPr>
      </w:pPr>
      <w:r w:rsidRPr="009B6525">
        <w:rPr>
          <w:b/>
        </w:rPr>
        <w:t>1.5 Ogólne wymagania dotyczące robót</w:t>
      </w:r>
    </w:p>
    <w:p w:rsidR="0091388D" w:rsidRPr="009B6525" w:rsidRDefault="0091388D" w:rsidP="0091388D">
      <w:pPr>
        <w:widowControl w:val="0"/>
        <w:ind w:right="-7" w:firstLine="708"/>
        <w:jc w:val="both"/>
      </w:pPr>
      <w:r w:rsidRPr="009B6525">
        <w:t>Wykonawca robót jest odpowiedzialny za jakość ich wykonania oraz za zgodność z dokumentacją projek</w:t>
      </w:r>
      <w:r w:rsidR="003614CE">
        <w:t xml:space="preserve">tową, ST i poleceniami </w:t>
      </w:r>
      <w:r w:rsidR="002C4284">
        <w:t xml:space="preserve">przedstawiciela </w:t>
      </w:r>
      <w:r w:rsidR="003614CE">
        <w:t>Zamawiającego</w:t>
      </w:r>
      <w:r w:rsidRPr="009B6525">
        <w:t>.</w:t>
      </w:r>
    </w:p>
    <w:p w:rsidR="0091388D" w:rsidRPr="009B6525" w:rsidRDefault="0091388D" w:rsidP="0091388D">
      <w:pPr>
        <w:widowControl w:val="0"/>
        <w:snapToGrid w:val="0"/>
        <w:spacing w:before="120" w:after="120"/>
        <w:jc w:val="both"/>
        <w:rPr>
          <w:b/>
          <w:noProof/>
          <w:u w:val="single"/>
        </w:rPr>
      </w:pPr>
      <w:r w:rsidRPr="009B6525">
        <w:rPr>
          <w:b/>
          <w:noProof/>
          <w:u w:val="single"/>
        </w:rPr>
        <w:t>2. MATERIAŁY</w:t>
      </w:r>
    </w:p>
    <w:p w:rsidR="0091388D" w:rsidRPr="009B6525" w:rsidRDefault="0091388D" w:rsidP="0091388D">
      <w:pPr>
        <w:widowControl w:val="0"/>
        <w:ind w:right="6781" w:firstLine="709"/>
      </w:pPr>
      <w:r w:rsidRPr="009B6525">
        <w:t>Nie występują.</w:t>
      </w:r>
    </w:p>
    <w:p w:rsidR="0091388D" w:rsidRPr="009B6525" w:rsidRDefault="0091388D" w:rsidP="0091388D">
      <w:pPr>
        <w:widowControl w:val="0"/>
        <w:snapToGrid w:val="0"/>
        <w:spacing w:before="120" w:after="120"/>
        <w:jc w:val="both"/>
        <w:rPr>
          <w:b/>
          <w:noProof/>
          <w:u w:val="single"/>
        </w:rPr>
      </w:pPr>
      <w:r w:rsidRPr="009B6525">
        <w:rPr>
          <w:b/>
          <w:noProof/>
          <w:u w:val="single"/>
        </w:rPr>
        <w:t>3. SPRZĘT</w:t>
      </w:r>
    </w:p>
    <w:p w:rsidR="0091388D" w:rsidRPr="009B6525" w:rsidRDefault="0091388D" w:rsidP="0091388D">
      <w:pPr>
        <w:widowControl w:val="0"/>
        <w:ind w:firstLine="708"/>
        <w:jc w:val="both"/>
      </w:pPr>
      <w:r w:rsidRPr="009B6525">
        <w:t>Roboty związane z usunięciem humusu będą wykonywane ręcznie i mechanicznie. Do wykonywania tych robót należy stosować :</w:t>
      </w:r>
    </w:p>
    <w:p w:rsidR="0091388D" w:rsidRPr="009B6525" w:rsidRDefault="0091388D" w:rsidP="0097494B">
      <w:pPr>
        <w:widowControl w:val="0"/>
        <w:numPr>
          <w:ilvl w:val="0"/>
          <w:numId w:val="42"/>
        </w:numPr>
        <w:suppressAutoHyphens/>
      </w:pPr>
      <w:r w:rsidRPr="009B6525">
        <w:t>równiarki, spycharki,</w:t>
      </w:r>
    </w:p>
    <w:p w:rsidR="0091388D" w:rsidRPr="009B6525" w:rsidRDefault="0091388D" w:rsidP="0097494B">
      <w:pPr>
        <w:widowControl w:val="0"/>
        <w:numPr>
          <w:ilvl w:val="0"/>
          <w:numId w:val="42"/>
        </w:numPr>
        <w:suppressAutoHyphens/>
        <w:jc w:val="both"/>
      </w:pPr>
      <w:r w:rsidRPr="009B6525">
        <w:t>łopaty, szpadle i inny sprzęt do ręcznego wykonywania robót ziemnych - w miejscach gdzie prawidłowe wykonanie robót sprzętem zmechanizowanym jest niemożliwe,</w:t>
      </w:r>
    </w:p>
    <w:p w:rsidR="0091388D" w:rsidRPr="009B6525" w:rsidRDefault="0091388D" w:rsidP="0097494B">
      <w:pPr>
        <w:widowControl w:val="0"/>
        <w:numPr>
          <w:ilvl w:val="0"/>
          <w:numId w:val="42"/>
        </w:numPr>
        <w:suppressAutoHyphens/>
        <w:jc w:val="both"/>
      </w:pPr>
      <w:r w:rsidRPr="009B6525">
        <w:t>koparki i samochody samowyładowcze - w przypadku transportu na odległość wymagającą zastosowania takiego sprzętu.</w:t>
      </w:r>
    </w:p>
    <w:p w:rsidR="0091388D" w:rsidRPr="009B6525" w:rsidRDefault="0091388D" w:rsidP="0091388D">
      <w:pPr>
        <w:widowControl w:val="0"/>
        <w:snapToGrid w:val="0"/>
        <w:spacing w:before="120" w:after="120"/>
        <w:jc w:val="both"/>
        <w:rPr>
          <w:b/>
          <w:noProof/>
          <w:u w:val="single"/>
        </w:rPr>
      </w:pPr>
      <w:r w:rsidRPr="009B6525">
        <w:rPr>
          <w:b/>
          <w:noProof/>
          <w:u w:val="single"/>
        </w:rPr>
        <w:t>4. TRANSPORT</w:t>
      </w:r>
    </w:p>
    <w:p w:rsidR="0091388D" w:rsidRPr="009B6525" w:rsidRDefault="0091388D" w:rsidP="0091388D">
      <w:pPr>
        <w:widowControl w:val="0"/>
        <w:ind w:right="-68" w:firstLine="708"/>
        <w:jc w:val="both"/>
      </w:pPr>
      <w:r w:rsidRPr="009B6525">
        <w:t>Usunięty humus/darnina transportowane będą na pryzmy dowolnymi środkami transportu, samowyładowczymi (samochody, ciągnikiz przyczepami),</w:t>
      </w:r>
      <w:r w:rsidR="003614CE">
        <w:t xml:space="preserve"> zaakceptowanymi przez</w:t>
      </w:r>
      <w:r w:rsidR="002C4284">
        <w:t xml:space="preserve"> przedstawiciela</w:t>
      </w:r>
      <w:r w:rsidR="003614CE">
        <w:t xml:space="preserve"> Zamawiającego</w:t>
      </w:r>
      <w:r w:rsidRPr="009B6525">
        <w:t xml:space="preserve"> a następnie wywożone na składowisko wykonawcy</w:t>
      </w:r>
    </w:p>
    <w:p w:rsidR="0091388D" w:rsidRPr="009B6525" w:rsidRDefault="0091388D" w:rsidP="0091388D">
      <w:pPr>
        <w:widowControl w:val="0"/>
        <w:snapToGrid w:val="0"/>
        <w:spacing w:before="120" w:after="120"/>
        <w:ind w:right="-5"/>
        <w:rPr>
          <w:b/>
          <w:u w:val="single"/>
        </w:rPr>
      </w:pPr>
      <w:r w:rsidRPr="009B6525">
        <w:rPr>
          <w:b/>
          <w:u w:val="single"/>
        </w:rPr>
        <w:t>5. WYKONANIE ROBÓT</w:t>
      </w:r>
    </w:p>
    <w:p w:rsidR="0091388D" w:rsidRPr="009B6525" w:rsidRDefault="0091388D" w:rsidP="0091388D">
      <w:pPr>
        <w:widowControl w:val="0"/>
        <w:ind w:right="-7"/>
        <w:jc w:val="both"/>
        <w:rPr>
          <w:b/>
        </w:rPr>
      </w:pPr>
      <w:r w:rsidRPr="009B6525">
        <w:rPr>
          <w:b/>
        </w:rPr>
        <w:t>5.1. Ogólne zasady wykonania robót</w:t>
      </w:r>
    </w:p>
    <w:p w:rsidR="0091388D" w:rsidRPr="009B6525" w:rsidRDefault="0091388D" w:rsidP="0091388D">
      <w:pPr>
        <w:widowControl w:val="0"/>
        <w:ind w:right="-7"/>
        <w:jc w:val="both"/>
      </w:pPr>
      <w:r w:rsidRPr="009B6525">
        <w:rPr>
          <w:b/>
        </w:rPr>
        <w:tab/>
      </w:r>
      <w:r w:rsidRPr="009B6525">
        <w:t>Ogólne zasady wykonania robót podano w ST D-M 00.00.00 „Wymagania ogólne” pkt 5.</w:t>
      </w:r>
    </w:p>
    <w:p w:rsidR="0091388D" w:rsidRPr="009B6525" w:rsidRDefault="0091388D" w:rsidP="0091388D">
      <w:pPr>
        <w:widowControl w:val="0"/>
        <w:ind w:right="-7"/>
        <w:jc w:val="both"/>
      </w:pPr>
      <w:r w:rsidRPr="009B6525">
        <w:tab/>
        <w:t>Teren pod budowę drogi w pasie robót ziemnych, w miejscach dokopów i w innych miejscach wskazanych w dokumentacji projektowej powinien być oczyszczony z humusu i/lub darniny.</w:t>
      </w:r>
    </w:p>
    <w:p w:rsidR="0091388D" w:rsidRPr="009B6525" w:rsidRDefault="0091388D" w:rsidP="0091388D">
      <w:pPr>
        <w:widowControl w:val="0"/>
        <w:ind w:right="-7"/>
        <w:jc w:val="both"/>
        <w:rPr>
          <w:b/>
        </w:rPr>
      </w:pPr>
      <w:r w:rsidRPr="009B6525">
        <w:rPr>
          <w:b/>
        </w:rPr>
        <w:t>5.2. Zdjęcie warstwy humusu</w:t>
      </w:r>
    </w:p>
    <w:p w:rsidR="0091388D" w:rsidRPr="009B6525" w:rsidRDefault="0091388D" w:rsidP="0091388D">
      <w:pPr>
        <w:widowControl w:val="0"/>
        <w:ind w:right="-7"/>
        <w:jc w:val="both"/>
      </w:pPr>
      <w:r w:rsidRPr="009B6525">
        <w:tab/>
        <w:t>Warstwa humusu powinna być zdjęta z przeznaczeniem do późniejszego użycia przy umacnianiu skarp, zakładaniu trawników, sadzeniu drzew i krzewów oraz do innych czynności określonych w dokumentacji projektowej. Zagospodarowanie nadmiaru humusu powinno być wyk</w:t>
      </w:r>
      <w:r w:rsidR="003614CE">
        <w:t xml:space="preserve">onane zgodnie ze wskazaniami </w:t>
      </w:r>
      <w:r w:rsidR="002C4284">
        <w:t xml:space="preserve">przedstawiciela  </w:t>
      </w:r>
      <w:r w:rsidR="003614CE">
        <w:t>Zamawiającego</w:t>
      </w:r>
      <w:r w:rsidRPr="009B6525">
        <w:t>.</w:t>
      </w:r>
    </w:p>
    <w:p w:rsidR="0091388D" w:rsidRPr="009B6525" w:rsidRDefault="0091388D" w:rsidP="0091388D">
      <w:pPr>
        <w:widowControl w:val="0"/>
        <w:ind w:right="-7"/>
        <w:jc w:val="both"/>
      </w:pPr>
      <w:r w:rsidRPr="009B6525">
        <w:tab/>
        <w:t>Humus należy zdejmować mechanicznie z zastosowaniem równiarek lub spycharek. W wyjątkowych sytuacjach, gdy zastosowanie maszyn nie jest wystarczające dla prawidłowego wykonania robót, względnie może stanowić zagrożenie dla bezpieczeństwa robót (zmienna grubość warstwy humusu, sąsiedztwo budowli), należy dodatkowo stosować ręczne wykonanie robót, jako uzupełnienie prac wykonywanych  mechanicznie.</w:t>
      </w:r>
    </w:p>
    <w:p w:rsidR="0091388D" w:rsidRPr="009B6525" w:rsidRDefault="0091388D" w:rsidP="0091388D">
      <w:pPr>
        <w:widowControl w:val="0"/>
        <w:ind w:right="-7"/>
        <w:jc w:val="both"/>
      </w:pPr>
      <w:r w:rsidRPr="009B6525">
        <w:tab/>
        <w:t>Warstwę humusu należy zdjąć z powierzchni całego pasa robót ziemnych oraz w innych miejscach określonych w dokumentacji projektowe</w:t>
      </w:r>
      <w:r w:rsidR="003614CE">
        <w:t>j lub wskazanych przez</w:t>
      </w:r>
      <w:r w:rsidR="002C4284">
        <w:t xml:space="preserve"> przedstawiciela</w:t>
      </w:r>
      <w:r w:rsidR="003614CE">
        <w:t xml:space="preserve"> Zamawiającego</w:t>
      </w:r>
      <w:r w:rsidRPr="009B6525">
        <w:t>.</w:t>
      </w:r>
    </w:p>
    <w:p w:rsidR="0091388D" w:rsidRPr="009B6525" w:rsidRDefault="0091388D" w:rsidP="0091388D">
      <w:pPr>
        <w:widowControl w:val="0"/>
        <w:ind w:right="-7"/>
        <w:jc w:val="both"/>
      </w:pPr>
      <w:r w:rsidRPr="009B6525">
        <w:tab/>
        <w:t xml:space="preserve">Grubość zdejmowanej warstwy humusu (zależna od głębokości jego zalegania, wysokości nasypu, potrzeb jego wykorzystania na budowie itp.) powinna być zgodna z ustaleniami dokumentacji projektowej </w:t>
      </w:r>
      <w:r w:rsidR="003614CE">
        <w:t>iwskazaniami</w:t>
      </w:r>
      <w:r w:rsidR="002C4284">
        <w:t xml:space="preserve"> przedstawiciela</w:t>
      </w:r>
      <w:r w:rsidR="003614CE">
        <w:t xml:space="preserve"> Zamawiającego</w:t>
      </w:r>
      <w:r w:rsidRPr="009B6525">
        <w:t>, według faktycznego stanu występowania. Stan faktyczny będzie stanowił podstawę do rozliczenia czynności związanych ze zdjęciem warstwy humusu.</w:t>
      </w:r>
    </w:p>
    <w:p w:rsidR="0091388D" w:rsidRPr="009B6525" w:rsidRDefault="0091388D" w:rsidP="0091388D">
      <w:pPr>
        <w:widowControl w:val="0"/>
        <w:ind w:right="-7"/>
        <w:jc w:val="both"/>
      </w:pPr>
      <w:r w:rsidRPr="009B6525">
        <w:tab/>
        <w:t>Zdjęty humus należy składować w regularnych pryzmach. Miejsca składowania humusu powinny być przez Wykonawcę tak dobrane, aby humus był zabezpieczony przed zanieczyszczeniem, a także najeżdżaniem przez pojazdy. Nie należy zdejmować humusu w czasie intensywnych opadów i bezpośrednio po nich, aby uniknąć zanieczyszczenia gliną lub innym gruntem nieorganicznym.</w:t>
      </w:r>
    </w:p>
    <w:p w:rsidR="0091388D" w:rsidRPr="009B6525" w:rsidRDefault="0091388D" w:rsidP="0091388D">
      <w:pPr>
        <w:widowControl w:val="0"/>
        <w:ind w:right="-7"/>
        <w:jc w:val="both"/>
        <w:rPr>
          <w:b/>
        </w:rPr>
      </w:pPr>
      <w:r w:rsidRPr="009B6525">
        <w:rPr>
          <w:b/>
        </w:rPr>
        <w:t>5.3. Zdjęcie darniny</w:t>
      </w:r>
    </w:p>
    <w:p w:rsidR="0091388D" w:rsidRPr="009B6525" w:rsidRDefault="0091388D" w:rsidP="0091388D">
      <w:pPr>
        <w:widowControl w:val="0"/>
        <w:ind w:right="-7"/>
        <w:jc w:val="both"/>
      </w:pPr>
      <w:r w:rsidRPr="009B6525">
        <w:tab/>
        <w:t>Jeżeli powierzchnia terenu w obrębie pasa przeznaczonego pod budowę trasy drogowej jest pokryta darniną przeznaczoną do umocnienia skarp, darninę należy zdjąć w sposób, który nie spowoduje jej uszkodzeń i przechowywać w odpowiednich warunkach do czasu wykorzystania.</w:t>
      </w:r>
    </w:p>
    <w:p w:rsidR="0091388D" w:rsidRPr="009B6525" w:rsidRDefault="0091388D" w:rsidP="0091388D">
      <w:pPr>
        <w:widowControl w:val="0"/>
        <w:ind w:right="-7"/>
        <w:jc w:val="both"/>
      </w:pPr>
      <w:r w:rsidRPr="009B6525">
        <w:tab/>
        <w:t>Wysokie trawy powinny być skoszone przed zdjęciem darniny. Darninę należy ciąć w regularne, prostokątne pasy o szerokości około 0,30 metra lub w kwadraty o długości boku około 0,30 metra. Grubość darniny powinna wynosić od 0,05 do 0,10 metra.</w:t>
      </w:r>
    </w:p>
    <w:p w:rsidR="0091388D" w:rsidRPr="009B6525" w:rsidRDefault="0091388D" w:rsidP="0091388D">
      <w:pPr>
        <w:widowControl w:val="0"/>
        <w:ind w:right="-7"/>
        <w:jc w:val="both"/>
      </w:pPr>
      <w:r w:rsidRPr="009B6525">
        <w:tab/>
        <w:t>Należy dążyć do jak najszybszego użycia pozyskanej darniny. Jeżeli darnina przed powtórnym wykorzystaniem musi być składowana, to zaleca się jej rozłożenie na gruncie rodzimym. Jeżeli brak miejsca na takie rozłożenie darniny, to należy ją magazynować w regularnych pryzmach. W porze rozwoju roślin darninę należy składować w warstwach trawą do dołu. W pozostałym okresie darninę należy składować warstwami na przemian trawą do góry i trawą do dołu. Czas składowania darniny przed wbudowaniem nie powinien przekraczać 4 tygodni.</w:t>
      </w:r>
    </w:p>
    <w:p w:rsidR="0091388D" w:rsidRPr="009B6525" w:rsidRDefault="0091388D" w:rsidP="0091388D">
      <w:pPr>
        <w:widowControl w:val="0"/>
        <w:ind w:right="-7"/>
        <w:jc w:val="both"/>
      </w:pPr>
      <w:r w:rsidRPr="009B6525">
        <w:tab/>
        <w:t xml:space="preserve">Darninę nie nadającą się do powtórnego wykorzystania należy usunąć mechanicznie, z zastosowaniem równiarek lub spycharek i przewieźć na składowisko Wykonawcy lub w </w:t>
      </w:r>
      <w:r w:rsidR="003614CE">
        <w:t xml:space="preserve">miejsce wskazane przez </w:t>
      </w:r>
      <w:r w:rsidR="002C4284">
        <w:t xml:space="preserve">przedstawiciela  </w:t>
      </w:r>
      <w:r w:rsidR="003614CE">
        <w:t>Zamawiającego</w:t>
      </w:r>
      <w:r w:rsidRPr="009B6525">
        <w:t>.</w:t>
      </w:r>
    </w:p>
    <w:p w:rsidR="0091388D" w:rsidRPr="009B6525" w:rsidRDefault="0091388D" w:rsidP="0091388D">
      <w:pPr>
        <w:widowControl w:val="0"/>
        <w:tabs>
          <w:tab w:val="left" w:pos="8995"/>
        </w:tabs>
        <w:snapToGrid w:val="0"/>
        <w:spacing w:before="120" w:after="120"/>
        <w:ind w:right="-5"/>
        <w:rPr>
          <w:b/>
          <w:u w:val="single"/>
        </w:rPr>
      </w:pPr>
      <w:r w:rsidRPr="009B6525">
        <w:rPr>
          <w:b/>
          <w:u w:val="single"/>
        </w:rPr>
        <w:t>6. KONTROLA JAKOŚCI ROBÓT</w:t>
      </w:r>
    </w:p>
    <w:p w:rsidR="0091388D" w:rsidRPr="009B6525" w:rsidRDefault="0091388D" w:rsidP="0091388D">
      <w:pPr>
        <w:widowControl w:val="0"/>
        <w:ind w:right="1179" w:firstLine="709"/>
      </w:pPr>
      <w:r w:rsidRPr="009B6525">
        <w:t>Ogólne zasady kontroli jakości robót podano w ST D- M.00.00.00</w:t>
      </w:r>
    </w:p>
    <w:p w:rsidR="0091388D" w:rsidRPr="009B6525" w:rsidRDefault="0091388D" w:rsidP="0091388D">
      <w:pPr>
        <w:widowControl w:val="0"/>
        <w:jc w:val="both"/>
        <w:rPr>
          <w:b/>
        </w:rPr>
      </w:pPr>
      <w:r w:rsidRPr="009B6525">
        <w:rPr>
          <w:b/>
        </w:rPr>
        <w:t>6.1. Kontroli podlega w szczególności zgodność wykonania robót z dokumentacją projektową</w:t>
      </w:r>
    </w:p>
    <w:p w:rsidR="0091388D" w:rsidRPr="009B6525" w:rsidRDefault="0091388D" w:rsidP="0097494B">
      <w:pPr>
        <w:widowControl w:val="0"/>
        <w:numPr>
          <w:ilvl w:val="0"/>
          <w:numId w:val="43"/>
        </w:numPr>
        <w:tabs>
          <w:tab w:val="left" w:pos="340"/>
          <w:tab w:val="num" w:pos="426"/>
        </w:tabs>
        <w:suppressAutoHyphens/>
        <w:ind w:left="426"/>
        <w:jc w:val="both"/>
      </w:pPr>
      <w:r w:rsidRPr="009B6525">
        <w:t>powierzchnia zdjęcia humusu,</w:t>
      </w:r>
    </w:p>
    <w:p w:rsidR="0091388D" w:rsidRPr="009B6525" w:rsidRDefault="0091388D" w:rsidP="0097494B">
      <w:pPr>
        <w:widowControl w:val="0"/>
        <w:numPr>
          <w:ilvl w:val="0"/>
          <w:numId w:val="43"/>
        </w:numPr>
        <w:tabs>
          <w:tab w:val="left" w:pos="340"/>
          <w:tab w:val="num" w:pos="426"/>
        </w:tabs>
        <w:suppressAutoHyphens/>
        <w:ind w:left="426"/>
      </w:pPr>
      <w:r w:rsidRPr="009B6525">
        <w:t>grubość zdjętej warstwy humusu,</w:t>
      </w:r>
    </w:p>
    <w:p w:rsidR="0091388D" w:rsidRPr="009B6525" w:rsidRDefault="0091388D" w:rsidP="0097494B">
      <w:pPr>
        <w:widowControl w:val="0"/>
        <w:numPr>
          <w:ilvl w:val="0"/>
          <w:numId w:val="43"/>
        </w:numPr>
        <w:tabs>
          <w:tab w:val="left" w:pos="340"/>
          <w:tab w:val="num" w:pos="426"/>
        </w:tabs>
        <w:suppressAutoHyphens/>
        <w:ind w:left="426"/>
      </w:pPr>
      <w:r w:rsidRPr="009B6525">
        <w:t>prawidłowość spryzmowania humusu.</w:t>
      </w:r>
    </w:p>
    <w:p w:rsidR="0091388D" w:rsidRPr="009B6525" w:rsidRDefault="0091388D" w:rsidP="0091388D">
      <w:pPr>
        <w:widowControl w:val="0"/>
        <w:ind w:firstLine="709"/>
      </w:pPr>
      <w:r w:rsidRPr="009B6525">
        <w:t>Kontroli podlega również zgodność wykonania robót z normą PN-68/B-06050.</w:t>
      </w:r>
    </w:p>
    <w:p w:rsidR="0091388D" w:rsidRPr="009B6525" w:rsidRDefault="0091388D" w:rsidP="0091388D">
      <w:pPr>
        <w:widowControl w:val="0"/>
        <w:snapToGrid w:val="0"/>
        <w:spacing w:before="120" w:after="120"/>
        <w:ind w:right="6878"/>
        <w:rPr>
          <w:b/>
          <w:u w:val="single"/>
        </w:rPr>
      </w:pPr>
      <w:r w:rsidRPr="009B6525">
        <w:rPr>
          <w:b/>
          <w:u w:val="single"/>
        </w:rPr>
        <w:t>7. OBMIAR ROBÓT</w:t>
      </w:r>
    </w:p>
    <w:p w:rsidR="0091388D" w:rsidRPr="009B6525" w:rsidRDefault="0091388D" w:rsidP="0091388D">
      <w:pPr>
        <w:widowControl w:val="0"/>
        <w:ind w:right="-7"/>
        <w:jc w:val="both"/>
      </w:pPr>
      <w:r w:rsidRPr="009B6525">
        <w:tab/>
        <w:t>Jednostką obmiaru robót jest m</w:t>
      </w:r>
      <w:r w:rsidRPr="009B6525">
        <w:rPr>
          <w:vertAlign w:val="superscript"/>
        </w:rPr>
        <w:t>2</w:t>
      </w:r>
      <w:r w:rsidRPr="009B6525">
        <w:t xml:space="preserve"> (metr kwadratowy) zdjęcia warstwy humusu o grubości zgodnej z dokumentacją projektową i pomiarem w terenie. Ogólne zasady obmiaru robót podano w ST D-M.00.00.00</w:t>
      </w:r>
    </w:p>
    <w:p w:rsidR="0091388D" w:rsidRPr="009B6525" w:rsidRDefault="0091388D" w:rsidP="0091388D">
      <w:pPr>
        <w:widowControl w:val="0"/>
        <w:snapToGrid w:val="0"/>
        <w:spacing w:before="120" w:after="120"/>
        <w:ind w:right="6878"/>
        <w:rPr>
          <w:b/>
          <w:u w:val="single"/>
        </w:rPr>
      </w:pPr>
      <w:r w:rsidRPr="009B6525">
        <w:rPr>
          <w:b/>
          <w:u w:val="single"/>
        </w:rPr>
        <w:t>8. ODBIÓR ROBÓT</w:t>
      </w:r>
    </w:p>
    <w:p w:rsidR="0091388D" w:rsidRPr="009B6525" w:rsidRDefault="0091388D" w:rsidP="0091388D">
      <w:pPr>
        <w:widowControl w:val="0"/>
        <w:ind w:right="2682"/>
      </w:pPr>
      <w:r w:rsidRPr="009B6525">
        <w:t xml:space="preserve">            Ogólne zasady odbioru robót podano w ST D-M.00.00.00.</w:t>
      </w:r>
    </w:p>
    <w:p w:rsidR="0091388D" w:rsidRPr="009B6525" w:rsidRDefault="0091388D" w:rsidP="0091388D">
      <w:pPr>
        <w:widowControl w:val="0"/>
        <w:snapToGrid w:val="0"/>
        <w:spacing w:before="120" w:after="120"/>
        <w:ind w:right="-5"/>
        <w:rPr>
          <w:b/>
          <w:u w:val="single"/>
        </w:rPr>
      </w:pPr>
      <w:r w:rsidRPr="009B6525">
        <w:rPr>
          <w:b/>
          <w:u w:val="single"/>
        </w:rPr>
        <w:t>9. PODSTAWA ŁATNOŚCI</w:t>
      </w:r>
    </w:p>
    <w:p w:rsidR="0091388D" w:rsidRPr="009B6525" w:rsidRDefault="0091388D" w:rsidP="0091388D">
      <w:pPr>
        <w:tabs>
          <w:tab w:val="num" w:pos="1080"/>
        </w:tabs>
        <w:snapToGrid w:val="0"/>
        <w:outlineLvl w:val="1"/>
        <w:rPr>
          <w:b/>
        </w:rPr>
      </w:pPr>
      <w:r w:rsidRPr="009B6525">
        <w:rPr>
          <w:b/>
        </w:rPr>
        <w:t>9.1. Ogólne ustalenia dotyczące podstawy płatności</w:t>
      </w:r>
    </w:p>
    <w:p w:rsidR="0091388D" w:rsidRPr="009B6525" w:rsidRDefault="0091388D" w:rsidP="0091388D">
      <w:pPr>
        <w:widowControl w:val="0"/>
        <w:ind w:firstLine="708"/>
        <w:jc w:val="both"/>
      </w:pPr>
      <w:r w:rsidRPr="009B6525">
        <w:t xml:space="preserve">Ogólne wymagania dotyczące płatności podano w ST D-M.00.00.00. </w:t>
      </w:r>
    </w:p>
    <w:p w:rsidR="0091388D" w:rsidRPr="009B6525" w:rsidRDefault="0091388D" w:rsidP="0091388D">
      <w:pPr>
        <w:widowControl w:val="0"/>
        <w:ind w:firstLine="708"/>
        <w:jc w:val="both"/>
      </w:pPr>
      <w:r w:rsidRPr="009B6525">
        <w:t>Płatność za 1m</w:t>
      </w:r>
      <w:r w:rsidRPr="009B6525">
        <w:rPr>
          <w:vertAlign w:val="superscript"/>
        </w:rPr>
        <w:t>2</w:t>
      </w:r>
      <w:r w:rsidRPr="009B6525">
        <w:t xml:space="preserve"> zdjętego humusu/darniny o grubości zgodnej z dokumentacją należy przyjmować zgodnie z obmiarem i oceną jakości wykonania robót.</w:t>
      </w:r>
    </w:p>
    <w:p w:rsidR="0091388D" w:rsidRPr="009B6525" w:rsidRDefault="0091388D" w:rsidP="0091388D">
      <w:pPr>
        <w:widowControl w:val="0"/>
        <w:jc w:val="both"/>
        <w:rPr>
          <w:b/>
        </w:rPr>
      </w:pPr>
      <w:r w:rsidRPr="009B6525">
        <w:rPr>
          <w:b/>
        </w:rPr>
        <w:t>9.2. Cena jednostki obmiarowej</w:t>
      </w:r>
    </w:p>
    <w:p w:rsidR="0091388D" w:rsidRPr="009B6525" w:rsidRDefault="0091388D" w:rsidP="0091388D">
      <w:pPr>
        <w:widowControl w:val="0"/>
        <w:ind w:firstLine="709"/>
      </w:pPr>
      <w:r w:rsidRPr="009B6525">
        <w:t xml:space="preserve">Cena wykonania robót obejmuje:    </w:t>
      </w:r>
    </w:p>
    <w:p w:rsidR="0091388D" w:rsidRPr="009B6525" w:rsidRDefault="0091388D" w:rsidP="0097494B">
      <w:pPr>
        <w:widowControl w:val="0"/>
        <w:numPr>
          <w:ilvl w:val="0"/>
          <w:numId w:val="44"/>
        </w:numPr>
        <w:tabs>
          <w:tab w:val="num" w:pos="284"/>
        </w:tabs>
        <w:suppressAutoHyphens/>
      </w:pPr>
      <w:r w:rsidRPr="009B6525">
        <w:t>zdjęcie warstwy humusu określonej grubości,</w:t>
      </w:r>
    </w:p>
    <w:p w:rsidR="0091388D" w:rsidRPr="009B6525" w:rsidRDefault="0091388D" w:rsidP="0097494B">
      <w:pPr>
        <w:widowControl w:val="0"/>
        <w:numPr>
          <w:ilvl w:val="0"/>
          <w:numId w:val="44"/>
        </w:numPr>
        <w:tabs>
          <w:tab w:val="num" w:pos="284"/>
        </w:tabs>
        <w:suppressAutoHyphens/>
      </w:pPr>
      <w:r w:rsidRPr="009B6525">
        <w:t>zakup materiałów</w:t>
      </w:r>
    </w:p>
    <w:p w:rsidR="0091388D" w:rsidRPr="009B6525" w:rsidRDefault="0091388D" w:rsidP="0097494B">
      <w:pPr>
        <w:widowControl w:val="0"/>
        <w:numPr>
          <w:ilvl w:val="0"/>
          <w:numId w:val="44"/>
        </w:numPr>
        <w:tabs>
          <w:tab w:val="num" w:pos="284"/>
        </w:tabs>
        <w:suppressAutoHyphens/>
      </w:pPr>
      <w:r w:rsidRPr="009B6525">
        <w:t>transport nadmiaru humusu na składowisko Wykonawcy,</w:t>
      </w:r>
    </w:p>
    <w:p w:rsidR="0091388D" w:rsidRPr="009B6525" w:rsidRDefault="0091388D" w:rsidP="0097494B">
      <w:pPr>
        <w:widowControl w:val="0"/>
        <w:numPr>
          <w:ilvl w:val="0"/>
          <w:numId w:val="44"/>
        </w:numPr>
        <w:tabs>
          <w:tab w:val="num" w:pos="284"/>
        </w:tabs>
        <w:suppressAutoHyphens/>
      </w:pPr>
      <w:r w:rsidRPr="009B6525">
        <w:t>transport nadmiaru darniny na składowisko Wykonawcy.</w:t>
      </w:r>
    </w:p>
    <w:p w:rsidR="0091388D" w:rsidRPr="009B6525" w:rsidRDefault="0091388D" w:rsidP="0097494B">
      <w:pPr>
        <w:widowControl w:val="0"/>
        <w:numPr>
          <w:ilvl w:val="0"/>
          <w:numId w:val="44"/>
        </w:numPr>
        <w:tabs>
          <w:tab w:val="num" w:pos="284"/>
        </w:tabs>
        <w:suppressAutoHyphens/>
      </w:pPr>
      <w:r w:rsidRPr="009B6525">
        <w:t>opłata za wysypisko i utylizację odpadów,</w:t>
      </w:r>
    </w:p>
    <w:p w:rsidR="0091388D" w:rsidRPr="009B6525" w:rsidRDefault="0091388D" w:rsidP="0091388D">
      <w:pPr>
        <w:widowControl w:val="0"/>
        <w:spacing w:before="120" w:after="120"/>
        <w:rPr>
          <w:b/>
          <w:szCs w:val="19"/>
          <w:u w:val="single"/>
        </w:rPr>
      </w:pPr>
      <w:r w:rsidRPr="009B6525">
        <w:rPr>
          <w:b/>
          <w:szCs w:val="19"/>
          <w:u w:val="single"/>
        </w:rPr>
        <w:t>10. PRZEPISY ZWIĄZANE</w:t>
      </w:r>
    </w:p>
    <w:p w:rsidR="0091388D" w:rsidRPr="009B6525" w:rsidRDefault="0091388D" w:rsidP="0091388D">
      <w:pPr>
        <w:widowControl w:val="0"/>
        <w:jc w:val="both"/>
      </w:pPr>
      <w:r w:rsidRPr="009B6525">
        <w:t>PN-68/B-06050 Roboty ziemne budowlane. Wymagania w zakresie wykonania i badania przy odbiorze.</w:t>
      </w:r>
    </w:p>
    <w:p w:rsidR="003E3D07" w:rsidRDefault="003E3D07" w:rsidP="009000BD">
      <w:pPr>
        <w:pStyle w:val="Nagwek1"/>
        <w:jc w:val="both"/>
        <w:rPr>
          <w:b w:val="0"/>
          <w:bCs/>
          <w:szCs w:val="26"/>
        </w:rPr>
      </w:pPr>
    </w:p>
    <w:p w:rsidR="00585D0E" w:rsidRDefault="00585D0E" w:rsidP="00585D0E"/>
    <w:p w:rsidR="00585D0E" w:rsidRDefault="00585D0E" w:rsidP="00585D0E"/>
    <w:p w:rsidR="00585D0E" w:rsidRPr="00585D0E" w:rsidRDefault="00585D0E" w:rsidP="00585D0E"/>
    <w:p w:rsidR="003E3D07" w:rsidRDefault="003E3D07" w:rsidP="009000BD">
      <w:pPr>
        <w:pStyle w:val="Nagwek1"/>
        <w:jc w:val="both"/>
      </w:pPr>
    </w:p>
    <w:p w:rsidR="00316579" w:rsidRDefault="00044874" w:rsidP="00044874">
      <w:pPr>
        <w:jc w:val="both"/>
        <w:outlineLvl w:val="0"/>
        <w:rPr>
          <w:rFonts w:ascii="PL Times New Roman" w:hAnsi="PL Times New Roman"/>
          <w:b/>
          <w:bCs/>
          <w:snapToGrid w:val="0"/>
          <w:sz w:val="26"/>
          <w:szCs w:val="26"/>
        </w:rPr>
      </w:pPr>
      <w:bookmarkStart w:id="7" w:name="_Toc346875546"/>
      <w:r w:rsidRPr="00044874">
        <w:rPr>
          <w:rFonts w:ascii="PL Times New Roman" w:hAnsi="PL Times New Roman"/>
          <w:b/>
          <w:bCs/>
          <w:snapToGrid w:val="0"/>
          <w:sz w:val="26"/>
          <w:szCs w:val="26"/>
        </w:rPr>
        <w:br w:type="page"/>
      </w:r>
    </w:p>
    <w:p w:rsidR="00044874" w:rsidRPr="00044874" w:rsidRDefault="00423A6C" w:rsidP="00044874">
      <w:pPr>
        <w:jc w:val="both"/>
        <w:outlineLvl w:val="0"/>
        <w:rPr>
          <w:rFonts w:ascii="PL Times New Roman" w:hAnsi="PL Times New Roman"/>
          <w:b/>
          <w:bCs/>
          <w:snapToGrid w:val="0"/>
          <w:sz w:val="26"/>
          <w:szCs w:val="26"/>
        </w:rPr>
      </w:pPr>
      <w:bookmarkStart w:id="8" w:name="_Toc80100077"/>
      <w:r>
        <w:rPr>
          <w:rFonts w:ascii="PL Times New Roman" w:hAnsi="PL Times New Roman"/>
          <w:b/>
          <w:bCs/>
          <w:snapToGrid w:val="0"/>
          <w:sz w:val="26"/>
          <w:szCs w:val="26"/>
        </w:rPr>
        <w:t>M</w:t>
      </w:r>
      <w:r w:rsidR="00044874" w:rsidRPr="00044874">
        <w:rPr>
          <w:rFonts w:ascii="PL Times New Roman" w:hAnsi="PL Times New Roman"/>
          <w:b/>
          <w:bCs/>
          <w:snapToGrid w:val="0"/>
          <w:sz w:val="26"/>
          <w:szCs w:val="26"/>
        </w:rPr>
        <w:t>.</w:t>
      </w:r>
      <w:r>
        <w:rPr>
          <w:rFonts w:ascii="PL Times New Roman" w:hAnsi="PL Times New Roman"/>
          <w:b/>
          <w:bCs/>
          <w:snapToGrid w:val="0"/>
          <w:sz w:val="26"/>
          <w:szCs w:val="26"/>
        </w:rPr>
        <w:t>11</w:t>
      </w:r>
      <w:r w:rsidR="00044874" w:rsidRPr="00044874">
        <w:rPr>
          <w:rFonts w:ascii="PL Times New Roman" w:hAnsi="PL Times New Roman"/>
          <w:b/>
          <w:bCs/>
          <w:snapToGrid w:val="0"/>
          <w:sz w:val="26"/>
          <w:szCs w:val="26"/>
        </w:rPr>
        <w:t>.0</w:t>
      </w:r>
      <w:r>
        <w:rPr>
          <w:rFonts w:ascii="PL Times New Roman" w:hAnsi="PL Times New Roman"/>
          <w:b/>
          <w:bCs/>
          <w:snapToGrid w:val="0"/>
          <w:sz w:val="26"/>
          <w:szCs w:val="26"/>
        </w:rPr>
        <w:t>1</w:t>
      </w:r>
      <w:r w:rsidR="00044874" w:rsidRPr="00044874">
        <w:rPr>
          <w:rFonts w:ascii="PL Times New Roman" w:hAnsi="PL Times New Roman"/>
          <w:b/>
          <w:bCs/>
          <w:snapToGrid w:val="0"/>
          <w:sz w:val="26"/>
          <w:szCs w:val="26"/>
        </w:rPr>
        <w:t>.0</w:t>
      </w:r>
      <w:r>
        <w:rPr>
          <w:rFonts w:ascii="PL Times New Roman" w:hAnsi="PL Times New Roman"/>
          <w:b/>
          <w:bCs/>
          <w:snapToGrid w:val="0"/>
          <w:sz w:val="26"/>
          <w:szCs w:val="26"/>
        </w:rPr>
        <w:t>4</w:t>
      </w:r>
      <w:r w:rsidR="00044874" w:rsidRPr="00044874">
        <w:rPr>
          <w:rFonts w:ascii="PL Times New Roman" w:hAnsi="PL Times New Roman"/>
          <w:b/>
          <w:bCs/>
          <w:snapToGrid w:val="0"/>
          <w:sz w:val="26"/>
          <w:szCs w:val="26"/>
        </w:rPr>
        <w:t xml:space="preserve">. </w:t>
      </w:r>
      <w:r w:rsidR="00044874" w:rsidRPr="00044874">
        <w:rPr>
          <w:rFonts w:ascii="PL Times New Roman" w:hAnsi="PL Times New Roman"/>
          <w:b/>
          <w:bCs/>
          <w:snapToGrid w:val="0"/>
          <w:sz w:val="26"/>
          <w:szCs w:val="26"/>
        </w:rPr>
        <w:tab/>
        <w:t>WYKONANIE NASYPÓW</w:t>
      </w:r>
      <w:bookmarkEnd w:id="8"/>
    </w:p>
    <w:p w:rsidR="00044874" w:rsidRPr="00044874" w:rsidRDefault="00044874" w:rsidP="00044874">
      <w:pPr>
        <w:spacing w:before="120" w:after="120"/>
        <w:rPr>
          <w:b/>
          <w:u w:val="single"/>
        </w:rPr>
      </w:pPr>
      <w:r w:rsidRPr="00044874">
        <w:rPr>
          <w:b/>
          <w:u w:val="single"/>
        </w:rPr>
        <w:t xml:space="preserve">l. WSTĘP </w:t>
      </w:r>
    </w:p>
    <w:p w:rsidR="00044874" w:rsidRPr="00044874" w:rsidRDefault="00044874" w:rsidP="00044874">
      <w:pPr>
        <w:widowControl w:val="0"/>
        <w:rPr>
          <w:b/>
        </w:rPr>
      </w:pPr>
      <w:r w:rsidRPr="00044874">
        <w:rPr>
          <w:b/>
        </w:rPr>
        <w:t>1.1 Przedmiot ST</w:t>
      </w:r>
    </w:p>
    <w:p w:rsidR="00044874" w:rsidRPr="00044874" w:rsidRDefault="00044874" w:rsidP="00044874">
      <w:pPr>
        <w:jc w:val="both"/>
      </w:pPr>
      <w:r w:rsidRPr="00044874">
        <w:t xml:space="preserve">Przedmiotem niniejszej Specyfikacji Technicznej są wymagania dotyczące wykonania i odbioru robót przy wykonaniu nasypów i zasypek wykopów w </w:t>
      </w:r>
      <w:r w:rsidRPr="00044874">
        <w:rPr>
          <w:snapToGrid w:val="0"/>
        </w:rPr>
        <w:t xml:space="preserve">ramach </w:t>
      </w:r>
      <w:r w:rsidRPr="00044874">
        <w:rPr>
          <w:bCs/>
          <w:snapToGrid w:val="0"/>
        </w:rPr>
        <w:t>projektu :</w:t>
      </w:r>
      <w:r w:rsidR="00423A6C" w:rsidRPr="00423A6C">
        <w:rPr>
          <w:bCs/>
        </w:rPr>
        <w:t xml:space="preserve"> </w:t>
      </w:r>
      <w:r w:rsidR="00423A6C">
        <w:rPr>
          <w:bCs/>
        </w:rPr>
        <w:t>"Remont przepustu nad rzeką Postomia w ciągu drogi nr 445/k.2922 m. Wędrzyn."</w:t>
      </w:r>
    </w:p>
    <w:p w:rsidR="00044874" w:rsidRPr="00044874" w:rsidRDefault="00044874" w:rsidP="00044874">
      <w:pPr>
        <w:jc w:val="both"/>
        <w:rPr>
          <w:b/>
        </w:rPr>
      </w:pPr>
      <w:r w:rsidRPr="00044874">
        <w:rPr>
          <w:b/>
        </w:rPr>
        <w:t>1.2 Zakres stosowania ST</w:t>
      </w:r>
    </w:p>
    <w:p w:rsidR="00044874" w:rsidRPr="00044874" w:rsidRDefault="00044874" w:rsidP="00044874">
      <w:pPr>
        <w:widowControl w:val="0"/>
        <w:ind w:firstLine="709"/>
        <w:jc w:val="both"/>
      </w:pPr>
      <w:r w:rsidRPr="00044874">
        <w:t>Specyfikacja Techniczna jest stosowana jako dokument przetargowy i kontraktowy przy zlecaniu i realizacji robót wymienionych w punkcie 1.1.</w:t>
      </w:r>
    </w:p>
    <w:p w:rsidR="00044874" w:rsidRPr="00044874" w:rsidRDefault="00044874" w:rsidP="00044874">
      <w:pPr>
        <w:widowControl w:val="0"/>
        <w:rPr>
          <w:b/>
        </w:rPr>
      </w:pPr>
      <w:r w:rsidRPr="00044874">
        <w:rPr>
          <w:b/>
        </w:rPr>
        <w:t>1.3 Zakres robót objętych ST</w:t>
      </w:r>
    </w:p>
    <w:p w:rsidR="00F44AFB" w:rsidRDefault="00044874" w:rsidP="00044874">
      <w:pPr>
        <w:autoSpaceDE w:val="0"/>
        <w:autoSpaceDN w:val="0"/>
        <w:adjustRightInd w:val="0"/>
      </w:pPr>
      <w:r w:rsidRPr="00044874">
        <w:t>Ustalenia zawarte w niniejszej specyfikacji dotyczą prowadzenia robót przy wykonaniu nasypów drogowych, zasypaniu wykopów oraz nasypów wraz z zagęszczeniem i formowanie stożków z ziemi z ukopu Wykonawcy przy moście i obejmują:</w:t>
      </w:r>
    </w:p>
    <w:p w:rsidR="00F44AFB" w:rsidRPr="00044874" w:rsidRDefault="00F44AFB" w:rsidP="0097494B">
      <w:pPr>
        <w:widowControl w:val="0"/>
        <w:numPr>
          <w:ilvl w:val="0"/>
          <w:numId w:val="21"/>
        </w:numPr>
        <w:suppressAutoHyphens/>
        <w:ind w:left="340" w:hanging="340"/>
        <w:jc w:val="both"/>
      </w:pPr>
      <w:r>
        <w:t>Wykonanie nasypów drogowych</w:t>
      </w:r>
      <w:r w:rsidRPr="00044874">
        <w:t>,</w:t>
      </w:r>
    </w:p>
    <w:p w:rsidR="00044874" w:rsidRPr="00044874" w:rsidRDefault="003F7D5D" w:rsidP="0097494B">
      <w:pPr>
        <w:widowControl w:val="0"/>
        <w:numPr>
          <w:ilvl w:val="0"/>
          <w:numId w:val="21"/>
        </w:numPr>
        <w:suppressAutoHyphens/>
        <w:ind w:left="340" w:hanging="340"/>
        <w:jc w:val="both"/>
      </w:pPr>
      <w:r>
        <w:t>F</w:t>
      </w:r>
      <w:r w:rsidR="00044874" w:rsidRPr="00044874">
        <w:t>ormowanie i zagęszczenie nasypów z materiału z ukopu Wykonawcy z transportem do miejsca wbudowania i zagęszczeniem do wymaganego stopnia zagęszczenia tj.: 1,00,</w:t>
      </w:r>
    </w:p>
    <w:p w:rsidR="00044874" w:rsidRPr="00044874" w:rsidRDefault="00044874" w:rsidP="0097494B">
      <w:pPr>
        <w:widowControl w:val="0"/>
        <w:numPr>
          <w:ilvl w:val="0"/>
          <w:numId w:val="21"/>
        </w:numPr>
        <w:suppressAutoHyphens/>
        <w:jc w:val="both"/>
      </w:pPr>
      <w:r w:rsidRPr="00044874">
        <w:t xml:space="preserve">Nasypy wraz z zagęszczeniem i formowanie </w:t>
      </w:r>
      <w:r w:rsidR="004C5CAB">
        <w:t>skarp</w:t>
      </w:r>
      <w:r w:rsidRPr="00044874">
        <w:t xml:space="preserve"> z ziemi z ukopu Wykonawcy przy </w:t>
      </w:r>
      <w:r w:rsidR="00423A6C">
        <w:t>obiekcie</w:t>
      </w:r>
      <w:r w:rsidRPr="00044874">
        <w:t xml:space="preserve"> - grunt przepuszczalny,</w:t>
      </w:r>
    </w:p>
    <w:p w:rsidR="00B361E7" w:rsidRPr="00044874" w:rsidRDefault="00B361E7" w:rsidP="0097494B">
      <w:pPr>
        <w:widowControl w:val="0"/>
        <w:numPr>
          <w:ilvl w:val="0"/>
          <w:numId w:val="21"/>
        </w:numPr>
        <w:suppressAutoHyphens/>
        <w:ind w:left="340" w:hanging="340"/>
        <w:jc w:val="both"/>
      </w:pPr>
      <w:r>
        <w:t>wykonanie odkładu</w:t>
      </w:r>
    </w:p>
    <w:p w:rsidR="00044874" w:rsidRDefault="00044874" w:rsidP="0097494B">
      <w:pPr>
        <w:widowControl w:val="0"/>
        <w:numPr>
          <w:ilvl w:val="0"/>
          <w:numId w:val="21"/>
        </w:numPr>
        <w:suppressAutoHyphens/>
        <w:ind w:left="340" w:hanging="340"/>
        <w:jc w:val="both"/>
      </w:pPr>
      <w:r w:rsidRPr="00044874">
        <w:t>formowanie stożków</w:t>
      </w:r>
    </w:p>
    <w:p w:rsidR="00C86DF0" w:rsidRPr="00044874" w:rsidRDefault="00C86DF0" w:rsidP="0097494B">
      <w:pPr>
        <w:widowControl w:val="0"/>
        <w:numPr>
          <w:ilvl w:val="0"/>
          <w:numId w:val="21"/>
        </w:numPr>
        <w:suppressAutoHyphens/>
        <w:ind w:left="340" w:hanging="340"/>
        <w:jc w:val="both"/>
      </w:pPr>
      <w:r>
        <w:t>wykonanie zasypki</w:t>
      </w:r>
    </w:p>
    <w:p w:rsidR="00044874" w:rsidRDefault="00044874" w:rsidP="0097494B">
      <w:pPr>
        <w:widowControl w:val="0"/>
        <w:numPr>
          <w:ilvl w:val="0"/>
          <w:numId w:val="21"/>
        </w:numPr>
        <w:suppressAutoHyphens/>
        <w:ind w:left="340" w:hanging="340"/>
        <w:jc w:val="both"/>
      </w:pPr>
      <w:r w:rsidRPr="00044874">
        <w:t>plantowanie skarp nasypu.</w:t>
      </w:r>
    </w:p>
    <w:p w:rsidR="00961EF6" w:rsidRPr="00044874" w:rsidRDefault="004C5CAB" w:rsidP="0097494B">
      <w:pPr>
        <w:widowControl w:val="0"/>
        <w:numPr>
          <w:ilvl w:val="0"/>
          <w:numId w:val="21"/>
        </w:numPr>
        <w:suppressAutoHyphens/>
        <w:ind w:left="340" w:hanging="340"/>
        <w:jc w:val="both"/>
      </w:pPr>
      <w:r>
        <w:t>z</w:t>
      </w:r>
      <w:r w:rsidR="00961EF6">
        <w:t>asypanie wykopów</w:t>
      </w:r>
    </w:p>
    <w:p w:rsidR="00044874" w:rsidRPr="00044874" w:rsidRDefault="00044874" w:rsidP="00044874">
      <w:pPr>
        <w:widowControl w:val="0"/>
        <w:rPr>
          <w:b/>
        </w:rPr>
      </w:pPr>
      <w:r w:rsidRPr="00044874">
        <w:rPr>
          <w:b/>
        </w:rPr>
        <w:t>1.4 Określenia podstawowe</w:t>
      </w:r>
    </w:p>
    <w:p w:rsidR="00044874" w:rsidRPr="00044874" w:rsidRDefault="00044874" w:rsidP="00044874">
      <w:pPr>
        <w:ind w:firstLine="708"/>
      </w:pPr>
      <w:r w:rsidRPr="00044874">
        <w:t xml:space="preserve">Podstawowe </w:t>
      </w:r>
      <w:r w:rsidR="00423A6C">
        <w:t>określenia zostały podane w ST M-11</w:t>
      </w:r>
      <w:r w:rsidRPr="00044874">
        <w:t>.00.00.</w:t>
      </w:r>
    </w:p>
    <w:p w:rsidR="00044874" w:rsidRPr="00044874" w:rsidRDefault="00044874" w:rsidP="00044874">
      <w:pPr>
        <w:widowControl w:val="0"/>
        <w:jc w:val="both"/>
        <w:rPr>
          <w:b/>
        </w:rPr>
      </w:pPr>
      <w:r w:rsidRPr="00044874">
        <w:rPr>
          <w:b/>
        </w:rPr>
        <w:t>1.5 Ogólne wymagania dotyczące robót</w:t>
      </w:r>
    </w:p>
    <w:p w:rsidR="00044874" w:rsidRPr="00044874" w:rsidRDefault="00044874" w:rsidP="00044874">
      <w:pPr>
        <w:widowControl w:val="0"/>
        <w:ind w:firstLine="708"/>
        <w:jc w:val="both"/>
      </w:pPr>
      <w:r w:rsidRPr="00044874">
        <w:t>Ogólne wymagan</w:t>
      </w:r>
      <w:r w:rsidR="00423A6C">
        <w:t>ia dotyczące robót podano w ST M-11</w:t>
      </w:r>
      <w:r w:rsidRPr="00044874">
        <w:t>.00.00.</w:t>
      </w:r>
    </w:p>
    <w:p w:rsidR="00044874" w:rsidRPr="00044874" w:rsidRDefault="00044874" w:rsidP="00044874">
      <w:pPr>
        <w:spacing w:before="120" w:after="120"/>
        <w:rPr>
          <w:b/>
          <w:u w:val="single"/>
        </w:rPr>
      </w:pPr>
      <w:r w:rsidRPr="00044874">
        <w:rPr>
          <w:b/>
          <w:u w:val="single"/>
        </w:rPr>
        <w:t>2. MATERIAŁY (GRUNTY)</w:t>
      </w:r>
    </w:p>
    <w:p w:rsidR="00044874" w:rsidRPr="00044874" w:rsidRDefault="00044874" w:rsidP="00044874">
      <w:pPr>
        <w:widowControl w:val="0"/>
        <w:jc w:val="both"/>
        <w:rPr>
          <w:b/>
        </w:rPr>
      </w:pPr>
      <w:r w:rsidRPr="00044874">
        <w:rPr>
          <w:b/>
        </w:rPr>
        <w:t>2.1. Ogólne wymagania dotyczące materiałów</w:t>
      </w:r>
    </w:p>
    <w:p w:rsidR="00044874" w:rsidRPr="00044874" w:rsidRDefault="00044874" w:rsidP="00044874">
      <w:pPr>
        <w:widowControl w:val="0"/>
        <w:jc w:val="both"/>
      </w:pPr>
      <w:r w:rsidRPr="00044874">
        <w:tab/>
        <w:t>Ogólne wymagania dotyczące materiałów, ich pozyskiwania i składowania, podano</w:t>
      </w:r>
    </w:p>
    <w:p w:rsidR="00044874" w:rsidRPr="00044874" w:rsidRDefault="00423A6C" w:rsidP="00044874">
      <w:pPr>
        <w:widowControl w:val="0"/>
        <w:jc w:val="both"/>
      </w:pPr>
      <w:r>
        <w:t>w ST M-11.00.00.</w:t>
      </w:r>
    </w:p>
    <w:p w:rsidR="00044874" w:rsidRPr="00044874" w:rsidRDefault="00044874" w:rsidP="00044874">
      <w:pPr>
        <w:tabs>
          <w:tab w:val="left" w:pos="1080"/>
        </w:tabs>
        <w:outlineLvl w:val="1"/>
        <w:rPr>
          <w:b/>
          <w:snapToGrid w:val="0"/>
        </w:rPr>
      </w:pPr>
      <w:r w:rsidRPr="00044874">
        <w:rPr>
          <w:b/>
          <w:bCs/>
          <w:snapToGrid w:val="0"/>
        </w:rPr>
        <w:t>2.2.</w:t>
      </w:r>
      <w:r w:rsidRPr="00044874">
        <w:rPr>
          <w:b/>
          <w:snapToGrid w:val="0"/>
        </w:rPr>
        <w:t xml:space="preserve"> Grunty i materiały do nasypów</w:t>
      </w:r>
    </w:p>
    <w:p w:rsidR="00044874" w:rsidRPr="00044874" w:rsidRDefault="00044874" w:rsidP="00044874">
      <w:r w:rsidRPr="00044874">
        <w:t>Grunty i materiały dopuszczone do budowy nasypów powinny spełniać wymagania określone w PN-S-02205 :1998.</w:t>
      </w:r>
    </w:p>
    <w:p w:rsidR="00044874" w:rsidRPr="00044874" w:rsidRDefault="00044874" w:rsidP="00044874">
      <w:r w:rsidRPr="00044874">
        <w:tab/>
      </w:r>
    </w:p>
    <w:p w:rsidR="00044874" w:rsidRPr="00044874" w:rsidRDefault="00044874" w:rsidP="00044874">
      <w:pPr>
        <w:pageBreakBefore/>
      </w:pPr>
      <w:r w:rsidRPr="00044874">
        <w:t>Grunty i materiały do budowy nasypów podaje tablica 1.</w:t>
      </w:r>
    </w:p>
    <w:p w:rsidR="00044874" w:rsidRPr="00044874" w:rsidRDefault="00044874" w:rsidP="00044874">
      <w:r w:rsidRPr="00044874">
        <w:t>Tablica 1. Przydatność gruntów do wykonywania budowli ziemnych wg PN-S-02205 :1998.</w:t>
      </w:r>
    </w:p>
    <w:tbl>
      <w:tblPr>
        <w:tblW w:w="0" w:type="auto"/>
        <w:tblInd w:w="-32" w:type="dxa"/>
        <w:tblLayout w:type="fixed"/>
        <w:tblCellMar>
          <w:left w:w="70" w:type="dxa"/>
          <w:right w:w="70" w:type="dxa"/>
        </w:tblCellMar>
        <w:tblLook w:val="0000" w:firstRow="0" w:lastRow="0" w:firstColumn="0" w:lastColumn="0" w:noHBand="0" w:noVBand="0"/>
      </w:tblPr>
      <w:tblGrid>
        <w:gridCol w:w="1488"/>
        <w:gridCol w:w="2551"/>
        <w:gridCol w:w="2552"/>
        <w:gridCol w:w="2758"/>
      </w:tblGrid>
      <w:tr w:rsidR="00044874" w:rsidRPr="00044874" w:rsidTr="00044874">
        <w:tc>
          <w:tcPr>
            <w:tcW w:w="1488" w:type="dxa"/>
            <w:tcBorders>
              <w:top w:val="single" w:sz="4" w:space="0" w:color="000000"/>
              <w:left w:val="single" w:sz="4" w:space="0" w:color="000000"/>
            </w:tcBorders>
            <w:shd w:val="clear" w:color="auto" w:fill="auto"/>
          </w:tcPr>
          <w:p w:rsidR="00044874" w:rsidRPr="00044874" w:rsidRDefault="00044874" w:rsidP="00044874">
            <w:pPr>
              <w:snapToGrid w:val="0"/>
              <w:spacing w:before="60"/>
              <w:jc w:val="center"/>
            </w:pPr>
            <w:r w:rsidRPr="00044874">
              <w:t>Przeznaczenie</w:t>
            </w:r>
          </w:p>
        </w:tc>
        <w:tc>
          <w:tcPr>
            <w:tcW w:w="2551" w:type="dxa"/>
            <w:tcBorders>
              <w:top w:val="single" w:sz="4" w:space="0" w:color="000000"/>
              <w:left w:val="single" w:sz="4" w:space="0" w:color="000000"/>
            </w:tcBorders>
            <w:shd w:val="clear" w:color="auto" w:fill="auto"/>
          </w:tcPr>
          <w:p w:rsidR="00044874" w:rsidRPr="00044874" w:rsidRDefault="00044874" w:rsidP="00044874">
            <w:pPr>
              <w:snapToGrid w:val="0"/>
              <w:spacing w:before="60"/>
              <w:jc w:val="center"/>
            </w:pPr>
            <w:r w:rsidRPr="00044874">
              <w:t>Przydatne</w:t>
            </w:r>
          </w:p>
        </w:tc>
        <w:tc>
          <w:tcPr>
            <w:tcW w:w="2552" w:type="dxa"/>
            <w:tcBorders>
              <w:top w:val="single" w:sz="4" w:space="0" w:color="000000"/>
              <w:left w:val="single" w:sz="4" w:space="0" w:color="000000"/>
            </w:tcBorders>
            <w:shd w:val="clear" w:color="auto" w:fill="auto"/>
          </w:tcPr>
          <w:p w:rsidR="00044874" w:rsidRPr="00044874" w:rsidRDefault="00044874" w:rsidP="00044874">
            <w:pPr>
              <w:snapToGrid w:val="0"/>
              <w:jc w:val="center"/>
            </w:pPr>
            <w:r w:rsidRPr="00044874">
              <w:t>Przydatne</w:t>
            </w:r>
          </w:p>
          <w:p w:rsidR="00044874" w:rsidRPr="00044874" w:rsidRDefault="00044874" w:rsidP="00044874">
            <w:pPr>
              <w:jc w:val="center"/>
            </w:pPr>
            <w:r w:rsidRPr="00044874">
              <w:t>z zastrzeżeniami</w:t>
            </w:r>
          </w:p>
        </w:tc>
        <w:tc>
          <w:tcPr>
            <w:tcW w:w="2758" w:type="dxa"/>
            <w:tcBorders>
              <w:top w:val="single" w:sz="4" w:space="0" w:color="000000"/>
              <w:left w:val="single" w:sz="4" w:space="0" w:color="000000"/>
              <w:right w:val="single" w:sz="4" w:space="0" w:color="000000"/>
            </w:tcBorders>
            <w:shd w:val="clear" w:color="auto" w:fill="auto"/>
          </w:tcPr>
          <w:p w:rsidR="00044874" w:rsidRPr="00044874" w:rsidRDefault="00044874" w:rsidP="00044874">
            <w:pPr>
              <w:snapToGrid w:val="0"/>
              <w:jc w:val="center"/>
            </w:pPr>
            <w:r w:rsidRPr="00044874">
              <w:t>Treść</w:t>
            </w:r>
          </w:p>
          <w:p w:rsidR="00044874" w:rsidRPr="00044874" w:rsidRDefault="00044874" w:rsidP="00044874">
            <w:pPr>
              <w:jc w:val="center"/>
            </w:pPr>
            <w:r w:rsidRPr="00044874">
              <w:t>zastrzeżenia</w:t>
            </w:r>
          </w:p>
        </w:tc>
      </w:tr>
      <w:tr w:rsidR="00044874" w:rsidRPr="00044874" w:rsidTr="00044874">
        <w:tc>
          <w:tcPr>
            <w:tcW w:w="1488" w:type="dxa"/>
            <w:tcBorders>
              <w:top w:val="single" w:sz="4" w:space="0" w:color="000000"/>
              <w:left w:val="single" w:sz="4" w:space="0" w:color="000000"/>
              <w:bottom w:val="single" w:sz="4" w:space="0" w:color="000000"/>
            </w:tcBorders>
            <w:shd w:val="clear" w:color="auto" w:fill="auto"/>
          </w:tcPr>
          <w:p w:rsidR="00044874" w:rsidRPr="00044874" w:rsidRDefault="00044874" w:rsidP="00044874">
            <w:pPr>
              <w:snapToGrid w:val="0"/>
            </w:pPr>
          </w:p>
          <w:p w:rsidR="00044874" w:rsidRPr="00044874" w:rsidRDefault="00044874" w:rsidP="00044874"/>
          <w:p w:rsidR="00044874" w:rsidRPr="00044874" w:rsidRDefault="00044874" w:rsidP="00044874"/>
          <w:p w:rsidR="00044874" w:rsidRPr="00044874" w:rsidRDefault="00044874" w:rsidP="00044874"/>
          <w:p w:rsidR="00044874" w:rsidRPr="00044874" w:rsidRDefault="00044874" w:rsidP="00044874"/>
          <w:p w:rsidR="00044874" w:rsidRPr="00044874" w:rsidRDefault="00044874" w:rsidP="00044874"/>
          <w:p w:rsidR="00044874" w:rsidRPr="00044874" w:rsidRDefault="00044874" w:rsidP="00044874"/>
          <w:p w:rsidR="00044874" w:rsidRPr="00044874" w:rsidRDefault="00044874" w:rsidP="00044874"/>
          <w:p w:rsidR="00044874" w:rsidRPr="00044874" w:rsidRDefault="00044874" w:rsidP="00044874"/>
          <w:p w:rsidR="00044874" w:rsidRPr="00044874" w:rsidRDefault="00044874" w:rsidP="00044874"/>
          <w:p w:rsidR="00044874" w:rsidRPr="00044874" w:rsidRDefault="00044874" w:rsidP="00044874"/>
          <w:p w:rsidR="00044874" w:rsidRPr="00044874" w:rsidRDefault="00044874" w:rsidP="00044874"/>
          <w:p w:rsidR="00044874" w:rsidRPr="00044874" w:rsidRDefault="00044874" w:rsidP="00044874"/>
          <w:p w:rsidR="00044874" w:rsidRPr="00044874" w:rsidRDefault="00044874" w:rsidP="00044874"/>
          <w:p w:rsidR="00044874" w:rsidRPr="00044874" w:rsidRDefault="00044874" w:rsidP="00044874">
            <w:r w:rsidRPr="00044874">
              <w:t>Na dolne warstwy nasypów poniżej strefy przemarzania</w:t>
            </w:r>
          </w:p>
        </w:tc>
        <w:tc>
          <w:tcPr>
            <w:tcW w:w="2551" w:type="dxa"/>
            <w:tcBorders>
              <w:top w:val="single" w:sz="4" w:space="0" w:color="000000"/>
              <w:left w:val="single" w:sz="4" w:space="0" w:color="000000"/>
              <w:bottom w:val="single" w:sz="4" w:space="0" w:color="000000"/>
            </w:tcBorders>
            <w:shd w:val="clear" w:color="auto" w:fill="auto"/>
          </w:tcPr>
          <w:p w:rsidR="00044874" w:rsidRPr="00044874" w:rsidRDefault="00044874" w:rsidP="00044874">
            <w:pPr>
              <w:snapToGrid w:val="0"/>
            </w:pPr>
          </w:p>
          <w:p w:rsidR="00044874" w:rsidRPr="00044874" w:rsidRDefault="00044874" w:rsidP="00044874"/>
          <w:p w:rsidR="00044874" w:rsidRPr="00044874" w:rsidRDefault="00044874" w:rsidP="00044874"/>
          <w:p w:rsidR="00044874" w:rsidRPr="00044874" w:rsidRDefault="00044874" w:rsidP="00044874"/>
          <w:p w:rsidR="00044874" w:rsidRPr="00044874" w:rsidRDefault="00044874" w:rsidP="00044874"/>
          <w:p w:rsidR="00044874" w:rsidRPr="00044874" w:rsidRDefault="00044874" w:rsidP="00044874">
            <w:r w:rsidRPr="00044874">
              <w:t>1. Rozdrobnione grunty skaliste twarde oraz grunty kamieniste, zwietrzelinowe, rumosze i otoczaki</w:t>
            </w:r>
          </w:p>
          <w:p w:rsidR="00044874" w:rsidRPr="00044874" w:rsidRDefault="00044874" w:rsidP="00044874">
            <w:r w:rsidRPr="00044874">
              <w:t>2. Żwiry i pospółki, również gliniaste</w:t>
            </w:r>
          </w:p>
          <w:p w:rsidR="00044874" w:rsidRPr="00044874" w:rsidRDefault="00044874" w:rsidP="00044874">
            <w:r w:rsidRPr="00044874">
              <w:t>3. Piaski grubo, średnio i drobnoziarniste, naturalne i łamane</w:t>
            </w:r>
          </w:p>
          <w:p w:rsidR="00044874" w:rsidRPr="00044874" w:rsidRDefault="00044874" w:rsidP="00044874">
            <w:r w:rsidRPr="00044874">
              <w:t>4. Piaski gliniaste z domieszką frakcji żwirowo-kamienistej (morenowe) o wskaźniku różnoziarnis-tości U</w:t>
            </w:r>
            <w:r w:rsidRPr="00044874">
              <w:rPr>
                <w:rFonts w:ascii="Symbol" w:hAnsi="Symbol"/>
              </w:rPr>
              <w:t></w:t>
            </w:r>
            <w:r w:rsidRPr="00044874">
              <w:t>15</w:t>
            </w:r>
          </w:p>
          <w:p w:rsidR="00044874" w:rsidRPr="00044874" w:rsidRDefault="00044874" w:rsidP="00044874">
            <w:r w:rsidRPr="00044874">
              <w:t>5. Żużle wielkopiecowe i inne metalurgiczne ze starych zwałów (powyżej 5 lat)</w:t>
            </w:r>
          </w:p>
          <w:p w:rsidR="00044874" w:rsidRPr="00044874" w:rsidRDefault="00044874" w:rsidP="00044874">
            <w:r w:rsidRPr="00044874">
              <w:t>6. Łupki przywęgłowe przepalone</w:t>
            </w:r>
          </w:p>
          <w:p w:rsidR="00044874" w:rsidRPr="00044874" w:rsidRDefault="00044874" w:rsidP="00044874">
            <w:r w:rsidRPr="00044874">
              <w:t>7. Wysiewki kamienne o zawartości frakcji iłowej poniżej 2%</w:t>
            </w:r>
          </w:p>
        </w:tc>
        <w:tc>
          <w:tcPr>
            <w:tcW w:w="2552" w:type="dxa"/>
            <w:tcBorders>
              <w:top w:val="single" w:sz="4" w:space="0" w:color="000000"/>
              <w:left w:val="single" w:sz="4" w:space="0" w:color="000000"/>
              <w:bottom w:val="single" w:sz="4" w:space="0" w:color="000000"/>
            </w:tcBorders>
            <w:shd w:val="clear" w:color="auto" w:fill="auto"/>
          </w:tcPr>
          <w:p w:rsidR="00044874" w:rsidRPr="00044874" w:rsidRDefault="00044874" w:rsidP="00044874">
            <w:pPr>
              <w:snapToGrid w:val="0"/>
            </w:pPr>
            <w:r w:rsidRPr="00044874">
              <w:t>1. Rozdrobnione grunty skaliste miękkie</w:t>
            </w:r>
          </w:p>
          <w:p w:rsidR="00044874" w:rsidRPr="00044874" w:rsidRDefault="00044874" w:rsidP="00044874"/>
          <w:p w:rsidR="00044874" w:rsidRPr="00044874" w:rsidRDefault="00044874" w:rsidP="00044874">
            <w:pPr>
              <w:pBdr>
                <w:top w:val="single" w:sz="4" w:space="1" w:color="000000"/>
              </w:pBdr>
            </w:pPr>
            <w:r w:rsidRPr="00044874">
              <w:t>2. Zwietrzeliny i rumosze gliniaste</w:t>
            </w:r>
          </w:p>
          <w:p w:rsidR="00044874" w:rsidRPr="00044874" w:rsidRDefault="00044874" w:rsidP="00044874">
            <w:r w:rsidRPr="00044874">
              <w:t>3. Piaski pylaste, piaski gliniaste, pyły piaszczyste i pyły</w:t>
            </w:r>
          </w:p>
          <w:p w:rsidR="00044874" w:rsidRPr="00044874" w:rsidRDefault="00044874" w:rsidP="00044874">
            <w:pPr>
              <w:pBdr>
                <w:top w:val="single" w:sz="4" w:space="1" w:color="000000"/>
                <w:bottom w:val="single" w:sz="4" w:space="1" w:color="000000"/>
              </w:pBdr>
            </w:pPr>
            <w:r w:rsidRPr="00044874">
              <w:t>4. Piaski próchniczne, z wyjątkiem pylastych piasków próchnicznych</w:t>
            </w:r>
          </w:p>
          <w:p w:rsidR="00044874" w:rsidRPr="00044874" w:rsidRDefault="00044874" w:rsidP="00044874">
            <w:pPr>
              <w:pBdr>
                <w:bottom w:val="single" w:sz="4" w:space="1" w:color="000000"/>
              </w:pBdr>
            </w:pPr>
            <w:r w:rsidRPr="00044874">
              <w:t>5. Gliny piaszczyste, gliny i gliny pylaste oraz inne o w</w:t>
            </w:r>
            <w:r w:rsidRPr="00044874">
              <w:rPr>
                <w:vertAlign w:val="subscript"/>
              </w:rPr>
              <w:t>L</w:t>
            </w:r>
            <w:r w:rsidRPr="00044874">
              <w:rPr>
                <w:rFonts w:ascii="Symbol" w:hAnsi="Symbol"/>
              </w:rPr>
              <w:t></w:t>
            </w:r>
            <w:r w:rsidRPr="00044874">
              <w:t xml:space="preserve"> 35%</w:t>
            </w:r>
          </w:p>
          <w:p w:rsidR="00044874" w:rsidRPr="00044874" w:rsidRDefault="00044874" w:rsidP="00044874">
            <w:pPr>
              <w:pBdr>
                <w:bottom w:val="single" w:sz="4" w:space="1" w:color="000000"/>
              </w:pBdr>
            </w:pPr>
            <w:r w:rsidRPr="00044874">
              <w:t>6. Gliny piaszczyste zwięzłe, gliny zwięzłe i gliny pylaste zwięzłe oraz inne grunty o granicy płynności w</w:t>
            </w:r>
            <w:r w:rsidRPr="00044874">
              <w:rPr>
                <w:vertAlign w:val="subscript"/>
              </w:rPr>
              <w:t>L</w:t>
            </w:r>
            <w:r w:rsidRPr="00044874">
              <w:t xml:space="preserve"> od 35 do 60%</w:t>
            </w:r>
          </w:p>
          <w:p w:rsidR="00044874" w:rsidRPr="00044874" w:rsidRDefault="00044874" w:rsidP="00044874">
            <w:r w:rsidRPr="00044874">
              <w:t>7. Wysiewki kamienne gliniaste o zawartości frakcji iłowej ponad 2%</w:t>
            </w:r>
          </w:p>
          <w:p w:rsidR="00044874" w:rsidRPr="00044874" w:rsidRDefault="00044874" w:rsidP="00044874"/>
          <w:p w:rsidR="00044874" w:rsidRPr="00044874" w:rsidRDefault="00044874" w:rsidP="00044874"/>
          <w:p w:rsidR="00044874" w:rsidRPr="00044874" w:rsidRDefault="00044874" w:rsidP="00044874">
            <w:pPr>
              <w:pBdr>
                <w:top w:val="single" w:sz="4" w:space="1" w:color="000000"/>
                <w:bottom w:val="single" w:sz="4" w:space="1" w:color="000000"/>
              </w:pBdr>
            </w:pPr>
            <w:r w:rsidRPr="00044874">
              <w:t>8. Żużle wielkopiecowe i inne metalurgiczne z nowego studzenia (do 5 lat)</w:t>
            </w:r>
          </w:p>
          <w:p w:rsidR="00044874" w:rsidRPr="00044874" w:rsidRDefault="00044874" w:rsidP="00044874">
            <w:pPr>
              <w:tabs>
                <w:tab w:val="left" w:pos="576"/>
                <w:tab w:val="left" w:pos="1008"/>
              </w:tabs>
              <w:jc w:val="both"/>
              <w:rPr>
                <w:snapToGrid w:val="0"/>
              </w:rPr>
            </w:pPr>
            <w:r w:rsidRPr="00044874">
              <w:rPr>
                <w:snapToGrid w:val="0"/>
              </w:rPr>
              <w:t>9. Iłołupki przywęglowe nieprzepalone</w:t>
            </w:r>
          </w:p>
          <w:p w:rsidR="00044874" w:rsidRPr="00044874" w:rsidRDefault="00044874" w:rsidP="00044874"/>
          <w:p w:rsidR="00044874" w:rsidRPr="00044874" w:rsidRDefault="00044874" w:rsidP="00044874">
            <w:pPr>
              <w:pBdr>
                <w:top w:val="single" w:sz="4" w:space="1" w:color="000000"/>
              </w:pBdr>
            </w:pPr>
            <w:r w:rsidRPr="00044874">
              <w:t>10. Popioły lotne i mieszaniny popiołowo-żużlowe</w:t>
            </w:r>
          </w:p>
          <w:p w:rsidR="00044874" w:rsidRPr="00044874" w:rsidRDefault="00044874" w:rsidP="00044874"/>
        </w:tc>
        <w:tc>
          <w:tcPr>
            <w:tcW w:w="2758" w:type="dxa"/>
            <w:tcBorders>
              <w:top w:val="single" w:sz="4" w:space="0" w:color="000000"/>
              <w:left w:val="single" w:sz="4" w:space="0" w:color="000000"/>
              <w:bottom w:val="single" w:sz="4" w:space="0" w:color="000000"/>
              <w:right w:val="single" w:sz="4" w:space="0" w:color="000000"/>
            </w:tcBorders>
            <w:shd w:val="clear" w:color="auto" w:fill="auto"/>
          </w:tcPr>
          <w:p w:rsidR="00044874" w:rsidRPr="00044874" w:rsidRDefault="00044874" w:rsidP="00044874">
            <w:pPr>
              <w:snapToGrid w:val="0"/>
            </w:pPr>
            <w:r w:rsidRPr="00044874">
              <w:t>- gdy pory w gruncie skalistym będą wypełnione gruntem lub materiałem drobnoziarnistym</w:t>
            </w:r>
          </w:p>
          <w:p w:rsidR="00044874" w:rsidRPr="00044874" w:rsidRDefault="00044874" w:rsidP="00044874">
            <w:pPr>
              <w:overflowPunct w:val="0"/>
              <w:autoSpaceDE w:val="0"/>
              <w:autoSpaceDN w:val="0"/>
              <w:adjustRightInd w:val="0"/>
              <w:ind w:firstLine="283"/>
              <w:jc w:val="both"/>
              <w:textAlignment w:val="baseline"/>
            </w:pPr>
            <w:r w:rsidRPr="00044874">
              <w:t>- gdy będą wbudowane w miejsca suche lub zabezpieczone od wód gruntowych i powierzchniowych</w:t>
            </w:r>
          </w:p>
          <w:p w:rsidR="00044874" w:rsidRPr="00044874" w:rsidRDefault="00044874" w:rsidP="00044874">
            <w:pPr>
              <w:pBdr>
                <w:top w:val="single" w:sz="4" w:space="1" w:color="000000"/>
                <w:bottom w:val="single" w:sz="4" w:space="1" w:color="000000"/>
              </w:pBdr>
            </w:pPr>
            <w:r w:rsidRPr="00044874">
              <w:t>- do nasypów nie wyższych niż 3 m, zabezpieczonych przed zawilgoceniem</w:t>
            </w:r>
          </w:p>
          <w:p w:rsidR="00044874" w:rsidRPr="00044874" w:rsidRDefault="00044874" w:rsidP="00044874">
            <w:pPr>
              <w:tabs>
                <w:tab w:val="left" w:pos="576"/>
                <w:tab w:val="left" w:pos="1008"/>
              </w:tabs>
              <w:jc w:val="both"/>
              <w:rPr>
                <w:snapToGrid w:val="0"/>
              </w:rPr>
            </w:pPr>
            <w:r w:rsidRPr="00044874">
              <w:rPr>
                <w:snapToGrid w:val="0"/>
              </w:rPr>
              <w:t>- w miejscach suchych lub przejściowo zawilgoconych</w:t>
            </w:r>
          </w:p>
          <w:p w:rsidR="00044874" w:rsidRPr="00044874" w:rsidRDefault="00044874" w:rsidP="00044874">
            <w:pPr>
              <w:pBdr>
                <w:bottom w:val="single" w:sz="4" w:space="1" w:color="000000"/>
              </w:pBdr>
            </w:pPr>
          </w:p>
          <w:p w:rsidR="00044874" w:rsidRPr="00044874" w:rsidRDefault="00044874" w:rsidP="00044874">
            <w:r w:rsidRPr="00044874">
              <w:t>- do nasypów nie wyższych niż 3 m: zabezpieczonych przed zawilgoceniem lub po ulepszeniu spoiwami</w:t>
            </w:r>
          </w:p>
          <w:p w:rsidR="00044874" w:rsidRPr="00044874" w:rsidRDefault="00044874" w:rsidP="00044874">
            <w:pPr>
              <w:pBdr>
                <w:bottom w:val="single" w:sz="4" w:space="1" w:color="000000"/>
              </w:pBdr>
            </w:pPr>
          </w:p>
          <w:p w:rsidR="00044874" w:rsidRPr="00044874" w:rsidRDefault="00044874" w:rsidP="00044874">
            <w:r w:rsidRPr="00044874">
              <w:t>- gdy zwierciadło wody gruntowej znajduje się na głębokości większej od kapilarności biernej gruntu podłoża</w:t>
            </w:r>
          </w:p>
          <w:p w:rsidR="00044874" w:rsidRPr="00044874" w:rsidRDefault="00044874" w:rsidP="00044874">
            <w:pPr>
              <w:pBdr>
                <w:top w:val="single" w:sz="4" w:space="1" w:color="000000"/>
                <w:bottom w:val="single" w:sz="4" w:space="1" w:color="000000"/>
              </w:pBdr>
            </w:pPr>
            <w:r w:rsidRPr="00044874">
              <w:t>- o ograniczonej podatności na rozpad - łączne straty masy do 5%</w:t>
            </w:r>
          </w:p>
          <w:p w:rsidR="00044874" w:rsidRPr="00044874" w:rsidRDefault="00044874" w:rsidP="00044874">
            <w:pPr>
              <w:pBdr>
                <w:bottom w:val="single" w:sz="4" w:space="1" w:color="000000"/>
              </w:pBdr>
            </w:pPr>
            <w:r w:rsidRPr="00044874">
              <w:t>- gdy wolne przestrzenie zostaną wypełnione materiałem drobnoziarnistym</w:t>
            </w:r>
          </w:p>
          <w:p w:rsidR="00044874" w:rsidRPr="00044874" w:rsidRDefault="00044874" w:rsidP="00044874">
            <w:r w:rsidRPr="00044874">
              <w:t>- gdy zalegają w miejscach suchych lub są izolowane od wody</w:t>
            </w:r>
          </w:p>
        </w:tc>
      </w:tr>
      <w:tr w:rsidR="00044874" w:rsidRPr="00044874" w:rsidTr="00044874">
        <w:tc>
          <w:tcPr>
            <w:tcW w:w="1488" w:type="dxa"/>
            <w:tcBorders>
              <w:left w:val="single" w:sz="4" w:space="0" w:color="000000"/>
              <w:bottom w:val="single" w:sz="4" w:space="0" w:color="000000"/>
            </w:tcBorders>
            <w:shd w:val="clear" w:color="auto" w:fill="auto"/>
          </w:tcPr>
          <w:p w:rsidR="00044874" w:rsidRPr="00044874" w:rsidRDefault="00044874" w:rsidP="00044874">
            <w:pPr>
              <w:snapToGrid w:val="0"/>
            </w:pPr>
          </w:p>
          <w:p w:rsidR="00044874" w:rsidRPr="00044874" w:rsidRDefault="00044874" w:rsidP="00044874"/>
          <w:p w:rsidR="00044874" w:rsidRPr="00044874" w:rsidRDefault="00044874" w:rsidP="00044874"/>
          <w:p w:rsidR="00044874" w:rsidRPr="00044874" w:rsidRDefault="00044874" w:rsidP="00044874"/>
          <w:p w:rsidR="00044874" w:rsidRPr="00044874" w:rsidRDefault="00044874" w:rsidP="00044874">
            <w:r w:rsidRPr="00044874">
              <w:t>Na górne warstwy na-</w:t>
            </w:r>
          </w:p>
          <w:p w:rsidR="00044874" w:rsidRPr="00044874" w:rsidRDefault="00044874" w:rsidP="00044874">
            <w:r w:rsidRPr="00044874">
              <w:t>sypów w stre-</w:t>
            </w:r>
          </w:p>
          <w:p w:rsidR="00044874" w:rsidRPr="00044874" w:rsidRDefault="00044874" w:rsidP="00044874">
            <w:r w:rsidRPr="00044874">
              <w:t>fie przemar-</w:t>
            </w:r>
          </w:p>
          <w:p w:rsidR="00044874" w:rsidRPr="00044874" w:rsidRDefault="00044874" w:rsidP="00044874">
            <w:r w:rsidRPr="00044874">
              <w:t>zania</w:t>
            </w:r>
          </w:p>
        </w:tc>
        <w:tc>
          <w:tcPr>
            <w:tcW w:w="2551" w:type="dxa"/>
            <w:tcBorders>
              <w:left w:val="single" w:sz="4" w:space="0" w:color="000000"/>
              <w:bottom w:val="single" w:sz="4" w:space="0" w:color="000000"/>
            </w:tcBorders>
            <w:shd w:val="clear" w:color="auto" w:fill="auto"/>
          </w:tcPr>
          <w:p w:rsidR="00044874" w:rsidRPr="00044874" w:rsidRDefault="00044874" w:rsidP="00044874">
            <w:pPr>
              <w:snapToGrid w:val="0"/>
            </w:pPr>
          </w:p>
          <w:p w:rsidR="00044874" w:rsidRPr="00044874" w:rsidRDefault="00044874" w:rsidP="00044874">
            <w:r w:rsidRPr="00044874">
              <w:t>1. Żwiry i pospółki</w:t>
            </w:r>
          </w:p>
          <w:p w:rsidR="00044874" w:rsidRPr="00044874" w:rsidRDefault="00044874" w:rsidP="00044874">
            <w:r w:rsidRPr="00044874">
              <w:t>2. Piaski grubo i średnio-</w:t>
            </w:r>
          </w:p>
          <w:p w:rsidR="00044874" w:rsidRPr="00044874" w:rsidRDefault="00044874" w:rsidP="00044874">
            <w:r w:rsidRPr="00044874">
              <w:t>ziarniste</w:t>
            </w:r>
          </w:p>
          <w:p w:rsidR="00044874" w:rsidRPr="00044874" w:rsidRDefault="00044874" w:rsidP="00044874">
            <w:r w:rsidRPr="00044874">
              <w:t>3. Iłołupki przywęglowe przepalone zawierające mniej niż 15% ziarn mniej-</w:t>
            </w:r>
          </w:p>
          <w:p w:rsidR="00044874" w:rsidRPr="00044874" w:rsidRDefault="00044874" w:rsidP="00044874">
            <w:r w:rsidRPr="00044874">
              <w:t>szych od 0,075 mm</w:t>
            </w:r>
          </w:p>
          <w:p w:rsidR="00044874" w:rsidRPr="00044874" w:rsidRDefault="00044874" w:rsidP="00044874">
            <w:r w:rsidRPr="00044874">
              <w:t>4. Wysiewki kamienne o uziarnieniu odpowiadają-</w:t>
            </w:r>
          </w:p>
          <w:p w:rsidR="00044874" w:rsidRPr="00044874" w:rsidRDefault="00044874" w:rsidP="00044874">
            <w:r w:rsidRPr="00044874">
              <w:t>cym pospółkom lub żwirom</w:t>
            </w:r>
          </w:p>
        </w:tc>
        <w:tc>
          <w:tcPr>
            <w:tcW w:w="2552" w:type="dxa"/>
            <w:tcBorders>
              <w:left w:val="single" w:sz="4" w:space="0" w:color="000000"/>
              <w:bottom w:val="single" w:sz="4" w:space="0" w:color="000000"/>
            </w:tcBorders>
            <w:shd w:val="clear" w:color="auto" w:fill="auto"/>
          </w:tcPr>
          <w:p w:rsidR="00044874" w:rsidRPr="00044874" w:rsidRDefault="00044874" w:rsidP="00044874">
            <w:pPr>
              <w:snapToGrid w:val="0"/>
            </w:pPr>
            <w:r w:rsidRPr="00044874">
              <w:t>1. Żwiry i pospółki gliniaste</w:t>
            </w:r>
          </w:p>
          <w:p w:rsidR="00044874" w:rsidRPr="00044874" w:rsidRDefault="00044874" w:rsidP="00044874">
            <w:r w:rsidRPr="00044874">
              <w:t>2. Piaski pylaste i gliniaste</w:t>
            </w:r>
          </w:p>
          <w:p w:rsidR="00044874" w:rsidRPr="00044874" w:rsidRDefault="00044874" w:rsidP="00044874">
            <w:r w:rsidRPr="00044874">
              <w:t>3. Pyły piaszczyste i pyły</w:t>
            </w:r>
          </w:p>
          <w:p w:rsidR="00044874" w:rsidRPr="00044874" w:rsidRDefault="00044874" w:rsidP="00044874">
            <w:r w:rsidRPr="00044874">
              <w:t>4. Gliny o granicy płynności mniejszej niż 35%</w:t>
            </w:r>
          </w:p>
          <w:p w:rsidR="00044874" w:rsidRPr="00044874" w:rsidRDefault="00044874" w:rsidP="00044874">
            <w:r w:rsidRPr="00044874">
              <w:t>5. Mieszaniny popiołowo-żużlowe z węgla kamiennego</w:t>
            </w:r>
          </w:p>
          <w:p w:rsidR="00044874" w:rsidRPr="00044874" w:rsidRDefault="00044874" w:rsidP="00044874">
            <w:r w:rsidRPr="00044874">
              <w:t xml:space="preserve">6. Wysiewki kamienne gliniaste o zawartości frakcji iłowej </w:t>
            </w:r>
            <w:r w:rsidRPr="00044874">
              <w:rPr>
                <w:rFonts w:ascii="Symbol" w:hAnsi="Symbol"/>
              </w:rPr>
              <w:t></w:t>
            </w:r>
            <w:r w:rsidRPr="00044874">
              <w:t>2%</w:t>
            </w:r>
          </w:p>
          <w:p w:rsidR="00044874" w:rsidRPr="00044874" w:rsidRDefault="00044874" w:rsidP="00044874">
            <w:pPr>
              <w:pBdr>
                <w:top w:val="single" w:sz="4" w:space="1" w:color="000000"/>
                <w:bottom w:val="single" w:sz="4" w:space="1" w:color="000000"/>
              </w:pBdr>
            </w:pPr>
            <w:r w:rsidRPr="00044874">
              <w:t>7. Żużle wielkopiecowe i inne metalurgiczne</w:t>
            </w:r>
          </w:p>
          <w:p w:rsidR="00044874" w:rsidRPr="00044874" w:rsidRDefault="00044874" w:rsidP="00044874">
            <w:r w:rsidRPr="00044874">
              <w:t>8. Piaski drobnoziarniste</w:t>
            </w:r>
          </w:p>
        </w:tc>
        <w:tc>
          <w:tcPr>
            <w:tcW w:w="2758" w:type="dxa"/>
            <w:tcBorders>
              <w:left w:val="single" w:sz="4" w:space="0" w:color="000000"/>
              <w:bottom w:val="single" w:sz="4" w:space="0" w:color="000000"/>
              <w:right w:val="single" w:sz="4" w:space="0" w:color="000000"/>
            </w:tcBorders>
            <w:shd w:val="clear" w:color="auto" w:fill="auto"/>
          </w:tcPr>
          <w:p w:rsidR="00044874" w:rsidRPr="00044874" w:rsidRDefault="00044874" w:rsidP="00044874">
            <w:pPr>
              <w:snapToGrid w:val="0"/>
            </w:pPr>
          </w:p>
          <w:p w:rsidR="00044874" w:rsidRPr="00044874" w:rsidRDefault="00044874" w:rsidP="00044874"/>
          <w:p w:rsidR="00044874" w:rsidRPr="00044874" w:rsidRDefault="00044874" w:rsidP="00044874"/>
          <w:p w:rsidR="00044874" w:rsidRPr="00044874" w:rsidRDefault="00044874" w:rsidP="00044874">
            <w:r w:rsidRPr="00044874">
              <w:t>- pod warunkiem ulepszenia tych gruntów spoiwami, takimi jak: cement, wapno, aktywne popioły itp.</w:t>
            </w:r>
          </w:p>
          <w:p w:rsidR="00044874" w:rsidRPr="00044874" w:rsidRDefault="00044874" w:rsidP="00044874"/>
          <w:p w:rsidR="00044874" w:rsidRPr="00044874" w:rsidRDefault="00044874" w:rsidP="00044874"/>
          <w:p w:rsidR="00044874" w:rsidRPr="00044874" w:rsidRDefault="00044874" w:rsidP="00044874">
            <w:pPr>
              <w:pBdr>
                <w:top w:val="single" w:sz="4" w:space="1" w:color="000000"/>
              </w:pBdr>
            </w:pPr>
            <w:r w:rsidRPr="00044874">
              <w:t>- drobnoziarniste i  nierozpado-</w:t>
            </w:r>
          </w:p>
          <w:p w:rsidR="00044874" w:rsidRPr="00044874" w:rsidRDefault="00044874" w:rsidP="00044874">
            <w:pPr>
              <w:pBdr>
                <w:bottom w:val="single" w:sz="4" w:space="1" w:color="000000"/>
              </w:pBdr>
            </w:pPr>
            <w:r w:rsidRPr="00044874">
              <w:t>we: straty masy do 1%</w:t>
            </w:r>
          </w:p>
          <w:p w:rsidR="00044874" w:rsidRPr="00044874" w:rsidRDefault="00044874" w:rsidP="00044874">
            <w:r w:rsidRPr="00044874">
              <w:t>- o wskaźniku nośności w</w:t>
            </w:r>
            <w:r w:rsidRPr="00044874">
              <w:rPr>
                <w:vertAlign w:val="subscript"/>
              </w:rPr>
              <w:t>noś</w:t>
            </w:r>
            <w:r w:rsidRPr="00044874">
              <w:rPr>
                <w:rFonts w:ascii="Symbol" w:hAnsi="Symbol"/>
              </w:rPr>
              <w:t></w:t>
            </w:r>
            <w:r w:rsidRPr="00044874">
              <w:t>10</w:t>
            </w:r>
          </w:p>
        </w:tc>
      </w:tr>
      <w:tr w:rsidR="00044874" w:rsidRPr="00044874" w:rsidTr="00044874">
        <w:tc>
          <w:tcPr>
            <w:tcW w:w="1488" w:type="dxa"/>
            <w:tcBorders>
              <w:left w:val="single" w:sz="4" w:space="0" w:color="000000"/>
              <w:bottom w:val="single" w:sz="4" w:space="0" w:color="000000"/>
            </w:tcBorders>
            <w:shd w:val="clear" w:color="auto" w:fill="auto"/>
          </w:tcPr>
          <w:p w:rsidR="00044874" w:rsidRPr="00044874" w:rsidRDefault="00044874" w:rsidP="00044874">
            <w:pPr>
              <w:snapToGrid w:val="0"/>
            </w:pPr>
            <w:r w:rsidRPr="00044874">
              <w:t>W wykopach i miejscach zerowych do głębokości przemarzania</w:t>
            </w:r>
          </w:p>
        </w:tc>
        <w:tc>
          <w:tcPr>
            <w:tcW w:w="2551" w:type="dxa"/>
            <w:tcBorders>
              <w:left w:val="single" w:sz="4" w:space="0" w:color="000000"/>
              <w:bottom w:val="single" w:sz="4" w:space="0" w:color="000000"/>
            </w:tcBorders>
            <w:shd w:val="clear" w:color="auto" w:fill="auto"/>
          </w:tcPr>
          <w:p w:rsidR="00044874" w:rsidRPr="00044874" w:rsidRDefault="00044874" w:rsidP="00044874">
            <w:pPr>
              <w:snapToGrid w:val="0"/>
            </w:pPr>
          </w:p>
          <w:p w:rsidR="00044874" w:rsidRPr="00044874" w:rsidRDefault="00044874" w:rsidP="00044874"/>
          <w:p w:rsidR="00044874" w:rsidRPr="00044874" w:rsidRDefault="00044874" w:rsidP="00044874">
            <w:r w:rsidRPr="00044874">
              <w:t>Grunty niewysadzinowe</w:t>
            </w:r>
          </w:p>
        </w:tc>
        <w:tc>
          <w:tcPr>
            <w:tcW w:w="2552" w:type="dxa"/>
            <w:tcBorders>
              <w:left w:val="single" w:sz="4" w:space="0" w:color="000000"/>
              <w:bottom w:val="single" w:sz="4" w:space="0" w:color="000000"/>
            </w:tcBorders>
            <w:shd w:val="clear" w:color="auto" w:fill="auto"/>
          </w:tcPr>
          <w:p w:rsidR="00044874" w:rsidRPr="00044874" w:rsidRDefault="00044874" w:rsidP="00044874">
            <w:pPr>
              <w:snapToGrid w:val="0"/>
            </w:pPr>
          </w:p>
          <w:p w:rsidR="00044874" w:rsidRPr="00044874" w:rsidRDefault="00044874" w:rsidP="00044874"/>
          <w:p w:rsidR="00044874" w:rsidRPr="00044874" w:rsidRDefault="00044874" w:rsidP="00044874">
            <w:r w:rsidRPr="00044874">
              <w:t>Grunty wątpliwe i wysadzinowe</w:t>
            </w:r>
          </w:p>
        </w:tc>
        <w:tc>
          <w:tcPr>
            <w:tcW w:w="2758" w:type="dxa"/>
            <w:tcBorders>
              <w:left w:val="single" w:sz="4" w:space="0" w:color="000000"/>
              <w:bottom w:val="single" w:sz="4" w:space="0" w:color="000000"/>
              <w:right w:val="single" w:sz="4" w:space="0" w:color="000000"/>
            </w:tcBorders>
            <w:shd w:val="clear" w:color="auto" w:fill="auto"/>
          </w:tcPr>
          <w:p w:rsidR="00044874" w:rsidRPr="00044874" w:rsidRDefault="00044874" w:rsidP="00044874">
            <w:pPr>
              <w:snapToGrid w:val="0"/>
            </w:pPr>
          </w:p>
          <w:p w:rsidR="00044874" w:rsidRPr="00044874" w:rsidRDefault="00044874" w:rsidP="00044874">
            <w:r w:rsidRPr="00044874">
              <w:t>- gdy są ulepszane spoiwami (cementem, wapnem, aktywnymi popiołami itp.)</w:t>
            </w:r>
          </w:p>
        </w:tc>
      </w:tr>
    </w:tbl>
    <w:p w:rsidR="00044874" w:rsidRDefault="00044874" w:rsidP="00044874">
      <w:pPr>
        <w:widowControl w:val="0"/>
      </w:pPr>
    </w:p>
    <w:p w:rsidR="00D2241A" w:rsidRPr="00044874" w:rsidRDefault="00D2241A" w:rsidP="00044874">
      <w:pPr>
        <w:widowControl w:val="0"/>
      </w:pPr>
    </w:p>
    <w:p w:rsidR="00044874" w:rsidRPr="00044874" w:rsidRDefault="00044874" w:rsidP="00044874">
      <w:pPr>
        <w:widowControl w:val="0"/>
        <w:spacing w:before="120" w:after="120"/>
        <w:rPr>
          <w:b/>
          <w:u w:val="single"/>
        </w:rPr>
      </w:pPr>
      <w:r w:rsidRPr="00044874">
        <w:rPr>
          <w:b/>
          <w:u w:val="single"/>
        </w:rPr>
        <w:t>3. SPRZĘT</w:t>
      </w:r>
    </w:p>
    <w:p w:rsidR="00044874" w:rsidRPr="00044874" w:rsidRDefault="00044874" w:rsidP="00044874">
      <w:pPr>
        <w:widowControl w:val="0"/>
        <w:rPr>
          <w:b/>
        </w:rPr>
      </w:pPr>
      <w:r w:rsidRPr="00044874">
        <w:rPr>
          <w:b/>
        </w:rPr>
        <w:t>3.1. Ogólne wymagania dotyczące sprzętu</w:t>
      </w:r>
    </w:p>
    <w:p w:rsidR="00044874" w:rsidRPr="00044874" w:rsidRDefault="00044874" w:rsidP="00044874">
      <w:r w:rsidRPr="00044874">
        <w:tab/>
        <w:t xml:space="preserve">Ogólne wymagania i ustalenia dotyczące sprzętu określono w </w:t>
      </w:r>
      <w:r w:rsidR="00646246" w:rsidRPr="00044874">
        <w:t xml:space="preserve">ST </w:t>
      </w:r>
      <w:r w:rsidR="00423A6C">
        <w:t>M.11</w:t>
      </w:r>
      <w:r w:rsidR="00646246">
        <w:t>.00.00</w:t>
      </w:r>
      <w:r w:rsidR="00646246" w:rsidRPr="00044874">
        <w:t>.</w:t>
      </w:r>
    </w:p>
    <w:p w:rsidR="00044874" w:rsidRPr="00044874" w:rsidRDefault="00044874" w:rsidP="00044874">
      <w:pPr>
        <w:widowControl w:val="0"/>
        <w:rPr>
          <w:b/>
        </w:rPr>
      </w:pPr>
      <w:r w:rsidRPr="00044874">
        <w:rPr>
          <w:b/>
        </w:rPr>
        <w:t>3.2. Dobór sprzętu zagęszczającego</w:t>
      </w:r>
    </w:p>
    <w:p w:rsidR="00044874" w:rsidRPr="00044874" w:rsidRDefault="00044874" w:rsidP="00044874">
      <w:r w:rsidRPr="00044874">
        <w:t xml:space="preserve">W tablicy 2 podano, dla różnych rodzajów gruntów, orientacyjne dane przy doborze sprzętu zagęszczającego. Sprzęt do zagęszczania powinien </w:t>
      </w:r>
      <w:r w:rsidR="003614CE">
        <w:t xml:space="preserve">być zatwierdzony przez </w:t>
      </w:r>
      <w:r w:rsidR="002C4284">
        <w:t xml:space="preserve">przedstawiciela </w:t>
      </w:r>
      <w:r w:rsidR="003614CE">
        <w:t>Zamawiającego</w:t>
      </w:r>
      <w:r w:rsidRPr="00044874">
        <w:t>.</w:t>
      </w:r>
    </w:p>
    <w:p w:rsidR="00044874" w:rsidRPr="00044874" w:rsidRDefault="00044874" w:rsidP="00044874">
      <w:pPr>
        <w:spacing w:before="120" w:after="120"/>
      </w:pPr>
      <w:r w:rsidRPr="00044874">
        <w:t>Tablica 2. Orientacyjne dane przy doborze sprzętu zagęszczającego</w:t>
      </w:r>
    </w:p>
    <w:tbl>
      <w:tblPr>
        <w:tblW w:w="0" w:type="auto"/>
        <w:tblInd w:w="-32" w:type="dxa"/>
        <w:tblLayout w:type="fixed"/>
        <w:tblCellMar>
          <w:left w:w="70" w:type="dxa"/>
          <w:right w:w="70" w:type="dxa"/>
        </w:tblCellMar>
        <w:tblLook w:val="0000" w:firstRow="0" w:lastRow="0" w:firstColumn="0" w:lastColumn="0" w:noHBand="0" w:noVBand="0"/>
      </w:tblPr>
      <w:tblGrid>
        <w:gridCol w:w="2055"/>
        <w:gridCol w:w="1134"/>
        <w:gridCol w:w="992"/>
        <w:gridCol w:w="851"/>
        <w:gridCol w:w="992"/>
        <w:gridCol w:w="992"/>
        <w:gridCol w:w="992"/>
        <w:gridCol w:w="774"/>
      </w:tblGrid>
      <w:tr w:rsidR="00044874" w:rsidRPr="00044874" w:rsidTr="00044874">
        <w:trPr>
          <w:cantSplit/>
          <w:trHeight w:val="283"/>
        </w:trPr>
        <w:tc>
          <w:tcPr>
            <w:tcW w:w="2055" w:type="dxa"/>
            <w:tcBorders>
              <w:top w:val="single" w:sz="4" w:space="0" w:color="000000"/>
              <w:left w:val="single" w:sz="4" w:space="0" w:color="000000"/>
            </w:tcBorders>
            <w:shd w:val="clear" w:color="auto" w:fill="auto"/>
          </w:tcPr>
          <w:p w:rsidR="00044874" w:rsidRPr="00044874" w:rsidRDefault="00044874" w:rsidP="00044874">
            <w:pPr>
              <w:snapToGrid w:val="0"/>
            </w:pPr>
          </w:p>
          <w:p w:rsidR="00044874" w:rsidRPr="00044874" w:rsidRDefault="00044874" w:rsidP="00044874">
            <w:pPr>
              <w:jc w:val="center"/>
            </w:pPr>
          </w:p>
        </w:tc>
        <w:tc>
          <w:tcPr>
            <w:tcW w:w="5953" w:type="dxa"/>
            <w:gridSpan w:val="6"/>
            <w:tcBorders>
              <w:top w:val="single" w:sz="4" w:space="0" w:color="000000"/>
              <w:left w:val="single" w:sz="4" w:space="0" w:color="000000"/>
              <w:bottom w:val="single" w:sz="4" w:space="0" w:color="000000"/>
            </w:tcBorders>
            <w:shd w:val="clear" w:color="auto" w:fill="auto"/>
          </w:tcPr>
          <w:p w:rsidR="00044874" w:rsidRPr="00044874" w:rsidRDefault="00044874" w:rsidP="00044874">
            <w:pPr>
              <w:snapToGrid w:val="0"/>
              <w:spacing w:before="60"/>
              <w:jc w:val="center"/>
            </w:pPr>
            <w:r w:rsidRPr="00044874">
              <w:t>Rodzaje gruntu</w:t>
            </w:r>
          </w:p>
        </w:tc>
        <w:tc>
          <w:tcPr>
            <w:tcW w:w="774" w:type="dxa"/>
            <w:tcBorders>
              <w:top w:val="single" w:sz="4" w:space="0" w:color="000000"/>
              <w:left w:val="single" w:sz="4" w:space="0" w:color="000000"/>
              <w:right w:val="single" w:sz="4" w:space="0" w:color="000000"/>
            </w:tcBorders>
            <w:shd w:val="clear" w:color="auto" w:fill="auto"/>
          </w:tcPr>
          <w:p w:rsidR="00044874" w:rsidRPr="00044874" w:rsidRDefault="00044874" w:rsidP="00044874">
            <w:pPr>
              <w:snapToGrid w:val="0"/>
              <w:jc w:val="both"/>
            </w:pPr>
          </w:p>
        </w:tc>
      </w:tr>
      <w:tr w:rsidR="00044874" w:rsidRPr="00044874" w:rsidTr="00044874">
        <w:trPr>
          <w:cantSplit/>
          <w:trHeight w:val="180"/>
        </w:trPr>
        <w:tc>
          <w:tcPr>
            <w:tcW w:w="2055" w:type="dxa"/>
            <w:tcBorders>
              <w:left w:val="single" w:sz="4" w:space="0" w:color="000000"/>
            </w:tcBorders>
            <w:shd w:val="clear" w:color="auto" w:fill="auto"/>
          </w:tcPr>
          <w:p w:rsidR="00044874" w:rsidRPr="00044874" w:rsidRDefault="00044874" w:rsidP="00044874">
            <w:pPr>
              <w:snapToGrid w:val="0"/>
              <w:jc w:val="center"/>
            </w:pPr>
            <w:r w:rsidRPr="00044874">
              <w:t>Rodzaje</w:t>
            </w:r>
          </w:p>
          <w:p w:rsidR="00044874" w:rsidRPr="00044874" w:rsidRDefault="00044874" w:rsidP="00044874">
            <w:pPr>
              <w:jc w:val="center"/>
            </w:pPr>
            <w:r w:rsidRPr="00044874">
              <w:t>urządzeń</w:t>
            </w:r>
          </w:p>
        </w:tc>
        <w:tc>
          <w:tcPr>
            <w:tcW w:w="2126" w:type="dxa"/>
            <w:gridSpan w:val="2"/>
            <w:tcBorders>
              <w:left w:val="single" w:sz="4" w:space="0" w:color="000000"/>
            </w:tcBorders>
            <w:shd w:val="clear" w:color="auto" w:fill="auto"/>
          </w:tcPr>
          <w:p w:rsidR="00044874" w:rsidRPr="00044874" w:rsidRDefault="00044874" w:rsidP="00044874">
            <w:pPr>
              <w:snapToGrid w:val="0"/>
              <w:jc w:val="center"/>
            </w:pPr>
            <w:r w:rsidRPr="00044874">
              <w:t>niespoiste: piaski, żwiry, pospółki</w:t>
            </w:r>
          </w:p>
        </w:tc>
        <w:tc>
          <w:tcPr>
            <w:tcW w:w="1843" w:type="dxa"/>
            <w:gridSpan w:val="2"/>
            <w:tcBorders>
              <w:left w:val="single" w:sz="4" w:space="0" w:color="000000"/>
              <w:bottom w:val="single" w:sz="4" w:space="0" w:color="000000"/>
            </w:tcBorders>
            <w:shd w:val="clear" w:color="auto" w:fill="auto"/>
          </w:tcPr>
          <w:p w:rsidR="00044874" w:rsidRPr="00044874" w:rsidRDefault="00044874" w:rsidP="00044874">
            <w:pPr>
              <w:snapToGrid w:val="0"/>
              <w:spacing w:before="60"/>
              <w:jc w:val="center"/>
            </w:pPr>
            <w:r w:rsidRPr="00044874">
              <w:t>spoiste: pyły gliny, iły</w:t>
            </w:r>
          </w:p>
        </w:tc>
        <w:tc>
          <w:tcPr>
            <w:tcW w:w="1984" w:type="dxa"/>
            <w:gridSpan w:val="2"/>
            <w:tcBorders>
              <w:left w:val="single" w:sz="4" w:space="0" w:color="000000"/>
              <w:bottom w:val="single" w:sz="4" w:space="0" w:color="000000"/>
            </w:tcBorders>
            <w:shd w:val="clear" w:color="auto" w:fill="auto"/>
          </w:tcPr>
          <w:p w:rsidR="00044874" w:rsidRPr="00044874" w:rsidRDefault="00044874" w:rsidP="00044874">
            <w:pPr>
              <w:snapToGrid w:val="0"/>
              <w:jc w:val="center"/>
            </w:pPr>
            <w:r w:rsidRPr="00044874">
              <w:t xml:space="preserve">gruboziarniste </w:t>
            </w:r>
          </w:p>
          <w:p w:rsidR="00044874" w:rsidRPr="00044874" w:rsidRDefault="00044874" w:rsidP="00044874">
            <w:pPr>
              <w:jc w:val="center"/>
            </w:pPr>
            <w:r w:rsidRPr="00044874">
              <w:t>i kamieniste</w:t>
            </w:r>
          </w:p>
        </w:tc>
        <w:tc>
          <w:tcPr>
            <w:tcW w:w="774" w:type="dxa"/>
            <w:tcBorders>
              <w:left w:val="single" w:sz="4" w:space="0" w:color="000000"/>
              <w:right w:val="single" w:sz="4" w:space="0" w:color="000000"/>
            </w:tcBorders>
            <w:shd w:val="clear" w:color="auto" w:fill="auto"/>
          </w:tcPr>
          <w:p w:rsidR="00044874" w:rsidRPr="00044874" w:rsidRDefault="00044874" w:rsidP="00044874">
            <w:pPr>
              <w:snapToGrid w:val="0"/>
              <w:jc w:val="center"/>
            </w:pPr>
            <w:r w:rsidRPr="00044874">
              <w:t>Uwagi o przydat-</w:t>
            </w:r>
          </w:p>
        </w:tc>
      </w:tr>
      <w:tr w:rsidR="00044874" w:rsidRPr="00044874" w:rsidTr="00044874">
        <w:trPr>
          <w:cantSplit/>
        </w:trPr>
        <w:tc>
          <w:tcPr>
            <w:tcW w:w="2055" w:type="dxa"/>
            <w:tcBorders>
              <w:left w:val="single" w:sz="4" w:space="0" w:color="000000"/>
              <w:bottom w:val="single" w:sz="4" w:space="0" w:color="000000"/>
            </w:tcBorders>
            <w:shd w:val="clear" w:color="auto" w:fill="auto"/>
          </w:tcPr>
          <w:p w:rsidR="00044874" w:rsidRPr="00044874" w:rsidRDefault="00044874" w:rsidP="00044874">
            <w:pPr>
              <w:snapToGrid w:val="0"/>
              <w:jc w:val="center"/>
            </w:pPr>
            <w:r w:rsidRPr="00044874">
              <w:t>zagęszczających</w:t>
            </w:r>
          </w:p>
        </w:tc>
        <w:tc>
          <w:tcPr>
            <w:tcW w:w="1134" w:type="dxa"/>
            <w:tcBorders>
              <w:top w:val="single" w:sz="4" w:space="0" w:color="000000"/>
              <w:left w:val="single" w:sz="4" w:space="0" w:color="000000"/>
              <w:bottom w:val="single" w:sz="4" w:space="0" w:color="000000"/>
            </w:tcBorders>
            <w:shd w:val="clear" w:color="auto" w:fill="auto"/>
          </w:tcPr>
          <w:p w:rsidR="00044874" w:rsidRPr="00044874" w:rsidRDefault="00044874" w:rsidP="00044874">
            <w:pPr>
              <w:snapToGrid w:val="0"/>
              <w:jc w:val="center"/>
            </w:pPr>
            <w:r w:rsidRPr="00044874">
              <w:t>grubość warstwy</w:t>
            </w:r>
          </w:p>
          <w:p w:rsidR="00044874" w:rsidRPr="00044874" w:rsidRDefault="00044874" w:rsidP="00044874">
            <w:pPr>
              <w:jc w:val="center"/>
            </w:pPr>
            <w:r w:rsidRPr="00044874">
              <w:t>[ m ]</w:t>
            </w:r>
          </w:p>
        </w:tc>
        <w:tc>
          <w:tcPr>
            <w:tcW w:w="992" w:type="dxa"/>
            <w:tcBorders>
              <w:top w:val="single" w:sz="4" w:space="0" w:color="000000"/>
              <w:left w:val="single" w:sz="4" w:space="0" w:color="000000"/>
              <w:bottom w:val="single" w:sz="4" w:space="0" w:color="000000"/>
            </w:tcBorders>
            <w:shd w:val="clear" w:color="auto" w:fill="auto"/>
          </w:tcPr>
          <w:p w:rsidR="00044874" w:rsidRPr="00044874" w:rsidRDefault="00044874" w:rsidP="00044874">
            <w:pPr>
              <w:snapToGrid w:val="0"/>
              <w:jc w:val="center"/>
            </w:pPr>
            <w:r w:rsidRPr="00044874">
              <w:t>liczba przejść</w:t>
            </w:r>
          </w:p>
          <w:p w:rsidR="00044874" w:rsidRPr="00044874" w:rsidRDefault="00044874" w:rsidP="00044874">
            <w:pPr>
              <w:jc w:val="center"/>
            </w:pPr>
            <w:r w:rsidRPr="00044874">
              <w:t>n ***</w:t>
            </w:r>
          </w:p>
        </w:tc>
        <w:tc>
          <w:tcPr>
            <w:tcW w:w="851" w:type="dxa"/>
            <w:tcBorders>
              <w:left w:val="single" w:sz="4" w:space="0" w:color="000000"/>
              <w:bottom w:val="single" w:sz="4" w:space="0" w:color="000000"/>
            </w:tcBorders>
            <w:shd w:val="clear" w:color="auto" w:fill="auto"/>
          </w:tcPr>
          <w:p w:rsidR="00044874" w:rsidRPr="00044874" w:rsidRDefault="00044874" w:rsidP="00044874">
            <w:pPr>
              <w:snapToGrid w:val="0"/>
              <w:jc w:val="center"/>
            </w:pPr>
            <w:r w:rsidRPr="00044874">
              <w:t>grubość warstwy</w:t>
            </w:r>
          </w:p>
          <w:p w:rsidR="00044874" w:rsidRPr="00044874" w:rsidRDefault="00044874" w:rsidP="00044874">
            <w:pPr>
              <w:jc w:val="center"/>
            </w:pPr>
            <w:r w:rsidRPr="00044874">
              <w:t>[ m ]</w:t>
            </w:r>
          </w:p>
        </w:tc>
        <w:tc>
          <w:tcPr>
            <w:tcW w:w="992" w:type="dxa"/>
            <w:tcBorders>
              <w:left w:val="single" w:sz="4" w:space="0" w:color="000000"/>
              <w:bottom w:val="single" w:sz="4" w:space="0" w:color="000000"/>
            </w:tcBorders>
            <w:shd w:val="clear" w:color="auto" w:fill="auto"/>
          </w:tcPr>
          <w:p w:rsidR="00044874" w:rsidRPr="00044874" w:rsidRDefault="00044874" w:rsidP="00044874">
            <w:pPr>
              <w:snapToGrid w:val="0"/>
              <w:jc w:val="center"/>
            </w:pPr>
            <w:r w:rsidRPr="00044874">
              <w:t>liczba przejść</w:t>
            </w:r>
          </w:p>
          <w:p w:rsidR="00044874" w:rsidRPr="00044874" w:rsidRDefault="00044874" w:rsidP="00044874">
            <w:pPr>
              <w:jc w:val="center"/>
            </w:pPr>
            <w:r w:rsidRPr="00044874">
              <w:t>n ***</w:t>
            </w:r>
          </w:p>
        </w:tc>
        <w:tc>
          <w:tcPr>
            <w:tcW w:w="992" w:type="dxa"/>
            <w:tcBorders>
              <w:left w:val="single" w:sz="4" w:space="0" w:color="000000"/>
              <w:bottom w:val="single" w:sz="4" w:space="0" w:color="000000"/>
            </w:tcBorders>
            <w:shd w:val="clear" w:color="auto" w:fill="auto"/>
          </w:tcPr>
          <w:p w:rsidR="00044874" w:rsidRPr="00044874" w:rsidRDefault="00044874" w:rsidP="00044874">
            <w:pPr>
              <w:snapToGrid w:val="0"/>
              <w:jc w:val="center"/>
            </w:pPr>
            <w:r w:rsidRPr="00044874">
              <w:t>grubość warstwy</w:t>
            </w:r>
          </w:p>
          <w:p w:rsidR="00044874" w:rsidRPr="00044874" w:rsidRDefault="00044874" w:rsidP="00044874">
            <w:pPr>
              <w:jc w:val="center"/>
            </w:pPr>
            <w:r w:rsidRPr="00044874">
              <w:t>[ m ]</w:t>
            </w:r>
          </w:p>
        </w:tc>
        <w:tc>
          <w:tcPr>
            <w:tcW w:w="992" w:type="dxa"/>
            <w:tcBorders>
              <w:left w:val="single" w:sz="4" w:space="0" w:color="000000"/>
              <w:bottom w:val="single" w:sz="4" w:space="0" w:color="000000"/>
            </w:tcBorders>
            <w:shd w:val="clear" w:color="auto" w:fill="auto"/>
          </w:tcPr>
          <w:p w:rsidR="00044874" w:rsidRPr="00044874" w:rsidRDefault="00044874" w:rsidP="00044874">
            <w:pPr>
              <w:snapToGrid w:val="0"/>
              <w:jc w:val="center"/>
            </w:pPr>
            <w:r w:rsidRPr="00044874">
              <w:t>liczba przejść</w:t>
            </w:r>
          </w:p>
          <w:p w:rsidR="00044874" w:rsidRPr="00044874" w:rsidRDefault="00044874" w:rsidP="00044874">
            <w:pPr>
              <w:jc w:val="center"/>
            </w:pPr>
            <w:r w:rsidRPr="00044874">
              <w:t>n ***</w:t>
            </w:r>
          </w:p>
        </w:tc>
        <w:tc>
          <w:tcPr>
            <w:tcW w:w="774" w:type="dxa"/>
            <w:tcBorders>
              <w:left w:val="single" w:sz="4" w:space="0" w:color="000000"/>
              <w:bottom w:val="single" w:sz="4" w:space="0" w:color="000000"/>
              <w:right w:val="single" w:sz="4" w:space="0" w:color="000000"/>
            </w:tcBorders>
            <w:shd w:val="clear" w:color="auto" w:fill="auto"/>
          </w:tcPr>
          <w:p w:rsidR="00044874" w:rsidRPr="00044874" w:rsidRDefault="00044874" w:rsidP="00044874">
            <w:pPr>
              <w:snapToGrid w:val="0"/>
              <w:jc w:val="center"/>
            </w:pPr>
            <w:r w:rsidRPr="00044874">
              <w:t>ności maszyn</w:t>
            </w:r>
          </w:p>
        </w:tc>
      </w:tr>
      <w:tr w:rsidR="00044874" w:rsidRPr="00044874" w:rsidTr="00044874">
        <w:tc>
          <w:tcPr>
            <w:tcW w:w="2055" w:type="dxa"/>
            <w:tcBorders>
              <w:left w:val="single" w:sz="4" w:space="0" w:color="000000"/>
              <w:bottom w:val="single" w:sz="4" w:space="0" w:color="000000"/>
            </w:tcBorders>
            <w:shd w:val="clear" w:color="auto" w:fill="auto"/>
          </w:tcPr>
          <w:p w:rsidR="00044874" w:rsidRPr="00044874" w:rsidRDefault="00044874" w:rsidP="00044874">
            <w:pPr>
              <w:snapToGrid w:val="0"/>
            </w:pPr>
            <w:r w:rsidRPr="00044874">
              <w:t xml:space="preserve">Walce statyczne </w:t>
            </w:r>
          </w:p>
          <w:p w:rsidR="00044874" w:rsidRPr="00044874" w:rsidRDefault="00044874" w:rsidP="00044874">
            <w:r w:rsidRPr="00044874">
              <w:t xml:space="preserve"> gładkie *</w:t>
            </w:r>
          </w:p>
        </w:tc>
        <w:tc>
          <w:tcPr>
            <w:tcW w:w="1134" w:type="dxa"/>
            <w:tcBorders>
              <w:left w:val="single" w:sz="4" w:space="0" w:color="000000"/>
              <w:bottom w:val="single" w:sz="4" w:space="0" w:color="000000"/>
            </w:tcBorders>
            <w:shd w:val="clear" w:color="auto" w:fill="auto"/>
          </w:tcPr>
          <w:p w:rsidR="00044874" w:rsidRPr="00044874" w:rsidRDefault="00044874" w:rsidP="00044874">
            <w:pPr>
              <w:snapToGrid w:val="0"/>
              <w:spacing w:before="60"/>
              <w:jc w:val="center"/>
            </w:pPr>
            <w:r w:rsidRPr="00044874">
              <w:t>0,1 do 0,2</w:t>
            </w:r>
          </w:p>
        </w:tc>
        <w:tc>
          <w:tcPr>
            <w:tcW w:w="992" w:type="dxa"/>
            <w:tcBorders>
              <w:left w:val="single" w:sz="4" w:space="0" w:color="000000"/>
              <w:bottom w:val="single" w:sz="4" w:space="0" w:color="000000"/>
            </w:tcBorders>
            <w:shd w:val="clear" w:color="auto" w:fill="auto"/>
          </w:tcPr>
          <w:p w:rsidR="00044874" w:rsidRPr="00044874" w:rsidRDefault="00044874" w:rsidP="00044874">
            <w:pPr>
              <w:snapToGrid w:val="0"/>
              <w:spacing w:before="60"/>
              <w:jc w:val="center"/>
            </w:pPr>
            <w:r w:rsidRPr="00044874">
              <w:t>4 do 8</w:t>
            </w:r>
          </w:p>
        </w:tc>
        <w:tc>
          <w:tcPr>
            <w:tcW w:w="851" w:type="dxa"/>
            <w:tcBorders>
              <w:left w:val="single" w:sz="4" w:space="0" w:color="000000"/>
              <w:bottom w:val="single" w:sz="4" w:space="0" w:color="000000"/>
            </w:tcBorders>
            <w:shd w:val="clear" w:color="auto" w:fill="auto"/>
          </w:tcPr>
          <w:p w:rsidR="00044874" w:rsidRPr="00044874" w:rsidRDefault="00044874" w:rsidP="00044874">
            <w:pPr>
              <w:snapToGrid w:val="0"/>
              <w:spacing w:before="60"/>
              <w:jc w:val="center"/>
            </w:pPr>
            <w:r w:rsidRPr="00044874">
              <w:t>0,1 do 0,2</w:t>
            </w:r>
          </w:p>
        </w:tc>
        <w:tc>
          <w:tcPr>
            <w:tcW w:w="992" w:type="dxa"/>
            <w:tcBorders>
              <w:left w:val="single" w:sz="4" w:space="0" w:color="000000"/>
              <w:bottom w:val="single" w:sz="4" w:space="0" w:color="000000"/>
            </w:tcBorders>
            <w:shd w:val="clear" w:color="auto" w:fill="auto"/>
          </w:tcPr>
          <w:p w:rsidR="00044874" w:rsidRPr="00044874" w:rsidRDefault="00044874" w:rsidP="00044874">
            <w:pPr>
              <w:snapToGrid w:val="0"/>
              <w:spacing w:before="60"/>
              <w:jc w:val="center"/>
            </w:pPr>
            <w:r w:rsidRPr="00044874">
              <w:t>4 do 8</w:t>
            </w:r>
          </w:p>
        </w:tc>
        <w:tc>
          <w:tcPr>
            <w:tcW w:w="992" w:type="dxa"/>
            <w:tcBorders>
              <w:left w:val="single" w:sz="4" w:space="0" w:color="000000"/>
              <w:bottom w:val="single" w:sz="4" w:space="0" w:color="000000"/>
            </w:tcBorders>
            <w:shd w:val="clear" w:color="auto" w:fill="auto"/>
          </w:tcPr>
          <w:p w:rsidR="00044874" w:rsidRPr="00044874" w:rsidRDefault="00044874" w:rsidP="00044874">
            <w:pPr>
              <w:snapToGrid w:val="0"/>
              <w:spacing w:before="60"/>
              <w:jc w:val="center"/>
            </w:pPr>
            <w:r w:rsidRPr="00044874">
              <w:t>0,2 do 0,3</w:t>
            </w:r>
          </w:p>
        </w:tc>
        <w:tc>
          <w:tcPr>
            <w:tcW w:w="992" w:type="dxa"/>
            <w:tcBorders>
              <w:left w:val="single" w:sz="4" w:space="0" w:color="000000"/>
              <w:bottom w:val="single" w:sz="4" w:space="0" w:color="000000"/>
            </w:tcBorders>
            <w:shd w:val="clear" w:color="auto" w:fill="auto"/>
          </w:tcPr>
          <w:p w:rsidR="00044874" w:rsidRPr="00044874" w:rsidRDefault="00044874" w:rsidP="00044874">
            <w:pPr>
              <w:snapToGrid w:val="0"/>
              <w:spacing w:before="60"/>
              <w:jc w:val="center"/>
            </w:pPr>
            <w:r w:rsidRPr="00044874">
              <w:t>4 do 8</w:t>
            </w:r>
          </w:p>
        </w:tc>
        <w:tc>
          <w:tcPr>
            <w:tcW w:w="774" w:type="dxa"/>
            <w:tcBorders>
              <w:left w:val="single" w:sz="4" w:space="0" w:color="000000"/>
              <w:bottom w:val="single" w:sz="4" w:space="0" w:color="000000"/>
              <w:right w:val="single" w:sz="4" w:space="0" w:color="000000"/>
            </w:tcBorders>
            <w:shd w:val="clear" w:color="auto" w:fill="auto"/>
          </w:tcPr>
          <w:p w:rsidR="00044874" w:rsidRPr="00044874" w:rsidRDefault="00044874" w:rsidP="00044874">
            <w:pPr>
              <w:snapToGrid w:val="0"/>
              <w:spacing w:before="60"/>
              <w:jc w:val="center"/>
            </w:pPr>
            <w:r w:rsidRPr="00044874">
              <w:t>1)</w:t>
            </w:r>
          </w:p>
        </w:tc>
      </w:tr>
      <w:tr w:rsidR="00044874" w:rsidRPr="00044874" w:rsidTr="00044874">
        <w:tc>
          <w:tcPr>
            <w:tcW w:w="2055" w:type="dxa"/>
            <w:tcBorders>
              <w:left w:val="single" w:sz="4" w:space="0" w:color="000000"/>
              <w:bottom w:val="single" w:sz="4" w:space="0" w:color="000000"/>
            </w:tcBorders>
            <w:shd w:val="clear" w:color="auto" w:fill="auto"/>
          </w:tcPr>
          <w:p w:rsidR="00044874" w:rsidRPr="00044874" w:rsidRDefault="00044874" w:rsidP="00044874">
            <w:pPr>
              <w:snapToGrid w:val="0"/>
            </w:pPr>
            <w:r w:rsidRPr="00044874">
              <w:t>Walce statyczne okołkowane *</w:t>
            </w:r>
          </w:p>
        </w:tc>
        <w:tc>
          <w:tcPr>
            <w:tcW w:w="1134" w:type="dxa"/>
            <w:tcBorders>
              <w:left w:val="single" w:sz="4" w:space="0" w:color="000000"/>
              <w:bottom w:val="single" w:sz="4" w:space="0" w:color="000000"/>
            </w:tcBorders>
            <w:shd w:val="clear" w:color="auto" w:fill="auto"/>
          </w:tcPr>
          <w:p w:rsidR="00044874" w:rsidRPr="00044874" w:rsidRDefault="00044874" w:rsidP="00044874">
            <w:pPr>
              <w:snapToGrid w:val="0"/>
              <w:spacing w:before="60"/>
              <w:jc w:val="center"/>
            </w:pPr>
            <w:r w:rsidRPr="00044874">
              <w:t>-</w:t>
            </w:r>
          </w:p>
        </w:tc>
        <w:tc>
          <w:tcPr>
            <w:tcW w:w="992" w:type="dxa"/>
            <w:tcBorders>
              <w:left w:val="single" w:sz="4" w:space="0" w:color="000000"/>
              <w:bottom w:val="single" w:sz="4" w:space="0" w:color="000000"/>
            </w:tcBorders>
            <w:shd w:val="clear" w:color="auto" w:fill="auto"/>
          </w:tcPr>
          <w:p w:rsidR="00044874" w:rsidRPr="00044874" w:rsidRDefault="00044874" w:rsidP="00044874">
            <w:pPr>
              <w:snapToGrid w:val="0"/>
              <w:spacing w:before="60"/>
              <w:jc w:val="center"/>
            </w:pPr>
            <w:r w:rsidRPr="00044874">
              <w:t>-</w:t>
            </w:r>
          </w:p>
        </w:tc>
        <w:tc>
          <w:tcPr>
            <w:tcW w:w="851" w:type="dxa"/>
            <w:tcBorders>
              <w:left w:val="single" w:sz="4" w:space="0" w:color="000000"/>
              <w:bottom w:val="single" w:sz="4" w:space="0" w:color="000000"/>
            </w:tcBorders>
            <w:shd w:val="clear" w:color="auto" w:fill="auto"/>
          </w:tcPr>
          <w:p w:rsidR="00044874" w:rsidRPr="00044874" w:rsidRDefault="00044874" w:rsidP="00044874">
            <w:pPr>
              <w:snapToGrid w:val="0"/>
              <w:spacing w:before="60"/>
              <w:jc w:val="center"/>
            </w:pPr>
            <w:r w:rsidRPr="00044874">
              <w:t>0,2 do 0,3</w:t>
            </w:r>
          </w:p>
        </w:tc>
        <w:tc>
          <w:tcPr>
            <w:tcW w:w="992" w:type="dxa"/>
            <w:tcBorders>
              <w:left w:val="single" w:sz="4" w:space="0" w:color="000000"/>
              <w:bottom w:val="single" w:sz="4" w:space="0" w:color="000000"/>
            </w:tcBorders>
            <w:shd w:val="clear" w:color="auto" w:fill="auto"/>
          </w:tcPr>
          <w:p w:rsidR="00044874" w:rsidRPr="00044874" w:rsidRDefault="00044874" w:rsidP="00044874">
            <w:pPr>
              <w:snapToGrid w:val="0"/>
              <w:spacing w:before="60"/>
              <w:jc w:val="center"/>
            </w:pPr>
            <w:r w:rsidRPr="00044874">
              <w:t>8 do 12</w:t>
            </w:r>
          </w:p>
        </w:tc>
        <w:tc>
          <w:tcPr>
            <w:tcW w:w="992" w:type="dxa"/>
            <w:tcBorders>
              <w:left w:val="single" w:sz="4" w:space="0" w:color="000000"/>
              <w:bottom w:val="single" w:sz="4" w:space="0" w:color="000000"/>
            </w:tcBorders>
            <w:shd w:val="clear" w:color="auto" w:fill="auto"/>
          </w:tcPr>
          <w:p w:rsidR="00044874" w:rsidRPr="00044874" w:rsidRDefault="00044874" w:rsidP="00044874">
            <w:pPr>
              <w:snapToGrid w:val="0"/>
              <w:spacing w:before="60"/>
              <w:jc w:val="center"/>
            </w:pPr>
            <w:r w:rsidRPr="00044874">
              <w:t>0,2 do 0,3</w:t>
            </w:r>
          </w:p>
        </w:tc>
        <w:tc>
          <w:tcPr>
            <w:tcW w:w="992" w:type="dxa"/>
            <w:tcBorders>
              <w:left w:val="single" w:sz="4" w:space="0" w:color="000000"/>
              <w:bottom w:val="single" w:sz="4" w:space="0" w:color="000000"/>
            </w:tcBorders>
            <w:shd w:val="clear" w:color="auto" w:fill="auto"/>
          </w:tcPr>
          <w:p w:rsidR="00044874" w:rsidRPr="00044874" w:rsidRDefault="00044874" w:rsidP="00044874">
            <w:pPr>
              <w:snapToGrid w:val="0"/>
              <w:spacing w:before="60"/>
              <w:jc w:val="center"/>
            </w:pPr>
            <w:r w:rsidRPr="00044874">
              <w:t>8 do 12</w:t>
            </w:r>
          </w:p>
        </w:tc>
        <w:tc>
          <w:tcPr>
            <w:tcW w:w="774" w:type="dxa"/>
            <w:tcBorders>
              <w:left w:val="single" w:sz="4" w:space="0" w:color="000000"/>
              <w:bottom w:val="single" w:sz="4" w:space="0" w:color="000000"/>
              <w:right w:val="single" w:sz="4" w:space="0" w:color="000000"/>
            </w:tcBorders>
            <w:shd w:val="clear" w:color="auto" w:fill="auto"/>
          </w:tcPr>
          <w:p w:rsidR="00044874" w:rsidRPr="00044874" w:rsidRDefault="00044874" w:rsidP="00044874">
            <w:pPr>
              <w:snapToGrid w:val="0"/>
              <w:spacing w:before="60"/>
              <w:jc w:val="center"/>
            </w:pPr>
            <w:r w:rsidRPr="00044874">
              <w:t>2)</w:t>
            </w:r>
          </w:p>
        </w:tc>
      </w:tr>
      <w:tr w:rsidR="00044874" w:rsidRPr="00044874" w:rsidTr="00044874">
        <w:tc>
          <w:tcPr>
            <w:tcW w:w="2055" w:type="dxa"/>
            <w:tcBorders>
              <w:left w:val="single" w:sz="4" w:space="0" w:color="000000"/>
              <w:bottom w:val="single" w:sz="4" w:space="0" w:color="000000"/>
            </w:tcBorders>
            <w:shd w:val="clear" w:color="auto" w:fill="auto"/>
          </w:tcPr>
          <w:p w:rsidR="00044874" w:rsidRPr="00044874" w:rsidRDefault="00044874" w:rsidP="00044874">
            <w:pPr>
              <w:snapToGrid w:val="0"/>
            </w:pPr>
            <w:r w:rsidRPr="00044874">
              <w:t>Walce statyczne ogumione *</w:t>
            </w:r>
          </w:p>
        </w:tc>
        <w:tc>
          <w:tcPr>
            <w:tcW w:w="1134" w:type="dxa"/>
            <w:tcBorders>
              <w:left w:val="single" w:sz="4" w:space="0" w:color="000000"/>
              <w:bottom w:val="single" w:sz="4" w:space="0" w:color="000000"/>
            </w:tcBorders>
            <w:shd w:val="clear" w:color="auto" w:fill="auto"/>
          </w:tcPr>
          <w:p w:rsidR="00044874" w:rsidRPr="00044874" w:rsidRDefault="00044874" w:rsidP="00044874">
            <w:pPr>
              <w:snapToGrid w:val="0"/>
              <w:spacing w:before="60"/>
              <w:jc w:val="center"/>
            </w:pPr>
            <w:r w:rsidRPr="00044874">
              <w:t>0,2 do 0,5</w:t>
            </w:r>
          </w:p>
        </w:tc>
        <w:tc>
          <w:tcPr>
            <w:tcW w:w="992" w:type="dxa"/>
            <w:tcBorders>
              <w:left w:val="single" w:sz="4" w:space="0" w:color="000000"/>
              <w:bottom w:val="single" w:sz="4" w:space="0" w:color="000000"/>
            </w:tcBorders>
            <w:shd w:val="clear" w:color="auto" w:fill="auto"/>
          </w:tcPr>
          <w:p w:rsidR="00044874" w:rsidRPr="00044874" w:rsidRDefault="00044874" w:rsidP="00044874">
            <w:pPr>
              <w:snapToGrid w:val="0"/>
              <w:spacing w:before="60"/>
              <w:jc w:val="center"/>
            </w:pPr>
            <w:r w:rsidRPr="00044874">
              <w:t>6 do 8</w:t>
            </w:r>
          </w:p>
        </w:tc>
        <w:tc>
          <w:tcPr>
            <w:tcW w:w="851" w:type="dxa"/>
            <w:tcBorders>
              <w:left w:val="single" w:sz="4" w:space="0" w:color="000000"/>
              <w:bottom w:val="single" w:sz="4" w:space="0" w:color="000000"/>
            </w:tcBorders>
            <w:shd w:val="clear" w:color="auto" w:fill="auto"/>
          </w:tcPr>
          <w:p w:rsidR="00044874" w:rsidRPr="00044874" w:rsidRDefault="00044874" w:rsidP="00044874">
            <w:pPr>
              <w:snapToGrid w:val="0"/>
              <w:spacing w:before="60"/>
              <w:jc w:val="center"/>
            </w:pPr>
            <w:r w:rsidRPr="00044874">
              <w:t>0,2 do 0,4</w:t>
            </w:r>
          </w:p>
        </w:tc>
        <w:tc>
          <w:tcPr>
            <w:tcW w:w="992" w:type="dxa"/>
            <w:tcBorders>
              <w:left w:val="single" w:sz="4" w:space="0" w:color="000000"/>
              <w:bottom w:val="single" w:sz="4" w:space="0" w:color="000000"/>
            </w:tcBorders>
            <w:shd w:val="clear" w:color="auto" w:fill="auto"/>
          </w:tcPr>
          <w:p w:rsidR="00044874" w:rsidRPr="00044874" w:rsidRDefault="00044874" w:rsidP="00044874">
            <w:pPr>
              <w:snapToGrid w:val="0"/>
              <w:spacing w:before="60"/>
              <w:jc w:val="center"/>
            </w:pPr>
            <w:r w:rsidRPr="00044874">
              <w:t>6 do 10</w:t>
            </w:r>
          </w:p>
        </w:tc>
        <w:tc>
          <w:tcPr>
            <w:tcW w:w="992" w:type="dxa"/>
            <w:tcBorders>
              <w:left w:val="single" w:sz="4" w:space="0" w:color="000000"/>
              <w:bottom w:val="single" w:sz="4" w:space="0" w:color="000000"/>
            </w:tcBorders>
            <w:shd w:val="clear" w:color="auto" w:fill="auto"/>
          </w:tcPr>
          <w:p w:rsidR="00044874" w:rsidRPr="00044874" w:rsidRDefault="00044874" w:rsidP="00044874">
            <w:pPr>
              <w:snapToGrid w:val="0"/>
              <w:spacing w:before="60"/>
              <w:jc w:val="center"/>
            </w:pPr>
            <w:r w:rsidRPr="00044874">
              <w:t>-</w:t>
            </w:r>
          </w:p>
        </w:tc>
        <w:tc>
          <w:tcPr>
            <w:tcW w:w="992" w:type="dxa"/>
            <w:tcBorders>
              <w:left w:val="single" w:sz="4" w:space="0" w:color="000000"/>
              <w:bottom w:val="single" w:sz="4" w:space="0" w:color="000000"/>
            </w:tcBorders>
            <w:shd w:val="clear" w:color="auto" w:fill="auto"/>
          </w:tcPr>
          <w:p w:rsidR="00044874" w:rsidRPr="00044874" w:rsidRDefault="00044874" w:rsidP="00044874">
            <w:pPr>
              <w:snapToGrid w:val="0"/>
              <w:spacing w:before="60"/>
              <w:jc w:val="center"/>
            </w:pPr>
            <w:r w:rsidRPr="00044874">
              <w:t>-</w:t>
            </w:r>
          </w:p>
        </w:tc>
        <w:tc>
          <w:tcPr>
            <w:tcW w:w="774" w:type="dxa"/>
            <w:tcBorders>
              <w:left w:val="single" w:sz="4" w:space="0" w:color="000000"/>
              <w:bottom w:val="single" w:sz="4" w:space="0" w:color="000000"/>
              <w:right w:val="single" w:sz="4" w:space="0" w:color="000000"/>
            </w:tcBorders>
            <w:shd w:val="clear" w:color="auto" w:fill="auto"/>
          </w:tcPr>
          <w:p w:rsidR="00044874" w:rsidRPr="00044874" w:rsidRDefault="00044874" w:rsidP="00044874">
            <w:pPr>
              <w:snapToGrid w:val="0"/>
              <w:spacing w:before="60"/>
              <w:jc w:val="center"/>
            </w:pPr>
            <w:r w:rsidRPr="00044874">
              <w:t>3)</w:t>
            </w:r>
          </w:p>
        </w:tc>
      </w:tr>
      <w:tr w:rsidR="00044874" w:rsidRPr="00044874" w:rsidTr="00044874">
        <w:tc>
          <w:tcPr>
            <w:tcW w:w="2055" w:type="dxa"/>
            <w:tcBorders>
              <w:left w:val="single" w:sz="4" w:space="0" w:color="000000"/>
              <w:bottom w:val="single" w:sz="4" w:space="0" w:color="000000"/>
            </w:tcBorders>
            <w:shd w:val="clear" w:color="auto" w:fill="auto"/>
          </w:tcPr>
          <w:p w:rsidR="00044874" w:rsidRPr="00044874" w:rsidRDefault="00044874" w:rsidP="00044874">
            <w:pPr>
              <w:snapToGrid w:val="0"/>
            </w:pPr>
            <w:r w:rsidRPr="00044874">
              <w:t xml:space="preserve">Walce wibracyjne gładkie ** </w:t>
            </w:r>
          </w:p>
        </w:tc>
        <w:tc>
          <w:tcPr>
            <w:tcW w:w="1134" w:type="dxa"/>
            <w:tcBorders>
              <w:left w:val="single" w:sz="4" w:space="0" w:color="000000"/>
              <w:bottom w:val="single" w:sz="4" w:space="0" w:color="000000"/>
            </w:tcBorders>
            <w:shd w:val="clear" w:color="auto" w:fill="auto"/>
          </w:tcPr>
          <w:p w:rsidR="00044874" w:rsidRPr="00044874" w:rsidRDefault="00044874" w:rsidP="00044874">
            <w:pPr>
              <w:snapToGrid w:val="0"/>
              <w:spacing w:before="60"/>
              <w:jc w:val="center"/>
            </w:pPr>
            <w:r w:rsidRPr="00044874">
              <w:t>0,4 do 0,7</w:t>
            </w:r>
          </w:p>
        </w:tc>
        <w:tc>
          <w:tcPr>
            <w:tcW w:w="992" w:type="dxa"/>
            <w:tcBorders>
              <w:left w:val="single" w:sz="4" w:space="0" w:color="000000"/>
              <w:bottom w:val="single" w:sz="4" w:space="0" w:color="000000"/>
            </w:tcBorders>
            <w:shd w:val="clear" w:color="auto" w:fill="auto"/>
          </w:tcPr>
          <w:p w:rsidR="00044874" w:rsidRPr="00044874" w:rsidRDefault="00044874" w:rsidP="00044874">
            <w:pPr>
              <w:snapToGrid w:val="0"/>
              <w:spacing w:before="60"/>
              <w:jc w:val="center"/>
            </w:pPr>
            <w:r w:rsidRPr="00044874">
              <w:t>4 do 8</w:t>
            </w:r>
          </w:p>
        </w:tc>
        <w:tc>
          <w:tcPr>
            <w:tcW w:w="851" w:type="dxa"/>
            <w:tcBorders>
              <w:left w:val="single" w:sz="4" w:space="0" w:color="000000"/>
              <w:bottom w:val="single" w:sz="4" w:space="0" w:color="000000"/>
            </w:tcBorders>
            <w:shd w:val="clear" w:color="auto" w:fill="auto"/>
          </w:tcPr>
          <w:p w:rsidR="00044874" w:rsidRPr="00044874" w:rsidRDefault="00044874" w:rsidP="00044874">
            <w:pPr>
              <w:snapToGrid w:val="0"/>
              <w:spacing w:before="60"/>
              <w:jc w:val="center"/>
            </w:pPr>
            <w:r w:rsidRPr="00044874">
              <w:t>0,2 do 0,4</w:t>
            </w:r>
          </w:p>
        </w:tc>
        <w:tc>
          <w:tcPr>
            <w:tcW w:w="992" w:type="dxa"/>
            <w:tcBorders>
              <w:left w:val="single" w:sz="4" w:space="0" w:color="000000"/>
              <w:bottom w:val="single" w:sz="4" w:space="0" w:color="000000"/>
            </w:tcBorders>
            <w:shd w:val="clear" w:color="auto" w:fill="auto"/>
          </w:tcPr>
          <w:p w:rsidR="00044874" w:rsidRPr="00044874" w:rsidRDefault="00044874" w:rsidP="00044874">
            <w:pPr>
              <w:snapToGrid w:val="0"/>
              <w:spacing w:before="60"/>
              <w:jc w:val="center"/>
            </w:pPr>
            <w:r w:rsidRPr="00044874">
              <w:t>3 do 4</w:t>
            </w:r>
          </w:p>
        </w:tc>
        <w:tc>
          <w:tcPr>
            <w:tcW w:w="992" w:type="dxa"/>
            <w:tcBorders>
              <w:left w:val="single" w:sz="4" w:space="0" w:color="000000"/>
              <w:bottom w:val="single" w:sz="4" w:space="0" w:color="000000"/>
            </w:tcBorders>
            <w:shd w:val="clear" w:color="auto" w:fill="auto"/>
          </w:tcPr>
          <w:p w:rsidR="00044874" w:rsidRPr="00044874" w:rsidRDefault="00044874" w:rsidP="00044874">
            <w:pPr>
              <w:snapToGrid w:val="0"/>
              <w:spacing w:before="60"/>
              <w:jc w:val="center"/>
            </w:pPr>
            <w:r w:rsidRPr="00044874">
              <w:t>0,3 do 0,6</w:t>
            </w:r>
          </w:p>
        </w:tc>
        <w:tc>
          <w:tcPr>
            <w:tcW w:w="992" w:type="dxa"/>
            <w:tcBorders>
              <w:left w:val="single" w:sz="4" w:space="0" w:color="000000"/>
              <w:bottom w:val="single" w:sz="4" w:space="0" w:color="000000"/>
            </w:tcBorders>
            <w:shd w:val="clear" w:color="auto" w:fill="auto"/>
          </w:tcPr>
          <w:p w:rsidR="00044874" w:rsidRPr="00044874" w:rsidRDefault="00044874" w:rsidP="00044874">
            <w:pPr>
              <w:snapToGrid w:val="0"/>
              <w:spacing w:before="60"/>
              <w:jc w:val="center"/>
            </w:pPr>
            <w:r w:rsidRPr="00044874">
              <w:t>3 do 5</w:t>
            </w:r>
          </w:p>
        </w:tc>
        <w:tc>
          <w:tcPr>
            <w:tcW w:w="774" w:type="dxa"/>
            <w:tcBorders>
              <w:left w:val="single" w:sz="4" w:space="0" w:color="000000"/>
              <w:bottom w:val="single" w:sz="4" w:space="0" w:color="000000"/>
              <w:right w:val="single" w:sz="4" w:space="0" w:color="000000"/>
            </w:tcBorders>
            <w:shd w:val="clear" w:color="auto" w:fill="auto"/>
          </w:tcPr>
          <w:p w:rsidR="00044874" w:rsidRPr="00044874" w:rsidRDefault="00044874" w:rsidP="00044874">
            <w:pPr>
              <w:snapToGrid w:val="0"/>
              <w:spacing w:before="60"/>
              <w:jc w:val="center"/>
            </w:pPr>
            <w:r w:rsidRPr="00044874">
              <w:t>4)</w:t>
            </w:r>
          </w:p>
        </w:tc>
      </w:tr>
      <w:tr w:rsidR="00044874" w:rsidRPr="00044874" w:rsidTr="00044874">
        <w:tc>
          <w:tcPr>
            <w:tcW w:w="2055" w:type="dxa"/>
            <w:tcBorders>
              <w:left w:val="single" w:sz="4" w:space="0" w:color="000000"/>
              <w:bottom w:val="single" w:sz="4" w:space="0" w:color="000000"/>
            </w:tcBorders>
            <w:shd w:val="clear" w:color="auto" w:fill="auto"/>
          </w:tcPr>
          <w:p w:rsidR="00044874" w:rsidRPr="00044874" w:rsidRDefault="00044874" w:rsidP="00044874">
            <w:pPr>
              <w:snapToGrid w:val="0"/>
            </w:pPr>
            <w:r w:rsidRPr="00044874">
              <w:t>Walce wibracyjne okołkowane **</w:t>
            </w:r>
          </w:p>
        </w:tc>
        <w:tc>
          <w:tcPr>
            <w:tcW w:w="1134" w:type="dxa"/>
            <w:tcBorders>
              <w:left w:val="single" w:sz="4" w:space="0" w:color="000000"/>
              <w:bottom w:val="single" w:sz="4" w:space="0" w:color="000000"/>
            </w:tcBorders>
            <w:shd w:val="clear" w:color="auto" w:fill="auto"/>
          </w:tcPr>
          <w:p w:rsidR="00044874" w:rsidRPr="00044874" w:rsidRDefault="00044874" w:rsidP="00044874">
            <w:pPr>
              <w:snapToGrid w:val="0"/>
              <w:spacing w:before="60"/>
              <w:jc w:val="center"/>
            </w:pPr>
            <w:r w:rsidRPr="00044874">
              <w:t>0,3 do 0,6</w:t>
            </w:r>
          </w:p>
        </w:tc>
        <w:tc>
          <w:tcPr>
            <w:tcW w:w="992" w:type="dxa"/>
            <w:tcBorders>
              <w:left w:val="single" w:sz="4" w:space="0" w:color="000000"/>
              <w:bottom w:val="single" w:sz="4" w:space="0" w:color="000000"/>
            </w:tcBorders>
            <w:shd w:val="clear" w:color="auto" w:fill="auto"/>
          </w:tcPr>
          <w:p w:rsidR="00044874" w:rsidRPr="00044874" w:rsidRDefault="00044874" w:rsidP="00044874">
            <w:pPr>
              <w:snapToGrid w:val="0"/>
              <w:spacing w:before="60"/>
              <w:jc w:val="center"/>
            </w:pPr>
            <w:r w:rsidRPr="00044874">
              <w:t>3 do 6</w:t>
            </w:r>
          </w:p>
        </w:tc>
        <w:tc>
          <w:tcPr>
            <w:tcW w:w="851" w:type="dxa"/>
            <w:tcBorders>
              <w:left w:val="single" w:sz="4" w:space="0" w:color="000000"/>
              <w:bottom w:val="single" w:sz="4" w:space="0" w:color="000000"/>
            </w:tcBorders>
            <w:shd w:val="clear" w:color="auto" w:fill="auto"/>
          </w:tcPr>
          <w:p w:rsidR="00044874" w:rsidRPr="00044874" w:rsidRDefault="00044874" w:rsidP="00044874">
            <w:pPr>
              <w:snapToGrid w:val="0"/>
              <w:spacing w:before="60"/>
              <w:jc w:val="center"/>
            </w:pPr>
            <w:r w:rsidRPr="00044874">
              <w:t>0,2 do 0,4</w:t>
            </w:r>
          </w:p>
        </w:tc>
        <w:tc>
          <w:tcPr>
            <w:tcW w:w="992" w:type="dxa"/>
            <w:tcBorders>
              <w:left w:val="single" w:sz="4" w:space="0" w:color="000000"/>
              <w:bottom w:val="single" w:sz="4" w:space="0" w:color="000000"/>
            </w:tcBorders>
            <w:shd w:val="clear" w:color="auto" w:fill="auto"/>
          </w:tcPr>
          <w:p w:rsidR="00044874" w:rsidRPr="00044874" w:rsidRDefault="00044874" w:rsidP="00044874">
            <w:pPr>
              <w:snapToGrid w:val="0"/>
              <w:spacing w:before="60"/>
              <w:jc w:val="center"/>
            </w:pPr>
            <w:r w:rsidRPr="00044874">
              <w:t>6 do 10</w:t>
            </w:r>
          </w:p>
        </w:tc>
        <w:tc>
          <w:tcPr>
            <w:tcW w:w="992" w:type="dxa"/>
            <w:tcBorders>
              <w:left w:val="single" w:sz="4" w:space="0" w:color="000000"/>
              <w:bottom w:val="single" w:sz="4" w:space="0" w:color="000000"/>
            </w:tcBorders>
            <w:shd w:val="clear" w:color="auto" w:fill="auto"/>
          </w:tcPr>
          <w:p w:rsidR="00044874" w:rsidRPr="00044874" w:rsidRDefault="00044874" w:rsidP="00044874">
            <w:pPr>
              <w:snapToGrid w:val="0"/>
              <w:spacing w:before="60"/>
              <w:jc w:val="center"/>
            </w:pPr>
            <w:r w:rsidRPr="00044874">
              <w:t>0,2 do 0,4</w:t>
            </w:r>
          </w:p>
        </w:tc>
        <w:tc>
          <w:tcPr>
            <w:tcW w:w="992" w:type="dxa"/>
            <w:tcBorders>
              <w:left w:val="single" w:sz="4" w:space="0" w:color="000000"/>
              <w:bottom w:val="single" w:sz="4" w:space="0" w:color="000000"/>
            </w:tcBorders>
            <w:shd w:val="clear" w:color="auto" w:fill="auto"/>
          </w:tcPr>
          <w:p w:rsidR="00044874" w:rsidRPr="00044874" w:rsidRDefault="00044874" w:rsidP="00044874">
            <w:pPr>
              <w:snapToGrid w:val="0"/>
              <w:spacing w:before="60"/>
              <w:jc w:val="center"/>
            </w:pPr>
            <w:r w:rsidRPr="00044874">
              <w:t>6 do 10</w:t>
            </w:r>
          </w:p>
        </w:tc>
        <w:tc>
          <w:tcPr>
            <w:tcW w:w="774" w:type="dxa"/>
            <w:tcBorders>
              <w:left w:val="single" w:sz="4" w:space="0" w:color="000000"/>
              <w:bottom w:val="single" w:sz="4" w:space="0" w:color="000000"/>
              <w:right w:val="single" w:sz="4" w:space="0" w:color="000000"/>
            </w:tcBorders>
            <w:shd w:val="clear" w:color="auto" w:fill="auto"/>
          </w:tcPr>
          <w:p w:rsidR="00044874" w:rsidRPr="00044874" w:rsidRDefault="00044874" w:rsidP="00044874">
            <w:pPr>
              <w:snapToGrid w:val="0"/>
              <w:spacing w:before="60"/>
              <w:jc w:val="center"/>
            </w:pPr>
            <w:r w:rsidRPr="00044874">
              <w:t>5)</w:t>
            </w:r>
          </w:p>
        </w:tc>
      </w:tr>
      <w:tr w:rsidR="00044874" w:rsidRPr="00044874" w:rsidTr="00044874">
        <w:tc>
          <w:tcPr>
            <w:tcW w:w="2055" w:type="dxa"/>
            <w:tcBorders>
              <w:left w:val="single" w:sz="4" w:space="0" w:color="000000"/>
              <w:bottom w:val="single" w:sz="4" w:space="0" w:color="000000"/>
            </w:tcBorders>
            <w:shd w:val="clear" w:color="auto" w:fill="auto"/>
          </w:tcPr>
          <w:p w:rsidR="00044874" w:rsidRPr="00044874" w:rsidRDefault="00044874" w:rsidP="00044874">
            <w:pPr>
              <w:snapToGrid w:val="0"/>
            </w:pPr>
            <w:r w:rsidRPr="00044874">
              <w:t xml:space="preserve">Zagęszczarki </w:t>
            </w:r>
          </w:p>
          <w:p w:rsidR="00044874" w:rsidRPr="00044874" w:rsidRDefault="00044874" w:rsidP="00044874">
            <w:r w:rsidRPr="00044874">
              <w:t>wibracyjne **</w:t>
            </w:r>
          </w:p>
        </w:tc>
        <w:tc>
          <w:tcPr>
            <w:tcW w:w="1134" w:type="dxa"/>
            <w:tcBorders>
              <w:left w:val="single" w:sz="4" w:space="0" w:color="000000"/>
              <w:bottom w:val="single" w:sz="4" w:space="0" w:color="000000"/>
            </w:tcBorders>
            <w:shd w:val="clear" w:color="auto" w:fill="auto"/>
          </w:tcPr>
          <w:p w:rsidR="00044874" w:rsidRPr="00044874" w:rsidRDefault="00044874" w:rsidP="00044874">
            <w:pPr>
              <w:snapToGrid w:val="0"/>
              <w:spacing w:before="60"/>
              <w:jc w:val="center"/>
            </w:pPr>
            <w:r w:rsidRPr="00044874">
              <w:t>0,3 do 0,5</w:t>
            </w:r>
          </w:p>
        </w:tc>
        <w:tc>
          <w:tcPr>
            <w:tcW w:w="992" w:type="dxa"/>
            <w:tcBorders>
              <w:left w:val="single" w:sz="4" w:space="0" w:color="000000"/>
              <w:bottom w:val="single" w:sz="4" w:space="0" w:color="000000"/>
            </w:tcBorders>
            <w:shd w:val="clear" w:color="auto" w:fill="auto"/>
          </w:tcPr>
          <w:p w:rsidR="00044874" w:rsidRPr="00044874" w:rsidRDefault="00044874" w:rsidP="00044874">
            <w:pPr>
              <w:snapToGrid w:val="0"/>
              <w:spacing w:before="60"/>
              <w:jc w:val="center"/>
            </w:pPr>
            <w:r w:rsidRPr="00044874">
              <w:t>4 do 8</w:t>
            </w:r>
          </w:p>
        </w:tc>
        <w:tc>
          <w:tcPr>
            <w:tcW w:w="851" w:type="dxa"/>
            <w:tcBorders>
              <w:left w:val="single" w:sz="4" w:space="0" w:color="000000"/>
              <w:bottom w:val="single" w:sz="4" w:space="0" w:color="000000"/>
            </w:tcBorders>
            <w:shd w:val="clear" w:color="auto" w:fill="auto"/>
          </w:tcPr>
          <w:p w:rsidR="00044874" w:rsidRPr="00044874" w:rsidRDefault="00044874" w:rsidP="00044874">
            <w:pPr>
              <w:snapToGrid w:val="0"/>
              <w:spacing w:before="60"/>
              <w:jc w:val="center"/>
            </w:pPr>
            <w:r w:rsidRPr="00044874">
              <w:t>-</w:t>
            </w:r>
          </w:p>
        </w:tc>
        <w:tc>
          <w:tcPr>
            <w:tcW w:w="992" w:type="dxa"/>
            <w:tcBorders>
              <w:left w:val="single" w:sz="4" w:space="0" w:color="000000"/>
              <w:bottom w:val="single" w:sz="4" w:space="0" w:color="000000"/>
            </w:tcBorders>
            <w:shd w:val="clear" w:color="auto" w:fill="auto"/>
          </w:tcPr>
          <w:p w:rsidR="00044874" w:rsidRPr="00044874" w:rsidRDefault="00044874" w:rsidP="00044874">
            <w:pPr>
              <w:snapToGrid w:val="0"/>
              <w:spacing w:before="60"/>
              <w:jc w:val="center"/>
            </w:pPr>
            <w:r w:rsidRPr="00044874">
              <w:t>-</w:t>
            </w:r>
          </w:p>
        </w:tc>
        <w:tc>
          <w:tcPr>
            <w:tcW w:w="992" w:type="dxa"/>
            <w:tcBorders>
              <w:left w:val="single" w:sz="4" w:space="0" w:color="000000"/>
              <w:bottom w:val="single" w:sz="4" w:space="0" w:color="000000"/>
            </w:tcBorders>
            <w:shd w:val="clear" w:color="auto" w:fill="auto"/>
          </w:tcPr>
          <w:p w:rsidR="00044874" w:rsidRPr="00044874" w:rsidRDefault="00044874" w:rsidP="00044874">
            <w:pPr>
              <w:snapToGrid w:val="0"/>
              <w:spacing w:before="60"/>
              <w:jc w:val="center"/>
            </w:pPr>
            <w:r w:rsidRPr="00044874">
              <w:t>0,2 do 0,5</w:t>
            </w:r>
          </w:p>
        </w:tc>
        <w:tc>
          <w:tcPr>
            <w:tcW w:w="992" w:type="dxa"/>
            <w:tcBorders>
              <w:left w:val="single" w:sz="4" w:space="0" w:color="000000"/>
              <w:bottom w:val="single" w:sz="4" w:space="0" w:color="000000"/>
            </w:tcBorders>
            <w:shd w:val="clear" w:color="auto" w:fill="auto"/>
          </w:tcPr>
          <w:p w:rsidR="00044874" w:rsidRPr="00044874" w:rsidRDefault="00044874" w:rsidP="00044874">
            <w:pPr>
              <w:snapToGrid w:val="0"/>
              <w:spacing w:before="60"/>
              <w:jc w:val="center"/>
            </w:pPr>
            <w:r w:rsidRPr="00044874">
              <w:t>4 do 8</w:t>
            </w:r>
          </w:p>
        </w:tc>
        <w:tc>
          <w:tcPr>
            <w:tcW w:w="774" w:type="dxa"/>
            <w:tcBorders>
              <w:left w:val="single" w:sz="4" w:space="0" w:color="000000"/>
              <w:bottom w:val="single" w:sz="4" w:space="0" w:color="000000"/>
              <w:right w:val="single" w:sz="4" w:space="0" w:color="000000"/>
            </w:tcBorders>
            <w:shd w:val="clear" w:color="auto" w:fill="auto"/>
          </w:tcPr>
          <w:p w:rsidR="00044874" w:rsidRPr="00044874" w:rsidRDefault="00044874" w:rsidP="00044874">
            <w:pPr>
              <w:snapToGrid w:val="0"/>
              <w:spacing w:before="60"/>
              <w:jc w:val="center"/>
            </w:pPr>
            <w:r w:rsidRPr="00044874">
              <w:t>6)</w:t>
            </w:r>
          </w:p>
        </w:tc>
      </w:tr>
      <w:tr w:rsidR="00044874" w:rsidRPr="00044874" w:rsidTr="00044874">
        <w:tc>
          <w:tcPr>
            <w:tcW w:w="2055" w:type="dxa"/>
            <w:tcBorders>
              <w:left w:val="single" w:sz="4" w:space="0" w:color="000000"/>
              <w:bottom w:val="single" w:sz="4" w:space="0" w:color="000000"/>
            </w:tcBorders>
            <w:shd w:val="clear" w:color="auto" w:fill="auto"/>
          </w:tcPr>
          <w:p w:rsidR="00044874" w:rsidRPr="00044874" w:rsidRDefault="00044874" w:rsidP="00044874">
            <w:pPr>
              <w:snapToGrid w:val="0"/>
            </w:pPr>
            <w:r w:rsidRPr="00044874">
              <w:t>Ubijaki szybkouderzające</w:t>
            </w:r>
          </w:p>
        </w:tc>
        <w:tc>
          <w:tcPr>
            <w:tcW w:w="1134" w:type="dxa"/>
            <w:tcBorders>
              <w:left w:val="single" w:sz="4" w:space="0" w:color="000000"/>
              <w:bottom w:val="single" w:sz="4" w:space="0" w:color="000000"/>
            </w:tcBorders>
            <w:shd w:val="clear" w:color="auto" w:fill="auto"/>
          </w:tcPr>
          <w:p w:rsidR="00044874" w:rsidRPr="00044874" w:rsidRDefault="00044874" w:rsidP="00044874">
            <w:pPr>
              <w:snapToGrid w:val="0"/>
              <w:spacing w:before="60"/>
              <w:jc w:val="center"/>
            </w:pPr>
            <w:r w:rsidRPr="00044874">
              <w:t>0,2 do 0,4</w:t>
            </w:r>
          </w:p>
        </w:tc>
        <w:tc>
          <w:tcPr>
            <w:tcW w:w="992" w:type="dxa"/>
            <w:tcBorders>
              <w:left w:val="single" w:sz="4" w:space="0" w:color="000000"/>
              <w:bottom w:val="single" w:sz="4" w:space="0" w:color="000000"/>
            </w:tcBorders>
            <w:shd w:val="clear" w:color="auto" w:fill="auto"/>
          </w:tcPr>
          <w:p w:rsidR="00044874" w:rsidRPr="00044874" w:rsidRDefault="00044874" w:rsidP="00044874">
            <w:pPr>
              <w:snapToGrid w:val="0"/>
              <w:spacing w:before="60"/>
              <w:jc w:val="center"/>
            </w:pPr>
            <w:r w:rsidRPr="00044874">
              <w:t>2 do4</w:t>
            </w:r>
          </w:p>
        </w:tc>
        <w:tc>
          <w:tcPr>
            <w:tcW w:w="851" w:type="dxa"/>
            <w:tcBorders>
              <w:left w:val="single" w:sz="4" w:space="0" w:color="000000"/>
              <w:bottom w:val="single" w:sz="4" w:space="0" w:color="000000"/>
            </w:tcBorders>
            <w:shd w:val="clear" w:color="auto" w:fill="auto"/>
          </w:tcPr>
          <w:p w:rsidR="00044874" w:rsidRPr="00044874" w:rsidRDefault="00044874" w:rsidP="00044874">
            <w:pPr>
              <w:snapToGrid w:val="0"/>
              <w:spacing w:before="60"/>
              <w:jc w:val="center"/>
            </w:pPr>
            <w:r w:rsidRPr="00044874">
              <w:t>0,1 do 0,3</w:t>
            </w:r>
          </w:p>
        </w:tc>
        <w:tc>
          <w:tcPr>
            <w:tcW w:w="992" w:type="dxa"/>
            <w:tcBorders>
              <w:left w:val="single" w:sz="4" w:space="0" w:color="000000"/>
              <w:bottom w:val="single" w:sz="4" w:space="0" w:color="000000"/>
            </w:tcBorders>
            <w:shd w:val="clear" w:color="auto" w:fill="auto"/>
          </w:tcPr>
          <w:p w:rsidR="00044874" w:rsidRPr="00044874" w:rsidRDefault="00044874" w:rsidP="00044874">
            <w:pPr>
              <w:snapToGrid w:val="0"/>
              <w:spacing w:before="60"/>
              <w:jc w:val="center"/>
            </w:pPr>
            <w:r w:rsidRPr="00044874">
              <w:t>3 do 5</w:t>
            </w:r>
          </w:p>
        </w:tc>
        <w:tc>
          <w:tcPr>
            <w:tcW w:w="992" w:type="dxa"/>
            <w:tcBorders>
              <w:left w:val="single" w:sz="4" w:space="0" w:color="000000"/>
              <w:bottom w:val="single" w:sz="4" w:space="0" w:color="000000"/>
            </w:tcBorders>
            <w:shd w:val="clear" w:color="auto" w:fill="auto"/>
          </w:tcPr>
          <w:p w:rsidR="00044874" w:rsidRPr="00044874" w:rsidRDefault="00044874" w:rsidP="00044874">
            <w:pPr>
              <w:snapToGrid w:val="0"/>
              <w:spacing w:before="60"/>
              <w:jc w:val="center"/>
            </w:pPr>
            <w:r w:rsidRPr="00044874">
              <w:t>0,2 do 0,4</w:t>
            </w:r>
          </w:p>
        </w:tc>
        <w:tc>
          <w:tcPr>
            <w:tcW w:w="992" w:type="dxa"/>
            <w:tcBorders>
              <w:left w:val="single" w:sz="4" w:space="0" w:color="000000"/>
              <w:bottom w:val="single" w:sz="4" w:space="0" w:color="000000"/>
            </w:tcBorders>
            <w:shd w:val="clear" w:color="auto" w:fill="auto"/>
          </w:tcPr>
          <w:p w:rsidR="00044874" w:rsidRPr="00044874" w:rsidRDefault="00044874" w:rsidP="00044874">
            <w:pPr>
              <w:snapToGrid w:val="0"/>
              <w:spacing w:before="60"/>
              <w:jc w:val="center"/>
            </w:pPr>
            <w:r w:rsidRPr="00044874">
              <w:t>3 do 4</w:t>
            </w:r>
          </w:p>
        </w:tc>
        <w:tc>
          <w:tcPr>
            <w:tcW w:w="774" w:type="dxa"/>
            <w:tcBorders>
              <w:left w:val="single" w:sz="4" w:space="0" w:color="000000"/>
              <w:bottom w:val="single" w:sz="4" w:space="0" w:color="000000"/>
              <w:right w:val="single" w:sz="4" w:space="0" w:color="000000"/>
            </w:tcBorders>
            <w:shd w:val="clear" w:color="auto" w:fill="auto"/>
          </w:tcPr>
          <w:p w:rsidR="00044874" w:rsidRPr="00044874" w:rsidRDefault="00044874" w:rsidP="00044874">
            <w:pPr>
              <w:snapToGrid w:val="0"/>
              <w:spacing w:before="60"/>
              <w:jc w:val="center"/>
            </w:pPr>
            <w:r w:rsidRPr="00044874">
              <w:t>6)</w:t>
            </w:r>
          </w:p>
        </w:tc>
      </w:tr>
      <w:tr w:rsidR="00044874" w:rsidRPr="00044874" w:rsidTr="00044874">
        <w:tc>
          <w:tcPr>
            <w:tcW w:w="2055" w:type="dxa"/>
            <w:tcBorders>
              <w:left w:val="single" w:sz="4" w:space="0" w:color="000000"/>
              <w:bottom w:val="single" w:sz="4" w:space="0" w:color="000000"/>
            </w:tcBorders>
            <w:shd w:val="clear" w:color="auto" w:fill="auto"/>
          </w:tcPr>
          <w:p w:rsidR="00044874" w:rsidRPr="00044874" w:rsidRDefault="00044874" w:rsidP="00044874">
            <w:pPr>
              <w:snapToGrid w:val="0"/>
            </w:pPr>
            <w:r w:rsidRPr="00044874">
              <w:t>Ubijaki o masie od 1 do 10 Mg zrzucane z wysokości od 5 do 10 m</w:t>
            </w:r>
          </w:p>
        </w:tc>
        <w:tc>
          <w:tcPr>
            <w:tcW w:w="1134" w:type="dxa"/>
            <w:tcBorders>
              <w:left w:val="single" w:sz="4" w:space="0" w:color="000000"/>
              <w:bottom w:val="single" w:sz="4" w:space="0" w:color="000000"/>
            </w:tcBorders>
            <w:shd w:val="clear" w:color="auto" w:fill="auto"/>
          </w:tcPr>
          <w:p w:rsidR="00044874" w:rsidRPr="00044874" w:rsidRDefault="00044874" w:rsidP="00044874">
            <w:pPr>
              <w:snapToGrid w:val="0"/>
              <w:jc w:val="center"/>
            </w:pPr>
          </w:p>
          <w:p w:rsidR="00044874" w:rsidRPr="00044874" w:rsidRDefault="00044874" w:rsidP="00044874">
            <w:pPr>
              <w:jc w:val="center"/>
            </w:pPr>
            <w:r w:rsidRPr="00044874">
              <w:t>2,0 do 8,0</w:t>
            </w:r>
          </w:p>
        </w:tc>
        <w:tc>
          <w:tcPr>
            <w:tcW w:w="992" w:type="dxa"/>
            <w:tcBorders>
              <w:left w:val="single" w:sz="4" w:space="0" w:color="000000"/>
              <w:bottom w:val="single" w:sz="4" w:space="0" w:color="000000"/>
            </w:tcBorders>
            <w:shd w:val="clear" w:color="auto" w:fill="auto"/>
          </w:tcPr>
          <w:p w:rsidR="00044874" w:rsidRPr="00044874" w:rsidRDefault="00044874" w:rsidP="00044874">
            <w:pPr>
              <w:snapToGrid w:val="0"/>
              <w:jc w:val="center"/>
            </w:pPr>
            <w:r w:rsidRPr="00044874">
              <w:t>4 do 10 uderzeń w punkt</w:t>
            </w:r>
          </w:p>
        </w:tc>
        <w:tc>
          <w:tcPr>
            <w:tcW w:w="851" w:type="dxa"/>
            <w:tcBorders>
              <w:left w:val="single" w:sz="4" w:space="0" w:color="000000"/>
              <w:bottom w:val="single" w:sz="4" w:space="0" w:color="000000"/>
            </w:tcBorders>
            <w:shd w:val="clear" w:color="auto" w:fill="auto"/>
          </w:tcPr>
          <w:p w:rsidR="00044874" w:rsidRPr="00044874" w:rsidRDefault="00044874" w:rsidP="00044874">
            <w:pPr>
              <w:snapToGrid w:val="0"/>
              <w:jc w:val="center"/>
            </w:pPr>
          </w:p>
          <w:p w:rsidR="00044874" w:rsidRPr="00044874" w:rsidRDefault="00044874" w:rsidP="00044874">
            <w:pPr>
              <w:jc w:val="center"/>
            </w:pPr>
            <w:r w:rsidRPr="00044874">
              <w:t>1,0 do 4,0</w:t>
            </w:r>
          </w:p>
        </w:tc>
        <w:tc>
          <w:tcPr>
            <w:tcW w:w="992" w:type="dxa"/>
            <w:tcBorders>
              <w:left w:val="single" w:sz="4" w:space="0" w:color="000000"/>
              <w:bottom w:val="single" w:sz="4" w:space="0" w:color="000000"/>
            </w:tcBorders>
            <w:shd w:val="clear" w:color="auto" w:fill="auto"/>
          </w:tcPr>
          <w:p w:rsidR="00044874" w:rsidRPr="00044874" w:rsidRDefault="00044874" w:rsidP="00044874">
            <w:pPr>
              <w:snapToGrid w:val="0"/>
              <w:jc w:val="center"/>
            </w:pPr>
            <w:r w:rsidRPr="00044874">
              <w:t>3 do 6 uderzeń w punkt</w:t>
            </w:r>
          </w:p>
        </w:tc>
        <w:tc>
          <w:tcPr>
            <w:tcW w:w="992" w:type="dxa"/>
            <w:tcBorders>
              <w:left w:val="single" w:sz="4" w:space="0" w:color="000000"/>
              <w:bottom w:val="single" w:sz="4" w:space="0" w:color="000000"/>
            </w:tcBorders>
            <w:shd w:val="clear" w:color="auto" w:fill="auto"/>
          </w:tcPr>
          <w:p w:rsidR="00044874" w:rsidRPr="00044874" w:rsidRDefault="00044874" w:rsidP="00044874">
            <w:pPr>
              <w:snapToGrid w:val="0"/>
              <w:jc w:val="center"/>
            </w:pPr>
          </w:p>
          <w:p w:rsidR="00044874" w:rsidRPr="00044874" w:rsidRDefault="00044874" w:rsidP="00044874">
            <w:pPr>
              <w:jc w:val="center"/>
            </w:pPr>
            <w:r w:rsidRPr="00044874">
              <w:t>1,0 do 5,0</w:t>
            </w:r>
          </w:p>
        </w:tc>
        <w:tc>
          <w:tcPr>
            <w:tcW w:w="992" w:type="dxa"/>
            <w:tcBorders>
              <w:left w:val="single" w:sz="4" w:space="0" w:color="000000"/>
              <w:bottom w:val="single" w:sz="4" w:space="0" w:color="000000"/>
            </w:tcBorders>
            <w:shd w:val="clear" w:color="auto" w:fill="auto"/>
          </w:tcPr>
          <w:p w:rsidR="00044874" w:rsidRPr="00044874" w:rsidRDefault="00044874" w:rsidP="00044874">
            <w:pPr>
              <w:snapToGrid w:val="0"/>
              <w:jc w:val="center"/>
            </w:pPr>
            <w:r w:rsidRPr="00044874">
              <w:t>3 do 6 uderzeń w punkt</w:t>
            </w:r>
          </w:p>
        </w:tc>
        <w:tc>
          <w:tcPr>
            <w:tcW w:w="774" w:type="dxa"/>
            <w:tcBorders>
              <w:left w:val="single" w:sz="4" w:space="0" w:color="000000"/>
              <w:bottom w:val="single" w:sz="4" w:space="0" w:color="000000"/>
              <w:right w:val="single" w:sz="4" w:space="0" w:color="000000"/>
            </w:tcBorders>
            <w:shd w:val="clear" w:color="auto" w:fill="auto"/>
          </w:tcPr>
          <w:p w:rsidR="00044874" w:rsidRPr="00044874" w:rsidRDefault="00044874" w:rsidP="00044874">
            <w:pPr>
              <w:snapToGrid w:val="0"/>
              <w:jc w:val="center"/>
            </w:pPr>
          </w:p>
        </w:tc>
      </w:tr>
    </w:tbl>
    <w:p w:rsidR="00044874" w:rsidRPr="00044874" w:rsidRDefault="00044874" w:rsidP="00044874">
      <w:pPr>
        <w:jc w:val="both"/>
      </w:pPr>
      <w:r w:rsidRPr="00044874">
        <w:t>*) Walce statyczne są mało przydatne w gruntach kamienistych.</w:t>
      </w:r>
    </w:p>
    <w:p w:rsidR="00044874" w:rsidRPr="00044874" w:rsidRDefault="00044874" w:rsidP="00044874">
      <w:pPr>
        <w:jc w:val="both"/>
      </w:pPr>
      <w:r w:rsidRPr="00044874">
        <w:t xml:space="preserve">**) Wibracyjnie należy zagęszczać warstwy grubości </w:t>
      </w:r>
      <w:r w:rsidRPr="00044874">
        <w:rPr>
          <w:rFonts w:ascii="Symbol" w:hAnsi="Symbol"/>
        </w:rPr>
        <w:t></w:t>
      </w:r>
      <w:r w:rsidRPr="00044874">
        <w:t xml:space="preserve"> 15 cm, cieńsze warstwy należy zagęszczać statycznie.</w:t>
      </w:r>
    </w:p>
    <w:p w:rsidR="00044874" w:rsidRPr="00044874" w:rsidRDefault="00044874" w:rsidP="00044874">
      <w:pPr>
        <w:jc w:val="both"/>
      </w:pPr>
      <w:r w:rsidRPr="00044874">
        <w:t>***) Wartości orientacyjne, właściwe należy ustalić na odcinku doświadczalnym.</w:t>
      </w:r>
    </w:p>
    <w:p w:rsidR="00044874" w:rsidRPr="00044874" w:rsidRDefault="00044874" w:rsidP="00044874">
      <w:pPr>
        <w:jc w:val="both"/>
      </w:pPr>
      <w:r w:rsidRPr="00044874">
        <w:t>Uwagi: 1) Do zagęszczania górnych warstw podłoża. Zalecane do codziennego wygładzania (przywałowania) gruntów spoistych w miejscu pobrania i w nasypie.</w:t>
      </w:r>
    </w:p>
    <w:p w:rsidR="00044874" w:rsidRPr="00044874" w:rsidRDefault="00044874" w:rsidP="00044874">
      <w:pPr>
        <w:jc w:val="both"/>
      </w:pPr>
      <w:r w:rsidRPr="00044874">
        <w:t>2) Nie nadają się do gruntów nawodnionych.</w:t>
      </w:r>
    </w:p>
    <w:p w:rsidR="00044874" w:rsidRPr="00044874" w:rsidRDefault="00044874" w:rsidP="00044874">
      <w:pPr>
        <w:jc w:val="both"/>
      </w:pPr>
      <w:r w:rsidRPr="00044874">
        <w:t>3) Mało przydatne w gruntach spoistych.</w:t>
      </w:r>
    </w:p>
    <w:p w:rsidR="00044874" w:rsidRPr="00044874" w:rsidRDefault="00044874" w:rsidP="00044874">
      <w:pPr>
        <w:jc w:val="both"/>
      </w:pPr>
      <w:r w:rsidRPr="00044874">
        <w:t>4) Do gruntów spoistych przydatne są walce średnie i ciężkie, do gruntów kamienistych -  walce bardzo ciężkie.</w:t>
      </w:r>
    </w:p>
    <w:p w:rsidR="00044874" w:rsidRPr="00044874" w:rsidRDefault="00044874" w:rsidP="00044874">
      <w:pPr>
        <w:jc w:val="both"/>
      </w:pPr>
      <w:r w:rsidRPr="00044874">
        <w:t>5) Zalecane do piasków pylastych i gliniastych, pospółek gliniastych i glin piaszczystych.</w:t>
      </w:r>
    </w:p>
    <w:p w:rsidR="00044874" w:rsidRPr="00044874" w:rsidRDefault="00044874" w:rsidP="00044874">
      <w:pPr>
        <w:jc w:val="both"/>
      </w:pPr>
      <w:r w:rsidRPr="00044874">
        <w:t>6) Zalecane do zasypek wąskich przekopów</w:t>
      </w:r>
    </w:p>
    <w:p w:rsidR="00044874" w:rsidRPr="00044874" w:rsidRDefault="00044874" w:rsidP="00044874">
      <w:pPr>
        <w:widowControl w:val="0"/>
        <w:spacing w:before="120" w:after="120"/>
        <w:rPr>
          <w:b/>
          <w:u w:val="single"/>
        </w:rPr>
      </w:pPr>
      <w:r w:rsidRPr="00044874">
        <w:rPr>
          <w:b/>
          <w:u w:val="single"/>
        </w:rPr>
        <w:t>4. TRANSPORT</w:t>
      </w:r>
    </w:p>
    <w:p w:rsidR="00044874" w:rsidRPr="00044874" w:rsidRDefault="00044874" w:rsidP="00044874">
      <w:pPr>
        <w:widowControl w:val="0"/>
      </w:pPr>
      <w:r w:rsidRPr="00044874">
        <w:t xml:space="preserve">Ogólne zasady wykonania robót podano w </w:t>
      </w:r>
      <w:r w:rsidR="00646246" w:rsidRPr="00044874">
        <w:t xml:space="preserve">ST </w:t>
      </w:r>
      <w:r w:rsidR="00423A6C">
        <w:t>M.11</w:t>
      </w:r>
      <w:r w:rsidR="00646246">
        <w:t>.00.00</w:t>
      </w:r>
      <w:r w:rsidR="00646246" w:rsidRPr="00044874">
        <w:t>.</w:t>
      </w:r>
    </w:p>
    <w:p w:rsidR="00044874" w:rsidRPr="00044874" w:rsidRDefault="00044874" w:rsidP="00044874">
      <w:pPr>
        <w:widowControl w:val="0"/>
        <w:spacing w:before="120" w:after="120"/>
        <w:ind w:right="5097"/>
        <w:rPr>
          <w:b/>
          <w:u w:val="single"/>
        </w:rPr>
      </w:pPr>
      <w:r w:rsidRPr="00044874">
        <w:rPr>
          <w:b/>
          <w:u w:val="single"/>
        </w:rPr>
        <w:t xml:space="preserve">5. WYKONANIE ROBÓT </w:t>
      </w:r>
    </w:p>
    <w:p w:rsidR="00044874" w:rsidRPr="00044874" w:rsidRDefault="00044874" w:rsidP="00044874">
      <w:pPr>
        <w:widowControl w:val="0"/>
        <w:tabs>
          <w:tab w:val="left" w:pos="1080"/>
        </w:tabs>
        <w:outlineLvl w:val="1"/>
        <w:rPr>
          <w:b/>
          <w:snapToGrid w:val="0"/>
        </w:rPr>
      </w:pPr>
      <w:r w:rsidRPr="00044874">
        <w:rPr>
          <w:b/>
          <w:snapToGrid w:val="0"/>
        </w:rPr>
        <w:t>5.1. Ogólne zasady wykonania robót</w:t>
      </w:r>
    </w:p>
    <w:p w:rsidR="00044874" w:rsidRPr="00044874" w:rsidRDefault="00044874" w:rsidP="00044874">
      <w:pPr>
        <w:widowControl w:val="0"/>
        <w:jc w:val="both"/>
      </w:pPr>
      <w:r w:rsidRPr="00044874">
        <w:tab/>
        <w:t xml:space="preserve">Ogólne zasady wykonania robót podano w </w:t>
      </w:r>
      <w:r w:rsidR="00646246" w:rsidRPr="00044874">
        <w:t xml:space="preserve">ST </w:t>
      </w:r>
      <w:r w:rsidR="00423A6C">
        <w:t>M.11</w:t>
      </w:r>
      <w:r w:rsidR="00646246">
        <w:t>.00.00</w:t>
      </w:r>
      <w:r w:rsidR="00646246" w:rsidRPr="00044874">
        <w:t>.</w:t>
      </w:r>
    </w:p>
    <w:p w:rsidR="00044874" w:rsidRPr="00044874" w:rsidRDefault="00044874" w:rsidP="00044874">
      <w:pPr>
        <w:widowControl w:val="0"/>
        <w:tabs>
          <w:tab w:val="left" w:pos="1080"/>
        </w:tabs>
        <w:outlineLvl w:val="1"/>
        <w:rPr>
          <w:b/>
          <w:snapToGrid w:val="0"/>
        </w:rPr>
      </w:pPr>
      <w:r w:rsidRPr="00044874">
        <w:rPr>
          <w:b/>
          <w:snapToGrid w:val="0"/>
        </w:rPr>
        <w:t>5.2. Ukop i dokop</w:t>
      </w:r>
    </w:p>
    <w:p w:rsidR="00044874" w:rsidRPr="00044874" w:rsidRDefault="00044874" w:rsidP="00044874">
      <w:pPr>
        <w:widowControl w:val="0"/>
        <w:jc w:val="both"/>
      </w:pPr>
      <w:r w:rsidRPr="00044874">
        <w:rPr>
          <w:bCs/>
        </w:rPr>
        <w:t>5.2.1</w:t>
      </w:r>
      <w:r w:rsidRPr="00044874">
        <w:rPr>
          <w:b/>
        </w:rPr>
        <w:t xml:space="preserve">. </w:t>
      </w:r>
      <w:r w:rsidRPr="00044874">
        <w:t>Miejsce ukopu lub dokopu</w:t>
      </w:r>
    </w:p>
    <w:p w:rsidR="00044874" w:rsidRPr="00044874" w:rsidRDefault="00044874" w:rsidP="00044874">
      <w:pPr>
        <w:widowControl w:val="0"/>
        <w:jc w:val="both"/>
      </w:pPr>
      <w:r w:rsidRPr="00044874">
        <w:tab/>
        <w:t>Miejsce ukopu lub dokopu powinno być wskazane w dokumentacji projektowej, w innych dokumentach k</w:t>
      </w:r>
      <w:r w:rsidR="003614CE">
        <w:t>ontraktowych lub przez Zamawiającego</w:t>
      </w:r>
      <w:r w:rsidRPr="00044874">
        <w:t xml:space="preserve">. Jeżeli miejsce to zostało wybrane przez Wykonawcę, musi być </w:t>
      </w:r>
      <w:r w:rsidR="003614CE">
        <w:t xml:space="preserve">ono zaakceptowane przez </w:t>
      </w:r>
      <w:r w:rsidR="002C4284">
        <w:t xml:space="preserve">przedstawiciela </w:t>
      </w:r>
      <w:r w:rsidR="003614CE">
        <w:t>Zamawiającego</w:t>
      </w:r>
      <w:r w:rsidRPr="00044874">
        <w:t>.</w:t>
      </w:r>
    </w:p>
    <w:p w:rsidR="00044874" w:rsidRPr="00044874" w:rsidRDefault="00044874" w:rsidP="00044874">
      <w:pPr>
        <w:widowControl w:val="0"/>
        <w:jc w:val="both"/>
      </w:pPr>
      <w:r w:rsidRPr="00044874">
        <w:tab/>
        <w:t>Miejsce ukopu lub dokopu powinno być tak dobrane, żeby zapewnić przewóz lub przemieszczanie gruntu na jak najkrótszych odległościach. O ile to możliwe, transport gruntu powinien odbywać się w poziomie lub zgodnie ze spadkiem terenu. Ukopy mogą mieć kształt poszerzonych rowów przyległych do korpusu. Ukopy powinny być wykonywane równolegle do osi drogi, po jednej lub obu jej stronach.</w:t>
      </w:r>
    </w:p>
    <w:p w:rsidR="00044874" w:rsidRPr="00044874" w:rsidRDefault="00044874" w:rsidP="00044874">
      <w:pPr>
        <w:widowControl w:val="0"/>
        <w:jc w:val="both"/>
      </w:pPr>
      <w:r w:rsidRPr="00044874">
        <w:rPr>
          <w:bCs/>
        </w:rPr>
        <w:t>5.2.2</w:t>
      </w:r>
      <w:r w:rsidRPr="00044874">
        <w:rPr>
          <w:b/>
        </w:rPr>
        <w:t xml:space="preserve">. </w:t>
      </w:r>
      <w:r w:rsidRPr="00044874">
        <w:t>Zasady prowadzenia robót w ukopie i dokopie</w:t>
      </w:r>
    </w:p>
    <w:p w:rsidR="00044874" w:rsidRPr="00044874" w:rsidRDefault="00044874" w:rsidP="00044874">
      <w:pPr>
        <w:widowControl w:val="0"/>
        <w:jc w:val="both"/>
        <w:rPr>
          <w:snapToGrid w:val="0"/>
        </w:rPr>
      </w:pPr>
      <w:r w:rsidRPr="00044874">
        <w:rPr>
          <w:snapToGrid w:val="0"/>
        </w:rPr>
        <w:tab/>
        <w:t>Pozyskiwanie gruntu z ukopu lub dokopu może rozpocząć się dopiero po pobraniu próbek i zbadaniu przydatności zalegającego gruntu do budowy nasypów oraz po wydaniu</w:t>
      </w:r>
      <w:r w:rsidR="003614CE">
        <w:rPr>
          <w:snapToGrid w:val="0"/>
        </w:rPr>
        <w:t xml:space="preserve"> zgody na piśmie przez</w:t>
      </w:r>
      <w:r w:rsidR="002C4284">
        <w:rPr>
          <w:snapToGrid w:val="0"/>
        </w:rPr>
        <w:t xml:space="preserve"> przedstawiciela</w:t>
      </w:r>
      <w:r w:rsidR="003614CE">
        <w:rPr>
          <w:snapToGrid w:val="0"/>
        </w:rPr>
        <w:t xml:space="preserve"> Zamawiają</w:t>
      </w:r>
      <w:r w:rsidRPr="00044874">
        <w:rPr>
          <w:snapToGrid w:val="0"/>
        </w:rPr>
        <w:t>. Głębokość, na jaką należy ocenić przydatność gruntu powinna być dostosowana do zakresu prac.</w:t>
      </w:r>
    </w:p>
    <w:p w:rsidR="00044874" w:rsidRPr="00044874" w:rsidRDefault="00044874" w:rsidP="00044874">
      <w:pPr>
        <w:widowControl w:val="0"/>
        <w:jc w:val="both"/>
      </w:pPr>
      <w:r w:rsidRPr="00044874">
        <w:tab/>
        <w:t xml:space="preserve">Grunty nieprzydatne do budowy nasypów nie powinny być odspajane, chyba że wymaga tego dostęp do gruntu przeznaczonego do przewiezienia z dokopu w nasyp. Odspojone przez Wykonawcę grunty nieprzydatne powinny być wbudowane z powrotem w miejscu ich pozyskania, </w:t>
      </w:r>
      <w:r w:rsidR="003614CE">
        <w:t xml:space="preserve">zgodnie ze wskazaniami </w:t>
      </w:r>
      <w:r w:rsidR="002C4284">
        <w:t xml:space="preserve">przedstawiciela </w:t>
      </w:r>
      <w:r w:rsidR="003614CE">
        <w:t>Zamawiającego</w:t>
      </w:r>
      <w:r w:rsidRPr="00044874">
        <w:t>. Roboty te będą włączone do obmiaru robót i opłacone przez Zamawiającego tylko wówczas, gdy odspojenie gruntów nieprzydatnych było konieczne i zost</w:t>
      </w:r>
      <w:r w:rsidR="003614CE">
        <w:t xml:space="preserve">ało potwierdzone przez </w:t>
      </w:r>
      <w:r w:rsidR="002C4284">
        <w:t xml:space="preserve">przedstawiciela </w:t>
      </w:r>
      <w:r w:rsidR="003614CE">
        <w:t>Zamawiającego</w:t>
      </w:r>
      <w:r w:rsidRPr="00044874">
        <w:t>.</w:t>
      </w:r>
    </w:p>
    <w:p w:rsidR="00044874" w:rsidRPr="00044874" w:rsidRDefault="00044874" w:rsidP="00044874">
      <w:pPr>
        <w:widowControl w:val="0"/>
        <w:jc w:val="both"/>
      </w:pPr>
      <w:r w:rsidRPr="00044874">
        <w:tab/>
        <w:t>Dno ukopu należy wykonać ze spadkiem od 2 do 3% w kierunku możliwego spływu wody. O ile to konieczne, ukop (dokop) należy odwodnić przez wykonanie rowu odpływowego.</w:t>
      </w:r>
    </w:p>
    <w:p w:rsidR="00044874" w:rsidRPr="00044874" w:rsidRDefault="00044874" w:rsidP="00044874">
      <w:pPr>
        <w:widowControl w:val="0"/>
        <w:jc w:val="both"/>
      </w:pPr>
      <w:r w:rsidRPr="00044874">
        <w:tab/>
        <w:t>Jeżeli ukop jest zlokalizowany na zboczu, nie może on naruszać stateczności zbocza.</w:t>
      </w:r>
    </w:p>
    <w:p w:rsidR="00044874" w:rsidRPr="00044874" w:rsidRDefault="00044874" w:rsidP="00044874">
      <w:pPr>
        <w:widowControl w:val="0"/>
        <w:jc w:val="both"/>
      </w:pPr>
      <w:r w:rsidRPr="00044874">
        <w:tab/>
        <w:t>Dno i skarpy ukopu po zakończeniu jego eksploatacji powinny być tak ukształtowane, aby harmonizowały z otaczającym terenem. Na dnie i skarpach ukopu należy przeprowadzić rekultywację według odrębnej dokumentacji projektowej.</w:t>
      </w:r>
    </w:p>
    <w:p w:rsidR="00044874" w:rsidRPr="00044874" w:rsidRDefault="00044874" w:rsidP="00044874">
      <w:pPr>
        <w:widowControl w:val="0"/>
        <w:tabs>
          <w:tab w:val="left" w:pos="1080"/>
        </w:tabs>
        <w:jc w:val="both"/>
        <w:outlineLvl w:val="1"/>
        <w:rPr>
          <w:b/>
          <w:snapToGrid w:val="0"/>
        </w:rPr>
      </w:pPr>
      <w:r w:rsidRPr="00044874">
        <w:rPr>
          <w:b/>
          <w:snapToGrid w:val="0"/>
        </w:rPr>
        <w:t>5.3. Wykonanie nasypów</w:t>
      </w:r>
    </w:p>
    <w:p w:rsidR="00044874" w:rsidRPr="00044874" w:rsidRDefault="00044874" w:rsidP="00044874">
      <w:pPr>
        <w:widowControl w:val="0"/>
        <w:jc w:val="both"/>
      </w:pPr>
      <w:r w:rsidRPr="00044874">
        <w:rPr>
          <w:bCs/>
        </w:rPr>
        <w:t>5.3.1.</w:t>
      </w:r>
      <w:r w:rsidRPr="00044874">
        <w:t>Przygotowanie podłoża w obrębie podstawy nasypu</w:t>
      </w:r>
    </w:p>
    <w:p w:rsidR="00044874" w:rsidRPr="00044874" w:rsidRDefault="00044874" w:rsidP="00044874">
      <w:pPr>
        <w:tabs>
          <w:tab w:val="left" w:pos="576"/>
          <w:tab w:val="left" w:pos="1008"/>
        </w:tabs>
        <w:jc w:val="both"/>
        <w:rPr>
          <w:snapToGrid w:val="0"/>
        </w:rPr>
      </w:pPr>
      <w:r w:rsidRPr="00044874">
        <w:rPr>
          <w:snapToGrid w:val="0"/>
        </w:rPr>
        <w:tab/>
        <w:t xml:space="preserve">Przed przystąpieniem do budowy nasypu należy w obrębie jego podstawy zakończyć roboty </w:t>
      </w:r>
      <w:r w:rsidR="00423A6C">
        <w:rPr>
          <w:snapToGrid w:val="0"/>
        </w:rPr>
        <w:t>przygotowawcze, określone w ST M</w:t>
      </w:r>
      <w:r w:rsidRPr="00044874">
        <w:rPr>
          <w:snapToGrid w:val="0"/>
        </w:rPr>
        <w:t>-</w:t>
      </w:r>
      <w:r w:rsidR="00423A6C">
        <w:rPr>
          <w:snapToGrid w:val="0"/>
        </w:rPr>
        <w:t>11.01.01</w:t>
      </w:r>
      <w:r w:rsidR="00646246">
        <w:rPr>
          <w:snapToGrid w:val="0"/>
        </w:rPr>
        <w:t xml:space="preserve"> oraz M.20.02.00</w:t>
      </w:r>
      <w:r w:rsidRPr="00044874">
        <w:rPr>
          <w:snapToGrid w:val="0"/>
        </w:rPr>
        <w:t>.</w:t>
      </w:r>
    </w:p>
    <w:p w:rsidR="00044874" w:rsidRPr="00044874" w:rsidRDefault="00044874" w:rsidP="00044874">
      <w:pPr>
        <w:widowControl w:val="0"/>
        <w:jc w:val="both"/>
      </w:pPr>
      <w:r w:rsidRPr="00044874">
        <w:t>5.3.1.1</w:t>
      </w:r>
      <w:r w:rsidRPr="00044874">
        <w:rPr>
          <w:b/>
        </w:rPr>
        <w:t xml:space="preserve">. </w:t>
      </w:r>
      <w:r w:rsidRPr="00044874">
        <w:t>Wycięcie stopni w zboczu</w:t>
      </w:r>
    </w:p>
    <w:p w:rsidR="00044874" w:rsidRPr="00044874" w:rsidRDefault="00044874" w:rsidP="00044874">
      <w:pPr>
        <w:widowControl w:val="0"/>
        <w:jc w:val="both"/>
      </w:pPr>
      <w:r w:rsidRPr="00044874">
        <w:tab/>
        <w:t>Jeżeli pochylenie poprzeczne terenu w stosunku do osi nasypu jest większe niż 1:5 należy</w:t>
      </w:r>
      <w:r w:rsidR="00496624">
        <w:t xml:space="preserve"> w celu zabezpieczenia nasypu przed zasuwaniem się wyciąć w pochyłym zboczu stopnie o wysokości od 0,5 m do 1 m. Szerokość stopninależy przyjmować w granicach od 1 do 2,5 m a spadek górnej powierzchni około 4% w kierunku zgodnym ze spadkiem zbocza w gruntach słabo przepuszczalnych lub przeciwnym do spadku zbocza w gruntach o dużej przepuszczalności (co najmniej piaskach średnioziarnistych).</w:t>
      </w:r>
    </w:p>
    <w:p w:rsidR="00044874" w:rsidRPr="00044874" w:rsidRDefault="00044874" w:rsidP="00044874">
      <w:pPr>
        <w:widowControl w:val="0"/>
        <w:jc w:val="both"/>
      </w:pPr>
      <w:r w:rsidRPr="00044874">
        <w:t>5.3.1.2.Zagęszczenie gruntów w podłożu nasypów</w:t>
      </w:r>
    </w:p>
    <w:p w:rsidR="00044874" w:rsidRPr="00044874" w:rsidRDefault="00044874" w:rsidP="00044874">
      <w:pPr>
        <w:widowControl w:val="0"/>
        <w:jc w:val="both"/>
      </w:pPr>
      <w:r w:rsidRPr="00044874">
        <w:tab/>
        <w:t>Wykonawca powinien skontrolować wskaźnik zagęszczenia gruntów rodzimych, zalegających w górnej strefie podłoża nasypu, do głębokości 0,5 metra od powierzchni terenu. Jeżeli wartość wskaźnika zagęszczenia jest mniejsza niż określona w tablicy poniżej , Wykonawca powinien dogęścić podłoże tak, aby powyższe wymaganie zostało spełnione.</w:t>
      </w:r>
    </w:p>
    <w:p w:rsidR="00044874" w:rsidRPr="00044874" w:rsidRDefault="00044874" w:rsidP="00044874">
      <w:pPr>
        <w:widowControl w:val="0"/>
        <w:jc w:val="both"/>
      </w:pPr>
      <w:r w:rsidRPr="00044874">
        <w:tab/>
        <w:t>Jeżeli wartości wskaźnika zagęszczenia określone w tablicy poniżej nie mogą być osiągnięte przez bezpośrednie zagęszczanie podłoża, to należy podjąć środki w celu ulepszenia gruntu podłoża, umożliwiające uzyskanie wymaganych wartości wskaźnika zagęszczenia.</w:t>
      </w:r>
    </w:p>
    <w:p w:rsidR="00044874" w:rsidRPr="00044874" w:rsidRDefault="00496624" w:rsidP="00044874">
      <w:pPr>
        <w:widowControl w:val="0"/>
        <w:jc w:val="both"/>
        <w:rPr>
          <w:i/>
          <w:iCs/>
        </w:rPr>
      </w:pPr>
      <w:r>
        <w:rPr>
          <w:i/>
          <w:iCs/>
        </w:rPr>
        <w:t>Zgodnie z PN-S-02205 bez względu na wysokość nasypów</w:t>
      </w:r>
    </w:p>
    <w:tbl>
      <w:tblPr>
        <w:tblW w:w="0" w:type="auto"/>
        <w:tblInd w:w="70" w:type="dxa"/>
        <w:tblLayout w:type="fixed"/>
        <w:tblCellMar>
          <w:left w:w="70" w:type="dxa"/>
          <w:right w:w="70" w:type="dxa"/>
        </w:tblCellMar>
        <w:tblLook w:val="0000" w:firstRow="0" w:lastRow="0" w:firstColumn="0" w:lastColumn="0" w:noHBand="0" w:noVBand="0"/>
      </w:tblPr>
      <w:tblGrid>
        <w:gridCol w:w="2824"/>
        <w:gridCol w:w="2700"/>
        <w:gridCol w:w="2765"/>
      </w:tblGrid>
      <w:tr w:rsidR="00496624" w:rsidRPr="00044874" w:rsidTr="00044874">
        <w:trPr>
          <w:cantSplit/>
          <w:trHeight w:hRule="exact" w:val="226"/>
        </w:trPr>
        <w:tc>
          <w:tcPr>
            <w:tcW w:w="8289" w:type="dxa"/>
            <w:gridSpan w:val="3"/>
            <w:tcBorders>
              <w:top w:val="single" w:sz="4" w:space="0" w:color="000000"/>
              <w:left w:val="single" w:sz="4" w:space="0" w:color="000000"/>
              <w:right w:val="single" w:sz="4" w:space="0" w:color="000000"/>
            </w:tcBorders>
            <w:shd w:val="clear" w:color="auto" w:fill="auto"/>
          </w:tcPr>
          <w:p w:rsidR="00496624" w:rsidRPr="00044874" w:rsidRDefault="00496624" w:rsidP="00044874">
            <w:pPr>
              <w:widowControl w:val="0"/>
              <w:snapToGrid w:val="0"/>
              <w:jc w:val="center"/>
            </w:pPr>
            <w:r w:rsidRPr="00044874">
              <w:t>Minimalna wartość I</w:t>
            </w:r>
            <w:r w:rsidRPr="00044874">
              <w:rPr>
                <w:vertAlign w:val="subscript"/>
              </w:rPr>
              <w:t>s</w:t>
            </w:r>
            <w:r w:rsidRPr="00044874">
              <w:t xml:space="preserve"> dla:</w:t>
            </w:r>
          </w:p>
        </w:tc>
      </w:tr>
      <w:tr w:rsidR="00E13288" w:rsidTr="00044874">
        <w:trPr>
          <w:cantSplit/>
          <w:trHeight w:hRule="exact" w:val="226"/>
        </w:trPr>
        <w:tc>
          <w:tcPr>
            <w:tcW w:w="2824" w:type="dxa"/>
            <w:vMerge w:val="restart"/>
            <w:shd w:val="clear" w:color="auto" w:fill="auto"/>
            <w:vAlign w:val="center"/>
          </w:tcPr>
          <w:p w:rsidR="00496624" w:rsidRPr="00044874" w:rsidRDefault="00496624" w:rsidP="00044874">
            <w:pPr>
              <w:widowControl w:val="0"/>
              <w:snapToGrid w:val="0"/>
              <w:jc w:val="center"/>
            </w:pPr>
            <w:r w:rsidRPr="00044874">
              <w:t>autostrad i dróg ekspresowych</w:t>
            </w:r>
          </w:p>
        </w:tc>
        <w:tc>
          <w:tcPr>
            <w:tcW w:w="5465" w:type="dxa"/>
            <w:gridSpan w:val="2"/>
            <w:tcBorders>
              <w:top w:val="single" w:sz="4" w:space="0" w:color="000000"/>
              <w:left w:val="single" w:sz="4" w:space="0" w:color="000000"/>
              <w:bottom w:val="single" w:sz="4" w:space="0" w:color="000000"/>
              <w:right w:val="single" w:sz="4" w:space="0" w:color="000000"/>
            </w:tcBorders>
            <w:shd w:val="clear" w:color="auto" w:fill="auto"/>
          </w:tcPr>
          <w:p w:rsidR="00496624" w:rsidRPr="00044874" w:rsidRDefault="00496624" w:rsidP="00044874">
            <w:pPr>
              <w:widowControl w:val="0"/>
              <w:snapToGrid w:val="0"/>
              <w:jc w:val="center"/>
            </w:pPr>
            <w:r w:rsidRPr="00044874">
              <w:t>innych dróg</w:t>
            </w:r>
          </w:p>
        </w:tc>
      </w:tr>
      <w:tr w:rsidR="00E13288" w:rsidTr="00044874">
        <w:trPr>
          <w:cantSplit/>
        </w:trPr>
        <w:tc>
          <w:tcPr>
            <w:tcW w:w="2824" w:type="dxa"/>
            <w:vMerge/>
            <w:shd w:val="clear" w:color="auto" w:fill="auto"/>
            <w:vAlign w:val="center"/>
          </w:tcPr>
          <w:p w:rsidR="00496624" w:rsidRPr="00044874" w:rsidRDefault="00496624" w:rsidP="00044874">
            <w:pPr>
              <w:snapToGrid w:val="0"/>
            </w:pPr>
          </w:p>
        </w:tc>
        <w:tc>
          <w:tcPr>
            <w:tcW w:w="2700" w:type="dxa"/>
            <w:shd w:val="clear" w:color="auto" w:fill="auto"/>
          </w:tcPr>
          <w:p w:rsidR="00496624" w:rsidRPr="00044874" w:rsidRDefault="00496624" w:rsidP="00044874">
            <w:pPr>
              <w:widowControl w:val="0"/>
              <w:snapToGrid w:val="0"/>
              <w:jc w:val="center"/>
            </w:pPr>
            <w:r w:rsidRPr="00044874">
              <w:t>ruch ciężki  i bardzo ciężki</w:t>
            </w:r>
          </w:p>
        </w:tc>
        <w:tc>
          <w:tcPr>
            <w:tcW w:w="2765" w:type="dxa"/>
            <w:shd w:val="clear" w:color="auto" w:fill="auto"/>
          </w:tcPr>
          <w:p w:rsidR="00496624" w:rsidRPr="00044874" w:rsidRDefault="00496624" w:rsidP="00044874">
            <w:pPr>
              <w:widowControl w:val="0"/>
              <w:snapToGrid w:val="0"/>
              <w:jc w:val="center"/>
            </w:pPr>
            <w:r w:rsidRPr="00044874">
              <w:t>ruch mniejszy od ciężkiego</w:t>
            </w:r>
          </w:p>
        </w:tc>
      </w:tr>
      <w:tr w:rsidR="00496624" w:rsidRPr="00044874" w:rsidTr="00044874">
        <w:tc>
          <w:tcPr>
            <w:tcW w:w="2824" w:type="dxa"/>
            <w:tcBorders>
              <w:left w:val="single" w:sz="4" w:space="0" w:color="000000"/>
              <w:bottom w:val="single" w:sz="4" w:space="0" w:color="000000"/>
            </w:tcBorders>
            <w:shd w:val="clear" w:color="auto" w:fill="auto"/>
          </w:tcPr>
          <w:p w:rsidR="00496624" w:rsidRPr="00044874" w:rsidRDefault="00496624" w:rsidP="00044874">
            <w:pPr>
              <w:widowControl w:val="0"/>
              <w:snapToGrid w:val="0"/>
              <w:jc w:val="center"/>
            </w:pPr>
            <w:r w:rsidRPr="00044874">
              <w:t>0,97</w:t>
            </w:r>
          </w:p>
        </w:tc>
        <w:tc>
          <w:tcPr>
            <w:tcW w:w="2700" w:type="dxa"/>
            <w:tcBorders>
              <w:left w:val="single" w:sz="4" w:space="0" w:color="000000"/>
              <w:bottom w:val="single" w:sz="4" w:space="0" w:color="000000"/>
            </w:tcBorders>
            <w:shd w:val="clear" w:color="auto" w:fill="auto"/>
          </w:tcPr>
          <w:p w:rsidR="00496624" w:rsidRPr="00044874" w:rsidRDefault="00496624" w:rsidP="00496624">
            <w:pPr>
              <w:widowControl w:val="0"/>
              <w:snapToGrid w:val="0"/>
              <w:jc w:val="center"/>
            </w:pPr>
            <w:r w:rsidRPr="00044874">
              <w:t>0,9</w:t>
            </w:r>
            <w:r>
              <w:t>5</w:t>
            </w:r>
          </w:p>
        </w:tc>
        <w:tc>
          <w:tcPr>
            <w:tcW w:w="2765" w:type="dxa"/>
            <w:tcBorders>
              <w:left w:val="single" w:sz="4" w:space="0" w:color="000000"/>
              <w:bottom w:val="single" w:sz="4" w:space="0" w:color="000000"/>
              <w:right w:val="single" w:sz="4" w:space="0" w:color="000000"/>
            </w:tcBorders>
            <w:shd w:val="clear" w:color="auto" w:fill="auto"/>
          </w:tcPr>
          <w:p w:rsidR="00496624" w:rsidRPr="00044874" w:rsidRDefault="00496624" w:rsidP="00496624">
            <w:pPr>
              <w:widowControl w:val="0"/>
              <w:snapToGrid w:val="0"/>
              <w:jc w:val="center"/>
            </w:pPr>
            <w:r w:rsidRPr="00044874">
              <w:t>0,9</w:t>
            </w:r>
            <w:r>
              <w:t>3</w:t>
            </w:r>
          </w:p>
        </w:tc>
      </w:tr>
    </w:tbl>
    <w:p w:rsidR="00044874" w:rsidRPr="00044874" w:rsidRDefault="00044874" w:rsidP="00044874">
      <w:pPr>
        <w:widowControl w:val="0"/>
        <w:ind w:firstLine="708"/>
        <w:jc w:val="both"/>
        <w:rPr>
          <w:bCs/>
        </w:rPr>
      </w:pPr>
      <w:r w:rsidRPr="00044874">
        <w:rPr>
          <w:bCs/>
        </w:rPr>
        <w:t>Dodatkowo można sprawdzić nośność warstwy gruntu podłoża nasypu na podstawie pomiaru wtórnego modułu odkształcenia E</w:t>
      </w:r>
      <w:r w:rsidRPr="00044874">
        <w:rPr>
          <w:bCs/>
          <w:vertAlign w:val="subscript"/>
        </w:rPr>
        <w:t>2</w:t>
      </w:r>
      <w:r w:rsidRPr="00044874">
        <w:rPr>
          <w:bCs/>
        </w:rPr>
        <w:t xml:space="preserve"> zgodnie z PN-02205.</w:t>
      </w:r>
    </w:p>
    <w:p w:rsidR="00044874" w:rsidRPr="00044874" w:rsidRDefault="00044874" w:rsidP="00044874">
      <w:pPr>
        <w:widowControl w:val="0"/>
        <w:jc w:val="both"/>
      </w:pPr>
      <w:r w:rsidRPr="00044874">
        <w:t>5.3.1.3.Spulchnienie gruntów w podłożu nasypów</w:t>
      </w:r>
    </w:p>
    <w:p w:rsidR="00044874" w:rsidRPr="00044874" w:rsidRDefault="00044874" w:rsidP="00044874">
      <w:pPr>
        <w:widowControl w:val="0"/>
        <w:jc w:val="both"/>
      </w:pPr>
      <w:r w:rsidRPr="00044874">
        <w:tab/>
        <w:t>Jeżeli nasyp ma być budowany na powierzchni skały lub na innej gładkiej powierzchni, to przed przystąpieniem do budowy nasypu powinna ona być rozdrobniona lub spulchniona na głębokość co najmniej 15 cm, w celu poprawy jej powiązania z podstawą nasypu.</w:t>
      </w:r>
    </w:p>
    <w:p w:rsidR="00044874" w:rsidRPr="00044874" w:rsidRDefault="00044874" w:rsidP="00044874">
      <w:pPr>
        <w:widowControl w:val="0"/>
        <w:jc w:val="both"/>
      </w:pPr>
      <w:r w:rsidRPr="00044874">
        <w:rPr>
          <w:bCs/>
        </w:rPr>
        <w:t>5.3.2.</w:t>
      </w:r>
      <w:r w:rsidRPr="00044874">
        <w:t>Wybór gruntów i materiałów do wykonania nasypów</w:t>
      </w:r>
    </w:p>
    <w:p w:rsidR="00044874" w:rsidRDefault="00044874" w:rsidP="00044874">
      <w:pPr>
        <w:widowControl w:val="0"/>
        <w:jc w:val="both"/>
      </w:pPr>
      <w:r w:rsidRPr="00044874">
        <w:tab/>
        <w:t>Wybór gruntów i materiałów do wykonania nasypów powinien być dokonany z uwzględnieniem zasad podanych w punkcie 2.</w:t>
      </w:r>
      <w:r w:rsidR="006943C1">
        <w:t xml:space="preserve"> Ponadto:</w:t>
      </w:r>
    </w:p>
    <w:p w:rsidR="006943C1" w:rsidRDefault="006943C1" w:rsidP="00044874">
      <w:pPr>
        <w:widowControl w:val="0"/>
        <w:jc w:val="both"/>
      </w:pPr>
      <w:r>
        <w:t>- Wskaźnik różnoziarnistości gruntu powinien wynosić co najmniej 3</w:t>
      </w:r>
    </w:p>
    <w:p w:rsidR="006943C1" w:rsidRPr="00044874" w:rsidRDefault="006943C1" w:rsidP="00044874">
      <w:pPr>
        <w:widowControl w:val="0"/>
        <w:jc w:val="both"/>
      </w:pPr>
      <w:r>
        <w:t>- Do górnych i dolnych warst nasypów nieprzydatne są iły i inne grunte spoiste o granicy płynności powyżej 60% oraz grunty organiczne (o zawartości części organicznych lom&gt;2%), z wyjątkiem piasków próchniczych o lom</w:t>
      </w:r>
      <w:r w:rsidR="0021083F">
        <w:t>≤5%. Nie należy również wykorzystywać gruntów trudno zagęszczalnych, których maksymalna gęstość objętościowa szkieletu jest mniejsza niż 1,6g/cm3 (nie dotyczy żużli i popiołów).</w:t>
      </w:r>
    </w:p>
    <w:p w:rsidR="00044874" w:rsidRPr="00044874" w:rsidRDefault="00044874" w:rsidP="00044874">
      <w:pPr>
        <w:widowControl w:val="0"/>
        <w:jc w:val="both"/>
      </w:pPr>
      <w:r w:rsidRPr="00044874">
        <w:rPr>
          <w:bCs/>
        </w:rPr>
        <w:t>5.3.3</w:t>
      </w:r>
      <w:r w:rsidRPr="00044874">
        <w:rPr>
          <w:b/>
        </w:rPr>
        <w:t xml:space="preserve">. </w:t>
      </w:r>
      <w:r w:rsidRPr="00044874">
        <w:t>Zasady wykonania nasypów</w:t>
      </w:r>
    </w:p>
    <w:p w:rsidR="00044874" w:rsidRPr="00044874" w:rsidRDefault="00044874" w:rsidP="00044874">
      <w:pPr>
        <w:widowControl w:val="0"/>
        <w:jc w:val="both"/>
      </w:pPr>
      <w:r w:rsidRPr="00044874">
        <w:t>5.3.3.1</w:t>
      </w:r>
      <w:r w:rsidRPr="00044874">
        <w:rPr>
          <w:b/>
          <w:bCs/>
        </w:rPr>
        <w:t>.</w:t>
      </w:r>
      <w:r w:rsidRPr="00044874">
        <w:t>Ogólne zasady wykonywania nasypów</w:t>
      </w:r>
    </w:p>
    <w:p w:rsidR="00044874" w:rsidRPr="00044874" w:rsidRDefault="00044874" w:rsidP="00044874">
      <w:pPr>
        <w:widowControl w:val="0"/>
        <w:jc w:val="both"/>
      </w:pPr>
      <w:r w:rsidRPr="00044874">
        <w:tab/>
        <w:t>Nasypy powinny być wznoszone przy zachowaniu przekroju poprzecznego i profilu podłużnego, które określono w dokumentacji projektowej, z uwzględnieniem ewentualnych zmian wprowa</w:t>
      </w:r>
      <w:r w:rsidR="003614CE">
        <w:t xml:space="preserve">dzonych zawczasu przez </w:t>
      </w:r>
      <w:r w:rsidR="002C4284">
        <w:t xml:space="preserve">przedstawiciela </w:t>
      </w:r>
      <w:r w:rsidR="003614CE">
        <w:t>Zamawiającego</w:t>
      </w:r>
      <w:r w:rsidRPr="00044874">
        <w:t>.</w:t>
      </w:r>
    </w:p>
    <w:p w:rsidR="00044874" w:rsidRPr="00044874" w:rsidRDefault="00044874" w:rsidP="00044874">
      <w:pPr>
        <w:widowControl w:val="0"/>
        <w:jc w:val="both"/>
      </w:pPr>
      <w:r w:rsidRPr="00044874">
        <w:tab/>
        <w:t>W celu zapewnienia stateczności nasypu i jego równomiernego osiadania należy przestrzegać następujących zasad:</w:t>
      </w:r>
    </w:p>
    <w:p w:rsidR="00044874" w:rsidRPr="00044874" w:rsidRDefault="00044874" w:rsidP="0097494B">
      <w:pPr>
        <w:widowControl w:val="0"/>
        <w:numPr>
          <w:ilvl w:val="0"/>
          <w:numId w:val="18"/>
        </w:numPr>
        <w:suppressAutoHyphens/>
        <w:ind w:left="283" w:hanging="283"/>
        <w:jc w:val="both"/>
      </w:pPr>
      <w:r w:rsidRPr="00044874">
        <w:t>Nasypy należy wykonywać metodą warstwową, z gruntów przydatnych do budowy nasypów. Nasypy powinny być wznoszone równomiernie na całej szerokości.</w:t>
      </w:r>
    </w:p>
    <w:p w:rsidR="00044874" w:rsidRPr="00044874" w:rsidRDefault="00044874" w:rsidP="0097494B">
      <w:pPr>
        <w:widowControl w:val="0"/>
        <w:numPr>
          <w:ilvl w:val="0"/>
          <w:numId w:val="18"/>
        </w:numPr>
        <w:suppressAutoHyphens/>
        <w:ind w:left="283" w:hanging="283"/>
        <w:jc w:val="both"/>
      </w:pPr>
      <w:r w:rsidRPr="00044874">
        <w:t>Grubość warstwy w stanie luźnym powinna być odpowiednio dobrana w zależności od rodzaju gruntu i sprzętu używanego do zagęszczania. Przystąpienie do wbudowania kolejnej warstwy nasypu może nastąpić dopiero</w:t>
      </w:r>
      <w:r w:rsidR="003614CE">
        <w:t xml:space="preserve"> po stwierdzeniu przez</w:t>
      </w:r>
      <w:r w:rsidR="002C4284">
        <w:t xml:space="preserve"> przedstawiciela</w:t>
      </w:r>
      <w:r w:rsidR="003614CE">
        <w:t xml:space="preserve"> Zamawiającego</w:t>
      </w:r>
      <w:r w:rsidRPr="00044874">
        <w:t xml:space="preserve"> prawidłowego wykonania warstwy poprzedniej.</w:t>
      </w:r>
    </w:p>
    <w:p w:rsidR="00044874" w:rsidRPr="00044874" w:rsidRDefault="00044874" w:rsidP="0097494B">
      <w:pPr>
        <w:widowControl w:val="0"/>
        <w:numPr>
          <w:ilvl w:val="0"/>
          <w:numId w:val="18"/>
        </w:numPr>
        <w:suppressAutoHyphens/>
        <w:ind w:left="283" w:hanging="283"/>
        <w:jc w:val="both"/>
      </w:pPr>
      <w:r w:rsidRPr="00044874">
        <w:t xml:space="preserve">Grunty o różnych właściwościach należy wbudowywać w oddzielnych warstwach, o jednakowej grubości na całej szerokości nasypu. Grunty spoiste </w:t>
      </w:r>
      <w:r w:rsidR="005B5207">
        <w:t>w dolne warstwy nasypu można wbudowywać (pod warunkiem spełnienia warunków z Tablicy 1)</w:t>
      </w:r>
    </w:p>
    <w:p w:rsidR="00044874" w:rsidRPr="00044874" w:rsidRDefault="00044874" w:rsidP="0097494B">
      <w:pPr>
        <w:widowControl w:val="0"/>
        <w:numPr>
          <w:ilvl w:val="0"/>
          <w:numId w:val="18"/>
        </w:numPr>
        <w:suppressAutoHyphens/>
        <w:ind w:left="283" w:hanging="283"/>
        <w:jc w:val="both"/>
      </w:pPr>
      <w:r w:rsidRPr="00044874">
        <w:t>Warstwy gruntu przepuszczalnego należy wbudowywać poziomo, a warstwy gruntu mało przepuszczalnego (o współczynniku K</w:t>
      </w:r>
      <w:r w:rsidRPr="00044874">
        <w:rPr>
          <w:vertAlign w:val="subscript"/>
        </w:rPr>
        <w:t xml:space="preserve">10 </w:t>
      </w:r>
      <w:r w:rsidRPr="00044874">
        <w:t>≤ 10</w:t>
      </w:r>
      <w:r w:rsidRPr="00044874">
        <w:rPr>
          <w:vertAlign w:val="superscript"/>
        </w:rPr>
        <w:t>-5</w:t>
      </w:r>
      <w:r w:rsidRPr="00044874">
        <w:t xml:space="preserve"> m/s) ze spadkiem górnej powierzchni około. Kiedy nasyp jest budowany w terenie płaskim spadek powinien być obustronny, gdy nasyp jest budowany na zboczu spadek powinien być jednostronny, zgodny z jego pochyleniem. Ukształtowanie powierzchni warstwy powinno uniemożliwiać lokalne gromadzenie się wody.</w:t>
      </w:r>
    </w:p>
    <w:p w:rsidR="00044874" w:rsidRPr="00044874" w:rsidRDefault="00044874" w:rsidP="0097494B">
      <w:pPr>
        <w:widowControl w:val="0"/>
        <w:numPr>
          <w:ilvl w:val="0"/>
          <w:numId w:val="18"/>
        </w:numPr>
        <w:suppressAutoHyphens/>
        <w:ind w:left="283" w:hanging="283"/>
        <w:jc w:val="both"/>
      </w:pPr>
      <w:r w:rsidRPr="00044874">
        <w:t>Jeżeli w okresie zimowym następuje przerwa w wykonywaniu nasypu, a górna powierzchnia jest wykonana z gruntu spoistego, to jej spadki porzeczne powinny być ukształtowane ku osi nasypu, a woda odprowadzona poza nasyp z zastosowaniem ścieku. Takie ukształtowanie górnej powierzchni gruntu spoistego zapobiega powstaniu potencjalnych powierzchni poślizgu w gruncie tworzącym nasyp.</w:t>
      </w:r>
    </w:p>
    <w:p w:rsidR="00044874" w:rsidRPr="00044874" w:rsidRDefault="00044874" w:rsidP="0097494B">
      <w:pPr>
        <w:widowControl w:val="0"/>
        <w:numPr>
          <w:ilvl w:val="0"/>
          <w:numId w:val="18"/>
        </w:numPr>
        <w:suppressAutoHyphens/>
        <w:ind w:left="283" w:hanging="283"/>
        <w:jc w:val="both"/>
      </w:pPr>
      <w:r w:rsidRPr="00044874">
        <w:t xml:space="preserve">Górne warstwy nasypu, o grubości co najmniej 0,50 metra należy wykonać z gruntów </w:t>
      </w:r>
      <w:r w:rsidR="005B5207">
        <w:t xml:space="preserve">niespoistych </w:t>
      </w:r>
      <w:r w:rsidRPr="00044874">
        <w:t>niewysadzinowych, o wskaźniku wodoprzepuszczalności  K</w:t>
      </w:r>
      <w:r w:rsidRPr="00044874">
        <w:rPr>
          <w:vertAlign w:val="subscript"/>
        </w:rPr>
        <w:t xml:space="preserve">10 </w:t>
      </w:r>
      <w:r w:rsidRPr="00044874">
        <w:t>≥ 6*10</w:t>
      </w:r>
      <w:r w:rsidRPr="00044874">
        <w:rPr>
          <w:vertAlign w:val="superscript"/>
        </w:rPr>
        <w:t>-5</w:t>
      </w:r>
      <w:r w:rsidRPr="00044874">
        <w:t xml:space="preserve"> m/s  i wskaźniku różnoziarnistości U ≥ 5. Jeżeli Wykonawca nie dysponuje gruntem o</w:t>
      </w:r>
      <w:r w:rsidR="003614CE">
        <w:t xml:space="preserve"> takich właściwościach, </w:t>
      </w:r>
      <w:r w:rsidR="002C4284">
        <w:t xml:space="preserve"> przedstawiciel Zamawiającego</w:t>
      </w:r>
      <w:r w:rsidRPr="00044874">
        <w:t xml:space="preserve"> może wyrazić zgodę na ulepszenie górnej warstwy nasypu poprzez stabilizację cementem, wapnem lub popiołami lotnymi. W takim przypadku jest konieczne sprawdzenie warunku nośności i mrozoodporności konstrukcji nawierzchni i wprowadzenie korekty, polegającej na rozbudowaniu podbudowy pomocniczej.</w:t>
      </w:r>
    </w:p>
    <w:p w:rsidR="00044874" w:rsidRPr="00044874" w:rsidRDefault="00044874" w:rsidP="0097494B">
      <w:pPr>
        <w:widowControl w:val="0"/>
        <w:numPr>
          <w:ilvl w:val="0"/>
          <w:numId w:val="18"/>
        </w:numPr>
        <w:suppressAutoHyphens/>
        <w:ind w:left="283" w:hanging="283"/>
        <w:jc w:val="both"/>
      </w:pPr>
      <w:r w:rsidRPr="00044874">
        <w:t>Na terenach o wysokim stanie wód gruntowych oraz na terenach zalewowych dolne warstwy nasypu, o grubości co najmniej 0,5 metra powyżej najwyższego poziomu wody, należy wykonać z gruntu przepuszczalnego.</w:t>
      </w:r>
    </w:p>
    <w:p w:rsidR="00044874" w:rsidRPr="00044874" w:rsidRDefault="00044874" w:rsidP="0097494B">
      <w:pPr>
        <w:widowControl w:val="0"/>
        <w:numPr>
          <w:ilvl w:val="0"/>
          <w:numId w:val="18"/>
        </w:numPr>
        <w:suppressAutoHyphens/>
        <w:ind w:left="283" w:hanging="283"/>
        <w:jc w:val="both"/>
      </w:pPr>
      <w:r w:rsidRPr="00044874">
        <w:t xml:space="preserve">Przy wykonywaniu nasypów z popiołów lotnych, warstwę pod popiołami, grubości 0,3 do 0,5 m, należy wykonać z gruntu lub materiałów o dużej przepuszczalności. Górnej powierzchni warstwy popiołu należy nadać spadki poprzeczne 4% </w:t>
      </w:r>
      <w:r w:rsidRPr="00044874">
        <w:rPr>
          <w:rFonts w:ascii="Symbol" w:hAnsi="Symbol"/>
        </w:rPr>
        <w:t></w:t>
      </w:r>
      <w:r w:rsidRPr="00044874">
        <w:t>1% według poz. d).</w:t>
      </w:r>
    </w:p>
    <w:p w:rsidR="00044874" w:rsidRPr="00044874" w:rsidRDefault="00044874" w:rsidP="0097494B">
      <w:pPr>
        <w:widowControl w:val="0"/>
        <w:numPr>
          <w:ilvl w:val="0"/>
          <w:numId w:val="18"/>
        </w:numPr>
        <w:suppressAutoHyphens/>
        <w:ind w:left="283" w:hanging="283"/>
        <w:jc w:val="both"/>
      </w:pPr>
      <w:r w:rsidRPr="00044874">
        <w:t>Grunt przewieziony w miejsce wbudowania powinien być bezzwłocz</w:t>
      </w:r>
      <w:r w:rsidR="003614CE">
        <w:t xml:space="preserve">nie wbudowany w nasyp. </w:t>
      </w:r>
      <w:r w:rsidR="002C4284">
        <w:t>Przedstawiciel Zamawiającego</w:t>
      </w:r>
      <w:r w:rsidRPr="00044874">
        <w:t>może dopuścić czasowe składowanie gruntu, pod warunkiem jego zabezpieczenia przed nadmiernym zawilgoceniem.</w:t>
      </w:r>
    </w:p>
    <w:p w:rsidR="00044874" w:rsidRPr="00044874" w:rsidRDefault="00044874" w:rsidP="00044874">
      <w:pPr>
        <w:widowControl w:val="0"/>
        <w:jc w:val="both"/>
      </w:pPr>
      <w:r w:rsidRPr="00044874">
        <w:t>5.3.3.2.Wykonywanie nasypów na zboczach</w:t>
      </w:r>
    </w:p>
    <w:p w:rsidR="00044874" w:rsidRPr="00044874" w:rsidRDefault="00044874" w:rsidP="00044874">
      <w:pPr>
        <w:widowControl w:val="0"/>
        <w:jc w:val="both"/>
      </w:pPr>
      <w:r w:rsidRPr="00044874">
        <w:tab/>
        <w:t>Przy budowie nasypu na zboczu o pochyłości od 1:5 do 1:2 należy zabezpieczyć nasyp przed zsuwaniem się przez:</w:t>
      </w:r>
    </w:p>
    <w:p w:rsidR="00044874" w:rsidRPr="00044874" w:rsidRDefault="005B5207" w:rsidP="0097494B">
      <w:pPr>
        <w:widowControl w:val="0"/>
        <w:numPr>
          <w:ilvl w:val="0"/>
          <w:numId w:val="9"/>
        </w:numPr>
        <w:suppressAutoHyphens/>
        <w:jc w:val="both"/>
      </w:pPr>
      <w:r>
        <w:t xml:space="preserve">wycięcie w zboczu stopni. </w:t>
      </w:r>
      <w:r w:rsidRPr="005B5207">
        <w:t>Jeżeli pochylenie poprzeczne terenu w stosunku do osi nasypu jest większe niż 1:5 należy w celu zabezpieczenia nasypu przed zasuwaniem się wyciąć w pochyłym zboczu stopnie o wysokości od 0,5 m do 1 m. Szerokość stopninależy przyjmować w granicach od 1 do 2,5 m a spadek górnej powierzchni około 4% w kierunku zgodnym ze spadkiem zbocza w gruntach słabo przepuszczalnych lub przeciwnym do spadku zbocza w gruntach o dużej przepuszczalności (co najmniej piaskach średnioziarnistych).</w:t>
      </w:r>
    </w:p>
    <w:p w:rsidR="00044874" w:rsidRPr="00044874" w:rsidRDefault="00044874" w:rsidP="0097494B">
      <w:pPr>
        <w:widowControl w:val="0"/>
        <w:numPr>
          <w:ilvl w:val="0"/>
          <w:numId w:val="9"/>
        </w:numPr>
        <w:suppressAutoHyphens/>
        <w:ind w:left="283" w:hanging="283"/>
        <w:jc w:val="both"/>
      </w:pPr>
      <w:r w:rsidRPr="00044874">
        <w:t>wykonanie rowu stokowego powyżej nasypu.</w:t>
      </w:r>
    </w:p>
    <w:p w:rsidR="00044874" w:rsidRPr="00044874" w:rsidRDefault="00044874" w:rsidP="00044874">
      <w:pPr>
        <w:tabs>
          <w:tab w:val="left" w:pos="576"/>
          <w:tab w:val="left" w:pos="1008"/>
        </w:tabs>
        <w:jc w:val="both"/>
        <w:rPr>
          <w:snapToGrid w:val="0"/>
        </w:rPr>
      </w:pPr>
      <w:r w:rsidRPr="00044874">
        <w:rPr>
          <w:snapToGrid w:val="0"/>
        </w:rPr>
        <w:tab/>
        <w:t xml:space="preserve">Przy pochyłościach zbocza większych niż 1:2 wskazane jest zabezpieczenie stateczności nasypu </w:t>
      </w:r>
      <w:r w:rsidR="0023789D">
        <w:rPr>
          <w:snapToGrid w:val="0"/>
        </w:rPr>
        <w:t>według dokumentacji projektowej, opracowanej na podstawie szczegółowych badań podłoża np. poprzez podparcie go konstrukcją oporową.</w:t>
      </w:r>
    </w:p>
    <w:p w:rsidR="00044874" w:rsidRPr="00044874" w:rsidRDefault="00044874" w:rsidP="00044874">
      <w:pPr>
        <w:widowControl w:val="0"/>
        <w:jc w:val="both"/>
      </w:pPr>
      <w:r w:rsidRPr="00044874">
        <w:t>5.3.3.3</w:t>
      </w:r>
      <w:r w:rsidRPr="00044874">
        <w:rPr>
          <w:b/>
          <w:bCs/>
        </w:rPr>
        <w:t>.</w:t>
      </w:r>
      <w:r w:rsidRPr="00044874">
        <w:t>Poszerzenie nasypu</w:t>
      </w:r>
    </w:p>
    <w:p w:rsidR="0023789D" w:rsidRDefault="00044874" w:rsidP="00044874">
      <w:pPr>
        <w:widowControl w:val="0"/>
        <w:jc w:val="both"/>
      </w:pPr>
      <w:r w:rsidRPr="00044874">
        <w:tab/>
      </w:r>
      <w:r w:rsidR="0023789D" w:rsidRPr="0023789D">
        <w:t>Jeżeli pochylenie poprzeczne terenu w stosunku do osi nasypu jest większe niż 1:5 należy w celu zabezpieczenia nasypu przed zasuwaniem się wyciąć w pochyłym zboczu stopnie o wysokości od 0,5 m do 1 m. Szerokość stopninależy przyjmować w granicach od 1 do 2,5 m a spadek górnej powierzchni około 4% w kierunku zgodnym ze spadkiem zbocza w gruntach słabo przepuszczalnych lub przeciwnym do spadku zbocza w gruntach o dużej przepuszczalności (co najmniej piaskach średnioziarnistych).</w:t>
      </w:r>
    </w:p>
    <w:p w:rsidR="00044874" w:rsidRPr="00044874" w:rsidRDefault="00044874" w:rsidP="00044874">
      <w:pPr>
        <w:widowControl w:val="0"/>
        <w:jc w:val="both"/>
      </w:pPr>
      <w:r w:rsidRPr="00044874">
        <w:tab/>
        <w:t>Wycięcie stopni obowiązuje zawsze przy wykonywaniu styku dwóch przyległych części nasypu, wykonanych z gruntów o różnych właściwościach lub w różnym czasie.</w:t>
      </w:r>
    </w:p>
    <w:p w:rsidR="00044874" w:rsidRPr="00044874" w:rsidRDefault="00044874" w:rsidP="00044874">
      <w:pPr>
        <w:widowControl w:val="0"/>
        <w:jc w:val="both"/>
      </w:pPr>
      <w:r w:rsidRPr="00044874">
        <w:t>5.3.3.4.Wykonywanie nasypów w okresie deszczów</w:t>
      </w:r>
    </w:p>
    <w:p w:rsidR="00044874" w:rsidRPr="0023789D" w:rsidRDefault="00044874" w:rsidP="0023789D">
      <w:pPr>
        <w:widowControl w:val="0"/>
        <w:jc w:val="both"/>
        <w:rPr>
          <w:snapToGrid w:val="0"/>
        </w:rPr>
      </w:pPr>
      <w:r w:rsidRPr="00044874">
        <w:tab/>
      </w:r>
      <w:r w:rsidR="0023789D">
        <w:t xml:space="preserve">W okresie deszczów nasypy zaleca się wykonywać jedynie z gruntów i materiałów przydatnych bez zastrzeżeń wg. Tablicy 1. </w:t>
      </w:r>
      <w:r w:rsidR="0023789D">
        <w:rPr>
          <w:snapToGrid w:val="0"/>
        </w:rPr>
        <w:t>Nie należy wbudowywać gruntów o nadmiernej wilgotności (w&gt;wopt), zamarzniętych albo przemieszanych ze śniegiem lub lodem.</w:t>
      </w:r>
    </w:p>
    <w:p w:rsidR="00044874" w:rsidRPr="00044874" w:rsidRDefault="00044874" w:rsidP="00044874">
      <w:pPr>
        <w:tabs>
          <w:tab w:val="left" w:pos="576"/>
          <w:tab w:val="left" w:pos="1008"/>
        </w:tabs>
        <w:jc w:val="both"/>
        <w:rPr>
          <w:snapToGrid w:val="0"/>
        </w:rPr>
      </w:pPr>
      <w:r w:rsidRPr="00044874">
        <w:rPr>
          <w:snapToGrid w:val="0"/>
        </w:rPr>
        <w:tab/>
      </w:r>
    </w:p>
    <w:p w:rsidR="00044874" w:rsidRPr="00044874" w:rsidRDefault="00044874" w:rsidP="00044874">
      <w:pPr>
        <w:widowControl w:val="0"/>
        <w:jc w:val="both"/>
      </w:pPr>
      <w:r w:rsidRPr="00044874">
        <w:t>5.3.3.5</w:t>
      </w:r>
      <w:r w:rsidRPr="00044874">
        <w:rPr>
          <w:b/>
          <w:bCs/>
        </w:rPr>
        <w:t>.</w:t>
      </w:r>
      <w:r w:rsidRPr="00044874">
        <w:t xml:space="preserve"> Wykonywanie nasypów w okresie mrozów</w:t>
      </w:r>
    </w:p>
    <w:p w:rsidR="00044874" w:rsidRPr="00044874" w:rsidRDefault="00044874" w:rsidP="0023789D">
      <w:pPr>
        <w:widowControl w:val="0"/>
        <w:jc w:val="both"/>
        <w:rPr>
          <w:snapToGrid w:val="0"/>
        </w:rPr>
      </w:pPr>
      <w:r w:rsidRPr="00044874">
        <w:tab/>
      </w:r>
      <w:r w:rsidR="0023789D">
        <w:t>W okresie mrozów nasypy zaleca się wykonywać jedynie z gruntów i materiałów przydatnych bez zastrzeżeń wg. Tablicy 1.</w:t>
      </w:r>
      <w:r w:rsidR="0023789D">
        <w:rPr>
          <w:snapToGrid w:val="0"/>
        </w:rPr>
        <w:t xml:space="preserve"> Nie należy wbudowywać gruntów o nadmiernej wilgotności (w&gt;wopt), zamarzniętych albo przemieszanych ze śniegiem lub lodem.</w:t>
      </w:r>
    </w:p>
    <w:p w:rsidR="00044874" w:rsidRPr="00044874" w:rsidRDefault="00044874" w:rsidP="00044874">
      <w:pPr>
        <w:widowControl w:val="0"/>
        <w:jc w:val="both"/>
      </w:pPr>
      <w:r w:rsidRPr="00044874">
        <w:rPr>
          <w:bCs/>
        </w:rPr>
        <w:t>5.3.4</w:t>
      </w:r>
      <w:r w:rsidRPr="00044874">
        <w:rPr>
          <w:b/>
        </w:rPr>
        <w:t xml:space="preserve">. </w:t>
      </w:r>
      <w:r w:rsidRPr="00044874">
        <w:t>Zagęszczenie gruntu</w:t>
      </w:r>
    </w:p>
    <w:p w:rsidR="00044874" w:rsidRPr="00044874" w:rsidRDefault="00044874" w:rsidP="00044874">
      <w:pPr>
        <w:widowControl w:val="0"/>
        <w:jc w:val="both"/>
      </w:pPr>
      <w:r w:rsidRPr="00044874">
        <w:t>5.3.4.1. Ogólne zasady zagęszczania gruntu</w:t>
      </w:r>
    </w:p>
    <w:p w:rsidR="00044874" w:rsidRPr="00044874" w:rsidRDefault="00044874" w:rsidP="00044874">
      <w:pPr>
        <w:widowControl w:val="0"/>
        <w:jc w:val="both"/>
      </w:pPr>
      <w:r w:rsidRPr="00044874">
        <w:tab/>
        <w:t>Każda warstwa gruntu jak najszybciej po jej rozłożeniu, powinna być zagęszczona z zastosowaniem sprzętu odpowiedniego dla danego rodzaju gruntu oraz występujących warunków.</w:t>
      </w:r>
    </w:p>
    <w:p w:rsidR="00044874" w:rsidRPr="00044874" w:rsidRDefault="00044874" w:rsidP="00044874">
      <w:pPr>
        <w:widowControl w:val="0"/>
        <w:ind w:firstLine="708"/>
        <w:jc w:val="both"/>
      </w:pPr>
      <w:r w:rsidRPr="00044874">
        <w:t>Kolejną warstwą gruntu można nakładać po stwierdzeniu uzyskania wymaganych parametrów już ułożonej warstwy.</w:t>
      </w:r>
    </w:p>
    <w:p w:rsidR="00044874" w:rsidRPr="00044874" w:rsidRDefault="00044874" w:rsidP="00044874">
      <w:pPr>
        <w:widowControl w:val="0"/>
        <w:jc w:val="both"/>
      </w:pPr>
      <w:r w:rsidRPr="00044874">
        <w:tab/>
        <w:t>Rozłożone warstwy gruntu należy zagęszczać od krawędzi nasypu w kierunku jego osi.</w:t>
      </w:r>
    </w:p>
    <w:p w:rsidR="00044874" w:rsidRPr="00044874" w:rsidRDefault="00044874" w:rsidP="00044874">
      <w:pPr>
        <w:widowControl w:val="0"/>
        <w:jc w:val="both"/>
      </w:pPr>
      <w:r w:rsidRPr="00044874">
        <w:t>5.3.4.2.Grubość warstwy</w:t>
      </w:r>
    </w:p>
    <w:p w:rsidR="00044874" w:rsidRPr="00044874" w:rsidRDefault="00044874" w:rsidP="00044874">
      <w:pPr>
        <w:tabs>
          <w:tab w:val="left" w:pos="576"/>
          <w:tab w:val="left" w:pos="1008"/>
        </w:tabs>
        <w:jc w:val="both"/>
        <w:rPr>
          <w:snapToGrid w:val="0"/>
        </w:rPr>
      </w:pPr>
      <w:r w:rsidRPr="00044874">
        <w:rPr>
          <w:snapToGrid w:val="0"/>
        </w:rPr>
        <w:tab/>
        <w:t>Grubość warstwy zagęszczonego gruntu oraz liczbę przejść maszyny zagęszczającej zaleca się określić doświadczalnie dla każdego rodzaju gruntu i typu maszyny, zgodnie z zasadami podanymi w punkcie 5.3.4.4.</w:t>
      </w:r>
    </w:p>
    <w:p w:rsidR="00044874" w:rsidRPr="00044874" w:rsidRDefault="00044874" w:rsidP="00044874">
      <w:pPr>
        <w:widowControl w:val="0"/>
        <w:jc w:val="both"/>
      </w:pPr>
      <w:r w:rsidRPr="00044874">
        <w:t>5.3.4.3.Wilgotność gruntu</w:t>
      </w:r>
    </w:p>
    <w:p w:rsidR="00044874" w:rsidRPr="00044874" w:rsidRDefault="00044874" w:rsidP="00044874">
      <w:pPr>
        <w:widowControl w:val="0"/>
        <w:jc w:val="both"/>
      </w:pPr>
      <w:r w:rsidRPr="00044874">
        <w:tab/>
        <w:t>Wilgotność gruntu w czasie zagęszczania powinna być równa wilgotności optymalnej, z tolerancją:</w:t>
      </w:r>
    </w:p>
    <w:p w:rsidR="00044874" w:rsidRPr="00044874" w:rsidRDefault="00044874" w:rsidP="0097494B">
      <w:pPr>
        <w:widowControl w:val="0"/>
        <w:numPr>
          <w:ilvl w:val="0"/>
          <w:numId w:val="22"/>
        </w:numPr>
        <w:suppressAutoHyphens/>
        <w:ind w:left="340" w:hanging="340"/>
        <w:jc w:val="both"/>
      </w:pPr>
      <w:r w:rsidRPr="00044874">
        <w:t xml:space="preserve">w gruntach niespoistych – </w:t>
      </w:r>
      <w:r w:rsidRPr="00044874">
        <w:tab/>
      </w:r>
      <w:r w:rsidRPr="00044874">
        <w:tab/>
      </w:r>
      <w:r w:rsidRPr="00044874">
        <w:tab/>
        <w:t>±2 %,</w:t>
      </w:r>
    </w:p>
    <w:p w:rsidR="00044874" w:rsidRPr="00044874" w:rsidRDefault="00044874" w:rsidP="0097494B">
      <w:pPr>
        <w:widowControl w:val="0"/>
        <w:numPr>
          <w:ilvl w:val="0"/>
          <w:numId w:val="22"/>
        </w:numPr>
        <w:suppressAutoHyphens/>
        <w:ind w:left="340" w:hanging="340"/>
        <w:jc w:val="both"/>
      </w:pPr>
      <w:r w:rsidRPr="00044874">
        <w:t xml:space="preserve">w gruntach mało i średnio spoistych – </w:t>
      </w:r>
      <w:r w:rsidRPr="00044874">
        <w:tab/>
        <w:t>+0 %, -2 %,</w:t>
      </w:r>
    </w:p>
    <w:p w:rsidR="00044874" w:rsidRPr="00044874" w:rsidRDefault="00044874" w:rsidP="0097494B">
      <w:pPr>
        <w:widowControl w:val="0"/>
        <w:numPr>
          <w:ilvl w:val="0"/>
          <w:numId w:val="22"/>
        </w:numPr>
        <w:suppressAutoHyphens/>
        <w:ind w:left="340" w:hanging="340"/>
        <w:jc w:val="both"/>
      </w:pPr>
      <w:r w:rsidRPr="00044874">
        <w:t xml:space="preserve">w mieszaninach popiołowo – żużlowych – </w:t>
      </w:r>
      <w:r w:rsidRPr="00044874">
        <w:tab/>
        <w:t>+2 %, -4 %.</w:t>
      </w:r>
    </w:p>
    <w:p w:rsidR="00044874" w:rsidRPr="00044874" w:rsidRDefault="00044874" w:rsidP="00044874">
      <w:pPr>
        <w:widowControl w:val="0"/>
        <w:jc w:val="both"/>
      </w:pPr>
      <w:r w:rsidRPr="00044874">
        <w:tab/>
        <w:t>Sprawdzenie wilgotności gruntu należy przeprowadzać laboratoryjnie, z częstotliwością określoną w punkcie 6.</w:t>
      </w:r>
    </w:p>
    <w:p w:rsidR="00044874" w:rsidRPr="00044874" w:rsidRDefault="00044874" w:rsidP="00044874">
      <w:pPr>
        <w:widowControl w:val="0"/>
        <w:jc w:val="both"/>
      </w:pPr>
      <w:r w:rsidRPr="00044874">
        <w:t>5.3.4.4</w:t>
      </w:r>
      <w:r w:rsidRPr="00044874">
        <w:rPr>
          <w:b/>
          <w:bCs/>
        </w:rPr>
        <w:t>.</w:t>
      </w:r>
      <w:r w:rsidRPr="00044874">
        <w:t>Wymagania dotyczące zagęszczania</w:t>
      </w:r>
    </w:p>
    <w:p w:rsidR="00044874" w:rsidRPr="00044874" w:rsidRDefault="00044874" w:rsidP="00044874">
      <w:pPr>
        <w:widowControl w:val="0"/>
        <w:jc w:val="both"/>
      </w:pPr>
      <w:r w:rsidRPr="00044874">
        <w:tab/>
        <w:t>W zależności od uziarnienia stosowanych materiałów, zagęszczenie warstwy należy określać za pomocą oznaczenia wskaźnika zagęszczenia lub porównania pierwotnego i wtórnego modułu odkształcenia.</w:t>
      </w:r>
    </w:p>
    <w:p w:rsidR="00044874" w:rsidRPr="00044874" w:rsidRDefault="00044874" w:rsidP="00044874">
      <w:pPr>
        <w:widowControl w:val="0"/>
        <w:jc w:val="both"/>
      </w:pPr>
      <w:r w:rsidRPr="00044874">
        <w:tab/>
        <w:t>Kontrolę zagęszczenia na podstawie porównania pierwotnego i wtórnego modułu odkształcenia, określonych zgodnie z normą PN-S-02205, należy stosować tylko dla gruntów gruboziarnistych, dla których nie jest możliwe określenie wskaźnika zagęszczenia I</w:t>
      </w:r>
      <w:r w:rsidRPr="00044874">
        <w:rPr>
          <w:vertAlign w:val="subscript"/>
        </w:rPr>
        <w:t>s</w:t>
      </w:r>
      <w:r w:rsidRPr="00044874">
        <w:t>, według BN-77/8931-12.</w:t>
      </w:r>
    </w:p>
    <w:p w:rsidR="00044874" w:rsidRPr="00044874" w:rsidRDefault="00044874" w:rsidP="00044874">
      <w:pPr>
        <w:tabs>
          <w:tab w:val="left" w:pos="576"/>
          <w:tab w:val="left" w:pos="1008"/>
        </w:tabs>
        <w:jc w:val="both"/>
        <w:rPr>
          <w:snapToGrid w:val="0"/>
        </w:rPr>
      </w:pPr>
      <w:r w:rsidRPr="00044874">
        <w:rPr>
          <w:snapToGrid w:val="0"/>
        </w:rPr>
        <w:tab/>
        <w:t>Wskaźnik zagęszczenia gruntów w nasypach, określony według normy BN-77/8931-12, powinien na całej szerokości korpusu spełniać wymagania podane w  tablicy poniżej.</w:t>
      </w:r>
    </w:p>
    <w:p w:rsidR="00044874" w:rsidRPr="00044874" w:rsidRDefault="00044874" w:rsidP="00044874">
      <w:pPr>
        <w:tabs>
          <w:tab w:val="left" w:pos="720"/>
        </w:tabs>
        <w:ind w:left="720" w:hanging="432"/>
        <w:outlineLvl w:val="2"/>
        <w:rPr>
          <w:snapToGrid w:val="0"/>
        </w:rPr>
      </w:pPr>
      <w:r w:rsidRPr="00044874">
        <w:rPr>
          <w:snapToGrid w:val="0"/>
        </w:rPr>
        <w:t>Minimalne wartości wskaźnika zagęszczenia gruntu w nasypach</w:t>
      </w:r>
    </w:p>
    <w:tbl>
      <w:tblPr>
        <w:tblW w:w="0" w:type="auto"/>
        <w:tblInd w:w="70" w:type="dxa"/>
        <w:tblLayout w:type="fixed"/>
        <w:tblCellMar>
          <w:left w:w="70" w:type="dxa"/>
          <w:right w:w="70" w:type="dxa"/>
        </w:tblCellMar>
        <w:tblLook w:val="0000" w:firstRow="0" w:lastRow="0" w:firstColumn="0" w:lastColumn="0" w:noHBand="0" w:noVBand="0"/>
      </w:tblPr>
      <w:tblGrid>
        <w:gridCol w:w="3756"/>
        <w:gridCol w:w="1814"/>
        <w:gridCol w:w="1900"/>
        <w:gridCol w:w="1938"/>
      </w:tblGrid>
      <w:tr w:rsidR="00044874" w:rsidRPr="00044874" w:rsidTr="00044874">
        <w:tc>
          <w:tcPr>
            <w:tcW w:w="3756" w:type="dxa"/>
            <w:tcBorders>
              <w:top w:val="single" w:sz="4" w:space="0" w:color="000000"/>
              <w:left w:val="single" w:sz="4" w:space="0" w:color="000000"/>
            </w:tcBorders>
            <w:shd w:val="clear" w:color="auto" w:fill="auto"/>
          </w:tcPr>
          <w:p w:rsidR="00044874" w:rsidRPr="00044874" w:rsidRDefault="00044874" w:rsidP="00044874">
            <w:pPr>
              <w:widowControl w:val="0"/>
              <w:snapToGrid w:val="0"/>
              <w:jc w:val="both"/>
            </w:pPr>
          </w:p>
        </w:tc>
        <w:tc>
          <w:tcPr>
            <w:tcW w:w="5652" w:type="dxa"/>
            <w:gridSpan w:val="3"/>
            <w:tcBorders>
              <w:top w:val="single" w:sz="4" w:space="0" w:color="000000"/>
              <w:left w:val="single" w:sz="4" w:space="0" w:color="000000"/>
              <w:right w:val="single" w:sz="4" w:space="0" w:color="000000"/>
            </w:tcBorders>
            <w:shd w:val="clear" w:color="auto" w:fill="auto"/>
          </w:tcPr>
          <w:p w:rsidR="00044874" w:rsidRPr="00044874" w:rsidRDefault="00044874" w:rsidP="00044874">
            <w:pPr>
              <w:widowControl w:val="0"/>
              <w:snapToGrid w:val="0"/>
              <w:jc w:val="center"/>
            </w:pPr>
            <w:r w:rsidRPr="00044874">
              <w:t>Minimalna wartość I</w:t>
            </w:r>
            <w:r w:rsidRPr="00044874">
              <w:rPr>
                <w:vertAlign w:val="subscript"/>
              </w:rPr>
              <w:t>s</w:t>
            </w:r>
            <w:r w:rsidRPr="00044874">
              <w:t xml:space="preserve"> dla:</w:t>
            </w:r>
          </w:p>
        </w:tc>
      </w:tr>
      <w:tr w:rsidR="00044874" w:rsidRPr="00044874" w:rsidTr="00044874">
        <w:tc>
          <w:tcPr>
            <w:tcW w:w="3756" w:type="dxa"/>
            <w:tcBorders>
              <w:left w:val="single" w:sz="4" w:space="0" w:color="000000"/>
            </w:tcBorders>
            <w:shd w:val="clear" w:color="auto" w:fill="auto"/>
            <w:vAlign w:val="center"/>
          </w:tcPr>
          <w:p w:rsidR="00044874" w:rsidRPr="00044874" w:rsidRDefault="00044874" w:rsidP="00044874">
            <w:pPr>
              <w:widowControl w:val="0"/>
              <w:snapToGrid w:val="0"/>
              <w:jc w:val="center"/>
            </w:pPr>
            <w:r w:rsidRPr="00044874">
              <w:t>Strefa</w:t>
            </w:r>
          </w:p>
        </w:tc>
        <w:tc>
          <w:tcPr>
            <w:tcW w:w="1814" w:type="dxa"/>
            <w:tcBorders>
              <w:top w:val="single" w:sz="4" w:space="0" w:color="000000"/>
              <w:left w:val="single" w:sz="4" w:space="0" w:color="000000"/>
            </w:tcBorders>
            <w:shd w:val="clear" w:color="auto" w:fill="auto"/>
          </w:tcPr>
          <w:p w:rsidR="00044874" w:rsidRPr="00044874" w:rsidRDefault="00044874" w:rsidP="00044874">
            <w:pPr>
              <w:widowControl w:val="0"/>
              <w:snapToGrid w:val="0"/>
              <w:jc w:val="center"/>
            </w:pPr>
            <w:r w:rsidRPr="00044874">
              <w:t>autostrad</w:t>
            </w:r>
          </w:p>
        </w:tc>
        <w:tc>
          <w:tcPr>
            <w:tcW w:w="3838" w:type="dxa"/>
            <w:gridSpan w:val="2"/>
            <w:tcBorders>
              <w:top w:val="single" w:sz="4" w:space="0" w:color="000000"/>
              <w:left w:val="single" w:sz="4" w:space="0" w:color="000000"/>
              <w:bottom w:val="single" w:sz="4" w:space="0" w:color="000000"/>
              <w:right w:val="single" w:sz="4" w:space="0" w:color="000000"/>
            </w:tcBorders>
            <w:shd w:val="clear" w:color="auto" w:fill="auto"/>
          </w:tcPr>
          <w:p w:rsidR="00044874" w:rsidRPr="00044874" w:rsidRDefault="00044874" w:rsidP="00044874">
            <w:pPr>
              <w:widowControl w:val="0"/>
              <w:snapToGrid w:val="0"/>
              <w:jc w:val="center"/>
            </w:pPr>
            <w:r w:rsidRPr="00044874">
              <w:t>innych dróg</w:t>
            </w:r>
          </w:p>
        </w:tc>
      </w:tr>
      <w:tr w:rsidR="00E13288" w:rsidTr="00044874">
        <w:tc>
          <w:tcPr>
            <w:tcW w:w="3756" w:type="dxa"/>
            <w:shd w:val="clear" w:color="auto" w:fill="auto"/>
            <w:vAlign w:val="center"/>
          </w:tcPr>
          <w:p w:rsidR="00044874" w:rsidRPr="00044874" w:rsidRDefault="00044874" w:rsidP="00044874">
            <w:pPr>
              <w:widowControl w:val="0"/>
              <w:snapToGrid w:val="0"/>
              <w:jc w:val="center"/>
            </w:pPr>
            <w:r w:rsidRPr="00044874">
              <w:t>nasypu</w:t>
            </w:r>
          </w:p>
        </w:tc>
        <w:tc>
          <w:tcPr>
            <w:tcW w:w="1814" w:type="dxa"/>
            <w:shd w:val="clear" w:color="auto" w:fill="auto"/>
          </w:tcPr>
          <w:p w:rsidR="00044874" w:rsidRPr="00044874" w:rsidRDefault="00044874" w:rsidP="00044874">
            <w:pPr>
              <w:widowControl w:val="0"/>
              <w:snapToGrid w:val="0"/>
              <w:jc w:val="center"/>
            </w:pPr>
            <w:r w:rsidRPr="00044874">
              <w:t>i dróg</w:t>
            </w:r>
          </w:p>
          <w:p w:rsidR="00044874" w:rsidRPr="00044874" w:rsidRDefault="00044874" w:rsidP="00044874">
            <w:pPr>
              <w:widowControl w:val="0"/>
              <w:jc w:val="center"/>
            </w:pPr>
            <w:r w:rsidRPr="00044874">
              <w:t>ekspresowych</w:t>
            </w:r>
          </w:p>
        </w:tc>
        <w:tc>
          <w:tcPr>
            <w:tcW w:w="1900" w:type="dxa"/>
            <w:shd w:val="clear" w:color="auto" w:fill="auto"/>
          </w:tcPr>
          <w:p w:rsidR="00044874" w:rsidRPr="00044874" w:rsidRDefault="00044874" w:rsidP="00044874">
            <w:pPr>
              <w:widowControl w:val="0"/>
              <w:snapToGrid w:val="0"/>
              <w:jc w:val="center"/>
            </w:pPr>
            <w:r w:rsidRPr="00044874">
              <w:t>ruch ciężki i bardzo ciężki</w:t>
            </w:r>
          </w:p>
        </w:tc>
        <w:tc>
          <w:tcPr>
            <w:tcW w:w="1938" w:type="dxa"/>
            <w:shd w:val="clear" w:color="auto" w:fill="auto"/>
          </w:tcPr>
          <w:p w:rsidR="00044874" w:rsidRPr="00044874" w:rsidRDefault="00044874" w:rsidP="00044874">
            <w:pPr>
              <w:widowControl w:val="0"/>
              <w:snapToGrid w:val="0"/>
              <w:jc w:val="center"/>
            </w:pPr>
            <w:r w:rsidRPr="00044874">
              <w:t>ruch mniejszy od ciężkiego</w:t>
            </w:r>
          </w:p>
        </w:tc>
      </w:tr>
      <w:tr w:rsidR="00044874" w:rsidRPr="00044874" w:rsidTr="00044874">
        <w:tc>
          <w:tcPr>
            <w:tcW w:w="3756" w:type="dxa"/>
            <w:tcBorders>
              <w:left w:val="single" w:sz="4" w:space="0" w:color="000000"/>
              <w:bottom w:val="single" w:sz="4" w:space="0" w:color="000000"/>
            </w:tcBorders>
            <w:shd w:val="clear" w:color="auto" w:fill="auto"/>
          </w:tcPr>
          <w:p w:rsidR="00044874" w:rsidRPr="00044874" w:rsidRDefault="00044874" w:rsidP="00044874">
            <w:pPr>
              <w:widowControl w:val="0"/>
              <w:snapToGrid w:val="0"/>
              <w:jc w:val="both"/>
            </w:pPr>
            <w:r w:rsidRPr="00044874">
              <w:t>Górna warstwa o grubości 20 cm</w:t>
            </w:r>
          </w:p>
        </w:tc>
        <w:tc>
          <w:tcPr>
            <w:tcW w:w="1814" w:type="dxa"/>
            <w:tcBorders>
              <w:left w:val="single" w:sz="4" w:space="0" w:color="000000"/>
              <w:bottom w:val="single" w:sz="4" w:space="0" w:color="000000"/>
            </w:tcBorders>
            <w:shd w:val="clear" w:color="auto" w:fill="auto"/>
          </w:tcPr>
          <w:p w:rsidR="00044874" w:rsidRPr="00044874" w:rsidRDefault="00044874" w:rsidP="00044874">
            <w:pPr>
              <w:widowControl w:val="0"/>
              <w:snapToGrid w:val="0"/>
              <w:jc w:val="center"/>
            </w:pPr>
            <w:r w:rsidRPr="00044874">
              <w:t>1,03</w:t>
            </w:r>
          </w:p>
        </w:tc>
        <w:tc>
          <w:tcPr>
            <w:tcW w:w="1900" w:type="dxa"/>
            <w:tcBorders>
              <w:left w:val="single" w:sz="4" w:space="0" w:color="000000"/>
              <w:bottom w:val="single" w:sz="4" w:space="0" w:color="000000"/>
            </w:tcBorders>
            <w:shd w:val="clear" w:color="auto" w:fill="auto"/>
          </w:tcPr>
          <w:p w:rsidR="00044874" w:rsidRPr="00044874" w:rsidRDefault="00044874" w:rsidP="00044874">
            <w:pPr>
              <w:widowControl w:val="0"/>
              <w:snapToGrid w:val="0"/>
              <w:jc w:val="center"/>
            </w:pPr>
            <w:r w:rsidRPr="00044874">
              <w:t>1,00</w:t>
            </w:r>
          </w:p>
        </w:tc>
        <w:tc>
          <w:tcPr>
            <w:tcW w:w="1938" w:type="dxa"/>
            <w:tcBorders>
              <w:left w:val="single" w:sz="4" w:space="0" w:color="000000"/>
              <w:bottom w:val="single" w:sz="4" w:space="0" w:color="000000"/>
              <w:right w:val="single" w:sz="4" w:space="0" w:color="000000"/>
            </w:tcBorders>
            <w:shd w:val="clear" w:color="auto" w:fill="auto"/>
          </w:tcPr>
          <w:p w:rsidR="00044874" w:rsidRPr="00044874" w:rsidRDefault="00044874" w:rsidP="00044874">
            <w:pPr>
              <w:widowControl w:val="0"/>
              <w:snapToGrid w:val="0"/>
              <w:jc w:val="center"/>
            </w:pPr>
            <w:r w:rsidRPr="00044874">
              <w:t>1,00</w:t>
            </w:r>
          </w:p>
        </w:tc>
      </w:tr>
      <w:tr w:rsidR="00044874" w:rsidRPr="00044874" w:rsidTr="00044874">
        <w:tc>
          <w:tcPr>
            <w:tcW w:w="3756" w:type="dxa"/>
            <w:tcBorders>
              <w:left w:val="single" w:sz="4" w:space="0" w:color="000000"/>
              <w:bottom w:val="single" w:sz="4" w:space="0" w:color="000000"/>
            </w:tcBorders>
            <w:shd w:val="clear" w:color="auto" w:fill="auto"/>
          </w:tcPr>
          <w:p w:rsidR="00044874" w:rsidRPr="00044874" w:rsidRDefault="00044874" w:rsidP="00044874">
            <w:pPr>
              <w:widowControl w:val="0"/>
              <w:snapToGrid w:val="0"/>
            </w:pPr>
            <w:r w:rsidRPr="00044874">
              <w:t>Niżej leżące warstwy nasypu do głębokości</w:t>
            </w:r>
          </w:p>
          <w:p w:rsidR="00044874" w:rsidRPr="00044874" w:rsidRDefault="00044874" w:rsidP="00044874">
            <w:pPr>
              <w:widowControl w:val="0"/>
            </w:pPr>
            <w:r w:rsidRPr="00044874">
              <w:t>od powierzchni robót ziemnych:</w:t>
            </w:r>
          </w:p>
          <w:p w:rsidR="00044874" w:rsidRPr="00044874" w:rsidRDefault="00044874" w:rsidP="00044874">
            <w:pPr>
              <w:widowControl w:val="0"/>
            </w:pPr>
            <w:r w:rsidRPr="00044874">
              <w:t>- 2,0 m (autostrady)</w:t>
            </w:r>
          </w:p>
          <w:p w:rsidR="00044874" w:rsidRPr="00044874" w:rsidRDefault="00044874" w:rsidP="00044874">
            <w:pPr>
              <w:widowControl w:val="0"/>
            </w:pPr>
            <w:r w:rsidRPr="00044874">
              <w:t>- 1,2 m (inne drogi)</w:t>
            </w:r>
          </w:p>
        </w:tc>
        <w:tc>
          <w:tcPr>
            <w:tcW w:w="1814" w:type="dxa"/>
            <w:tcBorders>
              <w:left w:val="single" w:sz="4" w:space="0" w:color="000000"/>
              <w:bottom w:val="single" w:sz="4" w:space="0" w:color="000000"/>
            </w:tcBorders>
            <w:shd w:val="clear" w:color="auto" w:fill="auto"/>
          </w:tcPr>
          <w:p w:rsidR="00044874" w:rsidRPr="00044874" w:rsidRDefault="00044874" w:rsidP="00044874">
            <w:pPr>
              <w:widowControl w:val="0"/>
              <w:snapToGrid w:val="0"/>
              <w:jc w:val="center"/>
            </w:pPr>
          </w:p>
          <w:p w:rsidR="00044874" w:rsidRPr="00044874" w:rsidRDefault="00044874" w:rsidP="00044874">
            <w:pPr>
              <w:widowControl w:val="0"/>
              <w:jc w:val="center"/>
            </w:pPr>
          </w:p>
          <w:p w:rsidR="00044874" w:rsidRPr="00044874" w:rsidRDefault="00044874" w:rsidP="00044874">
            <w:pPr>
              <w:widowControl w:val="0"/>
              <w:jc w:val="center"/>
            </w:pPr>
            <w:r w:rsidRPr="00044874">
              <w:t>1,00</w:t>
            </w:r>
          </w:p>
          <w:p w:rsidR="00044874" w:rsidRPr="00044874" w:rsidRDefault="00044874" w:rsidP="00044874">
            <w:pPr>
              <w:widowControl w:val="0"/>
              <w:jc w:val="center"/>
            </w:pPr>
            <w:r w:rsidRPr="00044874">
              <w:t>-</w:t>
            </w:r>
          </w:p>
        </w:tc>
        <w:tc>
          <w:tcPr>
            <w:tcW w:w="1900" w:type="dxa"/>
            <w:tcBorders>
              <w:left w:val="single" w:sz="4" w:space="0" w:color="000000"/>
              <w:bottom w:val="single" w:sz="4" w:space="0" w:color="000000"/>
            </w:tcBorders>
            <w:shd w:val="clear" w:color="auto" w:fill="auto"/>
          </w:tcPr>
          <w:p w:rsidR="00044874" w:rsidRPr="00044874" w:rsidRDefault="00044874" w:rsidP="00044874">
            <w:pPr>
              <w:widowControl w:val="0"/>
              <w:snapToGrid w:val="0"/>
              <w:jc w:val="center"/>
            </w:pPr>
          </w:p>
          <w:p w:rsidR="00044874" w:rsidRPr="00044874" w:rsidRDefault="00044874" w:rsidP="00044874">
            <w:pPr>
              <w:widowControl w:val="0"/>
              <w:jc w:val="center"/>
            </w:pPr>
          </w:p>
          <w:p w:rsidR="00044874" w:rsidRPr="00044874" w:rsidRDefault="00044874" w:rsidP="00044874">
            <w:pPr>
              <w:widowControl w:val="0"/>
              <w:jc w:val="center"/>
            </w:pPr>
            <w:r w:rsidRPr="00044874">
              <w:t>-</w:t>
            </w:r>
          </w:p>
          <w:p w:rsidR="00044874" w:rsidRPr="00044874" w:rsidRDefault="00044874" w:rsidP="00044874">
            <w:pPr>
              <w:widowControl w:val="0"/>
              <w:jc w:val="center"/>
            </w:pPr>
            <w:r w:rsidRPr="00044874">
              <w:t>1,00</w:t>
            </w:r>
          </w:p>
        </w:tc>
        <w:tc>
          <w:tcPr>
            <w:tcW w:w="1938" w:type="dxa"/>
            <w:tcBorders>
              <w:left w:val="single" w:sz="4" w:space="0" w:color="000000"/>
              <w:bottom w:val="single" w:sz="4" w:space="0" w:color="000000"/>
              <w:right w:val="single" w:sz="4" w:space="0" w:color="000000"/>
            </w:tcBorders>
            <w:shd w:val="clear" w:color="auto" w:fill="auto"/>
          </w:tcPr>
          <w:p w:rsidR="00044874" w:rsidRPr="00044874" w:rsidRDefault="00044874" w:rsidP="00044874">
            <w:pPr>
              <w:widowControl w:val="0"/>
              <w:snapToGrid w:val="0"/>
              <w:jc w:val="center"/>
            </w:pPr>
          </w:p>
          <w:p w:rsidR="00044874" w:rsidRPr="00044874" w:rsidRDefault="00044874" w:rsidP="00044874">
            <w:pPr>
              <w:widowControl w:val="0"/>
              <w:jc w:val="center"/>
            </w:pPr>
          </w:p>
          <w:p w:rsidR="00044874" w:rsidRPr="00044874" w:rsidRDefault="00044874" w:rsidP="00044874">
            <w:pPr>
              <w:widowControl w:val="0"/>
              <w:jc w:val="center"/>
            </w:pPr>
            <w:r w:rsidRPr="00044874">
              <w:t>-</w:t>
            </w:r>
          </w:p>
          <w:p w:rsidR="00044874" w:rsidRPr="00044874" w:rsidRDefault="00044874" w:rsidP="00044874">
            <w:pPr>
              <w:widowControl w:val="0"/>
              <w:jc w:val="center"/>
            </w:pPr>
            <w:r w:rsidRPr="00044874">
              <w:t>0,97</w:t>
            </w:r>
          </w:p>
        </w:tc>
      </w:tr>
      <w:tr w:rsidR="00044874" w:rsidRPr="00044874" w:rsidTr="00044874">
        <w:tc>
          <w:tcPr>
            <w:tcW w:w="3756" w:type="dxa"/>
            <w:tcBorders>
              <w:left w:val="single" w:sz="4" w:space="0" w:color="000000"/>
              <w:bottom w:val="single" w:sz="4" w:space="0" w:color="000000"/>
            </w:tcBorders>
            <w:shd w:val="clear" w:color="auto" w:fill="auto"/>
          </w:tcPr>
          <w:p w:rsidR="00044874" w:rsidRPr="00044874" w:rsidRDefault="00044874" w:rsidP="00044874">
            <w:pPr>
              <w:widowControl w:val="0"/>
              <w:snapToGrid w:val="0"/>
            </w:pPr>
            <w:r w:rsidRPr="00044874">
              <w:t>Warstwy nasypu na głębokości od powierz-</w:t>
            </w:r>
          </w:p>
          <w:p w:rsidR="00044874" w:rsidRPr="00044874" w:rsidRDefault="00044874" w:rsidP="00044874">
            <w:pPr>
              <w:widowControl w:val="0"/>
            </w:pPr>
            <w:r w:rsidRPr="00044874">
              <w:t>chni robót ziemnych poniżej:</w:t>
            </w:r>
          </w:p>
          <w:p w:rsidR="00044874" w:rsidRPr="00044874" w:rsidRDefault="00044874" w:rsidP="00044874">
            <w:pPr>
              <w:widowControl w:val="0"/>
            </w:pPr>
            <w:r w:rsidRPr="00044874">
              <w:t>- 2,0 m (autostrady)</w:t>
            </w:r>
          </w:p>
          <w:p w:rsidR="00044874" w:rsidRPr="00044874" w:rsidRDefault="00044874" w:rsidP="00044874">
            <w:pPr>
              <w:widowControl w:val="0"/>
            </w:pPr>
            <w:r w:rsidRPr="00044874">
              <w:t>- 1,2 m (inne drogi)</w:t>
            </w:r>
          </w:p>
        </w:tc>
        <w:tc>
          <w:tcPr>
            <w:tcW w:w="1814" w:type="dxa"/>
            <w:tcBorders>
              <w:left w:val="single" w:sz="4" w:space="0" w:color="000000"/>
              <w:bottom w:val="single" w:sz="4" w:space="0" w:color="000000"/>
            </w:tcBorders>
            <w:shd w:val="clear" w:color="auto" w:fill="auto"/>
          </w:tcPr>
          <w:p w:rsidR="00044874" w:rsidRPr="00044874" w:rsidRDefault="00044874" w:rsidP="00044874">
            <w:pPr>
              <w:widowControl w:val="0"/>
              <w:snapToGrid w:val="0"/>
              <w:jc w:val="center"/>
            </w:pPr>
          </w:p>
          <w:p w:rsidR="00044874" w:rsidRPr="00044874" w:rsidRDefault="00044874" w:rsidP="00044874">
            <w:pPr>
              <w:widowControl w:val="0"/>
              <w:jc w:val="center"/>
            </w:pPr>
          </w:p>
          <w:p w:rsidR="00044874" w:rsidRPr="00044874" w:rsidRDefault="00044874" w:rsidP="00044874">
            <w:pPr>
              <w:widowControl w:val="0"/>
              <w:jc w:val="center"/>
            </w:pPr>
            <w:r w:rsidRPr="00044874">
              <w:t>0,97</w:t>
            </w:r>
          </w:p>
          <w:p w:rsidR="00044874" w:rsidRPr="00044874" w:rsidRDefault="00044874" w:rsidP="00044874">
            <w:pPr>
              <w:widowControl w:val="0"/>
              <w:jc w:val="center"/>
            </w:pPr>
            <w:r w:rsidRPr="00044874">
              <w:t>-</w:t>
            </w:r>
          </w:p>
        </w:tc>
        <w:tc>
          <w:tcPr>
            <w:tcW w:w="1900" w:type="dxa"/>
            <w:tcBorders>
              <w:left w:val="single" w:sz="4" w:space="0" w:color="000000"/>
              <w:bottom w:val="single" w:sz="4" w:space="0" w:color="000000"/>
            </w:tcBorders>
            <w:shd w:val="clear" w:color="auto" w:fill="auto"/>
          </w:tcPr>
          <w:p w:rsidR="00044874" w:rsidRPr="00044874" w:rsidRDefault="00044874" w:rsidP="00044874">
            <w:pPr>
              <w:widowControl w:val="0"/>
              <w:snapToGrid w:val="0"/>
              <w:jc w:val="center"/>
            </w:pPr>
          </w:p>
          <w:p w:rsidR="00044874" w:rsidRPr="00044874" w:rsidRDefault="00044874" w:rsidP="00044874">
            <w:pPr>
              <w:widowControl w:val="0"/>
              <w:jc w:val="center"/>
            </w:pPr>
          </w:p>
          <w:p w:rsidR="00044874" w:rsidRPr="00044874" w:rsidRDefault="00044874" w:rsidP="00044874">
            <w:pPr>
              <w:widowControl w:val="0"/>
              <w:jc w:val="center"/>
            </w:pPr>
            <w:r w:rsidRPr="00044874">
              <w:t>-</w:t>
            </w:r>
          </w:p>
          <w:p w:rsidR="00044874" w:rsidRPr="00044874" w:rsidRDefault="00044874" w:rsidP="00044874">
            <w:pPr>
              <w:widowControl w:val="0"/>
              <w:jc w:val="center"/>
            </w:pPr>
            <w:r w:rsidRPr="00044874">
              <w:t>0,97</w:t>
            </w:r>
          </w:p>
        </w:tc>
        <w:tc>
          <w:tcPr>
            <w:tcW w:w="1938" w:type="dxa"/>
            <w:tcBorders>
              <w:left w:val="single" w:sz="4" w:space="0" w:color="000000"/>
              <w:bottom w:val="single" w:sz="4" w:space="0" w:color="000000"/>
              <w:right w:val="single" w:sz="4" w:space="0" w:color="000000"/>
            </w:tcBorders>
            <w:shd w:val="clear" w:color="auto" w:fill="auto"/>
          </w:tcPr>
          <w:p w:rsidR="00044874" w:rsidRPr="00044874" w:rsidRDefault="00044874" w:rsidP="00044874">
            <w:pPr>
              <w:widowControl w:val="0"/>
              <w:snapToGrid w:val="0"/>
              <w:jc w:val="center"/>
            </w:pPr>
          </w:p>
          <w:p w:rsidR="00044874" w:rsidRPr="00044874" w:rsidRDefault="00044874" w:rsidP="00044874">
            <w:pPr>
              <w:widowControl w:val="0"/>
              <w:jc w:val="center"/>
            </w:pPr>
          </w:p>
          <w:p w:rsidR="00044874" w:rsidRPr="00044874" w:rsidRDefault="00044874" w:rsidP="00044874">
            <w:pPr>
              <w:widowControl w:val="0"/>
              <w:jc w:val="center"/>
            </w:pPr>
            <w:r w:rsidRPr="00044874">
              <w:t>-</w:t>
            </w:r>
          </w:p>
          <w:p w:rsidR="00044874" w:rsidRPr="00044874" w:rsidRDefault="00044874" w:rsidP="00044874">
            <w:pPr>
              <w:widowControl w:val="0"/>
              <w:jc w:val="center"/>
            </w:pPr>
            <w:r w:rsidRPr="00044874">
              <w:t>0,95</w:t>
            </w:r>
          </w:p>
        </w:tc>
      </w:tr>
    </w:tbl>
    <w:p w:rsidR="00044874" w:rsidRPr="00044874" w:rsidRDefault="00044874" w:rsidP="00044874">
      <w:pPr>
        <w:widowControl w:val="0"/>
        <w:jc w:val="both"/>
      </w:pPr>
      <w:r w:rsidRPr="00044874">
        <w:tab/>
        <w:t>Jako zastępcze kryterium oceny wymaganego zagęszczenia gruntów dla których trudne jest pomierzenie wskaźnika zagęszczenia, przyjmuje się wartość wskaźnika odkształcenia I</w:t>
      </w:r>
      <w:r w:rsidRPr="00044874">
        <w:rPr>
          <w:vertAlign w:val="subscript"/>
        </w:rPr>
        <w:t>o</w:t>
      </w:r>
      <w:r w:rsidRPr="00044874">
        <w:t xml:space="preserve">  określonego zgodnie z normą PN-S-02205.</w:t>
      </w:r>
    </w:p>
    <w:p w:rsidR="00044874" w:rsidRPr="00044874" w:rsidRDefault="00044874" w:rsidP="00044874">
      <w:r w:rsidRPr="00044874">
        <w:t>Wskaźnik odkształcenia nie powinien być większy niż:</w:t>
      </w:r>
    </w:p>
    <w:p w:rsidR="00044874" w:rsidRPr="00044874" w:rsidRDefault="00044874" w:rsidP="0097494B">
      <w:pPr>
        <w:numPr>
          <w:ilvl w:val="0"/>
          <w:numId w:val="12"/>
        </w:numPr>
        <w:tabs>
          <w:tab w:val="left" w:pos="720"/>
        </w:tabs>
        <w:suppressAutoHyphens/>
        <w:overflowPunct w:val="0"/>
        <w:autoSpaceDE w:val="0"/>
        <w:ind w:left="720" w:hanging="360"/>
        <w:jc w:val="both"/>
        <w:textAlignment w:val="baseline"/>
      </w:pPr>
      <w:r w:rsidRPr="00044874">
        <w:t>dla żwirów, pospółek i piasków</w:t>
      </w:r>
      <w:r w:rsidR="002D5811">
        <w:t>:</w:t>
      </w:r>
    </w:p>
    <w:p w:rsidR="00044874" w:rsidRPr="00044874" w:rsidRDefault="002D5811" w:rsidP="002D5811">
      <w:pPr>
        <w:tabs>
          <w:tab w:val="left" w:pos="720"/>
        </w:tabs>
        <w:suppressAutoHyphens/>
        <w:overflowPunct w:val="0"/>
        <w:autoSpaceDE w:val="0"/>
        <w:ind w:left="720"/>
        <w:jc w:val="both"/>
        <w:textAlignment w:val="baseline"/>
      </w:pPr>
      <w:r>
        <w:t xml:space="preserve">- </w:t>
      </w:r>
      <w:r w:rsidR="00044874" w:rsidRPr="00044874">
        <w:t>2,2 przy wymaganej wartości I</w:t>
      </w:r>
      <w:r w:rsidR="00044874" w:rsidRPr="00044874">
        <w:rPr>
          <w:vertAlign w:val="subscript"/>
        </w:rPr>
        <w:t xml:space="preserve">s </w:t>
      </w:r>
      <w:r w:rsidR="00044874" w:rsidRPr="00044874">
        <w:rPr>
          <w:rFonts w:ascii="Symbol" w:hAnsi="Symbol"/>
        </w:rPr>
        <w:t></w:t>
      </w:r>
      <w:r w:rsidR="00044874" w:rsidRPr="00044874">
        <w:t>1,0,</w:t>
      </w:r>
    </w:p>
    <w:p w:rsidR="00044874" w:rsidRPr="00044874" w:rsidRDefault="002D5811" w:rsidP="002D5811">
      <w:pPr>
        <w:tabs>
          <w:tab w:val="left" w:pos="720"/>
        </w:tabs>
        <w:suppressAutoHyphens/>
        <w:overflowPunct w:val="0"/>
        <w:autoSpaceDE w:val="0"/>
        <w:ind w:left="720"/>
        <w:jc w:val="both"/>
        <w:textAlignment w:val="baseline"/>
      </w:pPr>
      <w:r>
        <w:t xml:space="preserve">- </w:t>
      </w:r>
      <w:r w:rsidR="00044874" w:rsidRPr="00044874">
        <w:t>2,5 przy wymaganej wartości I</w:t>
      </w:r>
      <w:r w:rsidR="00044874" w:rsidRPr="00044874">
        <w:rPr>
          <w:vertAlign w:val="subscript"/>
        </w:rPr>
        <w:t xml:space="preserve">s </w:t>
      </w:r>
      <w:r w:rsidR="00044874" w:rsidRPr="00044874">
        <w:rPr>
          <w:rFonts w:ascii="Symbol" w:hAnsi="Symbol"/>
        </w:rPr>
        <w:t></w:t>
      </w:r>
      <w:r w:rsidR="00044874" w:rsidRPr="00044874">
        <w:t>1,0,</w:t>
      </w:r>
    </w:p>
    <w:p w:rsidR="00044874" w:rsidRPr="00044874" w:rsidRDefault="00044874" w:rsidP="0097494B">
      <w:pPr>
        <w:numPr>
          <w:ilvl w:val="0"/>
          <w:numId w:val="12"/>
        </w:numPr>
        <w:tabs>
          <w:tab w:val="left" w:pos="720"/>
        </w:tabs>
        <w:suppressAutoHyphens/>
        <w:overflowPunct w:val="0"/>
        <w:autoSpaceDE w:val="0"/>
        <w:ind w:left="720" w:hanging="360"/>
        <w:jc w:val="both"/>
        <w:textAlignment w:val="baseline"/>
      </w:pPr>
      <w:r w:rsidRPr="00044874">
        <w:t>dla gruntów drobnoziarnistych o równomiernym uziarnieniu (pyłów, glin pylastych, glin zwięzłych, iłów – 2,0,</w:t>
      </w:r>
    </w:p>
    <w:p w:rsidR="00044874" w:rsidRPr="00044874" w:rsidRDefault="00044874" w:rsidP="0097494B">
      <w:pPr>
        <w:numPr>
          <w:ilvl w:val="0"/>
          <w:numId w:val="12"/>
        </w:numPr>
        <w:tabs>
          <w:tab w:val="left" w:pos="720"/>
        </w:tabs>
        <w:suppressAutoHyphens/>
        <w:overflowPunct w:val="0"/>
        <w:autoSpaceDE w:val="0"/>
        <w:ind w:left="720" w:hanging="360"/>
        <w:jc w:val="both"/>
        <w:textAlignment w:val="baseline"/>
      </w:pPr>
      <w:r w:rsidRPr="00044874">
        <w:t>dla gruntów różnoziarnistych (żwirów gliniastych, pospółek gliniastych, pyłów piaszczystych, piasków gliniastych, glin piaszczystych, glin piaszczystych zwięzłych) – 3,0,</w:t>
      </w:r>
    </w:p>
    <w:p w:rsidR="00044874" w:rsidRPr="00044874" w:rsidRDefault="00044874" w:rsidP="0097494B">
      <w:pPr>
        <w:numPr>
          <w:ilvl w:val="0"/>
          <w:numId w:val="12"/>
        </w:numPr>
        <w:tabs>
          <w:tab w:val="left" w:pos="720"/>
        </w:tabs>
        <w:suppressAutoHyphens/>
        <w:overflowPunct w:val="0"/>
        <w:autoSpaceDE w:val="0"/>
        <w:ind w:left="720" w:hanging="360"/>
        <w:jc w:val="both"/>
        <w:textAlignment w:val="baseline"/>
      </w:pPr>
      <w:r w:rsidRPr="00044874">
        <w:t>dla narzutów kamiennych, rumoszy – 4,</w:t>
      </w:r>
    </w:p>
    <w:p w:rsidR="00044874" w:rsidRPr="00044874" w:rsidRDefault="00044874" w:rsidP="0097494B">
      <w:pPr>
        <w:numPr>
          <w:ilvl w:val="0"/>
          <w:numId w:val="12"/>
        </w:numPr>
        <w:tabs>
          <w:tab w:val="left" w:pos="720"/>
        </w:tabs>
        <w:suppressAutoHyphens/>
        <w:overflowPunct w:val="0"/>
        <w:autoSpaceDE w:val="0"/>
        <w:ind w:left="720" w:hanging="360"/>
        <w:jc w:val="both"/>
        <w:textAlignment w:val="baseline"/>
      </w:pPr>
      <w:r w:rsidRPr="00044874">
        <w:t>dla gruntów antropogenicznych – na podstawie badań poligonowych.</w:t>
      </w:r>
    </w:p>
    <w:p w:rsidR="00044874" w:rsidRPr="00044874" w:rsidRDefault="00044874" w:rsidP="00044874">
      <w:pPr>
        <w:widowControl w:val="0"/>
        <w:jc w:val="both"/>
        <w:rPr>
          <w:snapToGrid w:val="0"/>
        </w:rPr>
      </w:pPr>
      <w:r w:rsidRPr="00044874">
        <w:rPr>
          <w:snapToGrid w:val="0"/>
        </w:rPr>
        <w:tab/>
        <w:t>Jeżeli badania kontrolne wykażą, że zagęszczenie warstwy nie jest wystarczające, to Wykonawca powinien spulchnić warstwę, doprowadzić grunt do wilgotności optymalnej i powtórnie zagęścić. Jeżeli powtórne zagęszczenie nie spowoduje uzyskania wymaganego wskaźnika zagęszczenia, Wykonawca powinien usunąć warstwę i wbudow</w:t>
      </w:r>
      <w:r w:rsidR="003614CE">
        <w:rPr>
          <w:snapToGrid w:val="0"/>
        </w:rPr>
        <w:t>ać nowy materiał, o ile</w:t>
      </w:r>
      <w:r w:rsidR="002C4284">
        <w:rPr>
          <w:snapToGrid w:val="0"/>
        </w:rPr>
        <w:t xml:space="preserve"> przedstawiciel Zamawiającego</w:t>
      </w:r>
      <w:r w:rsidRPr="00044874">
        <w:rPr>
          <w:snapToGrid w:val="0"/>
        </w:rPr>
        <w:t xml:space="preserve"> nie zezwoli na ponowienie próby prawidłowego zagęszczenia warstwy.</w:t>
      </w:r>
    </w:p>
    <w:p w:rsidR="00044874" w:rsidRPr="00044874" w:rsidRDefault="00044874" w:rsidP="00044874">
      <w:pPr>
        <w:widowControl w:val="0"/>
        <w:tabs>
          <w:tab w:val="left" w:pos="1080"/>
        </w:tabs>
        <w:jc w:val="both"/>
        <w:outlineLvl w:val="1"/>
        <w:rPr>
          <w:b/>
          <w:snapToGrid w:val="0"/>
        </w:rPr>
      </w:pPr>
      <w:r w:rsidRPr="00044874">
        <w:rPr>
          <w:b/>
          <w:snapToGrid w:val="0"/>
        </w:rPr>
        <w:t>5.4. Odkłady</w:t>
      </w:r>
    </w:p>
    <w:p w:rsidR="00044874" w:rsidRPr="00044874" w:rsidRDefault="00044874" w:rsidP="00044874">
      <w:pPr>
        <w:widowControl w:val="0"/>
        <w:jc w:val="both"/>
      </w:pPr>
      <w:r w:rsidRPr="00044874">
        <w:rPr>
          <w:bCs/>
        </w:rPr>
        <w:t>5.4.1.</w:t>
      </w:r>
      <w:r w:rsidRPr="00044874">
        <w:t>Warunki ogólne wykonania odkładów</w:t>
      </w:r>
    </w:p>
    <w:p w:rsidR="00044874" w:rsidRPr="00044874" w:rsidRDefault="00044874" w:rsidP="00044874">
      <w:pPr>
        <w:widowControl w:val="0"/>
        <w:jc w:val="both"/>
      </w:pPr>
      <w:r w:rsidRPr="00044874">
        <w:tab/>
        <w:t>Roboty omówione w tym punkcie dotyczą postępowania z gruntami lub innymi materiałami, które zostały pozyskane w czasie wykonywania wykopów, a które nie będą wykorzystane do budowy nasypów oraz innych prac związanych z trasą drogową.</w:t>
      </w:r>
    </w:p>
    <w:p w:rsidR="00044874" w:rsidRPr="00044874" w:rsidRDefault="00044874" w:rsidP="00044874">
      <w:pPr>
        <w:widowControl w:val="0"/>
        <w:jc w:val="both"/>
      </w:pPr>
      <w:r w:rsidRPr="00044874">
        <w:tab/>
        <w:t>Grunty lub inne materiały powinny być przewiezione na odkład, jeżeli:</w:t>
      </w:r>
    </w:p>
    <w:p w:rsidR="00044874" w:rsidRPr="00044874" w:rsidRDefault="00044874" w:rsidP="00044874">
      <w:pPr>
        <w:widowControl w:val="0"/>
        <w:tabs>
          <w:tab w:val="left" w:pos="283"/>
        </w:tabs>
        <w:ind w:left="283" w:hanging="283"/>
        <w:jc w:val="both"/>
      </w:pPr>
      <w:r w:rsidRPr="00044874">
        <w:t>stanowią nadmiar objętości w stosunku do objętości gruntów przewidzianych do wbudowania,</w:t>
      </w:r>
    </w:p>
    <w:p w:rsidR="00044874" w:rsidRPr="00044874" w:rsidRDefault="00044874" w:rsidP="00044874">
      <w:pPr>
        <w:widowControl w:val="0"/>
        <w:tabs>
          <w:tab w:val="left" w:pos="283"/>
        </w:tabs>
        <w:ind w:left="283" w:hanging="283"/>
        <w:jc w:val="both"/>
      </w:pPr>
      <w:r w:rsidRPr="00044874">
        <w:t>są nieprzydatne do budowy nasypów oraz wykorzystania w innych pracach, związanych z budową trasy drogowej,</w:t>
      </w:r>
    </w:p>
    <w:p w:rsidR="00044874" w:rsidRPr="00044874" w:rsidRDefault="00044874" w:rsidP="00044874">
      <w:pPr>
        <w:widowControl w:val="0"/>
        <w:tabs>
          <w:tab w:val="left" w:pos="283"/>
        </w:tabs>
        <w:ind w:left="283" w:hanging="283"/>
        <w:jc w:val="both"/>
      </w:pPr>
      <w:r w:rsidRPr="00044874">
        <w:t>ze względu na harmonogram robót nie jest ekonomicznie uzasadnione oczekiwanie na wbudowanie materiałów pozyskiwanych z wykopu.</w:t>
      </w:r>
    </w:p>
    <w:p w:rsidR="00044874" w:rsidRPr="00044874" w:rsidRDefault="00044874" w:rsidP="00044874">
      <w:pPr>
        <w:widowControl w:val="0"/>
        <w:jc w:val="both"/>
      </w:pPr>
      <w:r w:rsidRPr="00044874">
        <w:tab/>
        <w:t>Wykonawca może przyjąć, że zachodzi jeden z podanych wyżej przypadków tylko wówczas, gdy zostało to jednoznacznie określone w dokumentacji projektowej, harmono</w:t>
      </w:r>
      <w:r w:rsidR="003614CE">
        <w:t xml:space="preserve">gramie robót lub przez </w:t>
      </w:r>
      <w:r w:rsidR="00CA7A06">
        <w:t xml:space="preserve">przedstawiciela </w:t>
      </w:r>
      <w:r w:rsidR="003614CE">
        <w:t>Zamawiającego</w:t>
      </w:r>
      <w:r w:rsidRPr="00044874">
        <w:t>.</w:t>
      </w:r>
    </w:p>
    <w:p w:rsidR="00044874" w:rsidRPr="00044874" w:rsidRDefault="00044874" w:rsidP="00044874">
      <w:pPr>
        <w:widowControl w:val="0"/>
        <w:jc w:val="both"/>
      </w:pPr>
      <w:r w:rsidRPr="00044874">
        <w:rPr>
          <w:bCs/>
        </w:rPr>
        <w:t>5.4.2</w:t>
      </w:r>
      <w:r w:rsidRPr="00044874">
        <w:rPr>
          <w:b/>
        </w:rPr>
        <w:t xml:space="preserve">. </w:t>
      </w:r>
      <w:r w:rsidRPr="00044874">
        <w:t>Lokalizacja odkładu</w:t>
      </w:r>
    </w:p>
    <w:p w:rsidR="00044874" w:rsidRPr="00044874" w:rsidRDefault="00044874" w:rsidP="00044874">
      <w:pPr>
        <w:widowControl w:val="0"/>
        <w:jc w:val="both"/>
      </w:pPr>
      <w:r w:rsidRPr="00044874">
        <w:tab/>
        <w:t>Jeżeli pozwalają na to właściwości materiałów przeznaczonych do przewiezienia na odkład, materiały te powinny być w razie możliwości wykorzystane do wyrównania terenu, zasypania dołów i sztucznych wyrobisk oraz do ewentualnego poszerzenia nasypów. Roboty te powinny być wykonane zgodnie z dokumentacją projektową i odpowiednimi zasadami, dotyczącymi wbudowania i zagęszczania gr</w:t>
      </w:r>
      <w:r w:rsidR="003614CE">
        <w:t>untów oraz wskazówkami Zamawiającego</w:t>
      </w:r>
      <w:r w:rsidRPr="00044874">
        <w:t>.</w:t>
      </w:r>
    </w:p>
    <w:p w:rsidR="00044874" w:rsidRPr="00044874" w:rsidRDefault="00044874" w:rsidP="00044874">
      <w:pPr>
        <w:widowControl w:val="0"/>
        <w:jc w:val="both"/>
      </w:pPr>
      <w:r w:rsidRPr="00044874">
        <w:tab/>
        <w:t>Jeżeli nie przewidziano zagospodarowania nadmiaru objętości w sposób określony powyżej, materiały te należy przewieźć na odkład.</w:t>
      </w:r>
    </w:p>
    <w:p w:rsidR="00044874" w:rsidRPr="00044874" w:rsidRDefault="00044874" w:rsidP="00044874">
      <w:pPr>
        <w:widowControl w:val="0"/>
        <w:jc w:val="both"/>
      </w:pPr>
      <w:r w:rsidRPr="00044874">
        <w:tab/>
        <w:t>Lokalizacja odkładu powinna być wskazana w dokumentacji</w:t>
      </w:r>
      <w:r w:rsidR="003614CE">
        <w:t xml:space="preserve"> projektowej lub przez</w:t>
      </w:r>
      <w:r w:rsidR="00CA7A06">
        <w:t xml:space="preserve"> przedstawiciela</w:t>
      </w:r>
      <w:r w:rsidR="003614CE">
        <w:t xml:space="preserve"> Zamawiającego</w:t>
      </w:r>
      <w:r w:rsidRPr="00044874">
        <w:t>. Jeżeli miejsce odkładu zostało wybrane przez Wykonawcę, musi być o</w:t>
      </w:r>
      <w:r w:rsidR="003614CE">
        <w:t xml:space="preserve">no zaakceptowane przez </w:t>
      </w:r>
      <w:r w:rsidR="00CA7A06">
        <w:t xml:space="preserve">przedstawiciela </w:t>
      </w:r>
      <w:r w:rsidR="003614CE">
        <w:t>Zamawiającego</w:t>
      </w:r>
      <w:r w:rsidRPr="00044874">
        <w:t>. Niezależnie od tego, Wykonawca musi uzyskać zgodę właściciela terenu.</w:t>
      </w:r>
    </w:p>
    <w:p w:rsidR="00044874" w:rsidRPr="00044874" w:rsidRDefault="00044874" w:rsidP="00044874">
      <w:pPr>
        <w:widowControl w:val="0"/>
        <w:jc w:val="both"/>
      </w:pPr>
      <w:r w:rsidRPr="00044874">
        <w:tab/>
        <w:t>Jeżeli odkłady są zlokalizowane wzdłuż odcinka trasy przebiegającego w wykopie, to:</w:t>
      </w:r>
    </w:p>
    <w:p w:rsidR="00044874" w:rsidRPr="00044874" w:rsidRDefault="00044874" w:rsidP="0097494B">
      <w:pPr>
        <w:widowControl w:val="0"/>
        <w:numPr>
          <w:ilvl w:val="0"/>
          <w:numId w:val="14"/>
        </w:numPr>
        <w:suppressAutoHyphens/>
        <w:jc w:val="both"/>
      </w:pPr>
      <w:r w:rsidRPr="00044874">
        <w:t>odkłady można wykonać z obu stron wykopu, jeżeli pochylenie poprzeczne terenu jest niewielkie, przy czym odległość podnóża skarpy odkładu od górnej krawędzi wykopu powinna wynosić:</w:t>
      </w:r>
    </w:p>
    <w:p w:rsidR="00044874" w:rsidRPr="00044874" w:rsidRDefault="00044874" w:rsidP="0097494B">
      <w:pPr>
        <w:widowControl w:val="0"/>
        <w:numPr>
          <w:ilvl w:val="0"/>
          <w:numId w:val="25"/>
        </w:numPr>
        <w:tabs>
          <w:tab w:val="left" w:pos="992"/>
        </w:tabs>
        <w:suppressAutoHyphens/>
        <w:ind w:left="992" w:hanging="283"/>
        <w:jc w:val="both"/>
      </w:pPr>
      <w:r w:rsidRPr="00044874">
        <w:t>nie mniej niż 3 metry w gruntach przepuszczalnych,</w:t>
      </w:r>
    </w:p>
    <w:p w:rsidR="00044874" w:rsidRPr="00044874" w:rsidRDefault="00044874" w:rsidP="0097494B">
      <w:pPr>
        <w:widowControl w:val="0"/>
        <w:numPr>
          <w:ilvl w:val="0"/>
          <w:numId w:val="25"/>
        </w:numPr>
        <w:tabs>
          <w:tab w:val="left" w:pos="992"/>
        </w:tabs>
        <w:suppressAutoHyphens/>
        <w:ind w:left="992" w:hanging="283"/>
        <w:jc w:val="both"/>
      </w:pPr>
      <w:r w:rsidRPr="00044874">
        <w:t>nie mniej niż 5 metrów w gruntach nieprzepuszczalnych,</w:t>
      </w:r>
    </w:p>
    <w:p w:rsidR="00044874" w:rsidRPr="00044874" w:rsidRDefault="00044874" w:rsidP="0097494B">
      <w:pPr>
        <w:widowControl w:val="0"/>
        <w:numPr>
          <w:ilvl w:val="0"/>
          <w:numId w:val="14"/>
        </w:numPr>
        <w:suppressAutoHyphens/>
        <w:jc w:val="both"/>
      </w:pPr>
      <w:r w:rsidRPr="00044874">
        <w:t>przy znacznym pochyleniu poprzecznym terenu, jednak mniejszym od 20%, odkład należy wykonać tylko od górnej strony wykopu, dla ochrony od wody stokowej,</w:t>
      </w:r>
    </w:p>
    <w:p w:rsidR="00044874" w:rsidRPr="00044874" w:rsidRDefault="00044874" w:rsidP="0097494B">
      <w:pPr>
        <w:widowControl w:val="0"/>
        <w:numPr>
          <w:ilvl w:val="0"/>
          <w:numId w:val="14"/>
        </w:numPr>
        <w:suppressAutoHyphens/>
        <w:jc w:val="both"/>
      </w:pPr>
      <w:r w:rsidRPr="00044874">
        <w:t>przy pochyleniu poprzecznym terenu wynoszącym ponad 20%, odkład należy zlokalizować od dolnej strony wykopu,</w:t>
      </w:r>
    </w:p>
    <w:p w:rsidR="00044874" w:rsidRPr="00044874" w:rsidRDefault="00044874" w:rsidP="0097494B">
      <w:pPr>
        <w:widowControl w:val="0"/>
        <w:numPr>
          <w:ilvl w:val="0"/>
          <w:numId w:val="14"/>
        </w:numPr>
        <w:suppressAutoHyphens/>
        <w:jc w:val="both"/>
      </w:pPr>
      <w:r w:rsidRPr="00044874">
        <w:t>na odcinkach zagrożonych przez zasypywanie drogi śniegiem, odkład należy wykonać od strony najczęściej wiejących wiatrów, w odległości ponad 20 metrów od krawędzi wykopu.</w:t>
      </w:r>
    </w:p>
    <w:p w:rsidR="00044874" w:rsidRPr="00044874" w:rsidRDefault="00044874" w:rsidP="00044874">
      <w:pPr>
        <w:widowControl w:val="0"/>
        <w:tabs>
          <w:tab w:val="left" w:pos="0"/>
        </w:tabs>
        <w:jc w:val="both"/>
      </w:pPr>
      <w:r w:rsidRPr="00044874">
        <w:t>O ile odkład zostanie wykonany w nieuzgodnionym miejscu lub niezgodnie z wymaganiami, to zostanie on usunięty przez Wykonawcę na jego</w:t>
      </w:r>
      <w:r w:rsidR="003614CE">
        <w:t xml:space="preserve"> koszt, według wskazań </w:t>
      </w:r>
      <w:r w:rsidR="00CA7A06">
        <w:t xml:space="preserve">przedstawiciela </w:t>
      </w:r>
      <w:r w:rsidR="003614CE">
        <w:t>Zamawiającego</w:t>
      </w:r>
      <w:r w:rsidRPr="00044874">
        <w:t>.</w:t>
      </w:r>
    </w:p>
    <w:p w:rsidR="00044874" w:rsidRPr="00044874" w:rsidRDefault="00044874" w:rsidP="00044874">
      <w:pPr>
        <w:widowControl w:val="0"/>
        <w:jc w:val="both"/>
      </w:pPr>
      <w:r w:rsidRPr="00044874">
        <w:tab/>
        <w:t>Konsekwencje finansowe i prawne, wynikające z ewentualnych uszkodzeń środowiska naturalnego wskutek prowadzenia prac w nieuzgodnionym do tego miejscu, obciążają Wykonawcę.</w:t>
      </w:r>
    </w:p>
    <w:p w:rsidR="00044874" w:rsidRPr="00044874" w:rsidRDefault="00044874" w:rsidP="00044874">
      <w:pPr>
        <w:widowControl w:val="0"/>
        <w:jc w:val="both"/>
      </w:pPr>
      <w:r w:rsidRPr="00044874">
        <w:rPr>
          <w:bCs/>
        </w:rPr>
        <w:t>5.4.3.</w:t>
      </w:r>
      <w:r w:rsidRPr="00044874">
        <w:t>Zasady wykonania odkładów</w:t>
      </w:r>
    </w:p>
    <w:p w:rsidR="00044874" w:rsidRPr="00044874" w:rsidRDefault="00044874" w:rsidP="00044874">
      <w:pPr>
        <w:widowControl w:val="0"/>
        <w:jc w:val="both"/>
      </w:pPr>
      <w:r w:rsidRPr="00044874">
        <w:tab/>
        <w:t>Wykonanie odkładów, a w szczególności ich wysokość, pochylenia, zagęszczenie oraz odwodnienie powinny być zgodne z wymaganiami podanymi w dokumentacji</w:t>
      </w:r>
      <w:r w:rsidR="003614CE">
        <w:t xml:space="preserve"> projektowej lub przez </w:t>
      </w:r>
      <w:r w:rsidR="00CA7A06">
        <w:t xml:space="preserve">przedstawiciela </w:t>
      </w:r>
      <w:r w:rsidR="003614CE">
        <w:t>Zamawiającego</w:t>
      </w:r>
      <w:r w:rsidRPr="00044874">
        <w:t xml:space="preserve">. </w:t>
      </w:r>
      <w:r w:rsidR="002D5811">
        <w:t>Odkłady należy stosować w postaci nasypów o wysokości od 2,5 m i o przechyleniu skarp 1:1,5 ze spadkiem korony 3-5%.</w:t>
      </w:r>
    </w:p>
    <w:p w:rsidR="00044874" w:rsidRPr="00044874" w:rsidRDefault="00044874" w:rsidP="00044874">
      <w:pPr>
        <w:widowControl w:val="0"/>
        <w:jc w:val="both"/>
      </w:pPr>
      <w:r w:rsidRPr="00044874">
        <w:tab/>
        <w:t>Odkłady powinny być tak ukształtowane, aby harmonizowały z otaczającym terenem. Powierzchnie odkładów powinny być obsiane trawą, obsadzone krzewami lub drzewami albo przeznaczone na użytki rolne lub leśne, zgodnie z dokumentacją projektową.</w:t>
      </w:r>
    </w:p>
    <w:p w:rsidR="00044874" w:rsidRPr="00044874" w:rsidRDefault="00044874" w:rsidP="00044874">
      <w:pPr>
        <w:widowControl w:val="0"/>
        <w:jc w:val="both"/>
      </w:pPr>
      <w:r w:rsidRPr="00044874">
        <w:tab/>
        <w:t>Odspajanie materiału przewidzianego do przewiezienia na odkład powinno być przerwane, o ile warunki atmosferyczne lub inne przyczyny uniemożliwiają jego wbudowanie zgodnie z wymaganiami sformułowanymi w tym zakresie w dokumentacji projektowej, sp</w:t>
      </w:r>
      <w:r w:rsidR="003614CE">
        <w:t>ecyfikacjach lub przez</w:t>
      </w:r>
      <w:r w:rsidR="00CA7A06">
        <w:t xml:space="preserve"> przedstawiciela</w:t>
      </w:r>
      <w:r w:rsidR="003614CE">
        <w:t xml:space="preserve"> Zamawiającego</w:t>
      </w:r>
      <w:r w:rsidRPr="00044874">
        <w:t>.</w:t>
      </w:r>
    </w:p>
    <w:p w:rsidR="00044874" w:rsidRPr="00044874" w:rsidRDefault="00044874" w:rsidP="00044874">
      <w:pPr>
        <w:widowControl w:val="0"/>
        <w:jc w:val="both"/>
        <w:rPr>
          <w:snapToGrid w:val="0"/>
        </w:rPr>
      </w:pPr>
      <w:r w:rsidRPr="00044874">
        <w:rPr>
          <w:snapToGrid w:val="0"/>
        </w:rPr>
        <w:tab/>
        <w:t>Przed przewiezieniem gruntu na odkład Wykonawca powinien upewnić się, że spełnione są warunki określone w p. 5.4.1. Jeżeli wskutek pochopnego przewiezienia gruntu na odkład przez Wykonawcę, zajdzie konieczność dowiezienia gruntu do wykonania nasypów z ukopu, to koszt tych czynności w całości obciąża Wykonawcę.</w:t>
      </w:r>
    </w:p>
    <w:p w:rsidR="00044874" w:rsidRPr="00044874" w:rsidRDefault="00044874" w:rsidP="00044874">
      <w:pPr>
        <w:spacing w:before="120" w:after="120"/>
        <w:rPr>
          <w:b/>
          <w:u w:val="single"/>
        </w:rPr>
      </w:pPr>
      <w:r w:rsidRPr="00044874">
        <w:rPr>
          <w:b/>
          <w:u w:val="single"/>
        </w:rPr>
        <w:t>6. KONTROLA JAKOŚCI ROBÓT</w:t>
      </w:r>
    </w:p>
    <w:p w:rsidR="00044874" w:rsidRPr="00044874" w:rsidRDefault="00044874" w:rsidP="00044874">
      <w:pPr>
        <w:widowControl w:val="0"/>
        <w:tabs>
          <w:tab w:val="left" w:pos="1080"/>
        </w:tabs>
        <w:jc w:val="both"/>
        <w:outlineLvl w:val="1"/>
        <w:rPr>
          <w:b/>
          <w:snapToGrid w:val="0"/>
        </w:rPr>
      </w:pPr>
      <w:r w:rsidRPr="00044874">
        <w:rPr>
          <w:b/>
          <w:snapToGrid w:val="0"/>
        </w:rPr>
        <w:t>6.1. Ogólne zasady kontroli jakości robót</w:t>
      </w:r>
    </w:p>
    <w:p w:rsidR="00044874" w:rsidRPr="00044874" w:rsidRDefault="00044874" w:rsidP="00044874">
      <w:pPr>
        <w:widowControl w:val="0"/>
        <w:jc w:val="both"/>
      </w:pPr>
      <w:r w:rsidRPr="00044874">
        <w:rPr>
          <w:b/>
        </w:rPr>
        <w:tab/>
      </w:r>
      <w:r w:rsidRPr="00044874">
        <w:t xml:space="preserve">Ogólne zasady kontroli jakości robót podano w </w:t>
      </w:r>
      <w:r w:rsidR="00646246" w:rsidRPr="00044874">
        <w:t xml:space="preserve">ST </w:t>
      </w:r>
      <w:r w:rsidR="00423A6C">
        <w:t>M.11</w:t>
      </w:r>
      <w:r w:rsidR="00646246">
        <w:t>.00.00</w:t>
      </w:r>
      <w:r w:rsidRPr="00044874">
        <w:t>.</w:t>
      </w:r>
    </w:p>
    <w:p w:rsidR="00044874" w:rsidRPr="00044874" w:rsidRDefault="00044874" w:rsidP="00044874">
      <w:pPr>
        <w:widowControl w:val="0"/>
        <w:tabs>
          <w:tab w:val="left" w:pos="1080"/>
        </w:tabs>
        <w:jc w:val="both"/>
        <w:outlineLvl w:val="1"/>
        <w:rPr>
          <w:b/>
          <w:snapToGrid w:val="0"/>
        </w:rPr>
      </w:pPr>
      <w:r w:rsidRPr="00044874">
        <w:rPr>
          <w:b/>
          <w:snapToGrid w:val="0"/>
        </w:rPr>
        <w:t>6.2. Sprawdzenie jakości wykonania ukopu i dokopu</w:t>
      </w:r>
    </w:p>
    <w:p w:rsidR="00044874" w:rsidRPr="00044874" w:rsidRDefault="00044874" w:rsidP="00044874">
      <w:pPr>
        <w:widowControl w:val="0"/>
        <w:jc w:val="both"/>
      </w:pPr>
      <w:r w:rsidRPr="00044874">
        <w:tab/>
        <w:t>Sprawdzenie jakości wykonania ukopu i dokopu polega na kontrolowaniu zgodności z wymaganiami określonymi w p. 5 niniejszej specyfikacji oraz w dokumentacji projektowej. W czasie kontroli należy zwrócić szczególną uwagę na sprawdzenie:</w:t>
      </w:r>
    </w:p>
    <w:p w:rsidR="00044874" w:rsidRPr="00044874" w:rsidRDefault="00044874" w:rsidP="00044874">
      <w:pPr>
        <w:widowControl w:val="0"/>
        <w:tabs>
          <w:tab w:val="left" w:pos="283"/>
        </w:tabs>
        <w:ind w:left="283" w:hanging="283"/>
        <w:jc w:val="both"/>
      </w:pPr>
      <w:r w:rsidRPr="00044874">
        <w:t>zgodności rodzaju gruntu z określonym w dokumentacji projektowej,</w:t>
      </w:r>
    </w:p>
    <w:p w:rsidR="00044874" w:rsidRPr="00044874" w:rsidRDefault="00044874" w:rsidP="00044874">
      <w:pPr>
        <w:widowControl w:val="0"/>
        <w:tabs>
          <w:tab w:val="left" w:pos="283"/>
        </w:tabs>
        <w:ind w:left="283" w:hanging="283"/>
        <w:jc w:val="both"/>
      </w:pPr>
      <w:r w:rsidRPr="00044874">
        <w:t>zachowania kształtu zboczy, zapewniającego ich stateczność,</w:t>
      </w:r>
    </w:p>
    <w:p w:rsidR="00044874" w:rsidRPr="00044874" w:rsidRDefault="00044874" w:rsidP="00044874">
      <w:pPr>
        <w:widowControl w:val="0"/>
        <w:tabs>
          <w:tab w:val="left" w:pos="283"/>
        </w:tabs>
        <w:ind w:left="283" w:hanging="283"/>
        <w:jc w:val="both"/>
      </w:pPr>
      <w:r w:rsidRPr="00044874">
        <w:t>odwodnienia,</w:t>
      </w:r>
    </w:p>
    <w:p w:rsidR="00044874" w:rsidRPr="00044874" w:rsidRDefault="00044874" w:rsidP="00044874">
      <w:pPr>
        <w:widowControl w:val="0"/>
        <w:tabs>
          <w:tab w:val="left" w:pos="283"/>
        </w:tabs>
        <w:ind w:left="283" w:hanging="283"/>
        <w:jc w:val="both"/>
      </w:pPr>
      <w:r w:rsidRPr="00044874">
        <w:t>zagospodarowania (rekultywacji) terenu po zakończeniu eksploatacji ukopu.</w:t>
      </w:r>
    </w:p>
    <w:p w:rsidR="00044874" w:rsidRPr="00044874" w:rsidRDefault="00044874" w:rsidP="00044874">
      <w:pPr>
        <w:widowControl w:val="0"/>
        <w:tabs>
          <w:tab w:val="left" w:pos="1080"/>
        </w:tabs>
        <w:jc w:val="both"/>
        <w:outlineLvl w:val="1"/>
        <w:rPr>
          <w:b/>
          <w:snapToGrid w:val="0"/>
        </w:rPr>
      </w:pPr>
      <w:r w:rsidRPr="00044874">
        <w:rPr>
          <w:b/>
          <w:snapToGrid w:val="0"/>
        </w:rPr>
        <w:t>6.3. Sprawdzenie jakości wykonania nasypów</w:t>
      </w:r>
    </w:p>
    <w:p w:rsidR="00044874" w:rsidRPr="00044874" w:rsidRDefault="00044874" w:rsidP="00044874">
      <w:pPr>
        <w:widowControl w:val="0"/>
        <w:jc w:val="both"/>
      </w:pPr>
      <w:r w:rsidRPr="00044874">
        <w:rPr>
          <w:bCs/>
        </w:rPr>
        <w:t>6.3.1</w:t>
      </w:r>
      <w:r w:rsidRPr="00044874">
        <w:rPr>
          <w:b/>
        </w:rPr>
        <w:t xml:space="preserve">. </w:t>
      </w:r>
      <w:r w:rsidRPr="00044874">
        <w:t>Rodzaje badań i pomiarów</w:t>
      </w:r>
    </w:p>
    <w:p w:rsidR="00044874" w:rsidRPr="00044874" w:rsidRDefault="00044874" w:rsidP="00044874">
      <w:pPr>
        <w:widowControl w:val="0"/>
        <w:jc w:val="both"/>
      </w:pPr>
      <w:r w:rsidRPr="00044874">
        <w:tab/>
        <w:t>Sprawdzenie jakości wykonania nasypów polega na kontrolowaniu zgodności z wymaganiami określonymi w p. 2, 3 oraz 5 niniejszej specyfikacji i w dokumentacji projektowej.</w:t>
      </w:r>
    </w:p>
    <w:p w:rsidR="00044874" w:rsidRPr="00044874" w:rsidRDefault="00044874" w:rsidP="00044874">
      <w:pPr>
        <w:widowControl w:val="0"/>
        <w:jc w:val="both"/>
      </w:pPr>
      <w:r w:rsidRPr="00044874">
        <w:tab/>
        <w:t>Szczególną uwagę należy zwrócić na:</w:t>
      </w:r>
    </w:p>
    <w:p w:rsidR="00044874" w:rsidRPr="00044874" w:rsidRDefault="00044874" w:rsidP="0097494B">
      <w:pPr>
        <w:widowControl w:val="0"/>
        <w:numPr>
          <w:ilvl w:val="0"/>
          <w:numId w:val="16"/>
        </w:numPr>
        <w:suppressAutoHyphens/>
        <w:ind w:left="283" w:hanging="283"/>
        <w:jc w:val="both"/>
      </w:pPr>
      <w:r w:rsidRPr="00044874">
        <w:t>badania przydatności gruntów do budowy nasypów,</w:t>
      </w:r>
    </w:p>
    <w:p w:rsidR="00044874" w:rsidRPr="00044874" w:rsidRDefault="00044874" w:rsidP="0097494B">
      <w:pPr>
        <w:widowControl w:val="0"/>
        <w:numPr>
          <w:ilvl w:val="0"/>
          <w:numId w:val="16"/>
        </w:numPr>
        <w:suppressAutoHyphens/>
        <w:ind w:left="283" w:hanging="283"/>
        <w:jc w:val="both"/>
      </w:pPr>
      <w:r w:rsidRPr="00044874">
        <w:t>badania prawidłowości wykonania poszczególnych warstw nasypu,</w:t>
      </w:r>
    </w:p>
    <w:p w:rsidR="00044874" w:rsidRPr="00044874" w:rsidRDefault="00044874" w:rsidP="0097494B">
      <w:pPr>
        <w:widowControl w:val="0"/>
        <w:numPr>
          <w:ilvl w:val="0"/>
          <w:numId w:val="16"/>
        </w:numPr>
        <w:suppressAutoHyphens/>
        <w:ind w:left="283" w:hanging="283"/>
        <w:jc w:val="both"/>
      </w:pPr>
      <w:r w:rsidRPr="00044874">
        <w:t>badania zagęszczenia nasypu,</w:t>
      </w:r>
    </w:p>
    <w:p w:rsidR="00044874" w:rsidRPr="00044874" w:rsidRDefault="00044874" w:rsidP="0097494B">
      <w:pPr>
        <w:widowControl w:val="0"/>
        <w:numPr>
          <w:ilvl w:val="0"/>
          <w:numId w:val="16"/>
        </w:numPr>
        <w:suppressAutoHyphens/>
        <w:ind w:left="283" w:hanging="283"/>
        <w:jc w:val="both"/>
      </w:pPr>
      <w:r w:rsidRPr="00044874">
        <w:t>pomiary kształtu nasypu.</w:t>
      </w:r>
    </w:p>
    <w:p w:rsidR="00044874" w:rsidRPr="00044874" w:rsidRDefault="00044874" w:rsidP="00044874">
      <w:pPr>
        <w:widowControl w:val="0"/>
        <w:jc w:val="both"/>
      </w:pPr>
      <w:r w:rsidRPr="00044874">
        <w:rPr>
          <w:bCs/>
        </w:rPr>
        <w:t>6.3.2.</w:t>
      </w:r>
      <w:r w:rsidRPr="00044874">
        <w:t>Badania przydatności gruntów do budowy nasypów</w:t>
      </w:r>
    </w:p>
    <w:p w:rsidR="00044874" w:rsidRPr="00044874" w:rsidRDefault="00044874" w:rsidP="00044874">
      <w:pPr>
        <w:widowControl w:val="0"/>
        <w:jc w:val="both"/>
      </w:pPr>
      <w:r w:rsidRPr="00044874">
        <w:tab/>
        <w:t xml:space="preserve">Badania przydatności gruntów do budowy nasypu powinny być przeprowadzone na próbkach pobranych z każdej partii przeznaczonej do wbudowania w korpus ziemny, pochodzącej z nowego źródła, jednak nie rzadziej niż </w:t>
      </w:r>
      <w:r w:rsidR="002D5811">
        <w:t xml:space="preserve">trzy </w:t>
      </w:r>
      <w:r w:rsidRPr="00044874">
        <w:t xml:space="preserve"> raz</w:t>
      </w:r>
      <w:r w:rsidR="002D5811">
        <w:t>y</w:t>
      </w:r>
      <w:r w:rsidRPr="00044874">
        <w:t xml:space="preserve"> na </w:t>
      </w:r>
      <w:r w:rsidR="002D5811">
        <w:t>każde rozpoczęte 5</w:t>
      </w:r>
      <w:r w:rsidRPr="00044874">
        <w:t>000 m</w:t>
      </w:r>
      <w:r w:rsidRPr="00044874">
        <w:rPr>
          <w:vertAlign w:val="superscript"/>
        </w:rPr>
        <w:t>3</w:t>
      </w:r>
      <w:r w:rsidRPr="00044874">
        <w:t>. W każdym badaniu należy określić następujące właściwości:</w:t>
      </w:r>
    </w:p>
    <w:p w:rsidR="00044874" w:rsidRPr="00044874" w:rsidRDefault="00044874" w:rsidP="0097494B">
      <w:pPr>
        <w:widowControl w:val="0"/>
        <w:numPr>
          <w:ilvl w:val="0"/>
          <w:numId w:val="5"/>
        </w:numPr>
        <w:suppressAutoHyphens/>
        <w:ind w:left="340" w:hanging="340"/>
        <w:jc w:val="both"/>
      </w:pPr>
      <w:r w:rsidRPr="00044874">
        <w:t>skład granulometryczny, wg PN-B-04481,</w:t>
      </w:r>
    </w:p>
    <w:p w:rsidR="00044874" w:rsidRPr="00044874" w:rsidRDefault="00044874" w:rsidP="0097494B">
      <w:pPr>
        <w:widowControl w:val="0"/>
        <w:numPr>
          <w:ilvl w:val="0"/>
          <w:numId w:val="5"/>
        </w:numPr>
        <w:suppressAutoHyphens/>
        <w:ind w:left="340" w:hanging="340"/>
        <w:jc w:val="both"/>
      </w:pPr>
      <w:r w:rsidRPr="00044874">
        <w:t>zawartość części organicznych, wg PN-B-04481,</w:t>
      </w:r>
    </w:p>
    <w:p w:rsidR="00044874" w:rsidRPr="00044874" w:rsidRDefault="00044874" w:rsidP="0097494B">
      <w:pPr>
        <w:widowControl w:val="0"/>
        <w:numPr>
          <w:ilvl w:val="0"/>
          <w:numId w:val="5"/>
        </w:numPr>
        <w:suppressAutoHyphens/>
        <w:ind w:left="340" w:hanging="340"/>
        <w:jc w:val="both"/>
      </w:pPr>
      <w:r w:rsidRPr="00044874">
        <w:t>wilgotność naturalną, wg PN-B-04481,</w:t>
      </w:r>
    </w:p>
    <w:p w:rsidR="00044874" w:rsidRPr="00044874" w:rsidRDefault="00044874" w:rsidP="0097494B">
      <w:pPr>
        <w:widowControl w:val="0"/>
        <w:numPr>
          <w:ilvl w:val="0"/>
          <w:numId w:val="5"/>
        </w:numPr>
        <w:suppressAutoHyphens/>
        <w:ind w:left="340" w:hanging="340"/>
        <w:jc w:val="both"/>
      </w:pPr>
      <w:r w:rsidRPr="00044874">
        <w:t>wilgotność optymalną i maksymalną gęstość objętościową szkieletu gruntowego, wg PN-B-04481,</w:t>
      </w:r>
    </w:p>
    <w:p w:rsidR="00044874" w:rsidRPr="00044874" w:rsidRDefault="00044874" w:rsidP="0097494B">
      <w:pPr>
        <w:widowControl w:val="0"/>
        <w:numPr>
          <w:ilvl w:val="0"/>
          <w:numId w:val="5"/>
        </w:numPr>
        <w:suppressAutoHyphens/>
        <w:ind w:left="340" w:hanging="340"/>
        <w:jc w:val="both"/>
      </w:pPr>
      <w:r w:rsidRPr="00044874">
        <w:t>granicę płynności, wg PN-B-04481,</w:t>
      </w:r>
    </w:p>
    <w:p w:rsidR="00044874" w:rsidRPr="00044874" w:rsidRDefault="00044874" w:rsidP="0097494B">
      <w:pPr>
        <w:widowControl w:val="0"/>
        <w:numPr>
          <w:ilvl w:val="0"/>
          <w:numId w:val="5"/>
        </w:numPr>
        <w:suppressAutoHyphens/>
        <w:ind w:left="340" w:hanging="340"/>
        <w:jc w:val="both"/>
      </w:pPr>
      <w:r w:rsidRPr="00044874">
        <w:t>kapilarność bierną, wg PN-B-04493,</w:t>
      </w:r>
    </w:p>
    <w:p w:rsidR="00044874" w:rsidRPr="00044874" w:rsidRDefault="00044874" w:rsidP="0097494B">
      <w:pPr>
        <w:widowControl w:val="0"/>
        <w:numPr>
          <w:ilvl w:val="0"/>
          <w:numId w:val="5"/>
        </w:numPr>
        <w:suppressAutoHyphens/>
        <w:ind w:left="340" w:hanging="340"/>
        <w:jc w:val="both"/>
      </w:pPr>
      <w:r w:rsidRPr="00044874">
        <w:t>wskaźnik piaskowy, wg BN-64/8931-01.</w:t>
      </w:r>
    </w:p>
    <w:p w:rsidR="00044874" w:rsidRPr="00044874" w:rsidRDefault="00044874" w:rsidP="00044874">
      <w:pPr>
        <w:widowControl w:val="0"/>
        <w:jc w:val="both"/>
      </w:pPr>
      <w:r w:rsidRPr="00044874">
        <w:rPr>
          <w:bCs/>
        </w:rPr>
        <w:t>6.3.3.</w:t>
      </w:r>
      <w:r w:rsidRPr="00044874">
        <w:t>Badania kontrolne prawidłowości wykonania poszczególnych warstw nasypu</w:t>
      </w:r>
    </w:p>
    <w:p w:rsidR="00044874" w:rsidRPr="00044874" w:rsidRDefault="00044874" w:rsidP="00044874">
      <w:pPr>
        <w:widowControl w:val="0"/>
        <w:jc w:val="both"/>
      </w:pPr>
      <w:r w:rsidRPr="00044874">
        <w:tab/>
        <w:t>Badania kontrolne prawidłowości wykonania poszczególnych warstw nasypu polegają na sprawdzeniu:</w:t>
      </w:r>
    </w:p>
    <w:p w:rsidR="00044874" w:rsidRPr="00044874" w:rsidRDefault="00044874" w:rsidP="0097494B">
      <w:pPr>
        <w:widowControl w:val="0"/>
        <w:numPr>
          <w:ilvl w:val="0"/>
          <w:numId w:val="6"/>
        </w:numPr>
        <w:suppressAutoHyphens/>
        <w:ind w:left="283" w:hanging="283"/>
        <w:jc w:val="both"/>
      </w:pPr>
      <w:r w:rsidRPr="00044874">
        <w:t>prawidłowości rozmieszczenia gruntów o różnych właściwościach w nasypie,</w:t>
      </w:r>
    </w:p>
    <w:p w:rsidR="00044874" w:rsidRPr="00044874" w:rsidRDefault="00044874" w:rsidP="0097494B">
      <w:pPr>
        <w:widowControl w:val="0"/>
        <w:numPr>
          <w:ilvl w:val="0"/>
          <w:numId w:val="6"/>
        </w:numPr>
        <w:suppressAutoHyphens/>
        <w:ind w:left="283" w:hanging="283"/>
        <w:jc w:val="both"/>
      </w:pPr>
      <w:r w:rsidRPr="00044874">
        <w:t>odwodnienia każdej warstwy,</w:t>
      </w:r>
    </w:p>
    <w:p w:rsidR="00044874" w:rsidRPr="00044874" w:rsidRDefault="00044874" w:rsidP="0097494B">
      <w:pPr>
        <w:widowControl w:val="0"/>
        <w:numPr>
          <w:ilvl w:val="0"/>
          <w:numId w:val="6"/>
        </w:numPr>
        <w:suppressAutoHyphens/>
        <w:ind w:left="283" w:hanging="283"/>
        <w:jc w:val="both"/>
      </w:pPr>
      <w:r w:rsidRPr="00044874">
        <w:t>grubości każdej warstwy i jej wilgotności przy zagęszczaniu; badania należy przeprowadzić nie rzadziej niż jeden raz na 500 m</w:t>
      </w:r>
      <w:r w:rsidRPr="00044874">
        <w:rPr>
          <w:vertAlign w:val="superscript"/>
        </w:rPr>
        <w:t>2</w:t>
      </w:r>
      <w:r w:rsidRPr="00044874">
        <w:t xml:space="preserve"> warstwy,</w:t>
      </w:r>
    </w:p>
    <w:p w:rsidR="00044874" w:rsidRPr="00044874" w:rsidRDefault="00044874" w:rsidP="0097494B">
      <w:pPr>
        <w:widowControl w:val="0"/>
        <w:numPr>
          <w:ilvl w:val="0"/>
          <w:numId w:val="6"/>
        </w:numPr>
        <w:suppressAutoHyphens/>
        <w:ind w:left="283" w:hanging="283"/>
        <w:jc w:val="both"/>
      </w:pPr>
      <w:r w:rsidRPr="00044874">
        <w:t>nadania spadków warstwom z gruntów spoistych według p. 5.3.3.1 poz. d),</w:t>
      </w:r>
    </w:p>
    <w:p w:rsidR="00044874" w:rsidRPr="00044874" w:rsidRDefault="00044874" w:rsidP="0097494B">
      <w:pPr>
        <w:widowControl w:val="0"/>
        <w:numPr>
          <w:ilvl w:val="0"/>
          <w:numId w:val="6"/>
        </w:numPr>
        <w:suppressAutoHyphens/>
        <w:ind w:left="283" w:hanging="283"/>
        <w:jc w:val="both"/>
      </w:pPr>
      <w:r w:rsidRPr="00044874">
        <w:t>przestrzegania ograniczeń dotyczących wbudowania gruntów w okresie deszczów i mrozów.</w:t>
      </w:r>
    </w:p>
    <w:p w:rsidR="00044874" w:rsidRPr="00044874" w:rsidRDefault="00044874" w:rsidP="00044874">
      <w:pPr>
        <w:widowControl w:val="0"/>
        <w:jc w:val="both"/>
      </w:pPr>
      <w:r w:rsidRPr="00044874">
        <w:rPr>
          <w:bCs/>
        </w:rPr>
        <w:t>6.3.4.</w:t>
      </w:r>
      <w:r w:rsidRPr="00044874">
        <w:t>Sprawdzenie zagęszczenia nasypu oraz podłoża nasypu</w:t>
      </w:r>
    </w:p>
    <w:p w:rsidR="00044874" w:rsidRPr="00044874" w:rsidRDefault="00044874" w:rsidP="00044874">
      <w:pPr>
        <w:widowControl w:val="0"/>
        <w:jc w:val="both"/>
      </w:pPr>
      <w:r w:rsidRPr="00044874">
        <w:tab/>
        <w:t>Sprawdzenie zagęszczenia nasypu oraz podłoża nasypu polega na skontrolowaniu zgodności wartości wskaźnika zagęszczenia I</w:t>
      </w:r>
      <w:r w:rsidRPr="00044874">
        <w:rPr>
          <w:vertAlign w:val="subscript"/>
        </w:rPr>
        <w:t>s</w:t>
      </w:r>
      <w:r w:rsidRPr="00044874">
        <w:t xml:space="preserve"> lub stosunku modułów odkształcenia z wartościami określonymi w p. 5.3.1.2 i p. 6.3.4.1. Do bieżącej kontroli zagęszczenia dopuszcza się aparaty izotopowe.</w:t>
      </w:r>
    </w:p>
    <w:p w:rsidR="00044874" w:rsidRPr="00044874" w:rsidRDefault="00044874" w:rsidP="00044874">
      <w:pPr>
        <w:widowControl w:val="0"/>
        <w:jc w:val="both"/>
      </w:pPr>
      <w:r w:rsidRPr="00044874">
        <w:tab/>
        <w:t>Oznaczenie wskaźnika zagęszczenia I</w:t>
      </w:r>
      <w:r w:rsidRPr="00044874">
        <w:rPr>
          <w:vertAlign w:val="subscript"/>
        </w:rPr>
        <w:t>s</w:t>
      </w:r>
      <w:r w:rsidRPr="00044874">
        <w:t xml:space="preserve"> powinno być przeprowadzone według normy BN-77/8931-12, oznaczenie modułów odkształcenia według normy PN-S-02205.</w:t>
      </w:r>
    </w:p>
    <w:p w:rsidR="00044874" w:rsidRPr="00044874" w:rsidRDefault="00044874" w:rsidP="00044874">
      <w:pPr>
        <w:widowControl w:val="0"/>
        <w:jc w:val="both"/>
      </w:pPr>
      <w:r w:rsidRPr="00044874">
        <w:tab/>
        <w:t>Zagęszczenie każdej warstwy należy kontrolować:</w:t>
      </w:r>
    </w:p>
    <w:p w:rsidR="00044874" w:rsidRPr="00044874" w:rsidRDefault="00FA0FC0" w:rsidP="0097494B">
      <w:pPr>
        <w:widowControl w:val="0"/>
        <w:numPr>
          <w:ilvl w:val="0"/>
          <w:numId w:val="24"/>
        </w:numPr>
        <w:suppressAutoHyphens/>
        <w:ind w:left="340" w:hanging="340"/>
        <w:jc w:val="both"/>
      </w:pPr>
      <w:r>
        <w:t>dla korpusu nasypu i warstwy odcinającej dolnej – nie mniej niż jeden raz w trzech punktach na 5000m2 zageszczanych warstw nasypu.</w:t>
      </w:r>
    </w:p>
    <w:p w:rsidR="00044874" w:rsidRPr="00044874" w:rsidRDefault="00044874" w:rsidP="00044874">
      <w:pPr>
        <w:widowControl w:val="0"/>
        <w:jc w:val="both"/>
      </w:pPr>
      <w:r w:rsidRPr="00044874">
        <w:tab/>
        <w:t xml:space="preserve">Wyniki kontroli zagęszczenia robót Wykonawca powinien wpisywać do dokumentów laboratoryjnych. Prawidłowość zagęszczenia konkretnej warstwy nasypu lub podłoża pod nasypem powinna </w:t>
      </w:r>
      <w:r w:rsidR="003614CE">
        <w:t xml:space="preserve">być potwierdzona przez </w:t>
      </w:r>
      <w:r w:rsidR="00CA7A06">
        <w:t xml:space="preserve">przedstawiciela  </w:t>
      </w:r>
      <w:r w:rsidR="003614CE">
        <w:t>Zamawiającego</w:t>
      </w:r>
      <w:r w:rsidRPr="00044874">
        <w:t xml:space="preserve"> wpisem w dzienniku budowy.</w:t>
      </w:r>
    </w:p>
    <w:p w:rsidR="00044874" w:rsidRPr="00044874" w:rsidRDefault="00044874" w:rsidP="00044874">
      <w:pPr>
        <w:widowControl w:val="0"/>
        <w:jc w:val="both"/>
      </w:pPr>
      <w:r w:rsidRPr="00044874">
        <w:rPr>
          <w:bCs/>
        </w:rPr>
        <w:t>6.3.5</w:t>
      </w:r>
      <w:r w:rsidRPr="00044874">
        <w:rPr>
          <w:b/>
        </w:rPr>
        <w:t xml:space="preserve">. </w:t>
      </w:r>
      <w:r w:rsidRPr="00044874">
        <w:t>Pomiary kształtu nasypu</w:t>
      </w:r>
    </w:p>
    <w:p w:rsidR="00044874" w:rsidRPr="00044874" w:rsidRDefault="00044874" w:rsidP="00044874">
      <w:pPr>
        <w:widowControl w:val="0"/>
        <w:jc w:val="both"/>
      </w:pPr>
      <w:r w:rsidRPr="00044874">
        <w:tab/>
        <w:t>Pomiary kształtu nasypu obejmują kontrolę:</w:t>
      </w:r>
    </w:p>
    <w:p w:rsidR="00044874" w:rsidRPr="00044874" w:rsidRDefault="00044874" w:rsidP="00044874">
      <w:pPr>
        <w:widowControl w:val="0"/>
        <w:tabs>
          <w:tab w:val="left" w:pos="340"/>
        </w:tabs>
        <w:ind w:left="340" w:hanging="340"/>
        <w:jc w:val="both"/>
      </w:pPr>
      <w:r w:rsidRPr="00044874">
        <w:t>prawidłowości wykonania skarp,</w:t>
      </w:r>
    </w:p>
    <w:p w:rsidR="00044874" w:rsidRPr="00044874" w:rsidRDefault="00044874" w:rsidP="00044874">
      <w:pPr>
        <w:widowControl w:val="0"/>
        <w:tabs>
          <w:tab w:val="left" w:pos="340"/>
        </w:tabs>
        <w:ind w:left="340" w:hanging="340"/>
        <w:jc w:val="both"/>
      </w:pPr>
      <w:r w:rsidRPr="00044874">
        <w:t>szerokości korony korpusu.</w:t>
      </w:r>
    </w:p>
    <w:p w:rsidR="00044874" w:rsidRPr="00044874" w:rsidRDefault="00044874" w:rsidP="00044874">
      <w:pPr>
        <w:widowControl w:val="0"/>
        <w:jc w:val="both"/>
      </w:pPr>
      <w:r w:rsidRPr="00044874">
        <w:tab/>
        <w:t>Sprawdzenie prawidłowości wykonania skarp polega na skontrolowaniu zgodności z wymaganiami dotyczącymi pochyleń i dokładności wykonania skarp, określonymi w dokumentacji projektowej oraz w niniejszej specyfikacji.</w:t>
      </w:r>
    </w:p>
    <w:p w:rsidR="00044874" w:rsidRPr="00044874" w:rsidRDefault="00044874" w:rsidP="00044874">
      <w:pPr>
        <w:widowControl w:val="0"/>
        <w:jc w:val="both"/>
      </w:pPr>
      <w:r w:rsidRPr="00044874">
        <w:tab/>
        <w:t>Sprawdzenie szerokości korony korpusu polega na porównaniu szerokości korony korpusu na poziomie wykonywanej warstwy nasypu z szerokością wynikającą z wymiarów geometrycznych korpusu, określonych w dokumentacji projektowej.</w:t>
      </w:r>
    </w:p>
    <w:p w:rsidR="00044874" w:rsidRPr="00044874" w:rsidRDefault="00044874" w:rsidP="00044874">
      <w:pPr>
        <w:widowControl w:val="0"/>
        <w:tabs>
          <w:tab w:val="left" w:pos="1080"/>
        </w:tabs>
        <w:jc w:val="both"/>
        <w:outlineLvl w:val="1"/>
        <w:rPr>
          <w:snapToGrid w:val="0"/>
        </w:rPr>
      </w:pPr>
      <w:r w:rsidRPr="00044874">
        <w:rPr>
          <w:snapToGrid w:val="0"/>
        </w:rPr>
        <w:t>6.4. Sprawdzenie jakości wykonania odkładu</w:t>
      </w:r>
    </w:p>
    <w:p w:rsidR="00044874" w:rsidRPr="00044874" w:rsidRDefault="00044874" w:rsidP="00044874">
      <w:pPr>
        <w:widowControl w:val="0"/>
        <w:jc w:val="both"/>
      </w:pPr>
      <w:r w:rsidRPr="00044874">
        <w:tab/>
        <w:t>Sprawdzenie wykonania odkładu polega na sprawdzeniu zgodności z wymaganiami określonymi w p. 2 oraz p. 5.4 niniejszej specyfikacji i w dokumentacji projektowej.</w:t>
      </w:r>
    </w:p>
    <w:p w:rsidR="00044874" w:rsidRPr="00044874" w:rsidRDefault="00044874" w:rsidP="00044874">
      <w:pPr>
        <w:widowControl w:val="0"/>
        <w:jc w:val="both"/>
      </w:pPr>
      <w:r w:rsidRPr="00044874">
        <w:tab/>
        <w:t>Szczególną uwagę należy zwrócić na:</w:t>
      </w:r>
    </w:p>
    <w:p w:rsidR="00044874" w:rsidRPr="00044874" w:rsidRDefault="00044874" w:rsidP="0097494B">
      <w:pPr>
        <w:widowControl w:val="0"/>
        <w:numPr>
          <w:ilvl w:val="0"/>
          <w:numId w:val="23"/>
        </w:numPr>
        <w:suppressAutoHyphens/>
        <w:ind w:left="283" w:hanging="283"/>
        <w:jc w:val="both"/>
      </w:pPr>
      <w:r w:rsidRPr="00044874">
        <w:t>prawidłowość usytuowania i kształt geometryczny odkładu,</w:t>
      </w:r>
    </w:p>
    <w:p w:rsidR="00044874" w:rsidRPr="00044874" w:rsidRDefault="00044874" w:rsidP="0097494B">
      <w:pPr>
        <w:widowControl w:val="0"/>
        <w:numPr>
          <w:ilvl w:val="0"/>
          <w:numId w:val="23"/>
        </w:numPr>
        <w:suppressAutoHyphens/>
        <w:ind w:left="283" w:hanging="283"/>
        <w:jc w:val="both"/>
      </w:pPr>
      <w:r w:rsidRPr="00044874">
        <w:t>odpowiednie wbudowanie gruntu,</w:t>
      </w:r>
    </w:p>
    <w:p w:rsidR="00044874" w:rsidRPr="00044874" w:rsidRDefault="00044874" w:rsidP="0097494B">
      <w:pPr>
        <w:widowControl w:val="0"/>
        <w:numPr>
          <w:ilvl w:val="0"/>
          <w:numId w:val="23"/>
        </w:numPr>
        <w:suppressAutoHyphens/>
        <w:ind w:left="283" w:hanging="283"/>
        <w:jc w:val="both"/>
      </w:pPr>
      <w:r w:rsidRPr="00044874">
        <w:t>właściwe zagospodarowanie (rekultywację) odkładu.</w:t>
      </w:r>
    </w:p>
    <w:p w:rsidR="00044874" w:rsidRPr="00044874" w:rsidRDefault="00044874" w:rsidP="00044874">
      <w:pPr>
        <w:spacing w:before="120" w:after="120"/>
        <w:rPr>
          <w:b/>
          <w:u w:val="single"/>
        </w:rPr>
      </w:pPr>
      <w:r w:rsidRPr="00044874">
        <w:rPr>
          <w:b/>
          <w:u w:val="single"/>
        </w:rPr>
        <w:t>7. OBMIAR ROBÓT</w:t>
      </w:r>
    </w:p>
    <w:p w:rsidR="00044874" w:rsidRPr="00044874" w:rsidRDefault="00044874" w:rsidP="00044874">
      <w:pPr>
        <w:widowControl w:val="0"/>
        <w:tabs>
          <w:tab w:val="left" w:pos="1080"/>
        </w:tabs>
        <w:outlineLvl w:val="1"/>
        <w:rPr>
          <w:b/>
          <w:snapToGrid w:val="0"/>
        </w:rPr>
      </w:pPr>
      <w:r w:rsidRPr="00044874">
        <w:rPr>
          <w:b/>
          <w:snapToGrid w:val="0"/>
        </w:rPr>
        <w:t>7.1. Ogólne zasady obmiaru robót</w:t>
      </w:r>
    </w:p>
    <w:p w:rsidR="00044874" w:rsidRPr="00044874" w:rsidRDefault="00044874" w:rsidP="00044874">
      <w:pPr>
        <w:widowControl w:val="0"/>
        <w:jc w:val="both"/>
      </w:pPr>
      <w:r w:rsidRPr="00044874">
        <w:tab/>
        <w:t xml:space="preserve">Ogólne zasady obmiaru robót podano w </w:t>
      </w:r>
      <w:r w:rsidR="00646246" w:rsidRPr="00044874">
        <w:t xml:space="preserve">ST </w:t>
      </w:r>
      <w:r w:rsidR="00423A6C">
        <w:t>M.11</w:t>
      </w:r>
      <w:r w:rsidR="00646246">
        <w:t>.00.00</w:t>
      </w:r>
      <w:r w:rsidR="00B361E7" w:rsidRPr="00044874">
        <w:t>.</w:t>
      </w:r>
    </w:p>
    <w:p w:rsidR="00044874" w:rsidRPr="00044874" w:rsidRDefault="00044874" w:rsidP="00044874">
      <w:pPr>
        <w:widowControl w:val="0"/>
        <w:tabs>
          <w:tab w:val="left" w:pos="1080"/>
        </w:tabs>
        <w:outlineLvl w:val="1"/>
        <w:rPr>
          <w:b/>
          <w:snapToGrid w:val="0"/>
        </w:rPr>
      </w:pPr>
      <w:r w:rsidRPr="00044874">
        <w:rPr>
          <w:b/>
          <w:snapToGrid w:val="0"/>
        </w:rPr>
        <w:t>7.2. Jednostka obmiarowa</w:t>
      </w:r>
    </w:p>
    <w:p w:rsidR="00044874" w:rsidRPr="00044874" w:rsidRDefault="00044874" w:rsidP="00044874">
      <w:pPr>
        <w:widowControl w:val="0"/>
        <w:jc w:val="both"/>
      </w:pPr>
      <w:r w:rsidRPr="00044874">
        <w:tab/>
        <w:t>Jednostką obmiarową jest 1 m3 (metr sześcienny).</w:t>
      </w:r>
    </w:p>
    <w:p w:rsidR="00044874" w:rsidRPr="00044874" w:rsidRDefault="00044874" w:rsidP="00044874">
      <w:pPr>
        <w:widowControl w:val="0"/>
        <w:jc w:val="both"/>
      </w:pPr>
      <w:r w:rsidRPr="00044874">
        <w:tab/>
        <w:t>Objętość ukopu i dokopu będzie ustalona w metrach sześciennych jako różnica ogólnej objętości nasypów i ogólnej objętości wykopów, pomniejszonej o objętość gruntów nieprzydatnych do budowy nasypów, z uwzględnieniem spulchnienia gruntu, tj. procentowego stosunku objętości gruntu w stanie rodzimym do objętości w nasypie.</w:t>
      </w:r>
    </w:p>
    <w:p w:rsidR="00044874" w:rsidRPr="00044874" w:rsidRDefault="00044874" w:rsidP="00044874">
      <w:pPr>
        <w:widowControl w:val="0"/>
        <w:jc w:val="both"/>
      </w:pPr>
      <w:r w:rsidRPr="00044874">
        <w:tab/>
        <w:t>Objętość nasypów będzie ustalona w metrach sześciennych na podstawie obliczeń z przekrojów poprzecznych, w oparciu o poziom gruntu rodzimego lub poziom gruntu po usunięciu warstw gruntów nieprzydatnych.</w:t>
      </w:r>
    </w:p>
    <w:p w:rsidR="00044874" w:rsidRPr="00044874" w:rsidRDefault="00044874" w:rsidP="00044874">
      <w:pPr>
        <w:widowControl w:val="0"/>
        <w:jc w:val="both"/>
      </w:pPr>
      <w:r w:rsidRPr="00044874">
        <w:tab/>
        <w:t>Objętość odkładu będzie określona w metrach sześciennych na podstawie obmiaru jako różnica objętości wykopów,  powiększonej o objętość ukopów i objętości nasypów, z uwzględnieniem spulchnienia.</w:t>
      </w:r>
    </w:p>
    <w:p w:rsidR="00044874" w:rsidRPr="00044874" w:rsidRDefault="00044874" w:rsidP="00044874">
      <w:pPr>
        <w:widowControl w:val="0"/>
        <w:spacing w:before="120" w:after="120"/>
        <w:ind w:right="2642"/>
        <w:rPr>
          <w:b/>
          <w:u w:val="single"/>
        </w:rPr>
      </w:pPr>
      <w:r w:rsidRPr="00044874">
        <w:rPr>
          <w:b/>
          <w:u w:val="single"/>
        </w:rPr>
        <w:t xml:space="preserve">8. ODBIÓR ROBÓT </w:t>
      </w:r>
    </w:p>
    <w:p w:rsidR="00044874" w:rsidRPr="00044874" w:rsidRDefault="00044874" w:rsidP="00044874">
      <w:pPr>
        <w:widowControl w:val="0"/>
        <w:overflowPunct w:val="0"/>
        <w:autoSpaceDE w:val="0"/>
        <w:autoSpaceDN w:val="0"/>
        <w:adjustRightInd w:val="0"/>
        <w:ind w:firstLine="708"/>
        <w:jc w:val="both"/>
      </w:pPr>
      <w:r w:rsidRPr="00044874">
        <w:t>Ogólne zasady odbioru robót podano w ST D-M 00.00.00 „Wymagania ogólne”.</w:t>
      </w:r>
    </w:p>
    <w:p w:rsidR="00044874" w:rsidRPr="00044874" w:rsidRDefault="00044874" w:rsidP="00044874">
      <w:pPr>
        <w:widowControl w:val="0"/>
        <w:overflowPunct w:val="0"/>
        <w:autoSpaceDE w:val="0"/>
        <w:autoSpaceDN w:val="0"/>
        <w:adjustRightInd w:val="0"/>
        <w:jc w:val="both"/>
      </w:pPr>
      <w:r w:rsidRPr="00044874">
        <w:tab/>
        <w:t xml:space="preserve">Roboty ziemne uznaje się za wykonane zgodnie z dokumentacją projektową, ST i </w:t>
      </w:r>
      <w:r w:rsidR="003614CE">
        <w:t xml:space="preserve">wymaganiami </w:t>
      </w:r>
      <w:r w:rsidR="00CA7A06">
        <w:t xml:space="preserve">przedstawiciela  </w:t>
      </w:r>
      <w:r w:rsidR="003614CE">
        <w:t>Zamawiającego</w:t>
      </w:r>
      <w:r w:rsidRPr="00044874">
        <w:t>, jeżeli wszystkie pomiary i badania z zachowaniem tolerancji wg pkt 6 dały wyniki pozytywne.</w:t>
      </w:r>
    </w:p>
    <w:p w:rsidR="00044874" w:rsidRPr="00044874" w:rsidRDefault="00044874" w:rsidP="00044874">
      <w:pPr>
        <w:widowControl w:val="0"/>
        <w:spacing w:before="120" w:after="120"/>
        <w:rPr>
          <w:b/>
          <w:u w:val="single"/>
        </w:rPr>
      </w:pPr>
      <w:r w:rsidRPr="00044874">
        <w:rPr>
          <w:b/>
          <w:u w:val="single"/>
        </w:rPr>
        <w:t>9. PODSTAWA PŁATNOŚCI</w:t>
      </w:r>
    </w:p>
    <w:p w:rsidR="00044874" w:rsidRPr="00044874" w:rsidRDefault="00044874" w:rsidP="00044874">
      <w:pPr>
        <w:widowControl w:val="0"/>
        <w:ind w:firstLine="708"/>
        <w:jc w:val="both"/>
      </w:pPr>
      <w:r w:rsidRPr="00044874">
        <w:t>Płatność za 1 m3 wykonanego nasypu należy przyjmować zgodnie z Dokumentacją Projektową, obmiarem robót, oceną jakości materiałów i jakości wykonania robót.</w:t>
      </w:r>
    </w:p>
    <w:p w:rsidR="00044874" w:rsidRPr="00044874" w:rsidRDefault="00044874" w:rsidP="00044874">
      <w:pPr>
        <w:widowControl w:val="0"/>
        <w:tabs>
          <w:tab w:val="center" w:pos="3220"/>
        </w:tabs>
      </w:pPr>
      <w:r w:rsidRPr="00044874">
        <w:t xml:space="preserve">            Cena wykonania robót obejmuje :</w:t>
      </w:r>
    </w:p>
    <w:p w:rsidR="00044874" w:rsidRDefault="00044874" w:rsidP="0097494B">
      <w:pPr>
        <w:widowControl w:val="0"/>
        <w:numPr>
          <w:ilvl w:val="0"/>
          <w:numId w:val="10"/>
        </w:numPr>
        <w:suppressAutoHyphens/>
        <w:ind w:left="340" w:hanging="340"/>
      </w:pPr>
      <w:r w:rsidRPr="00044874">
        <w:t>prace pomiarowe,</w:t>
      </w:r>
    </w:p>
    <w:p w:rsidR="00F65B19" w:rsidRPr="00044874" w:rsidRDefault="00F65B19" w:rsidP="0097494B">
      <w:pPr>
        <w:widowControl w:val="0"/>
        <w:numPr>
          <w:ilvl w:val="0"/>
          <w:numId w:val="10"/>
        </w:numPr>
        <w:suppressAutoHyphens/>
        <w:ind w:left="340" w:hanging="340"/>
      </w:pPr>
      <w:r>
        <w:t>zakup materiałów,</w:t>
      </w:r>
    </w:p>
    <w:p w:rsidR="00044874" w:rsidRPr="00044874" w:rsidRDefault="00044874" w:rsidP="0097494B">
      <w:pPr>
        <w:widowControl w:val="0"/>
        <w:numPr>
          <w:ilvl w:val="0"/>
          <w:numId w:val="10"/>
        </w:numPr>
        <w:suppressAutoHyphens/>
        <w:ind w:left="340" w:hanging="340"/>
      </w:pPr>
      <w:r w:rsidRPr="00044874">
        <w:t>oznakowanie robót,</w:t>
      </w:r>
    </w:p>
    <w:p w:rsidR="00044874" w:rsidRDefault="00044874" w:rsidP="0097494B">
      <w:pPr>
        <w:widowControl w:val="0"/>
        <w:numPr>
          <w:ilvl w:val="0"/>
          <w:numId w:val="10"/>
        </w:numPr>
        <w:suppressAutoHyphens/>
        <w:ind w:left="340" w:hanging="340"/>
      </w:pPr>
      <w:r w:rsidRPr="00044874">
        <w:t>pozyskanie gruntu z ukopu lub dokopu, jego odspojenie i załadunek na środki transportowe,</w:t>
      </w:r>
    </w:p>
    <w:p w:rsidR="00B361E7" w:rsidRPr="00044874" w:rsidRDefault="00B361E7" w:rsidP="0097494B">
      <w:pPr>
        <w:widowControl w:val="0"/>
        <w:numPr>
          <w:ilvl w:val="0"/>
          <w:numId w:val="10"/>
        </w:numPr>
        <w:suppressAutoHyphens/>
        <w:ind w:left="340" w:hanging="340"/>
      </w:pPr>
      <w:r>
        <w:t>wykonanie odkładu</w:t>
      </w:r>
    </w:p>
    <w:p w:rsidR="00044874" w:rsidRPr="00044874" w:rsidRDefault="00044874" w:rsidP="0097494B">
      <w:pPr>
        <w:widowControl w:val="0"/>
        <w:numPr>
          <w:ilvl w:val="0"/>
          <w:numId w:val="10"/>
        </w:numPr>
        <w:suppressAutoHyphens/>
        <w:ind w:left="340" w:hanging="340"/>
      </w:pPr>
      <w:r w:rsidRPr="00044874">
        <w:t>transport urobku z ukopu lub dokopu na miejsce wbudowania,</w:t>
      </w:r>
    </w:p>
    <w:p w:rsidR="00044874" w:rsidRDefault="00044874" w:rsidP="0097494B">
      <w:pPr>
        <w:widowControl w:val="0"/>
        <w:numPr>
          <w:ilvl w:val="0"/>
          <w:numId w:val="10"/>
        </w:numPr>
        <w:suppressAutoHyphens/>
        <w:ind w:left="340" w:hanging="340"/>
      </w:pPr>
      <w:r w:rsidRPr="00044874">
        <w:t>wbudowanie dostarczonego gruntu w nasyp,</w:t>
      </w:r>
    </w:p>
    <w:p w:rsidR="00C86DF0" w:rsidRPr="00044874" w:rsidRDefault="00C86DF0" w:rsidP="0097494B">
      <w:pPr>
        <w:widowControl w:val="0"/>
        <w:numPr>
          <w:ilvl w:val="0"/>
          <w:numId w:val="10"/>
        </w:numPr>
        <w:suppressAutoHyphens/>
        <w:ind w:left="340" w:hanging="340"/>
      </w:pPr>
      <w:r>
        <w:t>wykonanie zasypki</w:t>
      </w:r>
    </w:p>
    <w:p w:rsidR="00044874" w:rsidRPr="00044874" w:rsidRDefault="00044874" w:rsidP="0097494B">
      <w:pPr>
        <w:widowControl w:val="0"/>
        <w:numPr>
          <w:ilvl w:val="0"/>
          <w:numId w:val="10"/>
        </w:numPr>
        <w:suppressAutoHyphens/>
        <w:ind w:left="340" w:hanging="340"/>
      </w:pPr>
      <w:r w:rsidRPr="00044874">
        <w:t>zagęszczenie gruntu warstwami,</w:t>
      </w:r>
    </w:p>
    <w:p w:rsidR="00044874" w:rsidRPr="00044874" w:rsidRDefault="00044874" w:rsidP="0097494B">
      <w:pPr>
        <w:widowControl w:val="0"/>
        <w:numPr>
          <w:ilvl w:val="0"/>
          <w:numId w:val="10"/>
        </w:numPr>
        <w:suppressAutoHyphens/>
        <w:ind w:left="340" w:hanging="340"/>
      </w:pPr>
      <w:r w:rsidRPr="00044874">
        <w:t>wyprofilowanie skarp ukopu i dokopu,</w:t>
      </w:r>
    </w:p>
    <w:p w:rsidR="00044874" w:rsidRPr="00044874" w:rsidRDefault="00044874" w:rsidP="0097494B">
      <w:pPr>
        <w:widowControl w:val="0"/>
        <w:numPr>
          <w:ilvl w:val="0"/>
          <w:numId w:val="10"/>
        </w:numPr>
        <w:suppressAutoHyphens/>
        <w:ind w:left="340" w:hanging="340"/>
      </w:pPr>
      <w:r w:rsidRPr="00044874">
        <w:t>formowanie stożków</w:t>
      </w:r>
    </w:p>
    <w:p w:rsidR="00044874" w:rsidRPr="00044874" w:rsidRDefault="00044874" w:rsidP="0097494B">
      <w:pPr>
        <w:widowControl w:val="0"/>
        <w:numPr>
          <w:ilvl w:val="0"/>
          <w:numId w:val="10"/>
        </w:numPr>
        <w:suppressAutoHyphens/>
        <w:ind w:left="340" w:hanging="340"/>
      </w:pPr>
      <w:r w:rsidRPr="00044874">
        <w:t>plantowanie skarp nasypu,</w:t>
      </w:r>
    </w:p>
    <w:p w:rsidR="00044874" w:rsidRPr="00044874" w:rsidRDefault="00044874" w:rsidP="0097494B">
      <w:pPr>
        <w:widowControl w:val="0"/>
        <w:numPr>
          <w:ilvl w:val="0"/>
          <w:numId w:val="10"/>
        </w:numPr>
        <w:suppressAutoHyphens/>
        <w:ind w:left="340" w:hanging="340"/>
      </w:pPr>
      <w:r w:rsidRPr="00044874">
        <w:t>rekultywację dokopu i terenu przyległego do drogi,</w:t>
      </w:r>
    </w:p>
    <w:p w:rsidR="00044874" w:rsidRPr="00044874" w:rsidRDefault="00044874" w:rsidP="0097494B">
      <w:pPr>
        <w:widowControl w:val="0"/>
        <w:numPr>
          <w:ilvl w:val="0"/>
          <w:numId w:val="10"/>
        </w:numPr>
        <w:suppressAutoHyphens/>
        <w:ind w:left="340" w:hanging="340"/>
      </w:pPr>
      <w:r w:rsidRPr="00044874">
        <w:t>odwodnienie terenu robót,</w:t>
      </w:r>
    </w:p>
    <w:p w:rsidR="00044874" w:rsidRPr="00044874" w:rsidRDefault="00044874" w:rsidP="0097494B">
      <w:pPr>
        <w:widowControl w:val="0"/>
        <w:numPr>
          <w:ilvl w:val="0"/>
          <w:numId w:val="10"/>
        </w:numPr>
        <w:suppressAutoHyphens/>
        <w:ind w:left="340" w:hanging="340"/>
      </w:pPr>
      <w:r w:rsidRPr="00044874">
        <w:t>wykonanie dróg dojazdowych na czas budowy, a następnie ich rozebranie,</w:t>
      </w:r>
    </w:p>
    <w:p w:rsidR="00044874" w:rsidRPr="00044874" w:rsidRDefault="00044874" w:rsidP="0097494B">
      <w:pPr>
        <w:widowControl w:val="0"/>
        <w:numPr>
          <w:ilvl w:val="0"/>
          <w:numId w:val="10"/>
        </w:numPr>
        <w:tabs>
          <w:tab w:val="center" w:pos="3220"/>
        </w:tabs>
        <w:suppressAutoHyphens/>
        <w:ind w:left="340" w:hanging="340"/>
      </w:pPr>
      <w:r w:rsidRPr="00044874">
        <w:t>przeprowadzenie pomiarów i badań laboratoryjnych wymaganych w niniejszej ST.</w:t>
      </w:r>
    </w:p>
    <w:p w:rsidR="00044874" w:rsidRPr="00044874" w:rsidRDefault="00044874" w:rsidP="00044874">
      <w:pPr>
        <w:widowControl w:val="0"/>
        <w:spacing w:before="120" w:after="120"/>
        <w:rPr>
          <w:b/>
          <w:u w:val="single"/>
        </w:rPr>
      </w:pPr>
      <w:r w:rsidRPr="00044874">
        <w:rPr>
          <w:b/>
          <w:u w:val="single"/>
        </w:rPr>
        <w:t>10. PRZEPISY ZWIĄZANE</w:t>
      </w:r>
    </w:p>
    <w:p w:rsidR="00044874" w:rsidRPr="00044874" w:rsidRDefault="00044874" w:rsidP="00044874">
      <w:pPr>
        <w:widowControl w:val="0"/>
        <w:spacing w:before="120" w:after="120"/>
        <w:jc w:val="both"/>
        <w:rPr>
          <w:b/>
        </w:rPr>
      </w:pPr>
      <w:r w:rsidRPr="00044874">
        <w:rPr>
          <w:b/>
        </w:rPr>
        <w:t>10.1. Normy</w:t>
      </w:r>
    </w:p>
    <w:p w:rsidR="00044874" w:rsidRPr="00044874" w:rsidRDefault="00044874" w:rsidP="0097494B">
      <w:pPr>
        <w:numPr>
          <w:ilvl w:val="0"/>
          <w:numId w:val="3"/>
        </w:numPr>
        <w:tabs>
          <w:tab w:val="num" w:pos="360"/>
        </w:tabs>
        <w:suppressAutoHyphens/>
        <w:ind w:left="360" w:hanging="360"/>
      </w:pPr>
      <w:r w:rsidRPr="00044874">
        <w:t>PN-B-02480:1986</w:t>
      </w:r>
      <w:r w:rsidRPr="00044874">
        <w:tab/>
        <w:t>Grunty budowlane. Określenia. Symbole. Podział i opis gruntów</w:t>
      </w:r>
    </w:p>
    <w:p w:rsidR="00044874" w:rsidRPr="00044874" w:rsidRDefault="00044874" w:rsidP="0097494B">
      <w:pPr>
        <w:numPr>
          <w:ilvl w:val="0"/>
          <w:numId w:val="3"/>
        </w:numPr>
        <w:tabs>
          <w:tab w:val="num" w:pos="360"/>
        </w:tabs>
        <w:suppressAutoHyphens/>
        <w:ind w:left="360" w:hanging="360"/>
      </w:pPr>
      <w:r w:rsidRPr="00044874">
        <w:t>PN-B-04481:1988</w:t>
      </w:r>
      <w:r w:rsidRPr="00044874">
        <w:tab/>
        <w:t>Grunty budowlane. Badania próbek gruntów</w:t>
      </w:r>
    </w:p>
    <w:p w:rsidR="00044874" w:rsidRPr="00044874" w:rsidRDefault="00044874" w:rsidP="0097494B">
      <w:pPr>
        <w:numPr>
          <w:ilvl w:val="0"/>
          <w:numId w:val="3"/>
        </w:numPr>
        <w:tabs>
          <w:tab w:val="num" w:pos="360"/>
        </w:tabs>
        <w:suppressAutoHyphens/>
        <w:ind w:left="360" w:hanging="360"/>
      </w:pPr>
      <w:r w:rsidRPr="00044874">
        <w:t xml:space="preserve">PN-B-04493:1960 </w:t>
      </w:r>
      <w:r w:rsidRPr="00044874">
        <w:tab/>
        <w:t>Grunty budowlane. Oznaczanie kapilarności biernej</w:t>
      </w:r>
    </w:p>
    <w:p w:rsidR="00044874" w:rsidRPr="00044874" w:rsidRDefault="00044874" w:rsidP="0097494B">
      <w:pPr>
        <w:numPr>
          <w:ilvl w:val="0"/>
          <w:numId w:val="3"/>
        </w:numPr>
        <w:tabs>
          <w:tab w:val="num" w:pos="360"/>
        </w:tabs>
        <w:suppressAutoHyphens/>
        <w:ind w:left="360" w:hanging="360"/>
      </w:pPr>
      <w:r w:rsidRPr="00044874">
        <w:t xml:space="preserve">PN-S-02205:1998 </w:t>
      </w:r>
      <w:r w:rsidRPr="00044874">
        <w:tab/>
        <w:t>Drogi samochodowe. Roboty ziemne. Wymagania i badania</w:t>
      </w:r>
    </w:p>
    <w:p w:rsidR="00044874" w:rsidRPr="00044874" w:rsidRDefault="00044874" w:rsidP="0097494B">
      <w:pPr>
        <w:numPr>
          <w:ilvl w:val="0"/>
          <w:numId w:val="3"/>
        </w:numPr>
        <w:tabs>
          <w:tab w:val="num" w:pos="360"/>
        </w:tabs>
        <w:suppressAutoHyphens/>
        <w:ind w:left="360" w:hanging="360"/>
      </w:pPr>
      <w:r w:rsidRPr="00044874">
        <w:t>PN-ISO10318:1993</w:t>
      </w:r>
      <w:r w:rsidRPr="00044874">
        <w:tab/>
        <w:t xml:space="preserve"> Geotekstylia – Terminologia</w:t>
      </w:r>
    </w:p>
    <w:p w:rsidR="00044874" w:rsidRPr="00044874" w:rsidRDefault="00044874" w:rsidP="0097494B">
      <w:pPr>
        <w:numPr>
          <w:ilvl w:val="0"/>
          <w:numId w:val="3"/>
        </w:numPr>
        <w:tabs>
          <w:tab w:val="num" w:pos="360"/>
        </w:tabs>
        <w:suppressAutoHyphens/>
        <w:ind w:left="360" w:hanging="360"/>
      </w:pPr>
      <w:r w:rsidRPr="00044874">
        <w:t xml:space="preserve">PN-EN-963:1999 </w:t>
      </w:r>
      <w:r w:rsidRPr="00044874">
        <w:tab/>
        <w:t>Geotekstylia i wyroby pokrewne</w:t>
      </w:r>
    </w:p>
    <w:p w:rsidR="00044874" w:rsidRPr="00044874" w:rsidRDefault="00044874" w:rsidP="0097494B">
      <w:pPr>
        <w:numPr>
          <w:ilvl w:val="0"/>
          <w:numId w:val="3"/>
        </w:numPr>
        <w:tabs>
          <w:tab w:val="num" w:pos="360"/>
        </w:tabs>
        <w:suppressAutoHyphens/>
        <w:ind w:left="360" w:hanging="360"/>
      </w:pPr>
      <w:r w:rsidRPr="00044874">
        <w:t>PN-EN-932-1</w:t>
      </w:r>
      <w:r w:rsidRPr="00044874">
        <w:tab/>
        <w:t xml:space="preserve"> Badania podstawowych właściwości kruszyw. Część 1: Metody pobierania próbek</w:t>
      </w:r>
    </w:p>
    <w:p w:rsidR="00044874" w:rsidRPr="00044874" w:rsidRDefault="00044874" w:rsidP="0097494B">
      <w:pPr>
        <w:numPr>
          <w:ilvl w:val="0"/>
          <w:numId w:val="3"/>
        </w:numPr>
        <w:tabs>
          <w:tab w:val="num" w:pos="360"/>
        </w:tabs>
        <w:suppressAutoHyphens/>
        <w:ind w:left="360" w:hanging="360"/>
      </w:pPr>
      <w:r w:rsidRPr="00044874">
        <w:t>PN-EN-933-8</w:t>
      </w:r>
      <w:r w:rsidRPr="00044874">
        <w:tab/>
        <w:t xml:space="preserve"> Badania geometryczne właściwości kruszyw. Badanie wskaźnika piaskowego</w:t>
      </w:r>
    </w:p>
    <w:p w:rsidR="00044874" w:rsidRPr="00044874" w:rsidRDefault="00044874" w:rsidP="0097494B">
      <w:pPr>
        <w:numPr>
          <w:ilvl w:val="0"/>
          <w:numId w:val="3"/>
        </w:numPr>
        <w:tabs>
          <w:tab w:val="num" w:pos="360"/>
        </w:tabs>
        <w:suppressAutoHyphens/>
        <w:ind w:left="360" w:hanging="360"/>
      </w:pPr>
      <w:r w:rsidRPr="00044874">
        <w:t xml:space="preserve">BN-64/8931-02 </w:t>
      </w:r>
      <w:r w:rsidRPr="00044874">
        <w:tab/>
        <w:t>Drogi samochodowe. Oznaczenie modułu odkształcenia nawierzchni podatnych i podłoża przez obciążenie płytą</w:t>
      </w:r>
    </w:p>
    <w:p w:rsidR="00044874" w:rsidRPr="00044874" w:rsidRDefault="00044874" w:rsidP="0097494B">
      <w:pPr>
        <w:numPr>
          <w:ilvl w:val="0"/>
          <w:numId w:val="3"/>
        </w:numPr>
        <w:tabs>
          <w:tab w:val="num" w:pos="360"/>
        </w:tabs>
        <w:suppressAutoHyphens/>
        <w:ind w:left="360" w:hanging="360"/>
      </w:pPr>
      <w:r w:rsidRPr="00044874">
        <w:t xml:space="preserve">BN-77/8931-12 </w:t>
      </w:r>
      <w:r w:rsidRPr="00044874">
        <w:tab/>
        <w:t>Oznaczenie wskaźnika zagęszczenia gruntu</w:t>
      </w:r>
    </w:p>
    <w:p w:rsidR="00044874" w:rsidRPr="00044874" w:rsidRDefault="00044874" w:rsidP="0097494B">
      <w:pPr>
        <w:numPr>
          <w:ilvl w:val="0"/>
          <w:numId w:val="3"/>
        </w:numPr>
        <w:tabs>
          <w:tab w:val="num" w:pos="360"/>
        </w:tabs>
        <w:suppressAutoHyphens/>
        <w:ind w:left="360" w:hanging="360"/>
      </w:pPr>
      <w:r w:rsidRPr="00044874">
        <w:t>PN-B-1111:1996</w:t>
      </w:r>
      <w:r w:rsidRPr="00044874">
        <w:tab/>
        <w:t>Kruszywo naturalne do nawierzchni drogowych. Żwir i pospółka</w:t>
      </w:r>
    </w:p>
    <w:p w:rsidR="00044874" w:rsidRPr="00044874" w:rsidRDefault="00044874" w:rsidP="00044874">
      <w:pPr>
        <w:widowControl w:val="0"/>
        <w:spacing w:before="120" w:after="120"/>
        <w:jc w:val="both"/>
        <w:rPr>
          <w:b/>
        </w:rPr>
      </w:pPr>
      <w:r w:rsidRPr="00044874">
        <w:rPr>
          <w:b/>
        </w:rPr>
        <w:t>10.2. Inne dokumenty</w:t>
      </w:r>
    </w:p>
    <w:p w:rsidR="00044874" w:rsidRPr="00044874" w:rsidRDefault="00044874" w:rsidP="0097494B">
      <w:pPr>
        <w:numPr>
          <w:ilvl w:val="0"/>
          <w:numId w:val="3"/>
        </w:numPr>
        <w:tabs>
          <w:tab w:val="num" w:pos="360"/>
          <w:tab w:val="left" w:pos="426"/>
        </w:tabs>
        <w:suppressAutoHyphens/>
        <w:overflowPunct w:val="0"/>
        <w:autoSpaceDE w:val="0"/>
        <w:ind w:left="360" w:hanging="360"/>
        <w:jc w:val="both"/>
        <w:textAlignment w:val="baseline"/>
      </w:pPr>
      <w:r w:rsidRPr="00044874">
        <w:t>Instrukcja badań podłoża gruntowego budowli drogowych i mostowych, GDDP,Warszawa 1998.</w:t>
      </w:r>
    </w:p>
    <w:p w:rsidR="00044874" w:rsidRPr="00044874" w:rsidRDefault="00044874" w:rsidP="0097494B">
      <w:pPr>
        <w:numPr>
          <w:ilvl w:val="0"/>
          <w:numId w:val="3"/>
        </w:numPr>
        <w:tabs>
          <w:tab w:val="num" w:pos="360"/>
          <w:tab w:val="left" w:pos="426"/>
        </w:tabs>
        <w:suppressAutoHyphens/>
        <w:overflowPunct w:val="0"/>
        <w:autoSpaceDE w:val="0"/>
        <w:ind w:left="360" w:hanging="360"/>
        <w:jc w:val="both"/>
        <w:textAlignment w:val="baseline"/>
      </w:pPr>
      <w:r w:rsidRPr="00044874">
        <w:t>Katalog typowych konstrukcji nawierzchni podatnych i półsztywnych, IBDiM, Warszawa 1997.</w:t>
      </w:r>
    </w:p>
    <w:p w:rsidR="00044874" w:rsidRPr="00044874" w:rsidRDefault="00044874" w:rsidP="0097494B">
      <w:pPr>
        <w:numPr>
          <w:ilvl w:val="0"/>
          <w:numId w:val="3"/>
        </w:numPr>
        <w:tabs>
          <w:tab w:val="num" w:pos="360"/>
          <w:tab w:val="left" w:pos="426"/>
        </w:tabs>
        <w:suppressAutoHyphens/>
        <w:overflowPunct w:val="0"/>
        <w:autoSpaceDE w:val="0"/>
        <w:ind w:left="360" w:hanging="360"/>
        <w:jc w:val="both"/>
        <w:textAlignment w:val="baseline"/>
      </w:pPr>
      <w:r w:rsidRPr="00044874">
        <w:t>Wytyczne wzmacniania podłoża gruntowego w budownictwie drogowym, IBDiM, Warszawa 2002</w:t>
      </w:r>
    </w:p>
    <w:p w:rsidR="00B841B9" w:rsidRDefault="00B841B9">
      <w:pPr>
        <w:rPr>
          <w:b/>
          <w:bCs/>
          <w:szCs w:val="26"/>
        </w:rPr>
      </w:pPr>
    </w:p>
    <w:p w:rsidR="00646246" w:rsidRDefault="00646246" w:rsidP="0099453B">
      <w:pPr>
        <w:pStyle w:val="Nagwek1"/>
        <w:rPr>
          <w:bCs/>
          <w:sz w:val="28"/>
          <w:szCs w:val="28"/>
        </w:rPr>
      </w:pPr>
      <w:bookmarkStart w:id="9" w:name="_Toc343710555"/>
      <w:bookmarkStart w:id="10" w:name="_Toc340440037"/>
      <w:bookmarkStart w:id="11" w:name="_Toc327880026"/>
      <w:bookmarkStart w:id="12" w:name="_Toc290982224"/>
      <w:bookmarkStart w:id="13" w:name="_Toc505219155"/>
    </w:p>
    <w:p w:rsidR="00646246" w:rsidRDefault="00646246" w:rsidP="0099453B">
      <w:pPr>
        <w:pStyle w:val="Nagwek1"/>
        <w:rPr>
          <w:bCs/>
          <w:sz w:val="28"/>
          <w:szCs w:val="28"/>
        </w:rPr>
      </w:pPr>
    </w:p>
    <w:p w:rsidR="00646246" w:rsidRDefault="00646246" w:rsidP="0099453B">
      <w:pPr>
        <w:pStyle w:val="Nagwek1"/>
        <w:rPr>
          <w:bCs/>
          <w:sz w:val="28"/>
          <w:szCs w:val="28"/>
        </w:rPr>
      </w:pPr>
    </w:p>
    <w:p w:rsidR="00646246" w:rsidRDefault="00646246" w:rsidP="0099453B">
      <w:pPr>
        <w:pStyle w:val="Nagwek1"/>
        <w:rPr>
          <w:bCs/>
          <w:sz w:val="28"/>
          <w:szCs w:val="28"/>
        </w:rPr>
      </w:pPr>
    </w:p>
    <w:p w:rsidR="00646246" w:rsidRDefault="00646246" w:rsidP="0099453B">
      <w:pPr>
        <w:pStyle w:val="Nagwek1"/>
        <w:rPr>
          <w:bCs/>
          <w:sz w:val="28"/>
          <w:szCs w:val="28"/>
        </w:rPr>
      </w:pPr>
    </w:p>
    <w:p w:rsidR="00646246" w:rsidRDefault="00646246" w:rsidP="0099453B">
      <w:pPr>
        <w:pStyle w:val="Nagwek1"/>
        <w:rPr>
          <w:bCs/>
          <w:sz w:val="28"/>
          <w:szCs w:val="28"/>
        </w:rPr>
      </w:pPr>
    </w:p>
    <w:p w:rsidR="00646246" w:rsidRDefault="00646246" w:rsidP="0099453B">
      <w:pPr>
        <w:pStyle w:val="Nagwek1"/>
        <w:rPr>
          <w:bCs/>
          <w:sz w:val="28"/>
          <w:szCs w:val="28"/>
        </w:rPr>
      </w:pPr>
    </w:p>
    <w:p w:rsidR="00646246" w:rsidRDefault="00646246" w:rsidP="0099453B">
      <w:pPr>
        <w:pStyle w:val="Nagwek1"/>
        <w:rPr>
          <w:bCs/>
          <w:sz w:val="28"/>
          <w:szCs w:val="28"/>
        </w:rPr>
      </w:pPr>
    </w:p>
    <w:p w:rsidR="00646246" w:rsidRDefault="00646246" w:rsidP="0099453B">
      <w:pPr>
        <w:pStyle w:val="Nagwek1"/>
        <w:rPr>
          <w:bCs/>
          <w:sz w:val="28"/>
          <w:szCs w:val="28"/>
        </w:rPr>
      </w:pPr>
    </w:p>
    <w:p w:rsidR="00646246" w:rsidRDefault="00646246" w:rsidP="0099453B">
      <w:pPr>
        <w:pStyle w:val="Nagwek1"/>
        <w:rPr>
          <w:bCs/>
          <w:sz w:val="28"/>
          <w:szCs w:val="28"/>
        </w:rPr>
      </w:pPr>
    </w:p>
    <w:p w:rsidR="00646246" w:rsidRDefault="00646246" w:rsidP="0099453B">
      <w:pPr>
        <w:pStyle w:val="Nagwek1"/>
        <w:rPr>
          <w:bCs/>
          <w:sz w:val="28"/>
          <w:szCs w:val="28"/>
        </w:rPr>
      </w:pPr>
    </w:p>
    <w:p w:rsidR="00646246" w:rsidRDefault="00646246" w:rsidP="0099453B">
      <w:pPr>
        <w:pStyle w:val="Nagwek1"/>
        <w:rPr>
          <w:bCs/>
          <w:sz w:val="28"/>
          <w:szCs w:val="28"/>
        </w:rPr>
      </w:pPr>
    </w:p>
    <w:p w:rsidR="00646246" w:rsidRDefault="00646246" w:rsidP="0099453B">
      <w:pPr>
        <w:pStyle w:val="Nagwek1"/>
        <w:rPr>
          <w:bCs/>
          <w:sz w:val="28"/>
          <w:szCs w:val="28"/>
        </w:rPr>
      </w:pPr>
    </w:p>
    <w:p w:rsidR="00646246" w:rsidRDefault="00646246" w:rsidP="0099453B">
      <w:pPr>
        <w:pStyle w:val="Nagwek1"/>
        <w:rPr>
          <w:bCs/>
          <w:sz w:val="28"/>
          <w:szCs w:val="28"/>
        </w:rPr>
      </w:pPr>
    </w:p>
    <w:p w:rsidR="00646246" w:rsidRDefault="00646246" w:rsidP="0099453B">
      <w:pPr>
        <w:pStyle w:val="Nagwek1"/>
        <w:rPr>
          <w:bCs/>
          <w:sz w:val="28"/>
          <w:szCs w:val="28"/>
        </w:rPr>
      </w:pPr>
    </w:p>
    <w:p w:rsidR="00646246" w:rsidRDefault="00646246" w:rsidP="0099453B">
      <w:pPr>
        <w:pStyle w:val="Nagwek1"/>
        <w:rPr>
          <w:bCs/>
          <w:sz w:val="28"/>
          <w:szCs w:val="28"/>
        </w:rPr>
      </w:pPr>
    </w:p>
    <w:p w:rsidR="00646246" w:rsidRDefault="00646246" w:rsidP="0099453B">
      <w:pPr>
        <w:pStyle w:val="Nagwek1"/>
        <w:rPr>
          <w:bCs/>
          <w:sz w:val="28"/>
          <w:szCs w:val="28"/>
        </w:rPr>
      </w:pPr>
    </w:p>
    <w:p w:rsidR="00646246" w:rsidRDefault="00646246" w:rsidP="0099453B">
      <w:pPr>
        <w:pStyle w:val="Nagwek1"/>
        <w:rPr>
          <w:bCs/>
          <w:sz w:val="28"/>
          <w:szCs w:val="28"/>
        </w:rPr>
      </w:pPr>
    </w:p>
    <w:p w:rsidR="00646246" w:rsidRDefault="00646246" w:rsidP="0099453B">
      <w:pPr>
        <w:pStyle w:val="Nagwek1"/>
        <w:rPr>
          <w:bCs/>
          <w:sz w:val="28"/>
          <w:szCs w:val="28"/>
        </w:rPr>
      </w:pPr>
    </w:p>
    <w:p w:rsidR="00646246" w:rsidRDefault="00646246" w:rsidP="0099453B">
      <w:pPr>
        <w:pStyle w:val="Nagwek1"/>
        <w:rPr>
          <w:bCs/>
          <w:sz w:val="28"/>
          <w:szCs w:val="28"/>
        </w:rPr>
      </w:pPr>
    </w:p>
    <w:p w:rsidR="00646246" w:rsidRDefault="00646246" w:rsidP="0099453B">
      <w:pPr>
        <w:pStyle w:val="Nagwek1"/>
        <w:rPr>
          <w:bCs/>
          <w:sz w:val="28"/>
          <w:szCs w:val="28"/>
        </w:rPr>
      </w:pPr>
    </w:p>
    <w:p w:rsidR="00646246" w:rsidRDefault="00646246" w:rsidP="0099453B">
      <w:pPr>
        <w:pStyle w:val="Nagwek1"/>
        <w:rPr>
          <w:bCs/>
          <w:sz w:val="28"/>
          <w:szCs w:val="28"/>
        </w:rPr>
      </w:pPr>
    </w:p>
    <w:p w:rsidR="00646246" w:rsidRDefault="00646246" w:rsidP="0099453B">
      <w:pPr>
        <w:pStyle w:val="Nagwek1"/>
        <w:rPr>
          <w:bCs/>
          <w:sz w:val="28"/>
          <w:szCs w:val="28"/>
        </w:rPr>
      </w:pPr>
    </w:p>
    <w:p w:rsidR="00646246" w:rsidRDefault="00646246" w:rsidP="0099453B">
      <w:pPr>
        <w:pStyle w:val="Nagwek1"/>
        <w:rPr>
          <w:bCs/>
          <w:sz w:val="28"/>
          <w:szCs w:val="28"/>
        </w:rPr>
      </w:pPr>
    </w:p>
    <w:p w:rsidR="00646246" w:rsidRDefault="00646246" w:rsidP="0099453B">
      <w:pPr>
        <w:pStyle w:val="Nagwek1"/>
        <w:rPr>
          <w:bCs/>
          <w:sz w:val="28"/>
          <w:szCs w:val="28"/>
        </w:rPr>
      </w:pPr>
    </w:p>
    <w:p w:rsidR="00646246" w:rsidRDefault="00646246" w:rsidP="0099453B">
      <w:pPr>
        <w:pStyle w:val="Nagwek1"/>
        <w:rPr>
          <w:bCs/>
          <w:sz w:val="28"/>
          <w:szCs w:val="28"/>
        </w:rPr>
      </w:pPr>
    </w:p>
    <w:p w:rsidR="00646246" w:rsidRDefault="00646246" w:rsidP="0099453B">
      <w:pPr>
        <w:pStyle w:val="Nagwek1"/>
        <w:rPr>
          <w:bCs/>
          <w:sz w:val="28"/>
          <w:szCs w:val="28"/>
        </w:rPr>
      </w:pPr>
    </w:p>
    <w:p w:rsidR="00646246" w:rsidRDefault="00646246" w:rsidP="0099453B">
      <w:pPr>
        <w:pStyle w:val="Nagwek1"/>
        <w:rPr>
          <w:bCs/>
          <w:sz w:val="28"/>
          <w:szCs w:val="28"/>
        </w:rPr>
      </w:pPr>
    </w:p>
    <w:p w:rsidR="00646246" w:rsidRDefault="00646246" w:rsidP="0099453B">
      <w:pPr>
        <w:pStyle w:val="Nagwek1"/>
        <w:rPr>
          <w:bCs/>
          <w:sz w:val="28"/>
          <w:szCs w:val="28"/>
        </w:rPr>
      </w:pPr>
    </w:p>
    <w:p w:rsidR="00646246" w:rsidRDefault="00646246" w:rsidP="0099453B">
      <w:pPr>
        <w:pStyle w:val="Nagwek1"/>
        <w:rPr>
          <w:bCs/>
          <w:sz w:val="28"/>
          <w:szCs w:val="28"/>
        </w:rPr>
      </w:pPr>
    </w:p>
    <w:p w:rsidR="00646246" w:rsidRDefault="00646246" w:rsidP="0099453B">
      <w:pPr>
        <w:pStyle w:val="Nagwek1"/>
        <w:rPr>
          <w:bCs/>
          <w:sz w:val="28"/>
          <w:szCs w:val="28"/>
        </w:rPr>
      </w:pPr>
    </w:p>
    <w:p w:rsidR="00646246" w:rsidRDefault="00646246" w:rsidP="0099453B">
      <w:pPr>
        <w:pStyle w:val="Nagwek1"/>
        <w:rPr>
          <w:bCs/>
          <w:sz w:val="28"/>
          <w:szCs w:val="28"/>
        </w:rPr>
      </w:pPr>
    </w:p>
    <w:p w:rsidR="00646246" w:rsidRDefault="00646246" w:rsidP="0099453B">
      <w:pPr>
        <w:pStyle w:val="Nagwek1"/>
        <w:rPr>
          <w:bCs/>
          <w:sz w:val="28"/>
          <w:szCs w:val="28"/>
        </w:rPr>
      </w:pPr>
    </w:p>
    <w:p w:rsidR="00646246" w:rsidRDefault="00646246" w:rsidP="0099453B">
      <w:pPr>
        <w:pStyle w:val="Nagwek1"/>
        <w:rPr>
          <w:bCs/>
          <w:sz w:val="28"/>
          <w:szCs w:val="28"/>
        </w:rPr>
      </w:pPr>
    </w:p>
    <w:p w:rsidR="00123A13" w:rsidRPr="00123A13" w:rsidRDefault="00123A13" w:rsidP="00123A13"/>
    <w:p w:rsidR="00423A6C" w:rsidRPr="00B841B9" w:rsidRDefault="00423A6C" w:rsidP="00423A6C">
      <w:pPr>
        <w:snapToGrid w:val="0"/>
        <w:outlineLvl w:val="0"/>
        <w:rPr>
          <w:b/>
          <w:bCs/>
          <w:sz w:val="28"/>
          <w:szCs w:val="28"/>
        </w:rPr>
      </w:pPr>
      <w:bookmarkStart w:id="14" w:name="_Toc26910618"/>
      <w:bookmarkStart w:id="15" w:name="_Toc80100078"/>
      <w:bookmarkStart w:id="16" w:name="_Toc534701673"/>
      <w:r w:rsidRPr="00B841B9">
        <w:rPr>
          <w:b/>
          <w:bCs/>
          <w:sz w:val="28"/>
          <w:szCs w:val="28"/>
        </w:rPr>
        <w:t>M.11.04.01.</w:t>
      </w:r>
      <w:r w:rsidRPr="00B841B9">
        <w:rPr>
          <w:b/>
          <w:bCs/>
          <w:sz w:val="28"/>
          <w:szCs w:val="28"/>
        </w:rPr>
        <w:tab/>
        <w:t xml:space="preserve"> ZABEZPIECZENIE ROBÓT</w:t>
      </w:r>
      <w:bookmarkEnd w:id="14"/>
      <w:bookmarkEnd w:id="15"/>
    </w:p>
    <w:p w:rsidR="00423A6C" w:rsidRPr="00B841B9" w:rsidRDefault="00423A6C" w:rsidP="00423A6C">
      <w:pPr>
        <w:widowControl w:val="0"/>
        <w:spacing w:before="120" w:after="120"/>
        <w:jc w:val="both"/>
        <w:rPr>
          <w:b/>
          <w:noProof/>
          <w:snapToGrid w:val="0"/>
          <w:u w:val="single"/>
        </w:rPr>
      </w:pPr>
      <w:r w:rsidRPr="00B841B9">
        <w:rPr>
          <w:b/>
          <w:noProof/>
          <w:snapToGrid w:val="0"/>
          <w:u w:val="single"/>
        </w:rPr>
        <w:t>l. WST</w:t>
      </w:r>
      <w:r w:rsidRPr="00B841B9">
        <w:rPr>
          <w:rFonts w:ascii="TimesNewRoman" w:eastAsia="TimesNewRoman" w:cs="TimesNewRoman"/>
          <w:b/>
          <w:noProof/>
          <w:snapToGrid w:val="0"/>
          <w:u w:val="single"/>
        </w:rPr>
        <w:t>Ę</w:t>
      </w:r>
      <w:r w:rsidRPr="00B841B9">
        <w:rPr>
          <w:b/>
          <w:noProof/>
          <w:snapToGrid w:val="0"/>
          <w:u w:val="single"/>
        </w:rPr>
        <w:t>P</w:t>
      </w:r>
    </w:p>
    <w:p w:rsidR="00423A6C" w:rsidRPr="00B841B9" w:rsidRDefault="00423A6C" w:rsidP="00423A6C">
      <w:pPr>
        <w:rPr>
          <w:b/>
        </w:rPr>
      </w:pPr>
      <w:r w:rsidRPr="00B841B9">
        <w:rPr>
          <w:b/>
        </w:rPr>
        <w:t>1.1. Przedmiot specyfikacji technicznej</w:t>
      </w:r>
    </w:p>
    <w:p w:rsidR="00423A6C" w:rsidRPr="00B841B9" w:rsidRDefault="00423A6C" w:rsidP="00423A6C">
      <w:pPr>
        <w:autoSpaceDE w:val="0"/>
        <w:autoSpaceDN w:val="0"/>
        <w:adjustRightInd w:val="0"/>
        <w:jc w:val="both"/>
        <w:rPr>
          <w:bCs/>
          <w:snapToGrid w:val="0"/>
        </w:rPr>
      </w:pPr>
      <w:r w:rsidRPr="00B841B9">
        <w:t>Przedmiotem niniejszej ST s</w:t>
      </w:r>
      <w:r w:rsidRPr="00B841B9">
        <w:rPr>
          <w:rFonts w:ascii="TimesNewRoman" w:eastAsia="TimesNewRoman" w:cs="TimesNewRoman"/>
        </w:rPr>
        <w:t>ą</w:t>
      </w:r>
      <w:r w:rsidRPr="00B841B9">
        <w:t>wymagania dotycz</w:t>
      </w:r>
      <w:r w:rsidRPr="00B841B9">
        <w:rPr>
          <w:rFonts w:ascii="TimesNewRoman" w:eastAsia="TimesNewRoman" w:cs="TimesNewRoman"/>
        </w:rPr>
        <w:t>ą</w:t>
      </w:r>
      <w:r w:rsidRPr="00B841B9">
        <w:t xml:space="preserve">ce wykonania i odbioru zabezpieczenia robót </w:t>
      </w:r>
      <w:r w:rsidRPr="00B841B9">
        <w:rPr>
          <w:snapToGrid w:val="0"/>
        </w:rPr>
        <w:t xml:space="preserve">w ramach </w:t>
      </w:r>
      <w:r w:rsidRPr="00B841B9">
        <w:rPr>
          <w:bCs/>
          <w:snapToGrid w:val="0"/>
        </w:rPr>
        <w:t xml:space="preserve">projektu : </w:t>
      </w:r>
      <w:r>
        <w:rPr>
          <w:bCs/>
        </w:rPr>
        <w:t>"Remont przepustu nad rzeką Postomia w ciągu drogi nr 445/k.2922 m. Wędrzyn."</w:t>
      </w:r>
    </w:p>
    <w:p w:rsidR="00423A6C" w:rsidRPr="00B841B9" w:rsidRDefault="00423A6C" w:rsidP="00423A6C">
      <w:pPr>
        <w:autoSpaceDE w:val="0"/>
        <w:autoSpaceDN w:val="0"/>
        <w:adjustRightInd w:val="0"/>
        <w:jc w:val="both"/>
        <w:rPr>
          <w:b/>
        </w:rPr>
      </w:pPr>
      <w:r w:rsidRPr="00B841B9">
        <w:rPr>
          <w:b/>
        </w:rPr>
        <w:t>1.2. Zakres stosowania ST.</w:t>
      </w:r>
    </w:p>
    <w:p w:rsidR="00423A6C" w:rsidRPr="00B841B9" w:rsidRDefault="00423A6C" w:rsidP="00423A6C">
      <w:pPr>
        <w:autoSpaceDE w:val="0"/>
        <w:autoSpaceDN w:val="0"/>
        <w:adjustRightInd w:val="0"/>
        <w:jc w:val="both"/>
      </w:pPr>
      <w:r w:rsidRPr="00B841B9">
        <w:t>Specyfikacja techniczna jest stosowana jako dokument przetargowy i kontraktowy przy zlecaniu i realizacji Robót wymienionych w punkcie 1.1.</w:t>
      </w:r>
    </w:p>
    <w:p w:rsidR="00423A6C" w:rsidRPr="00B841B9" w:rsidRDefault="00423A6C" w:rsidP="00423A6C">
      <w:pPr>
        <w:rPr>
          <w:b/>
        </w:rPr>
      </w:pPr>
      <w:r w:rsidRPr="00B841B9">
        <w:rPr>
          <w:b/>
        </w:rPr>
        <w:t>1.3. Zakres robót obj</w:t>
      </w:r>
      <w:r w:rsidRPr="00B841B9">
        <w:rPr>
          <w:rFonts w:ascii="TimesNewRoman" w:eastAsia="TimesNewRoman" w:cs="TimesNewRoman"/>
          <w:b/>
        </w:rPr>
        <w:t>ę</w:t>
      </w:r>
      <w:r w:rsidRPr="00B841B9">
        <w:rPr>
          <w:b/>
        </w:rPr>
        <w:t>tych ST</w:t>
      </w:r>
    </w:p>
    <w:p w:rsidR="00423A6C" w:rsidRDefault="00423A6C" w:rsidP="00423A6C">
      <w:pPr>
        <w:autoSpaceDE w:val="0"/>
        <w:autoSpaceDN w:val="0"/>
        <w:adjustRightInd w:val="0"/>
        <w:jc w:val="both"/>
      </w:pPr>
      <w:r w:rsidRPr="00B841B9">
        <w:t>Ustalenia zawarte w niniejszej specyfikacji dotycz</w:t>
      </w:r>
      <w:r w:rsidRPr="00B841B9">
        <w:rPr>
          <w:rFonts w:ascii="TimesNewRoman" w:eastAsia="TimesNewRoman" w:cs="TimesNewRoman"/>
        </w:rPr>
        <w:t>ą</w:t>
      </w:r>
      <w:r w:rsidRPr="00B841B9">
        <w:t>prowadzenia robót zwi</w:t>
      </w:r>
      <w:r w:rsidRPr="00B841B9">
        <w:rPr>
          <w:rFonts w:ascii="TimesNewRoman" w:eastAsia="TimesNewRoman" w:cs="TimesNewRoman"/>
        </w:rPr>
        <w:t>ą</w:t>
      </w:r>
      <w:r w:rsidRPr="00B841B9">
        <w:t>zanych z:</w:t>
      </w:r>
    </w:p>
    <w:p w:rsidR="003D1001" w:rsidRDefault="003D1001" w:rsidP="00423A6C">
      <w:pPr>
        <w:autoSpaceDE w:val="0"/>
        <w:autoSpaceDN w:val="0"/>
        <w:adjustRightInd w:val="0"/>
        <w:jc w:val="both"/>
      </w:pPr>
    </w:p>
    <w:p w:rsidR="003D1001" w:rsidRDefault="003D1001" w:rsidP="00423A6C">
      <w:pPr>
        <w:autoSpaceDE w:val="0"/>
        <w:autoSpaceDN w:val="0"/>
        <w:adjustRightInd w:val="0"/>
        <w:jc w:val="both"/>
      </w:pPr>
      <w:r>
        <w:t>-</w:t>
      </w:r>
      <w:r w:rsidRPr="003D1001">
        <w:t>Wykonanie zabezpieczenia robót podcza wykonywania fundamentu, ściany czołowej i montażu przepustu  za pomocą stalowych ścianek szczelnych wyciąganych lub pozostawianych z docięciem o długości 4,0 - 6,0 m lub za pomocą płyt drogowych lub w inny sposób zależny od wykonawcy i zaakceptowany przez Inżyniera dostosowany do sposobu wykonywania robót przez Wykonawcę zapewniającą stateczność i ochronę przed wodą gruntową i wodą płynącą oraz zapewniający stateczność drogi i skarp</w:t>
      </w:r>
    </w:p>
    <w:p w:rsidR="003D1001" w:rsidRDefault="003D1001" w:rsidP="00423A6C">
      <w:pPr>
        <w:autoSpaceDE w:val="0"/>
        <w:autoSpaceDN w:val="0"/>
        <w:adjustRightInd w:val="0"/>
        <w:jc w:val="both"/>
      </w:pPr>
    </w:p>
    <w:p w:rsidR="003D1001" w:rsidRDefault="003D1001" w:rsidP="00423A6C">
      <w:pPr>
        <w:autoSpaceDE w:val="0"/>
        <w:autoSpaceDN w:val="0"/>
        <w:adjustRightInd w:val="0"/>
        <w:jc w:val="both"/>
      </w:pPr>
      <w:r>
        <w:t xml:space="preserve">- </w:t>
      </w:r>
      <w:r w:rsidRPr="003D1001">
        <w:t>Pompowanie wody na czas wykonywania robót, wydajność pomp  dostosowana do przepuszczenia wody znajdującej się w cieku w czasie Wykonywania robót oraz do napływu wód gruntowych</w:t>
      </w:r>
    </w:p>
    <w:p w:rsidR="003D1001" w:rsidRDefault="003D1001" w:rsidP="00423A6C">
      <w:pPr>
        <w:autoSpaceDE w:val="0"/>
        <w:autoSpaceDN w:val="0"/>
        <w:adjustRightInd w:val="0"/>
        <w:jc w:val="both"/>
      </w:pPr>
    </w:p>
    <w:p w:rsidR="003D1001" w:rsidRDefault="003D1001" w:rsidP="00423A6C">
      <w:pPr>
        <w:autoSpaceDE w:val="0"/>
        <w:autoSpaceDN w:val="0"/>
        <w:adjustRightInd w:val="0"/>
        <w:jc w:val="both"/>
      </w:pPr>
      <w:r>
        <w:t xml:space="preserve">- </w:t>
      </w:r>
      <w:r w:rsidRPr="003D1001">
        <w:t>Wygrodzenia koryta cieku,przełożenie cieku, wykonanie gródz wraz z ewentualnym wykonaniem bypasu lub innej konstrukcji tymczasowej , lub inny sposób zależny od Wykonawcy.</w:t>
      </w:r>
    </w:p>
    <w:p w:rsidR="00423A6C" w:rsidRPr="00B841B9" w:rsidRDefault="00423A6C" w:rsidP="00423A6C">
      <w:pPr>
        <w:jc w:val="both"/>
      </w:pPr>
    </w:p>
    <w:p w:rsidR="00423A6C" w:rsidRPr="00B841B9" w:rsidRDefault="00423A6C" w:rsidP="00423A6C">
      <w:pPr>
        <w:tabs>
          <w:tab w:val="num" w:pos="284"/>
        </w:tabs>
        <w:autoSpaceDE w:val="0"/>
        <w:autoSpaceDN w:val="0"/>
        <w:adjustRightInd w:val="0"/>
        <w:ind w:left="255" w:hanging="255"/>
        <w:jc w:val="both"/>
        <w:rPr>
          <w:b/>
        </w:rPr>
      </w:pPr>
      <w:r w:rsidRPr="00B841B9">
        <w:rPr>
          <w:b/>
        </w:rPr>
        <w:t>1.4. Określenia podstawowe.</w:t>
      </w:r>
    </w:p>
    <w:p w:rsidR="00423A6C" w:rsidRPr="00B841B9" w:rsidRDefault="00423A6C" w:rsidP="00423A6C">
      <w:pPr>
        <w:jc w:val="both"/>
      </w:pPr>
      <w:r w:rsidRPr="00B841B9">
        <w:t>Pozostałe określenia podane w niniejszej ST są zgodne z obowiązującymi odpowiednimi normami.</w:t>
      </w:r>
    </w:p>
    <w:p w:rsidR="00423A6C" w:rsidRPr="00B841B9" w:rsidRDefault="00423A6C" w:rsidP="00423A6C">
      <w:pPr>
        <w:jc w:val="both"/>
        <w:rPr>
          <w:b/>
        </w:rPr>
      </w:pPr>
      <w:r w:rsidRPr="00B841B9">
        <w:rPr>
          <w:b/>
        </w:rPr>
        <w:t>1.5 Ogólne wymagania dotyczące robot.</w:t>
      </w:r>
    </w:p>
    <w:p w:rsidR="00423A6C" w:rsidRPr="00B841B9" w:rsidRDefault="00423A6C" w:rsidP="00423A6C">
      <w:pPr>
        <w:jc w:val="both"/>
      </w:pPr>
      <w:r w:rsidRPr="00B841B9">
        <w:t xml:space="preserve">Wykonawca robót jest odpowiedzialny za jakość ich wykonania oraz za zgodność z Dokumentacją Projektową, ST i poleceniami Inżyniera. </w:t>
      </w:r>
    </w:p>
    <w:p w:rsidR="00423A6C" w:rsidRPr="00B841B9" w:rsidRDefault="00423A6C" w:rsidP="00423A6C">
      <w:pPr>
        <w:spacing w:before="120" w:after="120"/>
        <w:jc w:val="both"/>
        <w:rPr>
          <w:b/>
          <w:bCs/>
          <w:u w:val="single"/>
        </w:rPr>
      </w:pPr>
      <w:r w:rsidRPr="00B841B9">
        <w:rPr>
          <w:b/>
          <w:bCs/>
          <w:u w:val="single"/>
        </w:rPr>
        <w:t>2. MATERIAŁY</w:t>
      </w:r>
    </w:p>
    <w:p w:rsidR="00423A6C" w:rsidRPr="00B841B9" w:rsidRDefault="00423A6C" w:rsidP="00423A6C">
      <w:pPr>
        <w:jc w:val="both"/>
        <w:rPr>
          <w:b/>
        </w:rPr>
      </w:pPr>
      <w:r w:rsidRPr="00B841B9">
        <w:rPr>
          <w:b/>
        </w:rPr>
        <w:t>2.1. Ogólne wymagania dotycz</w:t>
      </w:r>
      <w:r w:rsidRPr="00B841B9">
        <w:rPr>
          <w:rFonts w:eastAsia="TimesNewRoman"/>
          <w:b/>
        </w:rPr>
        <w:t>ą</w:t>
      </w:r>
      <w:r w:rsidRPr="00B841B9">
        <w:rPr>
          <w:b/>
        </w:rPr>
        <w:t>ce materiałów.</w:t>
      </w:r>
    </w:p>
    <w:p w:rsidR="00423A6C" w:rsidRPr="00B841B9" w:rsidRDefault="00423A6C" w:rsidP="00423A6C">
      <w:pPr>
        <w:jc w:val="both"/>
      </w:pPr>
      <w:r w:rsidRPr="00B841B9">
        <w:t>Ogólne wymagania dotycz</w:t>
      </w:r>
      <w:r w:rsidRPr="00B841B9">
        <w:rPr>
          <w:rFonts w:eastAsia="TimesNewRoman"/>
        </w:rPr>
        <w:t>ą</w:t>
      </w:r>
      <w:r w:rsidR="003D1001">
        <w:t>ce materiałów podano w ST DM</w:t>
      </w:r>
      <w:r w:rsidRPr="00B841B9">
        <w:t>-00.00.00. „Wymagania ogólne”.</w:t>
      </w:r>
    </w:p>
    <w:p w:rsidR="00423A6C" w:rsidRPr="00B841B9" w:rsidRDefault="00423A6C" w:rsidP="00423A6C">
      <w:pPr>
        <w:jc w:val="both"/>
        <w:rPr>
          <w:b/>
        </w:rPr>
      </w:pPr>
      <w:r w:rsidRPr="00B841B9">
        <w:rPr>
          <w:b/>
        </w:rPr>
        <w:t xml:space="preserve">2.2. Materiały do wykonania </w:t>
      </w:r>
      <w:r w:rsidRPr="00B841B9">
        <w:rPr>
          <w:rFonts w:eastAsia="TimesNewRoman"/>
          <w:b/>
        </w:rPr>
        <w:t>ś</w:t>
      </w:r>
      <w:r w:rsidRPr="00B841B9">
        <w:rPr>
          <w:b/>
        </w:rPr>
        <w:t>cianek szczelnych.</w:t>
      </w:r>
    </w:p>
    <w:p w:rsidR="00423A6C" w:rsidRPr="00B841B9" w:rsidRDefault="00423A6C" w:rsidP="00423A6C">
      <w:pPr>
        <w:jc w:val="both"/>
      </w:pPr>
      <w:r w:rsidRPr="00B841B9">
        <w:t>Materiałami stosowanymi do wykonania robót według zasad niniejszej ST s</w:t>
      </w:r>
      <w:r w:rsidRPr="00B841B9">
        <w:rPr>
          <w:rFonts w:eastAsia="TimesNewRoman"/>
        </w:rPr>
        <w:t>ą</w:t>
      </w:r>
      <w:r w:rsidRPr="00B841B9">
        <w:t>: grodzice stalowe. Grodzice powinny mie</w:t>
      </w:r>
      <w:r w:rsidRPr="00B841B9">
        <w:rPr>
          <w:rFonts w:eastAsia="TimesNewRoman"/>
        </w:rPr>
        <w:t xml:space="preserve">ć </w:t>
      </w:r>
      <w:r w:rsidRPr="00B841B9">
        <w:t>oznaczone trudnozmywaln</w:t>
      </w:r>
      <w:r w:rsidRPr="00B841B9">
        <w:rPr>
          <w:rFonts w:eastAsia="TimesNewRoman"/>
        </w:rPr>
        <w:t>ą</w:t>
      </w:r>
      <w:r w:rsidRPr="00B841B9">
        <w:t>farb</w:t>
      </w:r>
      <w:r w:rsidRPr="00B841B9">
        <w:rPr>
          <w:rFonts w:eastAsia="TimesNewRoman"/>
        </w:rPr>
        <w:t xml:space="preserve">ą </w:t>
      </w:r>
      <w:r w:rsidRPr="00B841B9">
        <w:t>ich gabaryty, numer partii i dat</w:t>
      </w:r>
      <w:r w:rsidRPr="00B841B9">
        <w:rPr>
          <w:rFonts w:eastAsia="TimesNewRoman"/>
        </w:rPr>
        <w:t xml:space="preserve">ę </w:t>
      </w:r>
      <w:r w:rsidRPr="00B841B9">
        <w:t xml:space="preserve">produkcji. Zaleca się zastosowanie nowych grodzic ale dopuszcza się zastosowanie wcześniej używanych grodzić pod warunkiem wystarczającego stanu technicznego. Grodzice muszą uzyskać akceptację Inżyniera. Typ grodzic oraz sposób stężenia należy ustalić z Inżynierem.  </w:t>
      </w:r>
    </w:p>
    <w:p w:rsidR="00423A6C" w:rsidRPr="00B841B9" w:rsidRDefault="00423A6C" w:rsidP="00423A6C">
      <w:pPr>
        <w:jc w:val="both"/>
      </w:pPr>
      <w:r w:rsidRPr="00B841B9">
        <w:t>Dopuszcza si</w:t>
      </w:r>
      <w:r w:rsidRPr="00B841B9">
        <w:rPr>
          <w:rFonts w:eastAsia="TimesNewRoman"/>
        </w:rPr>
        <w:t xml:space="preserve">ę </w:t>
      </w:r>
      <w:r w:rsidRPr="00B841B9">
        <w:t>za zgod</w:t>
      </w:r>
      <w:r w:rsidRPr="00B841B9">
        <w:rPr>
          <w:rFonts w:eastAsia="TimesNewRoman"/>
        </w:rPr>
        <w:t xml:space="preserve">ą </w:t>
      </w:r>
      <w:r w:rsidRPr="00B841B9">
        <w:t>In</w:t>
      </w:r>
      <w:r w:rsidRPr="00B841B9">
        <w:rPr>
          <w:rFonts w:eastAsia="TimesNewRoman"/>
        </w:rPr>
        <w:t>ż</w:t>
      </w:r>
      <w:r w:rsidRPr="00B841B9">
        <w:t>yniera zastosowanie przez Wykonawc</w:t>
      </w:r>
      <w:r w:rsidRPr="00B841B9">
        <w:rPr>
          <w:rFonts w:eastAsia="TimesNewRoman"/>
        </w:rPr>
        <w:t xml:space="preserve">ę </w:t>
      </w:r>
      <w:r w:rsidRPr="00B841B9">
        <w:t xml:space="preserve">innego typu </w:t>
      </w:r>
      <w:r w:rsidRPr="00B841B9">
        <w:rPr>
          <w:rFonts w:eastAsia="TimesNewRoman"/>
        </w:rPr>
        <w:t>ś</w:t>
      </w:r>
      <w:r w:rsidRPr="00B841B9">
        <w:t>cianek szczelnych stalowych o zbliżonych parametrach u</w:t>
      </w:r>
      <w:r w:rsidRPr="00B841B9">
        <w:rPr>
          <w:rFonts w:eastAsia="TimesNewRoman"/>
        </w:rPr>
        <w:t>ż</w:t>
      </w:r>
      <w:r w:rsidRPr="00B841B9">
        <w:t>ytkowych wszystkie zmiany należy ustalić z Inżynierem.</w:t>
      </w:r>
    </w:p>
    <w:p w:rsidR="00423A6C" w:rsidRPr="00B841B9" w:rsidRDefault="00423A6C" w:rsidP="00423A6C">
      <w:pPr>
        <w:jc w:val="both"/>
      </w:pPr>
      <w:r w:rsidRPr="00B841B9">
        <w:t>Dopuszcza się także inny sposób zabezpieczenia zależny od Wykonawcy i zaakceptowany przez Inżyniera.</w:t>
      </w:r>
    </w:p>
    <w:p w:rsidR="00423A6C" w:rsidRPr="00B841B9" w:rsidRDefault="00423A6C" w:rsidP="00423A6C">
      <w:pPr>
        <w:jc w:val="both"/>
        <w:rPr>
          <w:b/>
        </w:rPr>
      </w:pPr>
      <w:r w:rsidRPr="00B841B9">
        <w:rPr>
          <w:b/>
        </w:rPr>
        <w:t>2.3. Wygrodzenia cieku</w:t>
      </w:r>
    </w:p>
    <w:p w:rsidR="00423A6C" w:rsidRDefault="00423A6C" w:rsidP="00423A6C">
      <w:pPr>
        <w:jc w:val="both"/>
      </w:pPr>
      <w:r w:rsidRPr="00B841B9">
        <w:t>Do wygrodzenia cieku należy użyć ścianek szczelnych lub gródz z worków z piaskiem</w:t>
      </w:r>
      <w:r>
        <w:t xml:space="preserve"> plus folia</w:t>
      </w:r>
      <w:r w:rsidRPr="00B841B9">
        <w:t>. Do wykonania bypassów należy użyć przepustów z dowolnego materiału</w:t>
      </w:r>
      <w:r w:rsidR="002110F5">
        <w:t xml:space="preserve"> lub innych konstrukcji tymczasowych</w:t>
      </w:r>
      <w:r w:rsidRPr="00B841B9">
        <w:t xml:space="preserve">. </w:t>
      </w:r>
      <w:r>
        <w:t xml:space="preserve">Wykonawca </w:t>
      </w:r>
      <w:r w:rsidR="002110F5">
        <w:t xml:space="preserve">powinien być </w:t>
      </w:r>
      <w:r>
        <w:t>wyposażony w pompy do wody</w:t>
      </w:r>
      <w:r w:rsidRPr="00B841B9">
        <w:t xml:space="preserve">. Dopuszcza się także inny sposób wykonania gródz i </w:t>
      </w:r>
      <w:r w:rsidR="002110F5">
        <w:t xml:space="preserve">wygrodzenienia lub </w:t>
      </w:r>
      <w:r w:rsidRPr="00B841B9">
        <w:t>prze</w:t>
      </w:r>
      <w:r w:rsidR="002110F5">
        <w:t>kładania</w:t>
      </w:r>
      <w:r w:rsidRPr="00B841B9">
        <w:t xml:space="preserve"> cieku zależny od Wykonawcy i zaakceptowany przez Inżyniera.</w:t>
      </w:r>
      <w:r w:rsidR="002110F5">
        <w:t xml:space="preserve"> </w:t>
      </w:r>
    </w:p>
    <w:p w:rsidR="00423A6C" w:rsidRDefault="00423A6C" w:rsidP="00423A6C">
      <w:pPr>
        <w:jc w:val="both"/>
        <w:rPr>
          <w:b/>
        </w:rPr>
      </w:pPr>
      <w:r w:rsidRPr="00A11638">
        <w:rPr>
          <w:b/>
        </w:rPr>
        <w:t>2.4. Drogi dojazdowe</w:t>
      </w:r>
    </w:p>
    <w:p w:rsidR="00423A6C" w:rsidRPr="00A11638" w:rsidRDefault="00423A6C" w:rsidP="00423A6C">
      <w:pPr>
        <w:jc w:val="both"/>
      </w:pPr>
      <w:r w:rsidRPr="00A11638">
        <w:t xml:space="preserve">Ewentualne materiał na Wykonanie dróg dojazdowych </w:t>
      </w:r>
      <w:r>
        <w:t>na czas Wykonywania robót jest zależny od Wykonawcy.</w:t>
      </w:r>
    </w:p>
    <w:p w:rsidR="00423A6C" w:rsidRPr="00B841B9" w:rsidRDefault="00423A6C" w:rsidP="00423A6C">
      <w:pPr>
        <w:spacing w:before="120" w:after="120"/>
        <w:rPr>
          <w:b/>
          <w:bCs/>
          <w:u w:val="single"/>
        </w:rPr>
      </w:pPr>
      <w:r w:rsidRPr="00B841B9">
        <w:rPr>
          <w:b/>
          <w:bCs/>
          <w:u w:val="single"/>
        </w:rPr>
        <w:t>3. SPRZ</w:t>
      </w:r>
      <w:r w:rsidRPr="00B841B9">
        <w:rPr>
          <w:rFonts w:ascii="TimesNewRoman" w:eastAsia="TimesNewRoman" w:cs="TimesNewRoman"/>
          <w:b/>
          <w:bCs/>
          <w:u w:val="single"/>
        </w:rPr>
        <w:t>Ę</w:t>
      </w:r>
      <w:r w:rsidRPr="00B841B9">
        <w:rPr>
          <w:b/>
          <w:bCs/>
          <w:u w:val="single"/>
        </w:rPr>
        <w:t>T</w:t>
      </w:r>
    </w:p>
    <w:p w:rsidR="00423A6C" w:rsidRPr="00B841B9" w:rsidRDefault="00423A6C" w:rsidP="00423A6C">
      <w:pPr>
        <w:autoSpaceDE w:val="0"/>
        <w:autoSpaceDN w:val="0"/>
        <w:adjustRightInd w:val="0"/>
        <w:jc w:val="both"/>
        <w:rPr>
          <w:b/>
        </w:rPr>
      </w:pPr>
      <w:r w:rsidRPr="00B841B9">
        <w:rPr>
          <w:b/>
        </w:rPr>
        <w:t>3.1. Ogólne wymagania dotyczące sprzętu</w:t>
      </w:r>
    </w:p>
    <w:p w:rsidR="00423A6C" w:rsidRPr="00B841B9" w:rsidRDefault="00423A6C" w:rsidP="00423A6C">
      <w:pPr>
        <w:autoSpaceDE w:val="0"/>
        <w:autoSpaceDN w:val="0"/>
        <w:adjustRightInd w:val="0"/>
        <w:jc w:val="both"/>
      </w:pPr>
      <w:r w:rsidRPr="00B841B9">
        <w:t>Ogólne warunki dotycz</w:t>
      </w:r>
      <w:r w:rsidRPr="00B841B9">
        <w:rPr>
          <w:rFonts w:eastAsia="TimesNewRoman"/>
        </w:rPr>
        <w:t>ą</w:t>
      </w:r>
      <w:r w:rsidR="003D1001">
        <w:t>ce sprzętu podano w ST-DM</w:t>
      </w:r>
      <w:r w:rsidRPr="00B841B9">
        <w:t>-00.00.00. „Wymagania ogólne”</w:t>
      </w:r>
    </w:p>
    <w:p w:rsidR="00423A6C" w:rsidRPr="00B841B9" w:rsidRDefault="00423A6C" w:rsidP="00423A6C">
      <w:pPr>
        <w:autoSpaceDE w:val="0"/>
        <w:autoSpaceDN w:val="0"/>
        <w:adjustRightInd w:val="0"/>
        <w:jc w:val="both"/>
        <w:rPr>
          <w:b/>
        </w:rPr>
      </w:pPr>
      <w:r w:rsidRPr="00B841B9">
        <w:rPr>
          <w:b/>
        </w:rPr>
        <w:t>3.2. Sprzęt do wbicia ścianek szczelnych lub wykonania innego zabezpieczenia i pomowania wody</w:t>
      </w:r>
    </w:p>
    <w:p w:rsidR="00423A6C" w:rsidRPr="00B841B9" w:rsidRDefault="00423A6C" w:rsidP="00423A6C">
      <w:pPr>
        <w:autoSpaceDE w:val="0"/>
        <w:autoSpaceDN w:val="0"/>
        <w:adjustRightInd w:val="0"/>
        <w:jc w:val="both"/>
      </w:pPr>
      <w:r w:rsidRPr="00B841B9">
        <w:t>Wykonawca przyst</w:t>
      </w:r>
      <w:r w:rsidRPr="00B841B9">
        <w:rPr>
          <w:rFonts w:ascii="TimesNewRoman" w:eastAsia="TimesNewRoman" w:cs="TimesNewRoman"/>
        </w:rPr>
        <w:t>ę</w:t>
      </w:r>
      <w:r w:rsidRPr="00B841B9">
        <w:t>puj</w:t>
      </w:r>
      <w:r w:rsidRPr="00B841B9">
        <w:rPr>
          <w:rFonts w:ascii="TimesNewRoman" w:eastAsia="TimesNewRoman" w:cs="TimesNewRoman"/>
        </w:rPr>
        <w:t>ą</w:t>
      </w:r>
      <w:r w:rsidRPr="00B841B9">
        <w:t>cy do robót powinien mie</w:t>
      </w:r>
      <w:r w:rsidRPr="00B841B9">
        <w:rPr>
          <w:rFonts w:ascii="TimesNewRoman" w:eastAsia="TimesNewRoman" w:cs="TimesNewRoman"/>
        </w:rPr>
        <w:t>ć</w:t>
      </w:r>
      <w:r w:rsidRPr="00B841B9">
        <w:t>do dyspozycji nast</w:t>
      </w:r>
      <w:r w:rsidRPr="00B841B9">
        <w:rPr>
          <w:rFonts w:ascii="TimesNewRoman" w:eastAsia="TimesNewRoman" w:cs="TimesNewRoman"/>
        </w:rPr>
        <w:t>ę</w:t>
      </w:r>
      <w:r w:rsidRPr="00B841B9">
        <w:t>puj</w:t>
      </w:r>
      <w:r w:rsidRPr="00B841B9">
        <w:rPr>
          <w:rFonts w:ascii="TimesNewRoman" w:eastAsia="TimesNewRoman" w:cs="TimesNewRoman"/>
        </w:rPr>
        <w:t>ą</w:t>
      </w:r>
      <w:r w:rsidRPr="00B841B9">
        <w:t>cy sprz</w:t>
      </w:r>
      <w:r w:rsidRPr="00B841B9">
        <w:rPr>
          <w:rFonts w:ascii="TimesNewRoman" w:eastAsia="TimesNewRoman" w:cs="TimesNewRoman"/>
        </w:rPr>
        <w:t>ę</w:t>
      </w:r>
      <w:r w:rsidRPr="00B841B9">
        <w:t>t:</w:t>
      </w:r>
    </w:p>
    <w:p w:rsidR="00423A6C" w:rsidRPr="00B841B9" w:rsidRDefault="00423A6C" w:rsidP="00423A6C">
      <w:pPr>
        <w:autoSpaceDE w:val="0"/>
        <w:autoSpaceDN w:val="0"/>
        <w:adjustRightInd w:val="0"/>
        <w:jc w:val="both"/>
      </w:pPr>
      <w:r w:rsidRPr="00B841B9">
        <w:t>- kafar o masie młota dostosowanej do masy,</w:t>
      </w:r>
    </w:p>
    <w:p w:rsidR="00423A6C" w:rsidRPr="00B841B9" w:rsidRDefault="00423A6C" w:rsidP="00423A6C">
      <w:pPr>
        <w:autoSpaceDE w:val="0"/>
        <w:autoSpaceDN w:val="0"/>
        <w:adjustRightInd w:val="0"/>
        <w:jc w:val="both"/>
      </w:pPr>
      <w:r w:rsidRPr="00B841B9">
        <w:t>- wibromłoty do wbijania grodzic,</w:t>
      </w:r>
    </w:p>
    <w:p w:rsidR="00423A6C" w:rsidRPr="00B841B9" w:rsidRDefault="00423A6C" w:rsidP="00423A6C">
      <w:pPr>
        <w:autoSpaceDE w:val="0"/>
        <w:autoSpaceDN w:val="0"/>
        <w:adjustRightInd w:val="0"/>
        <w:jc w:val="both"/>
      </w:pPr>
      <w:r w:rsidRPr="00B841B9">
        <w:t xml:space="preserve">- </w:t>
      </w:r>
      <w:r w:rsidRPr="00B841B9">
        <w:rPr>
          <w:rFonts w:ascii="TimesNewRoman" w:eastAsia="TimesNewRoman" w:cs="TimesNewRoman"/>
        </w:rPr>
        <w:t>ż</w:t>
      </w:r>
      <w:r w:rsidRPr="00B841B9">
        <w:t xml:space="preserve">uraw samochodowy </w:t>
      </w:r>
    </w:p>
    <w:p w:rsidR="00423A6C" w:rsidRPr="00B841B9" w:rsidRDefault="00423A6C" w:rsidP="00423A6C">
      <w:pPr>
        <w:autoSpaceDE w:val="0"/>
        <w:autoSpaceDN w:val="0"/>
        <w:adjustRightInd w:val="0"/>
        <w:jc w:val="both"/>
      </w:pPr>
      <w:r w:rsidRPr="00B841B9">
        <w:t>- spawarki elektryczne.</w:t>
      </w:r>
    </w:p>
    <w:p w:rsidR="00423A6C" w:rsidRPr="00B841B9" w:rsidRDefault="00423A6C" w:rsidP="00423A6C">
      <w:pPr>
        <w:autoSpaceDE w:val="0"/>
        <w:autoSpaceDN w:val="0"/>
        <w:adjustRightInd w:val="0"/>
        <w:jc w:val="both"/>
      </w:pPr>
      <w:r w:rsidRPr="00B841B9">
        <w:t>- koparka</w:t>
      </w:r>
    </w:p>
    <w:p w:rsidR="00423A6C" w:rsidRDefault="00423A6C" w:rsidP="00423A6C">
      <w:pPr>
        <w:autoSpaceDE w:val="0"/>
        <w:autoSpaceDN w:val="0"/>
        <w:adjustRightInd w:val="0"/>
        <w:jc w:val="both"/>
      </w:pPr>
      <w:r w:rsidRPr="00B841B9">
        <w:t>- pompy do pompowania wody</w:t>
      </w:r>
    </w:p>
    <w:p w:rsidR="00423A6C" w:rsidRPr="00B841B9" w:rsidRDefault="00423A6C" w:rsidP="00423A6C">
      <w:pPr>
        <w:autoSpaceDE w:val="0"/>
        <w:autoSpaceDN w:val="0"/>
        <w:adjustRightInd w:val="0"/>
        <w:jc w:val="both"/>
      </w:pPr>
      <w:r>
        <w:t>- równiarka</w:t>
      </w:r>
    </w:p>
    <w:p w:rsidR="00423A6C" w:rsidRPr="00B841B9" w:rsidRDefault="00423A6C" w:rsidP="00423A6C">
      <w:pPr>
        <w:spacing w:before="120" w:after="120"/>
        <w:jc w:val="both"/>
        <w:rPr>
          <w:b/>
          <w:bCs/>
          <w:u w:val="single"/>
        </w:rPr>
      </w:pPr>
      <w:r w:rsidRPr="00B841B9">
        <w:rPr>
          <w:b/>
          <w:bCs/>
          <w:u w:val="single"/>
        </w:rPr>
        <w:t>4. TRANSPORT</w:t>
      </w:r>
    </w:p>
    <w:p w:rsidR="00423A6C" w:rsidRPr="00B841B9" w:rsidRDefault="00423A6C" w:rsidP="00423A6C">
      <w:pPr>
        <w:jc w:val="both"/>
      </w:pPr>
      <w:r w:rsidRPr="00B841B9">
        <w:t>Ogólne warunki dotycz</w:t>
      </w:r>
      <w:r w:rsidRPr="00B841B9">
        <w:rPr>
          <w:rFonts w:eastAsia="TimesNewRoman"/>
        </w:rPr>
        <w:t>ą</w:t>
      </w:r>
      <w:r w:rsidR="003D1001">
        <w:t>ce transportu podano w ST-DM</w:t>
      </w:r>
      <w:r w:rsidRPr="00B841B9">
        <w:t xml:space="preserve">-00.00.00. „Wymagania ogólne”. Materiały do wykonania </w:t>
      </w:r>
      <w:r w:rsidRPr="00B841B9">
        <w:rPr>
          <w:rFonts w:eastAsia="TimesNewRoman"/>
        </w:rPr>
        <w:t>ś</w:t>
      </w:r>
      <w:r w:rsidRPr="00B841B9">
        <w:t>cianek szczelnych mog</w:t>
      </w:r>
      <w:r w:rsidRPr="00B841B9">
        <w:rPr>
          <w:rFonts w:eastAsia="TimesNewRoman"/>
        </w:rPr>
        <w:t xml:space="preserve">ą </w:t>
      </w:r>
      <w:r w:rsidRPr="00B841B9">
        <w:t>by</w:t>
      </w:r>
      <w:r w:rsidRPr="00B841B9">
        <w:rPr>
          <w:rFonts w:eastAsia="TimesNewRoman"/>
        </w:rPr>
        <w:t xml:space="preserve">ć </w:t>
      </w:r>
      <w:r w:rsidRPr="00B841B9">
        <w:t>przewo</w:t>
      </w:r>
      <w:r w:rsidRPr="00B841B9">
        <w:rPr>
          <w:rFonts w:eastAsia="TimesNewRoman"/>
        </w:rPr>
        <w:t>ż</w:t>
      </w:r>
      <w:r w:rsidRPr="00B841B9">
        <w:t xml:space="preserve">one dowolnymi </w:t>
      </w:r>
      <w:r w:rsidRPr="00B841B9">
        <w:rPr>
          <w:rFonts w:eastAsia="TimesNewRoman"/>
        </w:rPr>
        <w:t>ś</w:t>
      </w:r>
      <w:r w:rsidRPr="00B841B9">
        <w:t>rodkami transportu. Nale</w:t>
      </w:r>
      <w:r w:rsidRPr="00B841B9">
        <w:rPr>
          <w:rFonts w:eastAsia="TimesNewRoman"/>
        </w:rPr>
        <w:t>ż</w:t>
      </w:r>
      <w:r w:rsidRPr="00B841B9">
        <w:t>y umie</w:t>
      </w:r>
      <w:r w:rsidRPr="00B841B9">
        <w:rPr>
          <w:rFonts w:eastAsia="TimesNewRoman"/>
        </w:rPr>
        <w:t>ś</w:t>
      </w:r>
      <w:r w:rsidRPr="00B841B9">
        <w:t>ci</w:t>
      </w:r>
      <w:r w:rsidRPr="00B841B9">
        <w:rPr>
          <w:rFonts w:eastAsia="TimesNewRoman"/>
        </w:rPr>
        <w:t xml:space="preserve">ć </w:t>
      </w:r>
      <w:r w:rsidRPr="00B841B9">
        <w:t>je równomiernie na całej powierzchni ładunkowej i zabezpieczy</w:t>
      </w:r>
      <w:r w:rsidRPr="00B841B9">
        <w:rPr>
          <w:rFonts w:eastAsia="TimesNewRoman"/>
        </w:rPr>
        <w:t xml:space="preserve">ć </w:t>
      </w:r>
      <w:r w:rsidRPr="00B841B9">
        <w:t>przed spadaniem lub przesuwaniem.</w:t>
      </w:r>
    </w:p>
    <w:p w:rsidR="00423A6C" w:rsidRPr="00B841B9" w:rsidRDefault="00423A6C" w:rsidP="00423A6C">
      <w:r w:rsidRPr="00B841B9">
        <w:t>Transport powinien zapewni</w:t>
      </w:r>
      <w:r w:rsidRPr="00B841B9">
        <w:rPr>
          <w:rFonts w:eastAsia="TimesNewRoman"/>
        </w:rPr>
        <w:t>ć</w:t>
      </w:r>
      <w:r w:rsidRPr="00B841B9">
        <w:t>:</w:t>
      </w:r>
    </w:p>
    <w:p w:rsidR="00423A6C" w:rsidRPr="00B841B9" w:rsidRDefault="00423A6C" w:rsidP="00423A6C">
      <w:pPr>
        <w:autoSpaceDE w:val="0"/>
        <w:autoSpaceDN w:val="0"/>
        <w:adjustRightInd w:val="0"/>
        <w:jc w:val="both"/>
      </w:pPr>
      <w:r w:rsidRPr="00B841B9">
        <w:t>- stabilno</w:t>
      </w:r>
      <w:r w:rsidRPr="00B841B9">
        <w:rPr>
          <w:rFonts w:ascii="TimesNewRoman" w:eastAsia="TimesNewRoman" w:cs="TimesNewRoman"/>
        </w:rPr>
        <w:t>ść</w:t>
      </w:r>
      <w:r w:rsidRPr="00B841B9">
        <w:t>pozycji załadowanych materiałów,</w:t>
      </w:r>
    </w:p>
    <w:p w:rsidR="00423A6C" w:rsidRPr="00B841B9" w:rsidRDefault="00423A6C" w:rsidP="00423A6C">
      <w:pPr>
        <w:autoSpaceDE w:val="0"/>
        <w:autoSpaceDN w:val="0"/>
        <w:adjustRightInd w:val="0"/>
        <w:jc w:val="both"/>
      </w:pPr>
      <w:r w:rsidRPr="00B841B9">
        <w:t>- zabezpieczenie grodzic przed ich uszkodzeniem,</w:t>
      </w:r>
    </w:p>
    <w:p w:rsidR="00423A6C" w:rsidRPr="00B841B9" w:rsidRDefault="00423A6C" w:rsidP="00423A6C">
      <w:pPr>
        <w:autoSpaceDE w:val="0"/>
        <w:autoSpaceDN w:val="0"/>
        <w:adjustRightInd w:val="0"/>
        <w:jc w:val="both"/>
      </w:pPr>
      <w:r w:rsidRPr="00B841B9">
        <w:t>- kontrol</w:t>
      </w:r>
      <w:r w:rsidRPr="00B841B9">
        <w:rPr>
          <w:rFonts w:ascii="TimesNewRoman" w:eastAsia="TimesNewRoman" w:cs="TimesNewRoman"/>
        </w:rPr>
        <w:t>ę</w:t>
      </w:r>
      <w:r w:rsidRPr="00B841B9">
        <w:t>załadunku i wyładunku.</w:t>
      </w:r>
    </w:p>
    <w:p w:rsidR="00423A6C" w:rsidRPr="00B841B9" w:rsidRDefault="00423A6C" w:rsidP="00423A6C">
      <w:pPr>
        <w:autoSpaceDE w:val="0"/>
        <w:autoSpaceDN w:val="0"/>
        <w:adjustRightInd w:val="0"/>
        <w:jc w:val="both"/>
      </w:pPr>
      <w:r w:rsidRPr="00B841B9">
        <w:t>Grodzice nale</w:t>
      </w:r>
      <w:r w:rsidRPr="00B841B9">
        <w:rPr>
          <w:rFonts w:ascii="TimesNewRoman" w:eastAsia="TimesNewRoman" w:cs="TimesNewRoman"/>
        </w:rPr>
        <w:t>ż</w:t>
      </w:r>
      <w:r w:rsidRPr="00B841B9">
        <w:t>y układa</w:t>
      </w:r>
      <w:r w:rsidRPr="00B841B9">
        <w:rPr>
          <w:rFonts w:ascii="TimesNewRoman" w:eastAsia="TimesNewRoman" w:cs="TimesNewRoman"/>
        </w:rPr>
        <w:t>ć</w:t>
      </w:r>
      <w:r w:rsidRPr="00B841B9">
        <w:t>równomiernie na całej powierzchni ładunkowej.</w:t>
      </w:r>
    </w:p>
    <w:p w:rsidR="00423A6C" w:rsidRPr="00B841B9" w:rsidRDefault="00423A6C" w:rsidP="00423A6C">
      <w:pPr>
        <w:autoSpaceDE w:val="0"/>
        <w:autoSpaceDN w:val="0"/>
        <w:adjustRightInd w:val="0"/>
        <w:jc w:val="both"/>
        <w:rPr>
          <w:sz w:val="10"/>
          <w:szCs w:val="10"/>
        </w:rPr>
      </w:pPr>
    </w:p>
    <w:p w:rsidR="00423A6C" w:rsidRPr="00B841B9" w:rsidRDefault="00423A6C" w:rsidP="00423A6C">
      <w:pPr>
        <w:autoSpaceDE w:val="0"/>
        <w:autoSpaceDN w:val="0"/>
        <w:adjustRightInd w:val="0"/>
        <w:spacing w:line="360" w:lineRule="auto"/>
        <w:jc w:val="both"/>
        <w:rPr>
          <w:b/>
          <w:bCs/>
          <w:u w:val="single"/>
        </w:rPr>
      </w:pPr>
      <w:r w:rsidRPr="00B841B9">
        <w:rPr>
          <w:b/>
          <w:bCs/>
          <w:u w:val="single"/>
        </w:rPr>
        <w:t>5. WYKONANIE ROBÓT</w:t>
      </w:r>
    </w:p>
    <w:p w:rsidR="00423A6C" w:rsidRPr="00B841B9" w:rsidRDefault="00423A6C" w:rsidP="00423A6C">
      <w:pPr>
        <w:jc w:val="both"/>
        <w:rPr>
          <w:b/>
        </w:rPr>
      </w:pPr>
      <w:r w:rsidRPr="00B841B9">
        <w:rPr>
          <w:b/>
        </w:rPr>
        <w:t>5.1. Ogólne zasady wykonania robót.</w:t>
      </w:r>
    </w:p>
    <w:p w:rsidR="00423A6C" w:rsidRPr="00B841B9" w:rsidRDefault="00423A6C" w:rsidP="00423A6C">
      <w:pPr>
        <w:jc w:val="both"/>
      </w:pPr>
      <w:r w:rsidRPr="00B841B9">
        <w:t xml:space="preserve">Ogólne zasady wykonania </w:t>
      </w:r>
      <w:r w:rsidR="003D1001">
        <w:t>robót podano w ST-DM</w:t>
      </w:r>
      <w:r w:rsidRPr="00B841B9">
        <w:t>-00.00.00. „Wymagania ogólne”. Wykonawca przedstawi In</w:t>
      </w:r>
      <w:r w:rsidRPr="00B841B9">
        <w:rPr>
          <w:rFonts w:eastAsia="TimesNewRoman"/>
        </w:rPr>
        <w:t>ż</w:t>
      </w:r>
      <w:r w:rsidRPr="00B841B9">
        <w:t>ynierowi do akceptacji projekt organizacji i harmonogram robót uwzgl</w:t>
      </w:r>
      <w:r w:rsidRPr="00B841B9">
        <w:rPr>
          <w:rFonts w:eastAsia="TimesNewRoman"/>
        </w:rPr>
        <w:t>ę</w:t>
      </w:r>
      <w:r w:rsidRPr="00B841B9">
        <w:t>dniaj</w:t>
      </w:r>
      <w:r w:rsidRPr="00B841B9">
        <w:rPr>
          <w:rFonts w:eastAsia="TimesNewRoman"/>
        </w:rPr>
        <w:t>ą</w:t>
      </w:r>
      <w:r w:rsidRPr="00B841B9">
        <w:t>cy warunki w jakich b</w:t>
      </w:r>
      <w:r w:rsidRPr="00B841B9">
        <w:rPr>
          <w:rFonts w:eastAsia="TimesNewRoman"/>
        </w:rPr>
        <w:t>ę</w:t>
      </w:r>
      <w:r w:rsidRPr="00B841B9">
        <w:t xml:space="preserve">dzie wykonywana </w:t>
      </w:r>
      <w:r w:rsidRPr="00B841B9">
        <w:rPr>
          <w:rFonts w:eastAsia="TimesNewRoman"/>
        </w:rPr>
        <w:t>ś</w:t>
      </w:r>
      <w:r w:rsidRPr="00B841B9">
        <w:t>cianka szczelna. W projekcie tym winny by</w:t>
      </w:r>
      <w:r w:rsidRPr="00B841B9">
        <w:rPr>
          <w:rFonts w:eastAsia="TimesNewRoman"/>
        </w:rPr>
        <w:t xml:space="preserve">ć </w:t>
      </w:r>
      <w:r w:rsidRPr="00B841B9">
        <w:t xml:space="preserve">zawarte rysunki robocze </w:t>
      </w:r>
      <w:r w:rsidRPr="00B841B9">
        <w:rPr>
          <w:rFonts w:eastAsia="TimesNewRoman"/>
        </w:rPr>
        <w:t>ś</w:t>
      </w:r>
      <w:r w:rsidRPr="00B841B9">
        <w:t>cianki oraz ewentualnych pomostów roboczych.</w:t>
      </w:r>
    </w:p>
    <w:p w:rsidR="00423A6C" w:rsidRPr="00B841B9" w:rsidRDefault="00423A6C" w:rsidP="00423A6C">
      <w:pPr>
        <w:rPr>
          <w:b/>
        </w:rPr>
      </w:pPr>
      <w:r w:rsidRPr="00B841B9">
        <w:rPr>
          <w:b/>
        </w:rPr>
        <w:t xml:space="preserve">5.2. Tolerancje wykonania </w:t>
      </w:r>
      <w:r w:rsidRPr="00B841B9">
        <w:rPr>
          <w:rFonts w:eastAsia="TimesNewRoman"/>
          <w:b/>
        </w:rPr>
        <w:t>ś</w:t>
      </w:r>
      <w:r w:rsidRPr="00B841B9">
        <w:rPr>
          <w:b/>
        </w:rPr>
        <w:t>cianki.</w:t>
      </w:r>
    </w:p>
    <w:p w:rsidR="00423A6C" w:rsidRPr="00B841B9" w:rsidRDefault="00423A6C" w:rsidP="00423A6C">
      <w:r w:rsidRPr="00B841B9">
        <w:t>Dopuszczalne odchyłki w wykonaniu wynosz</w:t>
      </w:r>
      <w:r w:rsidRPr="00B841B9">
        <w:rPr>
          <w:rFonts w:eastAsia="TimesNewRoman"/>
        </w:rPr>
        <w:t xml:space="preserve">ą </w:t>
      </w:r>
      <w:r w:rsidRPr="00B841B9">
        <w:t>w wymiarach w planie ± 10 cm .</w:t>
      </w:r>
    </w:p>
    <w:p w:rsidR="00423A6C" w:rsidRPr="00B841B9" w:rsidRDefault="00423A6C" w:rsidP="00423A6C">
      <w:pPr>
        <w:autoSpaceDE w:val="0"/>
        <w:autoSpaceDN w:val="0"/>
        <w:adjustRightInd w:val="0"/>
        <w:jc w:val="both"/>
        <w:rPr>
          <w:b/>
        </w:rPr>
      </w:pPr>
      <w:r w:rsidRPr="00B841B9">
        <w:rPr>
          <w:b/>
        </w:rPr>
        <w:t xml:space="preserve">5.3. Wbijanie </w:t>
      </w:r>
      <w:r w:rsidRPr="00B841B9">
        <w:rPr>
          <w:rFonts w:ascii="TimesNewRoman" w:eastAsia="TimesNewRoman" w:cs="TimesNewRoman"/>
          <w:b/>
        </w:rPr>
        <w:t>ś</w:t>
      </w:r>
      <w:r w:rsidRPr="00B841B9">
        <w:rPr>
          <w:b/>
        </w:rPr>
        <w:t>cianek szczelnych</w:t>
      </w:r>
    </w:p>
    <w:p w:rsidR="00423A6C" w:rsidRPr="00B841B9" w:rsidRDefault="00423A6C" w:rsidP="00423A6C">
      <w:pPr>
        <w:autoSpaceDE w:val="0"/>
        <w:autoSpaceDN w:val="0"/>
        <w:adjustRightInd w:val="0"/>
        <w:jc w:val="both"/>
      </w:pPr>
      <w:r w:rsidRPr="00B841B9">
        <w:t xml:space="preserve">Brusy stalowej </w:t>
      </w:r>
      <w:r w:rsidRPr="00B841B9">
        <w:rPr>
          <w:rFonts w:ascii="TimesNewRoman" w:eastAsia="TimesNewRoman" w:cs="TimesNewRoman"/>
        </w:rPr>
        <w:t>ś</w:t>
      </w:r>
      <w:r w:rsidRPr="00B841B9">
        <w:t>cianki szczelnej wbija si</w:t>
      </w:r>
      <w:r w:rsidRPr="00B841B9">
        <w:rPr>
          <w:rFonts w:ascii="TimesNewRoman" w:eastAsia="TimesNewRoman" w:cs="TimesNewRoman"/>
        </w:rPr>
        <w:t>ę</w:t>
      </w:r>
      <w:r w:rsidRPr="00B841B9">
        <w:t>zawsze parami, przy czym ł</w:t>
      </w:r>
      <w:r w:rsidRPr="00B841B9">
        <w:rPr>
          <w:rFonts w:ascii="TimesNewRoman" w:eastAsia="TimesNewRoman" w:cs="TimesNewRoman"/>
        </w:rPr>
        <w:t>ą</w:t>
      </w:r>
      <w:r w:rsidRPr="00B841B9">
        <w:t>czenie brusów na zamek (nanizywania)</w:t>
      </w:r>
    </w:p>
    <w:p w:rsidR="00423A6C" w:rsidRPr="00B841B9" w:rsidRDefault="00423A6C" w:rsidP="00423A6C">
      <w:pPr>
        <w:autoSpaceDE w:val="0"/>
        <w:autoSpaceDN w:val="0"/>
        <w:adjustRightInd w:val="0"/>
        <w:jc w:val="both"/>
      </w:pPr>
      <w:r w:rsidRPr="00B841B9">
        <w:t>wykonuje si</w:t>
      </w:r>
      <w:r w:rsidRPr="00B841B9">
        <w:rPr>
          <w:rFonts w:ascii="TimesNewRoman" w:eastAsia="TimesNewRoman" w:cs="TimesNewRoman"/>
        </w:rPr>
        <w:t>ę</w:t>
      </w:r>
      <w:r w:rsidRPr="00B841B9">
        <w:t>zawczasu na placu budowy zwykle w pewnej odległo</w:t>
      </w:r>
      <w:r w:rsidRPr="00B841B9">
        <w:rPr>
          <w:rFonts w:ascii="TimesNewRoman" w:eastAsia="TimesNewRoman" w:cs="TimesNewRoman"/>
        </w:rPr>
        <w:t>ś</w:t>
      </w:r>
      <w:r w:rsidRPr="00B841B9">
        <w:t>ci od miejsca wbijania. Para zł</w:t>
      </w:r>
      <w:r w:rsidRPr="00B841B9">
        <w:rPr>
          <w:rFonts w:ascii="TimesNewRoman" w:eastAsia="TimesNewRoman" w:cs="TimesNewRoman"/>
        </w:rPr>
        <w:t>ą</w:t>
      </w:r>
      <w:r w:rsidRPr="00B841B9">
        <w:t>czonych</w:t>
      </w:r>
    </w:p>
    <w:p w:rsidR="00423A6C" w:rsidRPr="00B841B9" w:rsidRDefault="00423A6C" w:rsidP="00423A6C">
      <w:pPr>
        <w:autoSpaceDE w:val="0"/>
        <w:autoSpaceDN w:val="0"/>
        <w:adjustRightInd w:val="0"/>
        <w:jc w:val="both"/>
      </w:pPr>
      <w:r w:rsidRPr="00B841B9">
        <w:t>brusów przywo</w:t>
      </w:r>
      <w:r w:rsidRPr="00B841B9">
        <w:rPr>
          <w:rFonts w:ascii="TimesNewRoman" w:eastAsia="TimesNewRoman" w:cs="TimesNewRoman"/>
        </w:rPr>
        <w:t>ż</w:t>
      </w:r>
      <w:r w:rsidRPr="00B841B9">
        <w:t>ona jest pod kafar i podnoszona jako cało</w:t>
      </w:r>
      <w:r w:rsidRPr="00B841B9">
        <w:rPr>
          <w:rFonts w:ascii="TimesNewRoman" w:eastAsia="TimesNewRoman" w:cs="TimesNewRoman"/>
        </w:rPr>
        <w:t>ść</w:t>
      </w:r>
      <w:r w:rsidRPr="00B841B9">
        <w:t>. Kafar wbija brusy zawsze poprzez specjalny kołpak umieszczony na głowicach zł</w:t>
      </w:r>
      <w:r w:rsidRPr="00B841B9">
        <w:rPr>
          <w:rFonts w:ascii="TimesNewRoman" w:eastAsia="TimesNewRoman" w:cs="TimesNewRoman"/>
        </w:rPr>
        <w:t>ą</w:t>
      </w:r>
      <w:r w:rsidRPr="00B841B9">
        <w:t xml:space="preserve">czonych brusów. Do wbijania stalowych </w:t>
      </w:r>
      <w:r w:rsidRPr="00B841B9">
        <w:rPr>
          <w:rFonts w:ascii="TimesNewRoman" w:eastAsia="TimesNewRoman" w:cs="TimesNewRoman"/>
        </w:rPr>
        <w:t>ś</w:t>
      </w:r>
      <w:r w:rsidRPr="00B841B9">
        <w:t>cianek szczelnych u</w:t>
      </w:r>
      <w:r w:rsidRPr="00B841B9">
        <w:rPr>
          <w:rFonts w:ascii="TimesNewRoman" w:eastAsia="TimesNewRoman" w:cs="TimesNewRoman"/>
        </w:rPr>
        <w:t>ż</w:t>
      </w:r>
      <w:r w:rsidRPr="00B841B9">
        <w:t>ywa si</w:t>
      </w:r>
      <w:r w:rsidRPr="00B841B9">
        <w:rPr>
          <w:rFonts w:ascii="TimesNewRoman" w:eastAsia="TimesNewRoman" w:cs="TimesNewRoman"/>
        </w:rPr>
        <w:t>ę</w:t>
      </w:r>
      <w:r w:rsidRPr="00B841B9">
        <w:t>ci</w:t>
      </w:r>
      <w:r w:rsidRPr="00B841B9">
        <w:rPr>
          <w:rFonts w:ascii="TimesNewRoman" w:eastAsia="TimesNewRoman" w:cs="TimesNewRoman"/>
        </w:rPr>
        <w:t>ęż</w:t>
      </w:r>
      <w:r w:rsidRPr="00B841B9">
        <w:t>kich kafarów z młotami szybkobij</w:t>
      </w:r>
      <w:r w:rsidRPr="00B841B9">
        <w:rPr>
          <w:rFonts w:ascii="TimesNewRoman" w:eastAsia="TimesNewRoman" w:cs="TimesNewRoman"/>
        </w:rPr>
        <w:t>ą</w:t>
      </w:r>
      <w:r w:rsidRPr="00B841B9">
        <w:t>cymi lub wibromłotów. Podpłukiwanie strumieniem wody pod ci</w:t>
      </w:r>
      <w:r w:rsidRPr="00B841B9">
        <w:rPr>
          <w:rFonts w:ascii="TimesNewRoman" w:eastAsia="TimesNewRoman" w:cs="TimesNewRoman"/>
        </w:rPr>
        <w:t>ś</w:t>
      </w:r>
      <w:r w:rsidRPr="00B841B9">
        <w:t>nieniem mo</w:t>
      </w:r>
      <w:r w:rsidRPr="00B841B9">
        <w:rPr>
          <w:rFonts w:ascii="TimesNewRoman" w:eastAsia="TimesNewRoman" w:cs="TimesNewRoman"/>
        </w:rPr>
        <w:t>ż</w:t>
      </w:r>
      <w:r w:rsidRPr="00B841B9">
        <w:t>e ułatwi</w:t>
      </w:r>
      <w:r w:rsidRPr="00B841B9">
        <w:rPr>
          <w:rFonts w:ascii="TimesNewRoman" w:eastAsia="TimesNewRoman" w:cs="TimesNewRoman"/>
        </w:rPr>
        <w:t>ć</w:t>
      </w:r>
      <w:r w:rsidRPr="00B841B9">
        <w:t>i przy</w:t>
      </w:r>
      <w:r w:rsidRPr="00B841B9">
        <w:rPr>
          <w:rFonts w:ascii="TimesNewRoman" w:eastAsia="TimesNewRoman" w:cs="TimesNewRoman"/>
        </w:rPr>
        <w:t>ś</w:t>
      </w:r>
      <w:r w:rsidRPr="00B841B9">
        <w:t>pieszy</w:t>
      </w:r>
      <w:r w:rsidRPr="00B841B9">
        <w:rPr>
          <w:rFonts w:ascii="TimesNewRoman" w:eastAsia="TimesNewRoman" w:cs="TimesNewRoman"/>
        </w:rPr>
        <w:t>ć</w:t>
      </w:r>
      <w:r w:rsidRPr="00B841B9">
        <w:t xml:space="preserve">wbijanie </w:t>
      </w:r>
      <w:r w:rsidRPr="00B841B9">
        <w:rPr>
          <w:rFonts w:ascii="TimesNewRoman" w:eastAsia="TimesNewRoman" w:cs="TimesNewRoman"/>
        </w:rPr>
        <w:t>ś</w:t>
      </w:r>
      <w:r w:rsidRPr="00B841B9">
        <w:t>cianki stalowej.</w:t>
      </w:r>
    </w:p>
    <w:p w:rsidR="00423A6C" w:rsidRPr="00B841B9" w:rsidRDefault="00423A6C" w:rsidP="00423A6C">
      <w:pPr>
        <w:autoSpaceDE w:val="0"/>
        <w:autoSpaceDN w:val="0"/>
        <w:adjustRightInd w:val="0"/>
        <w:jc w:val="both"/>
      </w:pPr>
      <w:r w:rsidRPr="00B841B9">
        <w:t>Przed wbiciem zamek, ł</w:t>
      </w:r>
      <w:r w:rsidRPr="00B841B9">
        <w:rPr>
          <w:rFonts w:ascii="TimesNewRoman" w:eastAsia="TimesNewRoman" w:cs="TimesNewRoman"/>
        </w:rPr>
        <w:t>ą</w:t>
      </w:r>
      <w:r w:rsidRPr="00B841B9">
        <w:t>cz</w:t>
      </w:r>
      <w:r w:rsidRPr="00B841B9">
        <w:rPr>
          <w:rFonts w:ascii="TimesNewRoman" w:eastAsia="TimesNewRoman" w:cs="TimesNewRoman"/>
        </w:rPr>
        <w:t>ą</w:t>
      </w:r>
      <w:r w:rsidRPr="00B841B9">
        <w:t>cy dwa elementy , nale</w:t>
      </w:r>
      <w:r w:rsidRPr="00B841B9">
        <w:rPr>
          <w:rFonts w:ascii="TimesNewRoman" w:eastAsia="TimesNewRoman" w:cs="TimesNewRoman"/>
        </w:rPr>
        <w:t>ż</w:t>
      </w:r>
      <w:r w:rsidRPr="00B841B9">
        <w:t>y zacisn</w:t>
      </w:r>
      <w:r w:rsidRPr="00B841B9">
        <w:rPr>
          <w:rFonts w:ascii="TimesNewRoman" w:eastAsia="TimesNewRoman" w:cs="TimesNewRoman"/>
        </w:rPr>
        <w:t>ąć</w:t>
      </w:r>
      <w:r w:rsidRPr="00B841B9">
        <w:t>, aby uniemo</w:t>
      </w:r>
      <w:r w:rsidRPr="00B841B9">
        <w:rPr>
          <w:rFonts w:ascii="TimesNewRoman" w:eastAsia="TimesNewRoman" w:cs="TimesNewRoman"/>
        </w:rPr>
        <w:t>ż</w:t>
      </w:r>
      <w:r w:rsidRPr="00B841B9">
        <w:t>liwi</w:t>
      </w:r>
      <w:r w:rsidRPr="00B841B9">
        <w:rPr>
          <w:rFonts w:ascii="TimesNewRoman" w:eastAsia="TimesNewRoman" w:cs="TimesNewRoman"/>
        </w:rPr>
        <w:t>ć</w:t>
      </w:r>
      <w:r w:rsidRPr="00B841B9">
        <w:t>ich rozł</w:t>
      </w:r>
      <w:r w:rsidRPr="00B841B9">
        <w:rPr>
          <w:rFonts w:ascii="TimesNewRoman" w:eastAsia="TimesNewRoman" w:cs="TimesNewRoman"/>
        </w:rPr>
        <w:t>ą</w:t>
      </w:r>
      <w:r w:rsidRPr="00B841B9">
        <w:t>czenie w czasie</w:t>
      </w:r>
    </w:p>
    <w:p w:rsidR="00423A6C" w:rsidRPr="00B841B9" w:rsidRDefault="00423A6C" w:rsidP="00423A6C">
      <w:pPr>
        <w:autoSpaceDE w:val="0"/>
        <w:autoSpaceDN w:val="0"/>
        <w:adjustRightInd w:val="0"/>
        <w:jc w:val="both"/>
      </w:pPr>
      <w:r w:rsidRPr="00B841B9">
        <w:t xml:space="preserve">wbijania. </w:t>
      </w:r>
      <w:r w:rsidRPr="00B841B9">
        <w:rPr>
          <w:rFonts w:ascii="TimesNewRoman" w:eastAsia="TimesNewRoman" w:cs="TimesNewRoman"/>
        </w:rPr>
        <w:t>Ś</w:t>
      </w:r>
      <w:r w:rsidRPr="00B841B9">
        <w:t>ciank</w:t>
      </w:r>
      <w:r w:rsidRPr="00B841B9">
        <w:rPr>
          <w:rFonts w:ascii="TimesNewRoman" w:eastAsia="TimesNewRoman" w:cs="TimesNewRoman"/>
        </w:rPr>
        <w:t>ą</w:t>
      </w:r>
      <w:r w:rsidRPr="00B841B9">
        <w:t>stalow</w:t>
      </w:r>
      <w:r w:rsidRPr="00B841B9">
        <w:rPr>
          <w:rFonts w:ascii="TimesNewRoman" w:eastAsia="TimesNewRoman" w:cs="TimesNewRoman"/>
        </w:rPr>
        <w:t>ą</w:t>
      </w:r>
      <w:r w:rsidRPr="00B841B9">
        <w:t>mo</w:t>
      </w:r>
      <w:r w:rsidRPr="00B841B9">
        <w:rPr>
          <w:rFonts w:ascii="TimesNewRoman" w:eastAsia="TimesNewRoman" w:cs="TimesNewRoman"/>
        </w:rPr>
        <w:t>ż</w:t>
      </w:r>
      <w:r w:rsidRPr="00B841B9">
        <w:t>na przebi</w:t>
      </w:r>
      <w:r w:rsidRPr="00B841B9">
        <w:rPr>
          <w:rFonts w:ascii="TimesNewRoman" w:eastAsia="TimesNewRoman" w:cs="TimesNewRoman"/>
        </w:rPr>
        <w:t>ć</w:t>
      </w:r>
      <w:r w:rsidRPr="00B841B9">
        <w:t>si</w:t>
      </w:r>
      <w:r w:rsidRPr="00B841B9">
        <w:rPr>
          <w:rFonts w:ascii="TimesNewRoman" w:eastAsia="TimesNewRoman" w:cs="TimesNewRoman"/>
        </w:rPr>
        <w:t>ę</w:t>
      </w:r>
      <w:r w:rsidRPr="00B841B9">
        <w:t xml:space="preserve">przez kłody drzewne w gruncie, przez </w:t>
      </w:r>
      <w:r w:rsidRPr="00B841B9">
        <w:rPr>
          <w:rFonts w:ascii="TimesNewRoman" w:eastAsia="TimesNewRoman" w:cs="TimesNewRoman"/>
        </w:rPr>
        <w:t>ż</w:t>
      </w:r>
      <w:r w:rsidRPr="00B841B9">
        <w:t>wiry i pospółki, a nawet</w:t>
      </w:r>
    </w:p>
    <w:p w:rsidR="00423A6C" w:rsidRPr="00B841B9" w:rsidRDefault="00423A6C" w:rsidP="00423A6C">
      <w:pPr>
        <w:autoSpaceDE w:val="0"/>
        <w:autoSpaceDN w:val="0"/>
        <w:adjustRightInd w:val="0"/>
        <w:jc w:val="both"/>
      </w:pPr>
      <w:r w:rsidRPr="00B841B9">
        <w:t>przez gruzowiska i słabe betony. Szczelno</w:t>
      </w:r>
      <w:r w:rsidRPr="00B841B9">
        <w:rPr>
          <w:rFonts w:ascii="TimesNewRoman" w:eastAsia="TimesNewRoman" w:cs="TimesNewRoman"/>
        </w:rPr>
        <w:t>ść</w:t>
      </w:r>
      <w:r w:rsidRPr="00B841B9">
        <w:t>zamków mo</w:t>
      </w:r>
      <w:r w:rsidRPr="00B841B9">
        <w:rPr>
          <w:rFonts w:ascii="TimesNewRoman" w:eastAsia="TimesNewRoman" w:cs="TimesNewRoman"/>
        </w:rPr>
        <w:t>ż</w:t>
      </w:r>
      <w:r w:rsidRPr="00B841B9">
        <w:t>na powi</w:t>
      </w:r>
      <w:r w:rsidRPr="00B841B9">
        <w:rPr>
          <w:rFonts w:ascii="TimesNewRoman" w:eastAsia="TimesNewRoman" w:cs="TimesNewRoman"/>
        </w:rPr>
        <w:t>ę</w:t>
      </w:r>
      <w:r w:rsidRPr="00B841B9">
        <w:t>kszy</w:t>
      </w:r>
      <w:r w:rsidRPr="00B841B9">
        <w:rPr>
          <w:rFonts w:ascii="TimesNewRoman" w:eastAsia="TimesNewRoman" w:cs="TimesNewRoman"/>
        </w:rPr>
        <w:t>ć</w:t>
      </w:r>
      <w:r w:rsidRPr="00B841B9">
        <w:t>przez zamulanie iłami, popiołami itp.</w:t>
      </w:r>
    </w:p>
    <w:p w:rsidR="00423A6C" w:rsidRPr="00B841B9" w:rsidRDefault="00423A6C" w:rsidP="00423A6C">
      <w:pPr>
        <w:autoSpaceDE w:val="0"/>
        <w:autoSpaceDN w:val="0"/>
        <w:adjustRightInd w:val="0"/>
        <w:jc w:val="both"/>
      </w:pPr>
      <w:r w:rsidRPr="00B841B9">
        <w:t xml:space="preserve">Przy wbijaniu </w:t>
      </w:r>
      <w:r w:rsidRPr="00B841B9">
        <w:rPr>
          <w:rFonts w:ascii="TimesNewRoman" w:eastAsia="TimesNewRoman" w:cs="TimesNewRoman"/>
        </w:rPr>
        <w:t>ś</w:t>
      </w:r>
      <w:r w:rsidRPr="00B841B9">
        <w:t>cianek szczelnych stosuje si</w:t>
      </w:r>
      <w:r w:rsidRPr="00B841B9">
        <w:rPr>
          <w:rFonts w:ascii="TimesNewRoman" w:eastAsia="TimesNewRoman" w:cs="TimesNewRoman"/>
        </w:rPr>
        <w:t>ę</w:t>
      </w:r>
      <w:r w:rsidRPr="00B841B9">
        <w:t>jako urz</w:t>
      </w:r>
      <w:r w:rsidRPr="00B841B9">
        <w:rPr>
          <w:rFonts w:ascii="TimesNewRoman" w:eastAsia="TimesNewRoman" w:cs="TimesNewRoman"/>
        </w:rPr>
        <w:t>ą</w:t>
      </w:r>
      <w:r w:rsidRPr="00B841B9">
        <w:t>dzenia pomocnicze drewniane podwójne kleszcze lub</w:t>
      </w:r>
    </w:p>
    <w:p w:rsidR="00423A6C" w:rsidRPr="00B841B9" w:rsidRDefault="00423A6C" w:rsidP="00423A6C">
      <w:pPr>
        <w:autoSpaceDE w:val="0"/>
        <w:autoSpaceDN w:val="0"/>
        <w:adjustRightInd w:val="0"/>
        <w:jc w:val="both"/>
        <w:rPr>
          <w:rFonts w:ascii="TimesNewRoman" w:eastAsia="TimesNewRoman" w:cs="TimesNewRoman"/>
        </w:rPr>
      </w:pPr>
      <w:r w:rsidRPr="00B841B9">
        <w:t xml:space="preserve">kleszcze z belek stalowych. Kleszcze takie </w:t>
      </w:r>
      <w:r w:rsidRPr="00B841B9">
        <w:rPr>
          <w:rFonts w:ascii="TimesNewRoman" w:eastAsia="TimesNewRoman" w:cs="TimesNewRoman"/>
        </w:rPr>
        <w:t>ś</w:t>
      </w:r>
      <w:r w:rsidRPr="00B841B9">
        <w:t>ci</w:t>
      </w:r>
      <w:r w:rsidRPr="00B841B9">
        <w:rPr>
          <w:rFonts w:ascii="TimesNewRoman" w:eastAsia="TimesNewRoman" w:cs="TimesNewRoman"/>
        </w:rPr>
        <w:t>ą</w:t>
      </w:r>
      <w:r w:rsidRPr="00B841B9">
        <w:t>ga si</w:t>
      </w:r>
      <w:r w:rsidRPr="00B841B9">
        <w:rPr>
          <w:rFonts w:ascii="TimesNewRoman" w:eastAsia="TimesNewRoman" w:cs="TimesNewRoman"/>
        </w:rPr>
        <w:t>ęś</w:t>
      </w:r>
      <w:r w:rsidRPr="00B841B9">
        <w:t>rubami poprzez drewniane klocki reguluj</w:t>
      </w:r>
      <w:r w:rsidRPr="00B841B9">
        <w:rPr>
          <w:rFonts w:ascii="TimesNewRoman" w:eastAsia="TimesNewRoman" w:cs="TimesNewRoman"/>
        </w:rPr>
        <w:t>ą</w:t>
      </w:r>
      <w:r w:rsidRPr="00B841B9">
        <w:t>ce odległo</w:t>
      </w:r>
      <w:r w:rsidRPr="00B841B9">
        <w:rPr>
          <w:rFonts w:ascii="TimesNewRoman" w:eastAsia="TimesNewRoman" w:cs="TimesNewRoman"/>
        </w:rPr>
        <w:t>ść</w:t>
      </w:r>
    </w:p>
    <w:p w:rsidR="00423A6C" w:rsidRPr="00B841B9" w:rsidRDefault="00423A6C" w:rsidP="00423A6C">
      <w:pPr>
        <w:autoSpaceDE w:val="0"/>
        <w:autoSpaceDN w:val="0"/>
        <w:adjustRightInd w:val="0"/>
        <w:jc w:val="both"/>
      </w:pPr>
      <w:r w:rsidRPr="00B841B9">
        <w:t xml:space="preserve">kleszczy. Wbijanie </w:t>
      </w:r>
      <w:r w:rsidRPr="00B841B9">
        <w:rPr>
          <w:rFonts w:ascii="TimesNewRoman" w:eastAsia="TimesNewRoman" w:cs="TimesNewRoman"/>
        </w:rPr>
        <w:t>ś</w:t>
      </w:r>
      <w:r w:rsidRPr="00B841B9">
        <w:t>cianki rozpoczyna si</w:t>
      </w:r>
      <w:r w:rsidRPr="00B841B9">
        <w:rPr>
          <w:rFonts w:ascii="TimesNewRoman" w:eastAsia="TimesNewRoman" w:cs="TimesNewRoman"/>
        </w:rPr>
        <w:t>ę</w:t>
      </w:r>
      <w:r w:rsidRPr="00B841B9">
        <w:t>od naro</w:t>
      </w:r>
      <w:r w:rsidRPr="00B841B9">
        <w:rPr>
          <w:rFonts w:ascii="TimesNewRoman" w:eastAsia="TimesNewRoman" w:cs="TimesNewRoman"/>
        </w:rPr>
        <w:t>ż</w:t>
      </w:r>
      <w:r w:rsidRPr="00B841B9">
        <w:t>nika . Naro</w:t>
      </w:r>
      <w:r w:rsidRPr="00B841B9">
        <w:rPr>
          <w:rFonts w:ascii="TimesNewRoman" w:eastAsia="TimesNewRoman" w:cs="TimesNewRoman"/>
        </w:rPr>
        <w:t>ż</w:t>
      </w:r>
      <w:r w:rsidRPr="00B841B9">
        <w:t>ny brus wbija si</w:t>
      </w:r>
      <w:r w:rsidRPr="00B841B9">
        <w:rPr>
          <w:rFonts w:ascii="TimesNewRoman" w:eastAsia="TimesNewRoman" w:cs="TimesNewRoman"/>
        </w:rPr>
        <w:t>ę</w:t>
      </w:r>
      <w:r w:rsidRPr="00B841B9">
        <w:t>bardzo starannie na tak</w:t>
      </w:r>
      <w:r w:rsidRPr="00B841B9">
        <w:rPr>
          <w:rFonts w:ascii="TimesNewRoman" w:eastAsia="TimesNewRoman" w:cs="TimesNewRoman"/>
        </w:rPr>
        <w:t>ą</w:t>
      </w:r>
      <w:r w:rsidRPr="00B841B9">
        <w:t>gł</w:t>
      </w:r>
      <w:r w:rsidRPr="00B841B9">
        <w:rPr>
          <w:rFonts w:ascii="TimesNewRoman" w:eastAsia="TimesNewRoman" w:cs="TimesNewRoman"/>
        </w:rPr>
        <w:t>ę</w:t>
      </w:r>
      <w:r w:rsidRPr="00B841B9">
        <w:t>boko</w:t>
      </w:r>
      <w:r w:rsidRPr="00B841B9">
        <w:rPr>
          <w:rFonts w:ascii="TimesNewRoman" w:eastAsia="TimesNewRoman" w:cs="TimesNewRoman"/>
        </w:rPr>
        <w:t>ść</w:t>
      </w:r>
      <w:r w:rsidRPr="00B841B9">
        <w:t>, aby był nale</w:t>
      </w:r>
      <w:r w:rsidRPr="00B841B9">
        <w:rPr>
          <w:rFonts w:ascii="TimesNewRoman" w:eastAsia="TimesNewRoman" w:cs="TimesNewRoman"/>
        </w:rPr>
        <w:t>ż</w:t>
      </w:r>
      <w:r w:rsidRPr="00B841B9">
        <w:rPr>
          <w:rFonts w:ascii="TimesNewRoman" w:eastAsia="TimesNewRoman" w:cs="TimesNewRoman" w:hint="eastAsia"/>
        </w:rPr>
        <w:t>y</w:t>
      </w:r>
      <w:r w:rsidRPr="00B841B9">
        <w:t>cie umocowany w gruncie. Nast</w:t>
      </w:r>
      <w:r w:rsidRPr="00B841B9">
        <w:rPr>
          <w:rFonts w:ascii="TimesNewRoman" w:eastAsia="TimesNewRoman" w:cs="TimesNewRoman"/>
        </w:rPr>
        <w:t>ę</w:t>
      </w:r>
      <w:r w:rsidRPr="00B841B9">
        <w:t>pnie tu</w:t>
      </w:r>
      <w:r w:rsidRPr="00B841B9">
        <w:rPr>
          <w:rFonts w:ascii="TimesNewRoman" w:eastAsia="TimesNewRoman" w:cs="TimesNewRoman"/>
        </w:rPr>
        <w:t>ż</w:t>
      </w:r>
      <w:r w:rsidRPr="00B841B9">
        <w:t>przy nim na ziemi układa si</w:t>
      </w:r>
      <w:r w:rsidRPr="00B841B9">
        <w:rPr>
          <w:rFonts w:ascii="TimesNewRoman" w:eastAsia="TimesNewRoman" w:cs="TimesNewRoman"/>
        </w:rPr>
        <w:t>ę</w:t>
      </w:r>
      <w:r w:rsidRPr="00B841B9">
        <w:t>prowadnice drewniane długo</w:t>
      </w:r>
      <w:r w:rsidRPr="00B841B9">
        <w:rPr>
          <w:rFonts w:ascii="TimesNewRoman" w:eastAsia="TimesNewRoman" w:cs="TimesNewRoman"/>
        </w:rPr>
        <w:t>ś</w:t>
      </w:r>
      <w:r w:rsidRPr="00B841B9">
        <w:t>ci 3-5 m o takim rozstawie, aby pomi</w:t>
      </w:r>
      <w:r w:rsidRPr="00B841B9">
        <w:rPr>
          <w:rFonts w:ascii="TimesNewRoman" w:eastAsia="TimesNewRoman" w:cs="TimesNewRoman"/>
        </w:rPr>
        <w:t>ę</w:t>
      </w:r>
      <w:r w:rsidRPr="00B841B9">
        <w:t>dzy nimi mo</w:t>
      </w:r>
      <w:r w:rsidRPr="00B841B9">
        <w:rPr>
          <w:rFonts w:ascii="TimesNewRoman" w:eastAsia="TimesNewRoman" w:cs="TimesNewRoman"/>
        </w:rPr>
        <w:t>ż</w:t>
      </w:r>
      <w:r w:rsidRPr="00B841B9">
        <w:t>na było wstawi</w:t>
      </w:r>
      <w:r w:rsidRPr="00B841B9">
        <w:rPr>
          <w:rFonts w:ascii="TimesNewRoman" w:eastAsia="TimesNewRoman" w:cs="TimesNewRoman"/>
        </w:rPr>
        <w:t>ć</w:t>
      </w:r>
      <w:r w:rsidRPr="00B841B9">
        <w:t xml:space="preserve">brusy </w:t>
      </w:r>
      <w:r w:rsidRPr="00B841B9">
        <w:rPr>
          <w:rFonts w:ascii="TimesNewRoman" w:eastAsia="TimesNewRoman" w:cs="TimesNewRoman"/>
        </w:rPr>
        <w:t>ś</w:t>
      </w:r>
      <w:r w:rsidRPr="00B841B9">
        <w:t>cianki. Par</w:t>
      </w:r>
      <w:r w:rsidRPr="00B841B9">
        <w:rPr>
          <w:rFonts w:ascii="TimesNewRoman" w:eastAsia="TimesNewRoman" w:cs="TimesNewRoman"/>
        </w:rPr>
        <w:t>ę</w:t>
      </w:r>
      <w:r w:rsidRPr="00B841B9">
        <w:t>brusów nanizuje si</w:t>
      </w:r>
      <w:r w:rsidRPr="00B841B9">
        <w:rPr>
          <w:rFonts w:ascii="TimesNewRoman" w:eastAsia="TimesNewRoman" w:cs="TimesNewRoman"/>
        </w:rPr>
        <w:t>ę</w:t>
      </w:r>
      <w:r w:rsidRPr="00B841B9">
        <w:t>na zamek brusa naro</w:t>
      </w:r>
      <w:r w:rsidRPr="00B841B9">
        <w:rPr>
          <w:rFonts w:ascii="TimesNewRoman" w:eastAsia="TimesNewRoman" w:cs="TimesNewRoman"/>
        </w:rPr>
        <w:t>ż</w:t>
      </w:r>
      <w:r w:rsidRPr="00B841B9">
        <w:t>nikowego i wbija w grunt na gł</w:t>
      </w:r>
      <w:r w:rsidRPr="00B841B9">
        <w:rPr>
          <w:rFonts w:ascii="TimesNewRoman" w:eastAsia="TimesNewRoman" w:cs="TimesNewRoman"/>
        </w:rPr>
        <w:t>ę</w:t>
      </w:r>
      <w:r w:rsidRPr="00B841B9">
        <w:t>boko</w:t>
      </w:r>
      <w:r w:rsidRPr="00B841B9">
        <w:rPr>
          <w:rFonts w:ascii="TimesNewRoman" w:eastAsia="TimesNewRoman" w:cs="TimesNewRoman"/>
        </w:rPr>
        <w:t>ść</w:t>
      </w:r>
      <w:r w:rsidRPr="00B841B9">
        <w:t>2-4 m. Kolejno wbija si</w:t>
      </w:r>
      <w:r w:rsidRPr="00B841B9">
        <w:rPr>
          <w:rFonts w:ascii="TimesNewRoman" w:eastAsia="TimesNewRoman" w:cs="TimesNewRoman"/>
        </w:rPr>
        <w:t>ę</w:t>
      </w:r>
      <w:r w:rsidRPr="00B841B9">
        <w:t>nast</w:t>
      </w:r>
      <w:r w:rsidRPr="00B841B9">
        <w:rPr>
          <w:rFonts w:ascii="TimesNewRoman" w:eastAsia="TimesNewRoman" w:cs="TimesNewRoman"/>
        </w:rPr>
        <w:t>ę</w:t>
      </w:r>
      <w:r w:rsidRPr="00B841B9">
        <w:t>pne pary na odcinku obj</w:t>
      </w:r>
      <w:r w:rsidRPr="00B841B9">
        <w:rPr>
          <w:rFonts w:ascii="TimesNewRoman" w:eastAsia="TimesNewRoman" w:cs="TimesNewRoman"/>
        </w:rPr>
        <w:t>ę</w:t>
      </w:r>
      <w:r w:rsidRPr="00B841B9">
        <w:t>tym prowadnicami. Bardzo wygodnie jest wbija</w:t>
      </w:r>
      <w:r w:rsidRPr="00B841B9">
        <w:rPr>
          <w:rFonts w:ascii="TimesNewRoman" w:eastAsia="TimesNewRoman" w:cs="TimesNewRoman"/>
        </w:rPr>
        <w:t>ćś</w:t>
      </w:r>
      <w:r w:rsidRPr="00B841B9">
        <w:t>ciank</w:t>
      </w:r>
      <w:r w:rsidRPr="00B841B9">
        <w:rPr>
          <w:rFonts w:ascii="TimesNewRoman" w:eastAsia="TimesNewRoman" w:cs="TimesNewRoman"/>
        </w:rPr>
        <w:t>ę</w:t>
      </w:r>
      <w:r w:rsidRPr="00B841B9">
        <w:t>dwoma kafarami : pierwszy kafar ustawia brusy i wbija je na pierwsze 2-4 m, drugi w odst</w:t>
      </w:r>
      <w:r w:rsidRPr="00B841B9">
        <w:rPr>
          <w:rFonts w:ascii="TimesNewRoman" w:eastAsia="TimesNewRoman" w:cs="TimesNewRoman"/>
        </w:rPr>
        <w:t>ę</w:t>
      </w:r>
      <w:r w:rsidRPr="00B841B9">
        <w:t>pie 3-5 m za nim wbija ju</w:t>
      </w:r>
      <w:r w:rsidRPr="00B841B9">
        <w:rPr>
          <w:rFonts w:ascii="TimesNewRoman" w:eastAsia="TimesNewRoman" w:cs="TimesNewRoman"/>
        </w:rPr>
        <w:t>ż</w:t>
      </w:r>
      <w:r w:rsidRPr="00B841B9">
        <w:t>na wła</w:t>
      </w:r>
      <w:r w:rsidRPr="00B841B9">
        <w:rPr>
          <w:rFonts w:ascii="TimesNewRoman" w:eastAsia="TimesNewRoman" w:cs="TimesNewRoman"/>
        </w:rPr>
        <w:t>ś</w:t>
      </w:r>
      <w:r w:rsidRPr="00B841B9">
        <w:t>ciw</w:t>
      </w:r>
      <w:r w:rsidRPr="00B841B9">
        <w:rPr>
          <w:rFonts w:ascii="TimesNewRoman" w:eastAsia="TimesNewRoman" w:cs="TimesNewRoman"/>
        </w:rPr>
        <w:t>ą</w:t>
      </w:r>
      <w:r w:rsidRPr="00B841B9">
        <w:t>gł</w:t>
      </w:r>
      <w:r w:rsidRPr="00B841B9">
        <w:rPr>
          <w:rFonts w:ascii="TimesNewRoman" w:eastAsia="TimesNewRoman" w:cs="TimesNewRoman"/>
        </w:rPr>
        <w:t>ę</w:t>
      </w:r>
      <w:r w:rsidRPr="00B841B9">
        <w:t>boko</w:t>
      </w:r>
      <w:r w:rsidRPr="00B841B9">
        <w:rPr>
          <w:rFonts w:ascii="TimesNewRoman" w:eastAsia="TimesNewRoman" w:cs="TimesNewRoman"/>
        </w:rPr>
        <w:t>ść</w:t>
      </w:r>
      <w:r w:rsidRPr="00B841B9">
        <w:t>. Je</w:t>
      </w:r>
      <w:r w:rsidRPr="00B841B9">
        <w:rPr>
          <w:rFonts w:ascii="TimesNewRoman" w:eastAsia="TimesNewRoman" w:cs="TimesNewRoman"/>
        </w:rPr>
        <w:t>ż</w:t>
      </w:r>
      <w:r w:rsidRPr="00B841B9">
        <w:t>eli brusy podczas wbijania wykazuj</w:t>
      </w:r>
      <w:r w:rsidRPr="00B841B9">
        <w:rPr>
          <w:rFonts w:ascii="TimesNewRoman" w:eastAsia="TimesNewRoman" w:cs="TimesNewRoman"/>
        </w:rPr>
        <w:t>ą</w:t>
      </w:r>
      <w:r w:rsidRPr="00B841B9">
        <w:t xml:space="preserve">nieregularne odchylenie od osi </w:t>
      </w:r>
      <w:r w:rsidRPr="00B841B9">
        <w:rPr>
          <w:rFonts w:ascii="TimesNewRoman" w:eastAsia="TimesNewRoman" w:cs="TimesNewRoman"/>
        </w:rPr>
        <w:t>ś</w:t>
      </w:r>
      <w:r w:rsidRPr="00B841B9">
        <w:t>cianki, wskazane jest zało</w:t>
      </w:r>
      <w:r w:rsidRPr="00B841B9">
        <w:rPr>
          <w:rFonts w:ascii="TimesNewRoman" w:eastAsia="TimesNewRoman" w:cs="TimesNewRoman"/>
        </w:rPr>
        <w:t>ż</w:t>
      </w:r>
      <w:r w:rsidRPr="00B841B9">
        <w:t>y</w:t>
      </w:r>
      <w:r w:rsidRPr="00B841B9">
        <w:rPr>
          <w:rFonts w:ascii="TimesNewRoman" w:eastAsia="TimesNewRoman" w:cs="TimesNewRoman"/>
        </w:rPr>
        <w:t>ć</w:t>
      </w:r>
      <w:r w:rsidRPr="00B841B9">
        <w:t>górne kleszcze, które b</w:t>
      </w:r>
      <w:r w:rsidRPr="00B841B9">
        <w:rPr>
          <w:rFonts w:ascii="TimesNewRoman" w:eastAsia="TimesNewRoman" w:cs="TimesNewRoman"/>
        </w:rPr>
        <w:t>ę</w:t>
      </w:r>
      <w:r w:rsidRPr="00B841B9">
        <w:t>d</w:t>
      </w:r>
      <w:r w:rsidRPr="00B841B9">
        <w:rPr>
          <w:rFonts w:ascii="TimesNewRoman" w:eastAsia="TimesNewRoman" w:cs="TimesNewRoman"/>
        </w:rPr>
        <w:t>ą</w:t>
      </w:r>
      <w:r w:rsidRPr="00B841B9">
        <w:t>si</w:t>
      </w:r>
      <w:r w:rsidRPr="00B841B9">
        <w:rPr>
          <w:rFonts w:ascii="TimesNewRoman" w:eastAsia="TimesNewRoman" w:cs="TimesNewRoman"/>
        </w:rPr>
        <w:t>ę</w:t>
      </w:r>
      <w:r w:rsidRPr="00B841B9">
        <w:t>opuszcza</w:t>
      </w:r>
      <w:r w:rsidRPr="00B841B9">
        <w:rPr>
          <w:rFonts w:ascii="TimesNewRoman" w:eastAsia="TimesNewRoman" w:cs="TimesNewRoman"/>
        </w:rPr>
        <w:t>ć</w:t>
      </w:r>
      <w:r w:rsidRPr="00B841B9">
        <w:t>razem z brusami. Je</w:t>
      </w:r>
      <w:r w:rsidRPr="00B841B9">
        <w:rPr>
          <w:rFonts w:ascii="TimesNewRoman" w:eastAsia="TimesNewRoman" w:cs="TimesNewRoman"/>
        </w:rPr>
        <w:t>ż</w:t>
      </w:r>
      <w:r w:rsidRPr="00B841B9">
        <w:t xml:space="preserve">eli </w:t>
      </w:r>
      <w:r w:rsidRPr="00B841B9">
        <w:rPr>
          <w:rFonts w:ascii="TimesNewRoman" w:eastAsia="TimesNewRoman" w:cs="TimesNewRoman"/>
        </w:rPr>
        <w:t>ś</w:t>
      </w:r>
      <w:r w:rsidRPr="00B841B9">
        <w:t>cianka nie jest przeznaczona do pó</w:t>
      </w:r>
      <w:r w:rsidRPr="00B841B9">
        <w:rPr>
          <w:rFonts w:ascii="TimesNewRoman" w:eastAsia="TimesNewRoman" w:cs="TimesNewRoman"/>
        </w:rPr>
        <w:t>ź</w:t>
      </w:r>
      <w:r w:rsidRPr="00B841B9">
        <w:t>niejszego wyci</w:t>
      </w:r>
      <w:r w:rsidRPr="00B841B9">
        <w:rPr>
          <w:rFonts w:ascii="TimesNewRoman" w:eastAsia="TimesNewRoman" w:cs="TimesNewRoman"/>
        </w:rPr>
        <w:t>ą</w:t>
      </w:r>
      <w:r w:rsidRPr="00B841B9">
        <w:t>gni</w:t>
      </w:r>
      <w:r w:rsidRPr="00B841B9">
        <w:rPr>
          <w:rFonts w:ascii="TimesNewRoman" w:eastAsia="TimesNewRoman" w:cs="TimesNewRoman"/>
        </w:rPr>
        <w:t>ę</w:t>
      </w:r>
      <w:r w:rsidRPr="00B841B9">
        <w:t>cia, po wbiciu brusów na projektowan</w:t>
      </w:r>
      <w:r w:rsidRPr="00B841B9">
        <w:rPr>
          <w:rFonts w:ascii="TimesNewRoman" w:eastAsia="TimesNewRoman" w:cs="TimesNewRoman"/>
        </w:rPr>
        <w:t>ą</w:t>
      </w:r>
      <w:r w:rsidRPr="00B841B9">
        <w:t>gł</w:t>
      </w:r>
      <w:r w:rsidRPr="00B841B9">
        <w:rPr>
          <w:rFonts w:ascii="TimesNewRoman" w:eastAsia="TimesNewRoman" w:cs="TimesNewRoman"/>
        </w:rPr>
        <w:t>ę</w:t>
      </w:r>
      <w:r w:rsidRPr="00B841B9">
        <w:t>boko</w:t>
      </w:r>
      <w:r w:rsidRPr="00B841B9">
        <w:rPr>
          <w:rFonts w:ascii="TimesNewRoman" w:eastAsia="TimesNewRoman" w:cs="TimesNewRoman"/>
        </w:rPr>
        <w:t>ść</w:t>
      </w:r>
      <w:r w:rsidRPr="00B841B9">
        <w:t>wskazane jest zespawa</w:t>
      </w:r>
      <w:r w:rsidRPr="00B841B9">
        <w:rPr>
          <w:rFonts w:ascii="TimesNewRoman" w:eastAsia="TimesNewRoman" w:cs="TimesNewRoman"/>
        </w:rPr>
        <w:t>ć</w:t>
      </w:r>
      <w:r w:rsidRPr="00B841B9">
        <w:t>zamki u góry na dost</w:t>
      </w:r>
      <w:r w:rsidRPr="00B841B9">
        <w:rPr>
          <w:rFonts w:ascii="TimesNewRoman" w:eastAsia="TimesNewRoman" w:cs="TimesNewRoman"/>
        </w:rPr>
        <w:t>ę</w:t>
      </w:r>
      <w:r w:rsidRPr="00B841B9">
        <w:t>pnej, odsłoni</w:t>
      </w:r>
      <w:r w:rsidRPr="00B841B9">
        <w:rPr>
          <w:rFonts w:ascii="TimesNewRoman" w:eastAsia="TimesNewRoman" w:cs="TimesNewRoman"/>
        </w:rPr>
        <w:t>ę</w:t>
      </w:r>
      <w:r w:rsidRPr="00B841B9">
        <w:t>tej długo</w:t>
      </w:r>
      <w:r w:rsidRPr="00B841B9">
        <w:rPr>
          <w:rFonts w:ascii="TimesNewRoman" w:eastAsia="TimesNewRoman" w:cs="TimesNewRoman"/>
        </w:rPr>
        <w:t>ś</w:t>
      </w:r>
      <w:r w:rsidRPr="00B841B9">
        <w:t>ci, przynajmniej na odcinku 50-80 cm, w celu zapewnienia współpracy brusów przy zginaniu. Przez zespawanie unika si</w:t>
      </w:r>
      <w:r w:rsidRPr="00B841B9">
        <w:rPr>
          <w:rFonts w:ascii="TimesNewRoman" w:eastAsia="TimesNewRoman" w:cs="TimesNewRoman"/>
        </w:rPr>
        <w:t>ę</w:t>
      </w:r>
      <w:r w:rsidRPr="00B841B9">
        <w:t>równie</w:t>
      </w:r>
      <w:r w:rsidRPr="00B841B9">
        <w:rPr>
          <w:rFonts w:ascii="TimesNewRoman" w:eastAsia="TimesNewRoman" w:cs="TimesNewRoman"/>
        </w:rPr>
        <w:t>ż</w:t>
      </w:r>
      <w:r w:rsidRPr="00B841B9">
        <w:t>mo</w:t>
      </w:r>
      <w:r w:rsidRPr="00B841B9">
        <w:rPr>
          <w:rFonts w:ascii="TimesNewRoman" w:eastAsia="TimesNewRoman" w:cs="TimesNewRoman"/>
        </w:rPr>
        <w:t>ż</w:t>
      </w:r>
      <w:r w:rsidRPr="00B841B9">
        <w:t>liwo</w:t>
      </w:r>
      <w:r w:rsidRPr="00B841B9">
        <w:rPr>
          <w:rFonts w:ascii="TimesNewRoman" w:eastAsia="TimesNewRoman" w:cs="TimesNewRoman"/>
        </w:rPr>
        <w:t>ś</w:t>
      </w:r>
      <w:r w:rsidRPr="00B841B9">
        <w:t>ci wzajemnych przesuni</w:t>
      </w:r>
      <w:r w:rsidRPr="00B841B9">
        <w:rPr>
          <w:rFonts w:ascii="TimesNewRoman" w:eastAsia="TimesNewRoman" w:cs="TimesNewRoman"/>
        </w:rPr>
        <w:t>ęć</w:t>
      </w:r>
      <w:r w:rsidRPr="00B841B9">
        <w:t>brusów w zamkach.</w:t>
      </w:r>
    </w:p>
    <w:p w:rsidR="00423A6C" w:rsidRPr="00B841B9" w:rsidRDefault="00423A6C" w:rsidP="00423A6C">
      <w:pPr>
        <w:autoSpaceDE w:val="0"/>
        <w:autoSpaceDN w:val="0"/>
        <w:adjustRightInd w:val="0"/>
        <w:jc w:val="both"/>
      </w:pPr>
      <w:r w:rsidRPr="00B841B9">
        <w:rPr>
          <w:rFonts w:ascii="TimesNewRoman" w:eastAsia="TimesNewRoman" w:cs="TimesNewRoman"/>
        </w:rPr>
        <w:t>Ś</w:t>
      </w:r>
      <w:r w:rsidRPr="00B841B9">
        <w:t>cianki szczelne stalowe przy napotkaniu podczas pogr</w:t>
      </w:r>
      <w:r w:rsidRPr="00B841B9">
        <w:rPr>
          <w:rFonts w:ascii="TimesNewRoman" w:eastAsia="TimesNewRoman" w:cs="TimesNewRoman"/>
        </w:rPr>
        <w:t>ąż</w:t>
      </w:r>
      <w:r w:rsidRPr="00B841B9">
        <w:t>ania w grunt na przeszkody w formie du</w:t>
      </w:r>
      <w:r w:rsidRPr="00B841B9">
        <w:rPr>
          <w:rFonts w:ascii="TimesNewRoman" w:eastAsia="TimesNewRoman" w:cs="TimesNewRoman"/>
        </w:rPr>
        <w:t>ż</w:t>
      </w:r>
      <w:r w:rsidRPr="00B841B9">
        <w:t>ych głazów</w:t>
      </w:r>
    </w:p>
    <w:p w:rsidR="00423A6C" w:rsidRPr="00B841B9" w:rsidRDefault="00423A6C" w:rsidP="00423A6C">
      <w:pPr>
        <w:autoSpaceDE w:val="0"/>
        <w:autoSpaceDN w:val="0"/>
        <w:adjustRightInd w:val="0"/>
        <w:jc w:val="both"/>
      </w:pPr>
      <w:r w:rsidRPr="00B841B9">
        <w:t>mog</w:t>
      </w:r>
      <w:r w:rsidRPr="00B841B9">
        <w:rPr>
          <w:rFonts w:ascii="TimesNewRoman" w:eastAsia="TimesNewRoman" w:cs="TimesNewRoman"/>
        </w:rPr>
        <w:t>ą</w:t>
      </w:r>
      <w:r w:rsidRPr="00B841B9">
        <w:t>ulec uszkodzeniu. Uszkodzenia te mog</w:t>
      </w:r>
      <w:r w:rsidRPr="00B841B9">
        <w:rPr>
          <w:rFonts w:ascii="TimesNewRoman" w:eastAsia="TimesNewRoman" w:cs="TimesNewRoman"/>
        </w:rPr>
        <w:t>ą</w:t>
      </w:r>
      <w:r w:rsidRPr="00B841B9">
        <w:t>mie</w:t>
      </w:r>
      <w:r w:rsidRPr="00B841B9">
        <w:rPr>
          <w:rFonts w:ascii="TimesNewRoman" w:eastAsia="TimesNewRoman" w:cs="TimesNewRoman"/>
        </w:rPr>
        <w:t>ć</w:t>
      </w:r>
      <w:r w:rsidRPr="00B841B9">
        <w:t>ró</w:t>
      </w:r>
      <w:r w:rsidRPr="00B841B9">
        <w:rPr>
          <w:rFonts w:ascii="TimesNewRoman" w:eastAsia="TimesNewRoman" w:cs="TimesNewRoman"/>
        </w:rPr>
        <w:t>ż</w:t>
      </w:r>
      <w:r w:rsidRPr="00B841B9">
        <w:t>ne formy , tj mo</w:t>
      </w:r>
      <w:r w:rsidRPr="00B841B9">
        <w:rPr>
          <w:rFonts w:ascii="TimesNewRoman" w:eastAsia="TimesNewRoman" w:cs="TimesNewRoman"/>
        </w:rPr>
        <w:t>ż</w:t>
      </w:r>
      <w:r w:rsidRPr="00B841B9">
        <w:t>e nast</w:t>
      </w:r>
      <w:r w:rsidRPr="00B841B9">
        <w:rPr>
          <w:rFonts w:ascii="TimesNewRoman" w:eastAsia="TimesNewRoman" w:cs="TimesNewRoman"/>
        </w:rPr>
        <w:t>ą</w:t>
      </w:r>
      <w:r w:rsidRPr="00B841B9">
        <w:t>pi</w:t>
      </w:r>
      <w:r w:rsidRPr="00B841B9">
        <w:rPr>
          <w:rFonts w:ascii="TimesNewRoman" w:eastAsia="TimesNewRoman" w:cs="TimesNewRoman"/>
        </w:rPr>
        <w:t>ć</w:t>
      </w:r>
      <w:r w:rsidRPr="00B841B9">
        <w:t>:</w:t>
      </w:r>
    </w:p>
    <w:p w:rsidR="00423A6C" w:rsidRPr="00B841B9" w:rsidRDefault="00423A6C" w:rsidP="00423A6C">
      <w:pPr>
        <w:autoSpaceDE w:val="0"/>
        <w:autoSpaceDN w:val="0"/>
        <w:adjustRightInd w:val="0"/>
        <w:jc w:val="both"/>
      </w:pPr>
      <w:r w:rsidRPr="00B841B9">
        <w:t xml:space="preserve">a) rozerwanie blachy </w:t>
      </w:r>
      <w:r w:rsidRPr="00B841B9">
        <w:rPr>
          <w:rFonts w:ascii="TimesNewRoman" w:eastAsia="TimesNewRoman" w:cs="TimesNewRoman"/>
        </w:rPr>
        <w:t>ś</w:t>
      </w:r>
      <w:r w:rsidRPr="00B841B9">
        <w:t>cianki mi</w:t>
      </w:r>
      <w:r w:rsidRPr="00B841B9">
        <w:rPr>
          <w:rFonts w:ascii="TimesNewRoman" w:eastAsia="TimesNewRoman" w:cs="TimesNewRoman"/>
        </w:rPr>
        <w:t>ę</w:t>
      </w:r>
      <w:r w:rsidRPr="00B841B9">
        <w:t>dzy zamkami,</w:t>
      </w:r>
    </w:p>
    <w:p w:rsidR="00423A6C" w:rsidRPr="00B841B9" w:rsidRDefault="00423A6C" w:rsidP="00423A6C">
      <w:pPr>
        <w:autoSpaceDE w:val="0"/>
        <w:autoSpaceDN w:val="0"/>
        <w:adjustRightInd w:val="0"/>
        <w:jc w:val="both"/>
      </w:pPr>
      <w:r w:rsidRPr="00B841B9">
        <w:t>b) zgniecenie dolnego ko</w:t>
      </w:r>
      <w:r w:rsidRPr="00B841B9">
        <w:rPr>
          <w:rFonts w:ascii="TimesNewRoman" w:eastAsia="TimesNewRoman" w:cs="TimesNewRoman"/>
        </w:rPr>
        <w:t>ń</w:t>
      </w:r>
      <w:r w:rsidRPr="00B841B9">
        <w:t xml:space="preserve">ca </w:t>
      </w:r>
      <w:r w:rsidRPr="00B841B9">
        <w:rPr>
          <w:rFonts w:ascii="TimesNewRoman" w:eastAsia="TimesNewRoman" w:cs="TimesNewRoman"/>
        </w:rPr>
        <w:t>ś</w:t>
      </w:r>
      <w:r w:rsidRPr="00B841B9">
        <w:t>cianki.</w:t>
      </w:r>
    </w:p>
    <w:p w:rsidR="00423A6C" w:rsidRPr="00B841B9" w:rsidRDefault="00423A6C" w:rsidP="00423A6C">
      <w:pPr>
        <w:autoSpaceDE w:val="0"/>
        <w:autoSpaceDN w:val="0"/>
        <w:adjustRightInd w:val="0"/>
        <w:jc w:val="both"/>
        <w:rPr>
          <w:rFonts w:ascii="TimesNewRoman" w:eastAsia="TimesNewRoman" w:cs="TimesNewRoman"/>
        </w:rPr>
      </w:pPr>
      <w:r w:rsidRPr="00B841B9">
        <w:t xml:space="preserve"> Uszkodzenia te dadz</w:t>
      </w:r>
      <w:r w:rsidRPr="00B841B9">
        <w:rPr>
          <w:rFonts w:ascii="TimesNewRoman" w:eastAsia="TimesNewRoman" w:cs="TimesNewRoman"/>
        </w:rPr>
        <w:t>ą</w:t>
      </w:r>
      <w:r w:rsidRPr="00B841B9">
        <w:t>si</w:t>
      </w:r>
      <w:r w:rsidRPr="00B841B9">
        <w:rPr>
          <w:rFonts w:ascii="TimesNewRoman" w:eastAsia="TimesNewRoman" w:cs="TimesNewRoman"/>
        </w:rPr>
        <w:t>ę</w:t>
      </w:r>
      <w:r w:rsidRPr="00B841B9">
        <w:t>łatwo wyczu</w:t>
      </w:r>
      <w:r w:rsidRPr="00B841B9">
        <w:rPr>
          <w:rFonts w:ascii="TimesNewRoman" w:eastAsia="TimesNewRoman" w:cs="TimesNewRoman"/>
        </w:rPr>
        <w:t>ć</w:t>
      </w:r>
      <w:r w:rsidRPr="00B841B9">
        <w:t>podczas wbijania. Oznak</w:t>
      </w:r>
      <w:r w:rsidRPr="00B841B9">
        <w:rPr>
          <w:rFonts w:ascii="TimesNewRoman" w:eastAsia="TimesNewRoman" w:cs="TimesNewRoman"/>
        </w:rPr>
        <w:t>ą</w:t>
      </w:r>
      <w:r w:rsidRPr="00B841B9">
        <w:t>tego jest dalsze powolne zagł</w:t>
      </w:r>
      <w:r w:rsidRPr="00B841B9">
        <w:rPr>
          <w:rFonts w:ascii="TimesNewRoman" w:eastAsia="TimesNewRoman" w:cs="TimesNewRoman"/>
        </w:rPr>
        <w:t>ę</w:t>
      </w:r>
      <w:r w:rsidRPr="00B841B9">
        <w:t>bienie si</w:t>
      </w:r>
      <w:r w:rsidRPr="00B841B9">
        <w:rPr>
          <w:rFonts w:ascii="TimesNewRoman" w:eastAsia="TimesNewRoman" w:cs="TimesNewRoman"/>
        </w:rPr>
        <w:t>ę</w:t>
      </w:r>
      <w:r w:rsidRPr="00B841B9">
        <w:t xml:space="preserve">brusa oraz to, </w:t>
      </w:r>
      <w:r w:rsidRPr="00B841B9">
        <w:rPr>
          <w:rFonts w:ascii="TimesNewRoman" w:eastAsia="TimesNewRoman" w:cs="TimesNewRoman"/>
        </w:rPr>
        <w:t>ż</w:t>
      </w:r>
      <w:r w:rsidRPr="00B841B9">
        <w:t xml:space="preserve">e przy uderzeniach młotem, młot odskakuje.W </w:t>
      </w:r>
      <w:r w:rsidRPr="00B841B9">
        <w:rPr>
          <w:rFonts w:ascii="TimesNewRoman" w:eastAsia="TimesNewRoman" w:cs="TimesNewRoman"/>
        </w:rPr>
        <w:t>ś</w:t>
      </w:r>
      <w:r w:rsidRPr="00B841B9">
        <w:t xml:space="preserve">ciankach szczelnych stalowych zamki tak mocno </w:t>
      </w:r>
      <w:r w:rsidRPr="00B841B9">
        <w:rPr>
          <w:rFonts w:ascii="TimesNewRoman" w:eastAsia="TimesNewRoman" w:cs="TimesNewRoman"/>
        </w:rPr>
        <w:t>ś</w:t>
      </w:r>
      <w:r w:rsidRPr="00B841B9">
        <w:t>ci</w:t>
      </w:r>
      <w:r w:rsidRPr="00B841B9">
        <w:rPr>
          <w:rFonts w:ascii="TimesNewRoman" w:eastAsia="TimesNewRoman" w:cs="TimesNewRoman"/>
        </w:rPr>
        <w:t>ą</w:t>
      </w:r>
      <w:r w:rsidRPr="00B841B9">
        <w:t>gaj</w:t>
      </w:r>
      <w:r w:rsidRPr="00B841B9">
        <w:rPr>
          <w:rFonts w:ascii="TimesNewRoman" w:eastAsia="TimesNewRoman" w:cs="TimesNewRoman"/>
        </w:rPr>
        <w:t>ą</w:t>
      </w:r>
      <w:r w:rsidRPr="00B841B9">
        <w:t>s</w:t>
      </w:r>
      <w:r w:rsidRPr="00B841B9">
        <w:rPr>
          <w:rFonts w:ascii="TimesNewRoman" w:eastAsia="TimesNewRoman" w:cs="TimesNewRoman"/>
        </w:rPr>
        <w:t>ą</w:t>
      </w:r>
      <w:r w:rsidRPr="00B841B9">
        <w:t xml:space="preserve">siednie blachy, </w:t>
      </w:r>
      <w:r w:rsidRPr="00B841B9">
        <w:rPr>
          <w:rFonts w:ascii="TimesNewRoman" w:eastAsia="TimesNewRoman" w:cs="TimesNewRoman"/>
        </w:rPr>
        <w:t>ż</w:t>
      </w:r>
      <w:r w:rsidRPr="00B841B9">
        <w:t>e nieraz wskutek tego powstaj</w:t>
      </w:r>
      <w:r w:rsidRPr="00B841B9">
        <w:rPr>
          <w:rFonts w:ascii="TimesNewRoman" w:eastAsia="TimesNewRoman" w:cs="TimesNewRoman"/>
        </w:rPr>
        <w:t>ą</w:t>
      </w:r>
      <w:r w:rsidRPr="00B841B9">
        <w:t>nast</w:t>
      </w:r>
      <w:r w:rsidRPr="00B841B9">
        <w:rPr>
          <w:rFonts w:ascii="TimesNewRoman" w:eastAsia="TimesNewRoman" w:cs="TimesNewRoman"/>
        </w:rPr>
        <w:t>ę</w:t>
      </w:r>
      <w:r w:rsidRPr="00B841B9">
        <w:t>puj</w:t>
      </w:r>
      <w:r w:rsidRPr="00B841B9">
        <w:rPr>
          <w:rFonts w:ascii="TimesNewRoman" w:eastAsia="TimesNewRoman" w:cs="TimesNewRoman"/>
        </w:rPr>
        <w:t>ą</w:t>
      </w:r>
      <w:r w:rsidRPr="00B841B9">
        <w:t>ce osobliwe zjawiska :</w:t>
      </w:r>
    </w:p>
    <w:p w:rsidR="00423A6C" w:rsidRPr="00B841B9" w:rsidRDefault="00423A6C" w:rsidP="00423A6C">
      <w:pPr>
        <w:autoSpaceDE w:val="0"/>
        <w:autoSpaceDN w:val="0"/>
        <w:adjustRightInd w:val="0"/>
        <w:jc w:val="both"/>
      </w:pPr>
      <w:r w:rsidRPr="00B841B9">
        <w:t>a) poszczególne blachy wykazuj</w:t>
      </w:r>
      <w:r w:rsidRPr="00B841B9">
        <w:rPr>
          <w:rFonts w:ascii="TimesNewRoman" w:eastAsia="TimesNewRoman" w:cs="TimesNewRoman"/>
        </w:rPr>
        <w:t>ą</w:t>
      </w:r>
      <w:r w:rsidRPr="00B841B9">
        <w:t>skłonno</w:t>
      </w:r>
      <w:r w:rsidRPr="00B841B9">
        <w:rPr>
          <w:rFonts w:ascii="TimesNewRoman" w:eastAsia="TimesNewRoman" w:cs="TimesNewRoman"/>
        </w:rPr>
        <w:t>ść</w:t>
      </w:r>
      <w:r w:rsidRPr="00B841B9">
        <w:t>do zbytniego przywierania sw</w:t>
      </w:r>
      <w:r w:rsidRPr="00B841B9">
        <w:rPr>
          <w:rFonts w:ascii="TimesNewRoman" w:eastAsia="TimesNewRoman" w:cs="TimesNewRoman"/>
        </w:rPr>
        <w:t>ą</w:t>
      </w:r>
      <w:r w:rsidRPr="00B841B9">
        <w:t>doln</w:t>
      </w:r>
      <w:r w:rsidRPr="00B841B9">
        <w:rPr>
          <w:rFonts w:ascii="TimesNewRoman" w:eastAsia="TimesNewRoman" w:cs="TimesNewRoman"/>
        </w:rPr>
        <w:t>ą</w:t>
      </w:r>
      <w:r w:rsidRPr="00B841B9">
        <w:t>cz</w:t>
      </w:r>
      <w:r w:rsidRPr="00B841B9">
        <w:rPr>
          <w:rFonts w:ascii="TimesNewRoman" w:eastAsia="TimesNewRoman" w:cs="TimesNewRoman"/>
        </w:rPr>
        <w:t>ęś</w:t>
      </w:r>
      <w:r w:rsidRPr="00B841B9">
        <w:t>ci</w:t>
      </w:r>
      <w:r w:rsidRPr="00B841B9">
        <w:rPr>
          <w:rFonts w:ascii="TimesNewRoman" w:eastAsia="TimesNewRoman" w:cs="TimesNewRoman"/>
        </w:rPr>
        <w:t>ą</w:t>
      </w:r>
      <w:r w:rsidRPr="00B841B9">
        <w:t>do poprzednio</w:t>
      </w:r>
    </w:p>
    <w:p w:rsidR="00423A6C" w:rsidRPr="00B841B9" w:rsidRDefault="00423A6C" w:rsidP="00423A6C">
      <w:pPr>
        <w:autoSpaceDE w:val="0"/>
        <w:autoSpaceDN w:val="0"/>
        <w:adjustRightInd w:val="0"/>
        <w:jc w:val="both"/>
      </w:pPr>
      <w:r w:rsidRPr="00B841B9">
        <w:t>wbitych blach ; wywołuje to odchylenie od pionu i konieczno</w:t>
      </w:r>
      <w:r w:rsidRPr="00B841B9">
        <w:rPr>
          <w:rFonts w:ascii="TimesNewRoman" w:eastAsia="TimesNewRoman" w:cs="TimesNewRoman"/>
        </w:rPr>
        <w:t>ść</w:t>
      </w:r>
      <w:r w:rsidRPr="00B841B9">
        <w:t>wprowadzania klinowych profili w ilo</w:t>
      </w:r>
      <w:r w:rsidRPr="00B841B9">
        <w:rPr>
          <w:rFonts w:ascii="TimesNewRoman" w:eastAsia="TimesNewRoman" w:cs="TimesNewRoman"/>
        </w:rPr>
        <w:t>ś</w:t>
      </w:r>
      <w:r w:rsidRPr="00B841B9">
        <w:t>ci 1%-2% ogólnej ilo</w:t>
      </w:r>
      <w:r w:rsidRPr="00B841B9">
        <w:rPr>
          <w:rFonts w:ascii="TimesNewRoman" w:eastAsia="TimesNewRoman" w:cs="TimesNewRoman"/>
        </w:rPr>
        <w:t>ś</w:t>
      </w:r>
      <w:r w:rsidRPr="00B841B9">
        <w:t xml:space="preserve">ci blach, w celu wyrównania do pionu przedniej </w:t>
      </w:r>
      <w:r w:rsidRPr="00B841B9">
        <w:rPr>
          <w:rFonts w:ascii="TimesNewRoman" w:eastAsia="TimesNewRoman" w:cs="TimesNewRoman"/>
        </w:rPr>
        <w:t>ś</w:t>
      </w:r>
      <w:r w:rsidRPr="00B841B9">
        <w:t>cianki. Aby możliwie zmniejszy</w:t>
      </w:r>
      <w:r w:rsidRPr="00B841B9">
        <w:rPr>
          <w:rFonts w:ascii="TimesNewRoman" w:eastAsia="TimesNewRoman" w:cs="TimesNewRoman"/>
        </w:rPr>
        <w:t>ć</w:t>
      </w:r>
      <w:r w:rsidRPr="00B841B9">
        <w:t>to odchylenie, nale</w:t>
      </w:r>
      <w:r w:rsidRPr="00B841B9">
        <w:rPr>
          <w:rFonts w:ascii="TimesNewRoman" w:eastAsia="TimesNewRoman" w:cs="TimesNewRoman"/>
        </w:rPr>
        <w:t>ż</w:t>
      </w:r>
      <w:r w:rsidRPr="00B841B9">
        <w:t>y dołem zacina</w:t>
      </w:r>
      <w:r w:rsidRPr="00B841B9">
        <w:rPr>
          <w:rFonts w:ascii="TimesNewRoman" w:eastAsia="TimesNewRoman" w:cs="TimesNewRoman"/>
        </w:rPr>
        <w:t>ć</w:t>
      </w:r>
      <w:r w:rsidRPr="00B841B9">
        <w:t>blachy uko</w:t>
      </w:r>
      <w:r w:rsidRPr="00B841B9">
        <w:rPr>
          <w:rFonts w:ascii="TimesNewRoman" w:eastAsia="TimesNewRoman" w:cs="TimesNewRoman"/>
        </w:rPr>
        <w:t>ś</w:t>
      </w:r>
      <w:r w:rsidRPr="00B841B9">
        <w:t>ne, lecz z pochyleniem w odwrotnym kierunku ni</w:t>
      </w:r>
      <w:r w:rsidRPr="00B841B9">
        <w:rPr>
          <w:rFonts w:ascii="TimesNewRoman" w:eastAsia="TimesNewRoman" w:cs="TimesNewRoman"/>
        </w:rPr>
        <w:t>ż</w:t>
      </w:r>
      <w:r w:rsidRPr="00B841B9">
        <w:t xml:space="preserve">w </w:t>
      </w:r>
      <w:r w:rsidRPr="00B841B9">
        <w:rPr>
          <w:rFonts w:ascii="TimesNewRoman" w:eastAsia="TimesNewRoman" w:cs="TimesNewRoman"/>
        </w:rPr>
        <w:t>ś</w:t>
      </w:r>
      <w:r w:rsidRPr="00B841B9">
        <w:t>ciankach drewnianych;</w:t>
      </w:r>
    </w:p>
    <w:p w:rsidR="00423A6C" w:rsidRPr="00B841B9" w:rsidRDefault="00423A6C" w:rsidP="00423A6C">
      <w:pPr>
        <w:autoSpaceDE w:val="0"/>
        <w:autoSpaceDN w:val="0"/>
        <w:adjustRightInd w:val="0"/>
        <w:jc w:val="both"/>
      </w:pPr>
      <w:r w:rsidRPr="00B841B9">
        <w:t>b) poł</w:t>
      </w:r>
      <w:r w:rsidRPr="00B841B9">
        <w:rPr>
          <w:rFonts w:ascii="TimesNewRoman" w:eastAsia="TimesNewRoman" w:cs="TimesNewRoman"/>
        </w:rPr>
        <w:t>ą</w:t>
      </w:r>
      <w:r w:rsidRPr="00B841B9">
        <w:t>czenie w zamkach wywołuje nieraz tak du</w:t>
      </w:r>
      <w:r w:rsidRPr="00B841B9">
        <w:rPr>
          <w:rFonts w:ascii="TimesNewRoman" w:eastAsia="TimesNewRoman" w:cs="TimesNewRoman"/>
        </w:rPr>
        <w:t>ż</w:t>
      </w:r>
      <w:r w:rsidRPr="00B841B9">
        <w:t xml:space="preserve">e tarcie, </w:t>
      </w:r>
      <w:r w:rsidRPr="00B841B9">
        <w:rPr>
          <w:rFonts w:ascii="TimesNewRoman" w:eastAsia="TimesNewRoman" w:cs="TimesNewRoman"/>
        </w:rPr>
        <w:t>ż</w:t>
      </w:r>
      <w:r w:rsidRPr="00B841B9">
        <w:t>e wraz z wbijanymi blachami wci</w:t>
      </w:r>
      <w:r w:rsidRPr="00B841B9">
        <w:rPr>
          <w:rFonts w:ascii="TimesNewRoman" w:eastAsia="TimesNewRoman" w:cs="TimesNewRoman"/>
        </w:rPr>
        <w:t>ą</w:t>
      </w:r>
      <w:r w:rsidRPr="00B841B9">
        <w:t>gane s</w:t>
      </w:r>
      <w:r w:rsidRPr="00B841B9">
        <w:rPr>
          <w:rFonts w:ascii="TimesNewRoman" w:eastAsia="TimesNewRoman" w:cs="TimesNewRoman"/>
        </w:rPr>
        <w:t>ą</w:t>
      </w:r>
      <w:r w:rsidRPr="00B841B9">
        <w:t>w gł</w:t>
      </w:r>
      <w:r w:rsidRPr="00B841B9">
        <w:rPr>
          <w:rFonts w:ascii="TimesNewRoman" w:eastAsia="TimesNewRoman" w:cs="TimesNewRoman"/>
        </w:rPr>
        <w:t>ą</w:t>
      </w:r>
      <w:r w:rsidRPr="00B841B9">
        <w:t>b gruntu poprzednio wbite blachy; przeciwdziała</w:t>
      </w:r>
      <w:r w:rsidRPr="00B841B9">
        <w:rPr>
          <w:rFonts w:ascii="TimesNewRoman" w:eastAsia="TimesNewRoman" w:cs="TimesNewRoman"/>
        </w:rPr>
        <w:t>ć</w:t>
      </w:r>
      <w:r w:rsidRPr="00B841B9">
        <w:t>takim objawom mo</w:t>
      </w:r>
      <w:r w:rsidRPr="00B841B9">
        <w:rPr>
          <w:rFonts w:ascii="TimesNewRoman" w:eastAsia="TimesNewRoman" w:cs="TimesNewRoman"/>
        </w:rPr>
        <w:t>ż</w:t>
      </w:r>
      <w:r w:rsidRPr="00B841B9">
        <w:t>na przez powleczenie powierzchni</w:t>
      </w:r>
    </w:p>
    <w:p w:rsidR="00423A6C" w:rsidRPr="00B841B9" w:rsidRDefault="00423A6C" w:rsidP="00423A6C">
      <w:pPr>
        <w:autoSpaceDE w:val="0"/>
        <w:autoSpaceDN w:val="0"/>
        <w:adjustRightInd w:val="0"/>
      </w:pPr>
      <w:r w:rsidRPr="00B841B9">
        <w:t>po</w:t>
      </w:r>
      <w:r w:rsidRPr="00B841B9">
        <w:rPr>
          <w:rFonts w:ascii="TimesNewRoman" w:eastAsia="TimesNewRoman" w:cs="TimesNewRoman"/>
        </w:rPr>
        <w:t>ś</w:t>
      </w:r>
      <w:r w:rsidRPr="00B841B9">
        <w:t>lizgowej zamków asfaltem z dodaniem paku lub tłust</w:t>
      </w:r>
      <w:r w:rsidRPr="00B841B9">
        <w:rPr>
          <w:rFonts w:ascii="TimesNewRoman" w:eastAsia="TimesNewRoman" w:cs="TimesNewRoman"/>
        </w:rPr>
        <w:t>ą</w:t>
      </w:r>
      <w:r w:rsidRPr="00B841B9">
        <w:t>glin</w:t>
      </w:r>
      <w:r w:rsidRPr="00B841B9">
        <w:rPr>
          <w:rFonts w:ascii="TimesNewRoman" w:eastAsia="TimesNewRoman" w:cs="TimesNewRoman"/>
        </w:rPr>
        <w:t>ę</w:t>
      </w:r>
      <w:r w:rsidRPr="00B841B9">
        <w:t>.</w:t>
      </w:r>
    </w:p>
    <w:p w:rsidR="00423A6C" w:rsidRPr="00B841B9" w:rsidRDefault="00423A6C" w:rsidP="00423A6C">
      <w:pPr>
        <w:autoSpaceDE w:val="0"/>
        <w:autoSpaceDN w:val="0"/>
        <w:adjustRightInd w:val="0"/>
        <w:rPr>
          <w:sz w:val="10"/>
          <w:szCs w:val="10"/>
        </w:rPr>
      </w:pPr>
    </w:p>
    <w:p w:rsidR="00423A6C" w:rsidRPr="00B841B9" w:rsidRDefault="00423A6C" w:rsidP="00423A6C">
      <w:pPr>
        <w:jc w:val="both"/>
        <w:rPr>
          <w:b/>
          <w:i/>
        </w:rPr>
      </w:pPr>
      <w:r w:rsidRPr="00B841B9">
        <w:rPr>
          <w:b/>
          <w:i/>
        </w:rPr>
        <w:t>Uwaga: Przed przyst</w:t>
      </w:r>
      <w:r w:rsidRPr="00B841B9">
        <w:rPr>
          <w:rFonts w:eastAsia="TimesNewRoman"/>
          <w:b/>
          <w:i/>
        </w:rPr>
        <w:t>ą</w:t>
      </w:r>
      <w:r w:rsidRPr="00B841B9">
        <w:rPr>
          <w:b/>
          <w:i/>
        </w:rPr>
        <w:t xml:space="preserve">pieniem do wbijania </w:t>
      </w:r>
      <w:r w:rsidRPr="00B841B9">
        <w:rPr>
          <w:rFonts w:eastAsia="TimesNewRoman"/>
          <w:b/>
          <w:i/>
        </w:rPr>
        <w:t>ś</w:t>
      </w:r>
      <w:r w:rsidRPr="00B841B9">
        <w:rPr>
          <w:b/>
          <w:i/>
        </w:rPr>
        <w:t>cianek szczelnych nale</w:t>
      </w:r>
      <w:r w:rsidRPr="00B841B9">
        <w:rPr>
          <w:rFonts w:eastAsia="TimesNewRoman"/>
          <w:b/>
          <w:i/>
        </w:rPr>
        <w:t>ż</w:t>
      </w:r>
      <w:r w:rsidRPr="00B841B9">
        <w:rPr>
          <w:b/>
          <w:i/>
        </w:rPr>
        <w:t>y wykona</w:t>
      </w:r>
      <w:r w:rsidRPr="00B841B9">
        <w:rPr>
          <w:rFonts w:eastAsia="TimesNewRoman"/>
          <w:b/>
          <w:i/>
        </w:rPr>
        <w:t xml:space="preserve">ć </w:t>
      </w:r>
      <w:r w:rsidRPr="00B841B9">
        <w:rPr>
          <w:b/>
          <w:i/>
        </w:rPr>
        <w:t>próbne przekopy, aby dokładnie zlokalizowa</w:t>
      </w:r>
      <w:r w:rsidRPr="00B841B9">
        <w:rPr>
          <w:rFonts w:eastAsia="TimesNewRoman"/>
          <w:b/>
          <w:i/>
        </w:rPr>
        <w:t xml:space="preserve">ć </w:t>
      </w:r>
      <w:r w:rsidRPr="00B841B9">
        <w:rPr>
          <w:b/>
          <w:i/>
        </w:rPr>
        <w:t>przebieg instalacji i innych przeszkód uniemo</w:t>
      </w:r>
      <w:r w:rsidRPr="00B841B9">
        <w:rPr>
          <w:rFonts w:eastAsia="TimesNewRoman"/>
          <w:b/>
          <w:i/>
        </w:rPr>
        <w:t>ż</w:t>
      </w:r>
      <w:r w:rsidRPr="00B841B9">
        <w:rPr>
          <w:b/>
          <w:i/>
        </w:rPr>
        <w:t>liwiaj</w:t>
      </w:r>
      <w:r w:rsidRPr="00B841B9">
        <w:rPr>
          <w:rFonts w:eastAsia="TimesNewRoman"/>
          <w:b/>
          <w:i/>
        </w:rPr>
        <w:t>ą</w:t>
      </w:r>
      <w:r w:rsidRPr="00B841B9">
        <w:rPr>
          <w:b/>
          <w:i/>
        </w:rPr>
        <w:t>cych ich wbicie.</w:t>
      </w:r>
    </w:p>
    <w:p w:rsidR="00423A6C" w:rsidRPr="00B841B9" w:rsidRDefault="00423A6C" w:rsidP="00423A6C">
      <w:pPr>
        <w:autoSpaceDE w:val="0"/>
        <w:autoSpaceDN w:val="0"/>
        <w:adjustRightInd w:val="0"/>
        <w:rPr>
          <w:sz w:val="10"/>
          <w:szCs w:val="10"/>
        </w:rPr>
      </w:pPr>
    </w:p>
    <w:p w:rsidR="00423A6C" w:rsidRPr="00B841B9" w:rsidRDefault="00423A6C" w:rsidP="00423A6C">
      <w:pPr>
        <w:autoSpaceDE w:val="0"/>
        <w:autoSpaceDN w:val="0"/>
        <w:adjustRightInd w:val="0"/>
        <w:rPr>
          <w:sz w:val="10"/>
          <w:szCs w:val="10"/>
        </w:rPr>
      </w:pPr>
    </w:p>
    <w:p w:rsidR="00423A6C" w:rsidRPr="00B841B9" w:rsidRDefault="00423A6C" w:rsidP="00423A6C">
      <w:pPr>
        <w:autoSpaceDE w:val="0"/>
        <w:autoSpaceDN w:val="0"/>
        <w:adjustRightInd w:val="0"/>
      </w:pPr>
      <w:r w:rsidRPr="00B841B9">
        <w:rPr>
          <w:b/>
          <w:bCs/>
        </w:rPr>
        <w:t>5.3. Inne roboty</w:t>
      </w:r>
      <w:r w:rsidRPr="00B841B9">
        <w:rPr>
          <w:b/>
          <w:bCs/>
        </w:rPr>
        <w:br/>
      </w:r>
      <w:r w:rsidRPr="00B841B9">
        <w:t>Wykonawca przed przystąpieniem do Wykonywania robót przedstawi sposób do akceptacji przez Inżyniera na wykonanie :</w:t>
      </w:r>
    </w:p>
    <w:p w:rsidR="00423A6C" w:rsidRDefault="00423A6C" w:rsidP="00423A6C">
      <w:pPr>
        <w:jc w:val="both"/>
      </w:pPr>
      <w:r w:rsidRPr="005151E9">
        <w:t xml:space="preserve">Wykonanie zabezpieczenia robót podcza wykonywania ściany czołowej  za pomocą stalowych ścianek szczelnych wyciąganych o długości </w:t>
      </w:r>
      <w:r w:rsidR="003D1001">
        <w:t>4</w:t>
      </w:r>
      <w:r>
        <w:t>-6</w:t>
      </w:r>
      <w:r w:rsidRPr="005151E9">
        <w:t xml:space="preserve"> m lub za pomocą płyt drogowych lub w inny sposób zależny od wykonawcy i zaakceptowany przez Inżyniera dostosowany do sposobu wykonywania robót przez Wykonawcę zapewniającą stateczność i ochronę przed wodą gruntową i wodą płynącą oraz zapewniający stateczność istniejącego przepustu drogi i skarp</w:t>
      </w:r>
    </w:p>
    <w:p w:rsidR="00423A6C" w:rsidRPr="00B841B9" w:rsidRDefault="00423A6C" w:rsidP="00423A6C">
      <w:pPr>
        <w:jc w:val="both"/>
      </w:pPr>
      <w:r w:rsidRPr="00B841B9">
        <w:t>- Pompowanie wody na czas wykonywania robót</w:t>
      </w:r>
    </w:p>
    <w:p w:rsidR="00423A6C" w:rsidRDefault="00423A6C" w:rsidP="00423A6C">
      <w:pPr>
        <w:jc w:val="both"/>
      </w:pPr>
      <w:r w:rsidRPr="00B841B9">
        <w:t xml:space="preserve">- </w:t>
      </w:r>
      <w:r w:rsidRPr="005151E9">
        <w:t>Wygrodzenia koryta cieku,przełożenie cieku, wykonanie gródz wraz z wykonaniem bypasu, średnica bypasu dostosowana do przepuszczenia wody znajdującej się w cieku w czasie Wykonywania robót lub inny sposób zależny od wykonawcy</w:t>
      </w:r>
    </w:p>
    <w:p w:rsidR="00423A6C" w:rsidRPr="00B841B9" w:rsidRDefault="00423A6C" w:rsidP="00423A6C">
      <w:pPr>
        <w:autoSpaceDE w:val="0"/>
        <w:autoSpaceDN w:val="0"/>
        <w:adjustRightInd w:val="0"/>
        <w:spacing w:line="360" w:lineRule="auto"/>
        <w:rPr>
          <w:b/>
          <w:bCs/>
          <w:u w:val="single"/>
        </w:rPr>
      </w:pPr>
      <w:r w:rsidRPr="00B841B9">
        <w:rPr>
          <w:b/>
          <w:bCs/>
          <w:u w:val="single"/>
        </w:rPr>
        <w:t>6. KONTROLA JAKO</w:t>
      </w:r>
      <w:r w:rsidRPr="00B841B9">
        <w:rPr>
          <w:rFonts w:ascii="TimesNewRoman" w:eastAsia="TimesNewRoman" w:cs="TimesNewRoman"/>
          <w:u w:val="single"/>
        </w:rPr>
        <w:t>Ś</w:t>
      </w:r>
      <w:r w:rsidRPr="00B841B9">
        <w:rPr>
          <w:b/>
          <w:bCs/>
          <w:u w:val="single"/>
        </w:rPr>
        <w:t>CI ROBÓT</w:t>
      </w:r>
    </w:p>
    <w:p w:rsidR="00423A6C" w:rsidRPr="00B841B9" w:rsidRDefault="00423A6C" w:rsidP="00423A6C">
      <w:pPr>
        <w:jc w:val="both"/>
        <w:rPr>
          <w:b/>
        </w:rPr>
      </w:pPr>
      <w:r w:rsidRPr="00B841B9">
        <w:rPr>
          <w:b/>
        </w:rPr>
        <w:t>6.1. Ogólne zasady kontroli robót.</w:t>
      </w:r>
    </w:p>
    <w:p w:rsidR="00423A6C" w:rsidRPr="00B841B9" w:rsidRDefault="00423A6C" w:rsidP="00423A6C">
      <w:pPr>
        <w:jc w:val="both"/>
      </w:pPr>
      <w:r w:rsidRPr="00B841B9">
        <w:t>Ogólne zasady kontroli jakoś</w:t>
      </w:r>
      <w:r w:rsidR="00102B16">
        <w:t>ci robót podano w Specyfikacji DM</w:t>
      </w:r>
      <w:r w:rsidRPr="00B841B9">
        <w:t>.00.00.00 "Wymagania ogólne".</w:t>
      </w:r>
    </w:p>
    <w:p w:rsidR="00423A6C" w:rsidRPr="00B841B9" w:rsidRDefault="00423A6C" w:rsidP="00423A6C">
      <w:pPr>
        <w:rPr>
          <w:b/>
        </w:rPr>
      </w:pPr>
      <w:r w:rsidRPr="00B841B9">
        <w:rPr>
          <w:b/>
        </w:rPr>
        <w:t xml:space="preserve">6.2. Kontrola wbijania ścianki szczelnej </w:t>
      </w:r>
    </w:p>
    <w:p w:rsidR="00423A6C" w:rsidRPr="00B841B9" w:rsidRDefault="00423A6C" w:rsidP="00423A6C">
      <w:pPr>
        <w:autoSpaceDE w:val="0"/>
        <w:autoSpaceDN w:val="0"/>
        <w:adjustRightInd w:val="0"/>
      </w:pPr>
      <w:r w:rsidRPr="00B841B9">
        <w:t>Przed przyst</w:t>
      </w:r>
      <w:r w:rsidRPr="00B841B9">
        <w:rPr>
          <w:rFonts w:ascii="TimesNewRoman" w:eastAsia="TimesNewRoman" w:cs="TimesNewRoman"/>
        </w:rPr>
        <w:t>ą</w:t>
      </w:r>
      <w:r w:rsidRPr="00B841B9">
        <w:t>pieniem do wbijania grodzic nale</w:t>
      </w:r>
      <w:r w:rsidRPr="00B841B9">
        <w:rPr>
          <w:rFonts w:ascii="TimesNewRoman" w:eastAsia="TimesNewRoman" w:cs="TimesNewRoman"/>
        </w:rPr>
        <w:t>ż</w:t>
      </w:r>
      <w:r w:rsidRPr="00B841B9">
        <w:t>y sprawdzi</w:t>
      </w:r>
      <w:r w:rsidRPr="00B841B9">
        <w:rPr>
          <w:rFonts w:ascii="TimesNewRoman" w:eastAsia="TimesNewRoman" w:cs="TimesNewRoman"/>
        </w:rPr>
        <w:t>ć</w:t>
      </w:r>
      <w:r w:rsidRPr="00B841B9">
        <w:t>:</w:t>
      </w:r>
    </w:p>
    <w:p w:rsidR="00423A6C" w:rsidRPr="00B841B9" w:rsidRDefault="00423A6C" w:rsidP="00423A6C">
      <w:pPr>
        <w:autoSpaceDE w:val="0"/>
        <w:autoSpaceDN w:val="0"/>
        <w:adjustRightInd w:val="0"/>
      </w:pPr>
      <w:r w:rsidRPr="00B841B9">
        <w:t>- wymiary i jako</w:t>
      </w:r>
      <w:r w:rsidRPr="00B841B9">
        <w:rPr>
          <w:rFonts w:ascii="TimesNewRoman" w:eastAsia="TimesNewRoman" w:cs="TimesNewRoman"/>
        </w:rPr>
        <w:t>ść</w:t>
      </w:r>
      <w:r w:rsidRPr="00B841B9">
        <w:t>grodzic przygotowanych do wbicia,</w:t>
      </w:r>
    </w:p>
    <w:p w:rsidR="00423A6C" w:rsidRPr="00B841B9" w:rsidRDefault="00423A6C" w:rsidP="00423A6C">
      <w:pPr>
        <w:autoSpaceDE w:val="0"/>
        <w:autoSpaceDN w:val="0"/>
        <w:adjustRightInd w:val="0"/>
      </w:pPr>
      <w:r w:rsidRPr="00B841B9">
        <w:t xml:space="preserve">- geodezyjne wyznaczenie </w:t>
      </w:r>
      <w:r w:rsidRPr="00B841B9">
        <w:rPr>
          <w:rFonts w:ascii="TimesNewRoman" w:eastAsia="TimesNewRoman" w:cs="TimesNewRoman"/>
        </w:rPr>
        <w:t>ś</w:t>
      </w:r>
      <w:r w:rsidRPr="00B841B9">
        <w:t>cianki szczelnej.</w:t>
      </w:r>
    </w:p>
    <w:p w:rsidR="00423A6C" w:rsidRPr="00B841B9" w:rsidRDefault="00423A6C" w:rsidP="00423A6C">
      <w:pPr>
        <w:autoSpaceDE w:val="0"/>
        <w:autoSpaceDN w:val="0"/>
        <w:adjustRightInd w:val="0"/>
      </w:pPr>
      <w:r w:rsidRPr="00B841B9">
        <w:t>W trakcie wbijania grodzic nale</w:t>
      </w:r>
      <w:r w:rsidRPr="00B841B9">
        <w:rPr>
          <w:rFonts w:ascii="TimesNewRoman" w:eastAsia="TimesNewRoman" w:cs="TimesNewRoman"/>
        </w:rPr>
        <w:t>ż</w:t>
      </w:r>
      <w:r w:rsidRPr="00B841B9">
        <w:t>y kontrolowa</w:t>
      </w:r>
      <w:r w:rsidRPr="00B841B9">
        <w:rPr>
          <w:rFonts w:ascii="TimesNewRoman" w:eastAsia="TimesNewRoman" w:cs="TimesNewRoman"/>
        </w:rPr>
        <w:t>ć</w:t>
      </w:r>
      <w:r w:rsidRPr="00B841B9">
        <w:t>ich wp</w:t>
      </w:r>
      <w:r w:rsidRPr="00B841B9">
        <w:rPr>
          <w:rFonts w:ascii="TimesNewRoman" w:eastAsia="TimesNewRoman" w:cs="TimesNewRoman"/>
        </w:rPr>
        <w:t>ę</w:t>
      </w:r>
      <w:r w:rsidRPr="00B841B9">
        <w:t>d.</w:t>
      </w:r>
    </w:p>
    <w:p w:rsidR="00423A6C" w:rsidRPr="00B841B9" w:rsidRDefault="00423A6C" w:rsidP="00423A6C">
      <w:pPr>
        <w:autoSpaceDE w:val="0"/>
        <w:autoSpaceDN w:val="0"/>
        <w:adjustRightInd w:val="0"/>
      </w:pPr>
      <w:r w:rsidRPr="00B841B9">
        <w:t>Tolerancje wbijania grodzic s</w:t>
      </w:r>
      <w:r w:rsidRPr="00B841B9">
        <w:rPr>
          <w:rFonts w:ascii="TimesNewRoman" w:eastAsia="TimesNewRoman" w:cs="TimesNewRoman"/>
        </w:rPr>
        <w:t>ą</w:t>
      </w:r>
      <w:r w:rsidRPr="00B841B9">
        <w:t>nast</w:t>
      </w:r>
      <w:r w:rsidRPr="00B841B9">
        <w:rPr>
          <w:rFonts w:ascii="TimesNewRoman" w:eastAsia="TimesNewRoman" w:cs="TimesNewRoman"/>
        </w:rPr>
        <w:t>ę</w:t>
      </w:r>
      <w:r w:rsidRPr="00B841B9">
        <w:t>puj</w:t>
      </w:r>
      <w:r w:rsidRPr="00B841B9">
        <w:rPr>
          <w:rFonts w:ascii="TimesNewRoman" w:eastAsia="TimesNewRoman" w:cs="TimesNewRoman"/>
        </w:rPr>
        <w:t>ą</w:t>
      </w:r>
      <w:r w:rsidRPr="00B841B9">
        <w:t>ce:</w:t>
      </w:r>
    </w:p>
    <w:p w:rsidR="00423A6C" w:rsidRPr="00B841B9" w:rsidRDefault="00423A6C" w:rsidP="00423A6C">
      <w:pPr>
        <w:autoSpaceDE w:val="0"/>
        <w:autoSpaceDN w:val="0"/>
        <w:adjustRightInd w:val="0"/>
      </w:pPr>
      <w:r w:rsidRPr="00B841B9">
        <w:t>- przesuni</w:t>
      </w:r>
      <w:r w:rsidRPr="00B841B9">
        <w:rPr>
          <w:rFonts w:ascii="TimesNewRoman" w:eastAsia="TimesNewRoman" w:cs="TimesNewRoman"/>
        </w:rPr>
        <w:t>ę</w:t>
      </w:r>
      <w:r w:rsidRPr="00B841B9">
        <w:t>cie w planie nie powinno by</w:t>
      </w:r>
      <w:r w:rsidRPr="00B841B9">
        <w:rPr>
          <w:rFonts w:ascii="TimesNewRoman" w:eastAsia="TimesNewRoman" w:cs="TimesNewRoman"/>
        </w:rPr>
        <w:t>ć</w:t>
      </w:r>
      <w:r w:rsidRPr="00B841B9">
        <w:t>wi</w:t>
      </w:r>
      <w:r w:rsidRPr="00B841B9">
        <w:rPr>
          <w:rFonts w:ascii="TimesNewRoman" w:eastAsia="TimesNewRoman" w:cs="TimesNewRoman"/>
        </w:rPr>
        <w:t>ę</w:t>
      </w:r>
      <w:r w:rsidRPr="00B841B9">
        <w:t>ksze ni</w:t>
      </w:r>
      <w:r w:rsidRPr="00B841B9">
        <w:rPr>
          <w:rFonts w:ascii="TimesNewRoman" w:eastAsia="TimesNewRoman" w:cs="TimesNewRoman"/>
        </w:rPr>
        <w:t>ż</w:t>
      </w:r>
      <w:r w:rsidRPr="00B841B9">
        <w:t>10 cm,</w:t>
      </w:r>
    </w:p>
    <w:p w:rsidR="00423A6C" w:rsidRPr="00B841B9" w:rsidRDefault="00423A6C" w:rsidP="00423A6C">
      <w:pPr>
        <w:autoSpaceDE w:val="0"/>
        <w:autoSpaceDN w:val="0"/>
        <w:adjustRightInd w:val="0"/>
        <w:jc w:val="both"/>
      </w:pPr>
      <w:r w:rsidRPr="00B841B9">
        <w:t>- odchylenie od kierunku wbijania grodzic nie powinno by</w:t>
      </w:r>
      <w:r w:rsidRPr="00B841B9">
        <w:rPr>
          <w:rFonts w:ascii="TimesNewRoman" w:eastAsia="TimesNewRoman" w:cs="TimesNewRoman"/>
        </w:rPr>
        <w:t>ć</w:t>
      </w:r>
      <w:r w:rsidRPr="00B841B9">
        <w:t>wi</w:t>
      </w:r>
      <w:r w:rsidRPr="00B841B9">
        <w:rPr>
          <w:rFonts w:ascii="TimesNewRoman" w:eastAsia="TimesNewRoman" w:cs="TimesNewRoman"/>
        </w:rPr>
        <w:t>ę</w:t>
      </w:r>
      <w:r w:rsidRPr="00B841B9">
        <w:t>ksze ni</w:t>
      </w:r>
      <w:r w:rsidRPr="00B841B9">
        <w:rPr>
          <w:rFonts w:ascii="TimesNewRoman" w:eastAsia="TimesNewRoman" w:cs="TimesNewRoman"/>
        </w:rPr>
        <w:t>ż</w:t>
      </w:r>
      <w:r w:rsidRPr="00B841B9">
        <w:t>1,0 % i 2 cm na długo</w:t>
      </w:r>
      <w:r w:rsidRPr="00B841B9">
        <w:rPr>
          <w:rFonts w:ascii="TimesNewRoman" w:eastAsia="TimesNewRoman" w:cs="TimesNewRoman"/>
        </w:rPr>
        <w:t>ś</w:t>
      </w:r>
      <w:r w:rsidRPr="00B841B9">
        <w:t>ci od dna wykopu do góry.</w:t>
      </w:r>
    </w:p>
    <w:p w:rsidR="00423A6C" w:rsidRPr="00B841B9" w:rsidRDefault="00423A6C" w:rsidP="00423A6C">
      <w:pPr>
        <w:spacing w:before="120" w:after="120"/>
        <w:rPr>
          <w:b/>
          <w:bCs/>
          <w:u w:val="single"/>
        </w:rPr>
      </w:pPr>
      <w:r w:rsidRPr="00B841B9">
        <w:rPr>
          <w:b/>
          <w:bCs/>
          <w:u w:val="single"/>
        </w:rPr>
        <w:t>7. OBMIAR ROBÓT</w:t>
      </w:r>
    </w:p>
    <w:p w:rsidR="00423A6C" w:rsidRPr="00B841B9" w:rsidRDefault="00423A6C" w:rsidP="00423A6C">
      <w:r w:rsidRPr="00B841B9">
        <w:t>Jednostk</w:t>
      </w:r>
      <w:r w:rsidRPr="00B841B9">
        <w:rPr>
          <w:rFonts w:eastAsia="TimesNewRoman"/>
        </w:rPr>
        <w:t xml:space="preserve">ą </w:t>
      </w:r>
      <w:r w:rsidRPr="00B841B9">
        <w:t xml:space="preserve">obmiaru jest 1 rycz.  wykonanych robót w punkcie 1.3 </w:t>
      </w:r>
    </w:p>
    <w:p w:rsidR="00423A6C" w:rsidRPr="00B841B9" w:rsidRDefault="00423A6C" w:rsidP="00423A6C">
      <w:pPr>
        <w:spacing w:before="120" w:after="120"/>
        <w:rPr>
          <w:b/>
          <w:bCs/>
          <w:u w:val="single"/>
        </w:rPr>
      </w:pPr>
      <w:r w:rsidRPr="00B841B9">
        <w:rPr>
          <w:b/>
          <w:bCs/>
          <w:u w:val="single"/>
        </w:rPr>
        <w:t>8. ODBIÓR ROBÓT</w:t>
      </w:r>
    </w:p>
    <w:p w:rsidR="00423A6C" w:rsidRPr="00B841B9" w:rsidRDefault="00423A6C" w:rsidP="00423A6C">
      <w:pPr>
        <w:autoSpaceDE w:val="0"/>
        <w:autoSpaceDN w:val="0"/>
        <w:adjustRightInd w:val="0"/>
      </w:pPr>
      <w:r w:rsidRPr="00B841B9">
        <w:t>Na podstawie wyników wg p 6 bada</w:t>
      </w:r>
      <w:r w:rsidRPr="00B841B9">
        <w:rPr>
          <w:rFonts w:ascii="TimesNewRoman" w:eastAsia="TimesNewRoman" w:cs="TimesNewRoman"/>
        </w:rPr>
        <w:t>ń</w:t>
      </w:r>
      <w:r w:rsidRPr="00B841B9">
        <w:t>nale</w:t>
      </w:r>
      <w:r w:rsidRPr="00B841B9">
        <w:rPr>
          <w:rFonts w:ascii="TimesNewRoman" w:eastAsia="TimesNewRoman" w:cs="TimesNewRoman"/>
        </w:rPr>
        <w:t>ż</w:t>
      </w:r>
      <w:r w:rsidRPr="00B841B9">
        <w:t>y sporz</w:t>
      </w:r>
      <w:r w:rsidRPr="00B841B9">
        <w:rPr>
          <w:rFonts w:ascii="TimesNewRoman" w:eastAsia="TimesNewRoman" w:cs="TimesNewRoman"/>
        </w:rPr>
        <w:t>ą</w:t>
      </w:r>
      <w:r w:rsidRPr="00B841B9">
        <w:t>dzi</w:t>
      </w:r>
      <w:r w:rsidRPr="00B841B9">
        <w:rPr>
          <w:rFonts w:ascii="TimesNewRoman" w:eastAsia="TimesNewRoman" w:cs="TimesNewRoman"/>
        </w:rPr>
        <w:t>ć</w:t>
      </w:r>
      <w:r w:rsidRPr="00B841B9">
        <w:t>protokóły odbioru robót. Je</w:t>
      </w:r>
      <w:r w:rsidRPr="00B841B9">
        <w:rPr>
          <w:rFonts w:ascii="TimesNewRoman" w:eastAsia="TimesNewRoman" w:cs="TimesNewRoman"/>
        </w:rPr>
        <w:t>ż</w:t>
      </w:r>
      <w:r w:rsidRPr="00B841B9">
        <w:t>eli wszystkie badania dały</w:t>
      </w:r>
    </w:p>
    <w:p w:rsidR="00423A6C" w:rsidRPr="00B841B9" w:rsidRDefault="00423A6C" w:rsidP="00423A6C">
      <w:pPr>
        <w:autoSpaceDE w:val="0"/>
        <w:autoSpaceDN w:val="0"/>
        <w:adjustRightInd w:val="0"/>
        <w:jc w:val="both"/>
      </w:pPr>
      <w:r w:rsidRPr="00B841B9">
        <w:t>wyniki dodatnie, wykonane roboty nale</w:t>
      </w:r>
      <w:r w:rsidRPr="00B841B9">
        <w:rPr>
          <w:rFonts w:ascii="TimesNewRoman" w:eastAsia="TimesNewRoman" w:cs="TimesNewRoman"/>
        </w:rPr>
        <w:t>ż</w:t>
      </w:r>
      <w:r w:rsidRPr="00B841B9">
        <w:t>y uzna</w:t>
      </w:r>
      <w:r w:rsidRPr="00B841B9">
        <w:rPr>
          <w:rFonts w:ascii="TimesNewRoman" w:eastAsia="TimesNewRoman" w:cs="TimesNewRoman"/>
        </w:rPr>
        <w:t>ć</w:t>
      </w:r>
      <w:r w:rsidRPr="00B841B9">
        <w:t>za zgodne z wymaganiami ST. Je</w:t>
      </w:r>
      <w:r w:rsidRPr="00B841B9">
        <w:rPr>
          <w:rFonts w:ascii="TimesNewRoman" w:eastAsia="TimesNewRoman" w:cs="TimesNewRoman"/>
        </w:rPr>
        <w:t>ż</w:t>
      </w:r>
      <w:r w:rsidRPr="00B841B9">
        <w:t>eli cho</w:t>
      </w:r>
      <w:r w:rsidRPr="00B841B9">
        <w:rPr>
          <w:rFonts w:ascii="TimesNewRoman" w:eastAsia="TimesNewRoman" w:cs="TimesNewRoman"/>
        </w:rPr>
        <w:t>ć</w:t>
      </w:r>
      <w:r w:rsidRPr="00B841B9">
        <w:t>jedno badanie dało</w:t>
      </w:r>
    </w:p>
    <w:p w:rsidR="00423A6C" w:rsidRPr="00B841B9" w:rsidRDefault="00423A6C" w:rsidP="00423A6C">
      <w:pPr>
        <w:autoSpaceDE w:val="0"/>
        <w:autoSpaceDN w:val="0"/>
        <w:adjustRightInd w:val="0"/>
        <w:jc w:val="both"/>
      </w:pPr>
      <w:r w:rsidRPr="00B841B9">
        <w:t>wynik ujemny, wykonane roboty nale</w:t>
      </w:r>
      <w:r w:rsidRPr="00B841B9">
        <w:rPr>
          <w:rFonts w:ascii="TimesNewRoman" w:eastAsia="TimesNewRoman" w:cs="TimesNewRoman"/>
        </w:rPr>
        <w:t>ż</w:t>
      </w:r>
      <w:r w:rsidRPr="00B841B9">
        <w:t>y uzna</w:t>
      </w:r>
      <w:r w:rsidRPr="00B841B9">
        <w:rPr>
          <w:rFonts w:ascii="TimesNewRoman" w:eastAsia="TimesNewRoman" w:cs="TimesNewRoman"/>
        </w:rPr>
        <w:t>ć</w:t>
      </w:r>
      <w:r w:rsidRPr="00B841B9">
        <w:t>za niezgodne z wymaganiami norm i kontraktu. W takiej sytuacji wykonawca obowi</w:t>
      </w:r>
      <w:r w:rsidRPr="00B841B9">
        <w:rPr>
          <w:rFonts w:ascii="TimesNewRoman" w:eastAsia="TimesNewRoman" w:cs="TimesNewRoman"/>
        </w:rPr>
        <w:t>ą</w:t>
      </w:r>
      <w:r w:rsidRPr="00B841B9">
        <w:t>zany jest doprowadzi</w:t>
      </w:r>
      <w:r w:rsidRPr="00B841B9">
        <w:rPr>
          <w:rFonts w:ascii="TimesNewRoman" w:eastAsia="TimesNewRoman" w:cs="TimesNewRoman"/>
        </w:rPr>
        <w:t>ć</w:t>
      </w:r>
      <w:r w:rsidRPr="00B841B9">
        <w:t>roboty do zgodno</w:t>
      </w:r>
      <w:r w:rsidRPr="00B841B9">
        <w:rPr>
          <w:rFonts w:ascii="TimesNewRoman" w:eastAsia="TimesNewRoman" w:cs="TimesNewRoman"/>
        </w:rPr>
        <w:t>ś</w:t>
      </w:r>
      <w:r w:rsidRPr="00B841B9">
        <w:t>ci z norm</w:t>
      </w:r>
      <w:r w:rsidRPr="00B841B9">
        <w:rPr>
          <w:rFonts w:ascii="TimesNewRoman" w:eastAsia="TimesNewRoman" w:cs="TimesNewRoman"/>
        </w:rPr>
        <w:t>ą</w:t>
      </w:r>
      <w:r w:rsidRPr="00B841B9">
        <w:t>i przedstawi</w:t>
      </w:r>
      <w:r w:rsidRPr="00B841B9">
        <w:rPr>
          <w:rFonts w:ascii="TimesNewRoman" w:eastAsia="TimesNewRoman" w:cs="TimesNewRoman"/>
        </w:rPr>
        <w:t>ć</w:t>
      </w:r>
      <w:r w:rsidRPr="00B841B9">
        <w:t>je do ponownego odbioru.</w:t>
      </w:r>
    </w:p>
    <w:p w:rsidR="00423A6C" w:rsidRPr="00B841B9" w:rsidRDefault="00423A6C" w:rsidP="00423A6C">
      <w:pPr>
        <w:autoSpaceDE w:val="0"/>
        <w:autoSpaceDN w:val="0"/>
        <w:adjustRightInd w:val="0"/>
        <w:rPr>
          <w:sz w:val="10"/>
          <w:szCs w:val="10"/>
        </w:rPr>
      </w:pPr>
    </w:p>
    <w:p w:rsidR="00423A6C" w:rsidRPr="00B841B9" w:rsidRDefault="00423A6C" w:rsidP="00423A6C">
      <w:pPr>
        <w:autoSpaceDE w:val="0"/>
        <w:autoSpaceDN w:val="0"/>
        <w:adjustRightInd w:val="0"/>
        <w:spacing w:line="360" w:lineRule="auto"/>
        <w:rPr>
          <w:b/>
          <w:bCs/>
          <w:u w:val="single"/>
        </w:rPr>
      </w:pPr>
      <w:r w:rsidRPr="00B841B9">
        <w:rPr>
          <w:b/>
          <w:bCs/>
          <w:u w:val="single"/>
        </w:rPr>
        <w:t>9. PODSTAWA PŁATNO</w:t>
      </w:r>
      <w:r w:rsidRPr="00B841B9">
        <w:rPr>
          <w:rFonts w:ascii="TimesNewRoman" w:eastAsia="TimesNewRoman" w:cs="TimesNewRoman"/>
          <w:u w:val="single"/>
        </w:rPr>
        <w:t>Ś</w:t>
      </w:r>
      <w:r w:rsidRPr="00B841B9">
        <w:rPr>
          <w:b/>
          <w:bCs/>
          <w:u w:val="single"/>
        </w:rPr>
        <w:t>CI</w:t>
      </w:r>
    </w:p>
    <w:p w:rsidR="00423A6C" w:rsidRPr="00B841B9" w:rsidRDefault="00423A6C" w:rsidP="00423A6C">
      <w:pPr>
        <w:autoSpaceDE w:val="0"/>
        <w:autoSpaceDN w:val="0"/>
        <w:adjustRightInd w:val="0"/>
      </w:pPr>
      <w:r w:rsidRPr="00B841B9">
        <w:t>Cena wykonania robót obejmuje:</w:t>
      </w:r>
    </w:p>
    <w:p w:rsidR="00423A6C" w:rsidRPr="00B841B9" w:rsidRDefault="00423A6C" w:rsidP="0097494B">
      <w:pPr>
        <w:numPr>
          <w:ilvl w:val="0"/>
          <w:numId w:val="30"/>
        </w:numPr>
        <w:autoSpaceDE w:val="0"/>
        <w:autoSpaceDN w:val="0"/>
        <w:adjustRightInd w:val="0"/>
      </w:pPr>
      <w:r w:rsidRPr="00B841B9">
        <w:t xml:space="preserve"> prace przygotowawcze i pomiarowe,</w:t>
      </w:r>
    </w:p>
    <w:p w:rsidR="00423A6C" w:rsidRPr="00B841B9" w:rsidRDefault="00423A6C" w:rsidP="0097494B">
      <w:pPr>
        <w:numPr>
          <w:ilvl w:val="0"/>
          <w:numId w:val="30"/>
        </w:numPr>
        <w:autoSpaceDE w:val="0"/>
        <w:autoSpaceDN w:val="0"/>
        <w:adjustRightInd w:val="0"/>
      </w:pPr>
      <w:r w:rsidRPr="00B841B9">
        <w:t>Zakup materiałów</w:t>
      </w:r>
    </w:p>
    <w:p w:rsidR="00423A6C" w:rsidRPr="00B841B9" w:rsidRDefault="00423A6C" w:rsidP="0097494B">
      <w:pPr>
        <w:numPr>
          <w:ilvl w:val="0"/>
          <w:numId w:val="31"/>
        </w:numPr>
        <w:autoSpaceDE w:val="0"/>
        <w:autoSpaceDN w:val="0"/>
        <w:adjustRightInd w:val="0"/>
      </w:pPr>
      <w:r w:rsidRPr="00B841B9">
        <w:t xml:space="preserve"> wykonanie projektów pomostów roboczych, wbicia </w:t>
      </w:r>
      <w:r w:rsidRPr="00B841B9">
        <w:rPr>
          <w:rFonts w:ascii="TimesNewRoman" w:eastAsia="TimesNewRoman" w:cs="TimesNewRoman"/>
        </w:rPr>
        <w:t>ś</w:t>
      </w:r>
      <w:r w:rsidRPr="00B841B9">
        <w:t xml:space="preserve">cianki szczelnej, </w:t>
      </w:r>
    </w:p>
    <w:p w:rsidR="00423A6C" w:rsidRDefault="00423A6C" w:rsidP="0097494B">
      <w:pPr>
        <w:numPr>
          <w:ilvl w:val="0"/>
          <w:numId w:val="32"/>
        </w:numPr>
        <w:autoSpaceDE w:val="0"/>
        <w:autoSpaceDN w:val="0"/>
        <w:adjustRightInd w:val="0"/>
      </w:pPr>
      <w:r w:rsidRPr="00B841B9">
        <w:t xml:space="preserve"> pozyskanie i transport elementów do zabezpieczenia</w:t>
      </w:r>
    </w:p>
    <w:p w:rsidR="00423A6C" w:rsidRDefault="00423A6C" w:rsidP="0097494B">
      <w:pPr>
        <w:numPr>
          <w:ilvl w:val="0"/>
          <w:numId w:val="32"/>
        </w:numPr>
        <w:autoSpaceDE w:val="0"/>
        <w:autoSpaceDN w:val="0"/>
        <w:adjustRightInd w:val="0"/>
      </w:pPr>
      <w:r>
        <w:t>zorganizowanie zaplecza budowy</w:t>
      </w:r>
    </w:p>
    <w:p w:rsidR="00102B16" w:rsidRDefault="00102B16" w:rsidP="0097494B">
      <w:pPr>
        <w:numPr>
          <w:ilvl w:val="0"/>
          <w:numId w:val="32"/>
        </w:numPr>
        <w:autoSpaceDE w:val="0"/>
        <w:autoSpaceDN w:val="0"/>
        <w:adjustRightInd w:val="0"/>
      </w:pPr>
      <w:r>
        <w:t>ewentualne uzskanie pozwolenia wodnoprawnego, oraz innych uzgodnień, opinii, pozwoleń</w:t>
      </w:r>
      <w:r w:rsidR="002110F5">
        <w:t xml:space="preserve"> w zależności od technologii wykonywania robót</w:t>
      </w:r>
    </w:p>
    <w:p w:rsidR="00423A6C" w:rsidRPr="00B841B9" w:rsidRDefault="00423A6C" w:rsidP="0097494B">
      <w:pPr>
        <w:numPr>
          <w:ilvl w:val="0"/>
          <w:numId w:val="32"/>
        </w:numPr>
        <w:autoSpaceDE w:val="0"/>
        <w:autoSpaceDN w:val="0"/>
        <w:adjustRightInd w:val="0"/>
      </w:pPr>
      <w:r>
        <w:t>ewentualna dzierżawa gruntów</w:t>
      </w:r>
    </w:p>
    <w:p w:rsidR="00423A6C" w:rsidRPr="00B841B9" w:rsidRDefault="00423A6C" w:rsidP="0097494B">
      <w:pPr>
        <w:numPr>
          <w:ilvl w:val="0"/>
          <w:numId w:val="32"/>
        </w:numPr>
        <w:autoSpaceDE w:val="0"/>
        <w:autoSpaceDN w:val="0"/>
        <w:adjustRightInd w:val="0"/>
      </w:pPr>
      <w:r w:rsidRPr="00B841B9">
        <w:t>wykonanie tymczasowych dróg dojazdowych,</w:t>
      </w:r>
    </w:p>
    <w:p w:rsidR="00423A6C" w:rsidRPr="00B841B9" w:rsidRDefault="00423A6C" w:rsidP="0097494B">
      <w:pPr>
        <w:numPr>
          <w:ilvl w:val="0"/>
          <w:numId w:val="33"/>
        </w:numPr>
        <w:autoSpaceDE w:val="0"/>
        <w:autoSpaceDN w:val="0"/>
        <w:adjustRightInd w:val="0"/>
      </w:pPr>
      <w:r w:rsidRPr="00B841B9">
        <w:t>sprowadzenie specjalistycznego sprz</w:t>
      </w:r>
      <w:r w:rsidRPr="00B841B9">
        <w:rPr>
          <w:rFonts w:ascii="TimesNewRoman" w:eastAsia="TimesNewRoman" w:cs="TimesNewRoman"/>
        </w:rPr>
        <w:t>ę</w:t>
      </w:r>
      <w:r w:rsidRPr="00B841B9">
        <w:t>tu na budow</w:t>
      </w:r>
      <w:r w:rsidRPr="00B841B9">
        <w:rPr>
          <w:rFonts w:ascii="TimesNewRoman" w:eastAsia="TimesNewRoman" w:cs="TimesNewRoman"/>
        </w:rPr>
        <w:t>ę</w:t>
      </w:r>
      <w:r w:rsidRPr="00B841B9">
        <w:t>,</w:t>
      </w:r>
    </w:p>
    <w:p w:rsidR="00423A6C" w:rsidRPr="00B841B9" w:rsidRDefault="00423A6C" w:rsidP="0097494B">
      <w:pPr>
        <w:numPr>
          <w:ilvl w:val="0"/>
          <w:numId w:val="33"/>
        </w:numPr>
        <w:autoSpaceDE w:val="0"/>
        <w:autoSpaceDN w:val="0"/>
        <w:adjustRightInd w:val="0"/>
      </w:pPr>
      <w:r w:rsidRPr="00B841B9">
        <w:t xml:space="preserve"> monta</w:t>
      </w:r>
      <w:r w:rsidRPr="00B841B9">
        <w:rPr>
          <w:rFonts w:ascii="TimesNewRoman" w:eastAsia="TimesNewRoman" w:cs="TimesNewRoman"/>
        </w:rPr>
        <w:t>ż</w:t>
      </w:r>
      <w:r w:rsidRPr="00B841B9">
        <w:t>, demonta</w:t>
      </w:r>
      <w:r w:rsidRPr="00B841B9">
        <w:rPr>
          <w:rFonts w:ascii="TimesNewRoman" w:eastAsia="TimesNewRoman" w:cs="TimesNewRoman"/>
        </w:rPr>
        <w:t>ż</w:t>
      </w:r>
      <w:r w:rsidRPr="00B841B9">
        <w:t>i przemieszczenie urz</w:t>
      </w:r>
      <w:r w:rsidRPr="00B841B9">
        <w:rPr>
          <w:rFonts w:ascii="TimesNewRoman" w:eastAsia="TimesNewRoman" w:cs="TimesNewRoman"/>
        </w:rPr>
        <w:t>ą</w:t>
      </w:r>
      <w:r w:rsidRPr="00B841B9">
        <w:t>dzenia do wbijania grodzic w obr</w:t>
      </w:r>
      <w:r w:rsidRPr="00B841B9">
        <w:rPr>
          <w:rFonts w:ascii="TimesNewRoman" w:eastAsia="TimesNewRoman" w:cs="TimesNewRoman"/>
        </w:rPr>
        <w:t>ę</w:t>
      </w:r>
      <w:r w:rsidRPr="00B841B9">
        <w:t>bie budowy, a także przygotowanie placu pod ustawienie sprzętu do wbijania ścianek szczelnych lub montażu innego zabezpieczenia</w:t>
      </w:r>
    </w:p>
    <w:p w:rsidR="00423A6C" w:rsidRPr="00B841B9" w:rsidRDefault="00423A6C" w:rsidP="0097494B">
      <w:pPr>
        <w:numPr>
          <w:ilvl w:val="0"/>
          <w:numId w:val="34"/>
        </w:numPr>
        <w:autoSpaceDE w:val="0"/>
        <w:autoSpaceDN w:val="0"/>
        <w:adjustRightInd w:val="0"/>
      </w:pPr>
      <w:r w:rsidRPr="00B841B9">
        <w:t xml:space="preserve"> przygotowanie i rozbiórka pomostów roboczych,</w:t>
      </w:r>
    </w:p>
    <w:p w:rsidR="00423A6C" w:rsidRPr="00B841B9" w:rsidRDefault="00423A6C" w:rsidP="0097494B">
      <w:pPr>
        <w:numPr>
          <w:ilvl w:val="0"/>
          <w:numId w:val="34"/>
        </w:numPr>
        <w:autoSpaceDE w:val="0"/>
        <w:autoSpaceDN w:val="0"/>
        <w:adjustRightInd w:val="0"/>
      </w:pPr>
      <w:r w:rsidRPr="00B841B9">
        <w:t>ewentualne opracowanie dodatkowych projektów, opracowań itp. jeśli zajdzie taka konieczność</w:t>
      </w:r>
    </w:p>
    <w:p w:rsidR="00423A6C" w:rsidRPr="00B841B9" w:rsidRDefault="00423A6C" w:rsidP="0097494B">
      <w:pPr>
        <w:numPr>
          <w:ilvl w:val="0"/>
          <w:numId w:val="34"/>
        </w:numPr>
        <w:autoSpaceDE w:val="0"/>
        <w:autoSpaceDN w:val="0"/>
        <w:adjustRightInd w:val="0"/>
      </w:pPr>
      <w:r w:rsidRPr="00B841B9">
        <w:t>ewentualne uzyskanie dodatkowych uzgodnień, pozwoleń, decyzji itp. jeśli zajdzie taka konieczność</w:t>
      </w:r>
    </w:p>
    <w:p w:rsidR="00423A6C" w:rsidRPr="00B841B9" w:rsidRDefault="00423A6C" w:rsidP="0097494B">
      <w:pPr>
        <w:numPr>
          <w:ilvl w:val="0"/>
          <w:numId w:val="34"/>
        </w:numPr>
        <w:autoSpaceDE w:val="0"/>
        <w:autoSpaceDN w:val="0"/>
        <w:adjustRightInd w:val="0"/>
      </w:pPr>
      <w:r w:rsidRPr="00B841B9">
        <w:t>prace związane z wykonywaniem robót w korycie cieku np. wygrodzenia, przekładanie cieku,wykonywaniegródz z worków z piaskiem, zabijanie stalowych ścianek szczelnych,przepuszczeniem wody w przepustach</w:t>
      </w:r>
      <w:r w:rsidR="002110F5">
        <w:t xml:space="preserve"> lub innych konstrukcjach tymczasowych</w:t>
      </w:r>
      <w:r w:rsidRPr="00B841B9">
        <w:t>,  oraz poźniejsza rozbiórka po wykonaniu robót,</w:t>
      </w:r>
    </w:p>
    <w:p w:rsidR="00423A6C" w:rsidRPr="00B841B9" w:rsidRDefault="002110F5" w:rsidP="0097494B">
      <w:pPr>
        <w:numPr>
          <w:ilvl w:val="0"/>
          <w:numId w:val="34"/>
        </w:numPr>
        <w:autoSpaceDE w:val="0"/>
        <w:autoSpaceDN w:val="0"/>
        <w:adjustRightInd w:val="0"/>
      </w:pPr>
      <w:r>
        <w:t xml:space="preserve">ewentualne wykonanie bypassów </w:t>
      </w:r>
      <w:r w:rsidR="00423A6C" w:rsidRPr="00B841B9">
        <w:t>w zależności od ilości wody w cieku, rozbiórka po wykonaniu robót</w:t>
      </w:r>
    </w:p>
    <w:p w:rsidR="00423A6C" w:rsidRPr="00B841B9" w:rsidRDefault="00423A6C" w:rsidP="0097494B">
      <w:pPr>
        <w:numPr>
          <w:ilvl w:val="0"/>
          <w:numId w:val="34"/>
        </w:numPr>
        <w:autoSpaceDE w:val="0"/>
        <w:autoSpaceDN w:val="0"/>
        <w:adjustRightInd w:val="0"/>
      </w:pPr>
      <w:r w:rsidRPr="00B841B9">
        <w:t>pompowanie wody</w:t>
      </w:r>
    </w:p>
    <w:p w:rsidR="00423A6C" w:rsidRPr="00B841B9" w:rsidRDefault="00423A6C" w:rsidP="0097494B">
      <w:pPr>
        <w:numPr>
          <w:ilvl w:val="0"/>
          <w:numId w:val="34"/>
        </w:numPr>
        <w:autoSpaceDE w:val="0"/>
        <w:autoSpaceDN w:val="0"/>
        <w:adjustRightInd w:val="0"/>
      </w:pPr>
      <w:r w:rsidRPr="00B841B9">
        <w:t xml:space="preserve">wykonywanie rusztowań roboczych </w:t>
      </w:r>
    </w:p>
    <w:p w:rsidR="00423A6C" w:rsidRPr="00B841B9" w:rsidRDefault="00423A6C" w:rsidP="0097494B">
      <w:pPr>
        <w:numPr>
          <w:ilvl w:val="0"/>
          <w:numId w:val="34"/>
        </w:numPr>
        <w:autoSpaceDE w:val="0"/>
        <w:autoSpaceDN w:val="0"/>
        <w:adjustRightInd w:val="0"/>
      </w:pPr>
      <w:r w:rsidRPr="00B841B9">
        <w:t>zabezpieczenie sieci uzbrojenia terenu,</w:t>
      </w:r>
    </w:p>
    <w:p w:rsidR="00423A6C" w:rsidRPr="00B841B9" w:rsidRDefault="00423A6C" w:rsidP="0097494B">
      <w:pPr>
        <w:numPr>
          <w:ilvl w:val="0"/>
          <w:numId w:val="34"/>
        </w:numPr>
        <w:autoSpaceDE w:val="0"/>
        <w:autoSpaceDN w:val="0"/>
        <w:adjustRightInd w:val="0"/>
      </w:pPr>
      <w:r w:rsidRPr="00B841B9">
        <w:t>ewentualne pompowanie wody</w:t>
      </w:r>
    </w:p>
    <w:p w:rsidR="00423A6C" w:rsidRPr="00B841B9" w:rsidRDefault="00423A6C" w:rsidP="0097494B">
      <w:pPr>
        <w:numPr>
          <w:ilvl w:val="0"/>
          <w:numId w:val="35"/>
        </w:numPr>
        <w:autoSpaceDE w:val="0"/>
        <w:autoSpaceDN w:val="0"/>
        <w:adjustRightInd w:val="0"/>
      </w:pPr>
      <w:r w:rsidRPr="00B841B9">
        <w:t xml:space="preserve"> przygotow</w:t>
      </w:r>
      <w:r w:rsidR="002110F5">
        <w:t>anie grodzic do wbicia lub innych konstrukcji zabezpieczających</w:t>
      </w:r>
    </w:p>
    <w:p w:rsidR="00423A6C" w:rsidRPr="00B841B9" w:rsidRDefault="00423A6C" w:rsidP="0097494B">
      <w:pPr>
        <w:numPr>
          <w:ilvl w:val="0"/>
          <w:numId w:val="36"/>
        </w:numPr>
        <w:autoSpaceDE w:val="0"/>
        <w:autoSpaceDN w:val="0"/>
        <w:adjustRightInd w:val="0"/>
      </w:pPr>
      <w:r w:rsidRPr="00B841B9">
        <w:t xml:space="preserve"> wbicie grodzic do wła</w:t>
      </w:r>
      <w:r w:rsidRPr="00B841B9">
        <w:rPr>
          <w:rFonts w:ascii="TimesNewRoman" w:eastAsia="TimesNewRoman" w:cs="TimesNewRoman"/>
        </w:rPr>
        <w:t>ś</w:t>
      </w:r>
      <w:r w:rsidRPr="00B841B9">
        <w:t>ciwej gł</w:t>
      </w:r>
      <w:r w:rsidRPr="00B841B9">
        <w:rPr>
          <w:rFonts w:ascii="TimesNewRoman" w:eastAsia="TimesNewRoman" w:cs="TimesNewRoman"/>
        </w:rPr>
        <w:t>ę</w:t>
      </w:r>
      <w:r w:rsidRPr="00B841B9">
        <w:t>boko</w:t>
      </w:r>
      <w:r w:rsidRPr="00B841B9">
        <w:rPr>
          <w:rFonts w:ascii="TimesNewRoman" w:eastAsia="TimesNewRoman" w:cs="TimesNewRoman"/>
        </w:rPr>
        <w:t>ś</w:t>
      </w:r>
      <w:r w:rsidRPr="00B841B9">
        <w:t>ci z zapewnieniem szczelno</w:t>
      </w:r>
      <w:r w:rsidRPr="00B841B9">
        <w:rPr>
          <w:rFonts w:ascii="TimesNewRoman" w:eastAsia="TimesNewRoman" w:cs="TimesNewRoman"/>
        </w:rPr>
        <w:t>ś</w:t>
      </w:r>
      <w:r w:rsidRPr="00B841B9">
        <w:t>ci poł</w:t>
      </w:r>
      <w:r w:rsidRPr="00B841B9">
        <w:rPr>
          <w:rFonts w:ascii="TimesNewRoman" w:eastAsia="TimesNewRoman" w:cs="TimesNewRoman"/>
        </w:rPr>
        <w:t>ą</w:t>
      </w:r>
      <w:r w:rsidRPr="00B841B9">
        <w:t>cze</w:t>
      </w:r>
      <w:r w:rsidRPr="00B841B9">
        <w:rPr>
          <w:rFonts w:ascii="TimesNewRoman" w:eastAsia="TimesNewRoman" w:cs="TimesNewRoman"/>
        </w:rPr>
        <w:t>ń</w:t>
      </w:r>
      <w:r w:rsidRPr="00B841B9">
        <w:t>,</w:t>
      </w:r>
      <w:r w:rsidR="002110F5">
        <w:t xml:space="preserve"> lub montaż innych konstrukcji zabezpieczających</w:t>
      </w:r>
    </w:p>
    <w:p w:rsidR="00423A6C" w:rsidRPr="00B841B9" w:rsidRDefault="00423A6C" w:rsidP="0097494B">
      <w:pPr>
        <w:numPr>
          <w:ilvl w:val="0"/>
          <w:numId w:val="36"/>
        </w:numPr>
        <w:autoSpaceDE w:val="0"/>
        <w:autoSpaceDN w:val="0"/>
        <w:adjustRightInd w:val="0"/>
      </w:pPr>
      <w:r w:rsidRPr="00B841B9">
        <w:t>Wyciągnięcie po wykonaniu robót</w:t>
      </w:r>
    </w:p>
    <w:p w:rsidR="00423A6C" w:rsidRPr="00B841B9" w:rsidRDefault="00423A6C" w:rsidP="0097494B">
      <w:pPr>
        <w:numPr>
          <w:ilvl w:val="0"/>
          <w:numId w:val="36"/>
        </w:numPr>
        <w:autoSpaceDE w:val="0"/>
        <w:autoSpaceDN w:val="0"/>
        <w:adjustRightInd w:val="0"/>
      </w:pPr>
      <w:r w:rsidRPr="00B841B9">
        <w:t>Ewentualna rozbiórka, wyciąganie elementów i wszystkie prace towarzyszące,</w:t>
      </w:r>
    </w:p>
    <w:p w:rsidR="00423A6C" w:rsidRPr="00B841B9" w:rsidRDefault="00423A6C" w:rsidP="0097494B">
      <w:pPr>
        <w:numPr>
          <w:ilvl w:val="0"/>
          <w:numId w:val="37"/>
        </w:numPr>
        <w:autoSpaceDE w:val="0"/>
        <w:autoSpaceDN w:val="0"/>
        <w:adjustRightInd w:val="0"/>
      </w:pPr>
      <w:r w:rsidRPr="00B841B9">
        <w:t>przeprowadzenie bada</w:t>
      </w:r>
      <w:r w:rsidRPr="00B841B9">
        <w:rPr>
          <w:rFonts w:ascii="TimesNewRoman" w:eastAsia="TimesNewRoman" w:cs="TimesNewRoman"/>
        </w:rPr>
        <w:t>ń</w:t>
      </w:r>
      <w:r w:rsidRPr="00B841B9">
        <w:t>i pomiarów wymaganych w specyfikacji technicznej.</w:t>
      </w:r>
    </w:p>
    <w:p w:rsidR="00423A6C" w:rsidRPr="00B841B9" w:rsidRDefault="00423A6C" w:rsidP="0097494B">
      <w:pPr>
        <w:numPr>
          <w:ilvl w:val="0"/>
          <w:numId w:val="38"/>
        </w:numPr>
        <w:autoSpaceDE w:val="0"/>
        <w:autoSpaceDN w:val="0"/>
        <w:adjustRightInd w:val="0"/>
      </w:pPr>
      <w:r w:rsidRPr="00B841B9">
        <w:t>uporządkowanie placu budowy</w:t>
      </w:r>
    </w:p>
    <w:p w:rsidR="00423A6C" w:rsidRPr="00B841B9" w:rsidRDefault="00423A6C" w:rsidP="00423A6C">
      <w:pPr>
        <w:autoSpaceDE w:val="0"/>
        <w:autoSpaceDN w:val="0"/>
        <w:adjustRightInd w:val="0"/>
        <w:spacing w:line="360" w:lineRule="auto"/>
        <w:rPr>
          <w:b/>
          <w:bCs/>
          <w:sz w:val="10"/>
          <w:szCs w:val="10"/>
          <w:u w:val="single"/>
        </w:rPr>
      </w:pPr>
    </w:p>
    <w:p w:rsidR="00423A6C" w:rsidRPr="00B841B9" w:rsidRDefault="00423A6C" w:rsidP="00423A6C">
      <w:pPr>
        <w:autoSpaceDE w:val="0"/>
        <w:autoSpaceDN w:val="0"/>
        <w:adjustRightInd w:val="0"/>
        <w:spacing w:line="360" w:lineRule="auto"/>
        <w:rPr>
          <w:b/>
          <w:bCs/>
          <w:u w:val="single"/>
        </w:rPr>
      </w:pPr>
      <w:r w:rsidRPr="00B841B9">
        <w:rPr>
          <w:b/>
          <w:bCs/>
          <w:u w:val="single"/>
        </w:rPr>
        <w:t>10. PRZEPISY ZWI</w:t>
      </w:r>
      <w:r w:rsidRPr="00B841B9">
        <w:rPr>
          <w:rFonts w:ascii="TimesNewRoman" w:eastAsia="TimesNewRoman" w:cs="TimesNewRoman"/>
          <w:u w:val="single"/>
        </w:rPr>
        <w:t>Ą</w:t>
      </w:r>
      <w:r w:rsidRPr="00B841B9">
        <w:rPr>
          <w:b/>
          <w:bCs/>
          <w:u w:val="single"/>
        </w:rPr>
        <w:t>ZANE</w:t>
      </w:r>
    </w:p>
    <w:p w:rsidR="00423A6C" w:rsidRPr="00B841B9" w:rsidRDefault="00423A6C" w:rsidP="00423A6C">
      <w:pPr>
        <w:autoSpaceDE w:val="0"/>
        <w:autoSpaceDN w:val="0"/>
        <w:adjustRightInd w:val="0"/>
        <w:rPr>
          <w:b/>
          <w:bCs/>
        </w:rPr>
      </w:pPr>
      <w:r w:rsidRPr="00B841B9">
        <w:rPr>
          <w:b/>
          <w:bCs/>
        </w:rPr>
        <w:t>10.1. Normy</w:t>
      </w:r>
    </w:p>
    <w:p w:rsidR="00423A6C" w:rsidRPr="00B841B9" w:rsidRDefault="00423A6C" w:rsidP="00423A6C">
      <w:pPr>
        <w:autoSpaceDE w:val="0"/>
        <w:autoSpaceDN w:val="0"/>
        <w:adjustRightInd w:val="0"/>
      </w:pPr>
      <w:r w:rsidRPr="00B841B9">
        <w:t>1. PN-B-93433 Kształtowniki stalowe walcowane na gor</w:t>
      </w:r>
      <w:r w:rsidRPr="00B841B9">
        <w:rPr>
          <w:rFonts w:ascii="TimesNewRoman" w:eastAsia="TimesNewRoman" w:cs="TimesNewRoman"/>
        </w:rPr>
        <w:t>ą</w:t>
      </w:r>
      <w:r w:rsidRPr="00B841B9">
        <w:t>co. Grodzice G-62.</w:t>
      </w:r>
    </w:p>
    <w:p w:rsidR="00423A6C" w:rsidRPr="00B841B9" w:rsidRDefault="00423A6C" w:rsidP="00423A6C">
      <w:pPr>
        <w:autoSpaceDE w:val="0"/>
        <w:autoSpaceDN w:val="0"/>
        <w:adjustRightInd w:val="0"/>
      </w:pPr>
      <w:r w:rsidRPr="00B841B9">
        <w:t>2. PN-B-02482 Fundamenty budowlane. No</w:t>
      </w:r>
      <w:r w:rsidRPr="00B841B9">
        <w:rPr>
          <w:rFonts w:ascii="TimesNewRoman" w:eastAsia="TimesNewRoman" w:cs="TimesNewRoman"/>
        </w:rPr>
        <w:t>ś</w:t>
      </w:r>
      <w:r w:rsidRPr="00B841B9">
        <w:t>no</w:t>
      </w:r>
      <w:r w:rsidRPr="00B841B9">
        <w:rPr>
          <w:rFonts w:ascii="TimesNewRoman" w:eastAsia="TimesNewRoman" w:cs="TimesNewRoman"/>
        </w:rPr>
        <w:t>ść</w:t>
      </w:r>
      <w:r w:rsidRPr="00B841B9">
        <w:t>pali i fundamentów palowych.</w:t>
      </w:r>
    </w:p>
    <w:p w:rsidR="00423A6C" w:rsidRPr="00B841B9" w:rsidRDefault="00423A6C" w:rsidP="00423A6C">
      <w:pPr>
        <w:autoSpaceDE w:val="0"/>
        <w:autoSpaceDN w:val="0"/>
        <w:adjustRightInd w:val="0"/>
      </w:pPr>
      <w:r w:rsidRPr="00B841B9">
        <w:t>3. PN-EN 10025:2002(U) Wyroby walcowane na gor</w:t>
      </w:r>
      <w:r w:rsidRPr="00B841B9">
        <w:rPr>
          <w:rFonts w:ascii="TimesNewRoman" w:eastAsia="TimesNewRoman" w:cs="TimesNewRoman"/>
        </w:rPr>
        <w:t>ą</w:t>
      </w:r>
      <w:r w:rsidRPr="00B841B9">
        <w:t>co z niestopowych stali konstrukcyjnych. Warunki</w:t>
      </w:r>
    </w:p>
    <w:p w:rsidR="00423A6C" w:rsidRPr="00B841B9" w:rsidRDefault="00423A6C" w:rsidP="00423A6C">
      <w:pPr>
        <w:autoSpaceDE w:val="0"/>
        <w:autoSpaceDN w:val="0"/>
        <w:adjustRightInd w:val="0"/>
      </w:pPr>
      <w:r w:rsidRPr="00B841B9">
        <w:t>techniczne dostawy.</w:t>
      </w:r>
    </w:p>
    <w:p w:rsidR="00423A6C" w:rsidRPr="00B841B9" w:rsidRDefault="00423A6C" w:rsidP="00423A6C">
      <w:pPr>
        <w:autoSpaceDE w:val="0"/>
        <w:autoSpaceDN w:val="0"/>
        <w:adjustRightInd w:val="0"/>
      </w:pPr>
      <w:r w:rsidRPr="00B841B9">
        <w:t>4. PN-EN 10248-1:1999 Grodzice walcowane na gor</w:t>
      </w:r>
      <w:r w:rsidRPr="00B841B9">
        <w:rPr>
          <w:rFonts w:ascii="TimesNewRoman" w:eastAsia="TimesNewRoman" w:cs="TimesNewRoman"/>
        </w:rPr>
        <w:t>ą</w:t>
      </w:r>
      <w:r w:rsidRPr="00B841B9">
        <w:t>co ze stali niestopowych. Warunki techniczne dostawy.</w:t>
      </w:r>
    </w:p>
    <w:p w:rsidR="00423A6C" w:rsidRPr="00B841B9" w:rsidRDefault="00423A6C" w:rsidP="00423A6C">
      <w:pPr>
        <w:autoSpaceDE w:val="0"/>
        <w:autoSpaceDN w:val="0"/>
        <w:adjustRightInd w:val="0"/>
      </w:pPr>
      <w:r w:rsidRPr="00B841B9">
        <w:t>5. PN-EN 10248-2:1999 Grodzice walcowane na gor</w:t>
      </w:r>
      <w:r w:rsidRPr="00B841B9">
        <w:rPr>
          <w:rFonts w:ascii="TimesNewRoman" w:eastAsia="TimesNewRoman" w:cs="TimesNewRoman"/>
        </w:rPr>
        <w:t>ą</w:t>
      </w:r>
      <w:r w:rsidRPr="00B841B9">
        <w:t>co ze stali niestopowych. Tolerancje kształtu i</w:t>
      </w:r>
    </w:p>
    <w:p w:rsidR="00423A6C" w:rsidRDefault="00423A6C" w:rsidP="00646246">
      <w:pPr>
        <w:pStyle w:val="Nagwek1"/>
        <w:jc w:val="both"/>
        <w:rPr>
          <w:bCs/>
          <w:szCs w:val="26"/>
        </w:rPr>
      </w:pPr>
    </w:p>
    <w:p w:rsidR="00423A6C" w:rsidRDefault="00423A6C" w:rsidP="00646246">
      <w:pPr>
        <w:pStyle w:val="Nagwek1"/>
        <w:jc w:val="both"/>
        <w:rPr>
          <w:bCs/>
          <w:szCs w:val="26"/>
        </w:rPr>
      </w:pPr>
    </w:p>
    <w:p w:rsidR="00423A6C" w:rsidRDefault="00423A6C" w:rsidP="00646246">
      <w:pPr>
        <w:pStyle w:val="Nagwek1"/>
        <w:jc w:val="both"/>
        <w:rPr>
          <w:bCs/>
          <w:szCs w:val="26"/>
        </w:rPr>
      </w:pPr>
    </w:p>
    <w:p w:rsidR="00423A6C" w:rsidRDefault="00423A6C" w:rsidP="00646246">
      <w:pPr>
        <w:pStyle w:val="Nagwek1"/>
        <w:jc w:val="both"/>
        <w:rPr>
          <w:bCs/>
          <w:szCs w:val="26"/>
        </w:rPr>
      </w:pPr>
    </w:p>
    <w:p w:rsidR="00423A6C" w:rsidRDefault="00423A6C" w:rsidP="00646246">
      <w:pPr>
        <w:pStyle w:val="Nagwek1"/>
        <w:jc w:val="both"/>
        <w:rPr>
          <w:bCs/>
          <w:szCs w:val="26"/>
        </w:rPr>
      </w:pPr>
    </w:p>
    <w:p w:rsidR="00423A6C" w:rsidRDefault="00423A6C" w:rsidP="00646246">
      <w:pPr>
        <w:pStyle w:val="Nagwek1"/>
        <w:jc w:val="both"/>
        <w:rPr>
          <w:bCs/>
          <w:szCs w:val="26"/>
        </w:rPr>
      </w:pPr>
    </w:p>
    <w:p w:rsidR="00423A6C" w:rsidRDefault="00423A6C" w:rsidP="00646246">
      <w:pPr>
        <w:pStyle w:val="Nagwek1"/>
        <w:jc w:val="both"/>
        <w:rPr>
          <w:bCs/>
          <w:szCs w:val="26"/>
        </w:rPr>
      </w:pPr>
    </w:p>
    <w:p w:rsidR="00423A6C" w:rsidRDefault="00423A6C" w:rsidP="00646246">
      <w:pPr>
        <w:pStyle w:val="Nagwek1"/>
        <w:jc w:val="both"/>
        <w:rPr>
          <w:bCs/>
          <w:szCs w:val="26"/>
        </w:rPr>
      </w:pPr>
    </w:p>
    <w:p w:rsidR="00423A6C" w:rsidRDefault="00423A6C" w:rsidP="00646246">
      <w:pPr>
        <w:pStyle w:val="Nagwek1"/>
        <w:jc w:val="both"/>
        <w:rPr>
          <w:bCs/>
          <w:szCs w:val="26"/>
        </w:rPr>
      </w:pPr>
    </w:p>
    <w:p w:rsidR="00423A6C" w:rsidRDefault="00423A6C" w:rsidP="00646246">
      <w:pPr>
        <w:pStyle w:val="Nagwek1"/>
        <w:jc w:val="both"/>
        <w:rPr>
          <w:bCs/>
          <w:szCs w:val="26"/>
        </w:rPr>
      </w:pPr>
    </w:p>
    <w:p w:rsidR="00423A6C" w:rsidRDefault="00423A6C" w:rsidP="00646246">
      <w:pPr>
        <w:pStyle w:val="Nagwek1"/>
        <w:jc w:val="both"/>
        <w:rPr>
          <w:bCs/>
          <w:szCs w:val="26"/>
        </w:rPr>
      </w:pPr>
    </w:p>
    <w:p w:rsidR="00423A6C" w:rsidRDefault="00423A6C" w:rsidP="00646246">
      <w:pPr>
        <w:pStyle w:val="Nagwek1"/>
        <w:jc w:val="both"/>
        <w:rPr>
          <w:bCs/>
          <w:szCs w:val="26"/>
        </w:rPr>
      </w:pPr>
    </w:p>
    <w:p w:rsidR="00423A6C" w:rsidRDefault="00423A6C" w:rsidP="00646246">
      <w:pPr>
        <w:pStyle w:val="Nagwek1"/>
        <w:jc w:val="both"/>
        <w:rPr>
          <w:bCs/>
          <w:szCs w:val="26"/>
        </w:rPr>
      </w:pPr>
    </w:p>
    <w:p w:rsidR="00423A6C" w:rsidRDefault="00423A6C" w:rsidP="00646246">
      <w:pPr>
        <w:pStyle w:val="Nagwek1"/>
        <w:jc w:val="both"/>
        <w:rPr>
          <w:bCs/>
          <w:szCs w:val="26"/>
        </w:rPr>
      </w:pPr>
    </w:p>
    <w:p w:rsidR="00423A6C" w:rsidRDefault="00423A6C" w:rsidP="00646246">
      <w:pPr>
        <w:pStyle w:val="Nagwek1"/>
        <w:jc w:val="both"/>
        <w:rPr>
          <w:bCs/>
          <w:szCs w:val="26"/>
        </w:rPr>
      </w:pPr>
    </w:p>
    <w:p w:rsidR="00423A6C" w:rsidRDefault="00423A6C" w:rsidP="00646246">
      <w:pPr>
        <w:pStyle w:val="Nagwek1"/>
        <w:jc w:val="both"/>
        <w:rPr>
          <w:bCs/>
          <w:szCs w:val="26"/>
        </w:rPr>
      </w:pPr>
    </w:p>
    <w:p w:rsidR="00423A6C" w:rsidRDefault="00423A6C" w:rsidP="00646246">
      <w:pPr>
        <w:pStyle w:val="Nagwek1"/>
        <w:jc w:val="both"/>
        <w:rPr>
          <w:bCs/>
          <w:szCs w:val="26"/>
        </w:rPr>
      </w:pPr>
    </w:p>
    <w:p w:rsidR="00423A6C" w:rsidRDefault="00423A6C" w:rsidP="00646246">
      <w:pPr>
        <w:pStyle w:val="Nagwek1"/>
        <w:jc w:val="both"/>
        <w:rPr>
          <w:bCs/>
          <w:szCs w:val="26"/>
        </w:rPr>
      </w:pPr>
    </w:p>
    <w:p w:rsidR="00423A6C" w:rsidRDefault="00423A6C" w:rsidP="00646246">
      <w:pPr>
        <w:pStyle w:val="Nagwek1"/>
        <w:jc w:val="both"/>
        <w:rPr>
          <w:bCs/>
          <w:szCs w:val="26"/>
        </w:rPr>
      </w:pPr>
    </w:p>
    <w:p w:rsidR="00423A6C" w:rsidRDefault="00423A6C" w:rsidP="00646246">
      <w:pPr>
        <w:pStyle w:val="Nagwek1"/>
        <w:jc w:val="both"/>
        <w:rPr>
          <w:bCs/>
          <w:szCs w:val="26"/>
        </w:rPr>
      </w:pPr>
    </w:p>
    <w:p w:rsidR="00423A6C" w:rsidRDefault="00423A6C" w:rsidP="00646246">
      <w:pPr>
        <w:pStyle w:val="Nagwek1"/>
        <w:jc w:val="both"/>
        <w:rPr>
          <w:bCs/>
          <w:szCs w:val="26"/>
        </w:rPr>
      </w:pPr>
    </w:p>
    <w:p w:rsidR="00423A6C" w:rsidRDefault="00423A6C" w:rsidP="00646246">
      <w:pPr>
        <w:pStyle w:val="Nagwek1"/>
        <w:jc w:val="both"/>
        <w:rPr>
          <w:bCs/>
          <w:szCs w:val="26"/>
        </w:rPr>
      </w:pPr>
    </w:p>
    <w:p w:rsidR="00423A6C" w:rsidRDefault="00423A6C" w:rsidP="00646246">
      <w:pPr>
        <w:pStyle w:val="Nagwek1"/>
        <w:jc w:val="both"/>
        <w:rPr>
          <w:bCs/>
          <w:szCs w:val="26"/>
        </w:rPr>
      </w:pPr>
    </w:p>
    <w:p w:rsidR="00423A6C" w:rsidRDefault="00423A6C" w:rsidP="00646246">
      <w:pPr>
        <w:pStyle w:val="Nagwek1"/>
        <w:jc w:val="both"/>
        <w:rPr>
          <w:bCs/>
          <w:szCs w:val="26"/>
        </w:rPr>
      </w:pPr>
    </w:p>
    <w:p w:rsidR="00423A6C" w:rsidRDefault="00423A6C" w:rsidP="00646246">
      <w:pPr>
        <w:pStyle w:val="Nagwek1"/>
        <w:jc w:val="both"/>
        <w:rPr>
          <w:bCs/>
          <w:szCs w:val="26"/>
        </w:rPr>
      </w:pPr>
    </w:p>
    <w:p w:rsidR="00423A6C" w:rsidRDefault="00423A6C" w:rsidP="00646246">
      <w:pPr>
        <w:pStyle w:val="Nagwek1"/>
        <w:jc w:val="both"/>
        <w:rPr>
          <w:bCs/>
          <w:szCs w:val="26"/>
        </w:rPr>
      </w:pPr>
    </w:p>
    <w:p w:rsidR="00423A6C" w:rsidRDefault="00423A6C" w:rsidP="00646246">
      <w:pPr>
        <w:pStyle w:val="Nagwek1"/>
        <w:jc w:val="both"/>
        <w:rPr>
          <w:bCs/>
          <w:szCs w:val="26"/>
        </w:rPr>
      </w:pPr>
    </w:p>
    <w:p w:rsidR="00423A6C" w:rsidRDefault="00423A6C" w:rsidP="00646246">
      <w:pPr>
        <w:pStyle w:val="Nagwek1"/>
        <w:jc w:val="both"/>
        <w:rPr>
          <w:bCs/>
          <w:szCs w:val="26"/>
        </w:rPr>
      </w:pPr>
    </w:p>
    <w:p w:rsidR="00423A6C" w:rsidRDefault="00423A6C" w:rsidP="00646246">
      <w:pPr>
        <w:pStyle w:val="Nagwek1"/>
        <w:jc w:val="both"/>
        <w:rPr>
          <w:bCs/>
          <w:szCs w:val="26"/>
        </w:rPr>
      </w:pPr>
    </w:p>
    <w:p w:rsidR="00D27E3C" w:rsidRDefault="00D27E3C" w:rsidP="00D27E3C">
      <w:pPr>
        <w:pStyle w:val="Nagwek1"/>
      </w:pPr>
      <w:bookmarkStart w:id="17" w:name="_Toc26910619"/>
      <w:bookmarkStart w:id="18" w:name="_Toc80100079"/>
      <w:bookmarkStart w:id="19" w:name="_Toc346875549"/>
      <w:bookmarkEnd w:id="0"/>
      <w:bookmarkEnd w:id="7"/>
      <w:bookmarkEnd w:id="9"/>
      <w:bookmarkEnd w:id="10"/>
      <w:bookmarkEnd w:id="11"/>
      <w:bookmarkEnd w:id="12"/>
      <w:bookmarkEnd w:id="13"/>
      <w:bookmarkEnd w:id="16"/>
      <w:r>
        <w:t>M.12.00.00.</w:t>
      </w:r>
      <w:r>
        <w:tab/>
        <w:t>ZBROJENIE</w:t>
      </w:r>
      <w:bookmarkEnd w:id="17"/>
      <w:bookmarkEnd w:id="18"/>
    </w:p>
    <w:p w:rsidR="00D27E3C" w:rsidRDefault="00D27E3C" w:rsidP="00D27E3C">
      <w:pPr>
        <w:widowControl w:val="0"/>
        <w:spacing w:before="120" w:after="120"/>
        <w:ind w:right="6878"/>
        <w:rPr>
          <w:b/>
          <w:snapToGrid w:val="0"/>
          <w:u w:val="single"/>
        </w:rPr>
      </w:pPr>
      <w:r>
        <w:rPr>
          <w:b/>
          <w:snapToGrid w:val="0"/>
          <w:u w:val="single"/>
        </w:rPr>
        <w:t xml:space="preserve">l. WSTĘP </w:t>
      </w:r>
    </w:p>
    <w:p w:rsidR="00D27E3C" w:rsidRPr="00B833AC" w:rsidRDefault="00D27E3C" w:rsidP="00D27E3C">
      <w:pPr>
        <w:pStyle w:val="Nagwek2"/>
        <w:spacing w:before="0" w:after="0"/>
        <w:rPr>
          <w:rFonts w:ascii="Times New Roman" w:hAnsi="Times New Roman"/>
          <w:b/>
          <w:szCs w:val="19"/>
        </w:rPr>
      </w:pPr>
      <w:r w:rsidRPr="00B833AC">
        <w:rPr>
          <w:rFonts w:ascii="Times New Roman" w:hAnsi="Times New Roman"/>
          <w:b/>
          <w:szCs w:val="19"/>
        </w:rPr>
        <w:t>1.1. Przedmiot specyfikacji technicznej</w:t>
      </w:r>
    </w:p>
    <w:p w:rsidR="00D27E3C" w:rsidRDefault="00D27E3C" w:rsidP="00D27E3C">
      <w:pPr>
        <w:jc w:val="both"/>
      </w:pPr>
      <w:r>
        <w:t xml:space="preserve">Przedmiotem niniejszej Specyfikacji Technicznej są wymagania dotyczące wykonania i odbioru robót związanych z wykonaniem zbrojenia niesprężającego betonu konstrukcji mostowych stalowymi prętami wiotkimi </w:t>
      </w:r>
      <w:r w:rsidRPr="00EF1817">
        <w:t xml:space="preserve">w ramach projektu : </w:t>
      </w:r>
      <w:r w:rsidR="006C1C5F">
        <w:rPr>
          <w:bCs/>
        </w:rPr>
        <w:t>"Remont przepustu nad rzeką Postomia w ciągu drogi nr 445/k.2922 m. Wędrzyn."</w:t>
      </w:r>
    </w:p>
    <w:p w:rsidR="00D27E3C" w:rsidRPr="00B833AC" w:rsidRDefault="00D27E3C" w:rsidP="00D27E3C">
      <w:pPr>
        <w:pStyle w:val="Nagwek2"/>
        <w:spacing w:before="0" w:after="0"/>
        <w:rPr>
          <w:rFonts w:ascii="Times New Roman" w:hAnsi="Times New Roman"/>
          <w:b/>
          <w:szCs w:val="19"/>
        </w:rPr>
      </w:pPr>
      <w:r w:rsidRPr="00B833AC">
        <w:rPr>
          <w:rFonts w:ascii="Times New Roman" w:hAnsi="Times New Roman"/>
          <w:b/>
          <w:szCs w:val="19"/>
        </w:rPr>
        <w:t>1.2. Zakres stosowania ST</w:t>
      </w:r>
    </w:p>
    <w:p w:rsidR="00D27E3C" w:rsidRDefault="00D27E3C" w:rsidP="00D27E3C">
      <w:pPr>
        <w:tabs>
          <w:tab w:val="left" w:pos="576"/>
          <w:tab w:val="left" w:pos="1008"/>
        </w:tabs>
        <w:jc w:val="both"/>
      </w:pPr>
      <w:r>
        <w:t>Specyfikacja techniczna jest stosowana jako dokument przetargowy i kontraktowy przy zlecaniu i realizacji Robót wymienionych w punkcie 1.1.</w:t>
      </w:r>
    </w:p>
    <w:p w:rsidR="00D27E3C" w:rsidRPr="00B833AC" w:rsidRDefault="00D27E3C" w:rsidP="00D27E3C">
      <w:pPr>
        <w:pStyle w:val="Nagwek2"/>
        <w:spacing w:before="0" w:after="0"/>
        <w:rPr>
          <w:rFonts w:ascii="Times New Roman" w:hAnsi="Times New Roman"/>
          <w:b/>
          <w:szCs w:val="19"/>
        </w:rPr>
      </w:pPr>
      <w:r w:rsidRPr="00B833AC">
        <w:rPr>
          <w:rFonts w:ascii="Times New Roman" w:hAnsi="Times New Roman"/>
          <w:b/>
          <w:szCs w:val="19"/>
        </w:rPr>
        <w:t>1.3.  Zakres robót objętych ST</w:t>
      </w:r>
    </w:p>
    <w:p w:rsidR="00D27E3C" w:rsidRDefault="00D27E3C" w:rsidP="00D27E3C">
      <w:pPr>
        <w:jc w:val="both"/>
      </w:pPr>
      <w:r>
        <w:t>Ustalenia zawarte w niniejszej specyfikacji dotyczą zasad prowadzenia robót związanych z :</w:t>
      </w:r>
    </w:p>
    <w:p w:rsidR="00D27E3C" w:rsidRDefault="00D27E3C" w:rsidP="0097494B">
      <w:pPr>
        <w:numPr>
          <w:ilvl w:val="0"/>
          <w:numId w:val="57"/>
        </w:numPr>
        <w:jc w:val="both"/>
      </w:pPr>
      <w:r>
        <w:t>przygotowaniem zbrojenia,</w:t>
      </w:r>
    </w:p>
    <w:p w:rsidR="00D27E3C" w:rsidRDefault="00D27E3C" w:rsidP="0097494B">
      <w:pPr>
        <w:numPr>
          <w:ilvl w:val="0"/>
          <w:numId w:val="57"/>
        </w:numPr>
        <w:jc w:val="both"/>
      </w:pPr>
      <w:r>
        <w:t>montażem zbrojenia,</w:t>
      </w:r>
    </w:p>
    <w:p w:rsidR="00D27E3C" w:rsidRDefault="00D27E3C" w:rsidP="0097494B">
      <w:pPr>
        <w:numPr>
          <w:ilvl w:val="0"/>
          <w:numId w:val="57"/>
        </w:numPr>
        <w:jc w:val="both"/>
      </w:pPr>
      <w:r>
        <w:t xml:space="preserve">montażem kotew </w:t>
      </w:r>
    </w:p>
    <w:p w:rsidR="00D27E3C" w:rsidRDefault="00D27E3C" w:rsidP="0097494B">
      <w:pPr>
        <w:numPr>
          <w:ilvl w:val="0"/>
          <w:numId w:val="57"/>
        </w:numPr>
        <w:jc w:val="both"/>
      </w:pPr>
      <w:r>
        <w:t>kontrolą jakości robót i materiałów.</w:t>
      </w:r>
    </w:p>
    <w:p w:rsidR="00D27E3C" w:rsidRPr="00B833AC" w:rsidRDefault="00D27E3C" w:rsidP="00D27E3C">
      <w:pPr>
        <w:pStyle w:val="Nagwek2"/>
        <w:spacing w:before="0" w:after="0"/>
        <w:rPr>
          <w:rFonts w:ascii="Times New Roman" w:hAnsi="Times New Roman"/>
          <w:b/>
          <w:szCs w:val="19"/>
        </w:rPr>
      </w:pPr>
      <w:r w:rsidRPr="00B833AC">
        <w:rPr>
          <w:rFonts w:ascii="Times New Roman" w:hAnsi="Times New Roman"/>
          <w:b/>
          <w:szCs w:val="19"/>
        </w:rPr>
        <w:t>1.4.  Określenia podstawowe</w:t>
      </w:r>
    </w:p>
    <w:p w:rsidR="00D27E3C" w:rsidRDefault="00D27E3C" w:rsidP="00D27E3C">
      <w:pPr>
        <w:jc w:val="both"/>
      </w:pPr>
      <w:r>
        <w:t>Pręty stalowe wiotkie - pręty stalowe o przekroju kołowym gładkie lub żebrowane o średnicy do 40 mm.</w:t>
      </w:r>
    </w:p>
    <w:p w:rsidR="00D27E3C" w:rsidRDefault="00D27E3C" w:rsidP="00D27E3C">
      <w:pPr>
        <w:jc w:val="both"/>
      </w:pPr>
      <w:r>
        <w:t>Zbrojenie niesprężające - zbrojenie konstrukcji betonowej nie wprowadzające do niej naprężeń w sposób czynny.</w:t>
      </w:r>
    </w:p>
    <w:p w:rsidR="00D27E3C" w:rsidRPr="00B833AC" w:rsidRDefault="00D27E3C" w:rsidP="00D27E3C">
      <w:pPr>
        <w:pStyle w:val="Nagwek2"/>
        <w:spacing w:before="0" w:after="0"/>
        <w:rPr>
          <w:rFonts w:ascii="Times New Roman" w:hAnsi="Times New Roman"/>
          <w:b/>
          <w:szCs w:val="19"/>
        </w:rPr>
      </w:pPr>
      <w:r w:rsidRPr="00B833AC">
        <w:rPr>
          <w:rFonts w:ascii="Times New Roman" w:hAnsi="Times New Roman"/>
          <w:b/>
          <w:szCs w:val="19"/>
        </w:rPr>
        <w:t>1.5. Ogólne wymagania dotyczące Robót</w:t>
      </w:r>
    </w:p>
    <w:p w:rsidR="00D27E3C" w:rsidRDefault="00D27E3C" w:rsidP="00D27E3C">
      <w:pPr>
        <w:spacing w:after="120"/>
        <w:jc w:val="both"/>
      </w:pPr>
      <w:r>
        <w:t>Wykonawca jest odpowiedzialny za jakość stosowanych materiałów i wykonywanych robót oraz za ich zgodność z dokumentacją projektową, specyfikacją techniczną oraz zalece</w:t>
      </w:r>
      <w:r w:rsidR="007424F4">
        <w:t xml:space="preserve">niami </w:t>
      </w:r>
      <w:r w:rsidR="005E72DC">
        <w:t xml:space="preserve">przedstawiciela </w:t>
      </w:r>
      <w:r w:rsidR="007424F4">
        <w:t>Zamawiającego</w:t>
      </w:r>
      <w:r>
        <w:t>.</w:t>
      </w:r>
    </w:p>
    <w:p w:rsidR="00D27E3C" w:rsidRDefault="00D27E3C" w:rsidP="00D27E3C">
      <w:pPr>
        <w:widowControl w:val="0"/>
        <w:spacing w:before="120" w:after="120"/>
        <w:jc w:val="both"/>
        <w:rPr>
          <w:b/>
          <w:snapToGrid w:val="0"/>
          <w:u w:val="single"/>
        </w:rPr>
      </w:pPr>
      <w:r>
        <w:rPr>
          <w:b/>
          <w:noProof/>
          <w:snapToGrid w:val="0"/>
          <w:u w:val="single"/>
        </w:rPr>
        <w:t>2.</w:t>
      </w:r>
      <w:r>
        <w:rPr>
          <w:b/>
          <w:snapToGrid w:val="0"/>
          <w:u w:val="single"/>
        </w:rPr>
        <w:t xml:space="preserve"> MATERIAŁY</w:t>
      </w:r>
    </w:p>
    <w:p w:rsidR="00EF1817" w:rsidRDefault="00EF1817" w:rsidP="00EF1817">
      <w:pPr>
        <w:pStyle w:val="Nagwek2"/>
        <w:spacing w:before="0" w:after="0"/>
        <w:rPr>
          <w:rFonts w:ascii="Times New Roman" w:hAnsi="Times New Roman"/>
          <w:b/>
          <w:szCs w:val="19"/>
        </w:rPr>
      </w:pPr>
      <w:r w:rsidRPr="00EF1817">
        <w:rPr>
          <w:rFonts w:ascii="Times New Roman" w:hAnsi="Times New Roman"/>
          <w:b/>
          <w:szCs w:val="19"/>
        </w:rPr>
        <w:t>2.1 Ogólne wymagania dotyczące materiałów</w:t>
      </w:r>
    </w:p>
    <w:p w:rsidR="00EF1817" w:rsidRPr="00B841B9" w:rsidRDefault="00EF1817" w:rsidP="00EF1817">
      <w:pPr>
        <w:ind w:firstLine="709"/>
        <w:jc w:val="both"/>
      </w:pPr>
      <w:r w:rsidRPr="00B841B9">
        <w:t>Ogólne wymagania dotycz</w:t>
      </w:r>
      <w:r w:rsidRPr="00B841B9">
        <w:rPr>
          <w:rFonts w:eastAsia="TimesNewRoman"/>
        </w:rPr>
        <w:t>ą</w:t>
      </w:r>
      <w:r>
        <w:t xml:space="preserve">ce materiałów podano w ST D-M </w:t>
      </w:r>
      <w:r w:rsidRPr="00B841B9">
        <w:t>00.00.00. „Wymagania ogólne”.</w:t>
      </w:r>
    </w:p>
    <w:p w:rsidR="00EF1817" w:rsidRPr="00EF1817" w:rsidRDefault="00EF1817" w:rsidP="00EF1817">
      <w:pPr>
        <w:pStyle w:val="Nagwek2"/>
        <w:spacing w:before="0" w:after="0"/>
      </w:pPr>
      <w:r w:rsidRPr="00EF1817">
        <w:rPr>
          <w:rFonts w:ascii="Times New Roman" w:hAnsi="Times New Roman"/>
          <w:b/>
          <w:szCs w:val="19"/>
        </w:rPr>
        <w:t>2.2. Pręty do zbrojenia betonu</w:t>
      </w:r>
    </w:p>
    <w:p w:rsidR="00573E1E" w:rsidRPr="00573E1E" w:rsidRDefault="00EF1817" w:rsidP="00573E1E">
      <w:pPr>
        <w:widowControl w:val="0"/>
        <w:ind w:firstLine="709"/>
        <w:jc w:val="both"/>
        <w:rPr>
          <w:snapToGrid w:val="0"/>
        </w:rPr>
      </w:pPr>
      <w:r>
        <w:tab/>
      </w:r>
      <w:r w:rsidR="00573E1E" w:rsidRPr="0075125F">
        <w:rPr>
          <w:snapToGrid w:val="0"/>
        </w:rPr>
        <w:t xml:space="preserve">Przed przystąpieniem do wbudowywania materiału Wykonawca zobowiązany jest do przedstawienia przy każdej dostawie deklaracji </w:t>
      </w:r>
      <w:r w:rsidR="006335B4">
        <w:rPr>
          <w:snapToGrid w:val="0"/>
        </w:rPr>
        <w:t>właściwości</w:t>
      </w:r>
      <w:r w:rsidR="00573E1E" w:rsidRPr="0075125F">
        <w:rPr>
          <w:snapToGrid w:val="0"/>
        </w:rPr>
        <w:t xml:space="preserve"> użytkowych materiału objętego normą zharmonizowaną lub europejską oceną techniczną lub europejską aprobatą techniczną, lub krajowej deklaracji </w:t>
      </w:r>
      <w:r w:rsidR="006335B4">
        <w:rPr>
          <w:snapToGrid w:val="0"/>
        </w:rPr>
        <w:t>właściwości</w:t>
      </w:r>
      <w:r w:rsidR="00573E1E" w:rsidRPr="0075125F">
        <w:rPr>
          <w:snapToGrid w:val="0"/>
        </w:rPr>
        <w:t>użytkowych dla materiału objętego Polską Normą lub krajową oceną techniczną lub aprobatą techniczną, a także kart technicznych i instrukcji użytkowania poszczególnych materiałów. Za sprawdzenie przydatności materiałów oraz jakość wbudowania odpowiada Wykonawca.</w:t>
      </w:r>
    </w:p>
    <w:p w:rsidR="00EF1817" w:rsidRDefault="00EF1817" w:rsidP="00573E1E">
      <w:pPr>
        <w:ind w:firstLine="709"/>
        <w:jc w:val="both"/>
      </w:pPr>
      <w:r>
        <w:t>Do zbrojenia betonu należy stosować stal wyprodukowaną i badaną zgodnie z normą PN-EN 10080 lub PN-H-93220. Zastosowana stal konsumpcyjna powinna charakteryzować się minimalnymi parametrami wytrzymałościowymi:</w:t>
      </w:r>
    </w:p>
    <w:p w:rsidR="00EF1817" w:rsidRDefault="00EF1817" w:rsidP="00EF1817">
      <w:pPr>
        <w:ind w:firstLine="709"/>
        <w:jc w:val="both"/>
      </w:pPr>
      <w:r>
        <w:t>— granica plastyczności Re (min) 500 MPa</w:t>
      </w:r>
    </w:p>
    <w:p w:rsidR="00EF1817" w:rsidRDefault="00EF1817" w:rsidP="00EF1817">
      <w:pPr>
        <w:ind w:firstLine="709"/>
        <w:jc w:val="both"/>
      </w:pPr>
      <w:r>
        <w:t>— wytrzymałości na rozciąganie Rm (min) 550 MPa,</w:t>
      </w:r>
    </w:p>
    <w:p w:rsidR="00EF1817" w:rsidRDefault="00EF1817" w:rsidP="00EF1817">
      <w:pPr>
        <w:ind w:left="709"/>
        <w:jc w:val="both"/>
      </w:pPr>
      <w:r>
        <w:t>— być spajana zgodnie z wymaganiami normy PN-EN 10080[ (tzn. równoważnik węgla w analizie wyrobu powinien wynosić CE50,50 oraz powinna być ograniczona zawartością pierwiastków zgodnie z tablicą 2 normy PN-EN 10080)</w:t>
      </w:r>
    </w:p>
    <w:p w:rsidR="00EF1817" w:rsidRDefault="00EF1817" w:rsidP="00EF1817">
      <w:pPr>
        <w:ind w:left="709"/>
        <w:jc w:val="both"/>
      </w:pPr>
      <w:r>
        <w:t>— spełniać wymagania odnośnie ciągliwości, jak dla stali klasy stali klasy C wg PN-EN I992-1-1 i PN-H-93220:2006 (tzn. Rm/Re 1,08 -1,15, wydłużenie względne A10≥10 i wydłużenie względne przy maksymalnej sile A528)</w:t>
      </w:r>
    </w:p>
    <w:p w:rsidR="00EF1817" w:rsidRDefault="00EF1817" w:rsidP="00EF1817">
      <w:pPr>
        <w:jc w:val="both"/>
      </w:pPr>
    </w:p>
    <w:p w:rsidR="00EF1817" w:rsidRDefault="00EF1817" w:rsidP="00EF1817">
      <w:pPr>
        <w:ind w:firstLine="709"/>
        <w:jc w:val="both"/>
      </w:pPr>
      <w:r>
        <w:t>Stal zastosowana jako zbrojenie pomocnicze powinna charakteryzować się; granicą plastyczności 400+600 MPa oraz ciągliwością przynajmniej jak dla klasy B wg PN-EN 1992-1-1 (tzn. Rm/Re ≥ 1,08, wydłużenie względne A10≥10 i wydłużenie względne przy maksymalnej sile Agt ≥5).</w:t>
      </w:r>
    </w:p>
    <w:p w:rsidR="00EF1817" w:rsidRDefault="00EF1817" w:rsidP="00EF1817">
      <w:pPr>
        <w:ind w:firstLine="709"/>
        <w:jc w:val="both"/>
      </w:pPr>
      <w:r>
        <w:t>Do zbrojenia betonu możliwe jest zastosowanie zamiennie gatunków stali (innych niż określono w Dokumentacji Projektowej) zgodnych z odpowiednimi normami PN-EN, lub, jeśli norma nie istnieje mających Krajową Ocenę Techniczną lub Aprobatę Techniczną – po zaakceptowaniu przez Pro</w:t>
      </w:r>
      <w:r w:rsidR="007424F4">
        <w:t xml:space="preserve">jektanta i uzgodnieniu </w:t>
      </w:r>
      <w:r w:rsidR="005E72DC">
        <w:t xml:space="preserve">przedstawiciela </w:t>
      </w:r>
      <w:r w:rsidR="007424F4">
        <w:t>Zamawiającego</w:t>
      </w:r>
      <w:r>
        <w:t>.</w:t>
      </w:r>
    </w:p>
    <w:p w:rsidR="00EF1817" w:rsidRDefault="00EF1817" w:rsidP="00EF1817">
      <w:pPr>
        <w:ind w:firstLine="709"/>
        <w:jc w:val="both"/>
      </w:pPr>
      <w:r>
        <w:t>Dostarczona stal musi być oznaczona znakiem CE (ewentualnie budowlanym B).</w:t>
      </w:r>
    </w:p>
    <w:p w:rsidR="00EF1817" w:rsidRDefault="00EF1817" w:rsidP="00EF1817">
      <w:pPr>
        <w:ind w:firstLine="709"/>
        <w:jc w:val="both"/>
      </w:pPr>
      <w:r>
        <w:t>Odbiór stali na podstawie Świadectwa Odbioru atest 3.1 (Badania Hutniczego) wg PN-EN 10204:2006.</w:t>
      </w:r>
    </w:p>
    <w:p w:rsidR="00EF1817" w:rsidRDefault="00EF1817" w:rsidP="00EF1817">
      <w:pPr>
        <w:ind w:firstLine="709"/>
        <w:jc w:val="both"/>
      </w:pPr>
      <w:r>
        <w:t>Nowe gatunki stali mogą być stosowane pod warunkiem dopuszczenia ich przez władze administracyjne na podstawie wyników badań wykonanych przez upoważnioną jednostkę naukowo-badawczą, zgodnie z wymaganiami odpowiednich norm.</w:t>
      </w:r>
    </w:p>
    <w:p w:rsidR="00EF1817" w:rsidRDefault="00EF1817" w:rsidP="00EF1817">
      <w:pPr>
        <w:ind w:firstLine="709"/>
        <w:jc w:val="both"/>
      </w:pPr>
      <w:r>
        <w:t>Zastosowanie stali innych gatunków niż określono w Dokumentacji Pr</w:t>
      </w:r>
      <w:r w:rsidR="007424F4">
        <w:t xml:space="preserve">ojektowej wymaga zgody </w:t>
      </w:r>
      <w:r w:rsidR="005E72DC">
        <w:t xml:space="preserve">przedstawiciela </w:t>
      </w:r>
      <w:r w:rsidR="007424F4">
        <w:t>Zamawiającego</w:t>
      </w:r>
      <w:r>
        <w:t xml:space="preserve"> oraz Projektanta.</w:t>
      </w:r>
    </w:p>
    <w:p w:rsidR="00EF1817" w:rsidRDefault="00EF1817" w:rsidP="00EF1817">
      <w:pPr>
        <w:ind w:firstLine="709"/>
        <w:jc w:val="both"/>
      </w:pPr>
    </w:p>
    <w:p w:rsidR="00AE0A20" w:rsidRDefault="00AE0A20" w:rsidP="00AE0A20">
      <w:pPr>
        <w:jc w:val="both"/>
        <w:rPr>
          <w:b/>
        </w:rPr>
      </w:pPr>
      <w:r w:rsidRPr="00D05709">
        <w:rPr>
          <w:b/>
        </w:rPr>
        <w:t>Cechowanie</w:t>
      </w:r>
    </w:p>
    <w:p w:rsidR="00AE0A20" w:rsidRDefault="00AE0A20" w:rsidP="00AE0A20">
      <w:pPr>
        <w:ind w:firstLine="709"/>
        <w:jc w:val="both"/>
      </w:pPr>
      <w:r>
        <w:t>Na przywieszkach metalowych przymocowanych dla każdej wiązki prętów lub kręgu prętów (po dwie dla każdej wiązki) muszą znajdować się następujące informacje:</w:t>
      </w:r>
    </w:p>
    <w:p w:rsidR="00AE0A20" w:rsidRDefault="00AE0A20" w:rsidP="00AE0A20">
      <w:pPr>
        <w:ind w:firstLine="709"/>
        <w:jc w:val="both"/>
      </w:pPr>
    </w:p>
    <w:p w:rsidR="00AE0A20" w:rsidRDefault="00AE0A20" w:rsidP="00AE0A20">
      <w:pPr>
        <w:ind w:firstLine="709"/>
        <w:jc w:val="both"/>
      </w:pPr>
      <w:r>
        <w:t>- znak wytwórcy,</w:t>
      </w:r>
    </w:p>
    <w:p w:rsidR="00AE0A20" w:rsidRDefault="00AE0A20" w:rsidP="00AE0A20">
      <w:pPr>
        <w:ind w:left="709"/>
        <w:jc w:val="both"/>
      </w:pPr>
      <w:r>
        <w:t>- nazwę i adres producenta oraz zakładu produkcyjnego,identyfikację wyrobu (nazwę, nazwę handlową, gatunek, średnicę nominalną masę wiązki lub kręgu, numer wytopu),</w:t>
      </w:r>
    </w:p>
    <w:p w:rsidR="00AE0A20" w:rsidRDefault="00AE0A20" w:rsidP="00AE0A20">
      <w:pPr>
        <w:ind w:firstLine="709"/>
        <w:jc w:val="both"/>
      </w:pPr>
      <w:r>
        <w:t>- numer oraz rok wydania odpowiedniej normy lub aprobaty technicznej lub krajowej ocenie technicznej,</w:t>
      </w:r>
    </w:p>
    <w:p w:rsidR="00AE0A20" w:rsidRDefault="00AE0A20" w:rsidP="00AE0A20">
      <w:pPr>
        <w:ind w:firstLine="709"/>
        <w:jc w:val="both"/>
      </w:pPr>
      <w:r>
        <w:t>- numer i datę wystawienia certyfikatu zgodności,</w:t>
      </w:r>
    </w:p>
    <w:p w:rsidR="00AE0A20" w:rsidRDefault="00AE0A20" w:rsidP="00AE0A20">
      <w:pPr>
        <w:ind w:firstLine="709"/>
        <w:jc w:val="both"/>
      </w:pPr>
      <w:r>
        <w:t>- numer i datę wystawienia krajowej deklaracji zgodności</w:t>
      </w:r>
    </w:p>
    <w:p w:rsidR="00AE0A20" w:rsidRDefault="00AE0A20" w:rsidP="00AE0A20">
      <w:pPr>
        <w:ind w:firstLine="709"/>
        <w:jc w:val="both"/>
      </w:pPr>
      <w:r>
        <w:t>- znak budowlany B (nie dotyczy zbrojenia prefabrykowanego w zbrojarni),</w:t>
      </w:r>
    </w:p>
    <w:p w:rsidR="00AE0A20" w:rsidRDefault="00AE0A20" w:rsidP="00AE0A20">
      <w:pPr>
        <w:ind w:left="709"/>
        <w:jc w:val="both"/>
      </w:pPr>
      <w:r>
        <w:t>- długość teoretyczną lub długości początkową i końcową dla pozycji stopniowanych pakowanych wspólnie w wiązkę,</w:t>
      </w:r>
    </w:p>
    <w:p w:rsidR="00AE0A20" w:rsidRDefault="00AE0A20" w:rsidP="00AE0A20">
      <w:pPr>
        <w:ind w:firstLine="709"/>
        <w:jc w:val="both"/>
      </w:pPr>
      <w:r>
        <w:t>- numer stallisty zawierającej pozycję w przypadku zbrojenia prefabrykowanego w zbrojarni,</w:t>
      </w:r>
    </w:p>
    <w:p w:rsidR="00AE0A20" w:rsidRDefault="00AE0A20" w:rsidP="00AE0A20">
      <w:pPr>
        <w:ind w:left="709"/>
        <w:jc w:val="both"/>
      </w:pPr>
      <w:r>
        <w:t>- schemat kształtu z wymiarami dla pozycji giętych w przypadku zbrojenia prefabrykowanego w zbrojarni.</w:t>
      </w:r>
    </w:p>
    <w:p w:rsidR="00AE0A20" w:rsidRDefault="00AE0A20" w:rsidP="00AE0A20">
      <w:pPr>
        <w:ind w:firstLine="709"/>
        <w:jc w:val="both"/>
      </w:pPr>
      <w:r>
        <w:t>- znak obróbki cieplnej,</w:t>
      </w:r>
    </w:p>
    <w:p w:rsidR="00AE0A20" w:rsidRDefault="00AE0A20" w:rsidP="00AE0A20">
      <w:pPr>
        <w:jc w:val="both"/>
      </w:pPr>
    </w:p>
    <w:p w:rsidR="00AE0A20" w:rsidRDefault="00AE0A20" w:rsidP="00AE0A20">
      <w:pPr>
        <w:jc w:val="both"/>
      </w:pPr>
      <w:r>
        <w:t>Każda wiązka i krąg prętów powinny mieć oznakowanie farbą olejną</w:t>
      </w:r>
    </w:p>
    <w:p w:rsidR="00AE0A20" w:rsidRDefault="00AE0A20" w:rsidP="00AE0A20">
      <w:pPr>
        <w:jc w:val="both"/>
      </w:pPr>
    </w:p>
    <w:p w:rsidR="00AE0A20" w:rsidRDefault="00AE0A20" w:rsidP="00AE0A20">
      <w:pPr>
        <w:jc w:val="both"/>
      </w:pPr>
      <w:r>
        <w:t>W oznaczeniu należy podać:</w:t>
      </w:r>
    </w:p>
    <w:p w:rsidR="00AE0A20" w:rsidRDefault="00AE0A20" w:rsidP="00AE0A20">
      <w:pPr>
        <w:jc w:val="both"/>
      </w:pPr>
    </w:p>
    <w:p w:rsidR="00AE0A20" w:rsidRDefault="00AE0A20" w:rsidP="00AE0A20">
      <w:pPr>
        <w:ind w:firstLine="709"/>
        <w:jc w:val="both"/>
      </w:pPr>
      <w:r>
        <w:t>− nazwę wyrobu,</w:t>
      </w:r>
    </w:p>
    <w:p w:rsidR="00AE0A20" w:rsidRDefault="00AE0A20" w:rsidP="00AE0A20">
      <w:pPr>
        <w:ind w:firstLine="709"/>
        <w:jc w:val="both"/>
      </w:pPr>
      <w:r>
        <w:t>− średnica nominalna,</w:t>
      </w:r>
    </w:p>
    <w:p w:rsidR="00AE0A20" w:rsidRDefault="00AE0A20" w:rsidP="00AE0A20">
      <w:pPr>
        <w:ind w:firstLine="709"/>
        <w:jc w:val="both"/>
      </w:pPr>
      <w:r>
        <w:t>− długość prętów,</w:t>
      </w:r>
    </w:p>
    <w:p w:rsidR="00AE0A20" w:rsidRDefault="00AE0A20" w:rsidP="00AE0A20">
      <w:pPr>
        <w:ind w:firstLine="709"/>
        <w:jc w:val="both"/>
      </w:pPr>
      <w:r>
        <w:t>− znak stali,</w:t>
      </w:r>
    </w:p>
    <w:p w:rsidR="00AE0A20" w:rsidRDefault="00AE0A20" w:rsidP="00AE0A20">
      <w:pPr>
        <w:ind w:firstLine="709"/>
        <w:jc w:val="both"/>
      </w:pPr>
      <w:r>
        <w:t>− znak obróbki cieplnej,</w:t>
      </w:r>
    </w:p>
    <w:p w:rsidR="00AE0A20" w:rsidRDefault="00AE0A20" w:rsidP="00AE0A20">
      <w:pPr>
        <w:ind w:firstLine="709"/>
        <w:jc w:val="both"/>
      </w:pPr>
      <w:r>
        <w:t>− numer normy wg której zostały wyprodukowane</w:t>
      </w:r>
    </w:p>
    <w:p w:rsidR="00AE0A20" w:rsidRDefault="00AE0A20" w:rsidP="00EF1817">
      <w:pPr>
        <w:ind w:firstLine="709"/>
        <w:jc w:val="both"/>
        <w:rPr>
          <w:b/>
        </w:rPr>
      </w:pPr>
    </w:p>
    <w:p w:rsidR="00EF1817" w:rsidRDefault="00EF1817" w:rsidP="00EF1817">
      <w:pPr>
        <w:ind w:firstLine="709"/>
        <w:jc w:val="both"/>
        <w:rPr>
          <w:b/>
        </w:rPr>
      </w:pPr>
      <w:r w:rsidRPr="00EF1817">
        <w:rPr>
          <w:b/>
        </w:rPr>
        <w:t>Wymagania przy odbiorze – dokumenty kontroli:</w:t>
      </w:r>
    </w:p>
    <w:p w:rsidR="00D05709" w:rsidRDefault="00D05709" w:rsidP="00D05709">
      <w:pPr>
        <w:jc w:val="both"/>
        <w:rPr>
          <w:b/>
        </w:rPr>
      </w:pPr>
    </w:p>
    <w:p w:rsidR="00EF1817" w:rsidRPr="00D05709" w:rsidRDefault="00EF1817" w:rsidP="00D05709">
      <w:pPr>
        <w:jc w:val="both"/>
        <w:rPr>
          <w:b/>
        </w:rPr>
      </w:pPr>
      <w:r w:rsidRPr="00D05709">
        <w:rPr>
          <w:b/>
        </w:rPr>
        <w:t>Świadectwo odbioru</w:t>
      </w:r>
    </w:p>
    <w:p w:rsidR="00EF1817" w:rsidRDefault="00D05709" w:rsidP="00EF1817">
      <w:pPr>
        <w:ind w:firstLine="709"/>
        <w:jc w:val="both"/>
      </w:pPr>
      <w:r>
        <w:t>Wytwórca stali winien dołączyć Świadectwo Odbioru atest 3.1 (Badania Hutniczego) wg PN-EN 10204:2006, w którym ma być podane:</w:t>
      </w:r>
    </w:p>
    <w:p w:rsidR="00D05709" w:rsidRDefault="00D05709" w:rsidP="00EF1817">
      <w:pPr>
        <w:ind w:firstLine="709"/>
        <w:jc w:val="both"/>
      </w:pPr>
    </w:p>
    <w:p w:rsidR="00D05709" w:rsidRDefault="00D05709" w:rsidP="00EF1817">
      <w:pPr>
        <w:ind w:firstLine="709"/>
        <w:jc w:val="both"/>
      </w:pPr>
      <w:r>
        <w:t>- nazwa wytwórcy,</w:t>
      </w:r>
    </w:p>
    <w:p w:rsidR="00D05709" w:rsidRDefault="00D05709" w:rsidP="00EF1817">
      <w:pPr>
        <w:ind w:firstLine="709"/>
        <w:jc w:val="both"/>
      </w:pPr>
      <w:r>
        <w:t>- nazwę odbiorcy,</w:t>
      </w:r>
    </w:p>
    <w:p w:rsidR="00D05709" w:rsidRDefault="00D05709" w:rsidP="00EF1817">
      <w:pPr>
        <w:ind w:firstLine="709"/>
        <w:jc w:val="both"/>
      </w:pPr>
      <w:r>
        <w:t>- nazwę odbiorcy,</w:t>
      </w:r>
    </w:p>
    <w:p w:rsidR="00D05709" w:rsidRDefault="00D05709" w:rsidP="00EF1817">
      <w:pPr>
        <w:ind w:firstLine="709"/>
        <w:jc w:val="both"/>
      </w:pPr>
      <w:r>
        <w:t>- gatunek stali wg odpowiedniej normy lub aprobaty technicznej</w:t>
      </w:r>
      <w:r w:rsidR="000A6998">
        <w:t xml:space="preserve"> lub krajowej ocenie technicznej</w:t>
      </w:r>
      <w:r>
        <w:t>,</w:t>
      </w:r>
    </w:p>
    <w:p w:rsidR="00D05709" w:rsidRDefault="00D05709" w:rsidP="00EF1817">
      <w:pPr>
        <w:ind w:firstLine="709"/>
        <w:jc w:val="both"/>
      </w:pPr>
      <w:r>
        <w:t>- numer wytopu lub numer partii,</w:t>
      </w:r>
    </w:p>
    <w:p w:rsidR="00D05709" w:rsidRDefault="00D05709" w:rsidP="00EF1817">
      <w:pPr>
        <w:ind w:firstLine="709"/>
        <w:jc w:val="both"/>
      </w:pPr>
      <w:r>
        <w:t>- wszystkie wyniki przeprowadzonych badań oraz skład chemiczny wg analizy wytopowej,</w:t>
      </w:r>
    </w:p>
    <w:p w:rsidR="00D05709" w:rsidRDefault="00D05709" w:rsidP="00EF1817">
      <w:pPr>
        <w:ind w:firstLine="709"/>
        <w:jc w:val="both"/>
      </w:pPr>
      <w:r>
        <w:t>- masa partii,</w:t>
      </w:r>
    </w:p>
    <w:p w:rsidR="00D05709" w:rsidRDefault="00D05709" w:rsidP="00EF1817">
      <w:pPr>
        <w:ind w:firstLine="709"/>
        <w:jc w:val="both"/>
      </w:pPr>
      <w:r>
        <w:t>- rodzaj obróbki cieplnej.</w:t>
      </w:r>
    </w:p>
    <w:p w:rsidR="00D05709" w:rsidRDefault="00D05709" w:rsidP="00AE0A20">
      <w:pPr>
        <w:jc w:val="both"/>
      </w:pPr>
    </w:p>
    <w:p w:rsidR="00EF1817" w:rsidRDefault="00D74883" w:rsidP="00D27E3C">
      <w:pPr>
        <w:jc w:val="both"/>
      </w:pPr>
      <w:r>
        <w:t>Obowiązują następujące dokumenty:</w:t>
      </w:r>
    </w:p>
    <w:p w:rsidR="00E46A0D" w:rsidRDefault="00E46A0D" w:rsidP="00D27E3C">
      <w:pPr>
        <w:jc w:val="both"/>
      </w:pPr>
    </w:p>
    <w:p w:rsidR="00D74883" w:rsidRDefault="00E46A0D" w:rsidP="00E46A0D">
      <w:pPr>
        <w:ind w:left="709"/>
        <w:jc w:val="both"/>
      </w:pPr>
      <w:r>
        <w:t>a) stallista – oznaczony unikatowym numerem wykaz pozycji wraz z liczbą sztuk, średnicą, długością, odnośnikiem do rysunku z dokumentacji technicznej. Numer stallisty widnieje na wszystkich metkach przypiętych do pozycji ujętych w stalliście,</w:t>
      </w:r>
    </w:p>
    <w:p w:rsidR="00D74883" w:rsidRDefault="00D74883" w:rsidP="00D27E3C">
      <w:pPr>
        <w:jc w:val="both"/>
      </w:pPr>
    </w:p>
    <w:p w:rsidR="00D74883" w:rsidRDefault="00E46A0D" w:rsidP="00E46A0D">
      <w:pPr>
        <w:ind w:firstLine="709"/>
        <w:jc w:val="both"/>
      </w:pPr>
      <w:r>
        <w:t>b) deklaracja zgodności dostawy – dokument zawierający następujące dane:</w:t>
      </w:r>
    </w:p>
    <w:p w:rsidR="00D74883" w:rsidRDefault="00D74883" w:rsidP="00D27E3C">
      <w:pPr>
        <w:jc w:val="both"/>
      </w:pPr>
    </w:p>
    <w:p w:rsidR="00E46A0D" w:rsidRDefault="00E46A0D" w:rsidP="00E46A0D">
      <w:pPr>
        <w:ind w:firstLine="709"/>
        <w:jc w:val="both"/>
      </w:pPr>
      <w:r>
        <w:t>– nazwa odbiorcy,</w:t>
      </w:r>
    </w:p>
    <w:p w:rsidR="00E46A0D" w:rsidRDefault="00E46A0D" w:rsidP="00E46A0D">
      <w:pPr>
        <w:ind w:firstLine="709"/>
        <w:jc w:val="both"/>
      </w:pPr>
      <w:r>
        <w:t xml:space="preserve">– nazwa zlecenia, </w:t>
      </w:r>
    </w:p>
    <w:p w:rsidR="00E46A0D" w:rsidRDefault="00E46A0D" w:rsidP="00E46A0D">
      <w:pPr>
        <w:ind w:firstLine="709"/>
        <w:jc w:val="both"/>
      </w:pPr>
      <w:r>
        <w:t xml:space="preserve">– wykaz stallist wraz z wykazem rysunków z dokumentacji technicznej, </w:t>
      </w:r>
    </w:p>
    <w:p w:rsidR="00E46A0D" w:rsidRDefault="00E46A0D" w:rsidP="00E46A0D">
      <w:pPr>
        <w:ind w:firstLine="709"/>
        <w:jc w:val="both"/>
      </w:pPr>
      <w:r>
        <w:t>– wykaz norm i/lub aprobat</w:t>
      </w:r>
      <w:r w:rsidR="000A6998">
        <w:t>/krajowej ocenie technicznej</w:t>
      </w:r>
      <w:r>
        <w:t xml:space="preserve"> dla których wystawione są deklaracje zgodności, </w:t>
      </w:r>
    </w:p>
    <w:p w:rsidR="00E46A0D" w:rsidRDefault="00E46A0D" w:rsidP="00E46A0D">
      <w:pPr>
        <w:ind w:firstLine="709"/>
        <w:jc w:val="both"/>
      </w:pPr>
      <w:r>
        <w:t xml:space="preserve">– dane osoby wystawiającej dokument wraz z podpisem, </w:t>
      </w:r>
    </w:p>
    <w:p w:rsidR="00E46A0D" w:rsidRDefault="00E46A0D" w:rsidP="00E46A0D">
      <w:pPr>
        <w:ind w:left="709"/>
        <w:jc w:val="both"/>
      </w:pPr>
      <w:r>
        <w:t xml:space="preserve">– wykaz świadectw odbioru dla każdej średnicy i dla każdego wytopu prętów i walcówek użytych w procesie produkcji partii produkcyjnej (partii produkcyjnych) obejmującej (obejmujących) dostawę, dla której deklaracja zgodności dostawy jest wystawiana, </w:t>
      </w:r>
    </w:p>
    <w:p w:rsidR="00E46A0D" w:rsidRDefault="00E46A0D" w:rsidP="00E46A0D">
      <w:pPr>
        <w:ind w:firstLine="709"/>
        <w:jc w:val="both"/>
      </w:pPr>
      <w:r>
        <w:t xml:space="preserve">– unikatowy numer, </w:t>
      </w:r>
    </w:p>
    <w:p w:rsidR="00D74883" w:rsidRDefault="00E46A0D" w:rsidP="00E46A0D">
      <w:pPr>
        <w:ind w:firstLine="709"/>
        <w:jc w:val="both"/>
      </w:pPr>
      <w:r>
        <w:t>– data wystawienia,</w:t>
      </w:r>
    </w:p>
    <w:p w:rsidR="00D74883" w:rsidRDefault="00D74883" w:rsidP="00D27E3C">
      <w:pPr>
        <w:jc w:val="both"/>
      </w:pPr>
    </w:p>
    <w:p w:rsidR="00D74883" w:rsidRDefault="00E46A0D" w:rsidP="00D27E3C">
      <w:pPr>
        <w:jc w:val="both"/>
      </w:pPr>
      <w:r>
        <w:t>c) świadectwa odbioru na materiały użyte przy produkcji dostarczanego zbrojenia zgodnie z wykazem świadectw odbioru ujętym w deklaracji zgodności dostawy,</w:t>
      </w:r>
    </w:p>
    <w:p w:rsidR="00E46A0D" w:rsidRDefault="00E46A0D" w:rsidP="00D27E3C">
      <w:pPr>
        <w:jc w:val="both"/>
      </w:pPr>
    </w:p>
    <w:p w:rsidR="00E46A0D" w:rsidRDefault="00E46A0D" w:rsidP="00D27E3C">
      <w:pPr>
        <w:jc w:val="both"/>
      </w:pPr>
      <w:r>
        <w:t>d) dowód dostawy.</w:t>
      </w:r>
    </w:p>
    <w:p w:rsidR="00D74883" w:rsidRDefault="00D74883" w:rsidP="00D27E3C">
      <w:pPr>
        <w:jc w:val="both"/>
      </w:pPr>
    </w:p>
    <w:p w:rsidR="00D74883" w:rsidRPr="00E46A0D" w:rsidRDefault="00E46A0D" w:rsidP="00D27E3C">
      <w:pPr>
        <w:jc w:val="both"/>
        <w:rPr>
          <w:b/>
        </w:rPr>
      </w:pPr>
      <w:r w:rsidRPr="00E46A0D">
        <w:rPr>
          <w:b/>
        </w:rPr>
        <w:t>Dokumenty przy dostawie zbrojenia prefabrykowanego w zbrojarni</w:t>
      </w:r>
    </w:p>
    <w:p w:rsidR="00D74883" w:rsidRDefault="00D74883" w:rsidP="00D27E3C">
      <w:pPr>
        <w:jc w:val="both"/>
      </w:pPr>
    </w:p>
    <w:p w:rsidR="00D74883" w:rsidRDefault="00E46A0D" w:rsidP="00E46A0D">
      <w:pPr>
        <w:ind w:firstLine="709"/>
        <w:jc w:val="both"/>
      </w:pPr>
      <w:r>
        <w:t>Nie ma konieczności badania stali zbrojeniowej spełniającej wymagania Polskiej Normy, lub Krajowej Oceny Technicznej, lub posiadającej Aprobatę techniczną (z potwierdzeniem deklaracją zgodności).</w:t>
      </w:r>
    </w:p>
    <w:p w:rsidR="00D74883" w:rsidRDefault="00E46A0D" w:rsidP="00E46A0D">
      <w:pPr>
        <w:ind w:firstLine="709"/>
        <w:jc w:val="both"/>
      </w:pPr>
      <w:r>
        <w:t>Dostarczoną na budowę stal, która:</w:t>
      </w:r>
    </w:p>
    <w:p w:rsidR="00E46A0D" w:rsidRDefault="00E46A0D" w:rsidP="00E46A0D">
      <w:pPr>
        <w:ind w:left="709"/>
        <w:jc w:val="both"/>
      </w:pPr>
      <w:r>
        <w:t>- nie ma deklaracji (certyfikatu) zgodności z Polską Normą lub Krajowej Oceny Technicznej lub Aprobatą techniczną,</w:t>
      </w:r>
    </w:p>
    <w:p w:rsidR="00E46A0D" w:rsidRDefault="00E46A0D" w:rsidP="00E46A0D">
      <w:pPr>
        <w:ind w:left="709"/>
        <w:jc w:val="both"/>
      </w:pPr>
      <w:r>
        <w:t>- oględziny zewnętrzne nasuwają wątpliwości co do jej własności,</w:t>
      </w:r>
    </w:p>
    <w:p w:rsidR="00E46A0D" w:rsidRDefault="00E46A0D" w:rsidP="00E46A0D">
      <w:pPr>
        <w:ind w:left="709"/>
        <w:jc w:val="both"/>
      </w:pPr>
      <w:r>
        <w:t>- pęka przy wykonywaniu haków,</w:t>
      </w:r>
    </w:p>
    <w:p w:rsidR="00E46A0D" w:rsidRDefault="00E46A0D" w:rsidP="00E46A0D">
      <w:pPr>
        <w:jc w:val="both"/>
      </w:pPr>
      <w:r>
        <w:t>należy odrzucić.</w:t>
      </w:r>
    </w:p>
    <w:p w:rsidR="00D74883" w:rsidRDefault="00D74883" w:rsidP="00D27E3C">
      <w:pPr>
        <w:jc w:val="both"/>
      </w:pPr>
    </w:p>
    <w:p w:rsidR="00D74883" w:rsidRDefault="00E46A0D" w:rsidP="00E46A0D">
      <w:pPr>
        <w:ind w:firstLine="709"/>
        <w:jc w:val="both"/>
      </w:pPr>
      <w:r>
        <w:t>Powierzchnia stali zbrojeniowej dostarczonej na budowę w postaci prętów prostych lub kręgów oraz powierzchnia elementów, z których wykonano zbrojenie prefabrykowane w zbrojarni dostarczone na budowę, nie powinny wykazywać pęknięć, pęcherzy i naderwań. W technologicznej próbie zginania powierzchnia próbek także nie powinna wykazywać pęknięć, naderwań i rozwarstwień.</w:t>
      </w:r>
    </w:p>
    <w:p w:rsidR="00D74883" w:rsidRDefault="00826416" w:rsidP="00826416">
      <w:pPr>
        <w:ind w:firstLine="709"/>
        <w:jc w:val="both"/>
      </w:pPr>
      <w:r>
        <w:t>Na powierzchni czołowej prętów niedopuszczalne są pozostałości jamy usadowej, rozwarstwienia i pęknięcia widoczne nieuzbrojonym okiem. Wady powierzchniowe, takie jak rysy, drobne łuski i zawalcowania, wtrącenia niemetaliczne, wżery, wypukłości, wgniecenia, zgorzeliny i chropowatości są dopuszczalne jeśli nie przekraczają 0,5 mm licząc od średnicy rdzenia dla prętów o średnicy nominalnej do 25 mm oraz 0,7 mm dla prętów o większych średnicach.</w:t>
      </w:r>
    </w:p>
    <w:p w:rsidR="00D74883" w:rsidRDefault="00D74883" w:rsidP="00D27E3C">
      <w:pPr>
        <w:jc w:val="both"/>
      </w:pPr>
    </w:p>
    <w:p w:rsidR="00826416" w:rsidRDefault="00826416" w:rsidP="00826416">
      <w:pPr>
        <w:pStyle w:val="Nagwek2"/>
        <w:spacing w:before="0" w:after="0"/>
        <w:rPr>
          <w:rFonts w:ascii="Times New Roman" w:hAnsi="Times New Roman"/>
          <w:b/>
          <w:szCs w:val="19"/>
        </w:rPr>
      </w:pPr>
      <w:r>
        <w:rPr>
          <w:rFonts w:ascii="Times New Roman" w:hAnsi="Times New Roman"/>
          <w:b/>
          <w:szCs w:val="19"/>
        </w:rPr>
        <w:t>2.3</w:t>
      </w:r>
      <w:r w:rsidRPr="00EF1817">
        <w:rPr>
          <w:rFonts w:ascii="Times New Roman" w:hAnsi="Times New Roman"/>
          <w:b/>
          <w:szCs w:val="19"/>
        </w:rPr>
        <w:t xml:space="preserve">. </w:t>
      </w:r>
      <w:r>
        <w:rPr>
          <w:rFonts w:ascii="Times New Roman" w:hAnsi="Times New Roman"/>
          <w:b/>
          <w:szCs w:val="19"/>
        </w:rPr>
        <w:t>Drut montażowy</w:t>
      </w:r>
    </w:p>
    <w:p w:rsidR="00826416" w:rsidRPr="00826416" w:rsidRDefault="009928C1" w:rsidP="00523DFB">
      <w:pPr>
        <w:ind w:firstLine="709"/>
        <w:jc w:val="both"/>
      </w:pPr>
      <w:r>
        <w:t>Do montażu prętów zbrojenia należy używać wyżarzonego drutu stalowego tzw. wiązałkowego o średnicy nie mniejszej niż 1,0 mm. Przy średnicach większych niż 12 mm stosować drut wiązałkowy o średnicy min. 1,5 mm.</w:t>
      </w:r>
    </w:p>
    <w:p w:rsidR="00D74883" w:rsidRDefault="00D74883" w:rsidP="00D27E3C">
      <w:pPr>
        <w:jc w:val="both"/>
      </w:pPr>
    </w:p>
    <w:p w:rsidR="00523DFB" w:rsidRDefault="00523DFB" w:rsidP="00523DFB">
      <w:pPr>
        <w:pStyle w:val="Nagwek2"/>
        <w:spacing w:before="0" w:after="0"/>
        <w:rPr>
          <w:rFonts w:ascii="Times New Roman" w:hAnsi="Times New Roman"/>
          <w:b/>
          <w:szCs w:val="19"/>
        </w:rPr>
      </w:pPr>
      <w:r>
        <w:rPr>
          <w:rFonts w:ascii="Times New Roman" w:hAnsi="Times New Roman"/>
          <w:b/>
          <w:szCs w:val="19"/>
        </w:rPr>
        <w:t>2.4</w:t>
      </w:r>
      <w:r w:rsidRPr="00EF1817">
        <w:rPr>
          <w:rFonts w:ascii="Times New Roman" w:hAnsi="Times New Roman"/>
          <w:b/>
          <w:szCs w:val="19"/>
        </w:rPr>
        <w:t xml:space="preserve">. </w:t>
      </w:r>
      <w:r>
        <w:rPr>
          <w:rFonts w:ascii="Times New Roman" w:hAnsi="Times New Roman"/>
          <w:b/>
          <w:szCs w:val="19"/>
        </w:rPr>
        <w:t>Materiały spawalnicze</w:t>
      </w:r>
    </w:p>
    <w:p w:rsidR="00523DFB" w:rsidRPr="00523DFB" w:rsidRDefault="00523DFB" w:rsidP="00523DFB">
      <w:pPr>
        <w:ind w:firstLine="709"/>
      </w:pPr>
      <w:r>
        <w:t>Należy stosować elektrody odpowiednie do gatunku stali łączonych prętów zbroje</w:t>
      </w:r>
      <w:r w:rsidR="007424F4">
        <w:t xml:space="preserve">niowych, po akceptacji </w:t>
      </w:r>
      <w:r w:rsidR="005E72DC">
        <w:t xml:space="preserve">przedstawiciela  </w:t>
      </w:r>
      <w:r w:rsidR="007424F4">
        <w:t>Zamawiającego</w:t>
      </w:r>
      <w:r>
        <w:t>.</w:t>
      </w:r>
    </w:p>
    <w:p w:rsidR="00523DFB" w:rsidRDefault="00523DFB" w:rsidP="00523DFB">
      <w:pPr>
        <w:jc w:val="both"/>
      </w:pPr>
    </w:p>
    <w:p w:rsidR="00523DFB" w:rsidRDefault="00523DFB" w:rsidP="00523DFB">
      <w:pPr>
        <w:pStyle w:val="Nagwek2"/>
        <w:spacing w:before="0" w:after="0"/>
        <w:rPr>
          <w:rFonts w:ascii="Times New Roman" w:hAnsi="Times New Roman"/>
          <w:b/>
          <w:szCs w:val="19"/>
        </w:rPr>
      </w:pPr>
      <w:r>
        <w:rPr>
          <w:rFonts w:ascii="Times New Roman" w:hAnsi="Times New Roman"/>
          <w:b/>
          <w:szCs w:val="19"/>
        </w:rPr>
        <w:t>2.5</w:t>
      </w:r>
      <w:r w:rsidRPr="00EF1817">
        <w:rPr>
          <w:rFonts w:ascii="Times New Roman" w:hAnsi="Times New Roman"/>
          <w:b/>
          <w:szCs w:val="19"/>
        </w:rPr>
        <w:t xml:space="preserve">. </w:t>
      </w:r>
      <w:r>
        <w:rPr>
          <w:rFonts w:ascii="Times New Roman" w:hAnsi="Times New Roman"/>
          <w:b/>
          <w:szCs w:val="19"/>
        </w:rPr>
        <w:t>Podkładki dystansowe</w:t>
      </w:r>
    </w:p>
    <w:p w:rsidR="00523DFB" w:rsidRDefault="00523DFB" w:rsidP="00523DFB">
      <w:pPr>
        <w:ind w:firstLine="709"/>
      </w:pPr>
      <w:r>
        <w:t>Dopuszcza się stosowanie stabilizatorów i podkładek dystansowych z betonu lub zaprawy i z tworzyw sztucznych.</w:t>
      </w:r>
    </w:p>
    <w:p w:rsidR="00523DFB" w:rsidRDefault="00523DFB" w:rsidP="00523DFB">
      <w:pPr>
        <w:ind w:firstLine="709"/>
      </w:pPr>
      <w:r>
        <w:t>Podkładki dystansowe muszą być mocowane do prętów.</w:t>
      </w:r>
    </w:p>
    <w:p w:rsidR="00523DFB" w:rsidRPr="00523DFB" w:rsidRDefault="00523DFB" w:rsidP="00523DFB">
      <w:pPr>
        <w:ind w:firstLine="709"/>
      </w:pPr>
      <w:r>
        <w:t>Nie dopuszcza się stosowanie przekładek dystansowych z drewna, cegły lub prętów stalowych.</w:t>
      </w:r>
    </w:p>
    <w:p w:rsidR="00826416" w:rsidRDefault="00826416" w:rsidP="00D27E3C">
      <w:pPr>
        <w:jc w:val="both"/>
      </w:pPr>
    </w:p>
    <w:p w:rsidR="00D27E3C" w:rsidRDefault="00523DFB" w:rsidP="00D27E3C">
      <w:pPr>
        <w:rPr>
          <w:b/>
        </w:rPr>
      </w:pPr>
      <w:r w:rsidRPr="00523DFB">
        <w:rPr>
          <w:b/>
        </w:rPr>
        <w:t xml:space="preserve">2.6 </w:t>
      </w:r>
      <w:r w:rsidR="00D27E3C">
        <w:rPr>
          <w:b/>
        </w:rPr>
        <w:t xml:space="preserve">Kotwy </w:t>
      </w:r>
    </w:p>
    <w:p w:rsidR="00D27E3C" w:rsidRDefault="00D27E3C" w:rsidP="00523DFB">
      <w:pPr>
        <w:ind w:firstLine="709"/>
        <w:jc w:val="both"/>
        <w:rPr>
          <w:snapToGrid w:val="0"/>
        </w:rPr>
      </w:pPr>
      <w:r>
        <w:t xml:space="preserve">Kotwa - </w:t>
      </w:r>
      <w:r>
        <w:rPr>
          <w:rStyle w:val="apple-converted-space"/>
          <w:rFonts w:ascii="Arial" w:hAnsi="Arial" w:cs="Arial"/>
          <w:color w:val="444444"/>
          <w:sz w:val="18"/>
          <w:szCs w:val="18"/>
        </w:rPr>
        <w:t> </w:t>
      </w:r>
      <w:r w:rsidRPr="00A00F57">
        <w:rPr>
          <w:snapToGrid w:val="0"/>
        </w:rPr>
        <w:t>produkowana jest z blachy, stalowego wałka i prętów</w:t>
      </w:r>
      <w:r>
        <w:rPr>
          <w:snapToGrid w:val="0"/>
        </w:rPr>
        <w:t xml:space="preserve">, </w:t>
      </w:r>
      <w:r w:rsidRPr="00542E21">
        <w:rPr>
          <w:snapToGrid w:val="0"/>
        </w:rPr>
        <w:t xml:space="preserve">dwuczłonowy element służący do </w:t>
      </w:r>
      <w:r>
        <w:rPr>
          <w:snapToGrid w:val="0"/>
        </w:rPr>
        <w:t>montaż elementów wyposażenia (balustrad, lamp oświetleniowych) z płytami prefabrykowanymi oraz służących do monażu awaryjnego płyt prefabrykowanych z konstrukcją stalową. Kotwy wykonać zgodnie z przyjętym system balustrady, oświetlenia lub zastsosować inne kot</w:t>
      </w:r>
      <w:r w:rsidR="007424F4">
        <w:rPr>
          <w:snapToGrid w:val="0"/>
        </w:rPr>
        <w:t xml:space="preserve">wy zaakceptowane przez </w:t>
      </w:r>
      <w:r w:rsidR="005E72DC">
        <w:t>przedstawiciela</w:t>
      </w:r>
      <w:r w:rsidR="007424F4">
        <w:rPr>
          <w:snapToGrid w:val="0"/>
        </w:rPr>
        <w:t>Zamawiającego</w:t>
      </w:r>
      <w:r>
        <w:rPr>
          <w:snapToGrid w:val="0"/>
        </w:rPr>
        <w:t>.</w:t>
      </w:r>
    </w:p>
    <w:p w:rsidR="00523DFB" w:rsidRPr="009F3080" w:rsidRDefault="00523DFB" w:rsidP="00523DFB">
      <w:pPr>
        <w:ind w:firstLine="709"/>
        <w:jc w:val="both"/>
        <w:rPr>
          <w:b/>
        </w:rPr>
      </w:pPr>
    </w:p>
    <w:p w:rsidR="00D27E3C" w:rsidRDefault="00D27E3C" w:rsidP="00D27E3C">
      <w:pPr>
        <w:widowControl w:val="0"/>
        <w:spacing w:before="120" w:after="120"/>
        <w:rPr>
          <w:b/>
          <w:snapToGrid w:val="0"/>
          <w:u w:val="single"/>
        </w:rPr>
      </w:pPr>
      <w:r>
        <w:rPr>
          <w:b/>
          <w:noProof/>
          <w:snapToGrid w:val="0"/>
          <w:u w:val="single"/>
        </w:rPr>
        <w:t>3.</w:t>
      </w:r>
      <w:r>
        <w:rPr>
          <w:b/>
          <w:snapToGrid w:val="0"/>
          <w:u w:val="single"/>
        </w:rPr>
        <w:t xml:space="preserve"> SPRZĘT</w:t>
      </w:r>
    </w:p>
    <w:p w:rsidR="00D27E3C" w:rsidRDefault="00D27E3C" w:rsidP="00D27E3C">
      <w:pPr>
        <w:jc w:val="both"/>
      </w:pPr>
      <w:r>
        <w:t>Wykonawca jest zobowiązany do używania jedynie takiego sprzętu, który nie spowoduje niekorzystnego wpływu na jakość wykonywanych robót. Sprzęt używany do robót powinien być zgodny z ofertą Wykonawcy i powinien odpowiadać pod względem typów i ilości wskazaniom zawartym w ST, projekcie organizacji robót</w:t>
      </w:r>
      <w:r w:rsidR="007424F4">
        <w:t xml:space="preserve">, zaakceptowanym przez </w:t>
      </w:r>
      <w:r w:rsidR="005E72DC">
        <w:t xml:space="preserve">przedstawiciela </w:t>
      </w:r>
      <w:r w:rsidR="007424F4">
        <w:t>Zamawiającego</w:t>
      </w:r>
      <w:r>
        <w:t>; w przypadku braku ustaleń w takich dokumentach sprzęt powinien być uzgodniony i</w:t>
      </w:r>
      <w:r w:rsidR="007424F4">
        <w:t xml:space="preserve"> zaakceptowany przez </w:t>
      </w:r>
      <w:r w:rsidR="005E72DC">
        <w:t xml:space="preserve">przedstawiciela </w:t>
      </w:r>
      <w:r w:rsidR="007424F4">
        <w:t>Zamawiającego</w:t>
      </w:r>
      <w:r>
        <w:t>.</w:t>
      </w:r>
    </w:p>
    <w:p w:rsidR="00D27E3C" w:rsidRDefault="00D27E3C" w:rsidP="00D27E3C">
      <w:pPr>
        <w:jc w:val="both"/>
      </w:pPr>
      <w:r>
        <w:t>Przystępując do wykonania zbrojenia Wykonawca powinien mieć do dyspozycji:</w:t>
      </w:r>
    </w:p>
    <w:p w:rsidR="00D27E3C" w:rsidRDefault="00D27E3C" w:rsidP="0097494B">
      <w:pPr>
        <w:numPr>
          <w:ilvl w:val="0"/>
          <w:numId w:val="59"/>
        </w:numPr>
        <w:jc w:val="both"/>
      </w:pPr>
      <w:r>
        <w:t>giętarki,</w:t>
      </w:r>
    </w:p>
    <w:p w:rsidR="00D27E3C" w:rsidRDefault="00D27E3C" w:rsidP="0097494B">
      <w:pPr>
        <w:numPr>
          <w:ilvl w:val="0"/>
          <w:numId w:val="59"/>
        </w:numPr>
        <w:jc w:val="both"/>
      </w:pPr>
      <w:r>
        <w:t>prostowarki,</w:t>
      </w:r>
    </w:p>
    <w:p w:rsidR="00D27E3C" w:rsidRDefault="00D27E3C" w:rsidP="0097494B">
      <w:pPr>
        <w:numPr>
          <w:ilvl w:val="0"/>
          <w:numId w:val="59"/>
        </w:numPr>
        <w:jc w:val="both"/>
      </w:pPr>
      <w:r>
        <w:t>nożyce do cięcia prętów,</w:t>
      </w:r>
    </w:p>
    <w:p w:rsidR="00D27E3C" w:rsidRDefault="00D27E3C" w:rsidP="0097494B">
      <w:pPr>
        <w:numPr>
          <w:ilvl w:val="0"/>
          <w:numId w:val="59"/>
        </w:numPr>
        <w:jc w:val="both"/>
      </w:pPr>
      <w:r>
        <w:t>wiertarki stacjonarne lub ręczne do wiercenia otworów w betonie,</w:t>
      </w:r>
    </w:p>
    <w:p w:rsidR="00D27E3C" w:rsidRDefault="00D27E3C" w:rsidP="0097494B">
      <w:pPr>
        <w:numPr>
          <w:ilvl w:val="0"/>
          <w:numId w:val="59"/>
        </w:numPr>
        <w:jc w:val="both"/>
      </w:pPr>
      <w:r>
        <w:t>lekki żuraw samochodowy,</w:t>
      </w:r>
    </w:p>
    <w:p w:rsidR="00D27E3C" w:rsidRDefault="00D27E3C" w:rsidP="0097494B">
      <w:pPr>
        <w:numPr>
          <w:ilvl w:val="0"/>
          <w:numId w:val="59"/>
        </w:numPr>
        <w:jc w:val="both"/>
      </w:pPr>
      <w:r>
        <w:t>sprzęt do transportu pomocniczego.</w:t>
      </w:r>
    </w:p>
    <w:p w:rsidR="00C3728C" w:rsidRDefault="00C3728C" w:rsidP="0097494B">
      <w:pPr>
        <w:numPr>
          <w:ilvl w:val="0"/>
          <w:numId w:val="59"/>
        </w:numPr>
        <w:jc w:val="both"/>
      </w:pPr>
      <w:r>
        <w:t>spawarki</w:t>
      </w:r>
    </w:p>
    <w:p w:rsidR="00D27E3C" w:rsidRDefault="00D27E3C" w:rsidP="00D27E3C">
      <w:pPr>
        <w:widowControl w:val="0"/>
        <w:spacing w:before="120" w:after="120"/>
        <w:jc w:val="both"/>
        <w:rPr>
          <w:b/>
          <w:snapToGrid w:val="0"/>
          <w:u w:val="single"/>
        </w:rPr>
      </w:pPr>
      <w:r>
        <w:rPr>
          <w:b/>
          <w:noProof/>
          <w:snapToGrid w:val="0"/>
          <w:u w:val="single"/>
        </w:rPr>
        <w:t>4.</w:t>
      </w:r>
      <w:r>
        <w:rPr>
          <w:b/>
          <w:snapToGrid w:val="0"/>
          <w:u w:val="single"/>
        </w:rPr>
        <w:t xml:space="preserve"> TRANSPORT</w:t>
      </w:r>
    </w:p>
    <w:p w:rsidR="00D27E3C" w:rsidRDefault="00D27E3C" w:rsidP="00260265">
      <w:pPr>
        <w:ind w:firstLine="709"/>
        <w:jc w:val="both"/>
      </w:pPr>
      <w:r>
        <w:t>Wykonawca jest zobowiązany do stosowania jedynie takich środków transportu, które nie wpłyną niekorzystnie na jakość wykonywanych robót i właściwości przewożonych materiałów.</w:t>
      </w:r>
    </w:p>
    <w:p w:rsidR="00D27E3C" w:rsidRDefault="00D27E3C" w:rsidP="00D27E3C">
      <w:pPr>
        <w:jc w:val="both"/>
      </w:pPr>
      <w:r>
        <w:t>Liczba środków transportu będzie zapewniać prowadzenie robót zgodnie z zasadami określonymi w dokumentacji projekt</w:t>
      </w:r>
      <w:r w:rsidR="007424F4">
        <w:t xml:space="preserve">owej, ST i wskazaniach </w:t>
      </w:r>
      <w:r w:rsidR="00663F18">
        <w:t xml:space="preserve">przedstawiciela </w:t>
      </w:r>
      <w:r w:rsidR="007424F4">
        <w:t>Zamawiającego</w:t>
      </w:r>
      <w:r>
        <w:t>, w terminie przewidzianym umową.</w:t>
      </w:r>
    </w:p>
    <w:p w:rsidR="00D27E3C" w:rsidRDefault="00D27E3C" w:rsidP="00D27E3C">
      <w:pPr>
        <w:jc w:val="both"/>
      </w:pPr>
      <w:r>
        <w:t>Przy ruchu na drogach publicznych pojazdy będą spełniać wymagania dotyczące przepisów ruchu drogowego w odniesieniu do dopuszczalnych obciążeń na osie i innych parametrów technicznych. Środki transportu nie odpowiadające warunkom dopuszczalnych obciążeń na osie mogą</w:t>
      </w:r>
      <w:r w:rsidR="007424F4">
        <w:t xml:space="preserve"> być dopuszczone przez </w:t>
      </w:r>
      <w:r w:rsidR="00663F18">
        <w:t xml:space="preserve">przedstawiciela </w:t>
      </w:r>
      <w:r w:rsidR="007424F4">
        <w:t>Zamawiającego</w:t>
      </w:r>
      <w:r>
        <w:t>, pod warunkiem przywrócenia stanu pierwotnego użytkowanych odcinków dróg na koszt Wykonawcy.</w:t>
      </w:r>
    </w:p>
    <w:p w:rsidR="00D27E3C" w:rsidRDefault="00D27E3C" w:rsidP="00D27E3C">
      <w:pPr>
        <w:spacing w:after="120"/>
        <w:jc w:val="both"/>
      </w:pPr>
      <w:r>
        <w:t>Wykonawca będzie usuwać na bieżąco, na własny koszt, wszelkie zanieczyszczenia spowodowane jego pojazdami na drogach publicznych oraz dojazdach do terenu budowy.</w:t>
      </w:r>
    </w:p>
    <w:p w:rsidR="00D27E3C" w:rsidRDefault="00D27E3C" w:rsidP="00D27E3C">
      <w:pPr>
        <w:widowControl w:val="0"/>
        <w:spacing w:before="120" w:after="120"/>
        <w:rPr>
          <w:b/>
          <w:snapToGrid w:val="0"/>
          <w:u w:val="single"/>
        </w:rPr>
      </w:pPr>
      <w:r>
        <w:rPr>
          <w:b/>
          <w:noProof/>
          <w:snapToGrid w:val="0"/>
          <w:u w:val="single"/>
        </w:rPr>
        <w:t>5.</w:t>
      </w:r>
      <w:r>
        <w:rPr>
          <w:b/>
          <w:snapToGrid w:val="0"/>
          <w:u w:val="single"/>
        </w:rPr>
        <w:t xml:space="preserve"> WYKONANIE ROBÓT</w:t>
      </w:r>
    </w:p>
    <w:p w:rsidR="00C3728C" w:rsidRPr="00B841B9" w:rsidRDefault="00C3728C" w:rsidP="00C3728C">
      <w:pPr>
        <w:jc w:val="both"/>
        <w:rPr>
          <w:b/>
        </w:rPr>
      </w:pPr>
      <w:r w:rsidRPr="00B841B9">
        <w:rPr>
          <w:b/>
        </w:rPr>
        <w:t>5.1. Ogólne zasady wykonania robót.</w:t>
      </w:r>
    </w:p>
    <w:p w:rsidR="00C3728C" w:rsidRDefault="00C3728C" w:rsidP="00260265">
      <w:pPr>
        <w:spacing w:after="120"/>
        <w:ind w:firstLine="709"/>
        <w:jc w:val="both"/>
      </w:pPr>
      <w:r w:rsidRPr="00B841B9">
        <w:t>Ogólne zasa</w:t>
      </w:r>
      <w:r>
        <w:t>dy wykonania robót podano w ST-D</w:t>
      </w:r>
      <w:r w:rsidRPr="00B841B9">
        <w:t>-</w:t>
      </w:r>
      <w:r>
        <w:t xml:space="preserve">M </w:t>
      </w:r>
      <w:r w:rsidRPr="00B841B9">
        <w:t>00.00.00. „Wymagania ogólne”.</w:t>
      </w:r>
    </w:p>
    <w:p w:rsidR="00C3728C" w:rsidRPr="00260265" w:rsidRDefault="00C3728C" w:rsidP="00260265">
      <w:pPr>
        <w:jc w:val="both"/>
        <w:rPr>
          <w:b/>
        </w:rPr>
      </w:pPr>
      <w:r w:rsidRPr="00B841B9">
        <w:rPr>
          <w:b/>
        </w:rPr>
        <w:t>5.</w:t>
      </w:r>
      <w:r>
        <w:rPr>
          <w:b/>
        </w:rPr>
        <w:t>2</w:t>
      </w:r>
      <w:r w:rsidRPr="00B841B9">
        <w:rPr>
          <w:b/>
        </w:rPr>
        <w:t>.</w:t>
      </w:r>
      <w:r w:rsidR="00260265">
        <w:rPr>
          <w:b/>
        </w:rPr>
        <w:t>Przygotowanie zbrojenia</w:t>
      </w:r>
    </w:p>
    <w:p w:rsidR="00C3728C" w:rsidRDefault="00260265" w:rsidP="0069243E">
      <w:pPr>
        <w:ind w:firstLine="709"/>
        <w:jc w:val="both"/>
      </w:pPr>
      <w:r>
        <w:t>Przewożenie stali na budowę powinno odbywać się w sposób zabezpieczający ją od odkształceń i zanieczyszczeń. Stal zbrojeniowa nie jest zasadniczo zabezpieczana przed korozją w okresie przed wbudowaniem. Należy dążyć, by stal taka była magazynowana w miejscu nie narażonym na nadmierne zawilgocenie lub zanieczyszczenie</w:t>
      </w:r>
    </w:p>
    <w:p w:rsidR="00C3728C" w:rsidRDefault="00260265" w:rsidP="0069243E">
      <w:pPr>
        <w:ind w:firstLine="709"/>
        <w:jc w:val="both"/>
      </w:pPr>
      <w:r>
        <w:t>Zabezpieczeniem przed nadmierną korozją stali zbrojeniowej, magazynowanej na otwartym powietrzu, może być powłoka wykonana z mleczka cementowego. Pręty zbrojenia, przed ich ułożeniem w deskowaniu, należy oczyścić z zendry, luźnych płatków rdzy, kurzu i błota. Stal pokrytą rdzą oczyszcza się szczotkami ręcznie lub mechanicznie. Po oczyszczeniu należy sprawdzić wymiary przekroju poprzecznego prętów. Stal tylko zabłoconą można zmyć strumieniem wody. Pręty oblodzone odmrażać strumieniem ciepłej wody. Stal narażoną na choćby chwilowe działanie słonej wody należy zmyć wodą słodką. Pręty zbrojenia zanieczyszczone tłuszczem (smary, oliwa) lub farbą olejną, należy opalać aż do całkowitego usunięcia zanieczyszczeń. Pręty, używane do produkcji zbrojenia, powinny być proste.</w:t>
      </w:r>
    </w:p>
    <w:p w:rsidR="00260265" w:rsidRDefault="00260265" w:rsidP="0069243E">
      <w:pPr>
        <w:ind w:firstLine="709"/>
        <w:jc w:val="both"/>
      </w:pPr>
      <w:r>
        <w:t>Dopuszczalna wielkość miejscowego wykrzywienia nie powinna przekraczać 4 mm, w przypadku większych odchyłek stal zbrojeniową należy prostować za pomocą kluczy, młotków, prostowarek i wyciągarek.</w:t>
      </w:r>
    </w:p>
    <w:p w:rsidR="00C3728C" w:rsidRDefault="00260265" w:rsidP="0069243E">
      <w:pPr>
        <w:ind w:firstLine="709"/>
        <w:jc w:val="both"/>
      </w:pPr>
      <w:r>
        <w:t>Cięcie prętów należy wykonywać przy maksymalnym wykorzystaniu materiałów. Pręty ucina się z dokładnością do 1 cm. Cięcie przeprowadza się przy pomocy mechanicznych noży, Dopuszcza się również cięcie palnikiem acetylenowym.</w:t>
      </w:r>
    </w:p>
    <w:p w:rsidR="00260265" w:rsidRDefault="00260265" w:rsidP="0069243E">
      <w:pPr>
        <w:ind w:firstLine="709"/>
        <w:jc w:val="both"/>
      </w:pPr>
      <w:r>
        <w:t>Gięcie prętów należy wykonywać zgodnie z Dokumentacją Projektową.</w:t>
      </w:r>
    </w:p>
    <w:p w:rsidR="00260265" w:rsidRDefault="00260265" w:rsidP="0069243E">
      <w:pPr>
        <w:ind w:firstLine="709"/>
        <w:jc w:val="both"/>
      </w:pPr>
      <w:r>
        <w:t>Gięcie prętów należy wykonywać zgodnie z dokumentacją projektową, przy zachowaniu minimalnych średnic odgięcia i zagięcia (d - średnica nominalna pręta):</w:t>
      </w:r>
    </w:p>
    <w:p w:rsidR="00260265" w:rsidRDefault="00260265" w:rsidP="0069243E">
      <w:pPr>
        <w:ind w:firstLine="709"/>
        <w:jc w:val="both"/>
      </w:pPr>
      <w:r>
        <w:t>− 4d dla prętów o średnicy d ≤ 10 mm;</w:t>
      </w:r>
    </w:p>
    <w:p w:rsidR="00260265" w:rsidRDefault="00260265" w:rsidP="0069243E">
      <w:pPr>
        <w:ind w:firstLine="709"/>
        <w:jc w:val="both"/>
      </w:pPr>
      <w:r>
        <w:t>− 5d dla prętów o średnicy 10 &lt; d ≤ 20 mm;</w:t>
      </w:r>
    </w:p>
    <w:p w:rsidR="00260265" w:rsidRDefault="00260265" w:rsidP="0069243E">
      <w:pPr>
        <w:ind w:firstLine="709"/>
        <w:jc w:val="both"/>
      </w:pPr>
      <w:r>
        <w:t>− 8d dla prętów o średnicy 20 &lt; d ≤ 28 mm;</w:t>
      </w:r>
    </w:p>
    <w:p w:rsidR="00260265" w:rsidRDefault="00260265" w:rsidP="0069243E">
      <w:pPr>
        <w:ind w:firstLine="709"/>
        <w:jc w:val="both"/>
      </w:pPr>
      <w:r>
        <w:t>− 10d dla prętów o średnicy &gt; 28mm.</w:t>
      </w:r>
    </w:p>
    <w:p w:rsidR="00260265" w:rsidRDefault="00260265" w:rsidP="0069243E">
      <w:pPr>
        <w:ind w:firstLine="709"/>
        <w:jc w:val="both"/>
      </w:pPr>
      <w:r>
        <w:t>Pręty o ze stali zwykłej (która nie jest ulepszana cieplnie) średnicy d &gt; 12 mm powinny być odginane z kontrolowanym podgrzewaniem.</w:t>
      </w:r>
    </w:p>
    <w:p w:rsidR="00260265" w:rsidRDefault="00260265" w:rsidP="0069243E">
      <w:pPr>
        <w:ind w:firstLine="709"/>
        <w:jc w:val="both"/>
      </w:pPr>
      <w:r>
        <w:t>Dla prętów ze stali ulepszanej cieplnie (np. podczas walcowania) należy opracować technologię gięcia prętów o większych średnicach. Niedopuszczalne jest podgrzewanie prętów z takiej stali.</w:t>
      </w:r>
    </w:p>
    <w:p w:rsidR="00260265" w:rsidRDefault="00260265" w:rsidP="0069243E">
      <w:pPr>
        <w:ind w:firstLine="709"/>
        <w:jc w:val="both"/>
      </w:pPr>
      <w:r>
        <w:t>Nie należy stosować spawania i zgrzewania w bezpośrednim zasięgu odgięć i haków. Minimalna odległość spoin od krzywizny odgięcia powinna wynosić 10d. Na zimno na budowie można wykonywać odgięcia prętów o średnicy do 12 mm. Pręty o średnicy większej niż 12 mm w warunkach budowy powinny być odginane z kontrolowanym podgrzewaniem. W miejscach zagięć i załamań elementów konstrukcji, w których zagięciu ulegają jednocześnie wszystkie pręty zbrojenia rozciąganego, należy stosować średnicę zagięcia równą co najmniej 20d. Wewnętrzna średnica odgięcia strzemion i prętów montażowych powinna spełniać warunki podane dla haków. Przy odbiorze haków i odgięć należy zwrócić uwagę na ich zewnętrzną stronę. Niedopuszczalne są tam pęknięcia powstałe podczas wyginania.</w:t>
      </w:r>
    </w:p>
    <w:p w:rsidR="00260265" w:rsidRDefault="00260265" w:rsidP="00260265">
      <w:pPr>
        <w:spacing w:after="120"/>
        <w:ind w:firstLine="709"/>
        <w:jc w:val="both"/>
      </w:pPr>
    </w:p>
    <w:p w:rsidR="00260265" w:rsidRPr="00260265" w:rsidRDefault="00260265" w:rsidP="00260265">
      <w:pPr>
        <w:jc w:val="both"/>
        <w:rPr>
          <w:b/>
        </w:rPr>
      </w:pPr>
      <w:r w:rsidRPr="00B841B9">
        <w:rPr>
          <w:b/>
        </w:rPr>
        <w:t>5.</w:t>
      </w:r>
      <w:r>
        <w:rPr>
          <w:b/>
        </w:rPr>
        <w:t>2</w:t>
      </w:r>
      <w:r w:rsidRPr="00B841B9">
        <w:rPr>
          <w:b/>
        </w:rPr>
        <w:t>.</w:t>
      </w:r>
      <w:r w:rsidR="0069243E">
        <w:rPr>
          <w:b/>
        </w:rPr>
        <w:t>Montaż zbrojenia</w:t>
      </w:r>
    </w:p>
    <w:p w:rsidR="00260265" w:rsidRDefault="00260265" w:rsidP="0069243E">
      <w:pPr>
        <w:ind w:firstLine="709"/>
        <w:jc w:val="both"/>
      </w:pPr>
      <w:r>
        <w:t>Zbrojenie przed zabetonowaniem powinno być skontrol</w:t>
      </w:r>
      <w:r w:rsidR="007424F4">
        <w:t xml:space="preserve">owane i odebrane przez </w:t>
      </w:r>
      <w:r w:rsidR="00663F18">
        <w:t xml:space="preserve">przedstawiciela </w:t>
      </w:r>
      <w:r w:rsidR="007424F4">
        <w:t>Zamawiającego</w:t>
      </w:r>
      <w:r>
        <w:t xml:space="preserve">. </w:t>
      </w:r>
    </w:p>
    <w:p w:rsidR="00260265" w:rsidRDefault="00260265" w:rsidP="0069243E">
      <w:pPr>
        <w:ind w:firstLine="709"/>
        <w:jc w:val="both"/>
      </w:pPr>
      <w:r>
        <w:t>Montaż zbrojenia płyt należy wykonywać bezpośrednio na deskowaniu (blasze stalowej) lub na prefabrykacie wg naznaczonego rozstawu prętów. Montaż zbrojenia fundamentów (przyczółków) wykonać na podbetonie. Dla zachowania właściwej grubości otulenia prętów betonem należy stosować podkładki dystansowe z tworzywa sztucznego, betonu lub zaprawy cementowej. Stosowanie innych sposobów zapewnienia otuliny, a szczególnie podkładek z prętów stalowych jest niedopuszczalne.</w:t>
      </w:r>
    </w:p>
    <w:p w:rsidR="00260265" w:rsidRDefault="0069243E" w:rsidP="0069243E">
      <w:pPr>
        <w:ind w:firstLine="709"/>
        <w:jc w:val="both"/>
      </w:pPr>
      <w:r>
        <w:t>Na wysokości ścian pionowych utrzymuje się konieczne otulenie za pomocą dystansów. Na dnie form powinny być stosowane podkładki dystansowe.</w:t>
      </w:r>
    </w:p>
    <w:p w:rsidR="0069243E" w:rsidRDefault="0069243E" w:rsidP="0069243E">
      <w:pPr>
        <w:ind w:firstLine="709"/>
        <w:jc w:val="both"/>
      </w:pPr>
      <w:r>
        <w:t>Szkielety zbrojenia powinny być, o ile możliwe, prefabrykowane na zewnątrz. W szkieletach tych węzły na przecięciach prętów powinny być połączone przez spawanie, zgrzewanie lub wiązanie na podwójny krzyż wyżarzonym drutem wiązałkowym o średnicy nie mniejszej niż 1,0 mm (przy średnicy prętów powyżej 12 mm o średnicy nie mniejszej niż 1,5 mm).</w:t>
      </w:r>
    </w:p>
    <w:p w:rsidR="0069243E" w:rsidRDefault="0069243E" w:rsidP="0069243E">
      <w:pPr>
        <w:ind w:firstLine="709"/>
        <w:jc w:val="both"/>
      </w:pPr>
      <w:r>
        <w:t xml:space="preserve">Układ zbrojenia konstrukcji musi umożliwiać jego dokładne otoczenie przez jednorodny beton. </w:t>
      </w:r>
    </w:p>
    <w:p w:rsidR="00260265" w:rsidRDefault="0069243E" w:rsidP="0069243E">
      <w:pPr>
        <w:ind w:firstLine="709"/>
        <w:jc w:val="both"/>
      </w:pPr>
      <w:r>
        <w:t>Po ułożeniu zbrojenia w deskowaniu, rozmieszczenie prętów względem siebie i względem deskowania nie może ulec zmianie.</w:t>
      </w:r>
    </w:p>
    <w:p w:rsidR="00260265" w:rsidRDefault="0069243E" w:rsidP="0069243E">
      <w:pPr>
        <w:ind w:firstLine="709"/>
        <w:jc w:val="both"/>
      </w:pPr>
      <w:r>
        <w:t>Minimalna grubość otuliny zewnętrznej w świetle prętów i powierzchni przekroju elementu żelbetowego powinna wynosić co najmniej:</w:t>
      </w:r>
    </w:p>
    <w:p w:rsidR="0069243E" w:rsidRDefault="0069243E" w:rsidP="0069243E">
      <w:pPr>
        <w:ind w:firstLine="709"/>
        <w:jc w:val="both"/>
      </w:pPr>
      <w:r>
        <w:t>0,07 m - dla zbrojenia głównego podpór masywnych,</w:t>
      </w:r>
    </w:p>
    <w:p w:rsidR="0069243E" w:rsidRDefault="0069243E" w:rsidP="0069243E">
      <w:pPr>
        <w:ind w:firstLine="709"/>
        <w:jc w:val="both"/>
      </w:pPr>
      <w:r>
        <w:t xml:space="preserve">0,055 m - dla strzemion podpór masywnych, </w:t>
      </w:r>
    </w:p>
    <w:p w:rsidR="0069243E" w:rsidRDefault="00E66DBC" w:rsidP="0069243E">
      <w:pPr>
        <w:ind w:firstLine="709"/>
        <w:jc w:val="both"/>
      </w:pPr>
      <w:r>
        <w:t>0,03</w:t>
      </w:r>
      <w:r w:rsidR="0069243E">
        <w:t xml:space="preserve">5 m - dla strzemion dźwigarów głównych i zbrojenia płyt pomostów. </w:t>
      </w:r>
    </w:p>
    <w:p w:rsidR="0069243E" w:rsidRDefault="0069243E" w:rsidP="0069243E">
      <w:pPr>
        <w:ind w:firstLine="709"/>
        <w:jc w:val="both"/>
      </w:pPr>
    </w:p>
    <w:p w:rsidR="00260265" w:rsidRDefault="0069243E" w:rsidP="0069243E">
      <w:pPr>
        <w:ind w:firstLine="709"/>
        <w:jc w:val="both"/>
      </w:pPr>
      <w:r>
        <w:t>Układanie zbrojenia bezpośrednio na podłożu (deskowaniu) i podnoszenie na odpowiednią wysokość w trakcie betonowania jest niedopuszczalne.</w:t>
      </w:r>
    </w:p>
    <w:p w:rsidR="0069243E" w:rsidRDefault="0069243E" w:rsidP="0069243E">
      <w:pPr>
        <w:ind w:firstLine="709"/>
        <w:jc w:val="both"/>
      </w:pPr>
      <w:r>
        <w:t>Chodzenie i transportowanie materiałów po wykonanym szkielecie zbrojeniowym jest niedopuszczalne.</w:t>
      </w:r>
    </w:p>
    <w:p w:rsidR="00BF29D5" w:rsidRDefault="00BF29D5" w:rsidP="0069243E">
      <w:pPr>
        <w:ind w:firstLine="709"/>
        <w:jc w:val="both"/>
      </w:pPr>
    </w:p>
    <w:p w:rsidR="00260265" w:rsidRDefault="0069243E" w:rsidP="0069243E">
      <w:pPr>
        <w:jc w:val="both"/>
      </w:pPr>
      <w:r>
        <w:t>5.2.1</w:t>
      </w:r>
      <w:r w:rsidR="00BF29D5">
        <w:t>.</w:t>
      </w:r>
      <w:r>
        <w:t xml:space="preserve"> Łączenie prętów za pomocą spawania</w:t>
      </w:r>
    </w:p>
    <w:p w:rsidR="0069243E" w:rsidRDefault="0069243E" w:rsidP="00BF29D5">
      <w:pPr>
        <w:jc w:val="both"/>
      </w:pPr>
      <w:r>
        <w:t>W mostach drogowych dopuszcza się następujące rodzaje spawanych połączeń prętów:</w:t>
      </w:r>
    </w:p>
    <w:p w:rsidR="00BF29D5" w:rsidRDefault="00BF29D5" w:rsidP="00BF29D5">
      <w:pPr>
        <w:ind w:firstLine="709"/>
        <w:jc w:val="both"/>
      </w:pPr>
      <w:r>
        <w:t>− czołowe, elektryczne, oporowe,</w:t>
      </w:r>
    </w:p>
    <w:p w:rsidR="00BF29D5" w:rsidRDefault="00BF29D5" w:rsidP="00BF29D5">
      <w:pPr>
        <w:ind w:firstLine="709"/>
        <w:jc w:val="both"/>
      </w:pPr>
      <w:r>
        <w:t>− nakładkowe spoiny dwustronne - łukiem elektrycznym,</w:t>
      </w:r>
    </w:p>
    <w:p w:rsidR="00BF29D5" w:rsidRDefault="00BF29D5" w:rsidP="00BF29D5">
      <w:pPr>
        <w:ind w:firstLine="709"/>
        <w:jc w:val="both"/>
      </w:pPr>
      <w:r>
        <w:t>− nakładkowe spoiny jednostronne - łukiem elektrycznym,</w:t>
      </w:r>
    </w:p>
    <w:p w:rsidR="00BF29D5" w:rsidRDefault="00BF29D5" w:rsidP="00BF29D5">
      <w:pPr>
        <w:ind w:firstLine="709"/>
        <w:jc w:val="both"/>
      </w:pPr>
      <w:r>
        <w:t>− zakładkowe spoiny dwustronne - łukiem elektrycznym,</w:t>
      </w:r>
    </w:p>
    <w:p w:rsidR="00BF29D5" w:rsidRDefault="00BF29D5" w:rsidP="00BF29D5">
      <w:pPr>
        <w:ind w:firstLine="709"/>
        <w:jc w:val="both"/>
      </w:pPr>
      <w:r>
        <w:t>− zakładkowe spoiny jednostronne - łukiem elektrycznym,</w:t>
      </w:r>
    </w:p>
    <w:p w:rsidR="00BF29D5" w:rsidRDefault="00BF29D5" w:rsidP="00BF29D5">
      <w:pPr>
        <w:ind w:firstLine="709"/>
        <w:jc w:val="both"/>
      </w:pPr>
      <w:r>
        <w:t>− czołowe wzmocnione spoinami bocznymi z blachą półkolistą,</w:t>
      </w:r>
    </w:p>
    <w:p w:rsidR="00BF29D5" w:rsidRDefault="00BF29D5" w:rsidP="00BF29D5">
      <w:pPr>
        <w:ind w:firstLine="709"/>
        <w:jc w:val="both"/>
      </w:pPr>
      <w:r>
        <w:t>− czołowe wzmocnione jednostronną spoiną z płaskownikiem,</w:t>
      </w:r>
    </w:p>
    <w:p w:rsidR="00BF29D5" w:rsidRDefault="00BF29D5" w:rsidP="00BF29D5">
      <w:pPr>
        <w:ind w:firstLine="709"/>
        <w:jc w:val="both"/>
      </w:pPr>
      <w:r>
        <w:t>− czołowe wzmocnione dwustronną spoiną z płaskownikiem,</w:t>
      </w:r>
    </w:p>
    <w:p w:rsidR="0069243E" w:rsidRDefault="00BF29D5" w:rsidP="00BF29D5">
      <w:pPr>
        <w:ind w:firstLine="709"/>
        <w:jc w:val="both"/>
      </w:pPr>
      <w:r>
        <w:t>− zakładkowe wzmocnione jednostronną spoiną z płaskownikiem</w:t>
      </w:r>
    </w:p>
    <w:p w:rsidR="00BF29D5" w:rsidRDefault="00BF29D5" w:rsidP="00BF29D5">
      <w:pPr>
        <w:ind w:firstLine="709"/>
        <w:jc w:val="both"/>
      </w:pPr>
    </w:p>
    <w:p w:rsidR="0069243E" w:rsidRDefault="00BF29D5" w:rsidP="00BF29D5">
      <w:pPr>
        <w:ind w:firstLine="709"/>
        <w:jc w:val="both"/>
      </w:pPr>
      <w:r>
        <w:t>Przed przystąpieniem do spawania zbrojenia należy dokonać kwalifikacji zbrojenia do spawania zgonie z normą PN-EN 17660-1. Dla samego spawania można posłużyć się normą PN-EN 1090-2 z wymaganiami jak dla klasy EXC2.</w:t>
      </w:r>
    </w:p>
    <w:p w:rsidR="00BF29D5" w:rsidRDefault="00BF29D5" w:rsidP="00BF29D5">
      <w:pPr>
        <w:ind w:firstLine="709"/>
        <w:jc w:val="both"/>
      </w:pPr>
      <w:r>
        <w:t>Nie należy spawać prętów zbrojeniowych w temperaturze niższej niż –5ºC</w:t>
      </w:r>
    </w:p>
    <w:p w:rsidR="00BF29D5" w:rsidRDefault="00BF29D5" w:rsidP="00BF29D5">
      <w:pPr>
        <w:ind w:firstLine="709"/>
        <w:jc w:val="both"/>
      </w:pPr>
      <w:r>
        <w:t>Miejsca spawania powinny być położone poza odcinkami krzywizn prętów Do wykonywania prac związanych ze spawaniem i zgrzewaniem prętów mogą być dopuszczone tylko osoby mające odpowiednie uprawnienia.</w:t>
      </w:r>
    </w:p>
    <w:p w:rsidR="00BF29D5" w:rsidRDefault="00BF29D5" w:rsidP="00BF29D5">
      <w:pPr>
        <w:ind w:firstLine="709"/>
        <w:jc w:val="both"/>
      </w:pPr>
      <w:r>
        <w:t>Odpowiednie spawanie musi być dostosowane do średnicy pręta a wykonywana długość spawu musi potwierdzać trwałość połączenia.</w:t>
      </w:r>
    </w:p>
    <w:p w:rsidR="00BF29D5" w:rsidRDefault="00BF29D5" w:rsidP="00BF29D5">
      <w:pPr>
        <w:ind w:firstLine="709"/>
        <w:jc w:val="both"/>
      </w:pPr>
    </w:p>
    <w:p w:rsidR="0069243E" w:rsidRDefault="00BF29D5" w:rsidP="00BF29D5">
      <w:pPr>
        <w:jc w:val="both"/>
      </w:pPr>
      <w:r>
        <w:t>5.2.2. Łączenie pręów na zakład bez spawania</w:t>
      </w:r>
    </w:p>
    <w:p w:rsidR="00260265" w:rsidRDefault="00BF29D5" w:rsidP="00BF29D5">
      <w:pPr>
        <w:ind w:firstLine="709"/>
        <w:jc w:val="both"/>
      </w:pPr>
      <w:r>
        <w:t>Dopuszcza się łączenie na zakład bez spawania (wiązanie drutem) pojedynczych prętów prostych, prętów z hakami oraz zbrojenia wykonanego z drutów w postaci pętlic. Długości zakładów w połączeniach zbrojenia należy obliczać w zależności od ilości łączonych prętów w przekroju oraz ich wymaganej długości kotwienia.</w:t>
      </w:r>
    </w:p>
    <w:p w:rsidR="00260265" w:rsidRDefault="00BF29D5" w:rsidP="00BF29D5">
      <w:pPr>
        <w:ind w:firstLine="709"/>
        <w:jc w:val="both"/>
      </w:pPr>
      <w:r>
        <w:t>Dopuszczalny procent prętów łączonych na zakład w jednym przekroju nie może być większy niż:</w:t>
      </w:r>
    </w:p>
    <w:p w:rsidR="00BF29D5" w:rsidRDefault="00BF29D5" w:rsidP="00BF29D5">
      <w:pPr>
        <w:ind w:firstLine="709"/>
        <w:jc w:val="both"/>
      </w:pPr>
      <w:r>
        <w:t>− dla prętów żebrowanych 50%,</w:t>
      </w:r>
    </w:p>
    <w:p w:rsidR="00BF29D5" w:rsidRDefault="00BF29D5" w:rsidP="00BF29D5">
      <w:pPr>
        <w:ind w:firstLine="709"/>
        <w:jc w:val="both"/>
      </w:pPr>
      <w:r>
        <w:t>W jednym przekroju można łączyć na zakład bez spawania 100% dodatkowego zbrojenia poprzecznego, niepracującego. Odległość w świetle prętów łączonych w jednym przekroju nie powinna być mniejsza niż 2d i niż 20mm.</w:t>
      </w:r>
    </w:p>
    <w:p w:rsidR="00BF29D5" w:rsidRDefault="00BF29D5" w:rsidP="00BF29D5">
      <w:pPr>
        <w:ind w:firstLine="709"/>
        <w:jc w:val="both"/>
      </w:pPr>
      <w:r>
        <w:t>5.2.2. kotwienie prętów</w:t>
      </w:r>
    </w:p>
    <w:p w:rsidR="00BF29D5" w:rsidRDefault="00BF29D5" w:rsidP="00BF29D5">
      <w:pPr>
        <w:ind w:firstLine="709"/>
        <w:jc w:val="both"/>
      </w:pPr>
      <w:r>
        <w:t>Minimalne długości kotwienia prętów prostych bez haków przyjmuje się:</w:t>
      </w:r>
    </w:p>
    <w:p w:rsidR="00BF29D5" w:rsidRDefault="00BF29D5" w:rsidP="00BF29D5">
      <w:pPr>
        <w:ind w:firstLine="709"/>
        <w:jc w:val="both"/>
      </w:pPr>
      <w:r>
        <w:t xml:space="preserve"> − dla prętów żebrowanych ściskanych – 25 d</w:t>
      </w:r>
    </w:p>
    <w:p w:rsidR="00BF29D5" w:rsidRDefault="00BF29D5" w:rsidP="00BF29D5">
      <w:pPr>
        <w:ind w:firstLine="709"/>
        <w:jc w:val="both"/>
      </w:pPr>
      <w:r>
        <w:t xml:space="preserve"> − dla prętów żebrowanych rozciąganych – 40 d</w:t>
      </w:r>
    </w:p>
    <w:p w:rsidR="00BF29D5" w:rsidRDefault="00BF29D5" w:rsidP="00BF29D5">
      <w:pPr>
        <w:ind w:firstLine="709"/>
        <w:jc w:val="both"/>
      </w:pPr>
    </w:p>
    <w:p w:rsidR="00D27E3C" w:rsidRDefault="00D27E3C" w:rsidP="00D27E3C">
      <w:pPr>
        <w:widowControl w:val="0"/>
        <w:spacing w:before="120" w:after="120"/>
        <w:rPr>
          <w:b/>
          <w:snapToGrid w:val="0"/>
          <w:u w:val="single"/>
        </w:rPr>
      </w:pPr>
      <w:r>
        <w:rPr>
          <w:b/>
          <w:noProof/>
          <w:snapToGrid w:val="0"/>
          <w:u w:val="single"/>
        </w:rPr>
        <w:t>6.</w:t>
      </w:r>
      <w:r>
        <w:rPr>
          <w:b/>
          <w:snapToGrid w:val="0"/>
          <w:u w:val="single"/>
        </w:rPr>
        <w:t xml:space="preserve"> KONTROLA JAKOŚCI ROBÓT</w:t>
      </w:r>
    </w:p>
    <w:p w:rsidR="00240D9E" w:rsidRDefault="00240D9E" w:rsidP="00240D9E">
      <w:pPr>
        <w:jc w:val="both"/>
        <w:rPr>
          <w:b/>
        </w:rPr>
      </w:pPr>
      <w:r>
        <w:rPr>
          <w:b/>
        </w:rPr>
        <w:t>6.1. Ogólne warunki kontroli jakości robót</w:t>
      </w:r>
    </w:p>
    <w:p w:rsidR="00240D9E" w:rsidRPr="00240D9E" w:rsidRDefault="00240D9E" w:rsidP="00240D9E">
      <w:pPr>
        <w:ind w:firstLine="709"/>
        <w:jc w:val="both"/>
      </w:pPr>
      <w:r>
        <w:t>Ogólne zasady kontroli jakości robót podano w ST D-M.00.00.00 "Wymagania ogólne".</w:t>
      </w:r>
    </w:p>
    <w:p w:rsidR="00240D9E" w:rsidRPr="00240D9E" w:rsidRDefault="00240D9E" w:rsidP="00240D9E">
      <w:pPr>
        <w:ind w:firstLine="709"/>
        <w:jc w:val="both"/>
      </w:pPr>
      <w:r>
        <w:t>Producent powinien prowadzić zakładową kontrolę produkcji - w skrócie ZKP.</w:t>
      </w:r>
    </w:p>
    <w:p w:rsidR="00240D9E" w:rsidRPr="00240D9E" w:rsidRDefault="00240D9E" w:rsidP="00240D9E">
      <w:pPr>
        <w:ind w:firstLine="709"/>
        <w:jc w:val="both"/>
      </w:pPr>
      <w:r>
        <w:t>Sporządzane i przechowywane przez producenta dokumenty powinny wskazywać, jakie procedury sterowania jakością są stosowane w czasie produkcji i dopuszczania poszczególnych wyrobów i materiałów do obrotu.</w:t>
      </w:r>
    </w:p>
    <w:p w:rsidR="00240D9E" w:rsidRPr="00240D9E" w:rsidRDefault="00240D9E" w:rsidP="00240D9E">
      <w:pPr>
        <w:ind w:firstLine="709"/>
        <w:jc w:val="both"/>
      </w:pPr>
      <w:r>
        <w:t>Zbrojenie po montażu, bezpośrednio przed zabetonowaniem powinno być skontrol</w:t>
      </w:r>
      <w:r w:rsidR="007424F4">
        <w:t xml:space="preserve">owane i odebrane przez </w:t>
      </w:r>
      <w:r w:rsidR="00663F18">
        <w:t xml:space="preserve">przedstawiciela </w:t>
      </w:r>
      <w:r w:rsidR="007424F4">
        <w:t>Zamawiającego</w:t>
      </w:r>
      <w:r>
        <w:t>.</w:t>
      </w:r>
    </w:p>
    <w:p w:rsidR="00240D9E" w:rsidRDefault="00240D9E" w:rsidP="00D27E3C">
      <w:pPr>
        <w:widowControl w:val="0"/>
        <w:spacing w:before="120" w:after="120"/>
        <w:rPr>
          <w:b/>
          <w:snapToGrid w:val="0"/>
          <w:u w:val="single"/>
        </w:rPr>
      </w:pPr>
      <w:r>
        <w:rPr>
          <w:b/>
        </w:rPr>
        <w:t>6.2. Kontrola zbrojenia, przed przystąpieniem do betonowania.</w:t>
      </w:r>
    </w:p>
    <w:p w:rsidR="00883893" w:rsidRDefault="00883893" w:rsidP="00883893">
      <w:pPr>
        <w:ind w:firstLine="709"/>
        <w:jc w:val="both"/>
      </w:pPr>
      <w:r>
        <w:t>Przy odbiorze stali dostarczonej na budowę należy sprawdzić:</w:t>
      </w:r>
    </w:p>
    <w:p w:rsidR="00883893" w:rsidRDefault="00883893" w:rsidP="00883893">
      <w:pPr>
        <w:ind w:firstLine="709"/>
        <w:jc w:val="both"/>
      </w:pPr>
      <w:r>
        <w:t>Kontrola jakości materiałów polega na sprawdzeniu jakości materiałów na zgodność z Dokumentacją Projektową oraz podanymi poniżej wymaganiami:</w:t>
      </w:r>
    </w:p>
    <w:p w:rsidR="00883893" w:rsidRPr="00883893" w:rsidRDefault="00883893" w:rsidP="00883893">
      <w:pPr>
        <w:jc w:val="both"/>
      </w:pPr>
    </w:p>
    <w:p w:rsidR="00240D9E" w:rsidRDefault="00883893" w:rsidP="00883893">
      <w:pPr>
        <w:ind w:left="709"/>
        <w:jc w:val="both"/>
      </w:pPr>
      <w:r>
        <w:t>- zgodność dostarczonego materiału z dokumentami kontroli, przytwierdzonymi etykietami oraz z zamówieniem (dokumentacją projektową);</w:t>
      </w:r>
    </w:p>
    <w:p w:rsidR="00883893" w:rsidRDefault="00883893" w:rsidP="00883893">
      <w:pPr>
        <w:ind w:left="709"/>
        <w:jc w:val="both"/>
      </w:pPr>
      <w:r>
        <w:t>- zgodność wzoru użebrowania dostarczonych prętów z wymaganiami odpowiedniej Polskiej Normy lub Krajowej Oceny Technicznej lub Aprobaty Technicznej;</w:t>
      </w:r>
    </w:p>
    <w:p w:rsidR="00883893" w:rsidRDefault="00883893" w:rsidP="00883893">
      <w:pPr>
        <w:ind w:firstLine="709"/>
        <w:jc w:val="both"/>
      </w:pPr>
      <w:r>
        <w:t>- wyniki badań oraz atesty dostarczone przez Producenta,</w:t>
      </w:r>
    </w:p>
    <w:p w:rsidR="00883893" w:rsidRDefault="00883893" w:rsidP="00883893">
      <w:pPr>
        <w:ind w:firstLine="709"/>
        <w:jc w:val="both"/>
      </w:pPr>
      <w:r>
        <w:t>- ewentualne znakowanie trwałe na prętach, jeżeli jest stosowane przez danego wytwórcę;</w:t>
      </w:r>
    </w:p>
    <w:p w:rsidR="00883893" w:rsidRDefault="00883893" w:rsidP="00883893">
      <w:pPr>
        <w:ind w:left="709"/>
        <w:jc w:val="both"/>
      </w:pPr>
      <w:r>
        <w:t>- zgodność numeru wytwórcy na prętach z informacjami zawartymi w dokumentacji. Numer wytwórcy należy odczytać z powierzchni pręta poprzez sprawdzenie liczby żeber o normalnej grubości, znajdujących się pomiędzy żebrami pogrubionymi (wg normy PN-EN 10080) i porównać go z numerem przypisanym</w:t>
      </w:r>
    </w:p>
    <w:p w:rsidR="00883893" w:rsidRDefault="00883893" w:rsidP="00883893">
      <w:pPr>
        <w:ind w:left="709"/>
        <w:jc w:val="both"/>
      </w:pPr>
      <w:r>
        <w:t>- wytwórcy deklarowanemu w dokumentacji (numery poszczególnych wytwórców należy sprawdzić u tych wytwórców);</w:t>
      </w:r>
    </w:p>
    <w:p w:rsidR="00883893" w:rsidRDefault="00883893" w:rsidP="00883893">
      <w:pPr>
        <w:ind w:firstLine="709"/>
        <w:jc w:val="both"/>
      </w:pPr>
      <w:r>
        <w:t>- stan powierzchni prętów;</w:t>
      </w:r>
    </w:p>
    <w:p w:rsidR="00240D9E" w:rsidRDefault="00883893" w:rsidP="00883893">
      <w:pPr>
        <w:ind w:firstLine="709"/>
        <w:jc w:val="both"/>
      </w:pPr>
      <w:r>
        <w:t>- wymiary przekroju poprzecznego i długości prętów</w:t>
      </w:r>
    </w:p>
    <w:p w:rsidR="00883893" w:rsidRPr="00883893" w:rsidRDefault="00883893" w:rsidP="00883893">
      <w:pPr>
        <w:ind w:firstLine="709"/>
        <w:jc w:val="both"/>
      </w:pPr>
    </w:p>
    <w:p w:rsidR="00240D9E" w:rsidRPr="00883893" w:rsidRDefault="00883893" w:rsidP="00883893">
      <w:pPr>
        <w:ind w:firstLine="709"/>
        <w:jc w:val="both"/>
      </w:pPr>
      <w:r>
        <w:t>Kontrola zbrojenia, przed przystąpieniem do betonowania m</w:t>
      </w:r>
      <w:r w:rsidR="007424F4">
        <w:t xml:space="preserve">usi być dokonana przez </w:t>
      </w:r>
      <w:r w:rsidR="00663F18">
        <w:t xml:space="preserve">przedstawiciela </w:t>
      </w:r>
      <w:r w:rsidR="007424F4">
        <w:t>Zamawiającego</w:t>
      </w:r>
      <w:r>
        <w:t xml:space="preserve"> i fakt ten potwierdzony wpis</w:t>
      </w:r>
      <w:r w:rsidR="007424F4">
        <w:t xml:space="preserve">em do Dziennika Budowy. </w:t>
      </w:r>
      <w:r w:rsidR="00663F18">
        <w:t xml:space="preserve">Przedstawiciel </w:t>
      </w:r>
      <w:r w:rsidR="007424F4">
        <w:t>Zamawia</w:t>
      </w:r>
      <w:r w:rsidR="00663F18">
        <w:t>jącego</w:t>
      </w:r>
      <w:r>
        <w:t xml:space="preserve"> winien stwierdzić zgodność ułożonego zbrojenia z Dokumentacją Projektową i odpowiednimi normami.</w:t>
      </w:r>
    </w:p>
    <w:p w:rsidR="00240D9E" w:rsidRDefault="00883893" w:rsidP="00D27E3C">
      <w:pPr>
        <w:widowControl w:val="0"/>
        <w:spacing w:before="120" w:after="120"/>
      </w:pPr>
      <w:r>
        <w:t>Przedmiotem sprawdzenia powinny być:</w:t>
      </w:r>
    </w:p>
    <w:p w:rsidR="00883893" w:rsidRPr="00883893" w:rsidRDefault="00883893" w:rsidP="00883893">
      <w:pPr>
        <w:ind w:firstLine="709"/>
        <w:jc w:val="both"/>
      </w:pPr>
      <w:r>
        <w:t>- średnice i ilość prętów,</w:t>
      </w:r>
    </w:p>
    <w:p w:rsidR="00240D9E" w:rsidRDefault="00883893" w:rsidP="00883893">
      <w:pPr>
        <w:ind w:firstLine="709"/>
        <w:jc w:val="both"/>
      </w:pPr>
      <w:r>
        <w:t>- rozstaw prętów,</w:t>
      </w:r>
    </w:p>
    <w:p w:rsidR="00883893" w:rsidRDefault="00883893" w:rsidP="00883893">
      <w:pPr>
        <w:ind w:firstLine="709"/>
        <w:jc w:val="both"/>
      </w:pPr>
      <w:r>
        <w:t>- rozstaw strzemion,</w:t>
      </w:r>
    </w:p>
    <w:p w:rsidR="00883893" w:rsidRDefault="00883893" w:rsidP="00883893">
      <w:pPr>
        <w:ind w:firstLine="709"/>
        <w:jc w:val="both"/>
      </w:pPr>
      <w:r>
        <w:t>- odchylenie od przewidzianego projektem nachylenia,</w:t>
      </w:r>
    </w:p>
    <w:p w:rsidR="00883893" w:rsidRDefault="00883893" w:rsidP="00883893">
      <w:pPr>
        <w:ind w:firstLine="709"/>
        <w:jc w:val="both"/>
      </w:pPr>
      <w:r>
        <w:t>- długość prętów,</w:t>
      </w:r>
    </w:p>
    <w:p w:rsidR="00883893" w:rsidRDefault="00883893" w:rsidP="00883893">
      <w:pPr>
        <w:ind w:firstLine="709"/>
        <w:jc w:val="both"/>
      </w:pPr>
      <w:r>
        <w:t>- położenie miejsc zakończeń lub odgięć oraz zakotwień prętów,</w:t>
      </w:r>
    </w:p>
    <w:p w:rsidR="00883893" w:rsidRDefault="00883893" w:rsidP="00883893">
      <w:pPr>
        <w:ind w:firstLine="709"/>
        <w:jc w:val="both"/>
      </w:pPr>
      <w:r>
        <w:t>- wielkość otulin zewnętrznych,</w:t>
      </w:r>
    </w:p>
    <w:p w:rsidR="00883893" w:rsidRDefault="00883893" w:rsidP="00883893">
      <w:pPr>
        <w:ind w:firstLine="709"/>
        <w:jc w:val="both"/>
      </w:pPr>
      <w:r>
        <w:t>- gatunek stali</w:t>
      </w:r>
    </w:p>
    <w:p w:rsidR="00883893" w:rsidRDefault="00883893" w:rsidP="00883893">
      <w:pPr>
        <w:ind w:firstLine="709"/>
        <w:jc w:val="both"/>
      </w:pPr>
      <w:r>
        <w:t>- powiązanie (połączenia) zbrojenia między sobą,</w:t>
      </w:r>
    </w:p>
    <w:p w:rsidR="00883893" w:rsidRPr="00883893" w:rsidRDefault="00883893" w:rsidP="00883893">
      <w:pPr>
        <w:ind w:firstLine="709"/>
        <w:jc w:val="both"/>
      </w:pPr>
      <w:r>
        <w:t>- pewności utrzymania położenia prętów w trakcie betonowania.</w:t>
      </w:r>
    </w:p>
    <w:p w:rsidR="00240D9E" w:rsidRDefault="00883893" w:rsidP="00883893">
      <w:pPr>
        <w:widowControl w:val="0"/>
        <w:spacing w:before="120" w:after="120"/>
        <w:ind w:firstLine="709"/>
        <w:rPr>
          <w:b/>
          <w:snapToGrid w:val="0"/>
          <w:u w:val="single"/>
        </w:rPr>
      </w:pPr>
      <w:r>
        <w:t>Sprawdzenie grubości otuliny może być dokonywane prze</w:t>
      </w:r>
      <w:r w:rsidR="007424F4">
        <w:t xml:space="preserve">z </w:t>
      </w:r>
      <w:r w:rsidR="00663F18">
        <w:t xml:space="preserve">przedstawiciela </w:t>
      </w:r>
      <w:r w:rsidR="007424F4">
        <w:t>Zamawiającego</w:t>
      </w:r>
      <w:r>
        <w:t xml:space="preserve"> również po betonowaniu przy użyciu przyrządów magnetycznych.</w:t>
      </w:r>
    </w:p>
    <w:p w:rsidR="00240D9E" w:rsidRDefault="00240D9E" w:rsidP="00D27E3C">
      <w:pPr>
        <w:widowControl w:val="0"/>
        <w:spacing w:before="120" w:after="120"/>
        <w:rPr>
          <w:b/>
          <w:snapToGrid w:val="0"/>
          <w:u w:val="single"/>
        </w:rPr>
      </w:pPr>
    </w:p>
    <w:p w:rsidR="00883893" w:rsidRDefault="00883893" w:rsidP="00D27E3C">
      <w:pPr>
        <w:widowControl w:val="0"/>
        <w:spacing w:before="120" w:after="120"/>
      </w:pPr>
      <w:r>
        <w:t>Dopuszczalne tolerancje:</w:t>
      </w:r>
    </w:p>
    <w:p w:rsidR="00883893" w:rsidRDefault="00883893" w:rsidP="00D27E3C">
      <w:pPr>
        <w:widowControl w:val="0"/>
        <w:spacing w:before="120" w:after="120"/>
      </w:pPr>
      <w:r>
        <w:t>− różnice w rozstawie między prętami głównymi nie powinny przekraczać ± 0,5 cm,</w:t>
      </w:r>
    </w:p>
    <w:p w:rsidR="00883893" w:rsidRDefault="00883893" w:rsidP="002623A5">
      <w:pPr>
        <w:ind w:firstLine="709"/>
        <w:jc w:val="both"/>
      </w:pPr>
      <w:r>
        <w:t>− różnice w rozstawie między prętami głównymi nie powinny przekraczać ± 0,5 cm</w:t>
      </w:r>
    </w:p>
    <w:p w:rsidR="00883893" w:rsidRDefault="00883893" w:rsidP="002623A5">
      <w:pPr>
        <w:ind w:firstLine="709"/>
        <w:jc w:val="both"/>
      </w:pPr>
      <w:r>
        <w:t>− różnice w rozstawie prętów w świetle nie powinny przekraczać ± 1,0 cm,</w:t>
      </w:r>
    </w:p>
    <w:p w:rsidR="00883893" w:rsidRDefault="00883893" w:rsidP="002623A5">
      <w:pPr>
        <w:ind w:left="709"/>
        <w:jc w:val="both"/>
      </w:pPr>
      <w:r>
        <w:t>− odstęp od czoła elementu lub konstrukcji nie może się różnić od projektowanego o więcej niż ± 1,0 cm,</w:t>
      </w:r>
    </w:p>
    <w:p w:rsidR="00883893" w:rsidRDefault="00883893" w:rsidP="002623A5">
      <w:pPr>
        <w:ind w:firstLine="709"/>
        <w:jc w:val="both"/>
      </w:pPr>
      <w:r>
        <w:t>− długość pręta między odgięciami nie powinna się różnić od projektowanej o więcej niż ± 1,0 cm,</w:t>
      </w:r>
    </w:p>
    <w:p w:rsidR="00883893" w:rsidRDefault="00883893" w:rsidP="002623A5">
      <w:pPr>
        <w:ind w:firstLine="709"/>
        <w:jc w:val="both"/>
      </w:pPr>
      <w:r>
        <w:t>− rozstaw strzemion wzdłuż belek nie powinien różnić się więcej niż ± 2,0 cm,</w:t>
      </w:r>
    </w:p>
    <w:p w:rsidR="00883893" w:rsidRDefault="00883893" w:rsidP="002623A5">
      <w:pPr>
        <w:ind w:firstLine="709"/>
        <w:jc w:val="both"/>
      </w:pPr>
      <w:r>
        <w:t>− odchylenie pręta od przewidzianego nachylenia względem poziomu nie powinno przekraczać 3%,</w:t>
      </w:r>
    </w:p>
    <w:p w:rsidR="00883893" w:rsidRDefault="00883893" w:rsidP="002623A5">
      <w:pPr>
        <w:ind w:firstLine="709"/>
        <w:jc w:val="both"/>
      </w:pPr>
      <w:r>
        <w:t>− różnica w wymiarach oczek siatki nie powinna przekraczać ± 0,5 cm,</w:t>
      </w:r>
    </w:p>
    <w:p w:rsidR="00883893" w:rsidRDefault="00883893" w:rsidP="002623A5">
      <w:pPr>
        <w:ind w:left="709"/>
        <w:jc w:val="both"/>
      </w:pPr>
      <w:r>
        <w:t>− otuliny zewnętrzne powinny być utrzymane w granicach wymagań projektowych z tolerancją dodatnią 0,5 cm,</w:t>
      </w:r>
    </w:p>
    <w:p w:rsidR="00883893" w:rsidRDefault="00883893" w:rsidP="002623A5">
      <w:pPr>
        <w:ind w:left="709"/>
        <w:jc w:val="both"/>
      </w:pPr>
      <w:r>
        <w:t>− liczba uszkodzonych skrzyżowań w dostarczonych na budowę siatkach nie powinna przekraczać 20% wszystkich skrzyżowań (25% na jednym pręcie),</w:t>
      </w:r>
    </w:p>
    <w:p w:rsidR="00883893" w:rsidRDefault="00883893" w:rsidP="002623A5">
      <w:pPr>
        <w:ind w:firstLine="709"/>
        <w:jc w:val="both"/>
      </w:pPr>
      <w:r>
        <w:t>− odchylenie strzemion od linii prostopadłej do zbrojenia głównego nie powinno przekraczać 3%,</w:t>
      </w:r>
    </w:p>
    <w:p w:rsidR="00883893" w:rsidRDefault="00883893" w:rsidP="002623A5">
      <w:pPr>
        <w:ind w:firstLine="709"/>
        <w:jc w:val="both"/>
      </w:pPr>
      <w:r>
        <w:t>− miejscowe wykrzywienie pręta nie może przekraczać ± 0,5 cm.</w:t>
      </w:r>
    </w:p>
    <w:p w:rsidR="00883893" w:rsidRDefault="002623A5" w:rsidP="002623A5">
      <w:pPr>
        <w:widowControl w:val="0"/>
        <w:spacing w:before="120" w:after="120"/>
        <w:ind w:firstLine="709"/>
      </w:pPr>
      <w:r>
        <w:t>Wykrycie w wykonanym elemencie ewentualnych nieprawidłowości obciąża Wykonawcę robót, niezależnie od dokonanych uprzednio odbiorów.</w:t>
      </w:r>
    </w:p>
    <w:p w:rsidR="002623A5" w:rsidRPr="002623A5" w:rsidRDefault="002623A5" w:rsidP="002623A5">
      <w:pPr>
        <w:widowControl w:val="0"/>
        <w:spacing w:before="120" w:after="120"/>
        <w:ind w:firstLine="709"/>
      </w:pPr>
    </w:p>
    <w:p w:rsidR="00D27E3C" w:rsidRDefault="00D27E3C" w:rsidP="00D27E3C">
      <w:pPr>
        <w:widowControl w:val="0"/>
        <w:spacing w:before="120" w:after="120"/>
        <w:ind w:left="142" w:hanging="142"/>
        <w:rPr>
          <w:b/>
          <w:snapToGrid w:val="0"/>
          <w:u w:val="single"/>
        </w:rPr>
      </w:pPr>
      <w:r>
        <w:rPr>
          <w:b/>
          <w:noProof/>
          <w:snapToGrid w:val="0"/>
          <w:u w:val="single"/>
        </w:rPr>
        <w:t>7.</w:t>
      </w:r>
      <w:r>
        <w:rPr>
          <w:b/>
          <w:snapToGrid w:val="0"/>
          <w:u w:val="single"/>
        </w:rPr>
        <w:t xml:space="preserve"> OBMIAR ROBÓT</w:t>
      </w:r>
    </w:p>
    <w:p w:rsidR="00D27E3C" w:rsidRDefault="00D27E3C" w:rsidP="002623A5">
      <w:pPr>
        <w:pStyle w:val="tekstost"/>
        <w:ind w:firstLine="709"/>
        <w:rPr>
          <w:rFonts w:ascii="Times New Roman" w:hAnsi="Times New Roman"/>
        </w:rPr>
      </w:pPr>
      <w:r>
        <w:rPr>
          <w:rFonts w:ascii="Times New Roman" w:hAnsi="Times New Roman"/>
        </w:rPr>
        <w:t>Obmiar robót będzie określać faktyczny zakres wykonywanych robót zgodnie z dokumentacją projektową i ST, w jednostkach ustalonych w kosztorysie.</w:t>
      </w:r>
    </w:p>
    <w:p w:rsidR="00D27E3C" w:rsidRDefault="00D27E3C" w:rsidP="002623A5">
      <w:pPr>
        <w:pStyle w:val="tekstost"/>
        <w:ind w:firstLine="709"/>
        <w:rPr>
          <w:rFonts w:ascii="Times New Roman" w:hAnsi="Times New Roman"/>
        </w:rPr>
      </w:pPr>
      <w:r>
        <w:rPr>
          <w:rFonts w:ascii="Times New Roman" w:hAnsi="Times New Roman"/>
        </w:rPr>
        <w:t xml:space="preserve">Obmiaru robót dokonuje Wykonawca </w:t>
      </w:r>
      <w:r w:rsidR="007424F4">
        <w:rPr>
          <w:rFonts w:ascii="Times New Roman" w:hAnsi="Times New Roman"/>
        </w:rPr>
        <w:t>po pisemnym powiadomieniu Zamawiającego</w:t>
      </w:r>
      <w:r>
        <w:rPr>
          <w:rFonts w:ascii="Times New Roman" w:hAnsi="Times New Roman"/>
        </w:rPr>
        <w:t xml:space="preserve"> o zakresie obmierzanych robót i terminie obmiaru, co najmniej na 3 dni przed tym terminem.</w:t>
      </w:r>
    </w:p>
    <w:p w:rsidR="00D27E3C" w:rsidRDefault="00D27E3C" w:rsidP="00D27E3C">
      <w:pPr>
        <w:pStyle w:val="tekstost"/>
        <w:rPr>
          <w:rFonts w:ascii="Times New Roman" w:hAnsi="Times New Roman"/>
        </w:rPr>
      </w:pPr>
      <w:r>
        <w:rPr>
          <w:rFonts w:ascii="Times New Roman" w:hAnsi="Times New Roman"/>
        </w:rPr>
        <w:t>Jakikolwiek błąd lub przeoczenie (opuszczenie) w ilościach podanych w kosztorysie ofertowym lub gdzie indziej w ST nie zwalnia Wykonawcy od obowiązku ukończenia wszystkich robót. Błędne dane zostaną po</w:t>
      </w:r>
      <w:r w:rsidR="007424F4">
        <w:rPr>
          <w:rFonts w:ascii="Times New Roman" w:hAnsi="Times New Roman"/>
        </w:rPr>
        <w:t xml:space="preserve">prawione wg instrukcji </w:t>
      </w:r>
      <w:r w:rsidR="00663F18">
        <w:t>przedstawiciela</w:t>
      </w:r>
      <w:r w:rsidR="007424F4">
        <w:rPr>
          <w:rFonts w:ascii="Times New Roman" w:hAnsi="Times New Roman"/>
        </w:rPr>
        <w:t>Zamawiającego</w:t>
      </w:r>
      <w:r>
        <w:rPr>
          <w:rFonts w:ascii="Times New Roman" w:hAnsi="Times New Roman"/>
        </w:rPr>
        <w:t xml:space="preserve"> na piśmie.</w:t>
      </w:r>
    </w:p>
    <w:p w:rsidR="00D27E3C" w:rsidRDefault="00D27E3C" w:rsidP="002623A5">
      <w:pPr>
        <w:pStyle w:val="tekstost"/>
        <w:ind w:firstLine="709"/>
        <w:rPr>
          <w:rFonts w:ascii="Times New Roman" w:hAnsi="Times New Roman"/>
        </w:rPr>
      </w:pPr>
      <w:r>
        <w:rPr>
          <w:rFonts w:ascii="Times New Roman" w:hAnsi="Times New Roman"/>
        </w:rPr>
        <w:t>Obmiar gotowych robót będzie przeprowadzony z częstością wymaganą do celu miesięcznej płatności na rzecz Wykonawcy lub w innym czasie określonym w umowie lub oczekiwanym pr</w:t>
      </w:r>
      <w:r w:rsidR="007424F4">
        <w:rPr>
          <w:rFonts w:ascii="Times New Roman" w:hAnsi="Times New Roman"/>
        </w:rPr>
        <w:t xml:space="preserve">zez Wykonawcę i </w:t>
      </w:r>
      <w:r w:rsidR="00663F18">
        <w:t>przedstawiciela</w:t>
      </w:r>
      <w:r w:rsidR="007424F4">
        <w:rPr>
          <w:rFonts w:ascii="Times New Roman" w:hAnsi="Times New Roman"/>
        </w:rPr>
        <w:t>Zamawiającego</w:t>
      </w:r>
      <w:r>
        <w:rPr>
          <w:rFonts w:ascii="Times New Roman" w:hAnsi="Times New Roman"/>
        </w:rPr>
        <w:t>.</w:t>
      </w:r>
    </w:p>
    <w:p w:rsidR="00D27E3C" w:rsidRDefault="00D27E3C" w:rsidP="00D27E3C">
      <w:pPr>
        <w:widowControl w:val="0"/>
        <w:spacing w:before="120" w:after="120"/>
        <w:jc w:val="both"/>
        <w:rPr>
          <w:b/>
          <w:snapToGrid w:val="0"/>
          <w:u w:val="single"/>
        </w:rPr>
      </w:pPr>
      <w:r>
        <w:rPr>
          <w:b/>
          <w:noProof/>
          <w:snapToGrid w:val="0"/>
          <w:u w:val="single"/>
        </w:rPr>
        <w:t>8.</w:t>
      </w:r>
      <w:r>
        <w:rPr>
          <w:b/>
          <w:snapToGrid w:val="0"/>
          <w:u w:val="single"/>
        </w:rPr>
        <w:t xml:space="preserve"> ODBIÓR ROBÓT</w:t>
      </w:r>
    </w:p>
    <w:p w:rsidR="00D27E3C" w:rsidRDefault="00D27E3C" w:rsidP="002623A5">
      <w:pPr>
        <w:ind w:firstLine="709"/>
        <w:jc w:val="both"/>
      </w:pPr>
      <w:r>
        <w:t xml:space="preserve">Badania wg 6 należy przeprowadzać w czasie odbioru robót. Na podstawie wyników badań należy sporządzić protokóły odbioru robót. </w:t>
      </w:r>
    </w:p>
    <w:p w:rsidR="00D27E3C" w:rsidRDefault="00D27E3C" w:rsidP="002623A5">
      <w:pPr>
        <w:ind w:firstLine="709"/>
        <w:jc w:val="both"/>
      </w:pPr>
      <w:r>
        <w:t>Jeżeli wszystkie badania dały wyniki dodatnie, wykonane roboty należy uznać za zgodne z wymaga</w:t>
      </w:r>
      <w:r>
        <w:softHyphen/>
        <w:t>niami. Jeżeli choć jedno badanie dało wynik ujemny, wykonane roboty należy uznać za niezgodne z wymaganiami kontraktu. W takiej sytuacji wykonawca obowiązany jest doprowadzić roboty do zgodności ze ST, dokumentacją projektową i przedstawić je do ponownego odbioru.</w:t>
      </w:r>
    </w:p>
    <w:p w:rsidR="00D27E3C" w:rsidRDefault="00D27E3C" w:rsidP="00D27E3C">
      <w:pPr>
        <w:pStyle w:val="spis"/>
      </w:pPr>
      <w:r>
        <w:t>9. PODSTAWA PŁATNOŚCI</w:t>
      </w:r>
    </w:p>
    <w:p w:rsidR="00D27E3C" w:rsidRDefault="00D27E3C" w:rsidP="00D27E3C">
      <w:pPr>
        <w:spacing w:after="120"/>
        <w:jc w:val="both"/>
      </w:pPr>
      <w:r w:rsidRPr="002623A5">
        <w:t xml:space="preserve">Ogólne zasady odbioru podano w ST D-M.00.00.00 „Wymagania ogólne” oraz </w:t>
      </w:r>
      <w:r w:rsidR="002623A5" w:rsidRPr="002623A5">
        <w:t>wg  M.12.01.03</w:t>
      </w:r>
      <w:r w:rsidRPr="002623A5">
        <w:t>.</w:t>
      </w:r>
    </w:p>
    <w:p w:rsidR="00D27E3C" w:rsidRDefault="00D27E3C" w:rsidP="00D27E3C">
      <w:pPr>
        <w:widowControl w:val="0"/>
        <w:spacing w:before="120" w:after="120"/>
        <w:rPr>
          <w:b/>
          <w:snapToGrid w:val="0"/>
          <w:u w:val="single"/>
        </w:rPr>
      </w:pPr>
      <w:r>
        <w:rPr>
          <w:b/>
          <w:noProof/>
          <w:snapToGrid w:val="0"/>
          <w:u w:val="single"/>
        </w:rPr>
        <w:t>10.</w:t>
      </w:r>
      <w:r>
        <w:rPr>
          <w:b/>
          <w:snapToGrid w:val="0"/>
          <w:u w:val="single"/>
        </w:rPr>
        <w:t xml:space="preserve"> PRZEPISY ZWIĄZANE</w:t>
      </w:r>
    </w:p>
    <w:p w:rsidR="00D27E3C" w:rsidRPr="002623A5" w:rsidRDefault="002623A5" w:rsidP="002623A5">
      <w:pPr>
        <w:ind w:left="2835" w:hanging="2835"/>
        <w:jc w:val="both"/>
      </w:pPr>
      <w:r>
        <w:t>1. PN-S-10040:1999</w:t>
      </w:r>
      <w:r>
        <w:tab/>
      </w:r>
      <w:r>
        <w:tab/>
        <w:t>Obiekty mostowe. Konstrukcje betonowe, żelbetowe i sprężone. Wymagania i badania.</w:t>
      </w:r>
    </w:p>
    <w:p w:rsidR="002623A5" w:rsidRDefault="002623A5" w:rsidP="002623A5">
      <w:pPr>
        <w:ind w:left="2127" w:hanging="2127"/>
      </w:pPr>
      <w:r>
        <w:t>2. PN-H-84023/01:1989</w:t>
      </w:r>
      <w:r>
        <w:tab/>
      </w:r>
      <w:r>
        <w:tab/>
        <w:t>Stal określonego zastosowania. Wymagania ogólne. Gatunki.</w:t>
      </w:r>
    </w:p>
    <w:p w:rsidR="002623A5" w:rsidRDefault="002623A5" w:rsidP="002623A5">
      <w:pPr>
        <w:ind w:left="2835" w:hanging="2835"/>
      </w:pPr>
      <w:r>
        <w:t>3. PN-H-84023/06:1989</w:t>
      </w:r>
      <w:r>
        <w:tab/>
      </w:r>
      <w:r>
        <w:tab/>
        <w:t xml:space="preserve">Stal określonego stosowania. Stal do zbrojenia betonu. Gatunki. [PN-H-84023-06:1989/Az1:1996] </w:t>
      </w:r>
    </w:p>
    <w:p w:rsidR="002623A5" w:rsidRDefault="002623A5" w:rsidP="002623A5">
      <w:r>
        <w:t>4. PN-H-93000:1984</w:t>
      </w:r>
      <w:r>
        <w:tab/>
      </w:r>
      <w:r>
        <w:tab/>
        <w:t>Stal węglowa niskostopowa. Walcówka i pręty wykonane na gorąco.</w:t>
      </w:r>
    </w:p>
    <w:p w:rsidR="002623A5" w:rsidRDefault="002623A5" w:rsidP="002623A5">
      <w:pPr>
        <w:ind w:left="2835" w:hanging="2835"/>
      </w:pPr>
      <w:r>
        <w:t>5. PN-H-93220:2006</w:t>
      </w:r>
      <w:r>
        <w:tab/>
      </w:r>
      <w:r>
        <w:tab/>
        <w:t>Stal B500SP o podwyższonej ciągliwości do zbrojenia betonu - Pręty i walcówka żebrowana.</w:t>
      </w:r>
    </w:p>
    <w:p w:rsidR="002623A5" w:rsidRDefault="002623A5" w:rsidP="002623A5">
      <w:r>
        <w:t>6. PN-EN ISO 6892-1:2010</w:t>
      </w:r>
      <w:r>
        <w:tab/>
        <w:t>Metale. Próba rozciągania. Metoda badania w temperaturze pokojowej</w:t>
      </w:r>
    </w:p>
    <w:p w:rsidR="004C06F9" w:rsidRDefault="002623A5" w:rsidP="002623A5">
      <w:r>
        <w:t xml:space="preserve">7. </w:t>
      </w:r>
      <w:r w:rsidR="004C06F9">
        <w:t>PN-EN 10020:2003</w:t>
      </w:r>
      <w:r w:rsidR="004C06F9">
        <w:tab/>
      </w:r>
      <w:r w:rsidR="004C06F9">
        <w:tab/>
        <w:t>Definicja i klasyfikacja gatunków stali</w:t>
      </w:r>
    </w:p>
    <w:p w:rsidR="004C06F9" w:rsidRDefault="004C06F9" w:rsidP="002623A5">
      <w:r>
        <w:t>8. PN-EN 10021:2009</w:t>
      </w:r>
      <w:r>
        <w:tab/>
      </w:r>
      <w:r>
        <w:tab/>
        <w:t>Ogólne techniczne warunki dostaw stali i wyrobów stalowych</w:t>
      </w:r>
    </w:p>
    <w:p w:rsidR="004C06F9" w:rsidRDefault="004C06F9" w:rsidP="004C06F9">
      <w:pPr>
        <w:ind w:left="2835" w:hanging="2835"/>
      </w:pPr>
      <w:r>
        <w:t xml:space="preserve">9. PN-EN 10025-1:2007 </w:t>
      </w:r>
      <w:r>
        <w:tab/>
      </w:r>
      <w:r>
        <w:tab/>
        <w:t xml:space="preserve">Wyroby walcowane na gorąco ze stali konstrukcyjnych. Część 1: Ogólne warunki techniczne dostawy </w:t>
      </w:r>
    </w:p>
    <w:p w:rsidR="004C06F9" w:rsidRDefault="004C06F9" w:rsidP="004C06F9">
      <w:pPr>
        <w:ind w:left="2835" w:hanging="2835"/>
      </w:pPr>
      <w:r>
        <w:t>10. PN-EN 10025-2:2007</w:t>
      </w:r>
      <w:r>
        <w:tab/>
      </w:r>
      <w:r>
        <w:tab/>
        <w:t xml:space="preserve">Wyroby walcowane na gorąco ze stali konstrukcyjnych. Część 2: Warunki techniczne dostawy stali konstrukcyjnych niestopowych </w:t>
      </w:r>
    </w:p>
    <w:p w:rsidR="004C06F9" w:rsidRDefault="004C06F9" w:rsidP="004C06F9">
      <w:r>
        <w:t xml:space="preserve">11. PN-EN 10080:2007 </w:t>
      </w:r>
      <w:r>
        <w:tab/>
      </w:r>
      <w:r>
        <w:tab/>
        <w:t>Stal do zbrojenia betonu. Spajalna stal zbrojeniowa. Postanowienia ogólne.</w:t>
      </w:r>
    </w:p>
    <w:p w:rsidR="004C06F9" w:rsidRDefault="004C06F9" w:rsidP="004C06F9">
      <w:r>
        <w:t>12. PN-ISO 6935-1:1998</w:t>
      </w:r>
      <w:r>
        <w:tab/>
      </w:r>
      <w:r>
        <w:tab/>
        <w:t xml:space="preserve">Stal do zbrojenia betonu. Pręty gładkie. </w:t>
      </w:r>
    </w:p>
    <w:p w:rsidR="004C06F9" w:rsidRDefault="004C06F9" w:rsidP="004C06F9">
      <w:pPr>
        <w:ind w:left="2880" w:hanging="2880"/>
      </w:pPr>
      <w:r>
        <w:t>13. PN-ISO 6935-1/Ak:1998</w:t>
      </w:r>
      <w:r>
        <w:tab/>
        <w:t>Stal do zbrojenia betonu. Pręty gładkie. Dodatkowe wymagania stosowane w kraju.</w:t>
      </w:r>
    </w:p>
    <w:p w:rsidR="004C06F9" w:rsidRDefault="004C06F9" w:rsidP="004C06F9">
      <w:r>
        <w:t xml:space="preserve">14. PN-ISO 6935-2:1998 </w:t>
      </w:r>
      <w:r>
        <w:tab/>
      </w:r>
      <w:r>
        <w:tab/>
        <w:t>Stal do zbrojenia betonu. Pręty żebrowane.</w:t>
      </w:r>
    </w:p>
    <w:p w:rsidR="004C06F9" w:rsidRDefault="004C06F9" w:rsidP="004C06F9">
      <w:pPr>
        <w:ind w:left="2835" w:hanging="2835"/>
      </w:pPr>
      <w:r>
        <w:t xml:space="preserve">15. PN-ISO 6935-2/Ak:1998 </w:t>
      </w:r>
      <w:r>
        <w:tab/>
        <w:t>Stal do zbrojenia betonu. Pręty żebrowane. Dodatkowe wymagania stosowane w kraju</w:t>
      </w:r>
    </w:p>
    <w:p w:rsidR="004C06F9" w:rsidRDefault="004C06F9" w:rsidP="004C06F9">
      <w:r>
        <w:t>16. PN-EN ISO 7438:2006</w:t>
      </w:r>
      <w:r>
        <w:tab/>
        <w:t>Metale Próba zginania</w:t>
      </w:r>
    </w:p>
    <w:p w:rsidR="004C06F9" w:rsidRDefault="004C06F9" w:rsidP="004C06F9">
      <w:pPr>
        <w:ind w:left="2835" w:hanging="2835"/>
      </w:pPr>
      <w:r>
        <w:t xml:space="preserve">17. PN-EN ISO 15630-1:2011 </w:t>
      </w:r>
      <w:r>
        <w:tab/>
        <w:t xml:space="preserve">Stal do zbrojenia i sprężania betonu - Metody badań - Część 1: Pręty, walcówka i drut do zbrojenia betonu </w:t>
      </w:r>
    </w:p>
    <w:p w:rsidR="004C06F9" w:rsidRDefault="004C06F9" w:rsidP="004C06F9">
      <w:pPr>
        <w:ind w:left="2835" w:hanging="2835"/>
      </w:pPr>
      <w:r>
        <w:t>18. PN-EN ISO 15630-2:2011</w:t>
      </w:r>
      <w:r>
        <w:tab/>
        <w:t>Stal do zbrojenia i sprężania betonu - Metody badań - Część 2: Zgrzewane siatki do zbrojenia</w:t>
      </w:r>
    </w:p>
    <w:p w:rsidR="004C06F9" w:rsidRDefault="004C06F9" w:rsidP="004C06F9"/>
    <w:p w:rsidR="004C06F9" w:rsidRDefault="004C06F9" w:rsidP="004C06F9">
      <w:r>
        <w:t>ROZPORZĄDZENIE MINISTRA TRANSPORTU I GOSPODARKI MORSKIEJ z dnia 30 maja 2000 r. w sprawie warunków technicznych, jakim powinny odpowiadać drogowe obiekty inżynierskie i ich usytuowanie. (Dz. U. Nr 63 poz. 735 - z dnia 3.08 2000 r.) Oraz wszelkie aktualizacje i zmiany powyższych przepisów.</w:t>
      </w:r>
      <w:r w:rsidR="00D27E3C">
        <w:br w:type="page"/>
      </w:r>
      <w:bookmarkStart w:id="20" w:name="_Toc346875548"/>
      <w:bookmarkStart w:id="21" w:name="_Toc26910620"/>
    </w:p>
    <w:p w:rsidR="004C06F9" w:rsidRPr="004C06F9" w:rsidRDefault="004C06F9" w:rsidP="00AB5A60">
      <w:pPr>
        <w:pStyle w:val="Nagwek1"/>
      </w:pPr>
      <w:bookmarkStart w:id="22" w:name="_Toc80100080"/>
      <w:r>
        <w:t>M.12.01.0</w:t>
      </w:r>
      <w:r w:rsidR="00E66DBC">
        <w:t>2</w:t>
      </w:r>
      <w:r w:rsidR="00D27E3C">
        <w:t>.</w:t>
      </w:r>
      <w:r w:rsidR="00D27E3C">
        <w:tab/>
        <w:t>ZBROJENIE BETONU STALĄ KLASY A-IIIN</w:t>
      </w:r>
      <w:bookmarkEnd w:id="20"/>
      <w:bookmarkEnd w:id="21"/>
      <w:bookmarkEnd w:id="22"/>
    </w:p>
    <w:p w:rsidR="00D27E3C" w:rsidRDefault="00D27E3C" w:rsidP="00D27E3C">
      <w:pPr>
        <w:widowControl w:val="0"/>
        <w:spacing w:before="120" w:after="120"/>
        <w:ind w:right="6878"/>
        <w:rPr>
          <w:b/>
          <w:snapToGrid w:val="0"/>
          <w:u w:val="single"/>
        </w:rPr>
      </w:pPr>
      <w:r>
        <w:rPr>
          <w:b/>
          <w:snapToGrid w:val="0"/>
          <w:u w:val="single"/>
        </w:rPr>
        <w:t xml:space="preserve">l. WSTĘP </w:t>
      </w:r>
    </w:p>
    <w:p w:rsidR="00D27E3C" w:rsidRPr="00B833AC" w:rsidRDefault="00D27E3C" w:rsidP="00BC722D">
      <w:pPr>
        <w:ind w:firstLine="709"/>
        <w:jc w:val="both"/>
        <w:rPr>
          <w:bCs/>
        </w:rPr>
      </w:pPr>
      <w:r>
        <w:t xml:space="preserve">Przedmiotem niniejszej Specyfikacji Technicznej są wymagania dotyczące wykonania i odbioru robót związanych z wykonaniem zbrojenia niesprężającego betonu konstrukcji mostowych stalowymi prętami wiotkimi </w:t>
      </w:r>
      <w:r>
        <w:rPr>
          <w:snapToGrid w:val="0"/>
        </w:rPr>
        <w:t xml:space="preserve">w ramach </w:t>
      </w:r>
      <w:r>
        <w:rPr>
          <w:bCs/>
          <w:snapToGrid w:val="0"/>
        </w:rPr>
        <w:t xml:space="preserve">projektu </w:t>
      </w:r>
      <w:r w:rsidRPr="00B833AC">
        <w:rPr>
          <w:bCs/>
        </w:rPr>
        <w:t xml:space="preserve">: </w:t>
      </w:r>
      <w:r w:rsidR="00E66DBC">
        <w:rPr>
          <w:bCs/>
        </w:rPr>
        <w:t>"Remont przepustu nad rzeką Postomia w ciągu drogi nr 445/k.2922 m. Wędrzyn."</w:t>
      </w:r>
    </w:p>
    <w:p w:rsidR="00D27E3C" w:rsidRDefault="00D27E3C" w:rsidP="00D27E3C">
      <w:pPr>
        <w:jc w:val="both"/>
        <w:rPr>
          <w:b/>
          <w:snapToGrid w:val="0"/>
          <w:u w:val="single"/>
        </w:rPr>
      </w:pPr>
      <w:r>
        <w:rPr>
          <w:b/>
          <w:noProof/>
          <w:snapToGrid w:val="0"/>
          <w:u w:val="single"/>
        </w:rPr>
        <w:t>2.</w:t>
      </w:r>
      <w:r>
        <w:rPr>
          <w:b/>
          <w:snapToGrid w:val="0"/>
          <w:u w:val="single"/>
        </w:rPr>
        <w:t xml:space="preserve"> MATERIAŁY</w:t>
      </w:r>
    </w:p>
    <w:p w:rsidR="00D27E3C" w:rsidRDefault="00D27E3C" w:rsidP="00D27E3C">
      <w:pPr>
        <w:spacing w:after="120"/>
        <w:jc w:val="both"/>
      </w:pPr>
      <w:r>
        <w:t>Jak w punkcie M.12.00.00.</w:t>
      </w:r>
    </w:p>
    <w:p w:rsidR="00D27E3C" w:rsidRDefault="00D27E3C" w:rsidP="00D27E3C">
      <w:pPr>
        <w:widowControl w:val="0"/>
        <w:spacing w:before="120" w:after="120"/>
        <w:rPr>
          <w:b/>
          <w:snapToGrid w:val="0"/>
          <w:u w:val="single"/>
        </w:rPr>
      </w:pPr>
      <w:r>
        <w:rPr>
          <w:b/>
          <w:noProof/>
          <w:snapToGrid w:val="0"/>
          <w:u w:val="single"/>
        </w:rPr>
        <w:t>3.</w:t>
      </w:r>
      <w:r>
        <w:rPr>
          <w:b/>
          <w:snapToGrid w:val="0"/>
          <w:u w:val="single"/>
        </w:rPr>
        <w:t xml:space="preserve"> SPRZĘT</w:t>
      </w:r>
    </w:p>
    <w:p w:rsidR="00D27E3C" w:rsidRDefault="00D27E3C" w:rsidP="00D27E3C">
      <w:pPr>
        <w:spacing w:after="120"/>
        <w:jc w:val="both"/>
      </w:pPr>
      <w:r>
        <w:t>Jak w punkcie M.12.00.00.</w:t>
      </w:r>
    </w:p>
    <w:p w:rsidR="00D27E3C" w:rsidRDefault="00D27E3C" w:rsidP="00D27E3C">
      <w:pPr>
        <w:widowControl w:val="0"/>
        <w:spacing w:before="120" w:after="120"/>
        <w:jc w:val="both"/>
        <w:rPr>
          <w:b/>
          <w:snapToGrid w:val="0"/>
          <w:u w:val="single"/>
        </w:rPr>
      </w:pPr>
      <w:r>
        <w:rPr>
          <w:b/>
          <w:noProof/>
          <w:snapToGrid w:val="0"/>
          <w:u w:val="single"/>
        </w:rPr>
        <w:t>4.</w:t>
      </w:r>
      <w:r>
        <w:rPr>
          <w:b/>
          <w:snapToGrid w:val="0"/>
          <w:u w:val="single"/>
        </w:rPr>
        <w:t xml:space="preserve"> TRANSPORT</w:t>
      </w:r>
    </w:p>
    <w:p w:rsidR="00D27E3C" w:rsidRDefault="00D27E3C" w:rsidP="00D27E3C">
      <w:pPr>
        <w:spacing w:after="120"/>
        <w:jc w:val="both"/>
      </w:pPr>
      <w:r>
        <w:t>Jak w punkcie M.12.00.00.</w:t>
      </w:r>
    </w:p>
    <w:p w:rsidR="00D27E3C" w:rsidRDefault="00D27E3C" w:rsidP="00D27E3C">
      <w:pPr>
        <w:widowControl w:val="0"/>
        <w:spacing w:before="120" w:after="120"/>
        <w:rPr>
          <w:b/>
          <w:snapToGrid w:val="0"/>
          <w:u w:val="single"/>
        </w:rPr>
      </w:pPr>
      <w:r>
        <w:rPr>
          <w:b/>
          <w:noProof/>
          <w:snapToGrid w:val="0"/>
          <w:u w:val="single"/>
        </w:rPr>
        <w:t>5.</w:t>
      </w:r>
      <w:r>
        <w:rPr>
          <w:b/>
          <w:snapToGrid w:val="0"/>
          <w:u w:val="single"/>
        </w:rPr>
        <w:t xml:space="preserve"> WYKONANIE ROBÓT</w:t>
      </w:r>
    </w:p>
    <w:p w:rsidR="00D27E3C" w:rsidRDefault="00D27E3C" w:rsidP="00BC722D">
      <w:pPr>
        <w:pStyle w:val="Tekstpodstawowy"/>
        <w:tabs>
          <w:tab w:val="clear" w:pos="576"/>
          <w:tab w:val="clear" w:pos="1008"/>
        </w:tabs>
        <w:ind w:firstLine="709"/>
        <w:rPr>
          <w:rFonts w:ascii="Times New Roman" w:hAnsi="Times New Roman"/>
        </w:rPr>
      </w:pPr>
      <w:r>
        <w:rPr>
          <w:rFonts w:ascii="Times New Roman" w:hAnsi="Times New Roman"/>
        </w:rPr>
        <w:t>Zakres wykonywanych robót wg ST M.12.00.00.</w:t>
      </w:r>
    </w:p>
    <w:p w:rsidR="00D27E3C" w:rsidRDefault="00D27E3C" w:rsidP="00D27E3C">
      <w:pPr>
        <w:widowControl w:val="0"/>
        <w:spacing w:before="120" w:after="120"/>
        <w:rPr>
          <w:b/>
          <w:snapToGrid w:val="0"/>
          <w:u w:val="single"/>
        </w:rPr>
      </w:pPr>
      <w:r>
        <w:rPr>
          <w:b/>
          <w:noProof/>
          <w:snapToGrid w:val="0"/>
          <w:u w:val="single"/>
        </w:rPr>
        <w:t>6.</w:t>
      </w:r>
      <w:r>
        <w:rPr>
          <w:b/>
          <w:snapToGrid w:val="0"/>
          <w:u w:val="single"/>
        </w:rPr>
        <w:t xml:space="preserve"> KONTROLA JAKOŚCI ROBÓT</w:t>
      </w:r>
    </w:p>
    <w:p w:rsidR="00D27E3C" w:rsidRDefault="00D27E3C" w:rsidP="00D27E3C">
      <w:pPr>
        <w:spacing w:after="120"/>
        <w:jc w:val="both"/>
      </w:pPr>
      <w:r>
        <w:t>Jak w punkcie M.12.00.00.</w:t>
      </w:r>
    </w:p>
    <w:p w:rsidR="00D27E3C" w:rsidRDefault="00D27E3C" w:rsidP="00D27E3C">
      <w:pPr>
        <w:widowControl w:val="0"/>
        <w:spacing w:before="120" w:after="120"/>
        <w:ind w:left="142" w:hanging="142"/>
        <w:rPr>
          <w:b/>
          <w:snapToGrid w:val="0"/>
          <w:u w:val="single"/>
        </w:rPr>
      </w:pPr>
      <w:r>
        <w:rPr>
          <w:b/>
          <w:noProof/>
          <w:snapToGrid w:val="0"/>
          <w:u w:val="single"/>
        </w:rPr>
        <w:t>7.</w:t>
      </w:r>
      <w:r>
        <w:rPr>
          <w:b/>
          <w:snapToGrid w:val="0"/>
          <w:u w:val="single"/>
        </w:rPr>
        <w:t xml:space="preserve"> OBMIAR ROBÓT</w:t>
      </w:r>
    </w:p>
    <w:p w:rsidR="00D27E3C" w:rsidRDefault="00D27E3C" w:rsidP="00BC722D">
      <w:pPr>
        <w:ind w:firstLine="709"/>
        <w:jc w:val="both"/>
      </w:pPr>
      <w:r>
        <w:t>Jednostką obmiaru jest 1 kg wbudowanego zbrojenia. Do obliczenia należności przyjmuje się teoretyczną ilość (kg) zmontowanego uzbrojenia t.j. łączną długość prętów poszczególnych średnic pomnożoną odpowiednio przez ich ciężar jednostkowy kg/m.</w:t>
      </w:r>
    </w:p>
    <w:p w:rsidR="00D27E3C" w:rsidRDefault="00D27E3C" w:rsidP="00D27E3C">
      <w:pPr>
        <w:jc w:val="both"/>
      </w:pPr>
      <w:r>
        <w:t>Nie dolicza się stali użytej na zakłady przy łączeniu prętów, przekładek montażowych ani drutu wiązałkowego a także dodatkowych prętów usztywniających jeżeli nie są pokazane na rysunkach projektowych. Nie dolicza się także blach półkolistych gr. 5 mm występujących przy łączeniu prętów.</w:t>
      </w:r>
    </w:p>
    <w:p w:rsidR="00D27E3C" w:rsidRDefault="00D27E3C" w:rsidP="00D27E3C">
      <w:pPr>
        <w:jc w:val="both"/>
      </w:pPr>
      <w:r>
        <w:t>Nie uwzględnia się też zwiększonej ilości materiału w wyniku stosowania przez Wykonawcę prętów o średnicach większych od wymaganych w projekcie.</w:t>
      </w:r>
    </w:p>
    <w:p w:rsidR="00D27E3C" w:rsidRDefault="00D27E3C" w:rsidP="00D27E3C">
      <w:pPr>
        <w:jc w:val="both"/>
      </w:pPr>
      <w:r>
        <w:t>W przypadku wykonania</w:t>
      </w:r>
      <w:r w:rsidRPr="00272D42">
        <w:t xml:space="preserve"> oraz montaż elementów mocujących</w:t>
      </w:r>
      <w:r w:rsidR="00BC722D">
        <w:t xml:space="preserve"> (kotwienie kap)</w:t>
      </w:r>
      <w:r>
        <w:t>j</w:t>
      </w:r>
      <w:r w:rsidRPr="00A00F57">
        <w:t xml:space="preserve">ednostką obmiaru jest 1 </w:t>
      </w:r>
      <w:r>
        <w:t xml:space="preserve">sztwbudowanej kotwy lub marki. 1 sztuka marki to kompletny element przedstawiony w dokumentacji. </w:t>
      </w:r>
    </w:p>
    <w:p w:rsidR="00D27E3C" w:rsidRDefault="00D27E3C" w:rsidP="00D27E3C">
      <w:pPr>
        <w:widowControl w:val="0"/>
        <w:spacing w:before="120" w:after="120"/>
        <w:jc w:val="both"/>
        <w:rPr>
          <w:b/>
          <w:snapToGrid w:val="0"/>
          <w:u w:val="single"/>
        </w:rPr>
      </w:pPr>
      <w:r>
        <w:rPr>
          <w:b/>
          <w:noProof/>
          <w:snapToGrid w:val="0"/>
          <w:u w:val="single"/>
        </w:rPr>
        <w:t>8.</w:t>
      </w:r>
      <w:r>
        <w:rPr>
          <w:b/>
          <w:snapToGrid w:val="0"/>
          <w:u w:val="single"/>
        </w:rPr>
        <w:t xml:space="preserve"> ODBIÓR ROBÓT</w:t>
      </w:r>
    </w:p>
    <w:p w:rsidR="00D27E3C" w:rsidRDefault="00D27E3C" w:rsidP="00D27E3C">
      <w:pPr>
        <w:jc w:val="both"/>
      </w:pPr>
      <w:r>
        <w:t xml:space="preserve">Badania wg 6 należy przeprowadzać w czasie odbiorów robót. Na podstawie wyników badań należy sporządzić protokóły odbioru robót. </w:t>
      </w:r>
    </w:p>
    <w:p w:rsidR="00D27E3C" w:rsidRDefault="00D27E3C" w:rsidP="00D27E3C">
      <w:pPr>
        <w:pStyle w:val="Tekstpodstawowy"/>
        <w:tabs>
          <w:tab w:val="clear" w:pos="576"/>
          <w:tab w:val="clear" w:pos="1008"/>
        </w:tabs>
        <w:rPr>
          <w:rFonts w:ascii="Times New Roman" w:hAnsi="Times New Roman"/>
          <w:snapToGrid/>
        </w:rPr>
      </w:pPr>
      <w:r>
        <w:rPr>
          <w:rFonts w:ascii="Times New Roman" w:hAnsi="Times New Roman"/>
          <w:snapToGrid/>
        </w:rPr>
        <w:t>Jeżeli wszystkie badania dały wyniki dodatnie, wykonane roboty należy uznać za zgodne z wymaganiami . Jeżeli choć jedno badanie dało wynik ujemny, wykonane roboty należy uznać za niezgodne z wymaganiami i kontraktu. W takiej sytuacji wykonawca obowiązany jest doprowadzić roboty do zgodności z normą i przedstawić je do ponownego odbioru.</w:t>
      </w:r>
    </w:p>
    <w:p w:rsidR="00D27E3C" w:rsidRDefault="00D27E3C" w:rsidP="00D27E3C">
      <w:pPr>
        <w:widowControl w:val="0"/>
        <w:spacing w:before="120" w:after="120"/>
        <w:rPr>
          <w:b/>
          <w:snapToGrid w:val="0"/>
          <w:u w:val="single"/>
        </w:rPr>
      </w:pPr>
      <w:r>
        <w:rPr>
          <w:b/>
          <w:noProof/>
          <w:snapToGrid w:val="0"/>
          <w:u w:val="single"/>
        </w:rPr>
        <w:t>9.</w:t>
      </w:r>
      <w:r>
        <w:rPr>
          <w:b/>
          <w:snapToGrid w:val="0"/>
          <w:u w:val="single"/>
        </w:rPr>
        <w:t xml:space="preserve"> PODSTAWA PŁATNOŚCI</w:t>
      </w:r>
    </w:p>
    <w:p w:rsidR="00D27E3C" w:rsidRDefault="00D27E3C" w:rsidP="00D27E3C">
      <w:pPr>
        <w:pStyle w:val="Tekstpodstawowy"/>
        <w:tabs>
          <w:tab w:val="clear" w:pos="576"/>
          <w:tab w:val="clear" w:pos="1008"/>
        </w:tabs>
        <w:rPr>
          <w:rFonts w:ascii="Times New Roman" w:hAnsi="Times New Roman"/>
        </w:rPr>
      </w:pPr>
      <w:r>
        <w:rPr>
          <w:rFonts w:ascii="Times New Roman" w:hAnsi="Times New Roman"/>
        </w:rPr>
        <w:t>Cena wykonania robót obejmuje:</w:t>
      </w:r>
    </w:p>
    <w:p w:rsidR="00D27E3C" w:rsidRDefault="00D27E3C" w:rsidP="0097494B">
      <w:pPr>
        <w:pStyle w:val="Tekstpodstawowy"/>
        <w:numPr>
          <w:ilvl w:val="0"/>
          <w:numId w:val="58"/>
        </w:numPr>
        <w:tabs>
          <w:tab w:val="clear" w:pos="576"/>
          <w:tab w:val="clear" w:pos="1008"/>
        </w:tabs>
        <w:rPr>
          <w:rFonts w:ascii="Times New Roman" w:hAnsi="Times New Roman"/>
        </w:rPr>
      </w:pPr>
      <w:r>
        <w:rPr>
          <w:rFonts w:ascii="Times New Roman" w:hAnsi="Times New Roman"/>
        </w:rPr>
        <w:t>prace pomiarowe i przygotowawcze,</w:t>
      </w:r>
    </w:p>
    <w:p w:rsidR="00D27E3C" w:rsidRDefault="00D27E3C" w:rsidP="0097494B">
      <w:pPr>
        <w:pStyle w:val="Tekstpodstawowy"/>
        <w:numPr>
          <w:ilvl w:val="0"/>
          <w:numId w:val="58"/>
        </w:numPr>
        <w:tabs>
          <w:tab w:val="clear" w:pos="576"/>
          <w:tab w:val="clear" w:pos="1008"/>
        </w:tabs>
        <w:rPr>
          <w:rFonts w:ascii="Times New Roman" w:hAnsi="Times New Roman"/>
        </w:rPr>
      </w:pPr>
      <w:r>
        <w:rPr>
          <w:rFonts w:ascii="Times New Roman" w:hAnsi="Times New Roman"/>
        </w:rPr>
        <w:t>zakup materiałów,</w:t>
      </w:r>
    </w:p>
    <w:p w:rsidR="00D27E3C" w:rsidRDefault="00D27E3C" w:rsidP="0097494B">
      <w:pPr>
        <w:pStyle w:val="Tekstpodstawowy"/>
        <w:numPr>
          <w:ilvl w:val="0"/>
          <w:numId w:val="58"/>
        </w:numPr>
        <w:tabs>
          <w:tab w:val="clear" w:pos="576"/>
          <w:tab w:val="clear" w:pos="1008"/>
        </w:tabs>
        <w:rPr>
          <w:rFonts w:ascii="Times New Roman" w:hAnsi="Times New Roman"/>
        </w:rPr>
      </w:pPr>
      <w:r>
        <w:rPr>
          <w:rFonts w:ascii="Times New Roman" w:hAnsi="Times New Roman"/>
        </w:rPr>
        <w:t>pozyskanie i zakup materiałów,</w:t>
      </w:r>
    </w:p>
    <w:p w:rsidR="00D27E3C" w:rsidRDefault="00D27E3C" w:rsidP="0097494B">
      <w:pPr>
        <w:pStyle w:val="Tekstpodstawowy"/>
        <w:numPr>
          <w:ilvl w:val="0"/>
          <w:numId w:val="58"/>
        </w:numPr>
        <w:tabs>
          <w:tab w:val="clear" w:pos="576"/>
          <w:tab w:val="clear" w:pos="1008"/>
        </w:tabs>
        <w:rPr>
          <w:rFonts w:ascii="Times New Roman" w:hAnsi="Times New Roman"/>
        </w:rPr>
      </w:pPr>
      <w:r>
        <w:rPr>
          <w:rFonts w:ascii="Times New Roman" w:hAnsi="Times New Roman"/>
        </w:rPr>
        <w:t>transport i składowanie materiałów niezbędnych do wykonania zbrojenia i kotew,</w:t>
      </w:r>
    </w:p>
    <w:p w:rsidR="00D27E3C" w:rsidRDefault="00D27E3C" w:rsidP="0097494B">
      <w:pPr>
        <w:pStyle w:val="Tekstpodstawowy"/>
        <w:numPr>
          <w:ilvl w:val="0"/>
          <w:numId w:val="58"/>
        </w:numPr>
        <w:tabs>
          <w:tab w:val="clear" w:pos="576"/>
          <w:tab w:val="clear" w:pos="1008"/>
        </w:tabs>
        <w:rPr>
          <w:rFonts w:ascii="Times New Roman" w:hAnsi="Times New Roman"/>
        </w:rPr>
      </w:pPr>
      <w:r>
        <w:rPr>
          <w:rFonts w:ascii="Times New Roman" w:hAnsi="Times New Roman"/>
        </w:rPr>
        <w:t xml:space="preserve">oczyszczenie i wyprostowanie, wygięcie, przycinanie, łączenie </w:t>
      </w:r>
    </w:p>
    <w:p w:rsidR="00D27E3C" w:rsidRDefault="00D27E3C" w:rsidP="0097494B">
      <w:pPr>
        <w:pStyle w:val="Tekstpodstawowy"/>
        <w:numPr>
          <w:ilvl w:val="0"/>
          <w:numId w:val="58"/>
        </w:numPr>
        <w:tabs>
          <w:tab w:val="clear" w:pos="576"/>
          <w:tab w:val="clear" w:pos="1008"/>
        </w:tabs>
        <w:rPr>
          <w:rFonts w:ascii="Times New Roman" w:hAnsi="Times New Roman"/>
        </w:rPr>
      </w:pPr>
      <w:r>
        <w:rPr>
          <w:rFonts w:ascii="Times New Roman" w:hAnsi="Times New Roman"/>
        </w:rPr>
        <w:t>oczyszczenie terenu robót z odpadów zbrojenia,</w:t>
      </w:r>
    </w:p>
    <w:p w:rsidR="00D27E3C" w:rsidRDefault="00D27E3C" w:rsidP="0097494B">
      <w:pPr>
        <w:pStyle w:val="Tekstpodstawowy"/>
        <w:numPr>
          <w:ilvl w:val="0"/>
          <w:numId w:val="58"/>
        </w:numPr>
        <w:tabs>
          <w:tab w:val="clear" w:pos="576"/>
          <w:tab w:val="clear" w:pos="1008"/>
        </w:tabs>
        <w:rPr>
          <w:rFonts w:ascii="Times New Roman" w:hAnsi="Times New Roman"/>
        </w:rPr>
      </w:pPr>
      <w:r>
        <w:rPr>
          <w:rFonts w:ascii="Times New Roman" w:hAnsi="Times New Roman"/>
        </w:rPr>
        <w:t>wszystkie prace towarzyszące</w:t>
      </w:r>
    </w:p>
    <w:p w:rsidR="00D27E3C" w:rsidRDefault="00D27E3C" w:rsidP="0097494B">
      <w:pPr>
        <w:pStyle w:val="Tekstpodstawowy"/>
        <w:numPr>
          <w:ilvl w:val="0"/>
          <w:numId w:val="58"/>
        </w:numPr>
        <w:tabs>
          <w:tab w:val="clear" w:pos="576"/>
          <w:tab w:val="clear" w:pos="1008"/>
        </w:tabs>
        <w:rPr>
          <w:rFonts w:ascii="Times New Roman" w:hAnsi="Times New Roman"/>
        </w:rPr>
      </w:pPr>
      <w:r>
        <w:rPr>
          <w:rFonts w:ascii="Times New Roman" w:hAnsi="Times New Roman"/>
        </w:rPr>
        <w:t>wykonanie badań i pomiarów wymaganych w ST.</w:t>
      </w:r>
    </w:p>
    <w:p w:rsidR="00D27E3C" w:rsidRDefault="00D27E3C" w:rsidP="00D27E3C">
      <w:pPr>
        <w:widowControl w:val="0"/>
        <w:spacing w:before="120" w:after="120"/>
        <w:rPr>
          <w:b/>
          <w:snapToGrid w:val="0"/>
          <w:u w:val="single"/>
        </w:rPr>
      </w:pPr>
      <w:r>
        <w:rPr>
          <w:b/>
          <w:noProof/>
          <w:snapToGrid w:val="0"/>
          <w:u w:val="single"/>
        </w:rPr>
        <w:t>10.</w:t>
      </w:r>
      <w:r>
        <w:rPr>
          <w:b/>
          <w:snapToGrid w:val="0"/>
          <w:u w:val="single"/>
        </w:rPr>
        <w:t xml:space="preserve"> PRZEPISY ZWIĄZANE</w:t>
      </w:r>
    </w:p>
    <w:p w:rsidR="001B7CB6" w:rsidRDefault="00D27E3C" w:rsidP="00D37708">
      <w:pPr>
        <w:spacing w:before="120" w:after="120"/>
        <w:jc w:val="both"/>
      </w:pPr>
      <w:r>
        <w:t>wg M.12.00.00.</w:t>
      </w:r>
      <w:bookmarkStart w:id="23" w:name="_Toc281476095"/>
      <w:bookmarkStart w:id="24" w:name="_Toc318371465"/>
      <w:bookmarkStart w:id="25" w:name="_Toc343710558"/>
      <w:bookmarkStart w:id="26" w:name="_Toc474911670"/>
      <w:bookmarkStart w:id="27" w:name="_Toc515369237"/>
    </w:p>
    <w:p w:rsidR="00E66DBC" w:rsidRDefault="00E66DBC" w:rsidP="00D37708">
      <w:pPr>
        <w:spacing w:before="120" w:after="120"/>
        <w:jc w:val="both"/>
        <w:rPr>
          <w:b/>
        </w:rPr>
      </w:pPr>
    </w:p>
    <w:p w:rsidR="00E66DBC" w:rsidRDefault="00E66DBC" w:rsidP="00D37708">
      <w:pPr>
        <w:spacing w:before="120" w:after="120"/>
        <w:jc w:val="both"/>
        <w:rPr>
          <w:b/>
        </w:rPr>
      </w:pPr>
    </w:p>
    <w:p w:rsidR="00E66DBC" w:rsidRPr="00D37708" w:rsidRDefault="00E66DBC" w:rsidP="00D37708">
      <w:pPr>
        <w:spacing w:before="120" w:after="120"/>
        <w:jc w:val="both"/>
        <w:rPr>
          <w:b/>
        </w:rPr>
      </w:pPr>
    </w:p>
    <w:p w:rsidR="001B7CB6" w:rsidRPr="001B7CB6" w:rsidRDefault="00AB5A60" w:rsidP="00E66DBC">
      <w:pPr>
        <w:pStyle w:val="Nagwek1"/>
      </w:pPr>
      <w:bookmarkStart w:id="28" w:name="_Toc80100081"/>
      <w:r w:rsidRPr="0006395F">
        <w:t xml:space="preserve">M.12.01.03. </w:t>
      </w:r>
      <w:r>
        <w:tab/>
      </w:r>
      <w:r>
        <w:tab/>
      </w:r>
      <w:r w:rsidRPr="0006395F">
        <w:t>OSADZENIE KOTEW STALOWYCH W OTWORACH</w:t>
      </w:r>
      <w:bookmarkEnd w:id="23"/>
      <w:bookmarkEnd w:id="24"/>
      <w:bookmarkEnd w:id="25"/>
      <w:bookmarkEnd w:id="26"/>
      <w:bookmarkEnd w:id="27"/>
      <w:bookmarkEnd w:id="28"/>
    </w:p>
    <w:p w:rsidR="00AB5A60" w:rsidRPr="0006395F" w:rsidRDefault="00AB5A60" w:rsidP="00AB5A60">
      <w:pPr>
        <w:autoSpaceDE w:val="0"/>
        <w:autoSpaceDN w:val="0"/>
        <w:adjustRightInd w:val="0"/>
        <w:spacing w:line="360" w:lineRule="auto"/>
        <w:jc w:val="both"/>
        <w:rPr>
          <w:b/>
          <w:bCs/>
          <w:sz w:val="21"/>
          <w:szCs w:val="21"/>
          <w:u w:val="single"/>
        </w:rPr>
      </w:pPr>
      <w:r w:rsidRPr="0006395F">
        <w:rPr>
          <w:b/>
          <w:bCs/>
          <w:sz w:val="21"/>
          <w:szCs w:val="21"/>
          <w:u w:val="single"/>
        </w:rPr>
        <w:t>1. WST</w:t>
      </w:r>
      <w:r w:rsidRPr="0006395F">
        <w:rPr>
          <w:rFonts w:eastAsia="TimesNewRoman"/>
          <w:b/>
          <w:sz w:val="21"/>
          <w:szCs w:val="21"/>
          <w:u w:val="single"/>
        </w:rPr>
        <w:t>Ę</w:t>
      </w:r>
      <w:r w:rsidRPr="0006395F">
        <w:rPr>
          <w:b/>
          <w:bCs/>
          <w:sz w:val="21"/>
          <w:szCs w:val="21"/>
          <w:u w:val="single"/>
        </w:rPr>
        <w:t>P</w:t>
      </w:r>
    </w:p>
    <w:p w:rsidR="00AB5A60" w:rsidRPr="00DB10B1" w:rsidRDefault="00AB5A60" w:rsidP="00AB5A60">
      <w:pPr>
        <w:autoSpaceDE w:val="0"/>
        <w:autoSpaceDN w:val="0"/>
        <w:adjustRightInd w:val="0"/>
        <w:jc w:val="both"/>
        <w:rPr>
          <w:b/>
        </w:rPr>
      </w:pPr>
      <w:r w:rsidRPr="00DB10B1">
        <w:rPr>
          <w:b/>
        </w:rPr>
        <w:t>1.1. Przedmiot specyfikacji technicznej</w:t>
      </w:r>
    </w:p>
    <w:p w:rsidR="00AB5A60" w:rsidRDefault="00AB5A60" w:rsidP="00AB5A60">
      <w:pPr>
        <w:autoSpaceDE w:val="0"/>
        <w:autoSpaceDN w:val="0"/>
        <w:adjustRightInd w:val="0"/>
        <w:jc w:val="both"/>
        <w:rPr>
          <w:bCs/>
        </w:rPr>
      </w:pPr>
      <w:r w:rsidRPr="0006395F">
        <w:t>Przedmiotem niniejszej Specyfikacji Technicznej s</w:t>
      </w:r>
      <w:r w:rsidRPr="0006395F">
        <w:rPr>
          <w:rFonts w:eastAsia="TimesNewRoman"/>
        </w:rPr>
        <w:t xml:space="preserve">ą </w:t>
      </w:r>
      <w:r w:rsidRPr="0006395F">
        <w:t>wymagania dotycz</w:t>
      </w:r>
      <w:r w:rsidRPr="0006395F">
        <w:rPr>
          <w:rFonts w:eastAsia="TimesNewRoman"/>
        </w:rPr>
        <w:t>ą</w:t>
      </w:r>
      <w:r w:rsidRPr="0006395F">
        <w:t>ce wykonania i odbioru robót zwi</w:t>
      </w:r>
      <w:r w:rsidRPr="0006395F">
        <w:rPr>
          <w:rFonts w:eastAsia="TimesNewRoman"/>
        </w:rPr>
        <w:t>ą</w:t>
      </w:r>
      <w:r w:rsidRPr="0006395F">
        <w:t xml:space="preserve">zanych z osadzeniem kotew </w:t>
      </w:r>
      <w:r>
        <w:rPr>
          <w:snapToGrid w:val="0"/>
        </w:rPr>
        <w:t xml:space="preserve">w ramach projektu : </w:t>
      </w:r>
      <w:r w:rsidR="00E66DBC">
        <w:rPr>
          <w:bCs/>
        </w:rPr>
        <w:t>"Remont przepustu nad rzeką Postomia w ciągu drogi nr 445/k.2922 m. Wędrzyn."</w:t>
      </w:r>
    </w:p>
    <w:p w:rsidR="00AB5A60" w:rsidRPr="00DB10B1" w:rsidRDefault="00AB5A60" w:rsidP="00AB5A60">
      <w:pPr>
        <w:autoSpaceDE w:val="0"/>
        <w:autoSpaceDN w:val="0"/>
        <w:adjustRightInd w:val="0"/>
        <w:jc w:val="both"/>
        <w:rPr>
          <w:b/>
        </w:rPr>
      </w:pPr>
      <w:r w:rsidRPr="00DB10B1">
        <w:rPr>
          <w:b/>
        </w:rPr>
        <w:t>1.2. Zakres stosowania ST.</w:t>
      </w:r>
    </w:p>
    <w:p w:rsidR="00AB5A60" w:rsidRPr="0006395F" w:rsidRDefault="00AB5A60" w:rsidP="00AB5A60">
      <w:pPr>
        <w:autoSpaceDE w:val="0"/>
        <w:autoSpaceDN w:val="0"/>
        <w:adjustRightInd w:val="0"/>
        <w:jc w:val="both"/>
      </w:pPr>
      <w:r w:rsidRPr="0006395F">
        <w:t>Specyfikacja techniczna jest stosowana jako dokument przetargowy i kontraktowy przy zlecaniu i realizacjiRobót wymienionych w punkcie 1.1.</w:t>
      </w:r>
    </w:p>
    <w:p w:rsidR="00AB5A60" w:rsidRPr="00DB10B1" w:rsidRDefault="00AB5A60" w:rsidP="00AB5A60">
      <w:pPr>
        <w:autoSpaceDE w:val="0"/>
        <w:autoSpaceDN w:val="0"/>
        <w:adjustRightInd w:val="0"/>
        <w:jc w:val="both"/>
        <w:rPr>
          <w:b/>
        </w:rPr>
      </w:pPr>
      <w:r w:rsidRPr="00DB10B1">
        <w:rPr>
          <w:b/>
        </w:rPr>
        <w:t>1.3. Zakres robót obj</w:t>
      </w:r>
      <w:r w:rsidRPr="00DB10B1">
        <w:rPr>
          <w:rFonts w:eastAsia="TimesNewRoman"/>
          <w:b/>
        </w:rPr>
        <w:t>ę</w:t>
      </w:r>
      <w:r w:rsidRPr="00DB10B1">
        <w:rPr>
          <w:b/>
        </w:rPr>
        <w:t>tych ST</w:t>
      </w:r>
    </w:p>
    <w:p w:rsidR="00AB5A60" w:rsidRPr="0006395F" w:rsidRDefault="00AB5A60" w:rsidP="00AB5A60">
      <w:pPr>
        <w:autoSpaceDE w:val="0"/>
        <w:autoSpaceDN w:val="0"/>
        <w:adjustRightInd w:val="0"/>
        <w:jc w:val="both"/>
      </w:pPr>
      <w:r w:rsidRPr="0006395F">
        <w:t>Ustalenia zawarte w niniejszej specyfikacji dotycz</w:t>
      </w:r>
      <w:r w:rsidRPr="0006395F">
        <w:rPr>
          <w:rFonts w:eastAsia="TimesNewRoman"/>
        </w:rPr>
        <w:t xml:space="preserve">ą </w:t>
      </w:r>
      <w:r w:rsidRPr="0006395F">
        <w:t>zasad prowadzenia robót zwi</w:t>
      </w:r>
      <w:r w:rsidRPr="0006395F">
        <w:rPr>
          <w:rFonts w:eastAsia="TimesNewRoman"/>
        </w:rPr>
        <w:t>ą</w:t>
      </w:r>
      <w:r w:rsidRPr="0006395F">
        <w:t>zanych z :</w:t>
      </w:r>
    </w:p>
    <w:p w:rsidR="00AB5A60" w:rsidRPr="0006395F" w:rsidRDefault="00AB5A60" w:rsidP="00AB5A60">
      <w:pPr>
        <w:autoSpaceDE w:val="0"/>
        <w:autoSpaceDN w:val="0"/>
        <w:adjustRightInd w:val="0"/>
        <w:jc w:val="both"/>
      </w:pPr>
      <w:r w:rsidRPr="0006395F">
        <w:t>- przygotowaniem kotew,</w:t>
      </w:r>
    </w:p>
    <w:p w:rsidR="00AB5A60" w:rsidRPr="0006395F" w:rsidRDefault="00AB5A60" w:rsidP="00AB5A60">
      <w:pPr>
        <w:autoSpaceDE w:val="0"/>
        <w:autoSpaceDN w:val="0"/>
        <w:adjustRightInd w:val="0"/>
        <w:jc w:val="both"/>
      </w:pPr>
      <w:r w:rsidRPr="0006395F">
        <w:t>- wywiercenie otworów na gł</w:t>
      </w:r>
      <w:r w:rsidRPr="0006395F">
        <w:rPr>
          <w:rFonts w:eastAsia="TimesNewRoman"/>
        </w:rPr>
        <w:t>ę</w:t>
      </w:r>
      <w:r w:rsidRPr="0006395F">
        <w:t>boko</w:t>
      </w:r>
      <w:r w:rsidRPr="0006395F">
        <w:rPr>
          <w:rFonts w:eastAsia="TimesNewRoman"/>
        </w:rPr>
        <w:t xml:space="preserve">ść </w:t>
      </w:r>
      <w:r>
        <w:t xml:space="preserve">zgodnie z dokumentacją projektową </w:t>
      </w:r>
    </w:p>
    <w:p w:rsidR="00AB5A60" w:rsidRDefault="00AB5A60" w:rsidP="00AB5A60">
      <w:pPr>
        <w:autoSpaceDE w:val="0"/>
        <w:autoSpaceDN w:val="0"/>
        <w:adjustRightInd w:val="0"/>
        <w:jc w:val="both"/>
      </w:pPr>
      <w:r w:rsidRPr="0006395F">
        <w:t xml:space="preserve">- osadzenie kotew </w:t>
      </w:r>
      <w:r>
        <w:t>Φ</w:t>
      </w:r>
      <w:r w:rsidR="00E32918">
        <w:t>14</w:t>
      </w:r>
      <w:r w:rsidRPr="0006395F">
        <w:t xml:space="preserve"> mm </w:t>
      </w:r>
      <w:r>
        <w:t xml:space="preserve">zgodnie z dokumentacją projektową </w:t>
      </w:r>
      <w:r w:rsidRPr="0006395F">
        <w:t xml:space="preserve">przy zastosowaniu </w:t>
      </w:r>
      <w:r>
        <w:t>klejów lub żywic iniekcyjnych</w:t>
      </w:r>
    </w:p>
    <w:p w:rsidR="00AB5A60" w:rsidRPr="00DB10B1" w:rsidRDefault="00AB5A60" w:rsidP="00AB5A60">
      <w:pPr>
        <w:autoSpaceDE w:val="0"/>
        <w:autoSpaceDN w:val="0"/>
        <w:adjustRightInd w:val="0"/>
        <w:jc w:val="both"/>
        <w:rPr>
          <w:b/>
        </w:rPr>
      </w:pPr>
      <w:r w:rsidRPr="00DB10B1">
        <w:rPr>
          <w:b/>
        </w:rPr>
        <w:t>1.4. Okre</w:t>
      </w:r>
      <w:r w:rsidRPr="00DB10B1">
        <w:rPr>
          <w:rFonts w:eastAsia="TimesNewRoman"/>
          <w:b/>
        </w:rPr>
        <w:t>ś</w:t>
      </w:r>
      <w:r w:rsidRPr="00DB10B1">
        <w:rPr>
          <w:b/>
        </w:rPr>
        <w:t>lenia podstawowe</w:t>
      </w:r>
    </w:p>
    <w:p w:rsidR="00AB5A60" w:rsidRPr="0006395F" w:rsidRDefault="00AB5A60" w:rsidP="00AB5A60">
      <w:pPr>
        <w:autoSpaceDE w:val="0"/>
        <w:autoSpaceDN w:val="0"/>
        <w:adjustRightInd w:val="0"/>
        <w:jc w:val="both"/>
      </w:pPr>
      <w:r w:rsidRPr="0006395F">
        <w:t>Kotwy - pr</w:t>
      </w:r>
      <w:r w:rsidRPr="0006395F">
        <w:rPr>
          <w:rFonts w:eastAsia="TimesNewRoman"/>
        </w:rPr>
        <w:t>ę</w:t>
      </w:r>
      <w:r w:rsidRPr="0006395F">
        <w:t xml:space="preserve">ty stalowe o przekroju kołowym </w:t>
      </w:r>
      <w:r>
        <w:rPr>
          <w:rFonts w:eastAsia="TimesNewRoman"/>
        </w:rPr>
        <w:t>ż</w:t>
      </w:r>
      <w:r w:rsidRPr="0006395F">
        <w:t>ebrowane</w:t>
      </w:r>
    </w:p>
    <w:p w:rsidR="00AB5A60" w:rsidRPr="00DB10B1" w:rsidRDefault="00AB5A60" w:rsidP="00AB5A60">
      <w:pPr>
        <w:autoSpaceDE w:val="0"/>
        <w:autoSpaceDN w:val="0"/>
        <w:adjustRightInd w:val="0"/>
        <w:jc w:val="both"/>
        <w:rPr>
          <w:b/>
        </w:rPr>
      </w:pPr>
      <w:r w:rsidRPr="00DB10B1">
        <w:rPr>
          <w:b/>
        </w:rPr>
        <w:t>1.5. Ogólne wymagania dotycz</w:t>
      </w:r>
      <w:r w:rsidRPr="00DB10B1">
        <w:rPr>
          <w:rFonts w:eastAsia="TimesNewRoman"/>
          <w:b/>
        </w:rPr>
        <w:t>ą</w:t>
      </w:r>
      <w:r w:rsidRPr="00DB10B1">
        <w:rPr>
          <w:b/>
        </w:rPr>
        <w:t>ce Robót.</w:t>
      </w:r>
    </w:p>
    <w:p w:rsidR="00AB5A60" w:rsidRPr="0006395F" w:rsidRDefault="00AB5A60" w:rsidP="00AB5A60">
      <w:pPr>
        <w:autoSpaceDE w:val="0"/>
        <w:autoSpaceDN w:val="0"/>
        <w:adjustRightInd w:val="0"/>
        <w:jc w:val="both"/>
        <w:rPr>
          <w:rFonts w:eastAsia="TimesNewRoman"/>
        </w:rPr>
      </w:pPr>
      <w:r w:rsidRPr="0006395F">
        <w:t>Wykonawca jest odpowiedzialny za jako</w:t>
      </w:r>
      <w:r w:rsidRPr="0006395F">
        <w:rPr>
          <w:rFonts w:eastAsia="TimesNewRoman"/>
        </w:rPr>
        <w:t xml:space="preserve">ść </w:t>
      </w:r>
      <w:r w:rsidRPr="0006395F">
        <w:t>stosowanych materiałów i wykonywanych robót oraz za ich zgodno</w:t>
      </w:r>
      <w:r w:rsidRPr="0006395F">
        <w:rPr>
          <w:rFonts w:eastAsia="TimesNewRoman"/>
        </w:rPr>
        <w:t>ść</w:t>
      </w:r>
    </w:p>
    <w:p w:rsidR="00AB5A60" w:rsidRPr="00E32918" w:rsidRDefault="00AB5A60" w:rsidP="00E32918">
      <w:pPr>
        <w:autoSpaceDE w:val="0"/>
        <w:autoSpaceDN w:val="0"/>
        <w:adjustRightInd w:val="0"/>
        <w:jc w:val="both"/>
      </w:pPr>
      <w:r w:rsidRPr="0006395F">
        <w:t>z dokumentacj</w:t>
      </w:r>
      <w:r w:rsidRPr="0006395F">
        <w:rPr>
          <w:rFonts w:eastAsia="TimesNewRoman"/>
        </w:rPr>
        <w:t xml:space="preserve">ą </w:t>
      </w:r>
      <w:r w:rsidRPr="0006395F">
        <w:t>projektowa, specyfikacj</w:t>
      </w:r>
      <w:r w:rsidRPr="0006395F">
        <w:rPr>
          <w:rFonts w:eastAsia="TimesNewRoman"/>
        </w:rPr>
        <w:t xml:space="preserve">ą </w:t>
      </w:r>
      <w:r w:rsidRPr="0006395F">
        <w:t>techniczn</w:t>
      </w:r>
      <w:r w:rsidRPr="0006395F">
        <w:rPr>
          <w:rFonts w:eastAsia="TimesNewRoman"/>
        </w:rPr>
        <w:t xml:space="preserve">ą </w:t>
      </w:r>
      <w:r w:rsidR="007424F4">
        <w:t xml:space="preserve">oraz zaleceniami </w:t>
      </w:r>
      <w:r w:rsidR="00663F18">
        <w:t xml:space="preserve">przedstawiciela </w:t>
      </w:r>
      <w:r w:rsidR="007424F4">
        <w:t>Zamawiającego</w:t>
      </w:r>
      <w:r w:rsidRPr="0006395F">
        <w:t>.</w:t>
      </w:r>
    </w:p>
    <w:p w:rsidR="00AB5A60" w:rsidRPr="0006395F" w:rsidRDefault="00AB5A60" w:rsidP="00AB5A60">
      <w:pPr>
        <w:autoSpaceDE w:val="0"/>
        <w:autoSpaceDN w:val="0"/>
        <w:adjustRightInd w:val="0"/>
        <w:spacing w:line="360" w:lineRule="auto"/>
        <w:jc w:val="both"/>
        <w:rPr>
          <w:b/>
          <w:bCs/>
          <w:sz w:val="21"/>
          <w:szCs w:val="21"/>
          <w:u w:val="single"/>
        </w:rPr>
      </w:pPr>
      <w:r w:rsidRPr="0006395F">
        <w:rPr>
          <w:b/>
          <w:bCs/>
          <w:sz w:val="21"/>
          <w:szCs w:val="21"/>
          <w:u w:val="single"/>
        </w:rPr>
        <w:t xml:space="preserve">2. </w:t>
      </w:r>
      <w:r>
        <w:rPr>
          <w:b/>
          <w:bCs/>
          <w:sz w:val="21"/>
          <w:szCs w:val="21"/>
          <w:u w:val="single"/>
        </w:rPr>
        <w:t>M</w:t>
      </w:r>
      <w:r w:rsidRPr="0006395F">
        <w:rPr>
          <w:b/>
          <w:bCs/>
          <w:sz w:val="21"/>
          <w:szCs w:val="21"/>
          <w:u w:val="single"/>
        </w:rPr>
        <w:t>ATERIAŁY</w:t>
      </w:r>
    </w:p>
    <w:p w:rsidR="00AB5A60" w:rsidRDefault="00E66DBC" w:rsidP="00AB5A60">
      <w:pPr>
        <w:autoSpaceDE w:val="0"/>
        <w:autoSpaceDN w:val="0"/>
        <w:adjustRightInd w:val="0"/>
        <w:jc w:val="both"/>
      </w:pPr>
      <w:r>
        <w:t>Stal</w:t>
      </w:r>
      <w:r w:rsidR="00E32918">
        <w:t xml:space="preserve"> B500SP</w:t>
      </w:r>
      <w:r w:rsidR="00AB5A60" w:rsidRPr="0006395F">
        <w:t xml:space="preserve">, klej </w:t>
      </w:r>
      <w:r w:rsidR="00AB5A60">
        <w:t xml:space="preserve">lub żywica </w:t>
      </w:r>
      <w:r w:rsidR="00AB5A60" w:rsidRPr="0006395F">
        <w:t>do ł</w:t>
      </w:r>
      <w:r w:rsidR="00AB5A60" w:rsidRPr="009A41CA">
        <w:t>ą</w:t>
      </w:r>
      <w:r w:rsidR="00AB5A60" w:rsidRPr="0006395F">
        <w:t>czenia stali z betonem.</w:t>
      </w:r>
    </w:p>
    <w:p w:rsidR="00573E1E" w:rsidRPr="00573E1E" w:rsidRDefault="00573E1E" w:rsidP="00573E1E">
      <w:pPr>
        <w:widowControl w:val="0"/>
        <w:ind w:firstLine="709"/>
        <w:jc w:val="both"/>
        <w:rPr>
          <w:snapToGrid w:val="0"/>
        </w:rPr>
      </w:pPr>
      <w:r w:rsidRPr="0075125F">
        <w:rPr>
          <w:snapToGrid w:val="0"/>
        </w:rPr>
        <w:t xml:space="preserve">Przed przystąpieniem do wbudowywania materiału Wykonawca zobowiązany jest do przedstawienia przy każdej dostawie deklaracji </w:t>
      </w:r>
      <w:r w:rsidR="006335B4">
        <w:rPr>
          <w:snapToGrid w:val="0"/>
        </w:rPr>
        <w:t>właściwości</w:t>
      </w:r>
      <w:r w:rsidRPr="0075125F">
        <w:rPr>
          <w:snapToGrid w:val="0"/>
        </w:rPr>
        <w:t xml:space="preserve"> użytkowych materiału objętego normą zharmonizowaną lub europejską oceną techniczną lub europejską aprobatą techniczną, lub krajowej deklaracji </w:t>
      </w:r>
      <w:r w:rsidR="006335B4">
        <w:rPr>
          <w:snapToGrid w:val="0"/>
        </w:rPr>
        <w:t>właściwości</w:t>
      </w:r>
      <w:r w:rsidRPr="0075125F">
        <w:rPr>
          <w:snapToGrid w:val="0"/>
        </w:rPr>
        <w:t xml:space="preserve"> użytkowych dla materiału objętego Polską Normą lub krajową oceną techniczną lub aprobatą techniczną, a także kart technicznych i instrukcji użytkowania poszczególnych materiałów. Za sprawdzenie przydatności materiałów oraz jakość wbudowania odpowiada Wykonawca.</w:t>
      </w:r>
    </w:p>
    <w:p w:rsidR="00AB5A60" w:rsidRPr="0006395F" w:rsidRDefault="00AB5A60" w:rsidP="00AB5A60">
      <w:pPr>
        <w:autoSpaceDE w:val="0"/>
        <w:autoSpaceDN w:val="0"/>
        <w:adjustRightInd w:val="0"/>
        <w:spacing w:line="360" w:lineRule="auto"/>
        <w:jc w:val="both"/>
        <w:rPr>
          <w:b/>
          <w:bCs/>
          <w:sz w:val="21"/>
          <w:szCs w:val="21"/>
          <w:u w:val="single"/>
        </w:rPr>
      </w:pPr>
      <w:r w:rsidRPr="0006395F">
        <w:rPr>
          <w:b/>
          <w:bCs/>
          <w:sz w:val="21"/>
          <w:szCs w:val="21"/>
          <w:u w:val="single"/>
        </w:rPr>
        <w:t xml:space="preserve">3. </w:t>
      </w:r>
      <w:r>
        <w:rPr>
          <w:b/>
          <w:bCs/>
          <w:sz w:val="21"/>
          <w:szCs w:val="21"/>
          <w:u w:val="single"/>
        </w:rPr>
        <w:t>S</w:t>
      </w:r>
      <w:r w:rsidRPr="0006395F">
        <w:rPr>
          <w:b/>
          <w:bCs/>
          <w:sz w:val="21"/>
          <w:szCs w:val="21"/>
          <w:u w:val="single"/>
        </w:rPr>
        <w:t>PRZ</w:t>
      </w:r>
      <w:r w:rsidRPr="0006395F">
        <w:rPr>
          <w:rFonts w:eastAsia="TimesNewRoman"/>
          <w:sz w:val="21"/>
          <w:szCs w:val="21"/>
          <w:u w:val="single"/>
        </w:rPr>
        <w:t>Ę</w:t>
      </w:r>
      <w:r w:rsidRPr="0006395F">
        <w:rPr>
          <w:b/>
          <w:bCs/>
          <w:sz w:val="21"/>
          <w:szCs w:val="21"/>
          <w:u w:val="single"/>
        </w:rPr>
        <w:t>T</w:t>
      </w:r>
    </w:p>
    <w:p w:rsidR="00AB5A60" w:rsidRPr="0006395F" w:rsidRDefault="00AB5A60" w:rsidP="00AB5A60">
      <w:pPr>
        <w:autoSpaceDE w:val="0"/>
        <w:autoSpaceDN w:val="0"/>
        <w:adjustRightInd w:val="0"/>
        <w:jc w:val="both"/>
      </w:pPr>
      <w:r w:rsidRPr="0006395F">
        <w:t>Jak w punkcie M.12.00.00</w:t>
      </w:r>
    </w:p>
    <w:p w:rsidR="00AB5A60" w:rsidRPr="0006395F" w:rsidRDefault="00AB5A60" w:rsidP="00AB5A60">
      <w:pPr>
        <w:autoSpaceDE w:val="0"/>
        <w:autoSpaceDN w:val="0"/>
        <w:adjustRightInd w:val="0"/>
        <w:jc w:val="both"/>
      </w:pPr>
      <w:r w:rsidRPr="0006395F">
        <w:t>Projektuje si</w:t>
      </w:r>
      <w:r w:rsidRPr="0006395F">
        <w:rPr>
          <w:rFonts w:eastAsia="TimesNewRoman"/>
        </w:rPr>
        <w:t xml:space="preserve">ę </w:t>
      </w:r>
      <w:r w:rsidRPr="0006395F">
        <w:t>zastosowanie wiertarek z wiertłami koronkowymi. Nie nale</w:t>
      </w:r>
      <w:r>
        <w:t>ż</w:t>
      </w:r>
      <w:r w:rsidRPr="0006395F">
        <w:t>y stosowa</w:t>
      </w:r>
      <w:r w:rsidRPr="0006395F">
        <w:rPr>
          <w:rFonts w:eastAsia="TimesNewRoman"/>
        </w:rPr>
        <w:t xml:space="preserve">ć </w:t>
      </w:r>
      <w:r w:rsidRPr="0006395F">
        <w:t>wiertarek udarowych.</w:t>
      </w:r>
    </w:p>
    <w:p w:rsidR="00AB5A60" w:rsidRPr="0006395F" w:rsidRDefault="00AB5A60" w:rsidP="00AB5A60">
      <w:pPr>
        <w:autoSpaceDE w:val="0"/>
        <w:autoSpaceDN w:val="0"/>
        <w:adjustRightInd w:val="0"/>
        <w:jc w:val="both"/>
      </w:pPr>
      <w:r w:rsidRPr="00DB10B1">
        <w:rPr>
          <w:b/>
        </w:rPr>
        <w:t>3.1.</w:t>
      </w:r>
      <w:r w:rsidRPr="0006395F">
        <w:t xml:space="preserve"> U</w:t>
      </w:r>
      <w:r>
        <w:t>ż</w:t>
      </w:r>
      <w:r w:rsidRPr="0006395F">
        <w:t>yty przez Wykonawc</w:t>
      </w:r>
      <w:r w:rsidRPr="0006395F">
        <w:rPr>
          <w:rFonts w:eastAsia="TimesNewRoman"/>
        </w:rPr>
        <w:t xml:space="preserve">ę </w:t>
      </w:r>
      <w:r w:rsidRPr="0006395F">
        <w:t>sprz</w:t>
      </w:r>
      <w:r w:rsidRPr="0006395F">
        <w:rPr>
          <w:rFonts w:eastAsia="TimesNewRoman"/>
        </w:rPr>
        <w:t>ę</w:t>
      </w:r>
      <w:r w:rsidRPr="0006395F">
        <w:t>t wiertniczy jak te</w:t>
      </w:r>
      <w:r>
        <w:t>ż</w:t>
      </w:r>
      <w:r w:rsidRPr="0006395F">
        <w:t>stosowane wiertła koronkowe powinny zapewnia</w:t>
      </w:r>
      <w:r w:rsidRPr="0006395F">
        <w:rPr>
          <w:rFonts w:eastAsia="TimesNewRoman"/>
        </w:rPr>
        <w:t>ć</w:t>
      </w:r>
      <w:r w:rsidRPr="0006395F">
        <w:t>ci</w:t>
      </w:r>
      <w:r w:rsidRPr="0006395F">
        <w:rPr>
          <w:rFonts w:eastAsia="TimesNewRoman"/>
        </w:rPr>
        <w:t>ą</w:t>
      </w:r>
      <w:r w:rsidRPr="0006395F">
        <w:t>gło</w:t>
      </w:r>
      <w:r w:rsidRPr="0006395F">
        <w:rPr>
          <w:rFonts w:eastAsia="TimesNewRoman"/>
        </w:rPr>
        <w:t xml:space="preserve">ść </w:t>
      </w:r>
      <w:r w:rsidRPr="0006395F">
        <w:t>prowadzonych prac i uzyskanie wła</w:t>
      </w:r>
      <w:r w:rsidRPr="0006395F">
        <w:rPr>
          <w:rFonts w:eastAsia="TimesNewRoman"/>
        </w:rPr>
        <w:t>ś</w:t>
      </w:r>
      <w:r w:rsidRPr="0006395F">
        <w:t>ciwej jako</w:t>
      </w:r>
      <w:r w:rsidRPr="0006395F">
        <w:rPr>
          <w:rFonts w:eastAsia="TimesNewRoman"/>
        </w:rPr>
        <w:t>ś</w:t>
      </w:r>
      <w:r w:rsidRPr="0006395F">
        <w:t>ci robót.</w:t>
      </w:r>
    </w:p>
    <w:p w:rsidR="00AB5A60" w:rsidRPr="0006395F" w:rsidRDefault="00AB5A60" w:rsidP="00AB5A60">
      <w:pPr>
        <w:autoSpaceDE w:val="0"/>
        <w:autoSpaceDN w:val="0"/>
        <w:adjustRightInd w:val="0"/>
        <w:jc w:val="both"/>
      </w:pPr>
      <w:r w:rsidRPr="00DB10B1">
        <w:rPr>
          <w:b/>
        </w:rPr>
        <w:t>3.2.</w:t>
      </w:r>
      <w:r w:rsidRPr="0006395F">
        <w:t xml:space="preserve"> Zastosowanie przez „Wykonawc</w:t>
      </w:r>
      <w:r w:rsidRPr="0006395F">
        <w:rPr>
          <w:rFonts w:eastAsia="TimesNewRoman"/>
        </w:rPr>
        <w:t>ę</w:t>
      </w:r>
      <w:r w:rsidRPr="0006395F">
        <w:t>” do wykonania cylindrycznego otworu konstrukcyjnego wiertła o</w:t>
      </w:r>
      <w:r w:rsidRPr="0006395F">
        <w:rPr>
          <w:rFonts w:eastAsia="TimesNewRoman"/>
        </w:rPr>
        <w:t>ś</w:t>
      </w:r>
      <w:r w:rsidRPr="0006395F">
        <w:t>rednicy wi</w:t>
      </w:r>
      <w:r w:rsidRPr="0006395F">
        <w:rPr>
          <w:rFonts w:eastAsia="TimesNewRoman"/>
        </w:rPr>
        <w:t>ę</w:t>
      </w:r>
      <w:r w:rsidRPr="0006395F">
        <w:t xml:space="preserve">kszej lub mniejszej od nominalnej </w:t>
      </w:r>
      <w:r w:rsidRPr="0006395F">
        <w:rPr>
          <w:rFonts w:eastAsia="TimesNewRoman"/>
        </w:rPr>
        <w:t>ś</w:t>
      </w:r>
      <w:r w:rsidRPr="0006395F">
        <w:t>rednicy otworu podanej w projekcie technicznym wymaga</w:t>
      </w:r>
      <w:r w:rsidR="007424F4">
        <w:t xml:space="preserve">zgody </w:t>
      </w:r>
      <w:r w:rsidR="00663F18">
        <w:t xml:space="preserve">przedstawiciela </w:t>
      </w:r>
      <w:r w:rsidR="007424F4">
        <w:t>Zamawiającego</w:t>
      </w:r>
      <w:r w:rsidRPr="0006395F">
        <w:t>.</w:t>
      </w:r>
    </w:p>
    <w:p w:rsidR="00AB5A60" w:rsidRPr="0006395F" w:rsidRDefault="00AB5A60" w:rsidP="00AB5A60">
      <w:pPr>
        <w:autoSpaceDE w:val="0"/>
        <w:autoSpaceDN w:val="0"/>
        <w:adjustRightInd w:val="0"/>
        <w:spacing w:line="360" w:lineRule="auto"/>
        <w:jc w:val="both"/>
        <w:rPr>
          <w:b/>
          <w:bCs/>
          <w:sz w:val="10"/>
          <w:szCs w:val="10"/>
          <w:u w:val="single"/>
        </w:rPr>
      </w:pPr>
    </w:p>
    <w:p w:rsidR="00AB5A60" w:rsidRPr="0006395F" w:rsidRDefault="00AB5A60" w:rsidP="00AB5A60">
      <w:pPr>
        <w:autoSpaceDE w:val="0"/>
        <w:autoSpaceDN w:val="0"/>
        <w:adjustRightInd w:val="0"/>
        <w:spacing w:line="360" w:lineRule="auto"/>
        <w:jc w:val="both"/>
        <w:rPr>
          <w:b/>
          <w:bCs/>
          <w:sz w:val="21"/>
          <w:szCs w:val="21"/>
          <w:u w:val="single"/>
        </w:rPr>
      </w:pPr>
      <w:r w:rsidRPr="0006395F">
        <w:rPr>
          <w:b/>
          <w:bCs/>
          <w:sz w:val="21"/>
          <w:szCs w:val="21"/>
          <w:u w:val="single"/>
        </w:rPr>
        <w:t xml:space="preserve">4. </w:t>
      </w:r>
      <w:r>
        <w:rPr>
          <w:b/>
          <w:bCs/>
          <w:sz w:val="21"/>
          <w:szCs w:val="21"/>
          <w:u w:val="single"/>
        </w:rPr>
        <w:t>T</w:t>
      </w:r>
      <w:r w:rsidRPr="0006395F">
        <w:rPr>
          <w:b/>
          <w:bCs/>
          <w:sz w:val="21"/>
          <w:szCs w:val="21"/>
          <w:u w:val="single"/>
        </w:rPr>
        <w:t>RANSPORT</w:t>
      </w:r>
    </w:p>
    <w:p w:rsidR="00AB5A60" w:rsidRPr="0006395F" w:rsidRDefault="00AB5A60" w:rsidP="00AB5A60">
      <w:pPr>
        <w:autoSpaceDE w:val="0"/>
        <w:autoSpaceDN w:val="0"/>
        <w:adjustRightInd w:val="0"/>
        <w:spacing w:line="360" w:lineRule="auto"/>
        <w:jc w:val="both"/>
      </w:pPr>
      <w:r w:rsidRPr="0006395F">
        <w:t>Jak w punkcie M.12.0</w:t>
      </w:r>
      <w:r>
        <w:t>0</w:t>
      </w:r>
      <w:r w:rsidRPr="0006395F">
        <w:t>.00</w:t>
      </w:r>
    </w:p>
    <w:p w:rsidR="00AB5A60" w:rsidRPr="0006395F" w:rsidRDefault="00AB5A60" w:rsidP="00AB5A60">
      <w:pPr>
        <w:autoSpaceDE w:val="0"/>
        <w:autoSpaceDN w:val="0"/>
        <w:adjustRightInd w:val="0"/>
        <w:spacing w:line="360" w:lineRule="auto"/>
        <w:jc w:val="both"/>
        <w:rPr>
          <w:b/>
          <w:bCs/>
          <w:sz w:val="21"/>
          <w:szCs w:val="21"/>
          <w:u w:val="single"/>
        </w:rPr>
      </w:pPr>
      <w:r w:rsidRPr="0006395F">
        <w:rPr>
          <w:b/>
          <w:bCs/>
          <w:sz w:val="21"/>
          <w:szCs w:val="21"/>
          <w:u w:val="single"/>
        </w:rPr>
        <w:t xml:space="preserve">5. </w:t>
      </w:r>
      <w:r>
        <w:rPr>
          <w:b/>
          <w:bCs/>
          <w:sz w:val="21"/>
          <w:szCs w:val="21"/>
          <w:u w:val="single"/>
        </w:rPr>
        <w:t>W</w:t>
      </w:r>
      <w:r w:rsidRPr="0006395F">
        <w:rPr>
          <w:b/>
          <w:bCs/>
          <w:sz w:val="21"/>
          <w:szCs w:val="21"/>
          <w:u w:val="single"/>
        </w:rPr>
        <w:t>YKONANIE ROBÓT</w:t>
      </w:r>
    </w:p>
    <w:p w:rsidR="00AB5A60" w:rsidRPr="00DB10B1" w:rsidRDefault="00AB5A60" w:rsidP="00AB5A60">
      <w:pPr>
        <w:autoSpaceDE w:val="0"/>
        <w:autoSpaceDN w:val="0"/>
        <w:adjustRightInd w:val="0"/>
        <w:jc w:val="both"/>
        <w:rPr>
          <w:b/>
        </w:rPr>
      </w:pPr>
      <w:r w:rsidRPr="00DB10B1">
        <w:rPr>
          <w:b/>
        </w:rPr>
        <w:t>5.1. Wymagania ogólne</w:t>
      </w:r>
    </w:p>
    <w:p w:rsidR="00AB5A60" w:rsidRPr="0006395F" w:rsidRDefault="00AB5A60" w:rsidP="00AB5A60">
      <w:pPr>
        <w:autoSpaceDE w:val="0"/>
        <w:autoSpaceDN w:val="0"/>
        <w:adjustRightInd w:val="0"/>
        <w:jc w:val="both"/>
      </w:pPr>
      <w:r w:rsidRPr="0006395F">
        <w:t>5.1.1. Otwory konstrukcyjne lub technologiczne w betonie elementów konstrukcji obiektów mostowych mog</w:t>
      </w:r>
      <w:r w:rsidRPr="0006395F">
        <w:rPr>
          <w:rFonts w:eastAsia="TimesNewRoman"/>
        </w:rPr>
        <w:t>ą</w:t>
      </w:r>
      <w:r w:rsidRPr="0006395F">
        <w:t>by</w:t>
      </w:r>
      <w:r w:rsidRPr="0006395F">
        <w:rPr>
          <w:rFonts w:eastAsia="TimesNewRoman"/>
        </w:rPr>
        <w:t xml:space="preserve">ć </w:t>
      </w:r>
      <w:r w:rsidRPr="0006395F">
        <w:t>wykonywane wył</w:t>
      </w:r>
      <w:r w:rsidRPr="0006395F">
        <w:rPr>
          <w:rFonts w:eastAsia="TimesNewRoman"/>
        </w:rPr>
        <w:t>ą</w:t>
      </w:r>
      <w:r w:rsidRPr="0006395F">
        <w:t>cznie przy u</w:t>
      </w:r>
      <w:r>
        <w:t>ż</w:t>
      </w:r>
      <w:r w:rsidRPr="0006395F">
        <w:t>yciu wierteł koronowych.</w:t>
      </w:r>
    </w:p>
    <w:p w:rsidR="00AB5A60" w:rsidRPr="0006395F" w:rsidRDefault="00AB5A60" w:rsidP="00AB5A60">
      <w:pPr>
        <w:autoSpaceDE w:val="0"/>
        <w:autoSpaceDN w:val="0"/>
        <w:adjustRightInd w:val="0"/>
        <w:jc w:val="both"/>
      </w:pPr>
      <w:r w:rsidRPr="0006395F">
        <w:t>Niedopuszczalne jest wykonywanie otworów metod</w:t>
      </w:r>
      <w:r w:rsidRPr="0006395F">
        <w:rPr>
          <w:rFonts w:eastAsia="TimesNewRoman"/>
        </w:rPr>
        <w:t xml:space="preserve">ą </w:t>
      </w:r>
      <w:r w:rsidRPr="0006395F">
        <w:t>dłutowania betonu przy u</w:t>
      </w:r>
      <w:r>
        <w:t>ż</w:t>
      </w:r>
      <w:r w:rsidRPr="0006395F">
        <w:t>yciu młotka wyburzeniowego.</w:t>
      </w:r>
    </w:p>
    <w:p w:rsidR="00AB5A60" w:rsidRPr="0006395F" w:rsidRDefault="00AB5A60" w:rsidP="00AB5A60">
      <w:pPr>
        <w:autoSpaceDE w:val="0"/>
        <w:autoSpaceDN w:val="0"/>
        <w:adjustRightInd w:val="0"/>
        <w:jc w:val="both"/>
      </w:pPr>
      <w:r w:rsidRPr="0006395F">
        <w:t>5.1.</w:t>
      </w:r>
      <w:r w:rsidR="00AE0A20">
        <w:t>2</w:t>
      </w:r>
      <w:r w:rsidRPr="0006395F">
        <w:t xml:space="preserve"> Otwory konstrukcyjne w betonie zbrojonym nale</w:t>
      </w:r>
      <w:r>
        <w:t>ż</w:t>
      </w:r>
      <w:r w:rsidRPr="0006395F">
        <w:t>y wykonywa</w:t>
      </w:r>
      <w:r w:rsidRPr="0006395F">
        <w:rPr>
          <w:rFonts w:eastAsia="TimesNewRoman"/>
        </w:rPr>
        <w:t xml:space="preserve">ć </w:t>
      </w:r>
      <w:r w:rsidRPr="0006395F">
        <w:t>przy u</w:t>
      </w:r>
      <w:r>
        <w:t>ż</w:t>
      </w:r>
      <w:r w:rsidRPr="0006395F">
        <w:t>yciu diamentowego wiertłakoronowego.</w:t>
      </w:r>
    </w:p>
    <w:p w:rsidR="00AB5A60" w:rsidRPr="0006395F" w:rsidRDefault="00AB5A60" w:rsidP="00AB5A60">
      <w:pPr>
        <w:autoSpaceDE w:val="0"/>
        <w:autoSpaceDN w:val="0"/>
        <w:adjustRightInd w:val="0"/>
        <w:jc w:val="both"/>
      </w:pPr>
      <w:r w:rsidRPr="0006395F">
        <w:t>5.1.</w:t>
      </w:r>
      <w:r w:rsidR="00AE0A20">
        <w:t>3</w:t>
      </w:r>
      <w:r w:rsidRPr="0006395F">
        <w:t xml:space="preserve"> Nieprzelotowe otwory konstrukcyjne Wykonawca obowi</w:t>
      </w:r>
      <w:r w:rsidRPr="0006395F">
        <w:rPr>
          <w:rFonts w:eastAsia="TimesNewRoman"/>
        </w:rPr>
        <w:t>ą</w:t>
      </w:r>
      <w:r w:rsidRPr="0006395F">
        <w:t>zany jest oczy</w:t>
      </w:r>
      <w:r w:rsidRPr="0006395F">
        <w:rPr>
          <w:rFonts w:eastAsia="TimesNewRoman"/>
        </w:rPr>
        <w:t>ś</w:t>
      </w:r>
      <w:r w:rsidRPr="0006395F">
        <w:t>ci</w:t>
      </w:r>
      <w:r w:rsidRPr="0006395F">
        <w:rPr>
          <w:rFonts w:eastAsia="TimesNewRoman"/>
        </w:rPr>
        <w:t xml:space="preserve">ć </w:t>
      </w:r>
      <w:r w:rsidRPr="0006395F">
        <w:t>strumieniem spr</w:t>
      </w:r>
      <w:r w:rsidRPr="0006395F">
        <w:rPr>
          <w:rFonts w:eastAsia="TimesNewRoman"/>
        </w:rPr>
        <w:t>ę</w:t>
      </w:r>
      <w:r>
        <w:t>ż</w:t>
      </w:r>
      <w:r w:rsidRPr="0006395F">
        <w:t>onegopowietrza o ci</w:t>
      </w:r>
      <w:r w:rsidRPr="0006395F">
        <w:rPr>
          <w:rFonts w:eastAsia="TimesNewRoman"/>
        </w:rPr>
        <w:t>ś</w:t>
      </w:r>
      <w:r w:rsidRPr="0006395F">
        <w:t>nieniu nie mniejszym ni</w:t>
      </w:r>
      <w:r>
        <w:rPr>
          <w:rFonts w:eastAsia="TimesNewRoman"/>
        </w:rPr>
        <w:t>ż</w:t>
      </w:r>
      <w:r w:rsidRPr="0006395F">
        <w:t>0,6 MPa lub odkurzaczem przemysłowym i zabezpieczy</w:t>
      </w:r>
      <w:r w:rsidRPr="0006395F">
        <w:rPr>
          <w:rFonts w:eastAsia="TimesNewRoman"/>
        </w:rPr>
        <w:t xml:space="preserve">ć </w:t>
      </w:r>
      <w:r w:rsidRPr="0006395F">
        <w:t>je przedzanieczyszczeniem.</w:t>
      </w:r>
    </w:p>
    <w:p w:rsidR="00AB5A60" w:rsidRPr="0006395F" w:rsidRDefault="00AB5A60" w:rsidP="00AB5A60">
      <w:pPr>
        <w:autoSpaceDE w:val="0"/>
        <w:autoSpaceDN w:val="0"/>
        <w:adjustRightInd w:val="0"/>
        <w:jc w:val="both"/>
      </w:pPr>
      <w:r w:rsidRPr="0006395F">
        <w:t>5.1.</w:t>
      </w:r>
      <w:r w:rsidR="00AE0A20">
        <w:t>4</w:t>
      </w:r>
      <w:r w:rsidRPr="0006395F">
        <w:t xml:space="preserve"> Zlikwidowanie otworów technologicznych po ich wykorzystaniu nale</w:t>
      </w:r>
      <w:r>
        <w:t>ż</w:t>
      </w:r>
      <w:r w:rsidRPr="0006395F">
        <w:t>y do Wykonawcy.</w:t>
      </w:r>
    </w:p>
    <w:p w:rsidR="00AB5A60" w:rsidRPr="0006395F" w:rsidRDefault="00AB5A60" w:rsidP="00AB5A60">
      <w:pPr>
        <w:autoSpaceDE w:val="0"/>
        <w:autoSpaceDN w:val="0"/>
        <w:adjustRightInd w:val="0"/>
        <w:jc w:val="both"/>
      </w:pPr>
      <w:r w:rsidRPr="0006395F">
        <w:t>5.1.</w:t>
      </w:r>
      <w:r w:rsidR="00AE0A20">
        <w:t>5</w:t>
      </w:r>
      <w:r w:rsidRPr="0006395F">
        <w:t xml:space="preserve"> Wyrównanie powierzchni bocznych otworów konstrukcyjnych wykonanych metod</w:t>
      </w:r>
      <w:r w:rsidRPr="0006395F">
        <w:rPr>
          <w:rFonts w:eastAsia="TimesNewRoman"/>
        </w:rPr>
        <w:t xml:space="preserve">ą </w:t>
      </w:r>
      <w:r w:rsidRPr="0006395F">
        <w:t>wierceniaperforacyjnego nale</w:t>
      </w:r>
      <w:r>
        <w:t>ż</w:t>
      </w:r>
      <w:r w:rsidRPr="0006395F">
        <w:t>y do Wykonawcy.</w:t>
      </w:r>
    </w:p>
    <w:p w:rsidR="00AB5A60" w:rsidRPr="0006395F" w:rsidRDefault="00AB5A60" w:rsidP="00AB5A60">
      <w:pPr>
        <w:autoSpaceDE w:val="0"/>
        <w:autoSpaceDN w:val="0"/>
        <w:adjustRightInd w:val="0"/>
        <w:jc w:val="both"/>
        <w:rPr>
          <w:rFonts w:eastAsia="TimesNewRoman"/>
        </w:rPr>
      </w:pPr>
      <w:r w:rsidRPr="0006395F">
        <w:t>5.1.</w:t>
      </w:r>
      <w:r w:rsidR="00AE0A20">
        <w:t>6</w:t>
      </w:r>
      <w:r w:rsidRPr="0006395F">
        <w:t xml:space="preserve"> Wykonanie, zabezpieczenie, utrzymanie oraz rozbiórka rusztowa</w:t>
      </w:r>
      <w:r w:rsidRPr="0006395F">
        <w:rPr>
          <w:rFonts w:eastAsia="TimesNewRoman"/>
        </w:rPr>
        <w:t>ń</w:t>
      </w:r>
      <w:r w:rsidRPr="0006395F">
        <w:t>, pomostów roboczych i innych urz</w:t>
      </w:r>
      <w:r w:rsidRPr="0006395F">
        <w:rPr>
          <w:rFonts w:eastAsia="TimesNewRoman"/>
        </w:rPr>
        <w:t>ą</w:t>
      </w:r>
      <w:r w:rsidRPr="0006395F">
        <w:t>dze</w:t>
      </w:r>
      <w:r w:rsidRPr="0006395F">
        <w:rPr>
          <w:rFonts w:eastAsia="TimesNewRoman"/>
        </w:rPr>
        <w:t>ń</w:t>
      </w:r>
    </w:p>
    <w:p w:rsidR="00AB5A60" w:rsidRDefault="00AB5A60" w:rsidP="00AB5A60">
      <w:pPr>
        <w:autoSpaceDE w:val="0"/>
        <w:autoSpaceDN w:val="0"/>
        <w:adjustRightInd w:val="0"/>
        <w:jc w:val="both"/>
      </w:pPr>
      <w:r w:rsidRPr="0006395F">
        <w:t>pomocniczych niezb</w:t>
      </w:r>
      <w:r w:rsidRPr="0006395F">
        <w:rPr>
          <w:rFonts w:eastAsia="TimesNewRoman"/>
        </w:rPr>
        <w:t>ę</w:t>
      </w:r>
      <w:r w:rsidRPr="0006395F">
        <w:t>dnych do prowadzenia robót, nale</w:t>
      </w:r>
      <w:r>
        <w:t>ż</w:t>
      </w:r>
      <w:r w:rsidRPr="0006395F">
        <w:t>y do Wykonawcy</w:t>
      </w:r>
      <w:r>
        <w:t>.</w:t>
      </w:r>
    </w:p>
    <w:p w:rsidR="00AB5A60" w:rsidRPr="00D42A8F" w:rsidRDefault="00AB5A60" w:rsidP="00AB5A60">
      <w:pPr>
        <w:autoSpaceDE w:val="0"/>
        <w:autoSpaceDN w:val="0"/>
        <w:adjustRightInd w:val="0"/>
        <w:jc w:val="both"/>
      </w:pPr>
      <w:r w:rsidRPr="00D42A8F">
        <w:t>5.2. Bezpiecze</w:t>
      </w:r>
      <w:r w:rsidRPr="00D42A8F">
        <w:rPr>
          <w:rFonts w:eastAsia="TimesNewRoman"/>
        </w:rPr>
        <w:t>ń</w:t>
      </w:r>
      <w:r w:rsidRPr="00D42A8F">
        <w:t xml:space="preserve">stwo robót i ochrona </w:t>
      </w:r>
      <w:r w:rsidRPr="00D42A8F">
        <w:rPr>
          <w:rFonts w:eastAsia="TimesNewRoman"/>
        </w:rPr>
        <w:t>ś</w:t>
      </w:r>
      <w:r w:rsidRPr="00D42A8F">
        <w:t>rodowiska.</w:t>
      </w:r>
    </w:p>
    <w:p w:rsidR="00AB5A60" w:rsidRDefault="00AB5A60" w:rsidP="00AB5A60">
      <w:pPr>
        <w:autoSpaceDE w:val="0"/>
        <w:autoSpaceDN w:val="0"/>
        <w:adjustRightInd w:val="0"/>
        <w:jc w:val="both"/>
      </w:pPr>
      <w:r w:rsidRPr="00D42A8F">
        <w:t>5.2.1 Zabezpieczenie robót prowadzonych w s</w:t>
      </w:r>
      <w:r w:rsidRPr="00D42A8F">
        <w:rPr>
          <w:rFonts w:eastAsia="TimesNewRoman"/>
        </w:rPr>
        <w:t>ą</w:t>
      </w:r>
      <w:r w:rsidRPr="00D42A8F">
        <w:t>siedztwie rzeki przed spadaniem pyłu należy do Wykonawcy. Nale</w:t>
      </w:r>
      <w:r>
        <w:t>ż</w:t>
      </w:r>
      <w:r w:rsidRPr="00D42A8F">
        <w:t>y stosowa</w:t>
      </w:r>
      <w:r w:rsidRPr="00D42A8F">
        <w:rPr>
          <w:rFonts w:eastAsia="TimesNewRoman"/>
        </w:rPr>
        <w:t xml:space="preserve">ć </w:t>
      </w:r>
      <w:r w:rsidRPr="00D42A8F">
        <w:t>nast</w:t>
      </w:r>
      <w:r w:rsidRPr="00D42A8F">
        <w:rPr>
          <w:rFonts w:eastAsia="TimesNewRoman"/>
        </w:rPr>
        <w:t>ę</w:t>
      </w:r>
      <w:r w:rsidRPr="00D42A8F">
        <w:t>puj</w:t>
      </w:r>
      <w:r w:rsidRPr="00D42A8F">
        <w:rPr>
          <w:rFonts w:eastAsia="TimesNewRoman"/>
        </w:rPr>
        <w:t>ą</w:t>
      </w:r>
      <w:r w:rsidRPr="00D42A8F">
        <w:t xml:space="preserve">ce </w:t>
      </w:r>
      <w:r w:rsidRPr="00D42A8F">
        <w:rPr>
          <w:rFonts w:eastAsia="TimesNewRoman"/>
        </w:rPr>
        <w:t>ś</w:t>
      </w:r>
      <w:r w:rsidRPr="00D42A8F">
        <w:t>rednice otworów: 1,2 d- przy osadzaniu na zapraw</w:t>
      </w:r>
      <w:r w:rsidRPr="00D42A8F">
        <w:rPr>
          <w:rFonts w:eastAsia="TimesNewRoman"/>
        </w:rPr>
        <w:t xml:space="preserve">ę </w:t>
      </w:r>
      <w:r w:rsidRPr="00D42A8F">
        <w:t xml:space="preserve">i 1,1d przy osadzaniu namateriał pochodzenia </w:t>
      </w:r>
      <w:r>
        <w:rPr>
          <w:rFonts w:eastAsia="TimesNewRoman"/>
        </w:rPr>
        <w:t>ż</w:t>
      </w:r>
      <w:r w:rsidRPr="00D42A8F">
        <w:t>ywicznego : d-</w:t>
      </w:r>
      <w:r w:rsidRPr="00D42A8F">
        <w:rPr>
          <w:rFonts w:eastAsia="TimesNewRoman"/>
        </w:rPr>
        <w:t>ś</w:t>
      </w:r>
      <w:r w:rsidRPr="00D42A8F">
        <w:t>rednica mocowanego pr</w:t>
      </w:r>
      <w:r w:rsidRPr="00D42A8F">
        <w:rPr>
          <w:rFonts w:eastAsia="TimesNewRoman"/>
        </w:rPr>
        <w:t>ę</w:t>
      </w:r>
      <w:r w:rsidRPr="00D42A8F">
        <w:t>ta.</w:t>
      </w:r>
    </w:p>
    <w:p w:rsidR="00AB5A60" w:rsidRPr="00D42A8F" w:rsidRDefault="00AB5A60" w:rsidP="00AB5A60">
      <w:pPr>
        <w:autoSpaceDE w:val="0"/>
        <w:autoSpaceDN w:val="0"/>
        <w:adjustRightInd w:val="0"/>
        <w:jc w:val="both"/>
        <w:rPr>
          <w:sz w:val="10"/>
          <w:szCs w:val="10"/>
        </w:rPr>
      </w:pPr>
    </w:p>
    <w:p w:rsidR="00AB5A60" w:rsidRPr="00D42A8F" w:rsidRDefault="00AB5A60" w:rsidP="00AB5A60">
      <w:pPr>
        <w:autoSpaceDE w:val="0"/>
        <w:autoSpaceDN w:val="0"/>
        <w:adjustRightInd w:val="0"/>
        <w:spacing w:line="360" w:lineRule="auto"/>
        <w:jc w:val="both"/>
        <w:rPr>
          <w:b/>
          <w:bCs/>
          <w:u w:val="single"/>
        </w:rPr>
      </w:pPr>
      <w:r w:rsidRPr="00D42A8F">
        <w:rPr>
          <w:b/>
          <w:bCs/>
          <w:u w:val="single"/>
        </w:rPr>
        <w:t>6. KONTROLA JAKO</w:t>
      </w:r>
      <w:r w:rsidRPr="00D42A8F">
        <w:rPr>
          <w:rFonts w:eastAsia="TimesNewRoman"/>
          <w:u w:val="single"/>
        </w:rPr>
        <w:t>Ś</w:t>
      </w:r>
      <w:r w:rsidRPr="00D42A8F">
        <w:rPr>
          <w:b/>
          <w:bCs/>
          <w:u w:val="single"/>
        </w:rPr>
        <w:t>CI ROBÓT</w:t>
      </w:r>
    </w:p>
    <w:p w:rsidR="00AB5A60" w:rsidRPr="00D42A8F" w:rsidRDefault="00E66DBC" w:rsidP="00AB5A60">
      <w:pPr>
        <w:autoSpaceDE w:val="0"/>
        <w:autoSpaceDN w:val="0"/>
        <w:adjustRightInd w:val="0"/>
        <w:jc w:val="both"/>
      </w:pPr>
      <w:r>
        <w:t>Jak w punkcie M.12.00</w:t>
      </w:r>
      <w:r w:rsidR="00AB5A60" w:rsidRPr="00D42A8F">
        <w:t>.00</w:t>
      </w:r>
      <w:r w:rsidR="00E32918">
        <w:t xml:space="preserve">. </w:t>
      </w:r>
      <w:r w:rsidR="00AB5A60" w:rsidRPr="00D42A8F">
        <w:t>Kontrola b</w:t>
      </w:r>
      <w:r w:rsidR="00AB5A60" w:rsidRPr="00D42A8F">
        <w:rPr>
          <w:rFonts w:eastAsia="TimesNewRoman"/>
        </w:rPr>
        <w:t>ę</w:t>
      </w:r>
      <w:r w:rsidR="00AB5A60" w:rsidRPr="00D42A8F">
        <w:t xml:space="preserve">dzie polegała na sprawdzeniu </w:t>
      </w:r>
      <w:r w:rsidR="00AB5A60" w:rsidRPr="00D42A8F">
        <w:rPr>
          <w:rFonts w:eastAsia="TimesNewRoman"/>
        </w:rPr>
        <w:t>ś</w:t>
      </w:r>
      <w:r w:rsidR="00AB5A60" w:rsidRPr="00D42A8F">
        <w:t>rednicy i gł</w:t>
      </w:r>
      <w:r w:rsidR="00AB5A60" w:rsidRPr="00D42A8F">
        <w:rPr>
          <w:rFonts w:eastAsia="TimesNewRoman"/>
        </w:rPr>
        <w:t>ę</w:t>
      </w:r>
      <w:r w:rsidR="00AB5A60" w:rsidRPr="00D42A8F">
        <w:t>boko</w:t>
      </w:r>
      <w:r w:rsidR="00AB5A60" w:rsidRPr="00D42A8F">
        <w:rPr>
          <w:rFonts w:eastAsia="TimesNewRoman"/>
        </w:rPr>
        <w:t>ś</w:t>
      </w:r>
      <w:r w:rsidR="00AB5A60" w:rsidRPr="00D42A8F">
        <w:t>ci otworów co do zgodno</w:t>
      </w:r>
      <w:r w:rsidR="00AB5A60" w:rsidRPr="00D42A8F">
        <w:rPr>
          <w:rFonts w:eastAsia="TimesNewRoman"/>
        </w:rPr>
        <w:t>ś</w:t>
      </w:r>
      <w:r w:rsidR="00AB5A60" w:rsidRPr="00D42A8F">
        <w:t>ci z dokumentacj</w:t>
      </w:r>
      <w:r w:rsidR="00AB5A60" w:rsidRPr="00D42A8F">
        <w:rPr>
          <w:rFonts w:eastAsia="TimesNewRoman"/>
        </w:rPr>
        <w:t>ą</w:t>
      </w:r>
      <w:r w:rsidR="00AB5A60" w:rsidRPr="00D42A8F">
        <w:t>projektow</w:t>
      </w:r>
      <w:r w:rsidR="00AB5A60" w:rsidRPr="00D42A8F">
        <w:rPr>
          <w:rFonts w:eastAsia="TimesNewRoman"/>
        </w:rPr>
        <w:t>ą</w:t>
      </w:r>
      <w:r w:rsidR="00AB5A60" w:rsidRPr="00D42A8F">
        <w:t>.</w:t>
      </w:r>
    </w:p>
    <w:p w:rsidR="00AB5A60" w:rsidRPr="00D42A8F" w:rsidRDefault="00AB5A60" w:rsidP="00AB5A60">
      <w:pPr>
        <w:autoSpaceDE w:val="0"/>
        <w:autoSpaceDN w:val="0"/>
        <w:adjustRightInd w:val="0"/>
        <w:jc w:val="both"/>
      </w:pPr>
      <w:r w:rsidRPr="00DB10B1">
        <w:rPr>
          <w:b/>
        </w:rPr>
        <w:t>6.1.</w:t>
      </w:r>
      <w:r w:rsidRPr="00D42A8F">
        <w:t xml:space="preserve"> Kontrol</w:t>
      </w:r>
      <w:r w:rsidRPr="00D42A8F">
        <w:rPr>
          <w:rFonts w:eastAsia="TimesNewRoman"/>
        </w:rPr>
        <w:t xml:space="preserve">ę </w:t>
      </w:r>
      <w:r w:rsidRPr="00D42A8F">
        <w:t>jako</w:t>
      </w:r>
      <w:r w:rsidRPr="00D42A8F">
        <w:rPr>
          <w:rFonts w:eastAsia="TimesNewRoman"/>
        </w:rPr>
        <w:t>ś</w:t>
      </w:r>
      <w:r w:rsidRPr="00D42A8F">
        <w:t>ci wykonania otworów technologicznych przeprowadza Wykonawca wg zasad okre</w:t>
      </w:r>
      <w:r w:rsidRPr="00D42A8F">
        <w:rPr>
          <w:rFonts w:eastAsia="TimesNewRoman"/>
        </w:rPr>
        <w:t>ś</w:t>
      </w:r>
      <w:r w:rsidRPr="00D42A8F">
        <w:t>lonychdla funkcji jak</w:t>
      </w:r>
      <w:r w:rsidRPr="00D42A8F">
        <w:rPr>
          <w:rFonts w:eastAsia="TimesNewRoman"/>
        </w:rPr>
        <w:t xml:space="preserve">ą </w:t>
      </w:r>
      <w:r w:rsidRPr="00D42A8F">
        <w:t>otwory te spełnia</w:t>
      </w:r>
      <w:r w:rsidRPr="00D42A8F">
        <w:rPr>
          <w:rFonts w:eastAsia="TimesNewRoman"/>
        </w:rPr>
        <w:t xml:space="preserve">ć </w:t>
      </w:r>
      <w:r w:rsidRPr="00D42A8F">
        <w:t>maj</w:t>
      </w:r>
      <w:r w:rsidRPr="00D42A8F">
        <w:rPr>
          <w:rFonts w:eastAsia="TimesNewRoman"/>
        </w:rPr>
        <w:t xml:space="preserve">ą </w:t>
      </w:r>
      <w:r w:rsidRPr="00D42A8F">
        <w:t>przy wykonywaniu robót zasadniczych.</w:t>
      </w:r>
    </w:p>
    <w:p w:rsidR="00AB5A60" w:rsidRPr="00DB10B1" w:rsidRDefault="00AB5A60" w:rsidP="00AB5A60">
      <w:pPr>
        <w:autoSpaceDE w:val="0"/>
        <w:autoSpaceDN w:val="0"/>
        <w:adjustRightInd w:val="0"/>
        <w:jc w:val="both"/>
        <w:rPr>
          <w:b/>
        </w:rPr>
      </w:pPr>
      <w:r w:rsidRPr="00DB10B1">
        <w:rPr>
          <w:b/>
        </w:rPr>
        <w:t>6.2. Kontrola jako</w:t>
      </w:r>
      <w:r w:rsidRPr="00DB10B1">
        <w:rPr>
          <w:rFonts w:eastAsia="TimesNewRoman"/>
          <w:b/>
        </w:rPr>
        <w:t>ś</w:t>
      </w:r>
      <w:r w:rsidRPr="00DB10B1">
        <w:rPr>
          <w:b/>
        </w:rPr>
        <w:t>ci wykonania otworu konstrukcyjnego obejmuje:</w:t>
      </w:r>
    </w:p>
    <w:p w:rsidR="00AB5A60" w:rsidRPr="00D42A8F" w:rsidRDefault="00AB5A60" w:rsidP="00AB5A60">
      <w:pPr>
        <w:autoSpaceDE w:val="0"/>
        <w:autoSpaceDN w:val="0"/>
        <w:adjustRightInd w:val="0"/>
        <w:jc w:val="both"/>
      </w:pPr>
      <w:r w:rsidRPr="00D42A8F">
        <w:t>a) porównanie usytuowania osi otworu w elemencie konstrukcji z projektem technicznym, odchyłka wymiaruliniowego nie powinna przekracza</w:t>
      </w:r>
      <w:r w:rsidRPr="00D42A8F">
        <w:rPr>
          <w:rFonts w:eastAsia="TimesNewRoman"/>
        </w:rPr>
        <w:t xml:space="preserve">ć </w:t>
      </w:r>
      <w:r w:rsidRPr="00D42A8F">
        <w:t xml:space="preserve">± </w:t>
      </w:r>
      <w:smartTag w:uri="urn:schemas-microsoft-com:office:smarttags" w:element="metricconverter">
        <w:smartTagPr>
          <w:attr w:name="ProductID" w:val="5 mm"/>
        </w:smartTagPr>
        <w:r w:rsidRPr="00D42A8F">
          <w:t>5 mm</w:t>
        </w:r>
      </w:smartTag>
      <w:r>
        <w:t>,</w:t>
      </w:r>
    </w:p>
    <w:p w:rsidR="00AB5A60" w:rsidRPr="00D42A8F" w:rsidRDefault="00AB5A60" w:rsidP="00AB5A60">
      <w:pPr>
        <w:autoSpaceDE w:val="0"/>
        <w:autoSpaceDN w:val="0"/>
        <w:adjustRightInd w:val="0"/>
        <w:jc w:val="both"/>
      </w:pPr>
      <w:r w:rsidRPr="00D42A8F">
        <w:t xml:space="preserve">b) sprawdzenie z projektem technicznym wymiarów otworu: dopuszczalna odchyłka ± </w:t>
      </w:r>
      <w:smartTag w:uri="urn:schemas-microsoft-com:office:smarttags" w:element="metricconverter">
        <w:smartTagPr>
          <w:attr w:name="ProductID" w:val="10 mm"/>
        </w:smartTagPr>
        <w:r w:rsidRPr="00D42A8F">
          <w:t>10 mm</w:t>
        </w:r>
      </w:smartTag>
      <w:r>
        <w:t>,</w:t>
      </w:r>
    </w:p>
    <w:p w:rsidR="00AB5A60" w:rsidRPr="00D42A8F" w:rsidRDefault="00AB5A60" w:rsidP="00AB5A60">
      <w:pPr>
        <w:autoSpaceDE w:val="0"/>
        <w:autoSpaceDN w:val="0"/>
        <w:adjustRightInd w:val="0"/>
        <w:jc w:val="both"/>
      </w:pPr>
      <w:r w:rsidRPr="00D42A8F">
        <w:t>c) sprawdzenie gł</w:t>
      </w:r>
      <w:r w:rsidRPr="00D42A8F">
        <w:rPr>
          <w:rFonts w:eastAsia="TimesNewRoman"/>
        </w:rPr>
        <w:t>ę</w:t>
      </w:r>
      <w:r w:rsidRPr="00D42A8F">
        <w:t>boko</w:t>
      </w:r>
      <w:r w:rsidRPr="00D42A8F">
        <w:rPr>
          <w:rFonts w:eastAsia="TimesNewRoman"/>
        </w:rPr>
        <w:t>ś</w:t>
      </w:r>
      <w:r w:rsidRPr="00D42A8F">
        <w:t>ci otworu nieprzelotowego i porównanie jej z wielko</w:t>
      </w:r>
      <w:r w:rsidRPr="00D42A8F">
        <w:rPr>
          <w:rFonts w:eastAsia="TimesNewRoman"/>
        </w:rPr>
        <w:t>ś</w:t>
      </w:r>
      <w:r w:rsidRPr="00D42A8F">
        <w:t>ci</w:t>
      </w:r>
      <w:r w:rsidRPr="00D42A8F">
        <w:rPr>
          <w:rFonts w:eastAsia="TimesNewRoman"/>
        </w:rPr>
        <w:t xml:space="preserve">ą </w:t>
      </w:r>
      <w:r w:rsidRPr="00D42A8F">
        <w:t>projektowan</w:t>
      </w:r>
      <w:r w:rsidRPr="00D42A8F">
        <w:rPr>
          <w:rFonts w:eastAsia="TimesNewRoman"/>
        </w:rPr>
        <w:t>ą</w:t>
      </w:r>
      <w:r w:rsidRPr="00D42A8F">
        <w:t xml:space="preserve">; dopuszczalnaodchyłka ± </w:t>
      </w:r>
      <w:smartTag w:uri="urn:schemas-microsoft-com:office:smarttags" w:element="metricconverter">
        <w:smartTagPr>
          <w:attr w:name="ProductID" w:val="5 mm"/>
        </w:smartTagPr>
        <w:r w:rsidRPr="00D42A8F">
          <w:t>5 mm</w:t>
        </w:r>
      </w:smartTag>
      <w:r>
        <w:t>,</w:t>
      </w:r>
    </w:p>
    <w:p w:rsidR="00AB5A60" w:rsidRPr="00D42A8F" w:rsidRDefault="00AB5A60" w:rsidP="00AB5A60">
      <w:pPr>
        <w:autoSpaceDE w:val="0"/>
        <w:autoSpaceDN w:val="0"/>
        <w:adjustRightInd w:val="0"/>
        <w:jc w:val="both"/>
      </w:pPr>
      <w:r w:rsidRPr="00D42A8F">
        <w:t xml:space="preserve">d) sprawdzenie </w:t>
      </w:r>
      <w:r w:rsidRPr="00D42A8F">
        <w:rPr>
          <w:rFonts w:eastAsia="TimesNewRoman"/>
        </w:rPr>
        <w:t>ś</w:t>
      </w:r>
      <w:r w:rsidRPr="00D42A8F">
        <w:t>rednicy wiertła u</w:t>
      </w:r>
      <w:r>
        <w:t>ż</w:t>
      </w:r>
      <w:r w:rsidRPr="00D42A8F">
        <w:t>ytego przez Wykonawc</w:t>
      </w:r>
      <w:r w:rsidRPr="00D42A8F">
        <w:rPr>
          <w:rFonts w:eastAsia="TimesNewRoman"/>
        </w:rPr>
        <w:t xml:space="preserve">ę </w:t>
      </w:r>
      <w:r w:rsidRPr="00D42A8F">
        <w:t>do wykonania otworu cylindrycznego zprojektowan</w:t>
      </w:r>
      <w:r w:rsidRPr="00D42A8F">
        <w:rPr>
          <w:rFonts w:eastAsia="TimesNewRoman"/>
        </w:rPr>
        <w:t>ą ś</w:t>
      </w:r>
      <w:r w:rsidRPr="00D42A8F">
        <w:t>rednic</w:t>
      </w:r>
      <w:r w:rsidRPr="00D42A8F">
        <w:rPr>
          <w:rFonts w:eastAsia="TimesNewRoman"/>
        </w:rPr>
        <w:t xml:space="preserve">ą </w:t>
      </w:r>
      <w:r>
        <w:t>otworu,</w:t>
      </w:r>
    </w:p>
    <w:p w:rsidR="00AB5A60" w:rsidRPr="00D42A8F" w:rsidRDefault="00AB5A60" w:rsidP="00AB5A60">
      <w:pPr>
        <w:autoSpaceDE w:val="0"/>
        <w:autoSpaceDN w:val="0"/>
        <w:adjustRightInd w:val="0"/>
        <w:jc w:val="both"/>
      </w:pPr>
      <w:r w:rsidRPr="00D42A8F">
        <w:t>e) sprawdzenie k</w:t>
      </w:r>
      <w:r w:rsidRPr="00D42A8F">
        <w:rPr>
          <w:rFonts w:eastAsia="TimesNewRoman"/>
        </w:rPr>
        <w:t>ą</w:t>
      </w:r>
      <w:r w:rsidRPr="00D42A8F">
        <w:t>ta nachylenia osi otworu do powierzchni elementu w przypadku wykonania otworu</w:t>
      </w:r>
    </w:p>
    <w:p w:rsidR="00AB5A60" w:rsidRDefault="00AB5A60" w:rsidP="00AB5A60">
      <w:pPr>
        <w:autoSpaceDE w:val="0"/>
        <w:autoSpaceDN w:val="0"/>
        <w:adjustRightInd w:val="0"/>
        <w:jc w:val="both"/>
      </w:pPr>
      <w:r w:rsidRPr="00D42A8F">
        <w:t>uko</w:t>
      </w:r>
      <w:r w:rsidRPr="00D42A8F">
        <w:rPr>
          <w:rFonts w:eastAsia="TimesNewRoman"/>
        </w:rPr>
        <w:t>ś</w:t>
      </w:r>
      <w:r w:rsidRPr="00D42A8F">
        <w:t xml:space="preserve">nego; dopuszczalna odchyłka ± </w:t>
      </w:r>
      <w:smartTag w:uri="urn:schemas-microsoft-com:office:smarttags" w:element="metricconverter">
        <w:smartTagPr>
          <w:attr w:name="ProductID" w:val="5 mm"/>
        </w:smartTagPr>
        <w:r w:rsidRPr="00D42A8F">
          <w:t>5 mm</w:t>
        </w:r>
      </w:smartTag>
    </w:p>
    <w:p w:rsidR="00AB5A60" w:rsidRPr="00D42A8F" w:rsidRDefault="00AB5A60" w:rsidP="00AB5A60">
      <w:pPr>
        <w:autoSpaceDE w:val="0"/>
        <w:autoSpaceDN w:val="0"/>
        <w:adjustRightInd w:val="0"/>
        <w:jc w:val="both"/>
        <w:rPr>
          <w:sz w:val="10"/>
          <w:szCs w:val="10"/>
        </w:rPr>
      </w:pPr>
    </w:p>
    <w:p w:rsidR="00AB5A60" w:rsidRPr="00D42A8F" w:rsidRDefault="00AB5A60" w:rsidP="00AB5A60">
      <w:pPr>
        <w:autoSpaceDE w:val="0"/>
        <w:autoSpaceDN w:val="0"/>
        <w:adjustRightInd w:val="0"/>
        <w:spacing w:line="360" w:lineRule="auto"/>
        <w:jc w:val="both"/>
        <w:rPr>
          <w:b/>
          <w:bCs/>
          <w:u w:val="single"/>
        </w:rPr>
      </w:pPr>
      <w:r w:rsidRPr="00D42A8F">
        <w:rPr>
          <w:b/>
          <w:bCs/>
          <w:u w:val="single"/>
        </w:rPr>
        <w:t>7. OBMIAR</w:t>
      </w:r>
    </w:p>
    <w:p w:rsidR="00AB5A60" w:rsidRPr="00D42A8F" w:rsidRDefault="00AB5A60" w:rsidP="00AB5A60">
      <w:pPr>
        <w:autoSpaceDE w:val="0"/>
        <w:autoSpaceDN w:val="0"/>
        <w:adjustRightInd w:val="0"/>
        <w:jc w:val="both"/>
      </w:pPr>
      <w:r w:rsidRPr="00D42A8F">
        <w:t>Jednostk</w:t>
      </w:r>
      <w:r w:rsidRPr="00D42A8F">
        <w:rPr>
          <w:rFonts w:eastAsia="TimesNewRoman"/>
        </w:rPr>
        <w:t xml:space="preserve">ą </w:t>
      </w:r>
      <w:r w:rsidRPr="00D42A8F">
        <w:t>obmiaru jest 1 szt. osadzonej na klej kotwy w wywierconym otworze. Nie uwzgl</w:t>
      </w:r>
      <w:r w:rsidRPr="00D42A8F">
        <w:rPr>
          <w:rFonts w:eastAsia="TimesNewRoman"/>
        </w:rPr>
        <w:t>ę</w:t>
      </w:r>
      <w:r w:rsidRPr="00D42A8F">
        <w:t>dnia si</w:t>
      </w:r>
      <w:r w:rsidRPr="00D42A8F">
        <w:rPr>
          <w:rFonts w:eastAsia="TimesNewRoman"/>
        </w:rPr>
        <w:t xml:space="preserve">ę </w:t>
      </w:r>
      <w:r w:rsidRPr="00D42A8F">
        <w:t>zwi</w:t>
      </w:r>
      <w:r w:rsidRPr="00D42A8F">
        <w:rPr>
          <w:rFonts w:eastAsia="TimesNewRoman"/>
        </w:rPr>
        <w:t>ę</w:t>
      </w:r>
      <w:r w:rsidRPr="00D42A8F">
        <w:t>kszonejilo</w:t>
      </w:r>
      <w:r w:rsidRPr="00D42A8F">
        <w:rPr>
          <w:rFonts w:eastAsia="TimesNewRoman"/>
        </w:rPr>
        <w:t>ś</w:t>
      </w:r>
      <w:r w:rsidRPr="00D42A8F">
        <w:t>ci materiału w wyniku stosowania przez Wykonawc</w:t>
      </w:r>
      <w:r w:rsidRPr="00D42A8F">
        <w:rPr>
          <w:rFonts w:eastAsia="TimesNewRoman"/>
        </w:rPr>
        <w:t xml:space="preserve">ę </w:t>
      </w:r>
      <w:r w:rsidRPr="00D42A8F">
        <w:t>pr</w:t>
      </w:r>
      <w:r w:rsidRPr="00D42A8F">
        <w:rPr>
          <w:rFonts w:eastAsia="TimesNewRoman"/>
        </w:rPr>
        <w:t>ę</w:t>
      </w:r>
      <w:r w:rsidRPr="00D42A8F">
        <w:t xml:space="preserve">tów o </w:t>
      </w:r>
      <w:r w:rsidRPr="00D42A8F">
        <w:rPr>
          <w:rFonts w:eastAsia="TimesNewRoman"/>
        </w:rPr>
        <w:t>ś</w:t>
      </w:r>
      <w:r w:rsidRPr="00D42A8F">
        <w:t>rednicach wi</w:t>
      </w:r>
      <w:r w:rsidRPr="00D42A8F">
        <w:rPr>
          <w:rFonts w:eastAsia="TimesNewRoman"/>
        </w:rPr>
        <w:t>ę</w:t>
      </w:r>
      <w:r w:rsidRPr="00D42A8F">
        <w:t>kszych od wymaganych wprojekcie.</w:t>
      </w:r>
    </w:p>
    <w:p w:rsidR="00AB5A60" w:rsidRPr="00D42A8F" w:rsidRDefault="00AB5A60" w:rsidP="00AB5A60">
      <w:pPr>
        <w:autoSpaceDE w:val="0"/>
        <w:autoSpaceDN w:val="0"/>
        <w:adjustRightInd w:val="0"/>
        <w:jc w:val="both"/>
      </w:pPr>
      <w:r w:rsidRPr="00DB10B1">
        <w:rPr>
          <w:b/>
        </w:rPr>
        <w:t>7.1</w:t>
      </w:r>
      <w:r w:rsidRPr="00D42A8F">
        <w:t xml:space="preserve"> Obmiar wykonanych prac obejmuje:</w:t>
      </w:r>
    </w:p>
    <w:p w:rsidR="00AB5A60" w:rsidRPr="00D42A8F" w:rsidRDefault="00AB5A60" w:rsidP="00AB5A60">
      <w:pPr>
        <w:autoSpaceDE w:val="0"/>
        <w:autoSpaceDN w:val="0"/>
        <w:adjustRightInd w:val="0"/>
        <w:jc w:val="both"/>
      </w:pPr>
      <w:r w:rsidRPr="00D42A8F">
        <w:t>a) ogóln</w:t>
      </w:r>
      <w:r w:rsidRPr="00D42A8F">
        <w:rPr>
          <w:rFonts w:eastAsia="TimesNewRoman"/>
        </w:rPr>
        <w:t xml:space="preserve">ą </w:t>
      </w:r>
      <w:r w:rsidRPr="00D42A8F">
        <w:t>ilo</w:t>
      </w:r>
      <w:r w:rsidRPr="00D42A8F">
        <w:rPr>
          <w:rFonts w:eastAsia="TimesNewRoman"/>
        </w:rPr>
        <w:t xml:space="preserve">ść </w:t>
      </w:r>
      <w:r w:rsidRPr="00D42A8F">
        <w:t>otworów o okre</w:t>
      </w:r>
      <w:r w:rsidRPr="00D42A8F">
        <w:rPr>
          <w:rFonts w:eastAsia="TimesNewRoman"/>
        </w:rPr>
        <w:t>ś</w:t>
      </w:r>
      <w:r w:rsidRPr="00D42A8F">
        <w:t xml:space="preserve">lonej </w:t>
      </w:r>
      <w:r w:rsidRPr="00D42A8F">
        <w:rPr>
          <w:rFonts w:eastAsia="TimesNewRoman"/>
        </w:rPr>
        <w:t>ś</w:t>
      </w:r>
      <w:r w:rsidRPr="00D42A8F">
        <w:t>rednicy i długo</w:t>
      </w:r>
      <w:r w:rsidRPr="00D42A8F">
        <w:rPr>
          <w:rFonts w:eastAsia="TimesNewRoman"/>
        </w:rPr>
        <w:t>ś</w:t>
      </w:r>
      <w:r w:rsidRPr="00D42A8F">
        <w:t>ci w sztukach</w:t>
      </w:r>
    </w:p>
    <w:p w:rsidR="00AB5A60" w:rsidRPr="00D42A8F" w:rsidRDefault="00AB5A60" w:rsidP="00AB5A60">
      <w:pPr>
        <w:autoSpaceDE w:val="0"/>
        <w:autoSpaceDN w:val="0"/>
        <w:adjustRightInd w:val="0"/>
        <w:jc w:val="both"/>
      </w:pPr>
      <w:r w:rsidRPr="00DB10B1">
        <w:rPr>
          <w:b/>
        </w:rPr>
        <w:t>7.2</w:t>
      </w:r>
      <w:r w:rsidRPr="00D42A8F">
        <w:t xml:space="preserve"> Jako </w:t>
      </w:r>
      <w:r w:rsidRPr="00D42A8F">
        <w:rPr>
          <w:rFonts w:eastAsia="TimesNewRoman"/>
        </w:rPr>
        <w:t>ś</w:t>
      </w:r>
      <w:r w:rsidRPr="00D42A8F">
        <w:t>rednic</w:t>
      </w:r>
      <w:r w:rsidRPr="00D42A8F">
        <w:rPr>
          <w:rFonts w:eastAsia="TimesNewRoman"/>
        </w:rPr>
        <w:t xml:space="preserve">ę </w:t>
      </w:r>
      <w:r w:rsidRPr="00D42A8F">
        <w:t>otworu przyjmowa</w:t>
      </w:r>
      <w:r w:rsidRPr="00D42A8F">
        <w:rPr>
          <w:rFonts w:eastAsia="TimesNewRoman"/>
        </w:rPr>
        <w:t xml:space="preserve">ć </w:t>
      </w:r>
      <w:r w:rsidRPr="00D42A8F">
        <w:t>nale</w:t>
      </w:r>
      <w:r>
        <w:rPr>
          <w:rFonts w:eastAsia="TimesNewRoman"/>
        </w:rPr>
        <w:t>ż</w:t>
      </w:r>
      <w:r w:rsidRPr="00D42A8F">
        <w:t xml:space="preserve">y </w:t>
      </w:r>
      <w:r w:rsidRPr="00D42A8F">
        <w:rPr>
          <w:rFonts w:eastAsia="TimesNewRoman"/>
        </w:rPr>
        <w:t>ś</w:t>
      </w:r>
      <w:r w:rsidRPr="00D42A8F">
        <w:t>rednic</w:t>
      </w:r>
      <w:r w:rsidRPr="00D42A8F">
        <w:rPr>
          <w:rFonts w:eastAsia="TimesNewRoman"/>
        </w:rPr>
        <w:t xml:space="preserve">ę </w:t>
      </w:r>
      <w:r w:rsidRPr="00D42A8F">
        <w:t>nominaln</w:t>
      </w:r>
      <w:r w:rsidRPr="00D42A8F">
        <w:rPr>
          <w:rFonts w:eastAsia="TimesNewRoman"/>
        </w:rPr>
        <w:t xml:space="preserve">ą </w:t>
      </w:r>
      <w:r w:rsidRPr="00D42A8F">
        <w:t>wiertła, którym otwór ten został wykonany.</w:t>
      </w:r>
    </w:p>
    <w:p w:rsidR="00AB5A60" w:rsidRPr="00D42A8F" w:rsidRDefault="00AB5A60" w:rsidP="00AB5A60">
      <w:pPr>
        <w:autoSpaceDE w:val="0"/>
        <w:autoSpaceDN w:val="0"/>
        <w:adjustRightInd w:val="0"/>
        <w:jc w:val="both"/>
      </w:pPr>
      <w:r w:rsidRPr="00DB10B1">
        <w:rPr>
          <w:b/>
        </w:rPr>
        <w:t>7.3</w:t>
      </w:r>
      <w:r w:rsidRPr="00D42A8F">
        <w:t xml:space="preserve"> Długo</w:t>
      </w:r>
      <w:r w:rsidRPr="00D42A8F">
        <w:rPr>
          <w:rFonts w:eastAsia="TimesNewRoman"/>
        </w:rPr>
        <w:t xml:space="preserve">ść </w:t>
      </w:r>
      <w:r w:rsidRPr="00D42A8F">
        <w:t>przelotowego otworu uko</w:t>
      </w:r>
      <w:r w:rsidRPr="00D42A8F">
        <w:rPr>
          <w:rFonts w:eastAsia="TimesNewRoman"/>
        </w:rPr>
        <w:t>ś</w:t>
      </w:r>
      <w:r w:rsidRPr="00D42A8F">
        <w:t>nego wyznaczy</w:t>
      </w:r>
      <w:r w:rsidRPr="00D42A8F">
        <w:rPr>
          <w:rFonts w:eastAsia="TimesNewRoman"/>
        </w:rPr>
        <w:t xml:space="preserve">ć </w:t>
      </w:r>
      <w:r w:rsidRPr="00D42A8F">
        <w:t>wg wzoru:</w:t>
      </w:r>
    </w:p>
    <w:p w:rsidR="00AB5A60" w:rsidRPr="00D42A8F" w:rsidRDefault="00AB5A60" w:rsidP="00AB5A60">
      <w:pPr>
        <w:autoSpaceDE w:val="0"/>
        <w:autoSpaceDN w:val="0"/>
        <w:adjustRightInd w:val="0"/>
        <w:jc w:val="both"/>
      </w:pPr>
      <w:r w:rsidRPr="00D42A8F">
        <w:t>L = H x sin -1 [ m ], gdzie:</w:t>
      </w:r>
    </w:p>
    <w:p w:rsidR="00AB5A60" w:rsidRPr="00D42A8F" w:rsidRDefault="00AB5A60" w:rsidP="00AB5A60">
      <w:pPr>
        <w:autoSpaceDE w:val="0"/>
        <w:autoSpaceDN w:val="0"/>
        <w:adjustRightInd w:val="0"/>
        <w:jc w:val="both"/>
      </w:pPr>
      <w:r w:rsidRPr="00D42A8F">
        <w:t>L = długo</w:t>
      </w:r>
      <w:r w:rsidRPr="00D42A8F">
        <w:rPr>
          <w:rFonts w:eastAsia="TimesNewRoman"/>
        </w:rPr>
        <w:t xml:space="preserve">ść </w:t>
      </w:r>
      <w:r w:rsidRPr="00D42A8F">
        <w:t>otworu uko</w:t>
      </w:r>
      <w:r w:rsidRPr="00D42A8F">
        <w:rPr>
          <w:rFonts w:eastAsia="TimesNewRoman"/>
        </w:rPr>
        <w:t>ś</w:t>
      </w:r>
      <w:r w:rsidRPr="00D42A8F">
        <w:t>nego w [ m ]</w:t>
      </w:r>
    </w:p>
    <w:p w:rsidR="00AB5A60" w:rsidRPr="00D42A8F" w:rsidRDefault="00AB5A60" w:rsidP="00AB5A60">
      <w:pPr>
        <w:autoSpaceDE w:val="0"/>
        <w:autoSpaceDN w:val="0"/>
        <w:adjustRightInd w:val="0"/>
        <w:jc w:val="both"/>
      </w:pPr>
      <w:r w:rsidRPr="00D42A8F">
        <w:t>H - grubo</w:t>
      </w:r>
      <w:r w:rsidRPr="00D42A8F">
        <w:rPr>
          <w:rFonts w:eastAsia="TimesNewRoman"/>
        </w:rPr>
        <w:t xml:space="preserve">ść </w:t>
      </w:r>
      <w:r w:rsidRPr="00D42A8F">
        <w:t>przewierconego elementu w [ m ]</w:t>
      </w:r>
    </w:p>
    <w:p w:rsidR="00AB5A60" w:rsidRPr="00D42A8F" w:rsidRDefault="00AB5A60" w:rsidP="00AB5A60">
      <w:pPr>
        <w:autoSpaceDE w:val="0"/>
        <w:autoSpaceDN w:val="0"/>
        <w:adjustRightInd w:val="0"/>
        <w:jc w:val="both"/>
      </w:pPr>
      <w:r w:rsidRPr="00D42A8F">
        <w:t>a) k</w:t>
      </w:r>
      <w:r w:rsidRPr="00D42A8F">
        <w:rPr>
          <w:rFonts w:eastAsia="TimesNewRoman"/>
        </w:rPr>
        <w:t>ą</w:t>
      </w:r>
      <w:r w:rsidRPr="00D42A8F">
        <w:t>t nachylenia osi otworu do powierzchni elementu</w:t>
      </w:r>
    </w:p>
    <w:p w:rsidR="00AB5A60" w:rsidRPr="00412965" w:rsidRDefault="00AB5A60" w:rsidP="00AB5A60">
      <w:pPr>
        <w:autoSpaceDE w:val="0"/>
        <w:autoSpaceDN w:val="0"/>
        <w:adjustRightInd w:val="0"/>
        <w:jc w:val="both"/>
      </w:pPr>
      <w:r w:rsidRPr="00DB10B1">
        <w:rPr>
          <w:b/>
        </w:rPr>
        <w:t>7.4.</w:t>
      </w:r>
      <w:r w:rsidRPr="00D42A8F">
        <w:t xml:space="preserve"> Pomiar liniowych wymiarów otworu nale</w:t>
      </w:r>
      <w:r w:rsidRPr="00D42A8F">
        <w:rPr>
          <w:rFonts w:eastAsia="TimesNewRoman"/>
        </w:rPr>
        <w:t>Ŝ</w:t>
      </w:r>
      <w:r w:rsidRPr="00D42A8F">
        <w:t>y przeprowadza</w:t>
      </w:r>
      <w:r w:rsidRPr="00D42A8F">
        <w:rPr>
          <w:rFonts w:eastAsia="TimesNewRoman"/>
        </w:rPr>
        <w:t xml:space="preserve">ć </w:t>
      </w:r>
      <w:r w:rsidRPr="00D42A8F">
        <w:t>z dokładno</w:t>
      </w:r>
      <w:r w:rsidRPr="00D42A8F">
        <w:rPr>
          <w:rFonts w:eastAsia="TimesNewRoman"/>
        </w:rPr>
        <w:t>ś</w:t>
      </w:r>
      <w:r w:rsidRPr="00D42A8F">
        <w:t>ci</w:t>
      </w:r>
      <w:r w:rsidRPr="00D42A8F">
        <w:rPr>
          <w:rFonts w:eastAsia="TimesNewRoman"/>
        </w:rPr>
        <w:t xml:space="preserve">ą </w:t>
      </w:r>
      <w:r w:rsidRPr="00D42A8F">
        <w:t xml:space="preserve">do </w:t>
      </w:r>
      <w:smartTag w:uri="urn:schemas-microsoft-com:office:smarttags" w:element="metricconverter">
        <w:smartTagPr>
          <w:attr w:name="ProductID" w:val="1 cm"/>
        </w:smartTagPr>
        <w:r w:rsidRPr="00D42A8F">
          <w:t>1 cm</w:t>
        </w:r>
      </w:smartTag>
    </w:p>
    <w:p w:rsidR="00AB5A60" w:rsidRPr="00D42A8F" w:rsidRDefault="00AB5A60" w:rsidP="00AB5A60">
      <w:pPr>
        <w:autoSpaceDE w:val="0"/>
        <w:autoSpaceDN w:val="0"/>
        <w:adjustRightInd w:val="0"/>
        <w:spacing w:line="360" w:lineRule="auto"/>
        <w:jc w:val="both"/>
        <w:rPr>
          <w:b/>
          <w:bCs/>
          <w:u w:val="single"/>
        </w:rPr>
      </w:pPr>
      <w:r w:rsidRPr="00D42A8F">
        <w:rPr>
          <w:b/>
          <w:bCs/>
          <w:u w:val="single"/>
        </w:rPr>
        <w:t>8. ODBIÓR ROBÓT</w:t>
      </w:r>
    </w:p>
    <w:p w:rsidR="00AB5A60" w:rsidRPr="00D42A8F" w:rsidRDefault="00AB5A60" w:rsidP="00AB5A60">
      <w:pPr>
        <w:autoSpaceDE w:val="0"/>
        <w:autoSpaceDN w:val="0"/>
        <w:adjustRightInd w:val="0"/>
        <w:jc w:val="both"/>
      </w:pPr>
      <w:r w:rsidRPr="00D42A8F">
        <w:t>Badania wg 6 nale</w:t>
      </w:r>
      <w:r>
        <w:rPr>
          <w:rFonts w:eastAsia="TimesNewRoman"/>
        </w:rPr>
        <w:t>ż</w:t>
      </w:r>
      <w:r w:rsidRPr="00D42A8F">
        <w:t>y przeprowadza</w:t>
      </w:r>
      <w:r w:rsidRPr="00D42A8F">
        <w:rPr>
          <w:rFonts w:eastAsia="TimesNewRoman"/>
        </w:rPr>
        <w:t xml:space="preserve">ć </w:t>
      </w:r>
      <w:r w:rsidRPr="00D42A8F">
        <w:t>w czasie odbiorów robót. Na podstawie wyników bada</w:t>
      </w:r>
      <w:r w:rsidRPr="00D42A8F">
        <w:rPr>
          <w:rFonts w:eastAsia="TimesNewRoman"/>
        </w:rPr>
        <w:t xml:space="preserve">ń </w:t>
      </w:r>
      <w:r w:rsidRPr="00D42A8F">
        <w:t>nale</w:t>
      </w:r>
      <w:r>
        <w:t>ż</w:t>
      </w:r>
      <w:r w:rsidRPr="00D42A8F">
        <w:t>y sporz</w:t>
      </w:r>
      <w:r w:rsidRPr="00D42A8F">
        <w:rPr>
          <w:rFonts w:eastAsia="TimesNewRoman"/>
        </w:rPr>
        <w:t>ą</w:t>
      </w:r>
      <w:r w:rsidRPr="00D42A8F">
        <w:t>dzi</w:t>
      </w:r>
      <w:r w:rsidRPr="00D42A8F">
        <w:rPr>
          <w:rFonts w:eastAsia="TimesNewRoman"/>
        </w:rPr>
        <w:t>ć</w:t>
      </w:r>
      <w:r w:rsidRPr="00D42A8F">
        <w:t>protokóły odbioru robót.</w:t>
      </w:r>
    </w:p>
    <w:p w:rsidR="00AB5A60" w:rsidRPr="00D42A8F" w:rsidRDefault="00AB5A60" w:rsidP="00AB5A60">
      <w:pPr>
        <w:autoSpaceDE w:val="0"/>
        <w:autoSpaceDN w:val="0"/>
        <w:adjustRightInd w:val="0"/>
        <w:jc w:val="both"/>
      </w:pPr>
      <w:r w:rsidRPr="00D42A8F">
        <w:t>Je</w:t>
      </w:r>
      <w:r>
        <w:rPr>
          <w:rFonts w:eastAsia="TimesNewRoman"/>
        </w:rPr>
        <w:t>ż</w:t>
      </w:r>
      <w:r w:rsidRPr="00D42A8F">
        <w:t>eli wszystkie badania dały wyniki dodatnie, wykonane roboty nale</w:t>
      </w:r>
      <w:r>
        <w:rPr>
          <w:rFonts w:eastAsia="TimesNewRoman"/>
        </w:rPr>
        <w:t>ż</w:t>
      </w:r>
      <w:r w:rsidRPr="00D42A8F">
        <w:t>y uzna</w:t>
      </w:r>
      <w:r w:rsidRPr="00D42A8F">
        <w:rPr>
          <w:rFonts w:eastAsia="TimesNewRoman"/>
        </w:rPr>
        <w:t xml:space="preserve">ć </w:t>
      </w:r>
      <w:r w:rsidRPr="00D42A8F">
        <w:t>za zgodne z wymaganiami . Je</w:t>
      </w:r>
      <w:r>
        <w:rPr>
          <w:rFonts w:eastAsia="TimesNewRoman"/>
        </w:rPr>
        <w:t>ż</w:t>
      </w:r>
      <w:r w:rsidRPr="00D42A8F">
        <w:t>eli</w:t>
      </w:r>
    </w:p>
    <w:p w:rsidR="00AB5A60" w:rsidRPr="00D42A8F" w:rsidRDefault="00AB5A60" w:rsidP="00AB5A60">
      <w:pPr>
        <w:autoSpaceDE w:val="0"/>
        <w:autoSpaceDN w:val="0"/>
        <w:adjustRightInd w:val="0"/>
        <w:jc w:val="both"/>
      </w:pPr>
      <w:r w:rsidRPr="00D42A8F">
        <w:t>cho</w:t>
      </w:r>
      <w:r w:rsidRPr="00D42A8F">
        <w:rPr>
          <w:rFonts w:eastAsia="TimesNewRoman"/>
        </w:rPr>
        <w:t xml:space="preserve">ć </w:t>
      </w:r>
      <w:r w:rsidRPr="00D42A8F">
        <w:t>jedno badanie dało wynik ujemny, wykonane roboty nale</w:t>
      </w:r>
      <w:r>
        <w:rPr>
          <w:rFonts w:eastAsia="TimesNewRoman"/>
        </w:rPr>
        <w:t>ż</w:t>
      </w:r>
      <w:r w:rsidRPr="00D42A8F">
        <w:t>y uzna</w:t>
      </w:r>
      <w:r w:rsidRPr="00D42A8F">
        <w:rPr>
          <w:rFonts w:eastAsia="TimesNewRoman"/>
        </w:rPr>
        <w:t xml:space="preserve">ć </w:t>
      </w:r>
      <w:r w:rsidRPr="00D42A8F">
        <w:t>za niezgodne z wymaganiami i kontraktu.</w:t>
      </w:r>
    </w:p>
    <w:p w:rsidR="00AB5A60" w:rsidRPr="00D42A8F" w:rsidRDefault="00AB5A60" w:rsidP="00AB5A60">
      <w:pPr>
        <w:autoSpaceDE w:val="0"/>
        <w:autoSpaceDN w:val="0"/>
        <w:adjustRightInd w:val="0"/>
        <w:jc w:val="both"/>
      </w:pPr>
      <w:r w:rsidRPr="00D42A8F">
        <w:t>W takiej sytuacji Wykonawca obowi</w:t>
      </w:r>
      <w:r w:rsidRPr="00D42A8F">
        <w:rPr>
          <w:rFonts w:eastAsia="TimesNewRoman"/>
        </w:rPr>
        <w:t>ą</w:t>
      </w:r>
      <w:r w:rsidRPr="00D42A8F">
        <w:t>zany jest doprowadzi</w:t>
      </w:r>
      <w:r w:rsidRPr="00D42A8F">
        <w:rPr>
          <w:rFonts w:eastAsia="TimesNewRoman"/>
        </w:rPr>
        <w:t xml:space="preserve">ć </w:t>
      </w:r>
      <w:r w:rsidRPr="00D42A8F">
        <w:t>roboty do zgodno</w:t>
      </w:r>
      <w:r w:rsidRPr="00D42A8F">
        <w:rPr>
          <w:rFonts w:eastAsia="TimesNewRoman"/>
        </w:rPr>
        <w:t>ś</w:t>
      </w:r>
      <w:r w:rsidRPr="00D42A8F">
        <w:t>ci z wymaganiami i przedstawi</w:t>
      </w:r>
      <w:r w:rsidRPr="00D42A8F">
        <w:rPr>
          <w:rFonts w:eastAsia="TimesNewRoman"/>
        </w:rPr>
        <w:t>ć</w:t>
      </w:r>
      <w:r w:rsidRPr="00D42A8F">
        <w:t>je do ponownego odbioru.</w:t>
      </w:r>
    </w:p>
    <w:p w:rsidR="00AB5A60" w:rsidRPr="00D42A8F" w:rsidRDefault="00AB5A60" w:rsidP="00AB5A60">
      <w:pPr>
        <w:autoSpaceDE w:val="0"/>
        <w:autoSpaceDN w:val="0"/>
        <w:adjustRightInd w:val="0"/>
        <w:jc w:val="both"/>
      </w:pPr>
      <w:r w:rsidRPr="00DB10B1">
        <w:rPr>
          <w:b/>
        </w:rPr>
        <w:t>8.1</w:t>
      </w:r>
      <w:r w:rsidRPr="00D42A8F">
        <w:t xml:space="preserve"> Odbiorowi podlegaj</w:t>
      </w:r>
      <w:r w:rsidRPr="00D42A8F">
        <w:rPr>
          <w:rFonts w:eastAsia="TimesNewRoman"/>
        </w:rPr>
        <w:t xml:space="preserve">ą </w:t>
      </w:r>
      <w:r w:rsidRPr="00D42A8F">
        <w:t>roboty obj</w:t>
      </w:r>
      <w:r w:rsidRPr="00D42A8F">
        <w:rPr>
          <w:rFonts w:eastAsia="TimesNewRoman"/>
        </w:rPr>
        <w:t>ę</w:t>
      </w:r>
      <w:r w:rsidRPr="00D42A8F">
        <w:t>te umow</w:t>
      </w:r>
      <w:r w:rsidRPr="00D42A8F">
        <w:rPr>
          <w:rFonts w:eastAsia="TimesNewRoman"/>
        </w:rPr>
        <w:t xml:space="preserve">ą </w:t>
      </w:r>
      <w:r w:rsidRPr="00D42A8F">
        <w:t>po ich całkowitym zako</w:t>
      </w:r>
      <w:r w:rsidRPr="00D42A8F">
        <w:rPr>
          <w:rFonts w:eastAsia="TimesNewRoman"/>
        </w:rPr>
        <w:t>ń</w:t>
      </w:r>
      <w:r w:rsidRPr="00D42A8F">
        <w:t>czeniu.</w:t>
      </w:r>
    </w:p>
    <w:p w:rsidR="00AB5A60" w:rsidRDefault="00AB5A60" w:rsidP="00AB5A60">
      <w:pPr>
        <w:autoSpaceDE w:val="0"/>
        <w:autoSpaceDN w:val="0"/>
        <w:adjustRightInd w:val="0"/>
        <w:jc w:val="both"/>
      </w:pPr>
      <w:r w:rsidRPr="00DB10B1">
        <w:rPr>
          <w:b/>
        </w:rPr>
        <w:t>8.2</w:t>
      </w:r>
      <w:r w:rsidRPr="00D42A8F">
        <w:t xml:space="preserve"> Podstaw</w:t>
      </w:r>
      <w:r w:rsidRPr="00D42A8F">
        <w:rPr>
          <w:rFonts w:eastAsia="TimesNewRoman"/>
        </w:rPr>
        <w:t xml:space="preserve">ą </w:t>
      </w:r>
      <w:r w:rsidRPr="00D42A8F">
        <w:t>odbioru jest pisemne stwierdzenie przez In</w:t>
      </w:r>
      <w:r>
        <w:rPr>
          <w:rFonts w:eastAsia="TimesNewRoman"/>
        </w:rPr>
        <w:t>ż</w:t>
      </w:r>
      <w:r w:rsidRPr="00D42A8F">
        <w:t>yniera w dzienniku budowy zako</w:t>
      </w:r>
      <w:r w:rsidRPr="00D42A8F">
        <w:rPr>
          <w:rFonts w:eastAsia="TimesNewRoman"/>
        </w:rPr>
        <w:t>ń</w:t>
      </w:r>
      <w:r w:rsidRPr="00D42A8F">
        <w:t>czenia wszystkichrobót zwi</w:t>
      </w:r>
      <w:r w:rsidRPr="00D42A8F">
        <w:rPr>
          <w:rFonts w:eastAsia="TimesNewRoman"/>
        </w:rPr>
        <w:t>ą</w:t>
      </w:r>
      <w:r w:rsidRPr="00D42A8F">
        <w:t>zanych z wierceniem otworu w betonie i osadzeniem na klej kotew stalowych oraz spełnieniawymaga</w:t>
      </w:r>
      <w:r w:rsidRPr="00D42A8F">
        <w:rPr>
          <w:rFonts w:eastAsia="TimesNewRoman"/>
        </w:rPr>
        <w:t xml:space="preserve">ń </w:t>
      </w:r>
      <w:r w:rsidRPr="00D42A8F">
        <w:t>okre</w:t>
      </w:r>
      <w:r w:rsidRPr="00D42A8F">
        <w:rPr>
          <w:rFonts w:eastAsia="TimesNewRoman"/>
        </w:rPr>
        <w:t>ś</w:t>
      </w:r>
      <w:r w:rsidRPr="00D42A8F">
        <w:t>lonych w projekcie technicznym, ST oraz innych warunków dotycz</w:t>
      </w:r>
      <w:r w:rsidRPr="00D42A8F">
        <w:rPr>
          <w:rFonts w:eastAsia="TimesNewRoman"/>
        </w:rPr>
        <w:t>ą</w:t>
      </w:r>
      <w:r w:rsidRPr="00D42A8F">
        <w:t>cych tych robót zawartych wumowie.</w:t>
      </w:r>
    </w:p>
    <w:p w:rsidR="00AB5A60" w:rsidRPr="000276A2" w:rsidRDefault="00AB5A60" w:rsidP="00AB5A60">
      <w:pPr>
        <w:autoSpaceDE w:val="0"/>
        <w:autoSpaceDN w:val="0"/>
        <w:adjustRightInd w:val="0"/>
        <w:jc w:val="both"/>
        <w:rPr>
          <w:sz w:val="10"/>
          <w:szCs w:val="10"/>
        </w:rPr>
      </w:pPr>
    </w:p>
    <w:p w:rsidR="00AB5A60" w:rsidRPr="000276A2" w:rsidRDefault="00AB5A60" w:rsidP="00AB5A60">
      <w:pPr>
        <w:autoSpaceDE w:val="0"/>
        <w:autoSpaceDN w:val="0"/>
        <w:adjustRightInd w:val="0"/>
        <w:spacing w:line="360" w:lineRule="auto"/>
        <w:jc w:val="both"/>
        <w:rPr>
          <w:rFonts w:eastAsia="TimesNewRoman"/>
          <w:u w:val="single"/>
        </w:rPr>
      </w:pPr>
      <w:r w:rsidRPr="000276A2">
        <w:rPr>
          <w:b/>
          <w:bCs/>
          <w:u w:val="single"/>
        </w:rPr>
        <w:t>9. PŁATNO</w:t>
      </w:r>
      <w:r w:rsidRPr="000276A2">
        <w:rPr>
          <w:rFonts w:eastAsia="TimesNewRoman"/>
          <w:u w:val="single"/>
        </w:rPr>
        <w:t>ŚĆ</w:t>
      </w:r>
    </w:p>
    <w:p w:rsidR="00AB5A60" w:rsidRPr="00D42A8F" w:rsidRDefault="00AB5A60" w:rsidP="00AB5A60">
      <w:pPr>
        <w:autoSpaceDE w:val="0"/>
        <w:autoSpaceDN w:val="0"/>
        <w:adjustRightInd w:val="0"/>
        <w:jc w:val="both"/>
      </w:pPr>
      <w:r w:rsidRPr="00D42A8F">
        <w:t>Cena wykonania robót obejmuje:</w:t>
      </w:r>
    </w:p>
    <w:p w:rsidR="00AB5A60" w:rsidRPr="00D42A8F" w:rsidRDefault="00AB5A60" w:rsidP="00AB5A60">
      <w:pPr>
        <w:autoSpaceDE w:val="0"/>
        <w:autoSpaceDN w:val="0"/>
        <w:adjustRightInd w:val="0"/>
        <w:jc w:val="both"/>
      </w:pPr>
      <w:r w:rsidRPr="00D42A8F">
        <w:t>- prace pomiarowe i przygotowawcze,</w:t>
      </w:r>
    </w:p>
    <w:p w:rsidR="00AB5A60" w:rsidRPr="00D42A8F" w:rsidRDefault="00AB5A60" w:rsidP="00AB5A60">
      <w:pPr>
        <w:autoSpaceDE w:val="0"/>
        <w:autoSpaceDN w:val="0"/>
        <w:adjustRightInd w:val="0"/>
        <w:jc w:val="both"/>
      </w:pPr>
      <w:r w:rsidRPr="00D42A8F">
        <w:t>- pozyskanie</w:t>
      </w:r>
      <w:r w:rsidR="00AE0A20">
        <w:t xml:space="preserve"> i zakup</w:t>
      </w:r>
      <w:r w:rsidRPr="00D42A8F">
        <w:t xml:space="preserve"> materiałów,</w:t>
      </w:r>
    </w:p>
    <w:p w:rsidR="00AB5A60" w:rsidRPr="00D42A8F" w:rsidRDefault="00AB5A60" w:rsidP="00AB5A60">
      <w:pPr>
        <w:autoSpaceDE w:val="0"/>
        <w:autoSpaceDN w:val="0"/>
        <w:adjustRightInd w:val="0"/>
        <w:jc w:val="both"/>
      </w:pPr>
      <w:r w:rsidRPr="00D42A8F">
        <w:t>- transport i składowanie materiałów niezb</w:t>
      </w:r>
      <w:r w:rsidRPr="00D42A8F">
        <w:rPr>
          <w:rFonts w:eastAsia="TimesNewRoman"/>
        </w:rPr>
        <w:t>ę</w:t>
      </w:r>
      <w:r w:rsidRPr="00D42A8F">
        <w:t>dnych do wykonania robót,</w:t>
      </w:r>
    </w:p>
    <w:p w:rsidR="00AB5A60" w:rsidRPr="00D42A8F" w:rsidRDefault="00AB5A60" w:rsidP="00AB5A60">
      <w:pPr>
        <w:autoSpaceDE w:val="0"/>
        <w:autoSpaceDN w:val="0"/>
        <w:adjustRightInd w:val="0"/>
        <w:jc w:val="both"/>
      </w:pPr>
      <w:r w:rsidRPr="00D42A8F">
        <w:t>- oczyszczenie i wyprostowanie, wygi</w:t>
      </w:r>
      <w:r w:rsidRPr="00D42A8F">
        <w:rPr>
          <w:rFonts w:eastAsia="TimesNewRoman"/>
        </w:rPr>
        <w:t>ę</w:t>
      </w:r>
      <w:r w:rsidRPr="00D42A8F">
        <w:t>cie, przycinanie,</w:t>
      </w:r>
    </w:p>
    <w:p w:rsidR="00AB5A60" w:rsidRDefault="00AB5A60" w:rsidP="00AB5A60">
      <w:pPr>
        <w:autoSpaceDE w:val="0"/>
        <w:autoSpaceDN w:val="0"/>
        <w:adjustRightInd w:val="0"/>
        <w:jc w:val="both"/>
      </w:pPr>
      <w:r w:rsidRPr="00D42A8F">
        <w:t>- wywiercenie otworu oraz osadzenie na klej kotwy zgodnie z projektem,</w:t>
      </w:r>
    </w:p>
    <w:p w:rsidR="00AB5A60" w:rsidRPr="00D42A8F" w:rsidRDefault="00AB5A60" w:rsidP="00AB5A60">
      <w:pPr>
        <w:autoSpaceDE w:val="0"/>
        <w:autoSpaceDN w:val="0"/>
        <w:adjustRightInd w:val="0"/>
        <w:jc w:val="both"/>
      </w:pPr>
      <w:r w:rsidRPr="00D42A8F">
        <w:t>- oczyszczenie terenu robót z odpadów materiałów poza pas drogowy,</w:t>
      </w:r>
    </w:p>
    <w:p w:rsidR="00AB5A60" w:rsidRDefault="00AB5A60" w:rsidP="00AB5A60">
      <w:pPr>
        <w:autoSpaceDE w:val="0"/>
        <w:autoSpaceDN w:val="0"/>
        <w:adjustRightInd w:val="0"/>
        <w:jc w:val="both"/>
      </w:pPr>
      <w:r w:rsidRPr="00D42A8F">
        <w:t>- wykonanie wszelkich niezb</w:t>
      </w:r>
      <w:r w:rsidRPr="00D42A8F">
        <w:rPr>
          <w:rFonts w:eastAsia="TimesNewRoman"/>
        </w:rPr>
        <w:t>ę</w:t>
      </w:r>
      <w:r w:rsidRPr="00D42A8F">
        <w:t>dnych bada</w:t>
      </w:r>
      <w:r w:rsidRPr="00D42A8F">
        <w:rPr>
          <w:rFonts w:eastAsia="TimesNewRoman"/>
        </w:rPr>
        <w:t xml:space="preserve">ń </w:t>
      </w:r>
      <w:r w:rsidRPr="00D42A8F">
        <w:t>i pomiarów.</w:t>
      </w:r>
    </w:p>
    <w:p w:rsidR="00AB5A60" w:rsidRDefault="00AB5A60" w:rsidP="00AB5A60">
      <w:pPr>
        <w:widowControl w:val="0"/>
        <w:spacing w:before="120" w:after="120"/>
        <w:rPr>
          <w:b/>
          <w:snapToGrid w:val="0"/>
          <w:u w:val="single"/>
        </w:rPr>
      </w:pPr>
      <w:r>
        <w:rPr>
          <w:b/>
          <w:noProof/>
          <w:snapToGrid w:val="0"/>
          <w:u w:val="single"/>
        </w:rPr>
        <w:t>10.</w:t>
      </w:r>
      <w:r>
        <w:rPr>
          <w:b/>
          <w:snapToGrid w:val="0"/>
          <w:u w:val="single"/>
        </w:rPr>
        <w:t xml:space="preserve"> PRZEPISY ZWIĄZANE</w:t>
      </w:r>
    </w:p>
    <w:p w:rsidR="00D65C73" w:rsidRPr="00E66DBC" w:rsidRDefault="00AB5A60" w:rsidP="00E66DBC">
      <w:pPr>
        <w:spacing w:before="120" w:after="120"/>
        <w:jc w:val="both"/>
        <w:rPr>
          <w:b/>
        </w:rPr>
      </w:pPr>
      <w:r>
        <w:t>wg M.12.00.00.</w:t>
      </w:r>
    </w:p>
    <w:p w:rsidR="00B833AC" w:rsidRPr="00C379B0" w:rsidRDefault="00B833AC" w:rsidP="00B833AC">
      <w:pPr>
        <w:pStyle w:val="Nagwek1"/>
      </w:pPr>
      <w:bookmarkStart w:id="29" w:name="_Toc80100082"/>
      <w:r w:rsidRPr="00C379B0">
        <w:t>M.13.0</w:t>
      </w:r>
      <w:r w:rsidR="00E66DBC">
        <w:t>0</w:t>
      </w:r>
      <w:r w:rsidRPr="00C379B0">
        <w:t>.00.</w:t>
      </w:r>
      <w:r w:rsidRPr="00C379B0">
        <w:tab/>
        <w:t>BETON</w:t>
      </w:r>
      <w:bookmarkEnd w:id="19"/>
      <w:r w:rsidR="00414319">
        <w:t xml:space="preserve"> KONSTRUKCYJNY</w:t>
      </w:r>
      <w:bookmarkEnd w:id="29"/>
    </w:p>
    <w:p w:rsidR="00B833AC" w:rsidRPr="00C379B0" w:rsidRDefault="00B833AC" w:rsidP="00B833AC">
      <w:pPr>
        <w:widowControl w:val="0"/>
        <w:spacing w:before="120" w:after="120"/>
        <w:ind w:right="6878"/>
        <w:rPr>
          <w:b/>
          <w:snapToGrid w:val="0"/>
          <w:u w:val="single"/>
        </w:rPr>
      </w:pPr>
      <w:r w:rsidRPr="00C379B0">
        <w:rPr>
          <w:b/>
          <w:snapToGrid w:val="0"/>
          <w:u w:val="single"/>
        </w:rPr>
        <w:t xml:space="preserve">l. WSTĘP </w:t>
      </w:r>
    </w:p>
    <w:p w:rsidR="00B833AC" w:rsidRDefault="00B833AC" w:rsidP="00B833AC">
      <w:pPr>
        <w:pStyle w:val="Styl4"/>
      </w:pPr>
      <w:r>
        <w:t>1.1. Przedmiot specyfikacji technicznej</w:t>
      </w:r>
    </w:p>
    <w:p w:rsidR="00B833AC" w:rsidRPr="00554CA2" w:rsidRDefault="00B833AC" w:rsidP="00B833AC">
      <w:pPr>
        <w:jc w:val="both"/>
        <w:rPr>
          <w:bCs/>
          <w:snapToGrid w:val="0"/>
        </w:rPr>
      </w:pPr>
      <w:r>
        <w:t xml:space="preserve">Przedmiotem niniejszej Specyfikacji Technicznej są wymagania dotyczące wykonania i odbioru robót związanych z wykonaniem mostowych konstrukcji betonowych </w:t>
      </w:r>
      <w:r>
        <w:rPr>
          <w:snapToGrid w:val="0"/>
        </w:rPr>
        <w:t xml:space="preserve">w ramach </w:t>
      </w:r>
      <w:r>
        <w:rPr>
          <w:bCs/>
          <w:snapToGrid w:val="0"/>
        </w:rPr>
        <w:t xml:space="preserve">projektu </w:t>
      </w:r>
      <w:r w:rsidR="00554CA2">
        <w:rPr>
          <w:bCs/>
          <w:snapToGrid w:val="0"/>
        </w:rPr>
        <w:t>:</w:t>
      </w:r>
      <w:r w:rsidR="00E66DBC" w:rsidRPr="00E66DBC">
        <w:rPr>
          <w:bCs/>
        </w:rPr>
        <w:t xml:space="preserve"> </w:t>
      </w:r>
      <w:r w:rsidR="00E66DBC">
        <w:rPr>
          <w:bCs/>
        </w:rPr>
        <w:t>"Remont przepustu nad rzeką Postomia w ciągu drogi nr 445/k.2922 m. Wędrzyn."</w:t>
      </w:r>
    </w:p>
    <w:p w:rsidR="00B833AC" w:rsidRDefault="00B833AC" w:rsidP="00B833AC">
      <w:pPr>
        <w:jc w:val="both"/>
      </w:pPr>
    </w:p>
    <w:p w:rsidR="00B833AC" w:rsidRDefault="00B833AC" w:rsidP="00B833AC">
      <w:pPr>
        <w:pStyle w:val="Styl4"/>
      </w:pPr>
      <w:r>
        <w:t>1.2. Zakres stosowania ST</w:t>
      </w:r>
    </w:p>
    <w:p w:rsidR="00B833AC" w:rsidRDefault="00B833AC" w:rsidP="00B833AC">
      <w:pPr>
        <w:tabs>
          <w:tab w:val="left" w:pos="576"/>
          <w:tab w:val="left" w:pos="1008"/>
        </w:tabs>
        <w:jc w:val="both"/>
      </w:pPr>
      <w:r>
        <w:t>Specyfikacja techniczna jest stosowana jako dokument przetargowy i kontraktowy przy zlecaniu i realizacji Robót wymienionych w punkcie 1.1.</w:t>
      </w:r>
    </w:p>
    <w:p w:rsidR="00B833AC" w:rsidRDefault="00B833AC" w:rsidP="00B833AC">
      <w:pPr>
        <w:pStyle w:val="Styl4"/>
      </w:pPr>
      <w:r>
        <w:t>1.3. Zakres robót objętych ST</w:t>
      </w:r>
    </w:p>
    <w:p w:rsidR="00F32662" w:rsidRPr="00F32662" w:rsidRDefault="00F32662" w:rsidP="00F32662">
      <w:pPr>
        <w:pStyle w:val="Styl4"/>
        <w:rPr>
          <w:b w:val="0"/>
        </w:rPr>
      </w:pPr>
      <w:r w:rsidRPr="00F32662">
        <w:rPr>
          <w:b w:val="0"/>
        </w:rPr>
        <w:t xml:space="preserve">Ustalenia zawarte w niniejszej Specyfikacji mają zastosowanie przy wykonywaniu: </w:t>
      </w:r>
    </w:p>
    <w:p w:rsidR="00F32662" w:rsidRPr="00F32662" w:rsidRDefault="00F32662" w:rsidP="0097494B">
      <w:pPr>
        <w:pStyle w:val="Styl4"/>
        <w:numPr>
          <w:ilvl w:val="0"/>
          <w:numId w:val="56"/>
        </w:numPr>
        <w:rPr>
          <w:b w:val="0"/>
        </w:rPr>
      </w:pPr>
      <w:r w:rsidRPr="00F32662">
        <w:rPr>
          <w:b w:val="0"/>
        </w:rPr>
        <w:t xml:space="preserve">beton podpór, </w:t>
      </w:r>
    </w:p>
    <w:p w:rsidR="00F32662" w:rsidRPr="00E86DAE" w:rsidRDefault="00F32662" w:rsidP="0097494B">
      <w:pPr>
        <w:pStyle w:val="Styl4"/>
        <w:numPr>
          <w:ilvl w:val="0"/>
          <w:numId w:val="56"/>
        </w:numPr>
        <w:rPr>
          <w:b w:val="0"/>
        </w:rPr>
      </w:pPr>
      <w:r w:rsidRPr="00F32662">
        <w:rPr>
          <w:b w:val="0"/>
        </w:rPr>
        <w:t xml:space="preserve">beton </w:t>
      </w:r>
      <w:r w:rsidR="00E86DAE">
        <w:rPr>
          <w:b w:val="0"/>
        </w:rPr>
        <w:t>płyty zespalającej</w:t>
      </w:r>
    </w:p>
    <w:p w:rsidR="00F32662" w:rsidRPr="00F32662" w:rsidRDefault="00E86DAE" w:rsidP="0097494B">
      <w:pPr>
        <w:pStyle w:val="Styl4"/>
        <w:numPr>
          <w:ilvl w:val="0"/>
          <w:numId w:val="56"/>
        </w:numPr>
        <w:rPr>
          <w:b w:val="0"/>
        </w:rPr>
      </w:pPr>
      <w:r>
        <w:rPr>
          <w:b w:val="0"/>
        </w:rPr>
        <w:t>beton kaskady</w:t>
      </w:r>
      <w:r w:rsidR="00F32662" w:rsidRPr="00F32662">
        <w:rPr>
          <w:b w:val="0"/>
        </w:rPr>
        <w:t xml:space="preserve"> </w:t>
      </w:r>
    </w:p>
    <w:p w:rsidR="00F32662" w:rsidRDefault="00F32662" w:rsidP="0097494B">
      <w:pPr>
        <w:pStyle w:val="Styl4"/>
        <w:numPr>
          <w:ilvl w:val="0"/>
          <w:numId w:val="56"/>
        </w:numPr>
        <w:rPr>
          <w:b w:val="0"/>
        </w:rPr>
      </w:pPr>
      <w:r w:rsidRPr="00F32662">
        <w:rPr>
          <w:b w:val="0"/>
        </w:rPr>
        <w:t xml:space="preserve">betonu </w:t>
      </w:r>
      <w:r>
        <w:rPr>
          <w:b w:val="0"/>
        </w:rPr>
        <w:t>ściany czołowej</w:t>
      </w:r>
    </w:p>
    <w:p w:rsidR="00B833AC" w:rsidRDefault="00B833AC" w:rsidP="00F32662">
      <w:pPr>
        <w:pStyle w:val="Styl4"/>
      </w:pPr>
      <w:r>
        <w:t>1.4. Określenia podstawowe</w:t>
      </w:r>
    </w:p>
    <w:p w:rsidR="003A4252" w:rsidRDefault="00F32662" w:rsidP="00A77BA7">
      <w:pPr>
        <w:ind w:left="705" w:hanging="705"/>
        <w:jc w:val="both"/>
      </w:pPr>
      <w:r w:rsidRPr="00A77BA7">
        <w:t>1</w:t>
      </w:r>
      <w:r w:rsidR="00A77BA7">
        <w:t>.4.1.</w:t>
      </w:r>
      <w:r w:rsidR="00A77BA7">
        <w:tab/>
      </w:r>
      <w:r w:rsidR="003A4252">
        <w:t>Beton zwykły – beton o gęstości w stanie suchym powyżej 2000 kg/m3 , ale nie przekraczający 2600 kg/m3 powstały ze zmieszania cementu, kruszywa grubego i drobnego, wody oraz ewentualnych domieszek i dodatków, który uzyskuje swoje właściwości w wyniku hydratacji cementu.</w:t>
      </w:r>
    </w:p>
    <w:p w:rsidR="003A4252" w:rsidRDefault="00A77BA7" w:rsidP="00A77BA7">
      <w:pPr>
        <w:ind w:left="705" w:hanging="705"/>
        <w:jc w:val="both"/>
      </w:pPr>
      <w:r>
        <w:t>1.4.2.</w:t>
      </w:r>
      <w:r>
        <w:tab/>
      </w:r>
      <w:r w:rsidR="003A4252">
        <w:t>Beton - materiał powstały ze zmieszania cementu, kruszywa grubego i drobnego, wody oraz ewentualnych domieszek i dodatków, który uzyskuje swoje właściwości w wyniku hydratacji cementu.</w:t>
      </w:r>
    </w:p>
    <w:p w:rsidR="003A4252" w:rsidRDefault="00A77BA7" w:rsidP="00A77BA7">
      <w:pPr>
        <w:ind w:left="705" w:hanging="705"/>
        <w:jc w:val="both"/>
      </w:pPr>
      <w:r>
        <w:t>1.4.3.</w:t>
      </w:r>
      <w:r>
        <w:tab/>
      </w:r>
      <w:r w:rsidR="003A4252">
        <w:t>Beton konstrukcyjny - beton zwykły według PN-EN 206 w monolitycznych oraz prefabrykowanych elementach drogowego obiektu inżynierskiego o wytrzymałości na ściskanie nie mniejszej niż C20/25 (beton zwykły) lub LC25/28 (beton lekki) i o dodatkowych ustalonych właściwościach.</w:t>
      </w:r>
    </w:p>
    <w:p w:rsidR="003A4252" w:rsidRDefault="00A77BA7" w:rsidP="00A77BA7">
      <w:pPr>
        <w:ind w:left="705" w:hanging="705"/>
        <w:jc w:val="both"/>
      </w:pPr>
      <w:r>
        <w:t>1.4.4.</w:t>
      </w:r>
      <w:r>
        <w:tab/>
      </w:r>
      <w:r w:rsidR="003A4252">
        <w:t>Beton konstrukcyjny napowietrzony – beton wykonany z użyciem domieszki napowietrzającej, o wymaganej zawartości powietrza w mieszance oraz zawartości powietrza w stwardniałym betonie co najmniej 3,5%.</w:t>
      </w:r>
    </w:p>
    <w:p w:rsidR="00292439" w:rsidRDefault="00A77BA7" w:rsidP="00A77BA7">
      <w:pPr>
        <w:ind w:left="705" w:hanging="705"/>
        <w:jc w:val="both"/>
      </w:pPr>
      <w:r>
        <w:t>1.4.5.</w:t>
      </w:r>
      <w:r>
        <w:tab/>
      </w:r>
      <w:r w:rsidR="00292439">
        <w:t>Beton projektowany - beton, którego wymagane właściwości i ewentualne dodatkowe cechy są podane producentowi, odpowiedzialnemu za dostarczenie betonu zgodnego z wymaganymi właściwościami i dodatkowymi cechami.</w:t>
      </w:r>
    </w:p>
    <w:p w:rsidR="00292439" w:rsidRDefault="00A77BA7" w:rsidP="00A77BA7">
      <w:pPr>
        <w:ind w:left="705" w:hanging="705"/>
        <w:jc w:val="both"/>
      </w:pPr>
      <w:r>
        <w:t>1.4.6.</w:t>
      </w:r>
      <w:r>
        <w:tab/>
      </w:r>
      <w:r w:rsidR="00292439">
        <w:t>Beton recepturowy (o ustalonym składzie) - beton, którego skład i składniki, jakie powinny być użyte, są podane producentowi odpowiedzialnemu za dostarczenie betonu o tak określonym składzie.</w:t>
      </w:r>
    </w:p>
    <w:p w:rsidR="00292439" w:rsidRDefault="00A77BA7" w:rsidP="00A77BA7">
      <w:pPr>
        <w:jc w:val="both"/>
      </w:pPr>
      <w:r>
        <w:t>1.4.7.</w:t>
      </w:r>
      <w:r>
        <w:tab/>
      </w:r>
      <w:r w:rsidR="00292439">
        <w:t>Beton stwardniały - beton, który jest w stanie stałym i który osiągnął pewną wytrzymałość</w:t>
      </w:r>
    </w:p>
    <w:p w:rsidR="00292439" w:rsidRDefault="00A77BA7" w:rsidP="00A77BA7">
      <w:pPr>
        <w:ind w:left="705" w:hanging="705"/>
        <w:jc w:val="both"/>
      </w:pPr>
      <w:r>
        <w:t>1.4.8.</w:t>
      </w:r>
      <w:r>
        <w:tab/>
      </w:r>
      <w:r w:rsidR="00292439">
        <w:t>Beton samozagęszczalny SCC (z ang. self compacting concrete) – beton, który pod własnym ciężarem rozpływa się i zagęszcza, wypełnia deskowanie ze zbrojeniem, kanały, ramy itp., zachowując jednorodność.</w:t>
      </w:r>
    </w:p>
    <w:p w:rsidR="00292439" w:rsidRDefault="00A77BA7" w:rsidP="00A77BA7">
      <w:pPr>
        <w:ind w:left="705" w:hanging="705"/>
        <w:jc w:val="both"/>
      </w:pPr>
      <w:r>
        <w:t>1.4.9.</w:t>
      </w:r>
      <w:r>
        <w:tab/>
      </w:r>
      <w:r w:rsidR="00292439">
        <w:t>Dodatki pucolanowe i/lub pucolanowo-hydrauliczne SCM (z ang. supplementary cementitious materials) – dodatki dodawane do składu betonu, takie jak:</w:t>
      </w:r>
    </w:p>
    <w:p w:rsidR="00292439" w:rsidRDefault="00292439" w:rsidP="00A77BA7">
      <w:pPr>
        <w:ind w:firstLine="705"/>
        <w:jc w:val="both"/>
      </w:pPr>
      <w:r>
        <w:t>- granulowany żużel wielkopiecowy</w:t>
      </w:r>
    </w:p>
    <w:p w:rsidR="00292439" w:rsidRDefault="00292439" w:rsidP="00A77BA7">
      <w:pPr>
        <w:ind w:firstLine="705"/>
        <w:jc w:val="both"/>
      </w:pPr>
      <w:r>
        <w:t>- popiół lotny krzemionkowy,</w:t>
      </w:r>
    </w:p>
    <w:p w:rsidR="00292439" w:rsidRDefault="00292439" w:rsidP="00A77BA7">
      <w:pPr>
        <w:ind w:firstLine="705"/>
        <w:jc w:val="both"/>
      </w:pPr>
      <w:r>
        <w:t>- pył krzemionkowy.</w:t>
      </w:r>
    </w:p>
    <w:p w:rsidR="00292439" w:rsidRDefault="00A77BA7" w:rsidP="00A77BA7">
      <w:pPr>
        <w:ind w:left="705" w:hanging="705"/>
        <w:jc w:val="both"/>
      </w:pPr>
      <w:r>
        <w:t>1.4.10.</w:t>
      </w:r>
      <w:r>
        <w:tab/>
      </w:r>
      <w:r w:rsidR="00292439">
        <w:t>Domieszka – substancja modyfikująca, dodawana podczas wykonywania mieszanki betonowej w ilości nie przekraczającej 5% masy cementu w betonie.</w:t>
      </w:r>
    </w:p>
    <w:p w:rsidR="00292439" w:rsidRDefault="00292439" w:rsidP="00A77BA7">
      <w:pPr>
        <w:ind w:left="705" w:hanging="705"/>
        <w:jc w:val="both"/>
      </w:pPr>
      <w:r>
        <w:t>1.4.11</w:t>
      </w:r>
      <w:r w:rsidR="00A77BA7">
        <w:t>.</w:t>
      </w:r>
      <w:r w:rsidR="00A77BA7">
        <w:tab/>
      </w:r>
      <w:r>
        <w:t>Domieszka napowietrzająca - domieszka umożliwiająca wprowadzenie podczas mieszania określonej ilości drobnych, równomiernie rozmieszczonych pęcherzyków powietrza, które pozostają w betonie stwardniałym.</w:t>
      </w:r>
    </w:p>
    <w:p w:rsidR="00292439" w:rsidRDefault="00A77BA7" w:rsidP="00A77BA7">
      <w:pPr>
        <w:ind w:left="705" w:hanging="705"/>
        <w:jc w:val="both"/>
      </w:pPr>
      <w:r>
        <w:t>1.4.12.</w:t>
      </w:r>
      <w:r>
        <w:tab/>
      </w:r>
      <w:r w:rsidR="00292439">
        <w:t>Domieszka opóźniająca wiązanie - domieszka która przedłuża czas do rozpoczęcia przechodzenia mieszanki ze stanu plastycznego w stan sztywny.</w:t>
      </w:r>
    </w:p>
    <w:p w:rsidR="00292439" w:rsidRDefault="00A77BA7" w:rsidP="00A77BA7">
      <w:pPr>
        <w:ind w:left="705" w:hanging="705"/>
        <w:jc w:val="both"/>
      </w:pPr>
      <w:r>
        <w:t>1.4.13.</w:t>
      </w:r>
      <w:r>
        <w:tab/>
      </w:r>
      <w:r w:rsidR="00292439">
        <w:t>Domieszka uplastyczniająca - domieszka, która umożliwia zmniejszenie zawartości wody w danej mieszance betonowej bez wpływu na jej konsystencję lub która bez zwiększania ilości wody powoduje zwiększenie opadu stożka/rozpływu lub wywołuje oba te efekty jednocześnie</w:t>
      </w:r>
    </w:p>
    <w:p w:rsidR="00292439" w:rsidRDefault="00A77BA7" w:rsidP="00A77BA7">
      <w:pPr>
        <w:ind w:left="705" w:hanging="705"/>
        <w:jc w:val="both"/>
      </w:pPr>
      <w:r>
        <w:t>1.4.14.</w:t>
      </w:r>
      <w:r>
        <w:tab/>
      </w:r>
      <w:r w:rsidR="00292439">
        <w:t>Domieszka upłynniająca - domieszka, która umożliwia znaczne zmniejszenie zawartości wody w danej mieszance betonowej bez wpływu na jej konsystencję lub która bez zmniejszania ilości wody powoduje znaczne zwiększenie opadu stożka/rozpływu lub wywołuje oba te efekty jednocześnie.</w:t>
      </w:r>
    </w:p>
    <w:p w:rsidR="00292439" w:rsidRDefault="00A77BA7" w:rsidP="00A77BA7">
      <w:pPr>
        <w:ind w:left="705" w:hanging="705"/>
        <w:jc w:val="both"/>
      </w:pPr>
      <w:r>
        <w:t>1.4.15</w:t>
      </w:r>
      <w:r>
        <w:tab/>
      </w:r>
      <w:r w:rsidR="00292439">
        <w:t>Efektywna zawartość wody – różnica pomiędzy całkowitą ilością wody w mieszance betonowej a ilością wody zaabsorbowanej przez kruszywo.</w:t>
      </w:r>
    </w:p>
    <w:p w:rsidR="00292439" w:rsidRDefault="00A77BA7" w:rsidP="00A77BA7">
      <w:pPr>
        <w:ind w:left="705" w:hanging="705"/>
        <w:jc w:val="both"/>
      </w:pPr>
      <w:r>
        <w:t>1.4.16.</w:t>
      </w:r>
      <w:r>
        <w:tab/>
      </w:r>
      <w:r w:rsidR="00292439">
        <w:t>Współczynnik woda/cement – stosunek wagowy efektywnej zawartości wody do zawartości cementu w mieszance betonowej.</w:t>
      </w:r>
    </w:p>
    <w:p w:rsidR="00292439" w:rsidRDefault="00A77BA7" w:rsidP="00A77BA7">
      <w:pPr>
        <w:ind w:left="705" w:hanging="705"/>
        <w:jc w:val="both"/>
      </w:pPr>
      <w:r>
        <w:t>1.4.17.</w:t>
      </w:r>
      <w:r>
        <w:tab/>
      </w:r>
      <w:r w:rsidR="00292439">
        <w:t>Kategoria środowiska - klasyfikacja środowiska (E1 – E3) wg CEN/TR 16349 w odniesieniu do możliwości wystąpienia w betonie zagrożenia destrukcyjną reakcją alkalia-kruszywa AAR. Wyróżnia się kategorie:</w:t>
      </w:r>
    </w:p>
    <w:p w:rsidR="00292439" w:rsidRDefault="00292439" w:rsidP="00A77BA7">
      <w:pPr>
        <w:ind w:firstLine="705"/>
        <w:jc w:val="both"/>
      </w:pPr>
      <w:r>
        <w:t>- E1: beton jest zasadniczo chroniony przed wilgocią z zewnątrz,</w:t>
      </w:r>
    </w:p>
    <w:p w:rsidR="00292439" w:rsidRDefault="00292439" w:rsidP="00A77BA7">
      <w:pPr>
        <w:ind w:firstLine="705"/>
        <w:jc w:val="both"/>
      </w:pPr>
      <w:r>
        <w:t>- E2: beton jest wystawiony na działanie wilgoci z zewnątrz;</w:t>
      </w:r>
    </w:p>
    <w:p w:rsidR="00292439" w:rsidRDefault="00292439" w:rsidP="00A77BA7">
      <w:pPr>
        <w:ind w:left="705"/>
        <w:jc w:val="both"/>
      </w:pPr>
      <w:r>
        <w:t>- E3: beton narażony jest na działanie wilgoci z zewnątrz i dodatkowo na czynniki obciążające, takie jak środki odladzające, zamrażanie i rozmrażanie (lub zwilżanie i suszenie w środowisku morskim) lub zmienne obciążenia.</w:t>
      </w:r>
    </w:p>
    <w:p w:rsidR="00292439" w:rsidRDefault="00A77BA7" w:rsidP="00A77BA7">
      <w:pPr>
        <w:ind w:left="705" w:hanging="705"/>
        <w:jc w:val="both"/>
      </w:pPr>
      <w:r>
        <w:t>1.4.18.</w:t>
      </w:r>
      <w:r>
        <w:tab/>
      </w:r>
      <w:r w:rsidR="00292439">
        <w:t>Klasa ekspozycji - klasyfikacja chemicznych i fizycznych warunków środowiska, na działanie których może być narażony beton zgodnie z PN-EN 206.</w:t>
      </w:r>
    </w:p>
    <w:p w:rsidR="00292439" w:rsidRDefault="00A77BA7" w:rsidP="00A77BA7">
      <w:pPr>
        <w:ind w:left="705" w:hanging="705"/>
        <w:jc w:val="both"/>
      </w:pPr>
      <w:r>
        <w:t>1.4.19.</w:t>
      </w:r>
      <w:r>
        <w:tab/>
      </w:r>
      <w:r w:rsidR="00292439">
        <w:t>Klasy konsystencji - konsystencję mieszanki betonowej klasyfikuje się zgodnie z PN-EN 206 oraz PN-B—06265 w zależności od metody oznaczenia:</w:t>
      </w:r>
    </w:p>
    <w:p w:rsidR="00292439" w:rsidRDefault="00292439" w:rsidP="00A77BA7">
      <w:pPr>
        <w:ind w:firstLine="705"/>
        <w:jc w:val="both"/>
      </w:pPr>
      <w:r>
        <w:t>- klasy S1-S5 wg metody opadu stożka zgodnie z PN-EN 12350-2,</w:t>
      </w:r>
    </w:p>
    <w:p w:rsidR="00292439" w:rsidRDefault="00292439" w:rsidP="00A77BA7">
      <w:pPr>
        <w:ind w:firstLine="705"/>
        <w:jc w:val="both"/>
      </w:pPr>
      <w:r>
        <w:t>- klasy C0-C4 wg metody stopnia zagęszczalności zgodnie z PN-EN 12350-4,</w:t>
      </w:r>
    </w:p>
    <w:p w:rsidR="00DE3EC6" w:rsidRDefault="00DE3EC6" w:rsidP="00A77BA7">
      <w:pPr>
        <w:ind w:firstLine="705"/>
        <w:jc w:val="both"/>
      </w:pPr>
      <w:r>
        <w:t>- klasy F1-F6 wg metody rozpływu zgodnie z PN-EN 12350-5,</w:t>
      </w:r>
    </w:p>
    <w:p w:rsidR="00DE3EC6" w:rsidRDefault="00DE3EC6" w:rsidP="00A77BA7">
      <w:pPr>
        <w:ind w:firstLine="705"/>
        <w:jc w:val="both"/>
      </w:pPr>
      <w:r>
        <w:t>- klasy SF1-SF3 wg metody rozpływu stożka zgodnie z PN-EN 12350-8.</w:t>
      </w:r>
    </w:p>
    <w:p w:rsidR="00DE3EC6" w:rsidRDefault="00DE3EC6" w:rsidP="00A77BA7">
      <w:pPr>
        <w:ind w:firstLine="705"/>
        <w:jc w:val="both"/>
      </w:pPr>
      <w:r>
        <w:t>W przypadku mieszanki samozagęszczalnej SCC stosuje się wyłącznie klasy wg metody rozpływu stożka (klasy SF1 - SF3).</w:t>
      </w:r>
    </w:p>
    <w:p w:rsidR="00DE3EC6" w:rsidRDefault="00DE3EC6" w:rsidP="00A77BA7">
      <w:pPr>
        <w:ind w:left="705" w:hanging="705"/>
        <w:jc w:val="both"/>
      </w:pPr>
      <w:r>
        <w:t>1.4.20.</w:t>
      </w:r>
      <w:r w:rsidR="00A77BA7">
        <w:tab/>
      </w:r>
      <w:r>
        <w:t>Klasy dodatkowych właściwości SCC – beton samozagęszczalny klasyfikuje się ze względu na dodatkowe właściwości zgodnie z PN-EN 206:</w:t>
      </w:r>
    </w:p>
    <w:p w:rsidR="00DE3EC6" w:rsidRDefault="00DE3EC6" w:rsidP="00A77BA7">
      <w:pPr>
        <w:ind w:left="705"/>
        <w:jc w:val="both"/>
      </w:pPr>
      <w:r>
        <w:t>- lepkość - klasy VS1-VS2 wg metody rozpływu stożka zgodnie z PN-EN 12350-8 lub klasy VF1-VF2 wg metody Vlejka zgodnie z PN-EN 12350-9,</w:t>
      </w:r>
    </w:p>
    <w:p w:rsidR="00DE3EC6" w:rsidRDefault="00DE3EC6" w:rsidP="00A77BA7">
      <w:pPr>
        <w:ind w:left="705"/>
        <w:jc w:val="both"/>
      </w:pPr>
      <w:r>
        <w:t>- przepływalność - klasy PL1-PL2 wg metody L-pojemnika zgodnie z PN-EN 12350-10 lub PJ1-PJ2 wg metody Jpierścienia zgodnie z PN-EN 12350-12,</w:t>
      </w:r>
    </w:p>
    <w:p w:rsidR="00DE3EC6" w:rsidRDefault="00DE3EC6" w:rsidP="00A77BA7">
      <w:pPr>
        <w:ind w:firstLine="705"/>
        <w:jc w:val="both"/>
      </w:pPr>
      <w:r>
        <w:t>- odporność na segregację - klasy SR1-SR2 wg metody segregacji sitowej zgodnie z PN-EN 12350-11.</w:t>
      </w:r>
    </w:p>
    <w:p w:rsidR="00DE3EC6" w:rsidRDefault="00DE3EC6" w:rsidP="00A77BA7">
      <w:pPr>
        <w:ind w:left="705" w:hanging="705"/>
        <w:jc w:val="both"/>
      </w:pPr>
      <w:r>
        <w:t>1.4.21.</w:t>
      </w:r>
      <w:r w:rsidR="00A77BA7">
        <w:tab/>
      </w:r>
      <w:r>
        <w:t>Klasa obiektu – klasyfikacja (S1-S4) zgodnie z AASHTO R 80-17 konstrukcji budowlanych i inżynierskich w odniesieniu do wagi konsekwencji wystąpienia reakcji alkalia-kruszywa w betonie, uzależniona od znaczenia danego obiektu budowlanego, projektowanego czasu użytkowania i oczekiwanego poziomu niezawodności; klasa obiektu jest związana z konsekwencjami ekonomicznymi, społecznymi i środowiskowymi wystąpienia uszkodzeń AAR.</w:t>
      </w:r>
    </w:p>
    <w:p w:rsidR="00DE3EC6" w:rsidRDefault="00DE3EC6" w:rsidP="00A77BA7">
      <w:pPr>
        <w:ind w:left="705" w:hanging="705"/>
        <w:jc w:val="both"/>
      </w:pPr>
      <w:r>
        <w:t>1.4.22.</w:t>
      </w:r>
      <w:r w:rsidR="00A77BA7">
        <w:tab/>
      </w:r>
      <w:r>
        <w:t>Klasa wytrzymałości betonu na ściskanie - symbol literowo-liczbowy np. C30/37 klasyfikujący beton pod względem jego wytrzymałości na ściskanie; klasy wytrzymałości na ściskanie betonu według PN-EN 206 określane są na podstawie wytrzymałości charakterystycznej na ściskanie w 28 dniu dojrzewania lub w czasie równoważnym na próbkach walcowych o średnicy 150 mm i wysokości 300 mm (fck,cyl) lub na próbkach sześciennych o boku 150 mm (fck,cube) pielęgnowanych zgodnie z PN-EN 12390-2</w:t>
      </w:r>
    </w:p>
    <w:p w:rsidR="00DE3EC6" w:rsidRDefault="00DE3EC6" w:rsidP="00A77BA7">
      <w:pPr>
        <w:ind w:left="705" w:hanging="705"/>
        <w:jc w:val="both"/>
      </w:pPr>
      <w:r>
        <w:t>1.4.23.</w:t>
      </w:r>
      <w:r w:rsidR="00A77BA7">
        <w:tab/>
      </w:r>
      <w:r>
        <w:t>Miejsce dostawy betonu konstrukcyjnego napowietrzonego – miejsce wylotu mieszanki z pompy lub miejsce rozładunku mieszanki z betonowozu, gdy nie stosuje się pompowania.</w:t>
      </w:r>
    </w:p>
    <w:p w:rsidR="00DE3EC6" w:rsidRDefault="00A77BA7" w:rsidP="00A77BA7">
      <w:pPr>
        <w:ind w:left="705" w:hanging="705"/>
        <w:jc w:val="both"/>
      </w:pPr>
      <w:r>
        <w:t>1.4.24.</w:t>
      </w:r>
      <w:r>
        <w:tab/>
      </w:r>
      <w:r w:rsidR="00DE3EC6">
        <w:t>Mieszanka betonowa - całkowicie wymieszane składniki betonu, które są jeszcze w stanie umożliwiającym zagęszczenie wybraną metodą.</w:t>
      </w:r>
    </w:p>
    <w:p w:rsidR="00DE3EC6" w:rsidRDefault="00A77BA7" w:rsidP="00A77BA7">
      <w:pPr>
        <w:ind w:left="705" w:hanging="705"/>
        <w:jc w:val="both"/>
      </w:pPr>
      <w:r>
        <w:t>1.4.25.</w:t>
      </w:r>
      <w:r>
        <w:tab/>
      </w:r>
      <w:r w:rsidR="00DE3EC6">
        <w:t>Oddziaływanie środowiska - oddziaływania chemiczne i fizyczne, wpływające na beton, lub na zbrojenie, lub inne znajdujące się w nim elementy metalowe, które w projekcie konstrukcyjnym nie zostały uwzględnione jako obciążenia</w:t>
      </w:r>
    </w:p>
    <w:p w:rsidR="00DE3EC6" w:rsidRDefault="00A77BA7" w:rsidP="00A77BA7">
      <w:pPr>
        <w:ind w:left="705" w:hanging="705"/>
        <w:jc w:val="both"/>
      </w:pPr>
      <w:r>
        <w:t>1.4.26.</w:t>
      </w:r>
      <w:r>
        <w:tab/>
      </w:r>
      <w:r w:rsidR="00DE3EC6">
        <w:t>Odporność na penetrację wody – maksymalna głębokość penetracji wody pod ciśnieniem określona zgodnie z normą PN-EN 12390-8</w:t>
      </w:r>
    </w:p>
    <w:p w:rsidR="00DE3EC6" w:rsidRDefault="00A77BA7" w:rsidP="00A77BA7">
      <w:pPr>
        <w:ind w:left="705" w:hanging="705"/>
        <w:jc w:val="both"/>
      </w:pPr>
      <w:r>
        <w:t>1.4.27.</w:t>
      </w:r>
      <w:r>
        <w:tab/>
      </w:r>
      <w:r w:rsidR="00DE3EC6">
        <w:t>Reakcja AAR (z ang. Alkali-Aggregate Reaction) - reakcja chemiczna zachodząca w betonie pomiędzy alkaliami (sodem i potasem występującymi w postaci kationów) pochodzącymi z cementu lub innych źródeł, jonami wodorotlenowymi oraz reaktywnymi składnikami niektórych kruszyw.</w:t>
      </w:r>
    </w:p>
    <w:p w:rsidR="00DE3EC6" w:rsidRDefault="00A77BA7" w:rsidP="00A77BA7">
      <w:pPr>
        <w:jc w:val="both"/>
      </w:pPr>
      <w:r>
        <w:t>1.4.28.</w:t>
      </w:r>
      <w:r>
        <w:tab/>
      </w:r>
      <w:r w:rsidR="00DE3EC6">
        <w:t>Reaktywność alkaliczna kruszywa - podatność kruszywa na reakcję z alkaliami.</w:t>
      </w:r>
    </w:p>
    <w:p w:rsidR="00DE3EC6" w:rsidRDefault="00A77BA7" w:rsidP="00A77BA7">
      <w:pPr>
        <w:ind w:left="705" w:hanging="705"/>
        <w:jc w:val="both"/>
      </w:pPr>
      <w:r>
        <w:t>1.4.29.</w:t>
      </w:r>
      <w:r>
        <w:tab/>
      </w:r>
      <w:r w:rsidR="00DE3EC6">
        <w:t>Kategoria reaktywności kruszywa – sklasyfikowana podatność kruszywa na reakcję z wodorotlenkami sodu i potasu w betonie cementowym, ASR. Kategorie reaktywności:</w:t>
      </w:r>
    </w:p>
    <w:p w:rsidR="00DE3EC6" w:rsidRDefault="00DE3EC6" w:rsidP="00A77BA7">
      <w:pPr>
        <w:ind w:firstLine="705"/>
        <w:jc w:val="both"/>
      </w:pPr>
      <w:r>
        <w:t>- R0 kategoria 0 reaktywności kruszywa (kruszywo niereaktywne),</w:t>
      </w:r>
    </w:p>
    <w:p w:rsidR="00DE3EC6" w:rsidRDefault="00DE3EC6" w:rsidP="00A77BA7">
      <w:pPr>
        <w:ind w:firstLine="705"/>
        <w:jc w:val="both"/>
      </w:pPr>
      <w:r>
        <w:t>- R1 kategoria 1 reaktywności kruszywa (kruszywo umiarkowanie reaktywne),</w:t>
      </w:r>
    </w:p>
    <w:p w:rsidR="00DE3EC6" w:rsidRDefault="00DE3EC6" w:rsidP="00A77BA7">
      <w:pPr>
        <w:ind w:firstLine="705"/>
        <w:jc w:val="both"/>
      </w:pPr>
      <w:r>
        <w:t>- R2 kategoria 2 reaktywności kruszywa (kruszywo silnie reaktywne),</w:t>
      </w:r>
    </w:p>
    <w:p w:rsidR="00DE3EC6" w:rsidRDefault="00DE3EC6" w:rsidP="00A77BA7">
      <w:pPr>
        <w:ind w:firstLine="705"/>
        <w:jc w:val="both"/>
      </w:pPr>
      <w:r>
        <w:t>- R3 kategoria 3 reaktywności kruszywa (kruszywo bardzo silne reaktywne).</w:t>
      </w:r>
    </w:p>
    <w:p w:rsidR="00DE3EC6" w:rsidRDefault="00A77BA7" w:rsidP="00A77BA7">
      <w:pPr>
        <w:ind w:left="705" w:hanging="705"/>
        <w:jc w:val="both"/>
      </w:pPr>
      <w:r>
        <w:t>1.4.30.</w:t>
      </w:r>
      <w:r>
        <w:tab/>
      </w:r>
      <w:r w:rsidR="00DE3EC6">
        <w:t>Stopień mrozoodporności - symbol literowo-liczbowy (np. F200) klasyfikujący beton pod względem jego odporności na działanie mrozu; liczba po literze F oznacza wymaganą liczbę cykli zamrażania i odmrażania próbek betonowych, sposób badania wg PN-B-06265.</w:t>
      </w:r>
    </w:p>
    <w:p w:rsidR="00DE3EC6" w:rsidRDefault="00A77BA7" w:rsidP="00A77BA7">
      <w:pPr>
        <w:ind w:left="705" w:hanging="705"/>
        <w:jc w:val="both"/>
      </w:pPr>
      <w:r>
        <w:t>1.4.31.</w:t>
      </w:r>
      <w:r>
        <w:tab/>
      </w:r>
      <w:r w:rsidR="00DE3EC6">
        <w:t>Specyfikacja betonu – podane producentowi końcowe zestawienie udokumentowanych wymagań technicznych dotyczących właściwości użytkowych lub składu betonu</w:t>
      </w:r>
    </w:p>
    <w:p w:rsidR="00DE3EC6" w:rsidRDefault="00A77BA7" w:rsidP="00A77BA7">
      <w:pPr>
        <w:ind w:left="705" w:hanging="705"/>
        <w:jc w:val="both"/>
      </w:pPr>
      <w:r>
        <w:t>1.4.32.</w:t>
      </w:r>
      <w:r>
        <w:tab/>
      </w:r>
      <w:r w:rsidR="00DE3EC6">
        <w:t>Badanie zgodności i ocena zgodności – badanie wykonywane przez producenta w celu oceny zgodności betonu, czyli systematycznej kontroli stopnia, w jakim wyrób spełnia wyspecyfikowane wymagania.</w:t>
      </w:r>
    </w:p>
    <w:p w:rsidR="00DE3EC6" w:rsidRDefault="00A77BA7" w:rsidP="00A77BA7">
      <w:pPr>
        <w:ind w:left="705" w:hanging="705"/>
        <w:jc w:val="both"/>
      </w:pPr>
      <w:r>
        <w:t>1.4.33.</w:t>
      </w:r>
      <w:r>
        <w:tab/>
      </w:r>
      <w:r w:rsidR="00DE3EC6">
        <w:t>Badanie identyczności – badanie mające na celu określenie, czy wytypowane zaroby lub ładunki pochodzą z odpowiedniej populacji o potwierdzonej zgodności</w:t>
      </w:r>
    </w:p>
    <w:p w:rsidR="00DE3EC6" w:rsidRDefault="00A77BA7" w:rsidP="00A77BA7">
      <w:pPr>
        <w:ind w:left="705" w:hanging="705"/>
        <w:jc w:val="both"/>
      </w:pPr>
      <w:r>
        <w:t>1.4.34.</w:t>
      </w:r>
      <w:r>
        <w:tab/>
      </w:r>
      <w:r w:rsidR="00DE3EC6">
        <w:t>Element masywny – konstrukcja, dla której moduł powierzchniowy M &lt; 3 (M = Fc/V – dla elementów krępych, gdzie: Fc – powierzchnia strat ciepła [m2], V – objętość masy betonowej [m3]; M jest mniejsze od 3 dla płyt o grubości większej niż 0,6 m, M jest mniejsze od 3 dla słupów o przekroju większym niż 0,50x0,50 m.</w:t>
      </w:r>
    </w:p>
    <w:p w:rsidR="00DE3EC6" w:rsidRDefault="00A77BA7" w:rsidP="00A77BA7">
      <w:pPr>
        <w:jc w:val="both"/>
      </w:pPr>
      <w:r>
        <w:t>1.4.35.</w:t>
      </w:r>
      <w:r>
        <w:tab/>
      </w:r>
      <w:r w:rsidR="00DE3EC6">
        <w:t>Zaczyn cementowy – mieszanina cementu i wody</w:t>
      </w:r>
    </w:p>
    <w:p w:rsidR="00DE3EC6" w:rsidRDefault="00A77BA7" w:rsidP="00A77BA7">
      <w:pPr>
        <w:ind w:left="705" w:hanging="705"/>
        <w:jc w:val="both"/>
      </w:pPr>
      <w:r>
        <w:t>1.4.36.</w:t>
      </w:r>
      <w:r>
        <w:tab/>
      </w:r>
      <w:r w:rsidR="00DE3EC6">
        <w:t>Zaprawa – mieszanina cementu, wody, składników i ewentualnych dodatków przechodzących przez sito kontrolne o boku oczka kwadratowego 2mm</w:t>
      </w:r>
    </w:p>
    <w:p w:rsidR="00DE3EC6" w:rsidRDefault="00A77BA7" w:rsidP="00A77BA7">
      <w:pPr>
        <w:ind w:left="705" w:hanging="705"/>
        <w:jc w:val="both"/>
      </w:pPr>
      <w:r>
        <w:t>1.4.37.</w:t>
      </w:r>
      <w:r>
        <w:tab/>
      </w:r>
      <w:r w:rsidR="00DE3EC6">
        <w:t>Zarób mieszanki betonowej – ilość mieszanki jednorazowo otrzymanej z urządzenia mieszającego lub pojemnika transportowego.</w:t>
      </w:r>
    </w:p>
    <w:p w:rsidR="00DE3EC6" w:rsidRDefault="00A77BA7" w:rsidP="00A77BA7">
      <w:pPr>
        <w:ind w:left="705" w:hanging="705"/>
        <w:jc w:val="both"/>
      </w:pPr>
      <w:r>
        <w:t>1.4.38.</w:t>
      </w:r>
      <w:r>
        <w:tab/>
      </w:r>
      <w:r w:rsidR="00DE3EC6">
        <w:t>Partia betonu – ilość betonu o tych samych wymaganiach, podlegająca oddzielnej ocenie, wyprodukowana w okresie umownym nie dłuższym niż 1 miesiąc, z takich samych składników, w ten sam sposób i w tych samych warunkach</w:t>
      </w:r>
    </w:p>
    <w:p w:rsidR="00DE3EC6" w:rsidRDefault="00A77BA7" w:rsidP="00A77BA7">
      <w:pPr>
        <w:ind w:left="705" w:hanging="705"/>
        <w:jc w:val="both"/>
      </w:pPr>
      <w:r>
        <w:t>1.4.39.</w:t>
      </w:r>
      <w:r>
        <w:tab/>
      </w:r>
      <w:r w:rsidR="00DE3EC6">
        <w:t>Rusztowania mostowe – pomocnicze budowle czasowe, służące do wykonania projektowanego obiektu mostowego. Rusztowania dzieli się na: robocze, montażowe i niosące</w:t>
      </w:r>
    </w:p>
    <w:p w:rsidR="00DE3EC6" w:rsidRDefault="00A77BA7" w:rsidP="00A77BA7">
      <w:pPr>
        <w:jc w:val="both"/>
      </w:pPr>
      <w:r>
        <w:t>1.4.40.</w:t>
      </w:r>
      <w:r>
        <w:tab/>
      </w:r>
      <w:r w:rsidR="00DE3EC6">
        <w:t>Rusztowania robocze – rusztowania służące do przenoszenia ciężaru sprzętu i ludzi</w:t>
      </w:r>
    </w:p>
    <w:p w:rsidR="00DE3EC6" w:rsidRDefault="00A77BA7" w:rsidP="00A77BA7">
      <w:pPr>
        <w:ind w:left="705" w:hanging="705"/>
        <w:jc w:val="both"/>
      </w:pPr>
      <w:r>
        <w:t>1.4.41.</w:t>
      </w:r>
      <w:r>
        <w:tab/>
      </w:r>
      <w:r w:rsidR="00DE3EC6">
        <w:t>Rusztowania montażowe – rusztowania służące do przenoszenia obciążeń od montowanej konstrukcji z gotowych elementów oraz ciężaru sprzętu i ludzi.</w:t>
      </w:r>
    </w:p>
    <w:p w:rsidR="00DE3EC6" w:rsidRDefault="006520AA" w:rsidP="006520AA">
      <w:pPr>
        <w:ind w:left="705" w:hanging="705"/>
        <w:jc w:val="both"/>
      </w:pPr>
      <w:r>
        <w:t>1.4.42.</w:t>
      </w:r>
      <w:r>
        <w:tab/>
      </w:r>
      <w:r w:rsidR="00DE3EC6">
        <w:t>Rusztowania niosące – rusztowania służące do przenoszenia obciążeń od deskowań i od konstrukcji betonowych, żelbetowych i z betonu sprężonego, do czasu uzyskania przez nie wymaganej nośności, oraz od ciężaru sprzętu i ludz</w:t>
      </w:r>
    </w:p>
    <w:p w:rsidR="00DE3EC6" w:rsidRDefault="006520AA" w:rsidP="006520AA">
      <w:pPr>
        <w:ind w:left="705" w:hanging="705"/>
        <w:jc w:val="both"/>
      </w:pPr>
      <w:r>
        <w:t>1.4.43.</w:t>
      </w:r>
      <w:r>
        <w:tab/>
      </w:r>
      <w:r w:rsidR="00DE3EC6">
        <w:t>Deskowanie – element robót tymczasowych używany do nadania pożądanego kształtu konstrukcji betonowej lub żelbetowej oraz podtrzymania zbrojenia i mieszanki betonowej w czasie betonowania, usuwany po stwardnieniu betonu. Składa się głównie z materiałów osłonowych (np. deski, sklejka, blachy lub arkusze z tworzyw sztucznych), pozostających w bezpośred</w:t>
      </w:r>
    </w:p>
    <w:p w:rsidR="00292439" w:rsidRDefault="00292439" w:rsidP="003A4252">
      <w:pPr>
        <w:pStyle w:val="Styl4"/>
        <w:jc w:val="both"/>
        <w:rPr>
          <w:b w:val="0"/>
        </w:rPr>
      </w:pPr>
    </w:p>
    <w:p w:rsidR="00B833AC" w:rsidRPr="00542E21" w:rsidRDefault="00542E21" w:rsidP="00F32662">
      <w:pPr>
        <w:pStyle w:val="Styl4"/>
        <w:jc w:val="both"/>
        <w:rPr>
          <w:b w:val="0"/>
        </w:rPr>
      </w:pPr>
      <w:r>
        <w:rPr>
          <w:b w:val="0"/>
        </w:rPr>
        <w:br/>
      </w:r>
      <w:r w:rsidR="00B833AC">
        <w:t>1.5. Ogólne wymagania dotyczące Robót</w:t>
      </w:r>
    </w:p>
    <w:p w:rsidR="00F32662" w:rsidRDefault="00F32662" w:rsidP="006520AA">
      <w:pPr>
        <w:ind w:firstLine="709"/>
        <w:jc w:val="both"/>
      </w:pPr>
      <w:r>
        <w:t xml:space="preserve">Ogólne wymagania dotyczące robót podano w Specyfikacji D.M.00.00.00.  </w:t>
      </w:r>
    </w:p>
    <w:p w:rsidR="00F32662" w:rsidRDefault="00F32662" w:rsidP="00F32662">
      <w:pPr>
        <w:jc w:val="both"/>
      </w:pPr>
      <w:r>
        <w:t xml:space="preserve">Wykonawca  robót  jest  odpowiedzialny  za  jakość  ich  wykonania  oraz  za  zgodność  z  Dokumentacją </w:t>
      </w:r>
    </w:p>
    <w:p w:rsidR="00F32662" w:rsidRDefault="00F32662" w:rsidP="00F32662">
      <w:pPr>
        <w:jc w:val="both"/>
      </w:pPr>
      <w:r>
        <w:t xml:space="preserve">Projektową, SST i poleceniami Inspektora Nadzoru. </w:t>
      </w:r>
    </w:p>
    <w:p w:rsidR="00B833AC" w:rsidRDefault="00B833AC" w:rsidP="00F32662">
      <w:pPr>
        <w:widowControl w:val="0"/>
        <w:spacing w:before="120" w:after="120"/>
        <w:jc w:val="both"/>
        <w:rPr>
          <w:b/>
          <w:snapToGrid w:val="0"/>
          <w:u w:val="single"/>
        </w:rPr>
      </w:pPr>
      <w:r>
        <w:rPr>
          <w:b/>
          <w:noProof/>
          <w:snapToGrid w:val="0"/>
          <w:u w:val="single"/>
        </w:rPr>
        <w:t>2.</w:t>
      </w:r>
      <w:r>
        <w:rPr>
          <w:b/>
          <w:snapToGrid w:val="0"/>
          <w:u w:val="single"/>
        </w:rPr>
        <w:t xml:space="preserve"> MATERIAŁY</w:t>
      </w:r>
    </w:p>
    <w:p w:rsidR="00F32662" w:rsidRPr="00F32662" w:rsidRDefault="00F32662" w:rsidP="00F32662">
      <w:pPr>
        <w:jc w:val="both"/>
        <w:rPr>
          <w:b/>
        </w:rPr>
      </w:pPr>
      <w:r w:rsidRPr="00F32662">
        <w:rPr>
          <w:b/>
        </w:rPr>
        <w:t xml:space="preserve">2.1. Ogólne wymagania dotyczące materiałów </w:t>
      </w:r>
    </w:p>
    <w:p w:rsidR="00F32662" w:rsidRDefault="00F32662" w:rsidP="006520AA">
      <w:pPr>
        <w:ind w:firstLine="709"/>
        <w:jc w:val="both"/>
      </w:pPr>
      <w:r>
        <w:t xml:space="preserve">Ogólne  wymagania  dotyczące  materiałów,  ich  pozyskiwania  i  składowania,  podano  w  D.M.00.00.00 „Wymagania ogólne”. </w:t>
      </w:r>
    </w:p>
    <w:p w:rsidR="000721A1" w:rsidRDefault="006520AA" w:rsidP="006520AA">
      <w:pPr>
        <w:ind w:firstLine="709"/>
        <w:jc w:val="both"/>
      </w:pPr>
      <w:r>
        <w:t>Do betonu konstrukcyjnego należy stosować materiały dopuszczone do obrotu i stosowania. Należy stosować materiały, które są oznakowane znakiem CE lub znakiem B i dla których została wydana Deklaracja Właściwości Użytkowych (DWU) lub Krajowa Deklaracja Właściwości Użytkowych (KDWU), odniesione do Europejskiej Normy zharmonizowanej (ENh), Polskiej Normy wyrobu (PN), Europejskiej Oceny Technicznej (EOT) lub Krajowej Oceny Technicznej (KOT).</w:t>
      </w:r>
    </w:p>
    <w:p w:rsidR="006520AA" w:rsidRDefault="006520AA" w:rsidP="006520AA">
      <w:pPr>
        <w:ind w:firstLine="709"/>
        <w:jc w:val="both"/>
      </w:pPr>
      <w:r>
        <w:t>Zgodnie z założeniem Wytycznych technicznych klasyfikacji kruszyw krajowych i zapobiegania reakcji alkalicznej w betonie stosowanym w nawierzchniach dróg i drogowych obiektach inżynierskich […], że nie dopuszcza się do stosowania kruszyw podatnych na reakcję alkalia-węglany, pojęcie akceptowalności szkodliwych efektów reakcji alkalia-kruszywo jest ograniczone wyłącznie do efektów reakcji alkalia-krzemionka.</w:t>
      </w:r>
    </w:p>
    <w:p w:rsidR="006520AA" w:rsidRPr="006520AA" w:rsidRDefault="006520AA" w:rsidP="006520AA">
      <w:pPr>
        <w:ind w:firstLine="709"/>
        <w:jc w:val="both"/>
      </w:pPr>
      <w:r>
        <w:t>Klasyfikacja obiektu inżynierskich w zależności od konsekwencji wystąpienia szkodliwych efektów reakcji alkalia-kruszywa na podstawie AASHTO R 80-17 po dostosowaniu do warunków krajowych, zgodnie z Wytycznymi technicznych klasyfikacji kruszyw krajowych i zapobiegania reakcji alkalicznej w betonie stosowanym w nawierzchniach dróg i drogowych obiektach inżynierskich […]</w:t>
      </w:r>
    </w:p>
    <w:p w:rsidR="006520AA" w:rsidRDefault="006520AA" w:rsidP="00686B91">
      <w:pPr>
        <w:ind w:firstLine="709"/>
        <w:jc w:val="both"/>
      </w:pPr>
      <w:r>
        <w:t>– S4 (obiekt o trwałości powyżej 50 lat – min. 100 lat wg § 153 Rozporządzenia MTiGW w sprawie warunków technicznych, jakim powinny odpowiadać drogowe obiekty inżynierskie i ich usytuowanie</w:t>
      </w:r>
    </w:p>
    <w:p w:rsidR="006520AA" w:rsidRDefault="006520AA" w:rsidP="006520AA">
      <w:pPr>
        <w:ind w:firstLine="709"/>
        <w:jc w:val="both"/>
      </w:pPr>
      <w:r>
        <w:t>Kategorie oddziaływań środowiskowych zgodnie z CEN/TR 16349 i RILEM AAR 7.1</w:t>
      </w:r>
    </w:p>
    <w:p w:rsidR="006520AA" w:rsidRDefault="006520AA" w:rsidP="006520AA">
      <w:pPr>
        <w:ind w:firstLine="709"/>
        <w:jc w:val="both"/>
      </w:pPr>
      <w:r>
        <w:t>Dla kategorii środowiska E2 – fundamenty przyczółków i filarów, pale fundamentowe, przyczółki i filary, płyty przejściowe i mury oporowe, ciosy podłożskowe i kapy chodnikowe.</w:t>
      </w:r>
    </w:p>
    <w:p w:rsidR="006520AA" w:rsidRPr="006520AA" w:rsidRDefault="006520AA" w:rsidP="00686B91">
      <w:pPr>
        <w:ind w:firstLine="709"/>
        <w:jc w:val="both"/>
      </w:pPr>
      <w:r>
        <w:t>Dla kategorii środowiska E3 – płyta ustroju niosącego.</w:t>
      </w:r>
    </w:p>
    <w:p w:rsidR="006520AA" w:rsidRPr="00F32662" w:rsidRDefault="006520AA" w:rsidP="006520AA">
      <w:pPr>
        <w:jc w:val="both"/>
        <w:rPr>
          <w:b/>
        </w:rPr>
      </w:pPr>
      <w:r>
        <w:rPr>
          <w:b/>
        </w:rPr>
        <w:t>2.2</w:t>
      </w:r>
      <w:r w:rsidRPr="00F32662">
        <w:rPr>
          <w:b/>
        </w:rPr>
        <w:t xml:space="preserve">. </w:t>
      </w:r>
      <w:r>
        <w:rPr>
          <w:b/>
        </w:rPr>
        <w:t>Wymagania dotyczące betonu konstrukcyjnego</w:t>
      </w:r>
    </w:p>
    <w:p w:rsidR="006520AA" w:rsidRDefault="006520AA" w:rsidP="006520AA">
      <w:pPr>
        <w:ind w:firstLine="709"/>
        <w:jc w:val="both"/>
      </w:pPr>
      <w:r>
        <w:t>Beton konstrukcyjny powinien mieć wytrzymałość określoną klasą wytrzymałości na ściskanie według PN-EN 206 zgodną z wymaganiami ustalonymi dla klas ekspozycji betonu według PN-EN 206 i PN-B-06265 oraz odpowiadać wymaganiom podanym w dokumentacji projektowej.</w:t>
      </w:r>
    </w:p>
    <w:p w:rsidR="006520AA" w:rsidRPr="006520AA" w:rsidRDefault="006520AA" w:rsidP="006520AA">
      <w:pPr>
        <w:ind w:firstLine="709"/>
        <w:jc w:val="both"/>
      </w:pPr>
      <w:r>
        <w:t>Beton w elementach konstrukcji narażonych na agresywne oddziaływanie zamrażania /rozmrażania bez środków odladzających albo ze środkami odladzającymi powinien wykazywać odporność na działanie mrozu oznaczoną stopniem mrozoodporności według PN-B-06250 nie mniejszą niż F150 w klasie ekspozycji XF2 i F200 w klasie ekspozycji XF4.</w:t>
      </w:r>
    </w:p>
    <w:p w:rsidR="006520AA" w:rsidRDefault="006520AA" w:rsidP="006520AA">
      <w:pPr>
        <w:numPr>
          <w:ilvl w:val="12"/>
          <w:numId w:val="0"/>
        </w:numPr>
        <w:ind w:firstLine="709"/>
        <w:jc w:val="both"/>
      </w:pPr>
      <w:r>
        <w:t>Beton w elementach konstrukcji narażonych na oddziaływanie środowiska chemicznie agresywnego powinien wykazywać odporność na penetrację wody pod ciśnieniem według PN-EN 12390-8 mierzoną maksymalną głębokością penetracji nie większą niż:</w:t>
      </w:r>
    </w:p>
    <w:p w:rsidR="006520AA" w:rsidRDefault="00B568DD" w:rsidP="006520AA">
      <w:pPr>
        <w:numPr>
          <w:ilvl w:val="12"/>
          <w:numId w:val="0"/>
        </w:numPr>
        <w:jc w:val="both"/>
      </w:pPr>
      <w:r>
        <w:t>- 60 mm w klasie ekspozycji XA1,</w:t>
      </w:r>
    </w:p>
    <w:p w:rsidR="00B568DD" w:rsidRDefault="00B568DD" w:rsidP="006520AA">
      <w:pPr>
        <w:numPr>
          <w:ilvl w:val="12"/>
          <w:numId w:val="0"/>
        </w:numPr>
        <w:jc w:val="both"/>
      </w:pPr>
      <w:r>
        <w:t>- 50 mm w klasie ekspozycji XA2,</w:t>
      </w:r>
    </w:p>
    <w:p w:rsidR="00B568DD" w:rsidRDefault="00B568DD" w:rsidP="006520AA">
      <w:pPr>
        <w:numPr>
          <w:ilvl w:val="12"/>
          <w:numId w:val="0"/>
        </w:numPr>
        <w:jc w:val="both"/>
      </w:pPr>
      <w:r>
        <w:t>- 40 mm w klasie ekspozycji XA3, XS3, XD3.</w:t>
      </w:r>
    </w:p>
    <w:p w:rsidR="006520AA" w:rsidRDefault="006520AA" w:rsidP="006520AA">
      <w:pPr>
        <w:numPr>
          <w:ilvl w:val="12"/>
          <w:numId w:val="0"/>
        </w:numPr>
        <w:ind w:firstLine="709"/>
        <w:jc w:val="both"/>
      </w:pPr>
    </w:p>
    <w:p w:rsidR="006520AA" w:rsidRDefault="00B568DD" w:rsidP="00686B91">
      <w:pPr>
        <w:numPr>
          <w:ilvl w:val="12"/>
          <w:numId w:val="0"/>
        </w:numPr>
        <w:jc w:val="both"/>
      </w:pPr>
      <w:r>
        <w:t>W odniesieniu do klas ekspozycji beton i jego skład powinien spełniać wymagania Tabeli 1</w:t>
      </w:r>
    </w:p>
    <w:p w:rsidR="00686B91" w:rsidRDefault="00686B91" w:rsidP="00686B91">
      <w:pPr>
        <w:numPr>
          <w:ilvl w:val="12"/>
          <w:numId w:val="0"/>
        </w:numPr>
        <w:jc w:val="both"/>
      </w:pPr>
    </w:p>
    <w:p w:rsidR="00686B91" w:rsidRDefault="00686B91" w:rsidP="00686B91">
      <w:pPr>
        <w:numPr>
          <w:ilvl w:val="12"/>
          <w:numId w:val="0"/>
        </w:numPr>
        <w:jc w:val="center"/>
        <w:rPr>
          <w:b/>
        </w:rPr>
      </w:pPr>
      <w:r>
        <w:t>Tabela 1. Zalecane wartości graniczne dotyczące składu i właściwości betonu</w:t>
      </w:r>
    </w:p>
    <w:p w:rsidR="006520AA" w:rsidRDefault="006520AA" w:rsidP="00B833AC">
      <w:pPr>
        <w:numPr>
          <w:ilvl w:val="12"/>
          <w:numId w:val="0"/>
        </w:numPr>
        <w:jc w:val="both"/>
        <w:rPr>
          <w:b/>
        </w:rPr>
      </w:pPr>
    </w:p>
    <w:p w:rsidR="00686B91" w:rsidRDefault="00686B91" w:rsidP="00686B91">
      <w:pPr>
        <w:numPr>
          <w:ilvl w:val="12"/>
          <w:numId w:val="0"/>
        </w:numPr>
        <w:jc w:val="center"/>
        <w:rPr>
          <w:b/>
        </w:rPr>
      </w:pPr>
      <w:r>
        <w:rPr>
          <w:b/>
          <w:noProof/>
        </w:rPr>
        <w:drawing>
          <wp:inline distT="0" distB="0" distL="0" distR="0">
            <wp:extent cx="4291342" cy="5542054"/>
            <wp:effectExtent l="0" t="0" r="0" b="1905"/>
            <wp:docPr id="51" name="Obraz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91418" cy="5542152"/>
                    </a:xfrm>
                    <a:prstGeom prst="rect">
                      <a:avLst/>
                    </a:prstGeom>
                    <a:noFill/>
                    <a:ln>
                      <a:noFill/>
                    </a:ln>
                  </pic:spPr>
                </pic:pic>
              </a:graphicData>
            </a:graphic>
          </wp:inline>
        </w:drawing>
      </w:r>
    </w:p>
    <w:p w:rsidR="00686B91" w:rsidRDefault="00686B91" w:rsidP="00686B91">
      <w:pPr>
        <w:numPr>
          <w:ilvl w:val="12"/>
          <w:numId w:val="0"/>
        </w:numPr>
        <w:jc w:val="center"/>
        <w:rPr>
          <w:b/>
        </w:rPr>
      </w:pPr>
      <w:r>
        <w:rPr>
          <w:b/>
          <w:noProof/>
        </w:rPr>
        <w:drawing>
          <wp:inline distT="0" distB="0" distL="0" distR="0">
            <wp:extent cx="4409038" cy="3039964"/>
            <wp:effectExtent l="0" t="0" r="0" b="8255"/>
            <wp:docPr id="53" name="Obraz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09464" cy="3040257"/>
                    </a:xfrm>
                    <a:prstGeom prst="rect">
                      <a:avLst/>
                    </a:prstGeom>
                    <a:noFill/>
                    <a:ln>
                      <a:noFill/>
                    </a:ln>
                  </pic:spPr>
                </pic:pic>
              </a:graphicData>
            </a:graphic>
          </wp:inline>
        </w:drawing>
      </w:r>
    </w:p>
    <w:p w:rsidR="00686B91" w:rsidRDefault="00686B91" w:rsidP="00686B91">
      <w:pPr>
        <w:numPr>
          <w:ilvl w:val="12"/>
          <w:numId w:val="0"/>
        </w:numPr>
        <w:jc w:val="center"/>
        <w:rPr>
          <w:b/>
        </w:rPr>
      </w:pPr>
    </w:p>
    <w:p w:rsidR="00686B91" w:rsidRDefault="00686B91" w:rsidP="00B833AC">
      <w:pPr>
        <w:numPr>
          <w:ilvl w:val="12"/>
          <w:numId w:val="0"/>
        </w:numPr>
        <w:jc w:val="both"/>
        <w:rPr>
          <w:b/>
        </w:rPr>
      </w:pPr>
    </w:p>
    <w:p w:rsidR="00686B91" w:rsidRDefault="00686B91" w:rsidP="00B833AC">
      <w:pPr>
        <w:numPr>
          <w:ilvl w:val="12"/>
          <w:numId w:val="0"/>
        </w:numPr>
        <w:jc w:val="both"/>
        <w:rPr>
          <w:b/>
        </w:rPr>
      </w:pPr>
    </w:p>
    <w:p w:rsidR="00686B91" w:rsidRDefault="00686B91" w:rsidP="00686B91">
      <w:pPr>
        <w:jc w:val="both"/>
        <w:rPr>
          <w:b/>
        </w:rPr>
      </w:pPr>
      <w:r>
        <w:rPr>
          <w:b/>
        </w:rPr>
        <w:t>2.3</w:t>
      </w:r>
      <w:r w:rsidRPr="00F32662">
        <w:rPr>
          <w:b/>
        </w:rPr>
        <w:t xml:space="preserve">. </w:t>
      </w:r>
      <w:r>
        <w:rPr>
          <w:b/>
        </w:rPr>
        <w:t>Składniki mieszanki betonowej</w:t>
      </w:r>
    </w:p>
    <w:p w:rsidR="00686B91" w:rsidRDefault="00686B91" w:rsidP="00686B91">
      <w:pPr>
        <w:jc w:val="both"/>
        <w:rPr>
          <w:b/>
        </w:rPr>
      </w:pPr>
    </w:p>
    <w:p w:rsidR="00686B91" w:rsidRDefault="00686B91" w:rsidP="00686B91">
      <w:pPr>
        <w:jc w:val="both"/>
      </w:pPr>
      <w:r w:rsidRPr="00686B91">
        <w:t>2.3.1. Cement</w:t>
      </w:r>
      <w:r>
        <w:t xml:space="preserve"> - Do wykonania betonu konstrukcyjnego w elementach obiektu drogowego powinny być stosowane następujące cementy:</w:t>
      </w:r>
    </w:p>
    <w:p w:rsidR="00686B91" w:rsidRPr="00686B91" w:rsidRDefault="00686B91" w:rsidP="00686B91">
      <w:pPr>
        <w:ind w:left="709"/>
        <w:jc w:val="both"/>
      </w:pPr>
      <w:r>
        <w:t>- cement portlandzki CEM I o całkowitej zawartości alkaliów Na2Oeq ≤ 0,80% według PN-EN 196-2, spełniający wymagania PN-EN 197-1;</w:t>
      </w:r>
    </w:p>
    <w:p w:rsidR="00686B91" w:rsidRDefault="00686B91" w:rsidP="00686B91">
      <w:pPr>
        <w:numPr>
          <w:ilvl w:val="12"/>
          <w:numId w:val="0"/>
        </w:numPr>
        <w:ind w:left="709"/>
        <w:jc w:val="both"/>
        <w:rPr>
          <w:b/>
        </w:rPr>
      </w:pPr>
      <w:r>
        <w:t>oddziaływanie środowiska w klasie ekspozycji XF4 należy spełnić dodatkowe wymagania: klasa wytrzymałości cementu ≥ 42,5 lub klasa wytrzymałości cementu ≥ 32,5 R z zawartością granulowanego żużla wielkopiecowego ≤ 50 % (masowo)</w:t>
      </w:r>
    </w:p>
    <w:p w:rsidR="00686B91" w:rsidRDefault="00686B91" w:rsidP="00B833AC">
      <w:pPr>
        <w:numPr>
          <w:ilvl w:val="12"/>
          <w:numId w:val="0"/>
        </w:numPr>
        <w:jc w:val="both"/>
        <w:rPr>
          <w:b/>
        </w:rPr>
      </w:pPr>
    </w:p>
    <w:p w:rsidR="00686B91" w:rsidRDefault="00686B91" w:rsidP="00B833AC">
      <w:pPr>
        <w:numPr>
          <w:ilvl w:val="12"/>
          <w:numId w:val="0"/>
        </w:numPr>
        <w:jc w:val="both"/>
      </w:pPr>
      <w:r>
        <w:t>Do betonu klasy wytrzymałości na ściskanie wyższej niż C30/37 powinien być stosowany cement klasy nie niższej niż 42,5. Do wykonania betonu sprężonego w elementach drogowego obiektu inżynierskiego stosuje się cement CEM I. Przy doborze cementu uwzględnia się:</w:t>
      </w:r>
    </w:p>
    <w:p w:rsidR="00686B91" w:rsidRDefault="00686B91" w:rsidP="00686B91">
      <w:pPr>
        <w:numPr>
          <w:ilvl w:val="12"/>
          <w:numId w:val="0"/>
        </w:numPr>
        <w:ind w:firstLine="709"/>
        <w:jc w:val="both"/>
      </w:pPr>
      <w:r>
        <w:t>- rodzaj, wymiary i technologię wykonania konstrukcji;</w:t>
      </w:r>
    </w:p>
    <w:p w:rsidR="00686B91" w:rsidRDefault="00686B91" w:rsidP="00686B91">
      <w:pPr>
        <w:numPr>
          <w:ilvl w:val="12"/>
          <w:numId w:val="0"/>
        </w:numPr>
        <w:ind w:firstLine="709"/>
        <w:jc w:val="both"/>
      </w:pPr>
      <w:r>
        <w:t>- warunki wykonania, pielęgnacji i dojrzewania betonu;</w:t>
      </w:r>
    </w:p>
    <w:p w:rsidR="00686B91" w:rsidRDefault="00686B91" w:rsidP="00686B91">
      <w:pPr>
        <w:numPr>
          <w:ilvl w:val="12"/>
          <w:numId w:val="0"/>
        </w:numPr>
        <w:ind w:left="709"/>
        <w:jc w:val="both"/>
      </w:pPr>
      <w:r>
        <w:t>- agresywność środowiska, na które będzie narażona konstrukcja, w tym klasyfikację środowiska w odniesieniu do możliwości wystąpienia w betonie konstrukcyjnym zagrożenia destrukcyjną reakcją minerałów z wodorotlenkami sodu i potasu w cieczy porowej betonu.</w:t>
      </w:r>
    </w:p>
    <w:p w:rsidR="00686B91" w:rsidRDefault="00686B91" w:rsidP="00686B91">
      <w:pPr>
        <w:numPr>
          <w:ilvl w:val="12"/>
          <w:numId w:val="0"/>
        </w:numPr>
        <w:ind w:left="709"/>
        <w:jc w:val="both"/>
      </w:pPr>
    </w:p>
    <w:p w:rsidR="00686B91" w:rsidRDefault="00686B91" w:rsidP="00770BDD">
      <w:pPr>
        <w:jc w:val="both"/>
      </w:pPr>
      <w:r>
        <w:t xml:space="preserve">2.3.2. </w:t>
      </w:r>
      <w:r w:rsidR="00770BDD">
        <w:t>Kruszywo - Do wykonania betonów należy stosować kruszywa naturalne pochodzenia mineralnego, które poza obróbką mechaniczną nie zostały poddane żadnej innej obróbce, których właściwości spełniają wymagania określone w normie PN-EN 12620, PN-EN 13043 i określone poniżej.</w:t>
      </w:r>
    </w:p>
    <w:p w:rsidR="00770BDD" w:rsidRPr="00770BDD" w:rsidRDefault="00770BDD" w:rsidP="00770BDD">
      <w:pPr>
        <w:ind w:firstLine="709"/>
        <w:jc w:val="both"/>
      </w:pPr>
      <w:r>
        <w:t>Przy doborze kruszywa do mieszanki betonowej należy uwzględniać zapisy zawarte w Wytyczne techniczne klasyfikacji kruszyw krajowych i zapobiegania reakcji alkalicznej w betonie stosowanym w nawierzchniach dróg i drogowych obiektach inżynierskich (GDDKiA).</w:t>
      </w:r>
    </w:p>
    <w:p w:rsidR="00686B91" w:rsidRDefault="00770BDD" w:rsidP="00770BDD">
      <w:pPr>
        <w:numPr>
          <w:ilvl w:val="12"/>
          <w:numId w:val="0"/>
        </w:numPr>
        <w:ind w:firstLine="709"/>
        <w:jc w:val="both"/>
        <w:rPr>
          <w:b/>
        </w:rPr>
      </w:pPr>
      <w:r>
        <w:t>Procedura postępowania z kruszywami z przekruszenia surowca skalnego ze złóż polodowcowych i kruszywami ze skał węglanowych pochodzenia dewońskiego i starszymi, głębokomorskimi, została określona w Wytyczne techniczne klasyfikacji kruszyw krajowych i zapobiegania reakcji alkalicznej w betonie stosowanym w nawierzchniach dróg i drogowych obiektach inżynierskich GDDKiA</w:t>
      </w:r>
    </w:p>
    <w:p w:rsidR="00686B91" w:rsidRDefault="00770BDD" w:rsidP="00770BDD">
      <w:pPr>
        <w:numPr>
          <w:ilvl w:val="12"/>
          <w:numId w:val="0"/>
        </w:numPr>
        <w:ind w:firstLine="709"/>
        <w:jc w:val="both"/>
      </w:pPr>
      <w:r>
        <w:t>W przypadku negatywnych wyników badań/nie spełnienia wymagań, ww. kruszywa i każdy element wykonany ich zastosowaniem zostanie usunięty z budowy na koszt Wykonawcy.</w:t>
      </w:r>
    </w:p>
    <w:p w:rsidR="00770BDD" w:rsidRDefault="00770BDD" w:rsidP="00770BDD">
      <w:pPr>
        <w:numPr>
          <w:ilvl w:val="12"/>
          <w:numId w:val="0"/>
        </w:numPr>
        <w:ind w:firstLine="709"/>
        <w:jc w:val="both"/>
      </w:pPr>
      <w:r>
        <w:t>Do wykonania betonów nie dopuszcza się stosowania kruszyw:</w:t>
      </w:r>
    </w:p>
    <w:p w:rsidR="00770BDD" w:rsidRDefault="00770BDD" w:rsidP="00770BDD">
      <w:pPr>
        <w:numPr>
          <w:ilvl w:val="12"/>
          <w:numId w:val="0"/>
        </w:numPr>
        <w:ind w:firstLine="709"/>
        <w:jc w:val="both"/>
      </w:pPr>
      <w:r>
        <w:t>- z recyklingu i z odzysku,</w:t>
      </w:r>
    </w:p>
    <w:p w:rsidR="00770BDD" w:rsidRDefault="00770BDD" w:rsidP="00770BDD">
      <w:pPr>
        <w:numPr>
          <w:ilvl w:val="12"/>
          <w:numId w:val="0"/>
        </w:numPr>
        <w:ind w:left="709"/>
        <w:jc w:val="both"/>
      </w:pPr>
      <w:r>
        <w:t>- węglanowych (nie dotyczy ww. kruszyw węglanowych pochodzenia dewońskiego i starszych, głębokomorskich) – do obiektów klasy S4.</w:t>
      </w:r>
    </w:p>
    <w:p w:rsidR="00770BDD" w:rsidRDefault="00770BDD" w:rsidP="00770BDD">
      <w:pPr>
        <w:numPr>
          <w:ilvl w:val="12"/>
          <w:numId w:val="0"/>
        </w:numPr>
        <w:ind w:firstLine="709"/>
        <w:jc w:val="both"/>
        <w:rPr>
          <w:b/>
        </w:rPr>
      </w:pPr>
      <w:r>
        <w:t>Stosownie do wymagań normy PN-EN 206 przy doborze kruszywa do betonu do wykonania poszczególnych elementów obiektów uwzględnia się:</w:t>
      </w:r>
    </w:p>
    <w:p w:rsidR="00686B91" w:rsidRDefault="00770BDD" w:rsidP="00602DDF">
      <w:pPr>
        <w:numPr>
          <w:ilvl w:val="12"/>
          <w:numId w:val="0"/>
        </w:numPr>
        <w:ind w:firstLine="709"/>
        <w:jc w:val="both"/>
      </w:pPr>
      <w:r>
        <w:t>- realizację robót i przeznaczenie betonu,</w:t>
      </w:r>
    </w:p>
    <w:p w:rsidR="00770BDD" w:rsidRDefault="00770BDD" w:rsidP="00602DDF">
      <w:pPr>
        <w:numPr>
          <w:ilvl w:val="12"/>
          <w:numId w:val="0"/>
        </w:numPr>
        <w:ind w:firstLine="709"/>
        <w:jc w:val="both"/>
      </w:pPr>
      <w:r>
        <w:t>- rodzaj, wymiary i technologię wykonania konstrukcji,</w:t>
      </w:r>
    </w:p>
    <w:p w:rsidR="00770BDD" w:rsidRDefault="00770BDD" w:rsidP="00602DDF">
      <w:pPr>
        <w:numPr>
          <w:ilvl w:val="12"/>
          <w:numId w:val="0"/>
        </w:numPr>
        <w:ind w:firstLine="709"/>
        <w:jc w:val="both"/>
      </w:pPr>
      <w:r>
        <w:t>- warunki wykonania, pielęgnacji i dojrzewania betonu,</w:t>
      </w:r>
    </w:p>
    <w:p w:rsidR="00770BDD" w:rsidRDefault="00770BDD" w:rsidP="00602DDF">
      <w:pPr>
        <w:numPr>
          <w:ilvl w:val="12"/>
          <w:numId w:val="0"/>
        </w:numPr>
        <w:ind w:firstLine="709"/>
        <w:jc w:val="both"/>
      </w:pPr>
      <w:r>
        <w:t>- agresywność środowiska, na które będzie narażona konstrukcja,</w:t>
      </w:r>
    </w:p>
    <w:p w:rsidR="00770BDD" w:rsidRDefault="00602DDF" w:rsidP="00602DDF">
      <w:pPr>
        <w:numPr>
          <w:ilvl w:val="12"/>
          <w:numId w:val="0"/>
        </w:numPr>
        <w:ind w:left="709"/>
        <w:jc w:val="both"/>
      </w:pPr>
      <w:r>
        <w:t>- wymagania dodatkowe związane z kruszywem, w przypadku powierzchni o specjalnym wykończeniu, np. w przypadku betonu architektonicznego,</w:t>
      </w:r>
    </w:p>
    <w:p w:rsidR="00686B91" w:rsidRDefault="00602DDF" w:rsidP="00602DDF">
      <w:pPr>
        <w:numPr>
          <w:ilvl w:val="12"/>
          <w:numId w:val="0"/>
        </w:numPr>
        <w:ind w:firstLine="709"/>
        <w:jc w:val="both"/>
      </w:pPr>
      <w:r>
        <w:t>- projektowaną trwałość konstrukcji.</w:t>
      </w:r>
    </w:p>
    <w:p w:rsidR="00602DDF" w:rsidRDefault="00602DDF" w:rsidP="00602DDF">
      <w:pPr>
        <w:numPr>
          <w:ilvl w:val="12"/>
          <w:numId w:val="0"/>
        </w:numPr>
        <w:ind w:firstLine="709"/>
        <w:jc w:val="both"/>
        <w:rPr>
          <w:b/>
        </w:rPr>
      </w:pPr>
    </w:p>
    <w:p w:rsidR="00686B91" w:rsidRDefault="00602DDF" w:rsidP="00602DDF">
      <w:pPr>
        <w:numPr>
          <w:ilvl w:val="12"/>
          <w:numId w:val="0"/>
        </w:numPr>
        <w:ind w:firstLine="709"/>
        <w:jc w:val="both"/>
      </w:pPr>
      <w:r>
        <w:t>W drogowych obiektach inżynierskich należy stosować kruszywa mineralne niewykazujące szkodliwej reakcji z wodorotlenkami sodu i potasu w betonie</w:t>
      </w:r>
    </w:p>
    <w:p w:rsidR="00602DDF" w:rsidRDefault="00602DDF" w:rsidP="00602DDF">
      <w:pPr>
        <w:numPr>
          <w:ilvl w:val="12"/>
          <w:numId w:val="0"/>
        </w:numPr>
        <w:ind w:firstLine="709"/>
        <w:jc w:val="both"/>
        <w:rPr>
          <w:b/>
        </w:rPr>
      </w:pPr>
    </w:p>
    <w:p w:rsidR="00686B91" w:rsidRDefault="00602DDF" w:rsidP="00602DDF">
      <w:pPr>
        <w:numPr>
          <w:ilvl w:val="12"/>
          <w:numId w:val="0"/>
        </w:numPr>
        <w:ind w:firstLine="709"/>
        <w:jc w:val="both"/>
      </w:pPr>
      <w:r>
        <w:t>Ocena kruszyw do betonu konstrukcyjnego w drogowych obiektach inżynierskich wymagana jest według Systemu Oceny i Weryfikacji Stałości Właściwości Użytkowych 2+.</w:t>
      </w:r>
    </w:p>
    <w:p w:rsidR="00602DDF" w:rsidRDefault="00602DDF" w:rsidP="00602DDF">
      <w:pPr>
        <w:numPr>
          <w:ilvl w:val="12"/>
          <w:numId w:val="0"/>
        </w:numPr>
        <w:ind w:firstLine="709"/>
        <w:jc w:val="both"/>
      </w:pPr>
    </w:p>
    <w:p w:rsidR="00602DDF" w:rsidRDefault="00602DDF" w:rsidP="00602DDF">
      <w:pPr>
        <w:numPr>
          <w:ilvl w:val="12"/>
          <w:numId w:val="0"/>
        </w:numPr>
        <w:ind w:firstLine="709"/>
        <w:jc w:val="both"/>
        <w:rPr>
          <w:b/>
        </w:rPr>
      </w:pPr>
      <w:r>
        <w:t>Jako kruszywo grube powinny być zastosowane kruszywa naturalne o maksymalnym wymiarze ziarna nie większym niż 31,5 mm spełniające wymagania podane w Tabeli 2. Natomiast jako kruszywo drobne powinno być stosowane kruszywo o uziarnieniu nie większym niż 4 mm, spełniające wymagania podane w Tabeli 3.</w:t>
      </w:r>
    </w:p>
    <w:p w:rsidR="00686B91" w:rsidRDefault="00686B91" w:rsidP="00B833AC">
      <w:pPr>
        <w:numPr>
          <w:ilvl w:val="12"/>
          <w:numId w:val="0"/>
        </w:numPr>
        <w:jc w:val="both"/>
        <w:rPr>
          <w:b/>
        </w:rPr>
      </w:pPr>
    </w:p>
    <w:p w:rsidR="00686B91" w:rsidRDefault="00602DDF" w:rsidP="00602DDF">
      <w:pPr>
        <w:numPr>
          <w:ilvl w:val="12"/>
          <w:numId w:val="0"/>
        </w:numPr>
        <w:jc w:val="center"/>
        <w:rPr>
          <w:b/>
        </w:rPr>
      </w:pPr>
      <w:r>
        <w:t>Tabela 4. Wymagania dla kruszywa grubego</w:t>
      </w:r>
    </w:p>
    <w:p w:rsidR="00686B91" w:rsidRDefault="00686B91" w:rsidP="00B833AC">
      <w:pPr>
        <w:numPr>
          <w:ilvl w:val="12"/>
          <w:numId w:val="0"/>
        </w:numPr>
        <w:jc w:val="both"/>
        <w:rPr>
          <w:b/>
        </w:rPr>
      </w:pPr>
    </w:p>
    <w:p w:rsidR="00686B91" w:rsidRDefault="00602DDF" w:rsidP="00B833AC">
      <w:pPr>
        <w:numPr>
          <w:ilvl w:val="12"/>
          <w:numId w:val="0"/>
        </w:numPr>
        <w:jc w:val="both"/>
        <w:rPr>
          <w:b/>
        </w:rPr>
      </w:pPr>
      <w:r>
        <w:rPr>
          <w:b/>
          <w:noProof/>
        </w:rPr>
        <w:drawing>
          <wp:inline distT="0" distB="0" distL="0" distR="0">
            <wp:extent cx="5169535" cy="4933950"/>
            <wp:effectExtent l="0" t="0" r="0" b="0"/>
            <wp:docPr id="54" name="Obraz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69535" cy="4933950"/>
                    </a:xfrm>
                    <a:prstGeom prst="rect">
                      <a:avLst/>
                    </a:prstGeom>
                    <a:noFill/>
                    <a:ln>
                      <a:noFill/>
                    </a:ln>
                  </pic:spPr>
                </pic:pic>
              </a:graphicData>
            </a:graphic>
          </wp:inline>
        </w:drawing>
      </w:r>
    </w:p>
    <w:p w:rsidR="00686B91" w:rsidRDefault="00686B91" w:rsidP="00B833AC">
      <w:pPr>
        <w:numPr>
          <w:ilvl w:val="12"/>
          <w:numId w:val="0"/>
        </w:numPr>
        <w:jc w:val="both"/>
        <w:rPr>
          <w:b/>
        </w:rPr>
      </w:pPr>
    </w:p>
    <w:p w:rsidR="00686B91" w:rsidRDefault="00686B91" w:rsidP="00B833AC">
      <w:pPr>
        <w:numPr>
          <w:ilvl w:val="12"/>
          <w:numId w:val="0"/>
        </w:numPr>
        <w:jc w:val="both"/>
        <w:rPr>
          <w:b/>
        </w:rPr>
      </w:pPr>
    </w:p>
    <w:p w:rsidR="00686B91" w:rsidRDefault="00686B91" w:rsidP="00B833AC">
      <w:pPr>
        <w:numPr>
          <w:ilvl w:val="12"/>
          <w:numId w:val="0"/>
        </w:numPr>
        <w:jc w:val="both"/>
        <w:rPr>
          <w:b/>
        </w:rPr>
      </w:pPr>
    </w:p>
    <w:p w:rsidR="00686B91" w:rsidRDefault="00686B91" w:rsidP="00B833AC">
      <w:pPr>
        <w:numPr>
          <w:ilvl w:val="12"/>
          <w:numId w:val="0"/>
        </w:numPr>
        <w:jc w:val="both"/>
        <w:rPr>
          <w:b/>
        </w:rPr>
      </w:pPr>
    </w:p>
    <w:p w:rsidR="00686B91" w:rsidRDefault="00686B91" w:rsidP="00B833AC">
      <w:pPr>
        <w:numPr>
          <w:ilvl w:val="12"/>
          <w:numId w:val="0"/>
        </w:numPr>
        <w:jc w:val="both"/>
        <w:rPr>
          <w:b/>
        </w:rPr>
      </w:pPr>
    </w:p>
    <w:p w:rsidR="00686B91" w:rsidRDefault="00602DDF" w:rsidP="00B833AC">
      <w:pPr>
        <w:numPr>
          <w:ilvl w:val="12"/>
          <w:numId w:val="0"/>
        </w:numPr>
        <w:jc w:val="both"/>
        <w:rPr>
          <w:b/>
        </w:rPr>
      </w:pPr>
      <w:r>
        <w:rPr>
          <w:b/>
          <w:noProof/>
        </w:rPr>
        <w:drawing>
          <wp:inline distT="0" distB="0" distL="0" distR="0">
            <wp:extent cx="5233035" cy="6880860"/>
            <wp:effectExtent l="0" t="0" r="5715" b="0"/>
            <wp:docPr id="55" name="Obraz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33035" cy="6880860"/>
                    </a:xfrm>
                    <a:prstGeom prst="rect">
                      <a:avLst/>
                    </a:prstGeom>
                    <a:noFill/>
                    <a:ln>
                      <a:noFill/>
                    </a:ln>
                  </pic:spPr>
                </pic:pic>
              </a:graphicData>
            </a:graphic>
          </wp:inline>
        </w:drawing>
      </w:r>
    </w:p>
    <w:p w:rsidR="00602DDF" w:rsidRDefault="00602DDF" w:rsidP="00602DDF">
      <w:pPr>
        <w:numPr>
          <w:ilvl w:val="12"/>
          <w:numId w:val="0"/>
        </w:numPr>
        <w:jc w:val="center"/>
      </w:pPr>
    </w:p>
    <w:p w:rsidR="00602DDF" w:rsidRDefault="00602DDF" w:rsidP="00602DDF">
      <w:pPr>
        <w:numPr>
          <w:ilvl w:val="12"/>
          <w:numId w:val="0"/>
        </w:numPr>
        <w:jc w:val="center"/>
      </w:pPr>
    </w:p>
    <w:p w:rsidR="00602DDF" w:rsidRDefault="00602DDF" w:rsidP="00602DDF">
      <w:pPr>
        <w:numPr>
          <w:ilvl w:val="12"/>
          <w:numId w:val="0"/>
        </w:numPr>
        <w:jc w:val="center"/>
      </w:pPr>
    </w:p>
    <w:p w:rsidR="00602DDF" w:rsidRDefault="00602DDF" w:rsidP="00602DDF">
      <w:pPr>
        <w:numPr>
          <w:ilvl w:val="12"/>
          <w:numId w:val="0"/>
        </w:numPr>
        <w:jc w:val="center"/>
      </w:pPr>
    </w:p>
    <w:p w:rsidR="00602DDF" w:rsidRDefault="00602DDF" w:rsidP="00602DDF">
      <w:pPr>
        <w:numPr>
          <w:ilvl w:val="12"/>
          <w:numId w:val="0"/>
        </w:numPr>
        <w:jc w:val="center"/>
      </w:pPr>
    </w:p>
    <w:p w:rsidR="00602DDF" w:rsidRDefault="00602DDF" w:rsidP="00602DDF">
      <w:pPr>
        <w:numPr>
          <w:ilvl w:val="12"/>
          <w:numId w:val="0"/>
        </w:numPr>
        <w:jc w:val="center"/>
      </w:pPr>
    </w:p>
    <w:p w:rsidR="00602DDF" w:rsidRDefault="00602DDF" w:rsidP="00602DDF">
      <w:pPr>
        <w:numPr>
          <w:ilvl w:val="12"/>
          <w:numId w:val="0"/>
        </w:numPr>
        <w:jc w:val="center"/>
      </w:pPr>
    </w:p>
    <w:p w:rsidR="00602DDF" w:rsidRDefault="00602DDF" w:rsidP="00602DDF">
      <w:pPr>
        <w:numPr>
          <w:ilvl w:val="12"/>
          <w:numId w:val="0"/>
        </w:numPr>
        <w:jc w:val="center"/>
      </w:pPr>
    </w:p>
    <w:p w:rsidR="00602DDF" w:rsidRDefault="00602DDF" w:rsidP="00602DDF">
      <w:pPr>
        <w:numPr>
          <w:ilvl w:val="12"/>
          <w:numId w:val="0"/>
        </w:numPr>
        <w:jc w:val="center"/>
      </w:pPr>
    </w:p>
    <w:p w:rsidR="00602DDF" w:rsidRDefault="00602DDF" w:rsidP="00602DDF">
      <w:pPr>
        <w:numPr>
          <w:ilvl w:val="12"/>
          <w:numId w:val="0"/>
        </w:numPr>
        <w:jc w:val="center"/>
      </w:pPr>
    </w:p>
    <w:p w:rsidR="00602DDF" w:rsidRDefault="00602DDF" w:rsidP="00602DDF">
      <w:pPr>
        <w:numPr>
          <w:ilvl w:val="12"/>
          <w:numId w:val="0"/>
        </w:numPr>
        <w:jc w:val="center"/>
      </w:pPr>
    </w:p>
    <w:p w:rsidR="00602DDF" w:rsidRDefault="00602DDF" w:rsidP="00602DDF">
      <w:pPr>
        <w:numPr>
          <w:ilvl w:val="12"/>
          <w:numId w:val="0"/>
        </w:numPr>
        <w:jc w:val="center"/>
      </w:pPr>
    </w:p>
    <w:p w:rsidR="00602DDF" w:rsidRDefault="00602DDF" w:rsidP="00602DDF">
      <w:pPr>
        <w:numPr>
          <w:ilvl w:val="12"/>
          <w:numId w:val="0"/>
        </w:numPr>
        <w:jc w:val="center"/>
      </w:pPr>
      <w:r>
        <w:t>Tabela 3. Wymagania dla kruszywa drobnego</w:t>
      </w:r>
    </w:p>
    <w:p w:rsidR="00602DDF" w:rsidRDefault="00602DDF" w:rsidP="00602DDF">
      <w:pPr>
        <w:numPr>
          <w:ilvl w:val="12"/>
          <w:numId w:val="0"/>
        </w:numPr>
        <w:jc w:val="center"/>
      </w:pPr>
    </w:p>
    <w:p w:rsidR="00602DDF" w:rsidRDefault="00602DDF" w:rsidP="00602DDF">
      <w:pPr>
        <w:numPr>
          <w:ilvl w:val="12"/>
          <w:numId w:val="0"/>
        </w:numPr>
        <w:jc w:val="center"/>
        <w:rPr>
          <w:b/>
        </w:rPr>
      </w:pPr>
      <w:r>
        <w:rPr>
          <w:b/>
          <w:noProof/>
        </w:rPr>
        <w:drawing>
          <wp:inline distT="0" distB="0" distL="0" distR="0">
            <wp:extent cx="5214498" cy="6708618"/>
            <wp:effectExtent l="0" t="0" r="5715" b="0"/>
            <wp:docPr id="56" name="Obraz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14620" cy="6708775"/>
                    </a:xfrm>
                    <a:prstGeom prst="rect">
                      <a:avLst/>
                    </a:prstGeom>
                    <a:noFill/>
                    <a:ln>
                      <a:noFill/>
                    </a:ln>
                  </pic:spPr>
                </pic:pic>
              </a:graphicData>
            </a:graphic>
          </wp:inline>
        </w:drawing>
      </w:r>
    </w:p>
    <w:p w:rsidR="00686B91" w:rsidRDefault="00686B91" w:rsidP="00B833AC">
      <w:pPr>
        <w:numPr>
          <w:ilvl w:val="12"/>
          <w:numId w:val="0"/>
        </w:numPr>
        <w:jc w:val="both"/>
        <w:rPr>
          <w:b/>
        </w:rPr>
      </w:pPr>
    </w:p>
    <w:p w:rsidR="00686B91" w:rsidRDefault="00686B91" w:rsidP="00B833AC">
      <w:pPr>
        <w:numPr>
          <w:ilvl w:val="12"/>
          <w:numId w:val="0"/>
        </w:numPr>
        <w:jc w:val="both"/>
        <w:rPr>
          <w:b/>
        </w:rPr>
      </w:pPr>
    </w:p>
    <w:p w:rsidR="00602DDF" w:rsidRDefault="00602DDF" w:rsidP="00B833AC">
      <w:pPr>
        <w:numPr>
          <w:ilvl w:val="12"/>
          <w:numId w:val="0"/>
        </w:numPr>
        <w:jc w:val="both"/>
      </w:pPr>
      <w:r>
        <w:t>Reaktywność alkaliczno- krzemionkowa kruszywa</w:t>
      </w:r>
    </w:p>
    <w:p w:rsidR="00602DDF" w:rsidRDefault="00602DDF" w:rsidP="00602DDF">
      <w:pPr>
        <w:numPr>
          <w:ilvl w:val="12"/>
          <w:numId w:val="0"/>
        </w:numPr>
        <w:ind w:firstLine="709"/>
        <w:jc w:val="both"/>
      </w:pPr>
      <w:r>
        <w:t>Oznaczenie kategorii reaktywności alkalicznej kruszywa jest warunkiem koniecznym jego zastosowania w betonie konstrukcyjnym drogowych obiektów inżynierskich. Stosowanie do betonu kruszywa o nieznanej kategorii reaktywności alkalicznej jest wykluczone. Klasyfikacja kruszywa ze względu na reaktywność oraz kryteria oceny reaktywności kruszywa w zależności od zastosowanej metody badawczej (PB/1/18 i PB/2/18) zostały przedstawione w Tabeli 4.</w:t>
      </w:r>
    </w:p>
    <w:p w:rsidR="002E4676" w:rsidRDefault="002E4676" w:rsidP="00265060">
      <w:pPr>
        <w:numPr>
          <w:ilvl w:val="12"/>
          <w:numId w:val="0"/>
        </w:numPr>
        <w:ind w:left="709" w:firstLine="709"/>
        <w:jc w:val="both"/>
      </w:pPr>
    </w:p>
    <w:p w:rsidR="002E4676" w:rsidRDefault="002E4676" w:rsidP="00265060">
      <w:pPr>
        <w:numPr>
          <w:ilvl w:val="12"/>
          <w:numId w:val="0"/>
        </w:numPr>
        <w:ind w:left="709" w:firstLine="709"/>
        <w:jc w:val="both"/>
      </w:pPr>
    </w:p>
    <w:p w:rsidR="002E4676" w:rsidRDefault="002E4676" w:rsidP="00265060">
      <w:pPr>
        <w:numPr>
          <w:ilvl w:val="12"/>
          <w:numId w:val="0"/>
        </w:numPr>
        <w:ind w:left="709" w:firstLine="709"/>
        <w:jc w:val="both"/>
      </w:pPr>
    </w:p>
    <w:p w:rsidR="002E4676" w:rsidRDefault="002E4676" w:rsidP="00265060">
      <w:pPr>
        <w:numPr>
          <w:ilvl w:val="12"/>
          <w:numId w:val="0"/>
        </w:numPr>
        <w:ind w:left="709" w:firstLine="709"/>
        <w:jc w:val="both"/>
      </w:pPr>
    </w:p>
    <w:p w:rsidR="00265060" w:rsidRDefault="00265060" w:rsidP="00265060">
      <w:pPr>
        <w:numPr>
          <w:ilvl w:val="12"/>
          <w:numId w:val="0"/>
        </w:numPr>
        <w:ind w:left="709" w:firstLine="709"/>
        <w:jc w:val="both"/>
        <w:rPr>
          <w:b/>
        </w:rPr>
      </w:pPr>
      <w:r>
        <w:t>Tabela 4. Kategoryzacja reaktywności kruszyw do betonu</w:t>
      </w:r>
    </w:p>
    <w:p w:rsidR="00686B91" w:rsidRDefault="00686B91" w:rsidP="00B833AC">
      <w:pPr>
        <w:numPr>
          <w:ilvl w:val="12"/>
          <w:numId w:val="0"/>
        </w:numPr>
        <w:jc w:val="both"/>
        <w:rPr>
          <w:b/>
        </w:rPr>
      </w:pPr>
    </w:p>
    <w:p w:rsidR="00686B91" w:rsidRDefault="002E4676" w:rsidP="002E4676">
      <w:pPr>
        <w:numPr>
          <w:ilvl w:val="12"/>
          <w:numId w:val="0"/>
        </w:numPr>
        <w:jc w:val="center"/>
        <w:rPr>
          <w:b/>
        </w:rPr>
      </w:pPr>
      <w:r>
        <w:rPr>
          <w:b/>
          <w:noProof/>
        </w:rPr>
        <w:drawing>
          <wp:inline distT="0" distB="0" distL="0" distR="0">
            <wp:extent cx="5332730" cy="4933950"/>
            <wp:effectExtent l="0" t="0" r="1270" b="0"/>
            <wp:docPr id="57" name="Obraz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32730" cy="4933950"/>
                    </a:xfrm>
                    <a:prstGeom prst="rect">
                      <a:avLst/>
                    </a:prstGeom>
                    <a:noFill/>
                    <a:ln>
                      <a:noFill/>
                    </a:ln>
                  </pic:spPr>
                </pic:pic>
              </a:graphicData>
            </a:graphic>
          </wp:inline>
        </w:drawing>
      </w:r>
    </w:p>
    <w:p w:rsidR="002E4676" w:rsidRDefault="002E4676" w:rsidP="002E4676">
      <w:pPr>
        <w:numPr>
          <w:ilvl w:val="12"/>
          <w:numId w:val="0"/>
        </w:numPr>
        <w:ind w:firstLine="709"/>
        <w:jc w:val="both"/>
      </w:pPr>
    </w:p>
    <w:p w:rsidR="002E4676" w:rsidRPr="002E4676" w:rsidRDefault="002E4676" w:rsidP="002E4676">
      <w:pPr>
        <w:numPr>
          <w:ilvl w:val="12"/>
          <w:numId w:val="0"/>
        </w:numPr>
        <w:ind w:firstLine="709"/>
        <w:jc w:val="both"/>
      </w:pPr>
      <w:r>
        <w:t>W przypadku wyjątkowo odpowiedzialnych zastosowań kruszyw, np. do betonu w newralgicznych elementach obiektu mostowego o znaczeniu strategicznym, do których dostęp jest utrudniony, a wymiana lub naprawa jest niemożliwa, Inwestor lub Zarządca obiektu może zadecydować o przyjęciu bardziej rygorystycznych kryteriów klasyfikacji reaktywności alkalicznej. Zaostrzone kryteria klasyfikacji stosują się do klasyfikacji kruszywa niereaktywnego R0 i mogą zostać przyjęte jako wydłużenie czasu pomiaru i/lub ograniczenie wydłużenia beleczek zaprawy, np. do 0,10% po 28 dniach w 1M roztworze NaOH. Dostawy takiego kruszywa muszą być realizowane na warunkach umownych z producentem, określających szczególne wymagania odnośnie kryteriów klasyfikacji reaktywności alkalicznej.</w:t>
      </w:r>
    </w:p>
    <w:p w:rsidR="00686B91" w:rsidRDefault="00686B91" w:rsidP="00B833AC">
      <w:pPr>
        <w:numPr>
          <w:ilvl w:val="12"/>
          <w:numId w:val="0"/>
        </w:numPr>
        <w:jc w:val="both"/>
        <w:rPr>
          <w:b/>
        </w:rPr>
      </w:pPr>
    </w:p>
    <w:p w:rsidR="00686B91" w:rsidRDefault="002E4676" w:rsidP="002E4676">
      <w:pPr>
        <w:numPr>
          <w:ilvl w:val="12"/>
          <w:numId w:val="0"/>
        </w:numPr>
        <w:ind w:firstLine="709"/>
        <w:jc w:val="both"/>
        <w:rPr>
          <w:b/>
        </w:rPr>
      </w:pPr>
      <w:r>
        <w:t>Analizę petrograficzną kruszywa należy przeprowadzić wg PB/3/18. Przedmiotem analizy petrograficznej jest identyfikacja skał oraz składników potencjalnie reaktywnych oraz rozpoznanie produktów reakcji alkalia-krzemionka w próbkach zaprawy lub próbkach betonu po zakończeniu badania wg procedur: PB/1/18, PB/2/18, PB/4/18 oraz PB/5/18. Wykaz skał mogących zawierać składniki potencjalnie reaktywne wraz ze wskazaniem składników potencjalnie reaktywnych zestawiono w PB/3/18 Tabela Z3.2.</w:t>
      </w:r>
    </w:p>
    <w:p w:rsidR="00686B91" w:rsidRDefault="002E4676" w:rsidP="002E4676">
      <w:pPr>
        <w:numPr>
          <w:ilvl w:val="12"/>
          <w:numId w:val="0"/>
        </w:numPr>
        <w:ind w:firstLine="709"/>
        <w:jc w:val="both"/>
        <w:rPr>
          <w:b/>
        </w:rPr>
      </w:pPr>
      <w:r>
        <w:t>Dla stosowanego kruszywa należy określić kategorię reaktywności metodami badań ekspansji wywołanej reakcją ASR na podstawie Wytyczne techniczne klasyfikacji kruszyw krajowych i zapobiegania reakcji alkalicznej w betonie stosowanym w nawierzchniach dróg i drogowych obiektach inżynierskich</w:t>
      </w:r>
    </w:p>
    <w:p w:rsidR="00686B91" w:rsidRDefault="002E4676" w:rsidP="002E4676">
      <w:pPr>
        <w:numPr>
          <w:ilvl w:val="12"/>
          <w:numId w:val="0"/>
        </w:numPr>
        <w:ind w:firstLine="709"/>
        <w:jc w:val="both"/>
      </w:pPr>
      <w:r>
        <w:t>Warunki zastosowania naturalnego kruszywa do betonu konstrukcyjnego w drogowych obiektach inżynierskich wg PN-EN 12620 dla obiektów klasy S4, S3, w kategoriach środowiska E2 i E3, oraz dla kategorii reaktywności kruszywa naturalnego R0, R1, R2, R3 podano w tabeli 5a i 5b. W przypadku drogowych obiektów inżynierskich kategoria oddziaływań środowiska E1 nie ma zastosowania.</w:t>
      </w:r>
    </w:p>
    <w:p w:rsidR="002E4676" w:rsidRDefault="002E4676" w:rsidP="002E4676">
      <w:pPr>
        <w:numPr>
          <w:ilvl w:val="12"/>
          <w:numId w:val="0"/>
        </w:numPr>
        <w:ind w:firstLine="709"/>
        <w:jc w:val="both"/>
      </w:pPr>
      <w:r>
        <w:t>Wyklucza się użycie kruszyw o kategorii reaktywności R2 i R3 w betonie konstrukcyjnym do budowy drogowych obiektów inżynierskich.</w:t>
      </w:r>
    </w:p>
    <w:p w:rsidR="002E4676" w:rsidRDefault="002E4676" w:rsidP="002E4676">
      <w:pPr>
        <w:numPr>
          <w:ilvl w:val="12"/>
          <w:numId w:val="0"/>
        </w:numPr>
        <w:jc w:val="center"/>
        <w:rPr>
          <w:b/>
        </w:rPr>
      </w:pPr>
      <w:r>
        <w:t>Tabela 5a. Warunki zastosowania naturalnego kruszywa do betonu w obiekcie klasy S4 w zależności od kategorii oddziaływania środowiska E oraz kategorii reaktywności kruszywa R</w:t>
      </w:r>
    </w:p>
    <w:p w:rsidR="002E4676" w:rsidRDefault="002E4676" w:rsidP="00B833AC">
      <w:pPr>
        <w:numPr>
          <w:ilvl w:val="12"/>
          <w:numId w:val="0"/>
        </w:numPr>
        <w:jc w:val="both"/>
        <w:rPr>
          <w:b/>
        </w:rPr>
      </w:pPr>
    </w:p>
    <w:p w:rsidR="002E4676" w:rsidRDefault="002E4676" w:rsidP="00B833AC">
      <w:pPr>
        <w:numPr>
          <w:ilvl w:val="12"/>
          <w:numId w:val="0"/>
        </w:numPr>
        <w:jc w:val="both"/>
        <w:rPr>
          <w:b/>
        </w:rPr>
      </w:pPr>
      <w:r>
        <w:rPr>
          <w:b/>
          <w:noProof/>
        </w:rPr>
        <w:drawing>
          <wp:inline distT="0" distB="0" distL="0" distR="0">
            <wp:extent cx="5214620" cy="1312545"/>
            <wp:effectExtent l="0" t="0" r="5080" b="1905"/>
            <wp:docPr id="58" name="Obraz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14620" cy="1312545"/>
                    </a:xfrm>
                    <a:prstGeom prst="rect">
                      <a:avLst/>
                    </a:prstGeom>
                    <a:noFill/>
                    <a:ln>
                      <a:noFill/>
                    </a:ln>
                  </pic:spPr>
                </pic:pic>
              </a:graphicData>
            </a:graphic>
          </wp:inline>
        </w:drawing>
      </w:r>
    </w:p>
    <w:p w:rsidR="002E4676" w:rsidRDefault="002E4676" w:rsidP="00B833AC">
      <w:pPr>
        <w:numPr>
          <w:ilvl w:val="12"/>
          <w:numId w:val="0"/>
        </w:numPr>
        <w:jc w:val="both"/>
        <w:rPr>
          <w:b/>
        </w:rPr>
      </w:pPr>
    </w:p>
    <w:p w:rsidR="002E4676" w:rsidRDefault="002E4676" w:rsidP="002E4676">
      <w:pPr>
        <w:numPr>
          <w:ilvl w:val="12"/>
          <w:numId w:val="0"/>
        </w:numPr>
        <w:ind w:firstLine="709"/>
        <w:jc w:val="both"/>
        <w:rPr>
          <w:b/>
        </w:rPr>
      </w:pPr>
      <w:r>
        <w:t>Kruszyw grubych ze złóż żwirowych o genezie rzecznej lub polodowcowej nie dopuszcza się do stosowania w obiektach klasy S4, z uwagi na brak doświadczeń krajowych w tym zakresie oraz duże zróżnicowanie ich składu mineralogicznego.</w:t>
      </w:r>
    </w:p>
    <w:p w:rsidR="002E4676" w:rsidRDefault="002E4676" w:rsidP="00B833AC">
      <w:pPr>
        <w:numPr>
          <w:ilvl w:val="12"/>
          <w:numId w:val="0"/>
        </w:numPr>
        <w:jc w:val="both"/>
        <w:rPr>
          <w:b/>
        </w:rPr>
      </w:pPr>
    </w:p>
    <w:p w:rsidR="002E4676" w:rsidRPr="002E4676" w:rsidRDefault="002E4676" w:rsidP="002E4676">
      <w:pPr>
        <w:numPr>
          <w:ilvl w:val="12"/>
          <w:numId w:val="0"/>
        </w:numPr>
        <w:jc w:val="center"/>
      </w:pPr>
      <w:r>
        <w:t>Tabela 5b. Warunki zastosowania naturalnego kruszywa do betonu w obiekcie klasy S3 w zależności od kategorii oddziaływania środowiska E oraz kategorii reaktywności kruszywa R</w:t>
      </w:r>
    </w:p>
    <w:p w:rsidR="002E4676" w:rsidRDefault="002E4676" w:rsidP="00B833AC">
      <w:pPr>
        <w:numPr>
          <w:ilvl w:val="12"/>
          <w:numId w:val="0"/>
        </w:numPr>
        <w:jc w:val="both"/>
        <w:rPr>
          <w:b/>
        </w:rPr>
      </w:pPr>
      <w:r>
        <w:rPr>
          <w:b/>
          <w:noProof/>
        </w:rPr>
        <w:drawing>
          <wp:inline distT="0" distB="0" distL="0" distR="0">
            <wp:extent cx="5296535" cy="3014980"/>
            <wp:effectExtent l="0" t="0" r="0" b="0"/>
            <wp:docPr id="59" name="Obraz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96535" cy="3014980"/>
                    </a:xfrm>
                    <a:prstGeom prst="rect">
                      <a:avLst/>
                    </a:prstGeom>
                    <a:noFill/>
                    <a:ln>
                      <a:noFill/>
                    </a:ln>
                  </pic:spPr>
                </pic:pic>
              </a:graphicData>
            </a:graphic>
          </wp:inline>
        </w:drawing>
      </w:r>
    </w:p>
    <w:p w:rsidR="002E4676" w:rsidRDefault="002E4676" w:rsidP="00B833AC">
      <w:pPr>
        <w:numPr>
          <w:ilvl w:val="12"/>
          <w:numId w:val="0"/>
        </w:numPr>
        <w:jc w:val="both"/>
      </w:pPr>
    </w:p>
    <w:p w:rsidR="002E4676" w:rsidRDefault="002E4676" w:rsidP="002E4676">
      <w:pPr>
        <w:numPr>
          <w:ilvl w:val="12"/>
          <w:numId w:val="0"/>
        </w:numPr>
        <w:ind w:firstLine="709"/>
        <w:jc w:val="both"/>
      </w:pPr>
      <w:r>
        <w:t>Wymaganą przy stosowaniu kruszyw umiarkowanie reaktywnych R1 obniżoną zwartość alkaliów Na2Oeq w betonie, zapewnia stosowanie cementów specjalnych niskoalkalicznych NA - zgodnych z PN-B-19707, w tym cementów portlandzkich CEM I-NA, cementów portlandzkich wieloskładnikowych CEM I-NA zawierających popiół lotny krzemionkowy, granulowany żużel wielkopiecowy lub wapień oraz cementu hutniczego CEM III/A-NA.</w:t>
      </w:r>
    </w:p>
    <w:p w:rsidR="002E4676" w:rsidRDefault="002E4676" w:rsidP="002E4676">
      <w:pPr>
        <w:numPr>
          <w:ilvl w:val="12"/>
          <w:numId w:val="0"/>
        </w:numPr>
        <w:ind w:firstLine="709"/>
        <w:jc w:val="both"/>
        <w:rPr>
          <w:b/>
        </w:rPr>
      </w:pPr>
      <w:r>
        <w:t>Wykonanie serii badań dla różnych stopni zastąpienia cementu CEM I dodatkiem mineralnym zgodnie z PB/4/18 pozwala oszacować ilość danego dodatku mineralnego w betonie, zabezpieczającą go przed wystąpieniem negatywnych skutków reakcji ASR.</w:t>
      </w:r>
    </w:p>
    <w:p w:rsidR="002E4676" w:rsidRDefault="00502BC3" w:rsidP="00502BC3">
      <w:pPr>
        <w:numPr>
          <w:ilvl w:val="12"/>
          <w:numId w:val="0"/>
        </w:numPr>
        <w:ind w:firstLine="709"/>
        <w:jc w:val="both"/>
      </w:pPr>
      <w:r>
        <w:t>Metody i częstotliwość badań kruszyw stosowanych do drogowych obiektów inżynierskich określają Wytyczne techniczne klasyfikacji kruszyw krajowych i zapobiegania reakcji alkalicznej w betonie stosowanym w nawierzchniach dróg i drogowych obiektach inżynierskich.</w:t>
      </w:r>
    </w:p>
    <w:p w:rsidR="00502BC3" w:rsidRDefault="00502BC3" w:rsidP="00502BC3">
      <w:pPr>
        <w:numPr>
          <w:ilvl w:val="12"/>
          <w:numId w:val="0"/>
        </w:numPr>
        <w:ind w:firstLine="709"/>
        <w:jc w:val="both"/>
        <w:rPr>
          <w:b/>
        </w:rPr>
      </w:pPr>
    </w:p>
    <w:p w:rsidR="002E4676" w:rsidRDefault="00502BC3" w:rsidP="00502BC3">
      <w:pPr>
        <w:numPr>
          <w:ilvl w:val="12"/>
          <w:numId w:val="0"/>
        </w:numPr>
        <w:jc w:val="both"/>
      </w:pPr>
      <w:r w:rsidRPr="00502BC3">
        <w:t xml:space="preserve">2.3.3 </w:t>
      </w:r>
      <w:r>
        <w:t>Woda</w:t>
      </w:r>
    </w:p>
    <w:p w:rsidR="00502BC3" w:rsidRPr="00502BC3" w:rsidRDefault="00502BC3" w:rsidP="00502BC3">
      <w:pPr>
        <w:numPr>
          <w:ilvl w:val="12"/>
          <w:numId w:val="0"/>
        </w:numPr>
        <w:ind w:firstLine="709"/>
        <w:jc w:val="both"/>
      </w:pPr>
      <w:r>
        <w:t>Woda zarobowa do betonu powinna odpowiadać wymaganiom normy PN-EN 1008. Stosowanie wody pitnej nie wymaga badań. Zabrania się stosowania wody z systemów recyklingu.</w:t>
      </w:r>
    </w:p>
    <w:p w:rsidR="006520AA" w:rsidRDefault="006520AA" w:rsidP="00B833AC">
      <w:pPr>
        <w:numPr>
          <w:ilvl w:val="12"/>
          <w:numId w:val="0"/>
        </w:numPr>
        <w:jc w:val="both"/>
        <w:rPr>
          <w:b/>
        </w:rPr>
      </w:pPr>
    </w:p>
    <w:p w:rsidR="006520AA" w:rsidRDefault="00502BC3" w:rsidP="00B833AC">
      <w:pPr>
        <w:numPr>
          <w:ilvl w:val="12"/>
          <w:numId w:val="0"/>
        </w:numPr>
        <w:jc w:val="both"/>
      </w:pPr>
      <w:r w:rsidRPr="00502BC3">
        <w:t>2.3.4. Domieszki do betonu</w:t>
      </w:r>
    </w:p>
    <w:p w:rsidR="00502BC3" w:rsidRDefault="00502BC3" w:rsidP="00502BC3">
      <w:pPr>
        <w:numPr>
          <w:ilvl w:val="12"/>
          <w:numId w:val="0"/>
        </w:numPr>
        <w:ind w:firstLine="709"/>
        <w:jc w:val="both"/>
      </w:pPr>
      <w:r>
        <w:t>Do betonu konstrukcyjnego zaleca się stosowanie domieszek modyfikujących właściwości mieszanki lub stwardniałego betonu, poprawiających właściwości betonu lub zapewniających uzyskanie specjalnych właściwości. Zawartość całkowita stosowanych domieszek do betonu powinna być zgodna z wymaganiami PN-EN 206 i PN-B-06265.</w:t>
      </w:r>
    </w:p>
    <w:p w:rsidR="00502BC3" w:rsidRDefault="00502BC3" w:rsidP="00502BC3">
      <w:pPr>
        <w:numPr>
          <w:ilvl w:val="12"/>
          <w:numId w:val="0"/>
        </w:numPr>
        <w:ind w:firstLine="709"/>
        <w:jc w:val="both"/>
      </w:pPr>
      <w:r>
        <w:t>Przydatność domieszek do betonu powinna być ustalona na podstawie wymagań określonych w PN-EN 934-1 i PN-EN 934-2 W składzie i właściwościach stosowanych domieszek, z uwagi na trwałość betonu, szczególnie istotne są:</w:t>
      </w:r>
    </w:p>
    <w:p w:rsidR="00502BC3" w:rsidRDefault="00502BC3" w:rsidP="00B833AC">
      <w:pPr>
        <w:numPr>
          <w:ilvl w:val="12"/>
          <w:numId w:val="0"/>
        </w:numPr>
        <w:jc w:val="both"/>
      </w:pPr>
      <w:r>
        <w:t>- zawartość chlorków rozpuszczalnych w wodzie,</w:t>
      </w:r>
    </w:p>
    <w:p w:rsidR="00502BC3" w:rsidRDefault="00502BC3" w:rsidP="00B833AC">
      <w:pPr>
        <w:numPr>
          <w:ilvl w:val="12"/>
          <w:numId w:val="0"/>
        </w:numPr>
        <w:jc w:val="both"/>
      </w:pPr>
      <w:r>
        <w:t>- zawartość alkaliów,</w:t>
      </w:r>
    </w:p>
    <w:p w:rsidR="00502BC3" w:rsidRDefault="00502BC3" w:rsidP="00B833AC">
      <w:pPr>
        <w:numPr>
          <w:ilvl w:val="12"/>
          <w:numId w:val="0"/>
        </w:numPr>
        <w:jc w:val="both"/>
      </w:pPr>
      <w:r>
        <w:t>- oddziaływanie korozyjne.</w:t>
      </w:r>
    </w:p>
    <w:p w:rsidR="00502BC3" w:rsidRDefault="00502BC3" w:rsidP="00502BC3">
      <w:pPr>
        <w:numPr>
          <w:ilvl w:val="12"/>
          <w:numId w:val="0"/>
        </w:numPr>
        <w:ind w:firstLine="709"/>
        <w:jc w:val="both"/>
      </w:pPr>
      <w:r>
        <w:t>Przy doborze domieszki należy uwzględnić jej kompatybilność z cementem i ewentualnym dodatkiem mineralnym (dodatkiem typu II). W przypadku stosowania więcej niż jednej domieszki kompatybilność tych domieszek należy sprawdzić w badaniach wstępnych betonu w czasie projektowania składu mieszanki betonowej.</w:t>
      </w:r>
    </w:p>
    <w:p w:rsidR="00502BC3" w:rsidRDefault="00502BC3" w:rsidP="00502BC3">
      <w:pPr>
        <w:numPr>
          <w:ilvl w:val="12"/>
          <w:numId w:val="0"/>
        </w:numPr>
        <w:ind w:firstLine="709"/>
        <w:jc w:val="both"/>
      </w:pPr>
      <w:r>
        <w:t>Do betonu przeznaczonego do wykonania elementów narażonych na oddziaływanie środowiska w klasach ekspozycji: XF2, XF3, XF4 (cykliczne zamrażanie/rozmrażanie) stosuje się domieszkę napowietrzającą.</w:t>
      </w:r>
    </w:p>
    <w:p w:rsidR="00502BC3" w:rsidRDefault="00502BC3" w:rsidP="00502BC3">
      <w:pPr>
        <w:numPr>
          <w:ilvl w:val="12"/>
          <w:numId w:val="0"/>
        </w:numPr>
        <w:ind w:firstLine="709"/>
        <w:jc w:val="both"/>
      </w:pPr>
      <w:r>
        <w:t>W przypadku zastosowania domieszki napowietrzającej wraz z inną domieszką lub z cementem zawierającym pozaklinkierowe składniki główne, należy potwierdzić ich kompatybilność w betonie napowietrzonym na podstawie charakterystyki porów powietrznych wg PN-EN 480-11 w odniesieniu do kryteriów zawartych w PN-EN 934-2.</w:t>
      </w:r>
    </w:p>
    <w:p w:rsidR="00502BC3" w:rsidRDefault="00502BC3" w:rsidP="00502BC3">
      <w:pPr>
        <w:numPr>
          <w:ilvl w:val="12"/>
          <w:numId w:val="0"/>
        </w:numPr>
        <w:ind w:firstLine="709"/>
        <w:jc w:val="both"/>
      </w:pPr>
      <w:r>
        <w:t xml:space="preserve">Wtórne dozowanie domieszek na placu budowy może się odbywać wyłącznie za zgodą </w:t>
      </w:r>
      <w:r w:rsidR="00663F18">
        <w:t xml:space="preserve">przedstawiciela </w:t>
      </w:r>
      <w:r w:rsidR="007424F4">
        <w:t>Zamawiającego</w:t>
      </w:r>
      <w:r>
        <w:t xml:space="preserve"> przez osobę przeszkoloną w zakresie dozowania domieszek. Opakowanie domieszki powinno posiadać etykietę wskazującą rodzaj domieszki i termin przydatności.</w:t>
      </w:r>
    </w:p>
    <w:p w:rsidR="00502BC3" w:rsidRDefault="00502BC3" w:rsidP="00502BC3">
      <w:pPr>
        <w:numPr>
          <w:ilvl w:val="12"/>
          <w:numId w:val="0"/>
        </w:numPr>
        <w:jc w:val="both"/>
      </w:pPr>
    </w:p>
    <w:p w:rsidR="00502BC3" w:rsidRDefault="00502BC3" w:rsidP="00502BC3">
      <w:pPr>
        <w:numPr>
          <w:ilvl w:val="12"/>
          <w:numId w:val="0"/>
        </w:numPr>
        <w:jc w:val="both"/>
      </w:pPr>
      <w:r>
        <w:t>2.3.5 Dodatki typu II do betonu</w:t>
      </w:r>
    </w:p>
    <w:p w:rsidR="00502BC3" w:rsidRDefault="00502BC3" w:rsidP="00502BC3">
      <w:pPr>
        <w:numPr>
          <w:ilvl w:val="12"/>
          <w:numId w:val="0"/>
        </w:numPr>
        <w:ind w:firstLine="709"/>
        <w:jc w:val="both"/>
      </w:pPr>
      <w:r>
        <w:t>Dodatki typu II do betonu mogą być stosowane według zasad określonych w normie PNEN 206 i PN-B-06265. Do betonu konstrukcyjnego dopuszcza się stosowanie:</w:t>
      </w:r>
    </w:p>
    <w:p w:rsidR="00502BC3" w:rsidRDefault="00502BC3" w:rsidP="00502BC3">
      <w:pPr>
        <w:numPr>
          <w:ilvl w:val="12"/>
          <w:numId w:val="0"/>
        </w:numPr>
        <w:jc w:val="both"/>
      </w:pPr>
      <w:r>
        <w:t>- pyłu krzemionkowego według PN-EN 13263-1,</w:t>
      </w:r>
    </w:p>
    <w:p w:rsidR="00502BC3" w:rsidRDefault="00502BC3" w:rsidP="00502BC3">
      <w:pPr>
        <w:numPr>
          <w:ilvl w:val="12"/>
          <w:numId w:val="0"/>
        </w:numPr>
        <w:jc w:val="both"/>
      </w:pPr>
      <w:r>
        <w:t>- popiołu lotnego zgodnego z PN-EN 450-1 (nie stosuje się do betonu konstrukcyjnego zagęszczanego mechanicznie). Do betonu konstrukcyjnego powinno się stosować wyłącznie popiół lotny krzemionkowy kategorii A (zawartość straty prażenia ≤5%).</w:t>
      </w:r>
    </w:p>
    <w:p w:rsidR="00502BC3" w:rsidRDefault="00502BC3" w:rsidP="00502BC3">
      <w:pPr>
        <w:numPr>
          <w:ilvl w:val="12"/>
          <w:numId w:val="0"/>
        </w:numPr>
        <w:jc w:val="both"/>
      </w:pPr>
    </w:p>
    <w:p w:rsidR="00502BC3" w:rsidRDefault="00502BC3" w:rsidP="00502BC3">
      <w:pPr>
        <w:jc w:val="both"/>
        <w:rPr>
          <w:b/>
        </w:rPr>
      </w:pPr>
      <w:r>
        <w:rPr>
          <w:b/>
        </w:rPr>
        <w:t>2.4</w:t>
      </w:r>
      <w:r w:rsidRPr="00F32662">
        <w:rPr>
          <w:b/>
        </w:rPr>
        <w:t xml:space="preserve">. </w:t>
      </w:r>
      <w:r>
        <w:rPr>
          <w:b/>
        </w:rPr>
        <w:t>Skład i właściwości mieszanki betonowej</w:t>
      </w:r>
    </w:p>
    <w:p w:rsidR="00502BC3" w:rsidRDefault="00502BC3" w:rsidP="00502BC3">
      <w:pPr>
        <w:numPr>
          <w:ilvl w:val="12"/>
          <w:numId w:val="0"/>
        </w:numPr>
        <w:ind w:firstLine="709"/>
        <w:jc w:val="both"/>
      </w:pPr>
      <w:r>
        <w:t>Skład mieszanki betonowej powinien być ustalony zgodnie z PN-EN 206. Producent betonu towarowego, na podstawie wymaganych właściwości i ewentualnych dodatkowych właściwości zdefiniowanych w zamówieniu (w PN-EN 206 określanym jako specyfikacja betonu) opracowuje skład betonu konstrukcyjnego. Ustalona receptura mieszanki betonowej powinna być przedstawiona</w:t>
      </w:r>
      <w:r w:rsidR="00663F18">
        <w:t>przedstawicielowiZamawiającego</w:t>
      </w:r>
      <w:r>
        <w:t>do zatwierdzenia wraz z Deklaracjami Właściwości Użytkowych poszczególnych składników mieszanki oraz wynikami badań wstępnych potwierdzającymi uzyskanie wymaganych właściwości mieszanki betonowej i betonu stwardniałego, wykonanych według zaleceń p. 9.5 normy PN-EN 206. Receptura powinna określać dla jakich klas ekspozycji betonu została opracowana. Receptura powinna być przedłożona z takim wyprzedzeniem czasowym, które umożliwi Laboratorium Zamawiającego na zlecenie Inżyniera/Inspektora Nadzoru sprawdzenie właściwości poszczególnych składników, mieszanki betonowej oraz betonu na podstawie zarobu laboratoryjnego i/lub próbnego. W przypadku braku zatwierdzenia recepty należy opracować nową recepturę.</w:t>
      </w:r>
    </w:p>
    <w:p w:rsidR="00502BC3" w:rsidRDefault="00E568CB" w:rsidP="00E568CB">
      <w:pPr>
        <w:numPr>
          <w:ilvl w:val="12"/>
          <w:numId w:val="0"/>
        </w:numPr>
        <w:ind w:firstLine="709"/>
        <w:jc w:val="both"/>
      </w:pPr>
      <w:r>
        <w:t xml:space="preserve">Receptura ta powinna być zatwierdzona przez </w:t>
      </w:r>
      <w:r w:rsidR="00663F18">
        <w:t xml:space="preserve">przedstawiciela </w:t>
      </w:r>
      <w:r w:rsidR="007424F4">
        <w:t xml:space="preserve">Zamawiającego </w:t>
      </w:r>
      <w:r>
        <w:t>po przeprowadzeniu przez Laboratorium Zamawiającego, odpowiednich badań składników mieszanki betonowej i betonu oraz potwierdzeniu zgodności sprawdzanych właściwości z przyjętymi wymaganiami.</w:t>
      </w:r>
    </w:p>
    <w:p w:rsidR="00502BC3" w:rsidRDefault="00E568CB" w:rsidP="00E568CB">
      <w:pPr>
        <w:numPr>
          <w:ilvl w:val="12"/>
          <w:numId w:val="0"/>
        </w:numPr>
        <w:ind w:firstLine="709"/>
        <w:jc w:val="both"/>
      </w:pPr>
      <w:r>
        <w:t>Przy ustalaniu składu betonu na etapie badań wstępnych średnia wytrzymałość na ściskanie fcm próbek powinna być większa niż wytrzymałość charakterystyczna fck z zapasem niezbędnym dla spełnienia kryteriów zgodności podanych w PN-EN 206 p.8.2.1. Zaleca się, aby zapas był dwa razy większy niż przewidywane odchylenie standardowe i wynosił od 6 do 12 [MPa] (fcm ≥ fck + 6÷12 [MPa]), w zależności od technologii produkcji, składników oraz dostępnych informacji dotyczących zmienności, przy czym fck oznacza wytrzymałość charakterystyczną betonu na ściskanie oznaczoną na próbkach sześciennych.</w:t>
      </w:r>
    </w:p>
    <w:p w:rsidR="00502BC3" w:rsidRDefault="00E7213B" w:rsidP="00E7213B">
      <w:pPr>
        <w:numPr>
          <w:ilvl w:val="12"/>
          <w:numId w:val="0"/>
        </w:numPr>
        <w:ind w:firstLine="709"/>
        <w:jc w:val="both"/>
      </w:pPr>
      <w:r>
        <w:t>Dopuszcza się na podstawie p. 6.1, p. 9.5 i załącznika A normy PN-EN 206, jako alternatywne względem badań wstępnych, opracowanie przez Producenta składu betonu na podstawie danych z wcześniejszych badań lub długookresowego doświadczenia z podobnym rodzajem betonu.</w:t>
      </w:r>
    </w:p>
    <w:p w:rsidR="00502BC3" w:rsidRDefault="00E7213B" w:rsidP="00E7213B">
      <w:pPr>
        <w:numPr>
          <w:ilvl w:val="12"/>
          <w:numId w:val="0"/>
        </w:numPr>
        <w:ind w:firstLine="709"/>
        <w:jc w:val="both"/>
      </w:pPr>
      <w:r>
        <w:t>Również w takim przypadku Laboratorium Zamawiającego na zlecenie Inżyniera/Inspektora Nadzoru ma obowiązek przeprowadzić badania sprawdzające właściwości kruszyw użytych do betonu oraz właściwości mieszanki betonowej i betonu z zarobu próbnego. Na podstawie wyników badań sprawdzających Inżynier/Inspektor Nadzoru zatwierdza lub odrzuca opracowany przez Producenta skład betonu</w:t>
      </w:r>
    </w:p>
    <w:p w:rsidR="00E7213B" w:rsidRDefault="00E7213B" w:rsidP="00E7213B">
      <w:pPr>
        <w:numPr>
          <w:ilvl w:val="12"/>
          <w:numId w:val="0"/>
        </w:numPr>
        <w:ind w:firstLine="709"/>
        <w:jc w:val="both"/>
      </w:pPr>
      <w:r>
        <w:t>W przypadku betonu samozagęszczalnego SCC mieszanka betonowa powinna spełniać trzy podstawowe warunki:</w:t>
      </w:r>
    </w:p>
    <w:p w:rsidR="00502BC3" w:rsidRDefault="00E7213B" w:rsidP="00E7213B">
      <w:pPr>
        <w:numPr>
          <w:ilvl w:val="12"/>
          <w:numId w:val="0"/>
        </w:numPr>
        <w:ind w:firstLine="709"/>
        <w:jc w:val="both"/>
      </w:pPr>
      <w:r>
        <w:t>- płynności, co zapewnia szybkie i dokładne wypełnienie formy i otulenie zbrojenia,</w:t>
      </w:r>
    </w:p>
    <w:p w:rsidR="00502BC3" w:rsidRDefault="00E7213B" w:rsidP="00E7213B">
      <w:pPr>
        <w:numPr>
          <w:ilvl w:val="12"/>
          <w:numId w:val="0"/>
        </w:numPr>
        <w:ind w:left="709"/>
        <w:jc w:val="both"/>
      </w:pPr>
      <w:r>
        <w:t>- zdolności do samoodpowietrzania, co oznacza samorzutne i szybkie odprowadzenie powietrza pod wpływem siły wyporu,</w:t>
      </w:r>
    </w:p>
    <w:p w:rsidR="00E7213B" w:rsidRDefault="00E7213B" w:rsidP="00E7213B">
      <w:pPr>
        <w:numPr>
          <w:ilvl w:val="12"/>
          <w:numId w:val="0"/>
        </w:numPr>
        <w:ind w:left="709"/>
        <w:jc w:val="both"/>
      </w:pPr>
      <w:r>
        <w:t>- stabilności (odporności na segregację).</w:t>
      </w:r>
    </w:p>
    <w:p w:rsidR="00E7213B" w:rsidRDefault="00E7213B" w:rsidP="00E7213B">
      <w:pPr>
        <w:numPr>
          <w:ilvl w:val="12"/>
          <w:numId w:val="0"/>
        </w:numPr>
        <w:ind w:left="709"/>
        <w:jc w:val="both"/>
      </w:pPr>
    </w:p>
    <w:p w:rsidR="00502BC3" w:rsidRDefault="00E7213B" w:rsidP="00B833AC">
      <w:pPr>
        <w:numPr>
          <w:ilvl w:val="12"/>
          <w:numId w:val="0"/>
        </w:numPr>
        <w:jc w:val="both"/>
      </w:pPr>
      <w:r>
        <w:t>2.4.1. Współczynnik wodnocmentowy w/c</w:t>
      </w:r>
    </w:p>
    <w:p w:rsidR="00502BC3" w:rsidRDefault="00E7213B" w:rsidP="00E7213B">
      <w:pPr>
        <w:numPr>
          <w:ilvl w:val="12"/>
          <w:numId w:val="0"/>
        </w:numPr>
        <w:ind w:firstLine="709"/>
        <w:jc w:val="both"/>
      </w:pPr>
      <w:r>
        <w:t>Współczynnik woda/cement (w/c), określany jako stosunek efektywnej zawartości wody do zawartości cementu w mieszance nie powinien być większy niż 0,45 w przypadku klasy wytrzymałości betonu C30/37 i wyższej lub nie większy niż 0,50 w przypadku betonu do klasy C25/30.</w:t>
      </w:r>
    </w:p>
    <w:p w:rsidR="00502BC3" w:rsidRDefault="00502BC3" w:rsidP="00B833AC">
      <w:pPr>
        <w:numPr>
          <w:ilvl w:val="12"/>
          <w:numId w:val="0"/>
        </w:numPr>
        <w:jc w:val="both"/>
      </w:pPr>
    </w:p>
    <w:p w:rsidR="00E7213B" w:rsidRDefault="00E7213B" w:rsidP="00B833AC">
      <w:pPr>
        <w:numPr>
          <w:ilvl w:val="12"/>
          <w:numId w:val="0"/>
        </w:numPr>
        <w:jc w:val="both"/>
      </w:pPr>
      <w:r>
        <w:t>2.4.2. Zawartość cementu</w:t>
      </w:r>
    </w:p>
    <w:p w:rsidR="00E7213B" w:rsidRDefault="00E7213B" w:rsidP="00E7213B">
      <w:pPr>
        <w:numPr>
          <w:ilvl w:val="12"/>
          <w:numId w:val="0"/>
        </w:numPr>
        <w:ind w:firstLine="709"/>
        <w:jc w:val="both"/>
      </w:pPr>
      <w:r>
        <w:t>Minimalna zawartość cementu w mieszance betonowej nie powinna być mniejsza niż wymagana, w zależności od klas ekspozycji betonu według PN-B-06265</w:t>
      </w:r>
    </w:p>
    <w:p w:rsidR="00E7213B" w:rsidRDefault="00E7213B" w:rsidP="00E7213B">
      <w:pPr>
        <w:numPr>
          <w:ilvl w:val="12"/>
          <w:numId w:val="0"/>
        </w:numPr>
        <w:jc w:val="both"/>
      </w:pPr>
      <w:r>
        <w:t>Maksymalna zawartość cementu w mieszance betonowej nie powinna być większa niż:</w:t>
      </w:r>
    </w:p>
    <w:p w:rsidR="00E7213B" w:rsidRDefault="00E7213B" w:rsidP="00E7213B">
      <w:pPr>
        <w:numPr>
          <w:ilvl w:val="12"/>
          <w:numId w:val="0"/>
        </w:numPr>
        <w:jc w:val="both"/>
      </w:pPr>
      <w:r>
        <w:t>- 400 kg/m3 dla betonu do klasy C25/30,</w:t>
      </w:r>
    </w:p>
    <w:p w:rsidR="00E7213B" w:rsidRDefault="00E7213B" w:rsidP="00E7213B">
      <w:pPr>
        <w:numPr>
          <w:ilvl w:val="12"/>
          <w:numId w:val="0"/>
        </w:numPr>
        <w:jc w:val="both"/>
      </w:pPr>
      <w:r>
        <w:t>- 450 kg/m3 dla betonów klasy C30/37 i wyższych.</w:t>
      </w:r>
    </w:p>
    <w:p w:rsidR="00E7213B" w:rsidRDefault="00E7213B" w:rsidP="00E7213B">
      <w:pPr>
        <w:numPr>
          <w:ilvl w:val="12"/>
          <w:numId w:val="0"/>
        </w:numPr>
        <w:jc w:val="both"/>
      </w:pPr>
      <w:r>
        <w:t>W przypadku betonu samozagęszczalnego (SCC) oraz w uzasadnionych przypadkach (za zgodą Inżyniera/Inspektora Nadzoru) dopuszcza się zmianę podanych zawartości cementu do 10%.</w:t>
      </w:r>
    </w:p>
    <w:p w:rsidR="00502BC3" w:rsidRDefault="00502BC3" w:rsidP="00B833AC">
      <w:pPr>
        <w:numPr>
          <w:ilvl w:val="12"/>
          <w:numId w:val="0"/>
        </w:numPr>
        <w:jc w:val="both"/>
      </w:pPr>
    </w:p>
    <w:p w:rsidR="00502BC3" w:rsidRDefault="00E7213B" w:rsidP="00B833AC">
      <w:pPr>
        <w:numPr>
          <w:ilvl w:val="12"/>
          <w:numId w:val="0"/>
        </w:numPr>
        <w:jc w:val="both"/>
      </w:pPr>
      <w:r>
        <w:t>2.4.3. Zawartość chlorków</w:t>
      </w:r>
    </w:p>
    <w:p w:rsidR="00E7213B" w:rsidRDefault="00F01E8F" w:rsidP="00F01E8F">
      <w:pPr>
        <w:numPr>
          <w:ilvl w:val="12"/>
          <w:numId w:val="0"/>
        </w:numPr>
        <w:ind w:firstLine="709"/>
        <w:jc w:val="both"/>
      </w:pPr>
      <w:r>
        <w:t>Zawartość chlorków w betonie nie powinna przekraczać maksymalnych wartości podanych w Tabeli 6.</w:t>
      </w:r>
    </w:p>
    <w:p w:rsidR="00502BC3" w:rsidRDefault="00502BC3" w:rsidP="00B833AC">
      <w:pPr>
        <w:numPr>
          <w:ilvl w:val="12"/>
          <w:numId w:val="0"/>
        </w:numPr>
        <w:jc w:val="both"/>
      </w:pPr>
    </w:p>
    <w:p w:rsidR="00502BC3" w:rsidRDefault="001319E0" w:rsidP="001319E0">
      <w:pPr>
        <w:numPr>
          <w:ilvl w:val="12"/>
          <w:numId w:val="0"/>
        </w:numPr>
        <w:jc w:val="center"/>
      </w:pPr>
      <w:r>
        <w:t>Tabela 6. Maksymalna zawartość chlorków w betonie</w:t>
      </w:r>
    </w:p>
    <w:p w:rsidR="001319E0" w:rsidRDefault="001319E0" w:rsidP="001319E0">
      <w:pPr>
        <w:numPr>
          <w:ilvl w:val="12"/>
          <w:numId w:val="0"/>
        </w:numPr>
        <w:jc w:val="center"/>
      </w:pPr>
      <w:r>
        <w:rPr>
          <w:noProof/>
        </w:rPr>
        <w:drawing>
          <wp:inline distT="0" distB="0" distL="0" distR="0">
            <wp:extent cx="5233035" cy="2815590"/>
            <wp:effectExtent l="0" t="0" r="5715" b="3810"/>
            <wp:docPr id="60" name="Obraz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33035" cy="2815590"/>
                    </a:xfrm>
                    <a:prstGeom prst="rect">
                      <a:avLst/>
                    </a:prstGeom>
                    <a:noFill/>
                    <a:ln>
                      <a:noFill/>
                    </a:ln>
                  </pic:spPr>
                </pic:pic>
              </a:graphicData>
            </a:graphic>
          </wp:inline>
        </w:drawing>
      </w:r>
    </w:p>
    <w:p w:rsidR="001319E0" w:rsidRDefault="001319E0" w:rsidP="001319E0">
      <w:pPr>
        <w:numPr>
          <w:ilvl w:val="12"/>
          <w:numId w:val="0"/>
        </w:numPr>
        <w:jc w:val="center"/>
      </w:pPr>
    </w:p>
    <w:p w:rsidR="001319E0" w:rsidRDefault="001319E0" w:rsidP="0036084A">
      <w:pPr>
        <w:numPr>
          <w:ilvl w:val="12"/>
          <w:numId w:val="0"/>
        </w:numPr>
        <w:jc w:val="both"/>
      </w:pPr>
      <w:r>
        <w:t>2.</w:t>
      </w:r>
      <w:r w:rsidR="0036084A">
        <w:t>4.4. Skład granulometryczny kruszywa</w:t>
      </w:r>
    </w:p>
    <w:p w:rsidR="0036084A" w:rsidRDefault="0036084A" w:rsidP="0036084A">
      <w:pPr>
        <w:numPr>
          <w:ilvl w:val="12"/>
          <w:numId w:val="0"/>
        </w:numPr>
        <w:ind w:firstLine="709"/>
        <w:jc w:val="both"/>
      </w:pPr>
      <w:r>
        <w:t>Maksymalny nominalny wymiar ziaren kruszywa należy dobierać uwzględniając otulinę zbrojenia oraz minimalną szerokość przekroju elementu. Ziarna kruszywa nie powinny być większe niż:</w:t>
      </w:r>
    </w:p>
    <w:p w:rsidR="001319E0" w:rsidRDefault="0036084A" w:rsidP="0036084A">
      <w:pPr>
        <w:numPr>
          <w:ilvl w:val="12"/>
          <w:numId w:val="0"/>
        </w:numPr>
        <w:ind w:firstLine="709"/>
      </w:pPr>
      <w:r>
        <w:t>- 1/3 najmniejszego wymiaru przekroju poprzecznego elementu,</w:t>
      </w:r>
    </w:p>
    <w:p w:rsidR="0036084A" w:rsidRDefault="0036084A" w:rsidP="0036084A">
      <w:pPr>
        <w:numPr>
          <w:ilvl w:val="12"/>
          <w:numId w:val="0"/>
        </w:numPr>
        <w:ind w:left="709"/>
      </w:pPr>
      <w:r>
        <w:t>- 3/4 odległości w świetle między prętami zbrojenia leżącymi w jednej płaszczyźnie prostopadłej do kierunku betonowania.</w:t>
      </w:r>
    </w:p>
    <w:p w:rsidR="001319E0" w:rsidRDefault="0036084A" w:rsidP="0036084A">
      <w:pPr>
        <w:numPr>
          <w:ilvl w:val="12"/>
          <w:numId w:val="0"/>
        </w:numPr>
        <w:ind w:firstLine="709"/>
      </w:pPr>
      <w:r>
        <w:t>Uziarnienie kruszywa do betonu ustala się doświadczalnie w czasie projektowania mieszanki betonowej. Zawartość frakcji do 2 mm w mieszance kruszyw powinna być jak najmniejsza i jednocześnie zapewnić niezbędną urabialność mieszanki betonowej oraz nie powinna przekraczać:</w:t>
      </w:r>
    </w:p>
    <w:p w:rsidR="0036084A" w:rsidRDefault="0036084A" w:rsidP="0036084A">
      <w:pPr>
        <w:numPr>
          <w:ilvl w:val="12"/>
          <w:numId w:val="0"/>
        </w:numPr>
        <w:ind w:firstLine="709"/>
      </w:pPr>
    </w:p>
    <w:p w:rsidR="0036084A" w:rsidRDefault="0036084A" w:rsidP="0036084A">
      <w:pPr>
        <w:numPr>
          <w:ilvl w:val="12"/>
          <w:numId w:val="0"/>
        </w:numPr>
      </w:pPr>
      <w:r>
        <w:t>a) przy zagęszczeniu mechanicznym przez wibrowanie:</w:t>
      </w:r>
    </w:p>
    <w:p w:rsidR="001319E0" w:rsidRDefault="00190D8F" w:rsidP="0036084A">
      <w:pPr>
        <w:numPr>
          <w:ilvl w:val="12"/>
          <w:numId w:val="0"/>
        </w:numPr>
      </w:pPr>
      <w:r>
        <w:t>- 42 % w przypadku mieszanki o uziarnieniu do 16,0 mm,</w:t>
      </w:r>
    </w:p>
    <w:p w:rsidR="00190D8F" w:rsidRDefault="00190D8F" w:rsidP="0036084A">
      <w:pPr>
        <w:numPr>
          <w:ilvl w:val="12"/>
          <w:numId w:val="0"/>
        </w:numPr>
      </w:pPr>
      <w:r>
        <w:t>- 38 % w przypadku mieszanki o uziarnieniu do 22,4 mm,</w:t>
      </w:r>
    </w:p>
    <w:p w:rsidR="00190D8F" w:rsidRDefault="00190D8F" w:rsidP="0036084A">
      <w:pPr>
        <w:numPr>
          <w:ilvl w:val="12"/>
          <w:numId w:val="0"/>
        </w:numPr>
      </w:pPr>
      <w:r>
        <w:t>- 37 % w przypadku mieszanki o uziarnieniu do 31,5 mm.</w:t>
      </w:r>
    </w:p>
    <w:p w:rsidR="00190D8F" w:rsidRDefault="00190D8F" w:rsidP="0036084A">
      <w:pPr>
        <w:numPr>
          <w:ilvl w:val="12"/>
          <w:numId w:val="0"/>
        </w:numPr>
      </w:pPr>
    </w:p>
    <w:p w:rsidR="00190D8F" w:rsidRDefault="00190D8F" w:rsidP="0036084A">
      <w:pPr>
        <w:numPr>
          <w:ilvl w:val="12"/>
          <w:numId w:val="0"/>
        </w:numPr>
      </w:pPr>
      <w:r>
        <w:t>b) w przypadku betonu samozagęszczalnego:</w:t>
      </w:r>
    </w:p>
    <w:p w:rsidR="001319E0" w:rsidRDefault="00190D8F" w:rsidP="00190D8F">
      <w:pPr>
        <w:numPr>
          <w:ilvl w:val="12"/>
          <w:numId w:val="0"/>
        </w:numPr>
      </w:pPr>
      <w:r>
        <w:t>- 50 % w przypadku mieszanki o uziarnieniu do 16,0 mm, - 47 % w przypadku mieszanki o uziarnieniu do 22,4 mm. Zalecane graniczne krzywe uziarnienie kruszywa do betonu konstrukcyjnego zagęszczanego mechanicznie i samozagęszczalnego podano w Tabeli 7 i Tabeli 8.</w:t>
      </w:r>
    </w:p>
    <w:p w:rsidR="00190D8F" w:rsidRDefault="00190D8F" w:rsidP="00190D8F">
      <w:pPr>
        <w:numPr>
          <w:ilvl w:val="12"/>
          <w:numId w:val="0"/>
        </w:numPr>
      </w:pPr>
    </w:p>
    <w:p w:rsidR="00190D8F" w:rsidRDefault="00190D8F" w:rsidP="00190D8F">
      <w:pPr>
        <w:numPr>
          <w:ilvl w:val="12"/>
          <w:numId w:val="0"/>
        </w:numPr>
        <w:jc w:val="center"/>
      </w:pPr>
      <w:r>
        <w:t>Tabela 7. Zalecane graniczne krzywe uziarnienia kruszywa do betonu konstrukcyjnego zagęszczanego mechanicznie</w:t>
      </w:r>
    </w:p>
    <w:p w:rsidR="00190D8F" w:rsidRDefault="00190D8F" w:rsidP="00190D8F">
      <w:pPr>
        <w:numPr>
          <w:ilvl w:val="12"/>
          <w:numId w:val="0"/>
        </w:numPr>
        <w:jc w:val="center"/>
      </w:pPr>
      <w:r>
        <w:rPr>
          <w:noProof/>
        </w:rPr>
        <w:drawing>
          <wp:inline distT="0" distB="0" distL="0" distR="0">
            <wp:extent cx="5241925" cy="2824480"/>
            <wp:effectExtent l="0" t="0" r="0" b="0"/>
            <wp:docPr id="61" name="Obraz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41925" cy="2824480"/>
                    </a:xfrm>
                    <a:prstGeom prst="rect">
                      <a:avLst/>
                    </a:prstGeom>
                    <a:noFill/>
                    <a:ln>
                      <a:noFill/>
                    </a:ln>
                  </pic:spPr>
                </pic:pic>
              </a:graphicData>
            </a:graphic>
          </wp:inline>
        </w:drawing>
      </w:r>
    </w:p>
    <w:p w:rsidR="00190D8F" w:rsidRDefault="00190D8F" w:rsidP="00190D8F">
      <w:pPr>
        <w:numPr>
          <w:ilvl w:val="12"/>
          <w:numId w:val="0"/>
        </w:numPr>
      </w:pPr>
    </w:p>
    <w:p w:rsidR="001319E0" w:rsidRDefault="001319E0" w:rsidP="001319E0">
      <w:pPr>
        <w:numPr>
          <w:ilvl w:val="12"/>
          <w:numId w:val="0"/>
        </w:numPr>
        <w:jc w:val="center"/>
      </w:pPr>
    </w:p>
    <w:p w:rsidR="00190D8F" w:rsidRDefault="00190D8F" w:rsidP="001319E0">
      <w:pPr>
        <w:numPr>
          <w:ilvl w:val="12"/>
          <w:numId w:val="0"/>
        </w:numPr>
        <w:jc w:val="center"/>
      </w:pPr>
      <w:r>
        <w:t>Tabela 8. Zalecane graniczne krzywe uziarnienia kruszywa do betonu konstrukcyjnego samozagęszczalnego</w:t>
      </w:r>
    </w:p>
    <w:p w:rsidR="00190D8F" w:rsidRDefault="00190D8F" w:rsidP="001319E0">
      <w:pPr>
        <w:numPr>
          <w:ilvl w:val="12"/>
          <w:numId w:val="0"/>
        </w:numPr>
        <w:jc w:val="center"/>
      </w:pPr>
    </w:p>
    <w:p w:rsidR="00190D8F" w:rsidRDefault="00190D8F" w:rsidP="001319E0">
      <w:pPr>
        <w:numPr>
          <w:ilvl w:val="12"/>
          <w:numId w:val="0"/>
        </w:numPr>
        <w:jc w:val="center"/>
      </w:pPr>
      <w:r>
        <w:rPr>
          <w:noProof/>
        </w:rPr>
        <w:drawing>
          <wp:inline distT="0" distB="0" distL="0" distR="0">
            <wp:extent cx="5241925" cy="1856105"/>
            <wp:effectExtent l="0" t="0" r="0" b="0"/>
            <wp:docPr id="62" name="Obraz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41925" cy="1856105"/>
                    </a:xfrm>
                    <a:prstGeom prst="rect">
                      <a:avLst/>
                    </a:prstGeom>
                    <a:noFill/>
                    <a:ln>
                      <a:noFill/>
                    </a:ln>
                  </pic:spPr>
                </pic:pic>
              </a:graphicData>
            </a:graphic>
          </wp:inline>
        </w:drawing>
      </w:r>
    </w:p>
    <w:p w:rsidR="00190D8F" w:rsidRDefault="00190D8F" w:rsidP="001319E0">
      <w:pPr>
        <w:numPr>
          <w:ilvl w:val="12"/>
          <w:numId w:val="0"/>
        </w:numPr>
        <w:jc w:val="center"/>
      </w:pPr>
    </w:p>
    <w:p w:rsidR="00190D8F" w:rsidRDefault="00190D8F" w:rsidP="00190D8F">
      <w:pPr>
        <w:numPr>
          <w:ilvl w:val="12"/>
          <w:numId w:val="0"/>
        </w:numPr>
      </w:pPr>
      <w:r>
        <w:t>2.4.5. Skład granulometryczny kruszywa</w:t>
      </w:r>
    </w:p>
    <w:p w:rsidR="00190D8F" w:rsidRDefault="00190D8F" w:rsidP="00190D8F">
      <w:pPr>
        <w:numPr>
          <w:ilvl w:val="12"/>
          <w:numId w:val="0"/>
        </w:numPr>
      </w:pPr>
      <w:r>
        <w:tab/>
        <w:t>Zawartość powietrza w mieszance betonowej badana zgodnie z PN-EN 12350-7 nie powinna przekraczać wartości granicznych podanych w PN-B-06265 (Tabela 9).</w:t>
      </w:r>
    </w:p>
    <w:p w:rsidR="00190D8F" w:rsidRDefault="00190D8F" w:rsidP="00190D8F">
      <w:pPr>
        <w:numPr>
          <w:ilvl w:val="12"/>
          <w:numId w:val="0"/>
        </w:numPr>
        <w:ind w:firstLine="709"/>
      </w:pPr>
      <w:r>
        <w:t>Podczas próby technologicznej i kontroli jakości robót, zawartość powietrza w mieszance betonowej sprawdza się w miejscu dostawy betonu konstrukcyjnego napowietrzonego.</w:t>
      </w:r>
    </w:p>
    <w:p w:rsidR="00190D8F" w:rsidRDefault="00190D8F" w:rsidP="00190D8F">
      <w:pPr>
        <w:numPr>
          <w:ilvl w:val="12"/>
          <w:numId w:val="0"/>
        </w:numPr>
        <w:ind w:firstLine="709"/>
      </w:pPr>
    </w:p>
    <w:p w:rsidR="00190D8F" w:rsidRDefault="00190D8F" w:rsidP="00190D8F">
      <w:pPr>
        <w:numPr>
          <w:ilvl w:val="12"/>
          <w:numId w:val="0"/>
        </w:numPr>
        <w:ind w:firstLine="709"/>
      </w:pPr>
    </w:p>
    <w:p w:rsidR="00190D8F" w:rsidRDefault="00190D8F" w:rsidP="00190D8F">
      <w:pPr>
        <w:numPr>
          <w:ilvl w:val="12"/>
          <w:numId w:val="0"/>
        </w:numPr>
        <w:ind w:firstLine="709"/>
      </w:pPr>
    </w:p>
    <w:p w:rsidR="00190D8F" w:rsidRDefault="00190D8F" w:rsidP="00190D8F">
      <w:pPr>
        <w:numPr>
          <w:ilvl w:val="12"/>
          <w:numId w:val="0"/>
        </w:numPr>
        <w:ind w:firstLine="709"/>
      </w:pPr>
    </w:p>
    <w:p w:rsidR="00190D8F" w:rsidRDefault="00190D8F" w:rsidP="00190D8F">
      <w:pPr>
        <w:numPr>
          <w:ilvl w:val="12"/>
          <w:numId w:val="0"/>
        </w:numPr>
        <w:ind w:firstLine="709"/>
      </w:pPr>
    </w:p>
    <w:p w:rsidR="00190D8F" w:rsidRDefault="00190D8F" w:rsidP="00190D8F">
      <w:pPr>
        <w:numPr>
          <w:ilvl w:val="12"/>
          <w:numId w:val="0"/>
        </w:numPr>
        <w:ind w:firstLine="709"/>
      </w:pPr>
    </w:p>
    <w:p w:rsidR="00190D8F" w:rsidRDefault="00190D8F" w:rsidP="00190D8F">
      <w:pPr>
        <w:numPr>
          <w:ilvl w:val="12"/>
          <w:numId w:val="0"/>
        </w:numPr>
        <w:ind w:firstLine="709"/>
      </w:pPr>
    </w:p>
    <w:p w:rsidR="00190D8F" w:rsidRDefault="00190D8F" w:rsidP="00190D8F">
      <w:pPr>
        <w:numPr>
          <w:ilvl w:val="12"/>
          <w:numId w:val="0"/>
        </w:numPr>
        <w:ind w:firstLine="709"/>
      </w:pPr>
    </w:p>
    <w:p w:rsidR="00190D8F" w:rsidRDefault="00190D8F" w:rsidP="00190D8F">
      <w:pPr>
        <w:numPr>
          <w:ilvl w:val="12"/>
          <w:numId w:val="0"/>
        </w:numPr>
        <w:ind w:firstLine="709"/>
      </w:pPr>
    </w:p>
    <w:p w:rsidR="00190D8F" w:rsidRDefault="00190D8F" w:rsidP="00190D8F">
      <w:pPr>
        <w:numPr>
          <w:ilvl w:val="12"/>
          <w:numId w:val="0"/>
        </w:numPr>
        <w:ind w:firstLine="709"/>
      </w:pPr>
    </w:p>
    <w:p w:rsidR="00190D8F" w:rsidRDefault="00190D8F" w:rsidP="00190D8F">
      <w:pPr>
        <w:numPr>
          <w:ilvl w:val="12"/>
          <w:numId w:val="0"/>
        </w:numPr>
        <w:ind w:firstLine="709"/>
      </w:pPr>
    </w:p>
    <w:p w:rsidR="00190D8F" w:rsidRDefault="00190D8F" w:rsidP="00190D8F">
      <w:pPr>
        <w:numPr>
          <w:ilvl w:val="12"/>
          <w:numId w:val="0"/>
        </w:numPr>
        <w:jc w:val="center"/>
      </w:pPr>
      <w:r>
        <w:t>Tabela 9. Wartości graniczne zawartości powietrza w mieszance betonowej w przypadku stosowania domieszki napowietrzającej</w:t>
      </w:r>
    </w:p>
    <w:p w:rsidR="00190D8F" w:rsidRDefault="00190D8F" w:rsidP="00190D8F">
      <w:pPr>
        <w:numPr>
          <w:ilvl w:val="12"/>
          <w:numId w:val="0"/>
        </w:numPr>
        <w:ind w:firstLine="709"/>
      </w:pPr>
    </w:p>
    <w:p w:rsidR="00190D8F" w:rsidRDefault="00190D8F" w:rsidP="00190D8F">
      <w:pPr>
        <w:numPr>
          <w:ilvl w:val="12"/>
          <w:numId w:val="0"/>
        </w:numPr>
        <w:jc w:val="center"/>
      </w:pPr>
      <w:r>
        <w:rPr>
          <w:noProof/>
        </w:rPr>
        <w:drawing>
          <wp:inline distT="0" distB="0" distL="0" distR="0">
            <wp:extent cx="5233035" cy="1421130"/>
            <wp:effectExtent l="0" t="0" r="5715" b="7620"/>
            <wp:docPr id="64" name="Obraz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33035" cy="1421130"/>
                    </a:xfrm>
                    <a:prstGeom prst="rect">
                      <a:avLst/>
                    </a:prstGeom>
                    <a:noFill/>
                    <a:ln>
                      <a:noFill/>
                    </a:ln>
                  </pic:spPr>
                </pic:pic>
              </a:graphicData>
            </a:graphic>
          </wp:inline>
        </w:drawing>
      </w:r>
    </w:p>
    <w:p w:rsidR="00190D8F" w:rsidRDefault="00190D8F" w:rsidP="00190D8F">
      <w:pPr>
        <w:numPr>
          <w:ilvl w:val="12"/>
          <w:numId w:val="0"/>
        </w:numPr>
      </w:pPr>
    </w:p>
    <w:p w:rsidR="00190D8F" w:rsidRDefault="00190D8F" w:rsidP="00190D8F">
      <w:pPr>
        <w:numPr>
          <w:ilvl w:val="12"/>
          <w:numId w:val="0"/>
        </w:numPr>
        <w:ind w:firstLine="709"/>
      </w:pPr>
      <w:r>
        <w:t>Przyjęta zawartość powietrza w mieszance betonowej jest ustalona na etapie zatwierdzania receptury przez</w:t>
      </w:r>
      <w:r w:rsidR="00663F18">
        <w:t xml:space="preserve"> przedstawiciela</w:t>
      </w:r>
      <w:r w:rsidR="007424F4">
        <w:t>Zamawiającego</w:t>
      </w:r>
      <w:r>
        <w:t>.</w:t>
      </w:r>
    </w:p>
    <w:p w:rsidR="00190D8F" w:rsidRDefault="00190D8F" w:rsidP="00190D8F">
      <w:pPr>
        <w:numPr>
          <w:ilvl w:val="12"/>
          <w:numId w:val="0"/>
        </w:numPr>
      </w:pPr>
    </w:p>
    <w:p w:rsidR="00190D8F" w:rsidRDefault="00190D8F" w:rsidP="00190D8F">
      <w:pPr>
        <w:numPr>
          <w:ilvl w:val="12"/>
          <w:numId w:val="0"/>
        </w:numPr>
      </w:pPr>
      <w:r>
        <w:t>2.4.6. Konsystęcja mieszanki betonowej</w:t>
      </w:r>
    </w:p>
    <w:p w:rsidR="00190D8F" w:rsidRDefault="00190D8F" w:rsidP="00190D8F">
      <w:pPr>
        <w:numPr>
          <w:ilvl w:val="12"/>
          <w:numId w:val="0"/>
        </w:numPr>
        <w:ind w:firstLine="709"/>
      </w:pPr>
      <w:r>
        <w:t>Konsystencja mieszanki betonowej powinna być dostosowana do warunków zagęszczenia i zabudowy, tzn. wymiarów przekroju elementu, objętości elementu, zagęszczenia i układu prętów zbrojeniowych. Dobierając konsystencję uwzględnić należy również warunki i możliwości technologiczne Wykonawcy, w tym przede wszystkim rodzaj zastosowanego deskowania (lub form), rodzaj, wydajność i liczbę urządzeń zagęszczających (wibratory wgłębne, wibratory przyczepne, wibratory powierzchniowe, itp.), a także urządzeń do powierzchniowego wykańczania betonu (rodzaj i wydajność zacieraczek mechanicznych).</w:t>
      </w:r>
    </w:p>
    <w:p w:rsidR="001319E0" w:rsidRDefault="00190D8F" w:rsidP="00190D8F">
      <w:pPr>
        <w:numPr>
          <w:ilvl w:val="12"/>
          <w:numId w:val="0"/>
        </w:numPr>
        <w:ind w:firstLine="709"/>
      </w:pPr>
      <w:r>
        <w:t>Konsystencja mieszanki betonowej powinna być określona poprzez klasę wg metody opadu stożka zgodnie z PN-EN 12350-2 – Tabela 10a lub metody rozpływu stożka zgodnie z PNEN 12350-8 – Tabela 10b. Dopuszcza się także określenie konsystencji mieszanki betonowej poprzez zdefiniowanie założonej wartości opadu stożka w mm. Klasa konsystencji mieszanki betonowej powinna zostać ustalona na etapie zatwierdzania receptury przez</w:t>
      </w:r>
      <w:r w:rsidR="00663F18">
        <w:t xml:space="preserve"> przedstawiciela </w:t>
      </w:r>
      <w:r w:rsidR="007424F4">
        <w:t>Zamawiającego</w:t>
      </w:r>
      <w:r>
        <w:t>.</w:t>
      </w:r>
    </w:p>
    <w:p w:rsidR="00190D8F" w:rsidRDefault="00190D8F" w:rsidP="00190D8F">
      <w:pPr>
        <w:numPr>
          <w:ilvl w:val="12"/>
          <w:numId w:val="0"/>
        </w:numPr>
      </w:pPr>
    </w:p>
    <w:p w:rsidR="00190D8F" w:rsidRDefault="00190D8F" w:rsidP="00190D8F">
      <w:pPr>
        <w:numPr>
          <w:ilvl w:val="12"/>
          <w:numId w:val="0"/>
        </w:numPr>
        <w:jc w:val="center"/>
      </w:pPr>
      <w:r>
        <w:t>Tabela 10a. Klasy konsystencji mieszanki betonowej wg metody opadu stożka</w:t>
      </w:r>
    </w:p>
    <w:p w:rsidR="00190D8F" w:rsidRDefault="00190D8F" w:rsidP="00190D8F">
      <w:pPr>
        <w:numPr>
          <w:ilvl w:val="12"/>
          <w:numId w:val="0"/>
        </w:numPr>
        <w:jc w:val="center"/>
      </w:pPr>
      <w:r>
        <w:rPr>
          <w:noProof/>
        </w:rPr>
        <w:drawing>
          <wp:inline distT="0" distB="0" distL="0" distR="0">
            <wp:extent cx="5169535" cy="1629410"/>
            <wp:effectExtent l="0" t="0" r="0" b="8890"/>
            <wp:docPr id="65" name="Obraz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69535" cy="1629410"/>
                    </a:xfrm>
                    <a:prstGeom prst="rect">
                      <a:avLst/>
                    </a:prstGeom>
                    <a:noFill/>
                    <a:ln>
                      <a:noFill/>
                    </a:ln>
                  </pic:spPr>
                </pic:pic>
              </a:graphicData>
            </a:graphic>
          </wp:inline>
        </w:drawing>
      </w:r>
    </w:p>
    <w:p w:rsidR="00190D8F" w:rsidRDefault="00190D8F" w:rsidP="00190D8F">
      <w:pPr>
        <w:numPr>
          <w:ilvl w:val="12"/>
          <w:numId w:val="0"/>
        </w:numPr>
        <w:jc w:val="center"/>
      </w:pPr>
    </w:p>
    <w:p w:rsidR="00190D8F" w:rsidRDefault="00190D8F" w:rsidP="00190D8F">
      <w:pPr>
        <w:numPr>
          <w:ilvl w:val="12"/>
          <w:numId w:val="0"/>
        </w:numPr>
        <w:jc w:val="center"/>
      </w:pPr>
      <w:r>
        <w:t>Tabela 10b. Klasy konsystencji mieszanki betonowej SCC wg metody rozpływu stożka</w:t>
      </w:r>
    </w:p>
    <w:p w:rsidR="00190D8F" w:rsidRDefault="00190D8F" w:rsidP="00190D8F">
      <w:pPr>
        <w:numPr>
          <w:ilvl w:val="12"/>
          <w:numId w:val="0"/>
        </w:numPr>
      </w:pPr>
    </w:p>
    <w:p w:rsidR="00190D8F" w:rsidRDefault="00190D8F" w:rsidP="00190D8F">
      <w:pPr>
        <w:numPr>
          <w:ilvl w:val="12"/>
          <w:numId w:val="0"/>
        </w:numPr>
        <w:jc w:val="center"/>
      </w:pPr>
      <w:r>
        <w:rPr>
          <w:noProof/>
        </w:rPr>
        <w:drawing>
          <wp:inline distT="0" distB="0" distL="0" distR="0">
            <wp:extent cx="5296535" cy="932815"/>
            <wp:effectExtent l="0" t="0" r="0" b="635"/>
            <wp:docPr id="66" name="Obraz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96535" cy="932815"/>
                    </a:xfrm>
                    <a:prstGeom prst="rect">
                      <a:avLst/>
                    </a:prstGeom>
                    <a:noFill/>
                    <a:ln>
                      <a:noFill/>
                    </a:ln>
                  </pic:spPr>
                </pic:pic>
              </a:graphicData>
            </a:graphic>
          </wp:inline>
        </w:drawing>
      </w:r>
    </w:p>
    <w:p w:rsidR="00190D8F" w:rsidRDefault="00190D8F" w:rsidP="00190D8F">
      <w:pPr>
        <w:numPr>
          <w:ilvl w:val="12"/>
          <w:numId w:val="0"/>
        </w:numPr>
      </w:pPr>
    </w:p>
    <w:p w:rsidR="00B833AC" w:rsidRDefault="00B833AC" w:rsidP="00B833AC">
      <w:pPr>
        <w:widowControl w:val="0"/>
        <w:spacing w:before="120" w:after="120"/>
        <w:rPr>
          <w:b/>
          <w:snapToGrid w:val="0"/>
          <w:u w:val="single"/>
        </w:rPr>
      </w:pPr>
      <w:r>
        <w:rPr>
          <w:b/>
          <w:noProof/>
          <w:snapToGrid w:val="0"/>
          <w:u w:val="single"/>
        </w:rPr>
        <w:t>3.</w:t>
      </w:r>
      <w:r>
        <w:rPr>
          <w:b/>
          <w:snapToGrid w:val="0"/>
          <w:u w:val="single"/>
        </w:rPr>
        <w:t xml:space="preserve"> SPRZĘT</w:t>
      </w:r>
    </w:p>
    <w:p w:rsidR="00252257" w:rsidRPr="00252257" w:rsidRDefault="00252257" w:rsidP="00252257">
      <w:pPr>
        <w:widowControl w:val="0"/>
        <w:jc w:val="both"/>
        <w:rPr>
          <w:b/>
        </w:rPr>
      </w:pPr>
      <w:r w:rsidRPr="00252257">
        <w:rPr>
          <w:b/>
        </w:rPr>
        <w:t xml:space="preserve">3.1.Ogólne wymagania dotyczące sprzętu </w:t>
      </w:r>
    </w:p>
    <w:p w:rsidR="00252257" w:rsidRDefault="00252257" w:rsidP="00252257">
      <w:pPr>
        <w:widowControl w:val="0"/>
        <w:jc w:val="both"/>
      </w:pPr>
      <w:r>
        <w:t xml:space="preserve">Ogólne wymagania dotyczące sprzętu podano w D.M.00.00.00 „Wymagania ogólne”. </w:t>
      </w:r>
    </w:p>
    <w:p w:rsidR="00252257" w:rsidRDefault="00252257" w:rsidP="00252257">
      <w:pPr>
        <w:widowControl w:val="0"/>
        <w:jc w:val="both"/>
      </w:pPr>
      <w:r>
        <w:t xml:space="preserve">Sprzęt do wykonania robót musi uzyskać akceptację Inspektora nadzoru. </w:t>
      </w:r>
    </w:p>
    <w:p w:rsidR="00252257" w:rsidRDefault="00252257" w:rsidP="00252257">
      <w:pPr>
        <w:widowControl w:val="0"/>
        <w:jc w:val="both"/>
        <w:rPr>
          <w:b/>
        </w:rPr>
      </w:pPr>
      <w:r w:rsidRPr="00252257">
        <w:rPr>
          <w:b/>
        </w:rPr>
        <w:t>3.2.Wytwórnia mieszanki betonowej</w:t>
      </w:r>
    </w:p>
    <w:p w:rsidR="00252257" w:rsidRPr="00252257" w:rsidRDefault="00252257" w:rsidP="00252257">
      <w:pPr>
        <w:widowControl w:val="0"/>
        <w:jc w:val="both"/>
      </w:pPr>
      <w:r w:rsidRPr="00252257">
        <w:t xml:space="preserve">Mieszanka betonowa powinna być produkowana w zautomatyzowanych wytwórniach zapewniających: </w:t>
      </w:r>
    </w:p>
    <w:p w:rsidR="00252257" w:rsidRPr="00252257" w:rsidRDefault="00252257" w:rsidP="00252257">
      <w:pPr>
        <w:widowControl w:val="0"/>
        <w:jc w:val="both"/>
      </w:pPr>
      <w:r w:rsidRPr="00252257">
        <w:t xml:space="preserve">   dokładność dozowania poszczególnych składników, </w:t>
      </w:r>
    </w:p>
    <w:p w:rsidR="00252257" w:rsidRPr="00252257" w:rsidRDefault="00252257" w:rsidP="00252257">
      <w:pPr>
        <w:widowControl w:val="0"/>
        <w:jc w:val="both"/>
      </w:pPr>
      <w:r w:rsidRPr="00252257">
        <w:t xml:space="preserve">   dokonywanie  pomiaru wilgotności kruszyw  z  automatyczną korektę dozowanej wody  zarobowej </w:t>
      </w:r>
    </w:p>
    <w:p w:rsidR="00252257" w:rsidRPr="00252257" w:rsidRDefault="00252257" w:rsidP="00252257">
      <w:pPr>
        <w:widowControl w:val="0"/>
        <w:jc w:val="both"/>
      </w:pPr>
      <w:r w:rsidRPr="00252257">
        <w:t xml:space="preserve">do mieszanki, </w:t>
      </w:r>
    </w:p>
    <w:p w:rsidR="00252257" w:rsidRPr="00252257" w:rsidRDefault="00252257" w:rsidP="00252257">
      <w:pPr>
        <w:widowControl w:val="0"/>
        <w:jc w:val="both"/>
      </w:pPr>
      <w:r w:rsidRPr="00252257">
        <w:t xml:space="preserve">   równomierne rozprowadzenie składników, </w:t>
      </w:r>
    </w:p>
    <w:p w:rsidR="00252257" w:rsidRPr="00252257" w:rsidRDefault="00252257" w:rsidP="00252257">
      <w:pPr>
        <w:widowControl w:val="0"/>
        <w:jc w:val="both"/>
      </w:pPr>
      <w:r w:rsidRPr="00252257">
        <w:t xml:space="preserve">   uzyskanie jednorodnej konsystencji. </w:t>
      </w:r>
    </w:p>
    <w:p w:rsidR="00252257" w:rsidRPr="00252257" w:rsidRDefault="00252257" w:rsidP="00252257">
      <w:pPr>
        <w:widowControl w:val="0"/>
        <w:jc w:val="both"/>
      </w:pPr>
      <w:r w:rsidRPr="00252257">
        <w:t xml:space="preserve">Wytwórnia  powinna  być  przystosowana  do  pracy  w  warunkach  zimowych,  tzn.  zaopatrzona  w  systemy </w:t>
      </w:r>
    </w:p>
    <w:p w:rsidR="00252257" w:rsidRPr="00252257" w:rsidRDefault="00252257" w:rsidP="00252257">
      <w:pPr>
        <w:widowControl w:val="0"/>
        <w:jc w:val="both"/>
      </w:pPr>
      <w:r w:rsidRPr="00252257">
        <w:t xml:space="preserve">ogrzewania wody i kruszyw oraz odpowiednie, termoizolowane pomieszczenia. Cement, kruszywa oraz </w:t>
      </w:r>
    </w:p>
    <w:p w:rsidR="00252257" w:rsidRPr="00252257" w:rsidRDefault="00252257" w:rsidP="00252257">
      <w:pPr>
        <w:widowControl w:val="0"/>
        <w:jc w:val="both"/>
      </w:pPr>
      <w:r w:rsidRPr="00252257">
        <w:t xml:space="preserve">dodatki proszkowe należy dozować masowo. Woda zarobowa, domieszki oraz ciekłe dodatki mogą być </w:t>
      </w:r>
    </w:p>
    <w:p w:rsidR="00252257" w:rsidRDefault="00252257" w:rsidP="00252257">
      <w:pPr>
        <w:widowControl w:val="0"/>
        <w:jc w:val="both"/>
      </w:pPr>
      <w:r w:rsidRPr="00252257">
        <w:t>dozowane masowo lub objętościowo.</w:t>
      </w:r>
    </w:p>
    <w:p w:rsidR="007E654E" w:rsidRPr="00252257" w:rsidRDefault="007E654E" w:rsidP="00252257">
      <w:pPr>
        <w:widowControl w:val="0"/>
        <w:jc w:val="both"/>
      </w:pPr>
    </w:p>
    <w:p w:rsidR="007E654E" w:rsidRDefault="007E654E" w:rsidP="007E654E">
      <w:pPr>
        <w:widowControl w:val="0"/>
        <w:jc w:val="center"/>
      </w:pPr>
      <w:r>
        <w:t>Tabela 11. Wymagania dotyczące urządzenia dozującego oraz dopuszczalne tolerancje dozowania składników mieszanki betonowej</w:t>
      </w:r>
    </w:p>
    <w:p w:rsidR="007E654E" w:rsidRDefault="007E654E" w:rsidP="00252257">
      <w:pPr>
        <w:widowControl w:val="0"/>
        <w:jc w:val="both"/>
      </w:pPr>
    </w:p>
    <w:p w:rsidR="007E654E" w:rsidRDefault="007E654E" w:rsidP="007E654E">
      <w:pPr>
        <w:widowControl w:val="0"/>
        <w:jc w:val="center"/>
      </w:pPr>
      <w:r>
        <w:rPr>
          <w:noProof/>
        </w:rPr>
        <w:drawing>
          <wp:inline distT="0" distB="0" distL="0" distR="0">
            <wp:extent cx="5196840" cy="3838575"/>
            <wp:effectExtent l="0" t="0" r="3810" b="9525"/>
            <wp:docPr id="67" name="Obraz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196840" cy="3838575"/>
                    </a:xfrm>
                    <a:prstGeom prst="rect">
                      <a:avLst/>
                    </a:prstGeom>
                    <a:noFill/>
                    <a:ln>
                      <a:noFill/>
                    </a:ln>
                  </pic:spPr>
                </pic:pic>
              </a:graphicData>
            </a:graphic>
          </wp:inline>
        </w:drawing>
      </w:r>
    </w:p>
    <w:p w:rsidR="007E654E" w:rsidRDefault="007E654E" w:rsidP="007E654E">
      <w:pPr>
        <w:widowControl w:val="0"/>
        <w:ind w:firstLine="709"/>
        <w:jc w:val="both"/>
      </w:pPr>
    </w:p>
    <w:p w:rsidR="007E654E" w:rsidRDefault="007E654E" w:rsidP="007E654E">
      <w:pPr>
        <w:widowControl w:val="0"/>
        <w:ind w:firstLine="709"/>
        <w:jc w:val="both"/>
      </w:pPr>
      <w:r>
        <w:t>Wagi dozujące powinny być kontrolowane co najmniej raz na dwa miesiące, wzorcowane przy rozpoczęciu produkcji, a następnie przynajmniej raz na rok. Urządzenia dozujące wodę powinny być sprawdzane co najmniej raz na miesią.</w:t>
      </w:r>
    </w:p>
    <w:p w:rsidR="007E654E" w:rsidRDefault="007E654E" w:rsidP="00252257">
      <w:pPr>
        <w:widowControl w:val="0"/>
        <w:jc w:val="both"/>
      </w:pPr>
    </w:p>
    <w:p w:rsidR="007E654E" w:rsidRDefault="007E654E" w:rsidP="00252257">
      <w:pPr>
        <w:widowControl w:val="0"/>
        <w:jc w:val="both"/>
      </w:pPr>
    </w:p>
    <w:p w:rsidR="00252257" w:rsidRDefault="00252257" w:rsidP="00252257">
      <w:pPr>
        <w:widowControl w:val="0"/>
        <w:jc w:val="both"/>
        <w:rPr>
          <w:b/>
        </w:rPr>
      </w:pPr>
      <w:r w:rsidRPr="00252257">
        <w:rPr>
          <w:b/>
        </w:rPr>
        <w:t>3.3. Warunki prowadzenia produkcji</w:t>
      </w:r>
    </w:p>
    <w:p w:rsidR="007E654E" w:rsidRDefault="007E654E" w:rsidP="00252257">
      <w:pPr>
        <w:widowControl w:val="0"/>
        <w:jc w:val="both"/>
        <w:rPr>
          <w:b/>
        </w:rPr>
      </w:pPr>
    </w:p>
    <w:p w:rsidR="007E654E" w:rsidRDefault="007E654E" w:rsidP="00252257">
      <w:pPr>
        <w:widowControl w:val="0"/>
        <w:jc w:val="both"/>
        <w:rPr>
          <w:b/>
        </w:rPr>
      </w:pPr>
    </w:p>
    <w:p w:rsidR="007E654E" w:rsidRPr="00252257" w:rsidRDefault="007E654E" w:rsidP="00252257">
      <w:pPr>
        <w:widowControl w:val="0"/>
        <w:jc w:val="both"/>
        <w:rPr>
          <w:b/>
        </w:rPr>
      </w:pPr>
    </w:p>
    <w:p w:rsidR="007E654E" w:rsidRDefault="00252257" w:rsidP="00252257">
      <w:pPr>
        <w:widowControl w:val="0"/>
        <w:jc w:val="both"/>
      </w:pPr>
      <w:r w:rsidRPr="00252257">
        <w:t>Przed  przystąpieniem  do  produkcji,  wszystkie  zespoły  i  urządzenia  wytwórni  mające  wpływ  na  jakość produkowanej   mieszanki   betonowej   zostaną   komisyjnie   sprawdzone,   co   zostanie   potwierdzone protokołem podpisanym przez Wykonawcę i Inspektora nadzoru. Produkcja może się odbywać jedynie na podstawie  receptury  laboratoryjnej  opracowanej  przez Wykonawcę  lub  na  jego  zlecenie  i  zatwierdzone przez Inspektora nadzoru.</w:t>
      </w:r>
    </w:p>
    <w:p w:rsidR="00252257" w:rsidRPr="00252257" w:rsidRDefault="00252257" w:rsidP="007E654E">
      <w:pPr>
        <w:widowControl w:val="0"/>
        <w:ind w:firstLine="709"/>
        <w:jc w:val="both"/>
      </w:pPr>
      <w:r w:rsidRPr="00252257">
        <w:t xml:space="preserve">Wykonawca (Producent mieszanki betonowej) musi mieć własne laboratorium lub  też,  za  zgodą  Inspektora  nadzoru,  zleci  nadzór  laboratoryjny  niezależnemu  laboratorium.  Inspektor nadzoru  będzie  dysponował  własnym  laboratorium  lub  będzie  wykorzystywał  laboratorium  Wykonawcy (Producenta), uczestnicząc w badaniach. Roboczy skład mieszanki laboratoryjnej przygotuje Wykonawca (Producent), opracowując go na podstawie recepty laboratoryjnej. Skład mieszanki betonowej określony symbolem  recepty  powinien  być  wprowadzony  do  pamięci  komputera  węzła  betoniarskiego.  Czas mieszania  składników  powinien  być  ustalony  doświadczalnie,  w  zależności  od  składu  i  wymaganej </w:t>
      </w:r>
    </w:p>
    <w:p w:rsidR="00252257" w:rsidRPr="00252257" w:rsidRDefault="00252257" w:rsidP="00252257">
      <w:pPr>
        <w:widowControl w:val="0"/>
        <w:jc w:val="both"/>
      </w:pPr>
      <w:r w:rsidRPr="00252257">
        <w:t>konsystencji produkowanej mieszanki oraz rodzaju</w:t>
      </w:r>
      <w:r>
        <w:t>.</w:t>
      </w:r>
    </w:p>
    <w:p w:rsidR="00B833AC" w:rsidRDefault="00B833AC" w:rsidP="00252257">
      <w:pPr>
        <w:widowControl w:val="0"/>
        <w:spacing w:before="120" w:after="120"/>
        <w:jc w:val="both"/>
        <w:rPr>
          <w:b/>
          <w:snapToGrid w:val="0"/>
          <w:u w:val="single"/>
        </w:rPr>
      </w:pPr>
      <w:r>
        <w:rPr>
          <w:b/>
          <w:noProof/>
          <w:snapToGrid w:val="0"/>
          <w:u w:val="single"/>
        </w:rPr>
        <w:t>4.</w:t>
      </w:r>
      <w:r>
        <w:rPr>
          <w:b/>
          <w:snapToGrid w:val="0"/>
          <w:u w:val="single"/>
        </w:rPr>
        <w:t xml:space="preserve"> TRANSPORT</w:t>
      </w:r>
    </w:p>
    <w:p w:rsidR="00252257" w:rsidRDefault="00252257" w:rsidP="00252257">
      <w:pPr>
        <w:widowControl w:val="0"/>
        <w:jc w:val="both"/>
        <w:rPr>
          <w:b/>
          <w:snapToGrid w:val="0"/>
        </w:rPr>
      </w:pPr>
      <w:r w:rsidRPr="00252257">
        <w:rPr>
          <w:b/>
          <w:snapToGrid w:val="0"/>
        </w:rPr>
        <w:t>4.1. Ogólne wymagania dotyczące transportu</w:t>
      </w:r>
    </w:p>
    <w:p w:rsidR="00252257" w:rsidRDefault="00252257" w:rsidP="00252257">
      <w:pPr>
        <w:widowControl w:val="0"/>
        <w:jc w:val="both"/>
        <w:rPr>
          <w:snapToGrid w:val="0"/>
        </w:rPr>
      </w:pPr>
      <w:r w:rsidRPr="00252257">
        <w:rPr>
          <w:snapToGrid w:val="0"/>
        </w:rPr>
        <w:t>Ogólne wymagania dotyczące transportu podano w D.M.00.00.00 „Wymagania ogólne”.</w:t>
      </w:r>
    </w:p>
    <w:p w:rsidR="00252257" w:rsidRDefault="00252257" w:rsidP="00252257">
      <w:pPr>
        <w:widowControl w:val="0"/>
        <w:spacing w:before="120" w:after="120"/>
        <w:jc w:val="both"/>
        <w:rPr>
          <w:b/>
          <w:snapToGrid w:val="0"/>
        </w:rPr>
      </w:pPr>
      <w:r w:rsidRPr="00252257">
        <w:rPr>
          <w:b/>
          <w:snapToGrid w:val="0"/>
        </w:rPr>
        <w:t>4.2. Transport i przechowywanie cementu</w:t>
      </w:r>
    </w:p>
    <w:p w:rsidR="00252257" w:rsidRPr="00252257" w:rsidRDefault="00252257" w:rsidP="00026C83">
      <w:pPr>
        <w:widowControl w:val="0"/>
        <w:ind w:firstLine="709"/>
        <w:jc w:val="both"/>
        <w:rPr>
          <w:snapToGrid w:val="0"/>
        </w:rPr>
      </w:pPr>
      <w:r w:rsidRPr="00252257">
        <w:rPr>
          <w:snapToGrid w:val="0"/>
        </w:rPr>
        <w:t xml:space="preserve">Każda   dostarczona   partia   cementu,   różniąca   się   rodzajem,   klasą   wytrzymałości   lub   innymi </w:t>
      </w:r>
    </w:p>
    <w:p w:rsidR="00252257" w:rsidRPr="00252257" w:rsidRDefault="00252257" w:rsidP="00252257">
      <w:pPr>
        <w:widowControl w:val="0"/>
        <w:jc w:val="both"/>
        <w:rPr>
          <w:snapToGrid w:val="0"/>
        </w:rPr>
      </w:pPr>
      <w:r w:rsidRPr="00252257">
        <w:rPr>
          <w:snapToGrid w:val="0"/>
        </w:rPr>
        <w:t xml:space="preserve">właściwościami, powinna być magazynowana oddzielnie, tak aby można ją było łatwo zidentyfikować. </w:t>
      </w:r>
    </w:p>
    <w:p w:rsidR="00252257" w:rsidRDefault="00252257" w:rsidP="00252257">
      <w:pPr>
        <w:widowControl w:val="0"/>
        <w:jc w:val="both"/>
        <w:rPr>
          <w:snapToGrid w:val="0"/>
        </w:rPr>
      </w:pPr>
      <w:r w:rsidRPr="00252257">
        <w:rPr>
          <w:snapToGrid w:val="0"/>
        </w:rPr>
        <w:t xml:space="preserve">Warunki składowania cementu: </w:t>
      </w:r>
    </w:p>
    <w:p w:rsidR="00026C83" w:rsidRPr="00252257" w:rsidRDefault="00026C83" w:rsidP="00252257">
      <w:pPr>
        <w:widowControl w:val="0"/>
        <w:jc w:val="both"/>
        <w:rPr>
          <w:snapToGrid w:val="0"/>
        </w:rPr>
      </w:pPr>
    </w:p>
    <w:p w:rsidR="00252257" w:rsidRPr="00252257" w:rsidRDefault="00252257" w:rsidP="00252257">
      <w:pPr>
        <w:widowControl w:val="0"/>
        <w:jc w:val="both"/>
        <w:rPr>
          <w:snapToGrid w:val="0"/>
        </w:rPr>
      </w:pPr>
      <w:r w:rsidRPr="00252257">
        <w:rPr>
          <w:snapToGrid w:val="0"/>
        </w:rPr>
        <w:t xml:space="preserve">   cement w workach należy chronić przed deszczem i zawilgoceniem, </w:t>
      </w:r>
    </w:p>
    <w:p w:rsidR="00252257" w:rsidRDefault="00252257" w:rsidP="00252257">
      <w:pPr>
        <w:widowControl w:val="0"/>
        <w:jc w:val="both"/>
        <w:rPr>
          <w:snapToGrid w:val="0"/>
        </w:rPr>
      </w:pPr>
      <w:r w:rsidRPr="00252257">
        <w:rPr>
          <w:snapToGrid w:val="0"/>
        </w:rPr>
        <w:t xml:space="preserve">   cement luzem należy składować w silosach </w:t>
      </w:r>
    </w:p>
    <w:p w:rsidR="00026C83" w:rsidRPr="00252257" w:rsidRDefault="00026C83" w:rsidP="00252257">
      <w:pPr>
        <w:widowControl w:val="0"/>
        <w:jc w:val="both"/>
        <w:rPr>
          <w:snapToGrid w:val="0"/>
        </w:rPr>
      </w:pPr>
    </w:p>
    <w:p w:rsidR="00252257" w:rsidRDefault="00252257" w:rsidP="00026C83">
      <w:pPr>
        <w:widowControl w:val="0"/>
        <w:ind w:firstLine="709"/>
        <w:jc w:val="both"/>
        <w:rPr>
          <w:snapToGrid w:val="0"/>
        </w:rPr>
      </w:pPr>
      <w:r w:rsidRPr="00252257">
        <w:rPr>
          <w:snapToGrid w:val="0"/>
        </w:rPr>
        <w:t>Cement  w  workach  należy  przewozić  środkami  transportu  zapewniającymi  zabezpieczenie  cementu przed  zmoczeniem.  Do  transportu  cementu  luzem  należy  używać  specjalnych  wagonów  kolejowych i ciężarówek,  z  cysternami  przystosowanymi  do  załadunku  grawitacyjnego,  jak  również  wyposażonymi w regulowane urządzenia załadowczo-wyładowcze.</w:t>
      </w:r>
    </w:p>
    <w:p w:rsidR="00026C83" w:rsidRDefault="00026C83" w:rsidP="00026C83">
      <w:pPr>
        <w:widowControl w:val="0"/>
        <w:ind w:firstLine="709"/>
        <w:jc w:val="both"/>
        <w:rPr>
          <w:snapToGrid w:val="0"/>
        </w:rPr>
      </w:pPr>
    </w:p>
    <w:p w:rsidR="002B41CD" w:rsidRPr="002B41CD" w:rsidRDefault="002B41CD" w:rsidP="00252257">
      <w:pPr>
        <w:widowControl w:val="0"/>
        <w:jc w:val="both"/>
        <w:rPr>
          <w:b/>
          <w:snapToGrid w:val="0"/>
        </w:rPr>
      </w:pPr>
      <w:r w:rsidRPr="002B41CD">
        <w:rPr>
          <w:b/>
          <w:snapToGrid w:val="0"/>
        </w:rPr>
        <w:t>4.3. Transport i magazynowanie kruszywa</w:t>
      </w:r>
    </w:p>
    <w:p w:rsidR="002B41CD" w:rsidRDefault="002B41CD" w:rsidP="00026C83">
      <w:pPr>
        <w:widowControl w:val="0"/>
        <w:ind w:firstLine="709"/>
        <w:jc w:val="both"/>
        <w:rPr>
          <w:snapToGrid w:val="0"/>
        </w:rPr>
      </w:pPr>
      <w:r w:rsidRPr="002B41CD">
        <w:rPr>
          <w:snapToGrid w:val="0"/>
        </w:rPr>
        <w:t>Transport   kruszyw   nie   powinien   powodować   ich   segregacji.   Kruszywo   należy   magazynować na utwardzonym i odwodnionym podłożu w sposób umożliwiający separację różnych rodzajów kruszywa i zapobiegający przed ich zanieczyszczeniem.</w:t>
      </w:r>
    </w:p>
    <w:p w:rsidR="00026C83" w:rsidRDefault="00026C83" w:rsidP="00026C83">
      <w:pPr>
        <w:widowControl w:val="0"/>
        <w:ind w:firstLine="709"/>
        <w:jc w:val="both"/>
        <w:rPr>
          <w:snapToGrid w:val="0"/>
        </w:rPr>
      </w:pPr>
    </w:p>
    <w:p w:rsidR="002B41CD" w:rsidRPr="002B41CD" w:rsidRDefault="002B41CD" w:rsidP="002B41CD">
      <w:pPr>
        <w:widowControl w:val="0"/>
        <w:jc w:val="both"/>
        <w:rPr>
          <w:b/>
          <w:snapToGrid w:val="0"/>
        </w:rPr>
      </w:pPr>
      <w:r w:rsidRPr="002B41CD">
        <w:rPr>
          <w:b/>
          <w:snapToGrid w:val="0"/>
        </w:rPr>
        <w:t xml:space="preserve">4.4. Transport i przechowywanie domieszek i dodatków </w:t>
      </w:r>
    </w:p>
    <w:p w:rsidR="002B41CD" w:rsidRDefault="002B41CD" w:rsidP="00026C83">
      <w:pPr>
        <w:widowControl w:val="0"/>
        <w:ind w:firstLine="709"/>
        <w:jc w:val="both"/>
        <w:rPr>
          <w:snapToGrid w:val="0"/>
        </w:rPr>
      </w:pPr>
      <w:r w:rsidRPr="002B41CD">
        <w:rPr>
          <w:snapToGrid w:val="0"/>
        </w:rPr>
        <w:t>Transport    i    przechowywanie    domieszek    i    dodatków    powinno    być    zgodne    z    odpowiednimi Polskimi Normami, aprobatami technicznymi</w:t>
      </w:r>
      <w:r w:rsidR="000A6998">
        <w:rPr>
          <w:snapToGrid w:val="0"/>
        </w:rPr>
        <w:t xml:space="preserve"> (lub krajowej ocenie technicznej)</w:t>
      </w:r>
      <w:r w:rsidRPr="002B41CD">
        <w:rPr>
          <w:snapToGrid w:val="0"/>
        </w:rPr>
        <w:t xml:space="preserve"> oraz zaleceniami producenta. </w:t>
      </w:r>
    </w:p>
    <w:p w:rsidR="00026C83" w:rsidRPr="002B41CD" w:rsidRDefault="00026C83" w:rsidP="00026C83">
      <w:pPr>
        <w:widowControl w:val="0"/>
        <w:ind w:firstLine="709"/>
        <w:jc w:val="both"/>
        <w:rPr>
          <w:snapToGrid w:val="0"/>
        </w:rPr>
      </w:pPr>
    </w:p>
    <w:p w:rsidR="002B41CD" w:rsidRDefault="002B41CD" w:rsidP="002B41CD">
      <w:pPr>
        <w:widowControl w:val="0"/>
        <w:jc w:val="both"/>
        <w:rPr>
          <w:b/>
          <w:snapToGrid w:val="0"/>
        </w:rPr>
      </w:pPr>
      <w:r w:rsidRPr="002B41CD">
        <w:rPr>
          <w:b/>
          <w:snapToGrid w:val="0"/>
        </w:rPr>
        <w:t xml:space="preserve">4.5. Ogólne zasady transportu mieszanki betonowej </w:t>
      </w:r>
    </w:p>
    <w:p w:rsidR="00026C83" w:rsidRPr="002B41CD" w:rsidRDefault="00026C83" w:rsidP="002B41CD">
      <w:pPr>
        <w:widowControl w:val="0"/>
        <w:jc w:val="both"/>
        <w:rPr>
          <w:b/>
          <w:snapToGrid w:val="0"/>
        </w:rPr>
      </w:pPr>
    </w:p>
    <w:p w:rsidR="002F62BF" w:rsidRDefault="002B41CD" w:rsidP="002F62BF">
      <w:pPr>
        <w:widowControl w:val="0"/>
        <w:ind w:firstLine="709"/>
        <w:jc w:val="both"/>
        <w:rPr>
          <w:snapToGrid w:val="0"/>
        </w:rPr>
      </w:pPr>
      <w:r w:rsidRPr="002B41CD">
        <w:rPr>
          <w:snapToGrid w:val="0"/>
        </w:rPr>
        <w:t xml:space="preserve">Organizacja  transportu  (dobór  środków,  czas  trwania)  powinna  zapewnić  dostarczenie  do  miejsca układania mieszanki betonowej o takim stopniu ciekłości, jaki został przyjęty przy ustalaniu składu betonu dla   danego   sposobu   zagęszczania   i   rodzaju   elementu   obiektu.   </w:t>
      </w:r>
    </w:p>
    <w:p w:rsidR="002F62BF" w:rsidRPr="002B41CD" w:rsidRDefault="002B41CD" w:rsidP="002F62BF">
      <w:pPr>
        <w:widowControl w:val="0"/>
        <w:ind w:firstLine="709"/>
        <w:jc w:val="both"/>
        <w:rPr>
          <w:snapToGrid w:val="0"/>
        </w:rPr>
      </w:pPr>
      <w:r w:rsidRPr="002B41CD">
        <w:rPr>
          <w:snapToGrid w:val="0"/>
        </w:rPr>
        <w:t xml:space="preserve">Podczas   załadunku,   transportu i rozładunku,  a  także  transportu  wewnętrznego  na  placu  budowy,  należy  zminimalizować  niepożądane zmiany  jakości  mieszanki  betonowej,  takie  jak  segregacja  składników,  wydzielanie  się  wody,  wyciek zaczynu i wszelkie inne zmiany. </w:t>
      </w:r>
    </w:p>
    <w:p w:rsidR="002B41CD" w:rsidRPr="002B41CD" w:rsidRDefault="002B41CD" w:rsidP="002B41CD">
      <w:pPr>
        <w:widowControl w:val="0"/>
        <w:jc w:val="both"/>
        <w:rPr>
          <w:snapToGrid w:val="0"/>
        </w:rPr>
      </w:pPr>
      <w:r w:rsidRPr="002B41CD">
        <w:rPr>
          <w:snapToGrid w:val="0"/>
        </w:rPr>
        <w:t xml:space="preserve">W czasie transportu mieszanki betonowej należy zachować następujące wymagania: </w:t>
      </w:r>
    </w:p>
    <w:p w:rsidR="002B41CD" w:rsidRPr="002B41CD" w:rsidRDefault="002B41CD" w:rsidP="002B41CD">
      <w:pPr>
        <w:widowControl w:val="0"/>
        <w:jc w:val="both"/>
        <w:rPr>
          <w:snapToGrid w:val="0"/>
        </w:rPr>
      </w:pPr>
      <w:r w:rsidRPr="002B41CD">
        <w:rPr>
          <w:snapToGrid w:val="0"/>
        </w:rPr>
        <w:t xml:space="preserve">   mieszanka  powinna  być  dostarczona  na  miejsce  ułożenia  w  zasadzie  bez  przeładunku;  w  razie </w:t>
      </w:r>
    </w:p>
    <w:p w:rsidR="002B41CD" w:rsidRPr="002B41CD" w:rsidRDefault="002B41CD" w:rsidP="002B41CD">
      <w:pPr>
        <w:widowControl w:val="0"/>
        <w:jc w:val="both"/>
        <w:rPr>
          <w:snapToGrid w:val="0"/>
        </w:rPr>
      </w:pPr>
      <w:r w:rsidRPr="002B41CD">
        <w:rPr>
          <w:snapToGrid w:val="0"/>
        </w:rPr>
        <w:t xml:space="preserve">konieczności liczba przeładowań powinna być jak najmniejsza, </w:t>
      </w:r>
    </w:p>
    <w:p w:rsidR="002B41CD" w:rsidRPr="002B41CD" w:rsidRDefault="002B41CD" w:rsidP="002B41CD">
      <w:pPr>
        <w:widowControl w:val="0"/>
        <w:jc w:val="both"/>
        <w:rPr>
          <w:snapToGrid w:val="0"/>
        </w:rPr>
      </w:pPr>
      <w:r w:rsidRPr="002B41CD">
        <w:rPr>
          <w:snapToGrid w:val="0"/>
        </w:rPr>
        <w:t xml:space="preserve">   pojemniki,  w  których  przewożona  jest  mieszanka,  powinny  zapewnić  możliwość  stopniowego ich opróżniania oraz łatwość oczyszczania i przepłukiwania. Transport mieszanki betonowej w pojemnikach samochodowych (gruszkach), mieszających ją w czasie jazdy, powinien być tak zorganizowany, aby wyładunek następował bezpośrednio nad miejscem ułożenia mieszanki  lub  -  jeżeli  jest  to  niemożliwe  -  w  pobliżu  betonowanego  elementu  obiektu.  W  miejscu </w:t>
      </w:r>
    </w:p>
    <w:p w:rsidR="002B41CD" w:rsidRPr="002B41CD" w:rsidRDefault="002B41CD" w:rsidP="002B41CD">
      <w:pPr>
        <w:widowControl w:val="0"/>
        <w:jc w:val="both"/>
        <w:rPr>
          <w:snapToGrid w:val="0"/>
        </w:rPr>
      </w:pPr>
      <w:r w:rsidRPr="002B41CD">
        <w:rPr>
          <w:snapToGrid w:val="0"/>
        </w:rPr>
        <w:t xml:space="preserve">układania mieszanka betonowa może być transportowana za pomocą: </w:t>
      </w:r>
    </w:p>
    <w:p w:rsidR="002B41CD" w:rsidRPr="002B41CD" w:rsidRDefault="002B41CD" w:rsidP="002B41CD">
      <w:pPr>
        <w:widowControl w:val="0"/>
        <w:jc w:val="both"/>
        <w:rPr>
          <w:snapToGrid w:val="0"/>
        </w:rPr>
      </w:pPr>
      <w:r w:rsidRPr="002B41CD">
        <w:rPr>
          <w:snapToGrid w:val="0"/>
        </w:rPr>
        <w:t xml:space="preserve">   pomp zamontowanych na podwoziu samochodowym z ruchomym wysięgnikiem, </w:t>
      </w:r>
    </w:p>
    <w:p w:rsidR="002B41CD" w:rsidRPr="002B41CD" w:rsidRDefault="002B41CD" w:rsidP="002B41CD">
      <w:pPr>
        <w:widowControl w:val="0"/>
        <w:jc w:val="both"/>
        <w:rPr>
          <w:snapToGrid w:val="0"/>
        </w:rPr>
      </w:pPr>
      <w:r w:rsidRPr="002B41CD">
        <w:rPr>
          <w:snapToGrid w:val="0"/>
        </w:rPr>
        <w:t xml:space="preserve">   pomp stacjonarnych z zastosowaniem systemu rurociągów i specjalistycznych urządzeń do betonu, </w:t>
      </w:r>
    </w:p>
    <w:p w:rsidR="002B41CD" w:rsidRPr="002B41CD" w:rsidRDefault="002B41CD" w:rsidP="002B41CD">
      <w:pPr>
        <w:widowControl w:val="0"/>
        <w:jc w:val="both"/>
        <w:rPr>
          <w:snapToGrid w:val="0"/>
        </w:rPr>
      </w:pPr>
      <w:r w:rsidRPr="002B41CD">
        <w:rPr>
          <w:snapToGrid w:val="0"/>
        </w:rPr>
        <w:t xml:space="preserve">   urządzeń  dźwigowych  przy  zastosowaniu  specjalnych  pojemników  do  przenoszenia  mieszanki </w:t>
      </w:r>
    </w:p>
    <w:p w:rsidR="002B41CD" w:rsidRPr="002B41CD" w:rsidRDefault="002B41CD" w:rsidP="002B41CD">
      <w:pPr>
        <w:widowControl w:val="0"/>
        <w:jc w:val="both"/>
        <w:rPr>
          <w:snapToGrid w:val="0"/>
        </w:rPr>
      </w:pPr>
      <w:r w:rsidRPr="002B41CD">
        <w:rPr>
          <w:snapToGrid w:val="0"/>
        </w:rPr>
        <w:t xml:space="preserve">na miejsce jej układania. </w:t>
      </w:r>
    </w:p>
    <w:p w:rsidR="002B41CD" w:rsidRPr="00252257" w:rsidRDefault="002B41CD" w:rsidP="007563C8">
      <w:pPr>
        <w:widowControl w:val="0"/>
        <w:ind w:firstLine="709"/>
        <w:jc w:val="both"/>
        <w:rPr>
          <w:snapToGrid w:val="0"/>
        </w:rPr>
      </w:pPr>
      <w:r w:rsidRPr="002B41CD">
        <w:rPr>
          <w:snapToGrid w:val="0"/>
        </w:rPr>
        <w:t>Czas  transportu  mieszanki  betonowej  (od  momentu  załadowania  samochodu  do  jego  wyładunku) nie powinien    przekraczać    okresu    wstępnego    wiązania.    W    przypadku    mieszanki    betonowej nie zawierającej  domieszek  o  działaniu  opóźniającym,  w  temperaturze  otoczenia  atmosferycznego nie przekraczającej +20°C, pojemniki samochodowe należy całkowicie rozładować w czasie nie dłuższym niż  90  min,  licząc  od  chwili  pierwszego  kontaktu  wody  z  cementem.  Warunki  dostawy  mieszanki betonowej do miejsca jej układania powinny być zgodne z wymaganiami PN-EN 206-1 [5].</w:t>
      </w:r>
    </w:p>
    <w:p w:rsidR="00252257" w:rsidRDefault="00252257" w:rsidP="00252257">
      <w:pPr>
        <w:widowControl w:val="0"/>
        <w:spacing w:before="120" w:after="120"/>
        <w:jc w:val="both"/>
        <w:rPr>
          <w:b/>
          <w:snapToGrid w:val="0"/>
          <w:u w:val="single"/>
        </w:rPr>
      </w:pPr>
    </w:p>
    <w:p w:rsidR="00B833AC" w:rsidRDefault="00B833AC" w:rsidP="00B833AC">
      <w:pPr>
        <w:widowControl w:val="0"/>
        <w:spacing w:before="120" w:after="120"/>
        <w:rPr>
          <w:b/>
          <w:snapToGrid w:val="0"/>
          <w:u w:val="single"/>
        </w:rPr>
      </w:pPr>
      <w:r>
        <w:rPr>
          <w:b/>
          <w:noProof/>
          <w:snapToGrid w:val="0"/>
          <w:u w:val="single"/>
        </w:rPr>
        <w:t>5.</w:t>
      </w:r>
      <w:r>
        <w:rPr>
          <w:b/>
          <w:snapToGrid w:val="0"/>
          <w:u w:val="single"/>
        </w:rPr>
        <w:t xml:space="preserve"> WYKONANIE ROBÓT</w:t>
      </w:r>
    </w:p>
    <w:p w:rsidR="002B41CD" w:rsidRDefault="002B41CD" w:rsidP="00B833AC">
      <w:pPr>
        <w:jc w:val="both"/>
        <w:rPr>
          <w:b/>
        </w:rPr>
      </w:pPr>
      <w:r w:rsidRPr="002B41CD">
        <w:rPr>
          <w:b/>
        </w:rPr>
        <w:t xml:space="preserve">5.1. Ogólne zasady wykonywania robót </w:t>
      </w:r>
    </w:p>
    <w:p w:rsidR="002B41CD" w:rsidRDefault="002B41CD" w:rsidP="00B833AC">
      <w:pPr>
        <w:jc w:val="both"/>
      </w:pPr>
      <w:r w:rsidRPr="002B41CD">
        <w:t xml:space="preserve">Ogólne zasady wykonywania robót podano w D.M.00.00.00 „Wymagania ogólne”[1]. </w:t>
      </w:r>
    </w:p>
    <w:p w:rsidR="002B41CD" w:rsidRPr="002B41CD" w:rsidRDefault="002B41CD" w:rsidP="00B833AC">
      <w:pPr>
        <w:jc w:val="both"/>
        <w:rPr>
          <w:b/>
        </w:rPr>
      </w:pPr>
      <w:r w:rsidRPr="002B41CD">
        <w:rPr>
          <w:b/>
        </w:rPr>
        <w:t>5.2. Zalecenia ogólne</w:t>
      </w:r>
    </w:p>
    <w:p w:rsidR="002B41CD" w:rsidRPr="00D01C07" w:rsidRDefault="002B41CD" w:rsidP="002B41CD">
      <w:pPr>
        <w:pStyle w:val="Styl4"/>
        <w:rPr>
          <w:b w:val="0"/>
        </w:rPr>
      </w:pPr>
      <w:r w:rsidRPr="00D01C07">
        <w:rPr>
          <w:b w:val="0"/>
        </w:rPr>
        <w:t xml:space="preserve">5.2.1. Zgodność wykonywania robót z dokumentacją </w:t>
      </w:r>
    </w:p>
    <w:p w:rsidR="002B41CD" w:rsidRDefault="002B41CD" w:rsidP="00EC0641">
      <w:pPr>
        <w:pStyle w:val="Styl4"/>
        <w:ind w:firstLine="709"/>
        <w:jc w:val="both"/>
        <w:rPr>
          <w:b w:val="0"/>
        </w:rPr>
      </w:pPr>
      <w:r w:rsidRPr="002B41CD">
        <w:rPr>
          <w:b w:val="0"/>
        </w:rPr>
        <w:t>Sposób  wykonania  robót  powinien  być  zgodny  z  dokum</w:t>
      </w:r>
      <w:r w:rsidR="00EC0641">
        <w:rPr>
          <w:b w:val="0"/>
        </w:rPr>
        <w:t xml:space="preserve">entacją  projektową,  ST  oraz </w:t>
      </w:r>
      <w:r w:rsidRPr="002B41CD">
        <w:rPr>
          <w:b w:val="0"/>
        </w:rPr>
        <w:t xml:space="preserve">wymaganiami odpowiednich   Polskich   Norm   oraz   dokumentacją   technologiczną   dostarczoną   przez   Wykonawcę i zatwierdzoną przez Inspektora nadzoru. </w:t>
      </w:r>
    </w:p>
    <w:p w:rsidR="00EC0641" w:rsidRPr="002B41CD" w:rsidRDefault="00EC0641" w:rsidP="00EC0641">
      <w:pPr>
        <w:pStyle w:val="Styl4"/>
        <w:ind w:firstLine="709"/>
        <w:jc w:val="both"/>
        <w:rPr>
          <w:b w:val="0"/>
        </w:rPr>
      </w:pPr>
      <w:r w:rsidRPr="00EC0641">
        <w:rPr>
          <w:b w:val="0"/>
        </w:rPr>
        <w:t>Wymaga się dla całej konstrukcji klasę wykonania „3”, oraz klasę pielęgnacji co najmniej „3”, zgodnie z zasadami określonymi w PN-EN 13670.</w:t>
      </w:r>
    </w:p>
    <w:p w:rsidR="002B41CD" w:rsidRDefault="002B41CD" w:rsidP="00EC0641">
      <w:pPr>
        <w:pStyle w:val="Styl4"/>
        <w:ind w:firstLine="709"/>
        <w:jc w:val="both"/>
        <w:rPr>
          <w:b w:val="0"/>
        </w:rPr>
      </w:pPr>
      <w:r w:rsidRPr="002B41CD">
        <w:rPr>
          <w:b w:val="0"/>
        </w:rPr>
        <w:t xml:space="preserve">Dokumentacja  technologiczna  dostarczona  przez Wykonawcę  powinna  zawierać  Program  Zapewnienia Jakości (PZJ) oraz projekt organizacji i harmonogram robót uwzględniający wszystkie warunki, w jakich będą wykonywane roboty betonowe, projekty wykonawcze rusztowań i deskowań, projekt technologiczny betonowania. </w:t>
      </w:r>
    </w:p>
    <w:p w:rsidR="00C52FA3" w:rsidRPr="002B41CD" w:rsidRDefault="00C52FA3" w:rsidP="00EC0641">
      <w:pPr>
        <w:pStyle w:val="Styl4"/>
        <w:ind w:firstLine="709"/>
        <w:jc w:val="both"/>
        <w:rPr>
          <w:b w:val="0"/>
        </w:rPr>
      </w:pPr>
    </w:p>
    <w:p w:rsidR="002B41CD" w:rsidRPr="002B41CD" w:rsidRDefault="002B41CD" w:rsidP="002B41CD">
      <w:pPr>
        <w:pStyle w:val="Styl4"/>
        <w:rPr>
          <w:b w:val="0"/>
        </w:rPr>
      </w:pPr>
      <w:r w:rsidRPr="002B41CD">
        <w:rPr>
          <w:b w:val="0"/>
        </w:rPr>
        <w:t xml:space="preserve">Projekt technologiczny betonowania powinien obejmować: </w:t>
      </w:r>
    </w:p>
    <w:p w:rsidR="002B41CD" w:rsidRPr="002B41CD" w:rsidRDefault="002B41CD" w:rsidP="002B41CD">
      <w:pPr>
        <w:pStyle w:val="Styl4"/>
        <w:rPr>
          <w:b w:val="0"/>
        </w:rPr>
      </w:pPr>
      <w:r w:rsidRPr="002B41CD">
        <w:rPr>
          <w:b w:val="0"/>
        </w:rPr>
        <w:t xml:space="preserve">   organizację ruchu na drogach dojazdowych do terenu budowy i drogach na terenie budowy, </w:t>
      </w:r>
    </w:p>
    <w:p w:rsidR="002B41CD" w:rsidRDefault="002B41CD" w:rsidP="002B41CD">
      <w:pPr>
        <w:pStyle w:val="Styl4"/>
        <w:rPr>
          <w:b w:val="0"/>
        </w:rPr>
      </w:pPr>
      <w:r w:rsidRPr="002B41CD">
        <w:rPr>
          <w:b w:val="0"/>
        </w:rPr>
        <w:t xml:space="preserve">   specyfikację betonu, receptury mieszanek betonowych, wymagania dodatkowe dotyczące betonu, </w:t>
      </w:r>
    </w:p>
    <w:p w:rsidR="002B41CD" w:rsidRPr="002B41CD" w:rsidRDefault="002B41CD" w:rsidP="002B41CD">
      <w:pPr>
        <w:pStyle w:val="Styl4"/>
        <w:rPr>
          <w:b w:val="0"/>
        </w:rPr>
      </w:pPr>
      <w:r w:rsidRPr="002B41CD">
        <w:rPr>
          <w:b w:val="0"/>
        </w:rPr>
        <w:t xml:space="preserve">   sposób wytwarzania mieszanki betonowej, </w:t>
      </w:r>
    </w:p>
    <w:p w:rsidR="002B41CD" w:rsidRPr="002B41CD" w:rsidRDefault="002B41CD" w:rsidP="002B41CD">
      <w:pPr>
        <w:pStyle w:val="Styl4"/>
        <w:rPr>
          <w:b w:val="0"/>
        </w:rPr>
      </w:pPr>
      <w:r w:rsidRPr="002B41CD">
        <w:rPr>
          <w:b w:val="0"/>
        </w:rPr>
        <w:t xml:space="preserve">   sposób transportu mieszanki betonowej, </w:t>
      </w:r>
    </w:p>
    <w:p w:rsidR="002B41CD" w:rsidRPr="002B41CD" w:rsidRDefault="002B41CD" w:rsidP="002B41CD">
      <w:pPr>
        <w:pStyle w:val="Styl4"/>
        <w:rPr>
          <w:b w:val="0"/>
        </w:rPr>
      </w:pPr>
      <w:r w:rsidRPr="002B41CD">
        <w:rPr>
          <w:b w:val="0"/>
        </w:rPr>
        <w:t xml:space="preserve">   projekt betonowania zawierający ustawienie pomp do podawania mieszanki betonowej, </w:t>
      </w:r>
    </w:p>
    <w:p w:rsidR="002B41CD" w:rsidRPr="002B41CD" w:rsidRDefault="002B41CD" w:rsidP="002B41CD">
      <w:pPr>
        <w:pStyle w:val="Styl4"/>
        <w:rPr>
          <w:b w:val="0"/>
        </w:rPr>
      </w:pPr>
      <w:r w:rsidRPr="002B41CD">
        <w:rPr>
          <w:b w:val="0"/>
        </w:rPr>
        <w:t xml:space="preserve">   harmonogram  betonowania,  który  powinien  określać  m.in.:  prędkość  układania  i  zagęszczania </w:t>
      </w:r>
    </w:p>
    <w:p w:rsidR="002B41CD" w:rsidRPr="002B41CD" w:rsidRDefault="002B41CD" w:rsidP="002B41CD">
      <w:pPr>
        <w:pStyle w:val="Styl4"/>
        <w:rPr>
          <w:b w:val="0"/>
        </w:rPr>
      </w:pPr>
      <w:r w:rsidRPr="002B41CD">
        <w:rPr>
          <w:b w:val="0"/>
        </w:rPr>
        <w:t xml:space="preserve">mieszanki  betonowej,  kierunki  betonowania,  fazy  betonowania  i  planowane  czasy  ich  realizacji, </w:t>
      </w:r>
    </w:p>
    <w:p w:rsidR="002B41CD" w:rsidRPr="002B41CD" w:rsidRDefault="002B41CD" w:rsidP="002B41CD">
      <w:pPr>
        <w:pStyle w:val="Styl4"/>
        <w:rPr>
          <w:b w:val="0"/>
        </w:rPr>
      </w:pPr>
      <w:r w:rsidRPr="002B41CD">
        <w:rPr>
          <w:b w:val="0"/>
        </w:rPr>
        <w:t xml:space="preserve">wykaz przerw w betonowaniu oraz sposób łączenia betonu w przerwach, </w:t>
      </w:r>
    </w:p>
    <w:p w:rsidR="002B41CD" w:rsidRPr="002B41CD" w:rsidRDefault="002B41CD" w:rsidP="002B41CD">
      <w:pPr>
        <w:pStyle w:val="Styl4"/>
        <w:rPr>
          <w:b w:val="0"/>
        </w:rPr>
      </w:pPr>
      <w:r w:rsidRPr="002B41CD">
        <w:rPr>
          <w:b w:val="0"/>
        </w:rPr>
        <w:t>   sposób</w:t>
      </w:r>
      <w:r w:rsidR="00C52FA3">
        <w:rPr>
          <w:b w:val="0"/>
        </w:rPr>
        <w:t xml:space="preserve"> i czas</w:t>
      </w:r>
      <w:r w:rsidRPr="002B41CD">
        <w:rPr>
          <w:b w:val="0"/>
        </w:rPr>
        <w:t xml:space="preserve"> pielęgnacji betonu, </w:t>
      </w:r>
    </w:p>
    <w:p w:rsidR="002B41CD" w:rsidRPr="002B41CD" w:rsidRDefault="002B41CD" w:rsidP="002B41CD">
      <w:pPr>
        <w:pStyle w:val="Styl4"/>
        <w:rPr>
          <w:b w:val="0"/>
        </w:rPr>
      </w:pPr>
      <w:r w:rsidRPr="002B41CD">
        <w:rPr>
          <w:b w:val="0"/>
        </w:rPr>
        <w:t xml:space="preserve">   sposób i warunki rozformowania konstrukcji, </w:t>
      </w:r>
    </w:p>
    <w:p w:rsidR="002B41CD" w:rsidRPr="002B41CD" w:rsidRDefault="002B41CD" w:rsidP="002B41CD">
      <w:pPr>
        <w:pStyle w:val="Styl4"/>
        <w:rPr>
          <w:b w:val="0"/>
        </w:rPr>
      </w:pPr>
      <w:r w:rsidRPr="002B41CD">
        <w:rPr>
          <w:b w:val="0"/>
        </w:rPr>
        <w:t xml:space="preserve">   metodologię naprawy ewentualnych błędów wykonania, w tym naprawy powierzchni betonu, </w:t>
      </w:r>
    </w:p>
    <w:p w:rsidR="002B41CD" w:rsidRDefault="002B41CD" w:rsidP="002B41CD">
      <w:pPr>
        <w:pStyle w:val="Styl4"/>
        <w:rPr>
          <w:b w:val="0"/>
        </w:rPr>
      </w:pPr>
      <w:r w:rsidRPr="002B41CD">
        <w:rPr>
          <w:b w:val="0"/>
        </w:rPr>
        <w:t>   zestawienie wymaganych badań i pomiarów.</w:t>
      </w:r>
    </w:p>
    <w:p w:rsidR="00C52FA3" w:rsidRDefault="00C52FA3" w:rsidP="002B41CD">
      <w:pPr>
        <w:pStyle w:val="Styl4"/>
        <w:rPr>
          <w:b w:val="0"/>
        </w:rPr>
      </w:pPr>
    </w:p>
    <w:p w:rsidR="002B41CD" w:rsidRPr="00D01C07" w:rsidRDefault="002B41CD" w:rsidP="002B41CD">
      <w:pPr>
        <w:pStyle w:val="Styl4"/>
        <w:rPr>
          <w:b w:val="0"/>
        </w:rPr>
      </w:pPr>
      <w:r w:rsidRPr="00D01C07">
        <w:rPr>
          <w:b w:val="0"/>
        </w:rPr>
        <w:t xml:space="preserve">5.2.2.Zakres robót </w:t>
      </w:r>
    </w:p>
    <w:p w:rsidR="002B41CD" w:rsidRPr="002B41CD" w:rsidRDefault="002B41CD" w:rsidP="002B41CD">
      <w:pPr>
        <w:pStyle w:val="Styl4"/>
        <w:rPr>
          <w:b w:val="0"/>
        </w:rPr>
      </w:pPr>
      <w:r w:rsidRPr="002B41CD">
        <w:rPr>
          <w:b w:val="0"/>
        </w:rPr>
        <w:t xml:space="preserve">Podstawowe czynności związane z wykonywaniem robót betonowych obejmują: </w:t>
      </w:r>
    </w:p>
    <w:p w:rsidR="002B41CD" w:rsidRPr="002B41CD" w:rsidRDefault="002B41CD" w:rsidP="002B41CD">
      <w:pPr>
        <w:pStyle w:val="Styl4"/>
        <w:rPr>
          <w:b w:val="0"/>
        </w:rPr>
      </w:pPr>
      <w:r w:rsidRPr="002B41CD">
        <w:rPr>
          <w:b w:val="0"/>
        </w:rPr>
        <w:t xml:space="preserve">   roboty przygotowawcze, w tym montaż rusztowania i deskowania, </w:t>
      </w:r>
    </w:p>
    <w:p w:rsidR="002B41CD" w:rsidRPr="002B41CD" w:rsidRDefault="002B41CD" w:rsidP="002B41CD">
      <w:pPr>
        <w:pStyle w:val="Styl4"/>
        <w:rPr>
          <w:b w:val="0"/>
        </w:rPr>
      </w:pPr>
      <w:r w:rsidRPr="002B41CD">
        <w:rPr>
          <w:b w:val="0"/>
        </w:rPr>
        <w:t xml:space="preserve">   wytwarzanie mieszanki betonowej, </w:t>
      </w:r>
    </w:p>
    <w:p w:rsidR="002B41CD" w:rsidRPr="002B41CD" w:rsidRDefault="002B41CD" w:rsidP="002B41CD">
      <w:pPr>
        <w:pStyle w:val="Styl4"/>
        <w:rPr>
          <w:b w:val="0"/>
        </w:rPr>
      </w:pPr>
      <w:r w:rsidRPr="002B41CD">
        <w:rPr>
          <w:b w:val="0"/>
        </w:rPr>
        <w:t xml:space="preserve">   układanie i zagęszczanie mieszanki betonowej, </w:t>
      </w:r>
    </w:p>
    <w:p w:rsidR="002B41CD" w:rsidRPr="002B41CD" w:rsidRDefault="002B41CD" w:rsidP="002B41CD">
      <w:pPr>
        <w:pStyle w:val="Styl4"/>
        <w:rPr>
          <w:b w:val="0"/>
        </w:rPr>
      </w:pPr>
      <w:r w:rsidRPr="002B41CD">
        <w:rPr>
          <w:b w:val="0"/>
        </w:rPr>
        <w:t xml:space="preserve">   pielęgnację betonu, </w:t>
      </w:r>
    </w:p>
    <w:p w:rsidR="002B41CD" w:rsidRPr="002B41CD" w:rsidRDefault="002B41CD" w:rsidP="002B41CD">
      <w:pPr>
        <w:pStyle w:val="Styl4"/>
        <w:rPr>
          <w:b w:val="0"/>
        </w:rPr>
      </w:pPr>
      <w:r w:rsidRPr="002B41CD">
        <w:rPr>
          <w:b w:val="0"/>
        </w:rPr>
        <w:t xml:space="preserve">   demontaż deskowania i rusztowania, </w:t>
      </w:r>
    </w:p>
    <w:p w:rsidR="002B41CD" w:rsidRPr="002B41CD" w:rsidRDefault="002B41CD" w:rsidP="002B41CD">
      <w:pPr>
        <w:pStyle w:val="Styl4"/>
        <w:rPr>
          <w:b w:val="0"/>
        </w:rPr>
      </w:pPr>
      <w:r w:rsidRPr="002B41CD">
        <w:rPr>
          <w:b w:val="0"/>
        </w:rPr>
        <w:t xml:space="preserve">   wykańczanie powierzchni betonu, </w:t>
      </w:r>
    </w:p>
    <w:p w:rsidR="002B41CD" w:rsidRDefault="002B41CD" w:rsidP="002B41CD">
      <w:pPr>
        <w:pStyle w:val="Styl4"/>
        <w:rPr>
          <w:b w:val="0"/>
        </w:rPr>
      </w:pPr>
      <w:r w:rsidRPr="002B41CD">
        <w:rPr>
          <w:b w:val="0"/>
        </w:rPr>
        <w:t>   roboty wykończeniowe.</w:t>
      </w:r>
    </w:p>
    <w:p w:rsidR="00C52FA3" w:rsidRDefault="00C52FA3" w:rsidP="002B41CD">
      <w:pPr>
        <w:pStyle w:val="Styl4"/>
        <w:rPr>
          <w:b w:val="0"/>
        </w:rPr>
      </w:pPr>
    </w:p>
    <w:p w:rsidR="002B41CD" w:rsidRPr="002B41CD" w:rsidRDefault="002B41CD" w:rsidP="002B41CD">
      <w:pPr>
        <w:pStyle w:val="Styl4"/>
      </w:pPr>
      <w:r w:rsidRPr="002B41CD">
        <w:t xml:space="preserve">5.3. Roboty przygotowawcze </w:t>
      </w:r>
    </w:p>
    <w:p w:rsidR="002B41CD" w:rsidRPr="002B41CD" w:rsidRDefault="002B41CD" w:rsidP="002B41CD">
      <w:pPr>
        <w:pStyle w:val="Styl4"/>
        <w:rPr>
          <w:b w:val="0"/>
        </w:rPr>
      </w:pPr>
      <w:r w:rsidRPr="002B41CD">
        <w:rPr>
          <w:b w:val="0"/>
        </w:rPr>
        <w:t xml:space="preserve">Przed przystąpieniem do betonowania, Inspektor nadzoru powinien potwierdzić prawidłowość wykonania </w:t>
      </w:r>
    </w:p>
    <w:p w:rsidR="002B41CD" w:rsidRPr="002B41CD" w:rsidRDefault="002B41CD" w:rsidP="002B41CD">
      <w:pPr>
        <w:pStyle w:val="Styl4"/>
        <w:rPr>
          <w:b w:val="0"/>
        </w:rPr>
      </w:pPr>
      <w:r w:rsidRPr="002B41CD">
        <w:rPr>
          <w:b w:val="0"/>
        </w:rPr>
        <w:t xml:space="preserve">robót poprzedzających betonowanie, a w szczególności: </w:t>
      </w:r>
    </w:p>
    <w:p w:rsidR="002B41CD" w:rsidRPr="002B41CD" w:rsidRDefault="002B41CD" w:rsidP="002B41CD">
      <w:pPr>
        <w:pStyle w:val="Styl4"/>
        <w:rPr>
          <w:b w:val="0"/>
        </w:rPr>
      </w:pPr>
      <w:r w:rsidRPr="002B41CD">
        <w:rPr>
          <w:b w:val="0"/>
        </w:rPr>
        <w:t xml:space="preserve">   prawidłowość montażu rusztowania i deskowania, </w:t>
      </w:r>
    </w:p>
    <w:p w:rsidR="002B41CD" w:rsidRPr="002B41CD" w:rsidRDefault="002B41CD" w:rsidP="002B41CD">
      <w:pPr>
        <w:pStyle w:val="Styl4"/>
        <w:rPr>
          <w:b w:val="0"/>
        </w:rPr>
      </w:pPr>
      <w:r w:rsidRPr="002B41CD">
        <w:rPr>
          <w:b w:val="0"/>
        </w:rPr>
        <w:t xml:space="preserve">   prawidłowość wykonania zbrojenia, </w:t>
      </w:r>
    </w:p>
    <w:p w:rsidR="002B41CD" w:rsidRPr="002B41CD" w:rsidRDefault="002B41CD" w:rsidP="002B41CD">
      <w:pPr>
        <w:pStyle w:val="Styl4"/>
        <w:rPr>
          <w:b w:val="0"/>
        </w:rPr>
      </w:pPr>
      <w:r w:rsidRPr="002B41CD">
        <w:rPr>
          <w:b w:val="0"/>
        </w:rPr>
        <w:t xml:space="preserve">   zgodność rzędnych z dokumentacja projektową, </w:t>
      </w:r>
    </w:p>
    <w:p w:rsidR="002B41CD" w:rsidRPr="002B41CD" w:rsidRDefault="002B41CD" w:rsidP="002B41CD">
      <w:pPr>
        <w:pStyle w:val="Styl4"/>
        <w:rPr>
          <w:b w:val="0"/>
        </w:rPr>
      </w:pPr>
      <w:r w:rsidRPr="002B41CD">
        <w:rPr>
          <w:b w:val="0"/>
        </w:rPr>
        <w:t xml:space="preserve">   czystość    powierzchni    wewnętrznej    deskowania    oraz    obecność    przekładek    dystansowych </w:t>
      </w:r>
    </w:p>
    <w:p w:rsidR="002B41CD" w:rsidRPr="002B41CD" w:rsidRDefault="002B41CD" w:rsidP="002B41CD">
      <w:pPr>
        <w:pStyle w:val="Styl4"/>
        <w:rPr>
          <w:b w:val="0"/>
        </w:rPr>
      </w:pPr>
      <w:r w:rsidRPr="002B41CD">
        <w:rPr>
          <w:b w:val="0"/>
        </w:rPr>
        <w:t xml:space="preserve">zapewniających wymaganą grubość otulenia prętów zbrojeniowych, </w:t>
      </w:r>
    </w:p>
    <w:p w:rsidR="002B41CD" w:rsidRPr="002B41CD" w:rsidRDefault="002B41CD" w:rsidP="002B41CD">
      <w:pPr>
        <w:pStyle w:val="Styl4"/>
        <w:rPr>
          <w:b w:val="0"/>
        </w:rPr>
      </w:pPr>
      <w:r w:rsidRPr="002B41CD">
        <w:rPr>
          <w:b w:val="0"/>
        </w:rPr>
        <w:t xml:space="preserve">   przygotowanie powierzchni betonu uprzednio ułożonego (np. w miejscu przerw roboczych), </w:t>
      </w:r>
    </w:p>
    <w:p w:rsidR="002B41CD" w:rsidRPr="002B41CD" w:rsidRDefault="002B41CD" w:rsidP="002B41CD">
      <w:pPr>
        <w:pStyle w:val="Styl4"/>
        <w:rPr>
          <w:b w:val="0"/>
        </w:rPr>
      </w:pPr>
      <w:r w:rsidRPr="002B41CD">
        <w:rPr>
          <w:b w:val="0"/>
        </w:rPr>
        <w:t xml:space="preserve">   prawidłowość  wykonania  wszystkich  robót  zanikających  (np.  wykonania  przerw  dylatacyjnych, </w:t>
      </w:r>
    </w:p>
    <w:p w:rsidR="002B41CD" w:rsidRPr="002B41CD" w:rsidRDefault="002B41CD" w:rsidP="002B41CD">
      <w:pPr>
        <w:pStyle w:val="Styl4"/>
        <w:rPr>
          <w:b w:val="0"/>
        </w:rPr>
      </w:pPr>
      <w:r w:rsidRPr="002B41CD">
        <w:rPr>
          <w:b w:val="0"/>
        </w:rPr>
        <w:t xml:space="preserve">warstw izolacyjnych, ułożenia łożysk itp.), </w:t>
      </w:r>
    </w:p>
    <w:p w:rsidR="002B41CD" w:rsidRPr="002B41CD" w:rsidRDefault="002B41CD" w:rsidP="002B41CD">
      <w:pPr>
        <w:pStyle w:val="Styl4"/>
        <w:rPr>
          <w:b w:val="0"/>
        </w:rPr>
      </w:pPr>
      <w:r w:rsidRPr="002B41CD">
        <w:rPr>
          <w:b w:val="0"/>
        </w:rPr>
        <w:t xml:space="preserve">   prawidłowość rozmieszczenia i zamocowania w sposób niezawodny elementów, które przewidziane </w:t>
      </w:r>
    </w:p>
    <w:p w:rsidR="002B41CD" w:rsidRPr="002B41CD" w:rsidRDefault="002B41CD" w:rsidP="002B41CD">
      <w:pPr>
        <w:pStyle w:val="Styl4"/>
        <w:rPr>
          <w:b w:val="0"/>
        </w:rPr>
      </w:pPr>
      <w:r w:rsidRPr="002B41CD">
        <w:rPr>
          <w:b w:val="0"/>
        </w:rPr>
        <w:t xml:space="preserve">są do wbetonowania (kanały, wpusty, sączki, kotwy, rury itp.), </w:t>
      </w:r>
    </w:p>
    <w:p w:rsidR="002B41CD" w:rsidRDefault="002B41CD" w:rsidP="002B41CD">
      <w:pPr>
        <w:pStyle w:val="Styl4"/>
        <w:rPr>
          <w:b w:val="0"/>
        </w:rPr>
      </w:pPr>
      <w:r w:rsidRPr="002B41CD">
        <w:rPr>
          <w:b w:val="0"/>
        </w:rPr>
        <w:t>   gotowość sprzętu i urządzeń do betonowania.</w:t>
      </w:r>
    </w:p>
    <w:p w:rsidR="00C52FA3" w:rsidRDefault="00C52FA3" w:rsidP="002B41CD">
      <w:pPr>
        <w:pStyle w:val="Styl4"/>
        <w:rPr>
          <w:b w:val="0"/>
        </w:rPr>
      </w:pPr>
    </w:p>
    <w:p w:rsidR="002B41CD" w:rsidRPr="00D01C07" w:rsidRDefault="002B41CD" w:rsidP="002B41CD">
      <w:pPr>
        <w:pStyle w:val="Styl4"/>
        <w:rPr>
          <w:b w:val="0"/>
        </w:rPr>
      </w:pPr>
      <w:r w:rsidRPr="00D01C07">
        <w:rPr>
          <w:b w:val="0"/>
        </w:rPr>
        <w:t xml:space="preserve">5.3.1. Deskowania </w:t>
      </w:r>
    </w:p>
    <w:p w:rsidR="00C52FA3" w:rsidRPr="00C52FA3" w:rsidRDefault="00C52FA3" w:rsidP="00C52FA3">
      <w:pPr>
        <w:pStyle w:val="Styl4"/>
        <w:ind w:firstLine="709"/>
        <w:jc w:val="both"/>
        <w:rPr>
          <w:b w:val="0"/>
        </w:rPr>
      </w:pPr>
      <w:r w:rsidRPr="00C52FA3">
        <w:rPr>
          <w:b w:val="0"/>
        </w:rPr>
        <w:t>Należy zapewnić wysoką jakość deskowania i jego montażu. Wybór systemu deskowania należy do Wykonawcy. System powinien zapewnić ciągłość wykonywanej pracy oraz uzyskanie wymaganej powierzchni betonu. Zastosowany system musi być zatwierdzony przez</w:t>
      </w:r>
      <w:r w:rsidR="00663F18" w:rsidRPr="00663F18">
        <w:rPr>
          <w:b w:val="0"/>
        </w:rPr>
        <w:t>przedstawiciela</w:t>
      </w:r>
      <w:r w:rsidR="007424F4">
        <w:rPr>
          <w:b w:val="0"/>
        </w:rPr>
        <w:t xml:space="preserve"> Zamawiającego</w:t>
      </w:r>
      <w:r w:rsidRPr="00C52FA3">
        <w:rPr>
          <w:b w:val="0"/>
        </w:rPr>
        <w:t>.</w:t>
      </w:r>
    </w:p>
    <w:p w:rsidR="00C52FA3" w:rsidRPr="00C52FA3" w:rsidRDefault="00C52FA3" w:rsidP="00C52FA3">
      <w:pPr>
        <w:pStyle w:val="Styl4"/>
        <w:ind w:firstLine="709"/>
        <w:jc w:val="both"/>
        <w:rPr>
          <w:b w:val="0"/>
        </w:rPr>
      </w:pPr>
      <w:r w:rsidRPr="00C52FA3">
        <w:rPr>
          <w:b w:val="0"/>
        </w:rPr>
        <w:t>Stosowanie betonu samozagęszczalnego SCC, charakteryzującego się wysoką płynnością, wywołuje większe parcie boczne mieszanki niż przy betonach zwykłych. Wymaga to stosowania deskowań wzmocnionych, o mniejszych elementach, a także zwiększenia liczby podpór i ściągów. Każdorazowa zmiana receptury betonu samozagęszczalnego wymaga weryfikacji warunków wbudowania mieszanki betonowej.</w:t>
      </w:r>
    </w:p>
    <w:p w:rsidR="00C52FA3" w:rsidRPr="00C52FA3" w:rsidRDefault="00C52FA3" w:rsidP="00C52FA3">
      <w:pPr>
        <w:pStyle w:val="Styl4"/>
        <w:ind w:firstLine="709"/>
        <w:jc w:val="both"/>
        <w:rPr>
          <w:b w:val="0"/>
        </w:rPr>
      </w:pPr>
      <w:r w:rsidRPr="00C52FA3">
        <w:rPr>
          <w:b w:val="0"/>
        </w:rPr>
        <w:t>Wykonawca dostarcza projekt techniczny deskowania wykonany w oparciu o rysunki zawarte w dokumentacji projektowej lub według własnego opracowania. Projekt deskowania powinien być każdorazowo oparty na obliczeniach statycznych. Ustalona konstrukcja deskowania powinna być sprawdzona na siły wywołane parciem świeżo ułożonej mieszanki betonowej i uderzania przy jej wylewaniu z pojemników z uwzględnieniem szybkości betonowania, sposobu zagęszczania i obciążania pomostami roboczymi, co jest szczególnie ważne w przypadku stosowania betonu samozagęszczalnego. W projekcie deskowania należy uwzględnić szerokość deskowania, kierunek jego ułożenia, podział na odcinki, rozstaw i rozmieszczenie kotew, aby ze względu na właściwości betonu do odwzorowania powierzchni deskowania, nie doprowadzić do wizualnego zaburzenia zaplanowanej kompozycji architektonicznej.</w:t>
      </w:r>
    </w:p>
    <w:p w:rsidR="00C52FA3" w:rsidRPr="00C52FA3" w:rsidRDefault="00C52FA3" w:rsidP="00C52FA3">
      <w:pPr>
        <w:pStyle w:val="Styl4"/>
        <w:ind w:firstLine="709"/>
        <w:jc w:val="both"/>
        <w:rPr>
          <w:b w:val="0"/>
        </w:rPr>
      </w:pPr>
      <w:r w:rsidRPr="00C52FA3">
        <w:rPr>
          <w:b w:val="0"/>
        </w:rPr>
        <w:t>Wykonanie deskowania powinno uwzględniać podniesienie wykonawcze związane ze strzałką konstrukcji, ugięciem i osiadaniem rusztowań pod wpływem ciężaru ułożonej mieszanki betonowej.</w:t>
      </w:r>
    </w:p>
    <w:p w:rsidR="00C52FA3" w:rsidRDefault="00C52FA3" w:rsidP="00C52FA3">
      <w:pPr>
        <w:pStyle w:val="Styl4"/>
        <w:jc w:val="both"/>
        <w:rPr>
          <w:b w:val="0"/>
        </w:rPr>
      </w:pPr>
      <w:r w:rsidRPr="00C52FA3">
        <w:rPr>
          <w:b w:val="0"/>
        </w:rPr>
        <w:t>Konstrukcja deskowania powinna spełniać następujące warunki:</w:t>
      </w:r>
    </w:p>
    <w:p w:rsidR="00C52FA3" w:rsidRDefault="00C52FA3" w:rsidP="00C52FA3">
      <w:pPr>
        <w:pStyle w:val="Styl4"/>
        <w:ind w:firstLine="709"/>
        <w:jc w:val="both"/>
        <w:rPr>
          <w:b w:val="0"/>
        </w:rPr>
      </w:pPr>
      <w:r w:rsidRPr="00C52FA3">
        <w:rPr>
          <w:b w:val="0"/>
        </w:rPr>
        <w:t>a) zapewnić odpowiednią sztywność i niezmienność kształtu konstrukcji,</w:t>
      </w:r>
    </w:p>
    <w:p w:rsidR="00C52FA3" w:rsidRDefault="00C52FA3" w:rsidP="00C52FA3">
      <w:pPr>
        <w:pStyle w:val="Styl4"/>
        <w:ind w:firstLine="709"/>
        <w:jc w:val="both"/>
        <w:rPr>
          <w:b w:val="0"/>
        </w:rPr>
      </w:pPr>
      <w:r w:rsidRPr="00C52FA3">
        <w:rPr>
          <w:b w:val="0"/>
        </w:rPr>
        <w:t>b) zapewnić odpowiednią szczelność np. poprzez zastosowanie uszczelek,</w:t>
      </w:r>
    </w:p>
    <w:p w:rsidR="00C52FA3" w:rsidRDefault="00C52FA3" w:rsidP="00C52FA3">
      <w:pPr>
        <w:pStyle w:val="Styl4"/>
        <w:ind w:firstLine="709"/>
        <w:jc w:val="both"/>
        <w:rPr>
          <w:b w:val="0"/>
        </w:rPr>
      </w:pPr>
      <w:r w:rsidRPr="00C52FA3">
        <w:rPr>
          <w:b w:val="0"/>
        </w:rPr>
        <w:t>c) wykazywać odporność na deformacje pod wpływem warunków atmosferycznych</w:t>
      </w:r>
    </w:p>
    <w:p w:rsidR="00C52FA3" w:rsidRDefault="00C52FA3" w:rsidP="000A3EF6">
      <w:pPr>
        <w:pStyle w:val="Styl4"/>
        <w:ind w:left="709"/>
        <w:jc w:val="both"/>
        <w:rPr>
          <w:b w:val="0"/>
        </w:rPr>
      </w:pPr>
      <w:r w:rsidRPr="00C52FA3">
        <w:rPr>
          <w:b w:val="0"/>
        </w:rPr>
        <w:t>d) powierzchnie deskowań stykających się z betonem powinny być pokryte warstwą środka antyadhezyjnego, zaakceptowanego</w:t>
      </w:r>
      <w:r w:rsidR="000A3EF6" w:rsidRPr="000A3EF6">
        <w:rPr>
          <w:b w:val="0"/>
        </w:rPr>
        <w:t>przez</w:t>
      </w:r>
      <w:r w:rsidR="00663F18" w:rsidRPr="00663F18">
        <w:rPr>
          <w:b w:val="0"/>
        </w:rPr>
        <w:t>przedstawiciela</w:t>
      </w:r>
      <w:r w:rsidR="007424F4">
        <w:rPr>
          <w:b w:val="0"/>
        </w:rPr>
        <w:t>Zamawiającego</w:t>
      </w:r>
      <w:r w:rsidR="000A3EF6" w:rsidRPr="000A3EF6">
        <w:rPr>
          <w:b w:val="0"/>
        </w:rPr>
        <w:t>, do deskowania należy stosować środki antyadhezyjne, przy przestrzeganiu warunków:</w:t>
      </w:r>
    </w:p>
    <w:p w:rsidR="00C52FA3" w:rsidRPr="000A3EF6" w:rsidRDefault="000A3EF6" w:rsidP="00C52FA3">
      <w:pPr>
        <w:pStyle w:val="Styl4"/>
        <w:jc w:val="both"/>
        <w:rPr>
          <w:b w:val="0"/>
        </w:rPr>
      </w:pPr>
      <w:r w:rsidRPr="000A3EF6">
        <w:rPr>
          <w:b w:val="0"/>
        </w:rPr>
        <w:t>- należy właściwie dobrać środek do warunków atmosferycznych,</w:t>
      </w:r>
    </w:p>
    <w:p w:rsidR="000A3EF6" w:rsidRPr="000A3EF6" w:rsidRDefault="000A3EF6" w:rsidP="00C52FA3">
      <w:pPr>
        <w:pStyle w:val="Styl4"/>
        <w:jc w:val="both"/>
        <w:rPr>
          <w:b w:val="0"/>
        </w:rPr>
      </w:pPr>
      <w:r w:rsidRPr="000A3EF6">
        <w:rPr>
          <w:b w:val="0"/>
        </w:rPr>
        <w:t>- środek należy równomiernie nanieść na powierzchnię deskowania,</w:t>
      </w:r>
    </w:p>
    <w:p w:rsidR="000A3EF6" w:rsidRPr="000A3EF6" w:rsidRDefault="000A3EF6" w:rsidP="00C52FA3">
      <w:pPr>
        <w:pStyle w:val="Styl4"/>
        <w:jc w:val="both"/>
        <w:rPr>
          <w:b w:val="0"/>
        </w:rPr>
      </w:pPr>
      <w:r w:rsidRPr="000A3EF6">
        <w:rPr>
          <w:b w:val="0"/>
        </w:rPr>
        <w:t>- nadmiar środka należy zebrać (zbyt duża ilość może spowodować odbarwienie powierzchni).</w:t>
      </w:r>
    </w:p>
    <w:p w:rsidR="000A3EF6" w:rsidRDefault="000A3EF6" w:rsidP="00C52FA3">
      <w:pPr>
        <w:pStyle w:val="Styl4"/>
        <w:jc w:val="both"/>
        <w:rPr>
          <w:b w:val="0"/>
        </w:rPr>
      </w:pPr>
      <w:r w:rsidRPr="000A3EF6">
        <w:rPr>
          <w:b w:val="0"/>
        </w:rPr>
        <w:t>- zapewnić wykończenie widocznych powierzchni betonu, zgodnie z wymaganiami dokumentacji projektowej, w tym celu należy:</w:t>
      </w:r>
    </w:p>
    <w:p w:rsidR="00A176CE" w:rsidRDefault="00A176CE" w:rsidP="00A176CE">
      <w:pPr>
        <w:pStyle w:val="Styl4"/>
        <w:ind w:left="709"/>
        <w:jc w:val="both"/>
        <w:rPr>
          <w:b w:val="0"/>
        </w:rPr>
      </w:pPr>
      <w:r>
        <w:rPr>
          <w:b w:val="0"/>
        </w:rPr>
        <w:t xml:space="preserve">- </w:t>
      </w:r>
      <w:r w:rsidRPr="00A176CE">
        <w:rPr>
          <w:b w:val="0"/>
        </w:rPr>
        <w:t>w przypadku deskowania ze sklejki wodoodpornej należy dążyć do wyeliminowania możliwości wystąpienia tzw. „marmurków“ powstających w wyniku osadzania się kropel wody na niechłonnej powierzchni deskowania. Lokalnie powstają wówczas miejsca o różnych wartościach w/c, które prowadzą do powstania jasnych i ciemniejszych plam, beton o mniejszym w/c ma ciemniejszy kolor, zaś beton o wyższym w/c jest jaśniejszy,</w:t>
      </w:r>
    </w:p>
    <w:p w:rsidR="00C52FA3" w:rsidRDefault="00A176CE" w:rsidP="00A176CE">
      <w:pPr>
        <w:pStyle w:val="Styl4"/>
        <w:ind w:left="709"/>
        <w:jc w:val="both"/>
        <w:rPr>
          <w:b w:val="0"/>
        </w:rPr>
      </w:pPr>
      <w:r w:rsidRPr="00A176CE">
        <w:rPr>
          <w:b w:val="0"/>
        </w:rPr>
        <w:t>- w przypadku deskowania stalowego należy dążyć do wyeliminowania powstawania odbarwień w postaci rdzawych plam.</w:t>
      </w:r>
    </w:p>
    <w:p w:rsidR="00A176CE" w:rsidRPr="00A176CE" w:rsidRDefault="00A176CE" w:rsidP="00A176CE">
      <w:pPr>
        <w:pStyle w:val="Styl4"/>
        <w:ind w:left="709"/>
        <w:jc w:val="both"/>
        <w:rPr>
          <w:b w:val="0"/>
        </w:rPr>
      </w:pPr>
    </w:p>
    <w:p w:rsidR="00A176CE" w:rsidRPr="00A176CE" w:rsidRDefault="00A176CE" w:rsidP="00A176CE">
      <w:pPr>
        <w:pStyle w:val="Styl4"/>
        <w:ind w:firstLine="709"/>
        <w:jc w:val="both"/>
        <w:rPr>
          <w:b w:val="0"/>
        </w:rPr>
      </w:pPr>
      <w:r w:rsidRPr="00A176CE">
        <w:rPr>
          <w:b w:val="0"/>
        </w:rPr>
        <w:t>Deskowania powinny być, przed wypełnieniem mieszanką betonową, dokładnie sprawdzone i odebrane, aby wykluczały możliwość jakichkolwiek zniekształceń lub odchyleń w wymiarach betonowej konstrukcji. Wykonawca powinien zawiadomić</w:t>
      </w:r>
      <w:r w:rsidR="00663F18" w:rsidRPr="00663F18">
        <w:rPr>
          <w:b w:val="0"/>
        </w:rPr>
        <w:t>przedstawiciela</w:t>
      </w:r>
      <w:r w:rsidR="007424F4">
        <w:rPr>
          <w:b w:val="0"/>
        </w:rPr>
        <w:t>Zamawiającego</w:t>
      </w:r>
      <w:r w:rsidRPr="00A176CE">
        <w:rPr>
          <w:b w:val="0"/>
        </w:rPr>
        <w:t xml:space="preserve">, o tym że deskowania są gotowe do wypełnienia mieszanką betonową, na tyle wcześniej, aby </w:t>
      </w:r>
      <w:r w:rsidR="007424F4">
        <w:rPr>
          <w:b w:val="0"/>
        </w:rPr>
        <w:t xml:space="preserve">Zamawiający </w:t>
      </w:r>
      <w:r w:rsidRPr="00A176CE">
        <w:rPr>
          <w:b w:val="0"/>
        </w:rPr>
        <w:t>był w stanie dokonać inspekcji deskowania przed rozpoczęciem betonowania.</w:t>
      </w:r>
    </w:p>
    <w:p w:rsidR="007E187C" w:rsidRDefault="007E187C" w:rsidP="00A176CE">
      <w:pPr>
        <w:pStyle w:val="Styl4"/>
        <w:ind w:firstLine="709"/>
        <w:jc w:val="both"/>
        <w:rPr>
          <w:b w:val="0"/>
        </w:rPr>
      </w:pPr>
    </w:p>
    <w:p w:rsidR="00A176CE" w:rsidRPr="00D01C07" w:rsidRDefault="00A176CE" w:rsidP="00A176CE">
      <w:pPr>
        <w:pStyle w:val="Styl4"/>
        <w:ind w:firstLine="709"/>
        <w:jc w:val="both"/>
        <w:rPr>
          <w:b w:val="0"/>
        </w:rPr>
      </w:pPr>
      <w:r w:rsidRPr="00D01C07">
        <w:rPr>
          <w:b w:val="0"/>
        </w:rPr>
        <w:t>Dopuszcza się następujące odchylenia deskowania od wymiarów nominalnych przewidzianych dokumentacja projektową :</w:t>
      </w:r>
    </w:p>
    <w:p w:rsidR="007E187C" w:rsidRPr="00D01C07" w:rsidRDefault="007E187C" w:rsidP="00A176CE">
      <w:pPr>
        <w:pStyle w:val="Styl4"/>
        <w:ind w:firstLine="709"/>
        <w:jc w:val="both"/>
        <w:rPr>
          <w:b w:val="0"/>
        </w:rPr>
      </w:pPr>
      <w:r w:rsidRPr="00D01C07">
        <w:rPr>
          <w:b w:val="0"/>
        </w:rPr>
        <w:t>a) rozstaw żeber deskowań ± 0,5 % i nie więcej niż 2 cm,</w:t>
      </w:r>
    </w:p>
    <w:p w:rsidR="007E187C" w:rsidRPr="00D01C07" w:rsidRDefault="007E187C" w:rsidP="00A176CE">
      <w:pPr>
        <w:pStyle w:val="Styl4"/>
        <w:ind w:firstLine="709"/>
        <w:jc w:val="both"/>
        <w:rPr>
          <w:b w:val="0"/>
        </w:rPr>
      </w:pPr>
      <w:r w:rsidRPr="00D01C07">
        <w:rPr>
          <w:b w:val="0"/>
        </w:rPr>
        <w:t>b) grubość desek jednego elementu deskowania ± 0,2 cm,</w:t>
      </w:r>
    </w:p>
    <w:p w:rsidR="007E187C" w:rsidRPr="00D01C07" w:rsidRDefault="007E187C" w:rsidP="00A176CE">
      <w:pPr>
        <w:pStyle w:val="Styl4"/>
        <w:ind w:firstLine="709"/>
        <w:jc w:val="both"/>
        <w:rPr>
          <w:b w:val="0"/>
        </w:rPr>
      </w:pPr>
      <w:r w:rsidRPr="00D01C07">
        <w:rPr>
          <w:b w:val="0"/>
        </w:rPr>
        <w:t>c) odchylenia deskowań od prostoliniowości lub od płaszczyzny o 1 %,</w:t>
      </w:r>
    </w:p>
    <w:p w:rsidR="007E187C" w:rsidRPr="00D01C07" w:rsidRDefault="007E187C" w:rsidP="00A176CE">
      <w:pPr>
        <w:pStyle w:val="Styl4"/>
        <w:ind w:firstLine="709"/>
        <w:jc w:val="both"/>
        <w:rPr>
          <w:b w:val="0"/>
        </w:rPr>
      </w:pPr>
      <w:r w:rsidRPr="00D01C07">
        <w:rPr>
          <w:b w:val="0"/>
        </w:rPr>
        <w:t>d) odchylenie ścian od pionu o ± 0,2 % , lecz nie więcej niż 0,5 cm,</w:t>
      </w:r>
    </w:p>
    <w:p w:rsidR="007E187C" w:rsidRPr="00D01C07" w:rsidRDefault="007E187C" w:rsidP="00A176CE">
      <w:pPr>
        <w:pStyle w:val="Styl4"/>
        <w:ind w:firstLine="709"/>
        <w:jc w:val="both"/>
        <w:rPr>
          <w:b w:val="0"/>
        </w:rPr>
      </w:pPr>
      <w:r w:rsidRPr="00D01C07">
        <w:rPr>
          <w:b w:val="0"/>
        </w:rPr>
        <w:t>e) wybrzuszenie powierzchni o ± 0,2 cm na odcinku 3 m,</w:t>
      </w:r>
    </w:p>
    <w:p w:rsidR="007E187C" w:rsidRPr="00D01C07" w:rsidRDefault="007E187C" w:rsidP="00A176CE">
      <w:pPr>
        <w:pStyle w:val="Styl4"/>
        <w:ind w:firstLine="709"/>
        <w:jc w:val="both"/>
        <w:rPr>
          <w:b w:val="0"/>
        </w:rPr>
      </w:pPr>
      <w:r w:rsidRPr="00D01C07">
        <w:rPr>
          <w:b w:val="0"/>
        </w:rPr>
        <w:t>f) odchyłki wymiarów wewnętrznych deskowania (przekrojów betonowych):</w:t>
      </w:r>
    </w:p>
    <w:p w:rsidR="007E187C" w:rsidRPr="00D01C07" w:rsidRDefault="007E187C" w:rsidP="00A176CE">
      <w:pPr>
        <w:pStyle w:val="Styl4"/>
        <w:ind w:firstLine="709"/>
        <w:jc w:val="both"/>
        <w:rPr>
          <w:b w:val="0"/>
        </w:rPr>
      </w:pPr>
      <w:r w:rsidRPr="00D01C07">
        <w:rPr>
          <w:b w:val="0"/>
        </w:rPr>
        <w:t>- 0,2 % wysokości, lecz nie więcej niż - 0,5 cm,</w:t>
      </w:r>
    </w:p>
    <w:p w:rsidR="007E187C" w:rsidRPr="00D01C07" w:rsidRDefault="007E187C" w:rsidP="00A176CE">
      <w:pPr>
        <w:pStyle w:val="Styl4"/>
        <w:ind w:firstLine="709"/>
        <w:jc w:val="both"/>
        <w:rPr>
          <w:b w:val="0"/>
        </w:rPr>
      </w:pPr>
      <w:r w:rsidRPr="00D01C07">
        <w:rPr>
          <w:b w:val="0"/>
        </w:rPr>
        <w:t>- 0,5 % wysokości, lecz nie więcej niż + 2 cm,</w:t>
      </w:r>
    </w:p>
    <w:p w:rsidR="007E187C" w:rsidRPr="00D01C07" w:rsidRDefault="007E187C" w:rsidP="00A176CE">
      <w:pPr>
        <w:pStyle w:val="Styl4"/>
        <w:ind w:firstLine="709"/>
        <w:jc w:val="both"/>
        <w:rPr>
          <w:b w:val="0"/>
        </w:rPr>
      </w:pPr>
      <w:r w:rsidRPr="00D01C07">
        <w:rPr>
          <w:b w:val="0"/>
        </w:rPr>
        <w:t>- 0,2 % grubości (szerokości), lecz nie więcej niż -0,2 cm,</w:t>
      </w:r>
    </w:p>
    <w:p w:rsidR="007E187C" w:rsidRPr="00D01C07" w:rsidRDefault="007E187C" w:rsidP="00A176CE">
      <w:pPr>
        <w:pStyle w:val="Styl4"/>
        <w:ind w:firstLine="709"/>
        <w:jc w:val="both"/>
        <w:rPr>
          <w:b w:val="0"/>
        </w:rPr>
      </w:pPr>
      <w:r w:rsidRPr="00D01C07">
        <w:rPr>
          <w:b w:val="0"/>
        </w:rPr>
        <w:t>- 0,5 % grubości (szerokości), lecz nie więcej niż + 0,5 cm.</w:t>
      </w:r>
    </w:p>
    <w:p w:rsidR="007E187C" w:rsidRPr="00D01C07" w:rsidRDefault="007E187C" w:rsidP="00A176CE">
      <w:pPr>
        <w:pStyle w:val="Styl4"/>
        <w:ind w:firstLine="709"/>
        <w:jc w:val="both"/>
        <w:rPr>
          <w:b w:val="0"/>
        </w:rPr>
      </w:pPr>
    </w:p>
    <w:p w:rsidR="007E187C" w:rsidRPr="00D01C07" w:rsidRDefault="007E187C" w:rsidP="007E187C">
      <w:pPr>
        <w:pStyle w:val="Styl4"/>
        <w:jc w:val="both"/>
        <w:rPr>
          <w:b w:val="0"/>
        </w:rPr>
      </w:pPr>
      <w:r w:rsidRPr="00D01C07">
        <w:rPr>
          <w:b w:val="0"/>
        </w:rPr>
        <w:t>Dopuszczalne ugięcia deskowań:</w:t>
      </w:r>
    </w:p>
    <w:p w:rsidR="00A176CE" w:rsidRPr="00D01C07" w:rsidRDefault="007E187C" w:rsidP="007E187C">
      <w:pPr>
        <w:pStyle w:val="Styl4"/>
        <w:jc w:val="both"/>
        <w:rPr>
          <w:b w:val="0"/>
        </w:rPr>
      </w:pPr>
      <w:r w:rsidRPr="00D01C07">
        <w:rPr>
          <w:b w:val="0"/>
        </w:rPr>
        <w:t>- 1/200 l - w deskach i belkach pomostów,</w:t>
      </w:r>
    </w:p>
    <w:p w:rsidR="007E187C" w:rsidRPr="00D01C07" w:rsidRDefault="007E187C" w:rsidP="007E187C">
      <w:pPr>
        <w:pStyle w:val="Styl4"/>
        <w:jc w:val="both"/>
        <w:rPr>
          <w:b w:val="0"/>
        </w:rPr>
      </w:pPr>
      <w:r w:rsidRPr="00D01C07">
        <w:rPr>
          <w:b w:val="0"/>
        </w:rPr>
        <w:t>- 1/400 l - w deskach deskowań widocznych powierzchni mostów betonowych i żelbetowych,</w:t>
      </w:r>
    </w:p>
    <w:p w:rsidR="007E187C" w:rsidRPr="00D01C07" w:rsidRDefault="007E187C" w:rsidP="007E187C">
      <w:pPr>
        <w:pStyle w:val="Styl4"/>
        <w:jc w:val="both"/>
        <w:rPr>
          <w:b w:val="0"/>
        </w:rPr>
      </w:pPr>
      <w:r w:rsidRPr="00D01C07">
        <w:rPr>
          <w:b w:val="0"/>
        </w:rPr>
        <w:t>- 1/250 l - w deskach deskowań niewidocznych powierzchni mostów betonowych i żelbetowych.</w:t>
      </w:r>
    </w:p>
    <w:p w:rsidR="007E187C" w:rsidRPr="007E187C" w:rsidRDefault="007E187C" w:rsidP="007E187C">
      <w:pPr>
        <w:pStyle w:val="Styl4"/>
        <w:ind w:firstLine="709"/>
        <w:jc w:val="both"/>
        <w:rPr>
          <w:b w:val="0"/>
        </w:rPr>
      </w:pPr>
      <w:r w:rsidRPr="00D01C07">
        <w:rPr>
          <w:b w:val="0"/>
        </w:rPr>
        <w:t>Wszystkie stosowane deskowania powinny być tego samego typu, dostarczone przez jednego producenta. Wszystkie krawędzie betonu powinny być ścięte za pomocą listwy trójkątnej. Listwy te muszą być następnie usuwane z wykonanej konstrukcji.</w:t>
      </w:r>
    </w:p>
    <w:p w:rsidR="007E187C" w:rsidRDefault="007E187C" w:rsidP="002B41CD">
      <w:pPr>
        <w:pStyle w:val="Styl4"/>
      </w:pPr>
    </w:p>
    <w:p w:rsidR="007E187C" w:rsidRDefault="007E187C" w:rsidP="002B41CD">
      <w:pPr>
        <w:pStyle w:val="Styl4"/>
      </w:pPr>
    </w:p>
    <w:p w:rsidR="00C52FA3" w:rsidRPr="002B41CD" w:rsidRDefault="00C52FA3" w:rsidP="002B41CD">
      <w:pPr>
        <w:pStyle w:val="Styl4"/>
      </w:pPr>
    </w:p>
    <w:p w:rsidR="002B41CD" w:rsidRPr="00D01C07" w:rsidRDefault="002B41CD" w:rsidP="002B41CD">
      <w:pPr>
        <w:pStyle w:val="Styl4"/>
        <w:rPr>
          <w:b w:val="0"/>
        </w:rPr>
      </w:pPr>
      <w:r w:rsidRPr="00D01C07">
        <w:rPr>
          <w:b w:val="0"/>
        </w:rPr>
        <w:t xml:space="preserve">5.3.2. Rusztowania </w:t>
      </w:r>
    </w:p>
    <w:p w:rsidR="002B41CD" w:rsidRPr="002B41CD" w:rsidRDefault="002B41CD" w:rsidP="00D01C07">
      <w:pPr>
        <w:pStyle w:val="Styl4"/>
        <w:ind w:firstLine="709"/>
        <w:rPr>
          <w:b w:val="0"/>
        </w:rPr>
      </w:pPr>
      <w:r w:rsidRPr="002B41CD">
        <w:rPr>
          <w:b w:val="0"/>
        </w:rPr>
        <w:t xml:space="preserve">Rusztowania   i   ich   posadowienie   dla   ustroju   niosącego   należy   wykonywać   według   projektu </w:t>
      </w:r>
    </w:p>
    <w:p w:rsidR="002B41CD" w:rsidRPr="002B41CD" w:rsidRDefault="002B41CD" w:rsidP="002B41CD">
      <w:pPr>
        <w:pStyle w:val="Styl4"/>
        <w:rPr>
          <w:b w:val="0"/>
        </w:rPr>
      </w:pPr>
      <w:r w:rsidRPr="002B41CD">
        <w:rPr>
          <w:b w:val="0"/>
        </w:rPr>
        <w:t xml:space="preserve">technologicznego,   opartego   na   obliczeniach   statyczno-wytrzymałościowych.   Rusztowania   muszą </w:t>
      </w:r>
    </w:p>
    <w:p w:rsidR="002B41CD" w:rsidRPr="002B41CD" w:rsidRDefault="002B41CD" w:rsidP="002B41CD">
      <w:pPr>
        <w:pStyle w:val="Styl4"/>
        <w:rPr>
          <w:b w:val="0"/>
        </w:rPr>
      </w:pPr>
      <w:r w:rsidRPr="002B41CD">
        <w:rPr>
          <w:b w:val="0"/>
        </w:rPr>
        <w:t xml:space="preserve">uwzględniać  podniesienie  wykonawcze  ustroju  niosącego  (podane  w  dokumentacji  projektowej)  oraz </w:t>
      </w:r>
    </w:p>
    <w:p w:rsidR="002B41CD" w:rsidRPr="002B41CD" w:rsidRDefault="002B41CD" w:rsidP="002B41CD">
      <w:pPr>
        <w:pStyle w:val="Styl4"/>
        <w:rPr>
          <w:b w:val="0"/>
        </w:rPr>
      </w:pPr>
      <w:r w:rsidRPr="002B41CD">
        <w:rPr>
          <w:b w:val="0"/>
        </w:rPr>
        <w:t xml:space="preserve">wpływ  osiadania  samych  podpór  tymczasowych  przyjętych  przez  Wykonawcę.  Sposób  posadowienia </w:t>
      </w:r>
    </w:p>
    <w:p w:rsidR="002B41CD" w:rsidRPr="002B41CD" w:rsidRDefault="002B41CD" w:rsidP="002B41CD">
      <w:pPr>
        <w:pStyle w:val="Styl4"/>
        <w:rPr>
          <w:b w:val="0"/>
        </w:rPr>
      </w:pPr>
      <w:r w:rsidRPr="002B41CD">
        <w:rPr>
          <w:b w:val="0"/>
        </w:rPr>
        <w:t xml:space="preserve">rusztowania  mostów  należy   uzgodnić   z  administratorem  cieku  lub  rzeki  oraz   uzyskać  wszelkie </w:t>
      </w:r>
    </w:p>
    <w:p w:rsidR="002B41CD" w:rsidRPr="002B41CD" w:rsidRDefault="002B41CD" w:rsidP="002B41CD">
      <w:pPr>
        <w:pStyle w:val="Styl4"/>
        <w:rPr>
          <w:b w:val="0"/>
        </w:rPr>
      </w:pPr>
      <w:r w:rsidRPr="002B41CD">
        <w:rPr>
          <w:b w:val="0"/>
        </w:rPr>
        <w:t xml:space="preserve">pozwolenia. </w:t>
      </w:r>
    </w:p>
    <w:p w:rsidR="002B41CD" w:rsidRPr="002B41CD" w:rsidRDefault="002B41CD" w:rsidP="002B41CD">
      <w:pPr>
        <w:pStyle w:val="Styl4"/>
        <w:rPr>
          <w:b w:val="0"/>
        </w:rPr>
      </w:pPr>
      <w:r w:rsidRPr="002B41CD">
        <w:rPr>
          <w:b w:val="0"/>
        </w:rPr>
        <w:t xml:space="preserve">W konstrukcji rusztowań można dopuścić następujące odchylenia od wymiarów lub położenia: </w:t>
      </w:r>
    </w:p>
    <w:p w:rsidR="002B41CD" w:rsidRPr="002B41CD" w:rsidRDefault="002B41CD" w:rsidP="002B41CD">
      <w:pPr>
        <w:pStyle w:val="Styl4"/>
        <w:rPr>
          <w:b w:val="0"/>
        </w:rPr>
      </w:pPr>
      <w:r w:rsidRPr="002B41CD">
        <w:rPr>
          <w:b w:val="0"/>
        </w:rPr>
        <w:t xml:space="preserve">   zmniejszenie przekroju elementu nie więcej niż o 15%, </w:t>
      </w:r>
    </w:p>
    <w:p w:rsidR="002B41CD" w:rsidRPr="002B41CD" w:rsidRDefault="002B41CD" w:rsidP="002B41CD">
      <w:pPr>
        <w:pStyle w:val="Styl4"/>
        <w:rPr>
          <w:b w:val="0"/>
        </w:rPr>
      </w:pPr>
      <w:r w:rsidRPr="002B41CD">
        <w:rPr>
          <w:b w:val="0"/>
        </w:rPr>
        <w:t xml:space="preserve">   odchylenie rozstawu pali lub ram do 5 %, lecz nie więcej niż o 20 cm, </w:t>
      </w:r>
    </w:p>
    <w:p w:rsidR="002B41CD" w:rsidRPr="002B41CD" w:rsidRDefault="002B41CD" w:rsidP="002B41CD">
      <w:pPr>
        <w:pStyle w:val="Styl4"/>
        <w:rPr>
          <w:b w:val="0"/>
        </w:rPr>
      </w:pPr>
      <w:r w:rsidRPr="002B41CD">
        <w:rPr>
          <w:b w:val="0"/>
        </w:rPr>
        <w:t xml:space="preserve">   odchylenie od pionu pali lub ram do 0,01 radiana w mierze łukowej, lecz nie więcej niż wychylenie </w:t>
      </w:r>
    </w:p>
    <w:p w:rsidR="002B41CD" w:rsidRPr="002B41CD" w:rsidRDefault="002B41CD" w:rsidP="002B41CD">
      <w:pPr>
        <w:pStyle w:val="Styl4"/>
        <w:rPr>
          <w:b w:val="0"/>
        </w:rPr>
      </w:pPr>
      <w:r w:rsidRPr="002B41CD">
        <w:rPr>
          <w:b w:val="0"/>
        </w:rPr>
        <w:t xml:space="preserve">o ± 10 cm w poziomie w mierze liniowej, </w:t>
      </w:r>
    </w:p>
    <w:p w:rsidR="002B41CD" w:rsidRPr="002B41CD" w:rsidRDefault="002B41CD" w:rsidP="002B41CD">
      <w:pPr>
        <w:pStyle w:val="Styl4"/>
        <w:rPr>
          <w:b w:val="0"/>
        </w:rPr>
      </w:pPr>
      <w:r w:rsidRPr="002B41CD">
        <w:rPr>
          <w:b w:val="0"/>
        </w:rPr>
        <w:t xml:space="preserve">   różnice w rozstawie belek poprzecznych (oczepów) lub podłużnic (rygli lub dźwigarów) o ± 20cm, </w:t>
      </w:r>
    </w:p>
    <w:p w:rsidR="002B41CD" w:rsidRPr="002B41CD" w:rsidRDefault="002B41CD" w:rsidP="002B41CD">
      <w:pPr>
        <w:pStyle w:val="Styl4"/>
        <w:rPr>
          <w:b w:val="0"/>
        </w:rPr>
      </w:pPr>
      <w:r w:rsidRPr="002B41CD">
        <w:rPr>
          <w:b w:val="0"/>
        </w:rPr>
        <w:t xml:space="preserve">   różnice w położeniu górnej krawędzi oczepu + 2 cm i - 1 cm, </w:t>
      </w:r>
    </w:p>
    <w:p w:rsidR="002B41CD" w:rsidRPr="002B41CD" w:rsidRDefault="002B41CD" w:rsidP="002B41CD">
      <w:pPr>
        <w:pStyle w:val="Styl4"/>
        <w:rPr>
          <w:b w:val="0"/>
        </w:rPr>
      </w:pPr>
      <w:r w:rsidRPr="002B41CD">
        <w:rPr>
          <w:b w:val="0"/>
        </w:rPr>
        <w:t xml:space="preserve">   strzałki różne od obliczeniowych do 10 %. </w:t>
      </w:r>
    </w:p>
    <w:p w:rsidR="002B41CD" w:rsidRPr="002B41CD" w:rsidRDefault="002B41CD" w:rsidP="002B41CD">
      <w:pPr>
        <w:pStyle w:val="Styl4"/>
        <w:rPr>
          <w:b w:val="0"/>
        </w:rPr>
      </w:pPr>
      <w:r w:rsidRPr="002B41CD">
        <w:rPr>
          <w:b w:val="0"/>
        </w:rPr>
        <w:t xml:space="preserve">Na wierzchu rusztowań powinny być pomosty z desek z obustronnymi poręczami wysokości co najmniej </w:t>
      </w:r>
    </w:p>
    <w:p w:rsidR="002B41CD" w:rsidRDefault="002B41CD" w:rsidP="002B41CD">
      <w:pPr>
        <w:pStyle w:val="Styl4"/>
        <w:rPr>
          <w:b w:val="0"/>
        </w:rPr>
      </w:pPr>
      <w:r w:rsidRPr="002B41CD">
        <w:rPr>
          <w:b w:val="0"/>
        </w:rPr>
        <w:t>1,10 m i z krawędziami wysokości 0,15 m.</w:t>
      </w:r>
    </w:p>
    <w:p w:rsidR="00D01C07" w:rsidRDefault="00D01C07" w:rsidP="002B41CD">
      <w:pPr>
        <w:pStyle w:val="Styl4"/>
        <w:rPr>
          <w:b w:val="0"/>
        </w:rPr>
      </w:pPr>
    </w:p>
    <w:p w:rsidR="002B41CD" w:rsidRPr="002B41CD" w:rsidRDefault="002B41CD" w:rsidP="002B41CD">
      <w:pPr>
        <w:pStyle w:val="Styl4"/>
      </w:pPr>
      <w:r w:rsidRPr="002B41CD">
        <w:t xml:space="preserve">5.4.Wytwarzanie mieszanki betonowej </w:t>
      </w:r>
    </w:p>
    <w:p w:rsidR="002B41CD" w:rsidRPr="002B41CD" w:rsidRDefault="002B41CD" w:rsidP="00D01C07">
      <w:pPr>
        <w:pStyle w:val="Styl4"/>
        <w:ind w:firstLine="709"/>
        <w:jc w:val="both"/>
        <w:rPr>
          <w:b w:val="0"/>
        </w:rPr>
      </w:pPr>
      <w:r w:rsidRPr="002B41CD">
        <w:rPr>
          <w:b w:val="0"/>
        </w:rPr>
        <w:t xml:space="preserve">Wytwarzanie  mieszanki  betonowej  powinno  odbywać  się  wyłącznie  w  wytwórni  betonu,  która  może zapewnić spełnienie żądanych w ST wymagań. Wytwarzanie mieszanki betonowej powinno odbywać się na podstawie roboczej receptury mieszanki zaakceptowanej przez Inspektora nadzoru. Składniki powinnosię  mieszać  w  mieszalnikach  planetarnych,  talerzowych  jedno  lub  dwuwałowych.  Czas  mieszania powinien  być  ustalony  doświadczalnie  w  zależności  od  składu  mieszanki  betonowej  oraz  od  rodzaju urządzenia  mieszającego,  do  momentu  uzyskania  jednorodnego  wyglądu  mieszanki  betonowej,  jednak </w:t>
      </w:r>
      <w:r w:rsidR="00D01C07">
        <w:rPr>
          <w:b w:val="0"/>
        </w:rPr>
        <w:t>nie powinien</w:t>
      </w:r>
      <w:r w:rsidRPr="002B41CD">
        <w:rPr>
          <w:b w:val="0"/>
        </w:rPr>
        <w:t xml:space="preserve">być krótszy niż 2 minuty. </w:t>
      </w:r>
    </w:p>
    <w:p w:rsidR="002B41CD" w:rsidRDefault="002B41CD" w:rsidP="00D01C07">
      <w:pPr>
        <w:pStyle w:val="Styl4"/>
        <w:ind w:firstLine="709"/>
        <w:jc w:val="both"/>
        <w:rPr>
          <w:b w:val="0"/>
        </w:rPr>
      </w:pPr>
      <w:r w:rsidRPr="002B41CD">
        <w:rPr>
          <w:b w:val="0"/>
        </w:rPr>
        <w:t>Domieszki, jeśli są stosowane, należy dodawać podczas zasadniczego procesu mieszania, z wyjątkiem domieszek   znacznie   redukujących   ilość   wody,   które  można   dodawać   po   zasadniczym   procesie mieszania.   W   drugim   przypadku   mieszankę   betonową   należy   powtórnie   mieszać   do   momentu, aż domieszka  będzie  całkowicie  rozprowadzona  w  zarobie  lub  ładunku  oraz  osiągnie  swoją  pełną skuteczność.</w:t>
      </w:r>
    </w:p>
    <w:p w:rsidR="00D01C07" w:rsidRDefault="00D01C07" w:rsidP="00D01C07">
      <w:pPr>
        <w:pStyle w:val="Styl4"/>
        <w:ind w:firstLine="709"/>
        <w:jc w:val="both"/>
        <w:rPr>
          <w:b w:val="0"/>
        </w:rPr>
      </w:pPr>
      <w:r w:rsidRPr="00D01C07">
        <w:rPr>
          <w:b w:val="0"/>
        </w:rPr>
        <w:t>Czas i szybkość mieszania powinny być tak dobrane, aby wyprodukować mieszankę spełniają</w:t>
      </w:r>
      <w:r w:rsidR="006E7156">
        <w:rPr>
          <w:b w:val="0"/>
        </w:rPr>
        <w:t>cą wymagania ST</w:t>
      </w:r>
      <w:r w:rsidRPr="00D01C07">
        <w:rPr>
          <w:b w:val="0"/>
        </w:rPr>
        <w:t>. Zarób mieszanki betonowej powinien być jednorodny, tak aby w czasie jej transportu i innych operacji technologicznych nie nastąpiła segregacja składników. Urabialność mieszanki powinna pozwolić na uzyskanie maksymalnej szczelności bez wystąpienia pustek w masie betonu lub na jego powierzchni. Produkcja mieszanki betonowej i betonowanie powinny zostać przerwane, gdy</w:t>
      </w:r>
      <w:r w:rsidR="006E7156">
        <w:rPr>
          <w:b w:val="0"/>
        </w:rPr>
        <w:t xml:space="preserve"> temperatura spadnie poniżej +5˚</w:t>
      </w:r>
      <w:r w:rsidRPr="00D01C07">
        <w:rPr>
          <w:b w:val="0"/>
        </w:rPr>
        <w:t>C za wyjątkiem sytuacji szczególnych, kiedy został prze</w:t>
      </w:r>
      <w:r w:rsidR="007424F4">
        <w:rPr>
          <w:b w:val="0"/>
        </w:rPr>
        <w:t>z</w:t>
      </w:r>
      <w:r w:rsidR="00663F18" w:rsidRPr="00663F18">
        <w:rPr>
          <w:b w:val="0"/>
        </w:rPr>
        <w:t>przedstawiciela</w:t>
      </w:r>
      <w:r w:rsidR="007424F4">
        <w:rPr>
          <w:b w:val="0"/>
        </w:rPr>
        <w:t>Zamawiającego</w:t>
      </w:r>
      <w:r w:rsidRPr="00D01C07">
        <w:rPr>
          <w:b w:val="0"/>
        </w:rPr>
        <w:t xml:space="preserve"> zatwierdzony PZJ na betonowanie w warunkach zimowych. Wówczas betonowanie należy prowadzić z reżimem technologicznym zgodnie z zatwierdzonym PZJ.</w:t>
      </w:r>
    </w:p>
    <w:p w:rsidR="00D01C07" w:rsidRDefault="006E7156" w:rsidP="00D01C07">
      <w:pPr>
        <w:pStyle w:val="Styl4"/>
        <w:ind w:firstLine="709"/>
        <w:jc w:val="both"/>
        <w:rPr>
          <w:b w:val="0"/>
        </w:rPr>
      </w:pPr>
      <w:r w:rsidRPr="006E7156">
        <w:rPr>
          <w:b w:val="0"/>
        </w:rPr>
        <w:t>Urabialność nie powinna być osiągana przy większym zużyciu wody niż było to określone wrecepturze mieszanki.</w:t>
      </w:r>
    </w:p>
    <w:p w:rsidR="006E7156" w:rsidRDefault="006E7156" w:rsidP="00D01C07">
      <w:pPr>
        <w:pStyle w:val="Styl4"/>
        <w:ind w:firstLine="709"/>
        <w:jc w:val="both"/>
        <w:rPr>
          <w:b w:val="0"/>
        </w:rPr>
      </w:pPr>
    </w:p>
    <w:p w:rsidR="002B41CD" w:rsidRDefault="002B41CD" w:rsidP="002B41CD">
      <w:pPr>
        <w:pStyle w:val="Styl4"/>
      </w:pPr>
      <w:r w:rsidRPr="002B41CD">
        <w:t xml:space="preserve">5.5.Podawanie, układanie i zagęszczanie mieszanki betonowej </w:t>
      </w:r>
    </w:p>
    <w:p w:rsidR="006E7156" w:rsidRPr="002B41CD" w:rsidRDefault="006E7156" w:rsidP="002B41CD">
      <w:pPr>
        <w:pStyle w:val="Styl4"/>
      </w:pPr>
    </w:p>
    <w:p w:rsidR="002B41CD" w:rsidRPr="006E7156" w:rsidRDefault="002B41CD" w:rsidP="006E7156">
      <w:pPr>
        <w:pStyle w:val="Styl4"/>
        <w:jc w:val="both"/>
        <w:rPr>
          <w:b w:val="0"/>
        </w:rPr>
      </w:pPr>
      <w:r w:rsidRPr="006E7156">
        <w:rPr>
          <w:b w:val="0"/>
        </w:rPr>
        <w:t xml:space="preserve">5.5.1. Roboty przed rozpoczęciem układania mieszanki betonowej </w:t>
      </w:r>
    </w:p>
    <w:p w:rsidR="002B41CD" w:rsidRPr="002B41CD" w:rsidRDefault="002B41CD" w:rsidP="006E7156">
      <w:pPr>
        <w:pStyle w:val="Styl4"/>
        <w:ind w:firstLine="709"/>
        <w:jc w:val="both"/>
        <w:rPr>
          <w:b w:val="0"/>
        </w:rPr>
      </w:pPr>
      <w:r w:rsidRPr="002B41CD">
        <w:rPr>
          <w:b w:val="0"/>
        </w:rPr>
        <w:t xml:space="preserve">Przed   rozpoczęciem   układania   mieszanki   betonowej   należy   sprawdzić   prawidłowość   wykonania wszystkich robót poprzedzających betonowanie zgodnie z pkt. 5.3. </w:t>
      </w:r>
    </w:p>
    <w:p w:rsidR="006E7156" w:rsidRDefault="002B41CD" w:rsidP="006E7156">
      <w:pPr>
        <w:pStyle w:val="Styl4"/>
        <w:ind w:firstLine="709"/>
        <w:jc w:val="both"/>
        <w:rPr>
          <w:b w:val="0"/>
        </w:rPr>
      </w:pPr>
      <w:r w:rsidRPr="002B41CD">
        <w:rPr>
          <w:b w:val="0"/>
        </w:rPr>
        <w:t xml:space="preserve">Deskowanie  należy  powlec  środkiem  antyadhezyjnym,  który  powinien  być  dobrany  i  stosowany  w  taki sposób, aby nie miał szkodliwego wpływu na beton, stal zbrojeniową, deskowanie i konstrukcją. </w:t>
      </w:r>
    </w:p>
    <w:p w:rsidR="002B41CD" w:rsidRDefault="002B41CD" w:rsidP="006E7156">
      <w:pPr>
        <w:pStyle w:val="Styl4"/>
        <w:ind w:firstLine="709"/>
        <w:jc w:val="both"/>
        <w:rPr>
          <w:b w:val="0"/>
        </w:rPr>
      </w:pPr>
      <w:r w:rsidRPr="002B41CD">
        <w:rPr>
          <w:b w:val="0"/>
        </w:rPr>
        <w:t xml:space="preserve">Należy  pamiętać  o  wykonaniu  wszelkiego  rodzaju  otworów,  nisz,  zagłębień,  zamocowań  zgodnie z dokumentacją  projektową.  Wszystkie  konsekwencje  wynikające  z  braku  lub  nieprawidłowości  tych elementów  obciążają całkowicie Wykonawcę  zarówno jeśli chodzi o późniejsze rozkucie  i naprawy, jak i ewentualne  opóźnienia  w  wykonaniu  prac  własnych  i  towarzyszących  (wykonywanych  przez  innych podwykonawców). </w:t>
      </w:r>
    </w:p>
    <w:p w:rsidR="006E7156" w:rsidRPr="002B41CD" w:rsidRDefault="006E7156" w:rsidP="002B41CD">
      <w:pPr>
        <w:pStyle w:val="Styl4"/>
        <w:rPr>
          <w:b w:val="0"/>
        </w:rPr>
      </w:pPr>
    </w:p>
    <w:p w:rsidR="002B41CD" w:rsidRDefault="002B41CD" w:rsidP="002B41CD">
      <w:pPr>
        <w:pStyle w:val="Styl4"/>
        <w:rPr>
          <w:b w:val="0"/>
        </w:rPr>
      </w:pPr>
      <w:r w:rsidRPr="006E7156">
        <w:rPr>
          <w:b w:val="0"/>
        </w:rPr>
        <w:t xml:space="preserve">5.5.2. Układanie i zagęszczanie mieszanki betonowej </w:t>
      </w:r>
    </w:p>
    <w:p w:rsidR="006E7156" w:rsidRDefault="006E7156" w:rsidP="002B41CD">
      <w:pPr>
        <w:pStyle w:val="Styl4"/>
        <w:rPr>
          <w:b w:val="0"/>
        </w:rPr>
      </w:pPr>
    </w:p>
    <w:p w:rsidR="006E7156" w:rsidRDefault="006E7156" w:rsidP="002B41CD">
      <w:pPr>
        <w:pStyle w:val="Styl4"/>
        <w:rPr>
          <w:b w:val="0"/>
        </w:rPr>
      </w:pPr>
    </w:p>
    <w:p w:rsidR="006E7156" w:rsidRDefault="006E7156" w:rsidP="002B41CD">
      <w:pPr>
        <w:pStyle w:val="Styl4"/>
        <w:rPr>
          <w:b w:val="0"/>
        </w:rPr>
      </w:pPr>
    </w:p>
    <w:p w:rsidR="006E7156" w:rsidRPr="006E7156" w:rsidRDefault="006E7156" w:rsidP="002B41CD">
      <w:pPr>
        <w:pStyle w:val="Styl4"/>
        <w:rPr>
          <w:b w:val="0"/>
        </w:rPr>
      </w:pPr>
    </w:p>
    <w:p w:rsidR="002B41CD" w:rsidRPr="006E7156" w:rsidRDefault="002B41CD" w:rsidP="002B41CD">
      <w:pPr>
        <w:pStyle w:val="Styl4"/>
        <w:rPr>
          <w:b w:val="0"/>
        </w:rPr>
      </w:pPr>
      <w:r w:rsidRPr="006E7156">
        <w:rPr>
          <w:b w:val="0"/>
        </w:rPr>
        <w:t xml:space="preserve">5.5.2.1. Wymagania ogólne </w:t>
      </w:r>
    </w:p>
    <w:p w:rsidR="002B41CD" w:rsidRDefault="002B41CD" w:rsidP="006E7156">
      <w:pPr>
        <w:pStyle w:val="Styl4"/>
        <w:ind w:firstLine="709"/>
        <w:jc w:val="both"/>
        <w:rPr>
          <w:b w:val="0"/>
        </w:rPr>
      </w:pPr>
      <w:r w:rsidRPr="002B41CD">
        <w:rPr>
          <w:b w:val="0"/>
        </w:rPr>
        <w:t xml:space="preserve">Wysokość swobodnego zrzucania mieszanki betonowej nie powinna przekraczać 0,5 m od powierzchni, na  którą  spada.  W  przypadku,  gdy  wysokość  ta  jest  większa,  mieszankę  należy  podawać  za  pomocą rynny  zsypowej  (do  wysokości  3,0  m)  lub  leja  zsypowego  teleskopowego  (do  wysokości  8,0  m).  Przy układaniu  mieszanki  betonowej  z  wysokości  większej  niż  8  m  należy  stosować  odcinkowe  przewody giętkie, zaopatrzone w końcowe urządzenia do redukcji prędkości spadającej mieszanki. </w:t>
      </w:r>
    </w:p>
    <w:p w:rsidR="006E7156" w:rsidRDefault="006E7156" w:rsidP="006E7156">
      <w:pPr>
        <w:pStyle w:val="Styl4"/>
        <w:ind w:firstLine="709"/>
        <w:jc w:val="both"/>
        <w:rPr>
          <w:b w:val="0"/>
        </w:rPr>
      </w:pPr>
      <w:r w:rsidRPr="006E7156">
        <w:rPr>
          <w:b w:val="0"/>
        </w:rPr>
        <w:t>W przypadku gdy wysokość podawania mieszanki betonowej SCC jest większa niż 1,0 m zaleca się betonowanie kontraktorowe lub półkontraktorowe. Mieszankę betonową SCC można podawać za pomocą pomp. W takim przypadku nie wolno dopuszczać do zalewania kosza pompy wodą przed rozpoczęciem procesu betonowania, celem zwilżenia pompy i jej przewodów. Dopuszcza się podawanie mieszanki betonowej SCC pod ciśnieniem, pompując od dołu przez specjalne zamki w deskowaniu, których rozstaw musi zapewnić jednorodne wypełnienie przekroju. Przy przekrojach zamkniętych od góry musi być zapewnione samoodpowietrzenie podczas betonowania oraz kontrola wypełnienia mieszanką betonową</w:t>
      </w:r>
      <w:r>
        <w:rPr>
          <w:b w:val="0"/>
        </w:rPr>
        <w:t>.</w:t>
      </w:r>
    </w:p>
    <w:p w:rsidR="006E7156" w:rsidRDefault="006E7156" w:rsidP="006E7156">
      <w:pPr>
        <w:pStyle w:val="Styl4"/>
        <w:ind w:firstLine="709"/>
        <w:rPr>
          <w:b w:val="0"/>
        </w:rPr>
      </w:pPr>
    </w:p>
    <w:p w:rsidR="006E7156" w:rsidRPr="002B41CD" w:rsidRDefault="006E7156" w:rsidP="006E7156">
      <w:pPr>
        <w:pStyle w:val="Styl4"/>
        <w:rPr>
          <w:b w:val="0"/>
        </w:rPr>
      </w:pPr>
    </w:p>
    <w:p w:rsidR="002B41CD" w:rsidRPr="002B41CD" w:rsidRDefault="002B41CD" w:rsidP="006E7156">
      <w:pPr>
        <w:pStyle w:val="Styl4"/>
        <w:jc w:val="both"/>
        <w:rPr>
          <w:b w:val="0"/>
        </w:rPr>
      </w:pPr>
      <w:r w:rsidRPr="002B41CD">
        <w:rPr>
          <w:b w:val="0"/>
        </w:rPr>
        <w:t xml:space="preserve">Mieszankę betonową należy układać przy zachowaniu następujących warunków ogólnych: </w:t>
      </w:r>
    </w:p>
    <w:p w:rsidR="002B41CD" w:rsidRPr="002B41CD" w:rsidRDefault="006E7156" w:rsidP="006E7156">
      <w:pPr>
        <w:pStyle w:val="Styl4"/>
        <w:ind w:firstLine="709"/>
        <w:jc w:val="both"/>
        <w:rPr>
          <w:b w:val="0"/>
        </w:rPr>
      </w:pPr>
      <w:r>
        <w:rPr>
          <w:b w:val="0"/>
        </w:rPr>
        <w:t xml:space="preserve">- </w:t>
      </w:r>
      <w:r w:rsidR="002B41CD" w:rsidRPr="002B41CD">
        <w:rPr>
          <w:b w:val="0"/>
        </w:rPr>
        <w:t xml:space="preserve">w  czasie  betonowania  należy  stale  obserwować  prawidłowość  kształtu  konstrukcji  deskowań </w:t>
      </w:r>
    </w:p>
    <w:p w:rsidR="002B41CD" w:rsidRPr="002B41CD" w:rsidRDefault="002B41CD" w:rsidP="006E7156">
      <w:pPr>
        <w:pStyle w:val="Styl4"/>
        <w:ind w:firstLine="709"/>
        <w:jc w:val="both"/>
        <w:rPr>
          <w:b w:val="0"/>
        </w:rPr>
      </w:pPr>
      <w:r w:rsidRPr="002B41CD">
        <w:rPr>
          <w:b w:val="0"/>
        </w:rPr>
        <w:t xml:space="preserve">i rusztowań, a w razie potrzeby dokonywać pomiaru odkształceń, </w:t>
      </w:r>
    </w:p>
    <w:p w:rsidR="002B41CD" w:rsidRDefault="006E7156" w:rsidP="006E7156">
      <w:pPr>
        <w:pStyle w:val="Styl4"/>
        <w:ind w:left="709"/>
        <w:jc w:val="both"/>
        <w:rPr>
          <w:b w:val="0"/>
        </w:rPr>
      </w:pPr>
      <w:r>
        <w:rPr>
          <w:b w:val="0"/>
        </w:rPr>
        <w:t xml:space="preserve">- </w:t>
      </w:r>
      <w:r w:rsidRPr="006E7156">
        <w:rPr>
          <w:b w:val="0"/>
        </w:rPr>
        <w:t>szybkość i wysokość wypełnienia deskowania mieszanką betonową powinny być określone w zależności od wytrzymałości i sztywności deskowania przyjmującego parcie świeżo ułożonej mieszanki betonowej, szczególną uwagę należy zwrócić przy stosowaniu mieszanki betonowej SCC,</w:t>
      </w:r>
    </w:p>
    <w:p w:rsidR="006E7156" w:rsidRDefault="00242887" w:rsidP="00242887">
      <w:pPr>
        <w:pStyle w:val="Styl4"/>
        <w:ind w:left="709"/>
        <w:jc w:val="both"/>
        <w:rPr>
          <w:b w:val="0"/>
        </w:rPr>
      </w:pPr>
      <w:r w:rsidRPr="00242887">
        <w:rPr>
          <w:b w:val="0"/>
        </w:rPr>
        <w:t>- w okresie upalnej, słonecznej pogody, ułożona mieszanka powinna być niezwłocznie zabezpieczona przed nadmierną utratą wody,</w:t>
      </w:r>
    </w:p>
    <w:p w:rsidR="006E7156" w:rsidRDefault="00242887" w:rsidP="00242887">
      <w:pPr>
        <w:pStyle w:val="Styl4"/>
        <w:ind w:left="709"/>
        <w:jc w:val="both"/>
        <w:rPr>
          <w:b w:val="0"/>
        </w:rPr>
      </w:pPr>
      <w:r w:rsidRPr="00242887">
        <w:rPr>
          <w:b w:val="0"/>
        </w:rPr>
        <w:t>- w czasie deszczu mieszanka betonowa powinna być chroniona przed wodą opadową (podczas układania i po ułożeniu); gdy na świeżo ułożoną mieszankę spadnie nadmierna ilość wody, która może spowodować zmianę konsystencji mieszanki, wodę tę należy usunąć,</w:t>
      </w:r>
    </w:p>
    <w:p w:rsidR="006E7156" w:rsidRDefault="00242887" w:rsidP="00242887">
      <w:pPr>
        <w:pStyle w:val="Styl4"/>
        <w:ind w:left="709"/>
        <w:jc w:val="both"/>
        <w:rPr>
          <w:b w:val="0"/>
        </w:rPr>
      </w:pPr>
      <w:r w:rsidRPr="00242887">
        <w:rPr>
          <w:b w:val="0"/>
        </w:rPr>
        <w:t>- w miejscach, w których skomplikowany kształt deskowania lub gęsto ułożone zbrojenie utrudnia mechaniczne zagęszczenie mieszanki, należy dodatkowo stosować zagęszczenie ręczne (sztychowanie)</w:t>
      </w:r>
    </w:p>
    <w:p w:rsidR="00242887" w:rsidRDefault="00242887" w:rsidP="00242887">
      <w:pPr>
        <w:pStyle w:val="Styl4"/>
        <w:ind w:left="709"/>
        <w:jc w:val="both"/>
        <w:rPr>
          <w:b w:val="0"/>
        </w:rPr>
      </w:pPr>
    </w:p>
    <w:p w:rsidR="006E7156" w:rsidRDefault="00242887" w:rsidP="006E7156">
      <w:pPr>
        <w:pStyle w:val="Styl4"/>
        <w:ind w:firstLine="709"/>
        <w:jc w:val="both"/>
        <w:rPr>
          <w:b w:val="0"/>
        </w:rPr>
      </w:pPr>
      <w:r w:rsidRPr="00242887">
        <w:rPr>
          <w:b w:val="0"/>
        </w:rPr>
        <w:t>Przy wykonywaniu monolitycznych elementów konstrukcji należy przestrzegać dokumentacji technologicznej, która powinna uwzględniać następujące zalecenia:</w:t>
      </w:r>
    </w:p>
    <w:p w:rsidR="00242887" w:rsidRDefault="00242887" w:rsidP="006E7156">
      <w:pPr>
        <w:pStyle w:val="Styl4"/>
        <w:ind w:firstLine="709"/>
        <w:jc w:val="both"/>
        <w:rPr>
          <w:b w:val="0"/>
        </w:rPr>
      </w:pPr>
    </w:p>
    <w:p w:rsidR="00242887" w:rsidRDefault="00242887" w:rsidP="00242887">
      <w:pPr>
        <w:pStyle w:val="Styl4"/>
        <w:ind w:left="709"/>
        <w:jc w:val="both"/>
        <w:rPr>
          <w:b w:val="0"/>
        </w:rPr>
      </w:pPr>
      <w:r w:rsidRPr="00242887">
        <w:rPr>
          <w:b w:val="0"/>
        </w:rPr>
        <w:t>- w fundamentach i korpusach podpór mieszankę betonową należy układać bezpośrednio z pojemnika lub rurociągu pompy, bądź też za pośrednictwem rynny, warstwami o grubości do 40 cm, zagęszczając wibratorami wgłębnymi,</w:t>
      </w:r>
    </w:p>
    <w:p w:rsidR="00242887" w:rsidRDefault="00242887" w:rsidP="00242887">
      <w:pPr>
        <w:pStyle w:val="Styl4"/>
        <w:ind w:left="709"/>
        <w:jc w:val="both"/>
        <w:rPr>
          <w:b w:val="0"/>
        </w:rPr>
      </w:pPr>
      <w:r w:rsidRPr="00242887">
        <w:rPr>
          <w:b w:val="0"/>
        </w:rPr>
        <w:t>- w elementach o bardzo gęstym zbrojeniu, nie pozwalającym na użycie wibratorów wgłębnych buławowych, należy używać wibratorów wgłębnych prętowych,</w:t>
      </w:r>
    </w:p>
    <w:p w:rsidR="00242887" w:rsidRDefault="00242887" w:rsidP="00242887">
      <w:pPr>
        <w:pStyle w:val="Styl4"/>
        <w:ind w:left="709"/>
        <w:jc w:val="both"/>
        <w:rPr>
          <w:b w:val="0"/>
        </w:rPr>
      </w:pPr>
      <w:r w:rsidRPr="00242887">
        <w:rPr>
          <w:b w:val="0"/>
        </w:rPr>
        <w:t>- przy wykonywaniu płyt mieszankę betonową należy układać bezpośrednio z pojemnika lub rurociągu pompy,</w:t>
      </w:r>
    </w:p>
    <w:p w:rsidR="00242887" w:rsidRDefault="00242887" w:rsidP="00242887">
      <w:pPr>
        <w:pStyle w:val="Styl4"/>
        <w:ind w:left="709"/>
        <w:jc w:val="both"/>
        <w:rPr>
          <w:b w:val="0"/>
        </w:rPr>
      </w:pPr>
      <w:r w:rsidRPr="00242887">
        <w:rPr>
          <w:b w:val="0"/>
        </w:rPr>
        <w:t>- przy betonowaniu chodników, gzymsów, wsporników, zamków i stref przydylatacyjnych stosować wibratory wgłębne,</w:t>
      </w:r>
    </w:p>
    <w:p w:rsidR="00242887" w:rsidRDefault="00242887" w:rsidP="00242887">
      <w:pPr>
        <w:pStyle w:val="Styl4"/>
        <w:ind w:left="709"/>
        <w:jc w:val="both"/>
        <w:rPr>
          <w:b w:val="0"/>
        </w:rPr>
      </w:pPr>
      <w:r w:rsidRPr="00242887">
        <w:rPr>
          <w:b w:val="0"/>
        </w:rPr>
        <w:t>- przerwa w układaniu poszczególnych warstw nie powinna być dłuższa niż 15 min.</w:t>
      </w:r>
    </w:p>
    <w:p w:rsidR="00242887" w:rsidRDefault="00242887" w:rsidP="00242887">
      <w:pPr>
        <w:pStyle w:val="Styl4"/>
        <w:ind w:left="709"/>
        <w:jc w:val="both"/>
        <w:rPr>
          <w:b w:val="0"/>
        </w:rPr>
      </w:pPr>
    </w:p>
    <w:p w:rsidR="006E7156" w:rsidRDefault="00242887" w:rsidP="006E7156">
      <w:pPr>
        <w:pStyle w:val="Styl4"/>
        <w:ind w:firstLine="709"/>
        <w:jc w:val="both"/>
        <w:rPr>
          <w:b w:val="0"/>
        </w:rPr>
      </w:pPr>
      <w:r w:rsidRPr="00242887">
        <w:rPr>
          <w:b w:val="0"/>
        </w:rPr>
        <w:t>Mieszanka betonu samozagęszczalnego SCC powinna być układana w jednej ciągłej operacji, a miejsca jej podawania powinny być tak rozmieszczone, aby powierzchnia układanej mieszanki była cały czas w ruchu. Zaleca się poziomy przepływ mieszanki betonowej oraz ograniczenie swobodnego spadku. W razie awaryjnego wystąpienia przerwy roboczej na okres ponad 2 godzin, miejsce szwu roboczego należy przykryć folią lub zwilżyć wodą w momencie wznowienia betonowania. Jeśli przerwa jest dłuższa niż 12 h, szew należy uszorstnić mechanicznie lub pokryć warstwą sczepną z gotowej zaprawy.</w:t>
      </w:r>
    </w:p>
    <w:p w:rsidR="006E7156" w:rsidRDefault="00242887" w:rsidP="006E7156">
      <w:pPr>
        <w:pStyle w:val="Styl4"/>
        <w:ind w:firstLine="709"/>
        <w:jc w:val="both"/>
        <w:rPr>
          <w:b w:val="0"/>
        </w:rPr>
      </w:pPr>
      <w:r w:rsidRPr="00242887">
        <w:rPr>
          <w:b w:val="0"/>
        </w:rPr>
        <w:t>Przebieg układania mieszanki betonowej w deskowaniu powinien być rejestrowany w dzienniku robót, w którym należy podać:</w:t>
      </w:r>
    </w:p>
    <w:p w:rsidR="006E7156" w:rsidRDefault="00242887" w:rsidP="00242887">
      <w:pPr>
        <w:pStyle w:val="Styl4"/>
        <w:ind w:left="709"/>
        <w:jc w:val="both"/>
        <w:rPr>
          <w:b w:val="0"/>
        </w:rPr>
      </w:pPr>
      <w:r w:rsidRPr="00242887">
        <w:rPr>
          <w:b w:val="0"/>
        </w:rPr>
        <w:t>- datę rozpoczęcia i zakończenia betonowania poszczególnych elementów obiektu,</w:t>
      </w:r>
    </w:p>
    <w:p w:rsidR="00242887" w:rsidRDefault="00242887" w:rsidP="00242887">
      <w:pPr>
        <w:pStyle w:val="Styl4"/>
        <w:ind w:left="709"/>
        <w:jc w:val="both"/>
        <w:rPr>
          <w:b w:val="0"/>
        </w:rPr>
      </w:pPr>
      <w:r w:rsidRPr="00242887">
        <w:rPr>
          <w:b w:val="0"/>
        </w:rPr>
        <w:t>- projektowaną wytrzymałość betonu na ściskanie, robocze receptury mieszanek betonowych, konsystencję mieszanki betonowej oraz zawartość powietrza w mieszance,</w:t>
      </w:r>
    </w:p>
    <w:p w:rsidR="00242887" w:rsidRDefault="00242887" w:rsidP="00242887">
      <w:pPr>
        <w:pStyle w:val="Styl4"/>
        <w:ind w:left="709"/>
        <w:jc w:val="both"/>
        <w:rPr>
          <w:b w:val="0"/>
        </w:rPr>
      </w:pPr>
      <w:r w:rsidRPr="00242887">
        <w:rPr>
          <w:b w:val="0"/>
        </w:rPr>
        <w:t>- daty, sposób, miejsce i liczbę pobranych próbek kontrolnych betonu oraz ich oznakowanie, a następnie terminy i wyniki badań,</w:t>
      </w:r>
    </w:p>
    <w:p w:rsidR="00242887" w:rsidRDefault="00242887" w:rsidP="00242887">
      <w:pPr>
        <w:pStyle w:val="Styl4"/>
        <w:ind w:left="709"/>
        <w:jc w:val="both"/>
        <w:rPr>
          <w:b w:val="0"/>
        </w:rPr>
      </w:pPr>
      <w:r w:rsidRPr="00242887">
        <w:rPr>
          <w:b w:val="0"/>
        </w:rPr>
        <w:t>- temperaturę zewnętrzną powietrza wilgotność i inne dane dotyczące warunków atmosferycznych.</w:t>
      </w:r>
    </w:p>
    <w:p w:rsidR="00242887" w:rsidRDefault="00242887" w:rsidP="00242887">
      <w:pPr>
        <w:pStyle w:val="Styl4"/>
        <w:ind w:left="709"/>
        <w:jc w:val="both"/>
        <w:rPr>
          <w:b w:val="0"/>
        </w:rPr>
      </w:pPr>
    </w:p>
    <w:p w:rsidR="00242887" w:rsidRDefault="00242887" w:rsidP="00242887">
      <w:pPr>
        <w:pStyle w:val="Styl4"/>
        <w:jc w:val="both"/>
        <w:rPr>
          <w:b w:val="0"/>
        </w:rPr>
      </w:pPr>
      <w:r w:rsidRPr="00242887">
        <w:rPr>
          <w:b w:val="0"/>
        </w:rPr>
        <w:t>Betonowanie podwodne należy wykonywać przy spełnieniu następujących wymagań:</w:t>
      </w:r>
    </w:p>
    <w:p w:rsidR="00242887" w:rsidRDefault="00E52B86" w:rsidP="00E52B86">
      <w:pPr>
        <w:pStyle w:val="Styl4"/>
        <w:ind w:left="709"/>
        <w:jc w:val="both"/>
        <w:rPr>
          <w:b w:val="0"/>
        </w:rPr>
      </w:pPr>
      <w:r w:rsidRPr="00E52B86">
        <w:rPr>
          <w:b w:val="0"/>
        </w:rPr>
        <w:t>- leje przenośne o średnicach od 0,15 m do 0,20 m poszerzone stożkowo w górnej części w celu łatwiejszego wprowadzania mieszanki betonowe lub odpowiednie leje nieruchome należy opuszczać do dna i w tym położeniu wypełniać mieszanką betonową, aby następna porcja mieszanki, która będzie wrzucana do leja nie przechodziła przez warstwę wody,</w:t>
      </w:r>
    </w:p>
    <w:p w:rsidR="00242887" w:rsidRDefault="00E52B86" w:rsidP="00242887">
      <w:pPr>
        <w:pStyle w:val="Styl4"/>
        <w:ind w:left="709"/>
        <w:jc w:val="both"/>
        <w:rPr>
          <w:b w:val="0"/>
        </w:rPr>
      </w:pPr>
      <w:r w:rsidRPr="00E52B86">
        <w:rPr>
          <w:b w:val="0"/>
        </w:rPr>
        <w:t>- stopniowemu podnoszeniu leja powinien towarzyszyć wypływ od dołu mieszanki betonowej,</w:t>
      </w:r>
    </w:p>
    <w:p w:rsidR="00242887" w:rsidRDefault="00E52B86" w:rsidP="00E52B86">
      <w:pPr>
        <w:pStyle w:val="Styl4"/>
        <w:ind w:left="709"/>
        <w:jc w:val="both"/>
        <w:rPr>
          <w:b w:val="0"/>
        </w:rPr>
      </w:pPr>
      <w:r w:rsidRPr="00E52B86">
        <w:rPr>
          <w:b w:val="0"/>
        </w:rPr>
        <w:t>- w przypadku większych wymiarów betonowanych elementów, należy mieszankę rozprowadzić równomiernie na spodniej obudowie przestrzeni, korzystając z ruchomego lub elastycznego rękawa,</w:t>
      </w:r>
    </w:p>
    <w:p w:rsidR="00242887" w:rsidRDefault="00E52B86" w:rsidP="00E52B86">
      <w:pPr>
        <w:pStyle w:val="Styl4"/>
        <w:ind w:left="709"/>
        <w:jc w:val="both"/>
        <w:rPr>
          <w:b w:val="0"/>
        </w:rPr>
      </w:pPr>
      <w:r w:rsidRPr="00E52B86">
        <w:rPr>
          <w:b w:val="0"/>
        </w:rPr>
        <w:t>- w przypadku mniejszych wymiarów elementu, np. w rurach, mieszanka wypływająca ze stacjonarnej rury powinna wypełniać całą przestrzeń, tworząc spłaszczony stożek.</w:t>
      </w:r>
    </w:p>
    <w:p w:rsidR="00E52B86" w:rsidRDefault="00E52B86" w:rsidP="00E52B86">
      <w:pPr>
        <w:pStyle w:val="Styl4"/>
        <w:ind w:left="709"/>
        <w:jc w:val="both"/>
        <w:rPr>
          <w:b w:val="0"/>
        </w:rPr>
      </w:pPr>
    </w:p>
    <w:p w:rsidR="00E52B86" w:rsidRDefault="00E52B86" w:rsidP="00E52B86">
      <w:pPr>
        <w:pStyle w:val="Styl4"/>
        <w:ind w:firstLine="709"/>
        <w:jc w:val="both"/>
        <w:rPr>
          <w:b w:val="0"/>
        </w:rPr>
      </w:pPr>
      <w:r w:rsidRPr="00E52B86">
        <w:rPr>
          <w:b w:val="0"/>
        </w:rPr>
        <w:t>Betonowanie elementów masywnych powinno być prowadzone, tak aby wyeliminować wpływ temperatury i skurczu. Mieszanka betonowa powinna być dostarczana na miejsce ułożenia w sposób ciągły, przy maksymalnym zmechanizowaniu jej transportu i układania</w:t>
      </w:r>
      <w:r>
        <w:t>.</w:t>
      </w:r>
    </w:p>
    <w:p w:rsidR="00E52B86" w:rsidRDefault="00E52B86" w:rsidP="00E52B86">
      <w:pPr>
        <w:pStyle w:val="Styl4"/>
        <w:ind w:firstLine="709"/>
        <w:jc w:val="both"/>
        <w:rPr>
          <w:b w:val="0"/>
        </w:rPr>
      </w:pPr>
      <w:r w:rsidRPr="00E52B86">
        <w:rPr>
          <w:b w:val="0"/>
        </w:rPr>
        <w:t>Mieszankę należy układać warstwami poziomymi o jednakowej grubości, dostosowanej do charakterystyki wibratorów przewidzianych do zagęszczania mieszanki. Każda warstwa powinna być układana bez przerwy i tylko w jedną stronę. Układanie mieszanki uskokami (schodkami) może być dopuszczone, jeżeli tego rodzaju przebieg betonowania został ustalony w projekcie technologicznym betonowania, a sam tryb układania określono szczegółowo. Górna powierzchnia poszczególnych warstw nie powinna być wygładzana (z wyjątkiem ostatniej warstwy wierzchniej).</w:t>
      </w:r>
    </w:p>
    <w:p w:rsidR="00E52B86" w:rsidRDefault="00E52B86" w:rsidP="00E52B86">
      <w:pPr>
        <w:pStyle w:val="Styl4"/>
        <w:ind w:firstLine="709"/>
        <w:jc w:val="both"/>
        <w:rPr>
          <w:b w:val="0"/>
        </w:rPr>
      </w:pPr>
      <w:r w:rsidRPr="00E52B86">
        <w:rPr>
          <w:b w:val="0"/>
        </w:rPr>
        <w:t>Harmonogram betonowania elementów masywnych obiektu oraz zasady pomiaru temperatury zabetonowanych części w trakcie dojrzewania powinny być podane w projekcie technologicznym betonowania, a w szczególności dotyczy to:</w:t>
      </w:r>
    </w:p>
    <w:p w:rsidR="00E52B86" w:rsidRDefault="00E52B86" w:rsidP="00E52B86">
      <w:pPr>
        <w:pStyle w:val="Styl4"/>
        <w:ind w:firstLine="709"/>
        <w:jc w:val="both"/>
        <w:rPr>
          <w:b w:val="0"/>
        </w:rPr>
      </w:pPr>
      <w:r w:rsidRPr="00E52B86">
        <w:rPr>
          <w:b w:val="0"/>
        </w:rPr>
        <w:t>- szybkości układania i zagęszczania mieszanki betonowej,</w:t>
      </w:r>
    </w:p>
    <w:p w:rsidR="00E52B86" w:rsidRDefault="00E52B86" w:rsidP="00E52B86">
      <w:pPr>
        <w:pStyle w:val="Styl4"/>
        <w:ind w:firstLine="709"/>
        <w:jc w:val="both"/>
        <w:rPr>
          <w:b w:val="0"/>
        </w:rPr>
      </w:pPr>
      <w:r>
        <w:t>-</w:t>
      </w:r>
      <w:r w:rsidRPr="00E52B86">
        <w:rPr>
          <w:b w:val="0"/>
        </w:rPr>
        <w:t xml:space="preserve"> kierunków betonowania,</w:t>
      </w:r>
    </w:p>
    <w:p w:rsidR="00E52B86" w:rsidRDefault="00E52B86" w:rsidP="00E52B86">
      <w:pPr>
        <w:pStyle w:val="Styl4"/>
        <w:ind w:firstLine="709"/>
        <w:jc w:val="both"/>
        <w:rPr>
          <w:b w:val="0"/>
        </w:rPr>
      </w:pPr>
      <w:r>
        <w:t xml:space="preserve">- </w:t>
      </w:r>
      <w:r w:rsidRPr="00E52B86">
        <w:rPr>
          <w:b w:val="0"/>
        </w:rPr>
        <w:t>poszczególnych faz betonowania i planowanych czasów ich realizacji,</w:t>
      </w:r>
    </w:p>
    <w:p w:rsidR="00E52B86" w:rsidRDefault="00E52B86" w:rsidP="00E52B86">
      <w:pPr>
        <w:pStyle w:val="Styl4"/>
        <w:ind w:firstLine="709"/>
        <w:jc w:val="both"/>
        <w:rPr>
          <w:b w:val="0"/>
        </w:rPr>
      </w:pPr>
      <w:r w:rsidRPr="00E52B86">
        <w:rPr>
          <w:b w:val="0"/>
        </w:rPr>
        <w:t>- metod ochrony betonu przed czynnikami atmosferycznymi,</w:t>
      </w:r>
    </w:p>
    <w:p w:rsidR="00E52B86" w:rsidRDefault="00E52B86" w:rsidP="00E52B86">
      <w:pPr>
        <w:pStyle w:val="Styl4"/>
        <w:ind w:left="709"/>
        <w:jc w:val="both"/>
        <w:rPr>
          <w:b w:val="0"/>
        </w:rPr>
      </w:pPr>
      <w:r w:rsidRPr="00E52B86">
        <w:rPr>
          <w:b w:val="0"/>
        </w:rPr>
        <w:t>- metod zapewnienia nieprzekroczenia maksymalnej dopuszczalnej temperatury oraz właściwego rozkładu temperatur w dojrzewającym elemencie</w:t>
      </w:r>
    </w:p>
    <w:p w:rsidR="00E52B86" w:rsidRDefault="00E52B86" w:rsidP="00E52B86">
      <w:pPr>
        <w:pStyle w:val="Styl4"/>
        <w:ind w:left="709"/>
        <w:jc w:val="both"/>
        <w:rPr>
          <w:b w:val="0"/>
        </w:rPr>
      </w:pPr>
    </w:p>
    <w:p w:rsidR="00E52B86" w:rsidRDefault="00E52B86" w:rsidP="00E52B86">
      <w:pPr>
        <w:pStyle w:val="Styl4"/>
        <w:ind w:firstLine="709"/>
        <w:jc w:val="both"/>
        <w:rPr>
          <w:b w:val="0"/>
        </w:rPr>
      </w:pPr>
      <w:r w:rsidRPr="00E52B86">
        <w:rPr>
          <w:b w:val="0"/>
        </w:rPr>
        <w:t>Wykonawca robót zobowiązany jest do opracowania i przedstawienia szczegółowej technologii betonowania, uwzględniającej posiadany sprzęt, doświadczenie oraz rzeczywiste warunki organizacyjno-logistyczne do zatwierdzenia przez</w:t>
      </w:r>
      <w:r w:rsidR="00D760B3" w:rsidRPr="00663F18">
        <w:rPr>
          <w:b w:val="0"/>
        </w:rPr>
        <w:t>przedstawiciela</w:t>
      </w:r>
      <w:r w:rsidR="007424F4">
        <w:rPr>
          <w:b w:val="0"/>
        </w:rPr>
        <w:t>Zamawiającego</w:t>
      </w:r>
      <w:r w:rsidRPr="00E52B86">
        <w:rPr>
          <w:b w:val="0"/>
        </w:rPr>
        <w:t>.</w:t>
      </w:r>
    </w:p>
    <w:p w:rsidR="00E52B86" w:rsidRDefault="00E52B86" w:rsidP="006E7156">
      <w:pPr>
        <w:pStyle w:val="Styl4"/>
        <w:ind w:firstLine="709"/>
        <w:jc w:val="both"/>
        <w:rPr>
          <w:b w:val="0"/>
        </w:rPr>
      </w:pPr>
    </w:p>
    <w:p w:rsidR="00733B15" w:rsidRDefault="00733B15" w:rsidP="00733B15">
      <w:pPr>
        <w:pStyle w:val="Styl4"/>
        <w:rPr>
          <w:b w:val="0"/>
        </w:rPr>
      </w:pPr>
      <w:r>
        <w:rPr>
          <w:b w:val="0"/>
        </w:rPr>
        <w:t>5.5.2.2. Zageszczenie mieszanki betonowej</w:t>
      </w:r>
    </w:p>
    <w:p w:rsidR="00733B15" w:rsidRDefault="00733B15" w:rsidP="006E7156">
      <w:pPr>
        <w:pStyle w:val="Styl4"/>
        <w:ind w:firstLine="709"/>
        <w:jc w:val="both"/>
        <w:rPr>
          <w:b w:val="0"/>
        </w:rPr>
      </w:pPr>
      <w:r w:rsidRPr="00733B15">
        <w:rPr>
          <w:b w:val="0"/>
        </w:rPr>
        <w:t>Mieszanka betonowa powinna być tak układana i zagęszczana, aby zbrojenie i wkładki były obetonowane, grubość otulenia miała wartość określoną w projekcie, a beton osiągał przewidywaną wytrzymałość. Mieszanka betonowa w czasie zagęszczania nie powinna ulegać rozsegregowaniu, a zawartość powietrza w mieszance betonowej po ułożeniu i zagęszczeniu nie powinna odbiegać od wartości dopuszczalnej</w:t>
      </w:r>
    </w:p>
    <w:p w:rsidR="00733B15" w:rsidRDefault="00733B15" w:rsidP="006E7156">
      <w:pPr>
        <w:pStyle w:val="Styl4"/>
        <w:ind w:firstLine="709"/>
        <w:jc w:val="both"/>
        <w:rPr>
          <w:b w:val="0"/>
        </w:rPr>
      </w:pPr>
      <w:r w:rsidRPr="00733B15">
        <w:rPr>
          <w:b w:val="0"/>
        </w:rPr>
        <w:t>Zakres i sposób skutecznego stosowania każdego typu wibratora, w tym: czas wibrowania na jednym stanowisku za pomocą wibratora pogrążalnego, szybkość przesuwu wibratorów powierzchniowych, skuteczny promień działania każdego typu wibratora, powinien zostać ustalony doświadczalnie w zależności od przekroju konstrukcji, mocy wibratorów, odległości ich ustawienia, charakterystyki mieszanki betonowej.</w:t>
      </w:r>
    </w:p>
    <w:p w:rsidR="00733B15" w:rsidRDefault="00733B15" w:rsidP="006E7156">
      <w:pPr>
        <w:pStyle w:val="Styl4"/>
        <w:ind w:firstLine="709"/>
        <w:jc w:val="both"/>
        <w:rPr>
          <w:b w:val="0"/>
        </w:rPr>
      </w:pPr>
      <w:r w:rsidRPr="00733B15">
        <w:rPr>
          <w:b w:val="0"/>
        </w:rPr>
        <w:t xml:space="preserve">Sposób zagęszczania mieszanki betonowej powinien być uzgodniony i zatwierdzony przez </w:t>
      </w:r>
      <w:r w:rsidR="00031F9F" w:rsidRPr="00663F18">
        <w:rPr>
          <w:b w:val="0"/>
        </w:rPr>
        <w:t>przedstawiciela</w:t>
      </w:r>
      <w:r w:rsidR="007424F4">
        <w:rPr>
          <w:b w:val="0"/>
        </w:rPr>
        <w:t>Zamawiającego</w:t>
      </w:r>
    </w:p>
    <w:p w:rsidR="00733B15" w:rsidRDefault="00733B15" w:rsidP="00733B15">
      <w:pPr>
        <w:pStyle w:val="Styl4"/>
        <w:jc w:val="both"/>
        <w:rPr>
          <w:b w:val="0"/>
        </w:rPr>
      </w:pPr>
      <w:r w:rsidRPr="00733B15">
        <w:rPr>
          <w:b w:val="0"/>
        </w:rPr>
        <w:t>Przy zagęszczaniu mieszanki betonowej należy stosować następujące warunki:</w:t>
      </w:r>
    </w:p>
    <w:p w:rsidR="00733B15" w:rsidRDefault="00733B15" w:rsidP="00733B15">
      <w:pPr>
        <w:pStyle w:val="Styl4"/>
        <w:ind w:left="709"/>
        <w:jc w:val="both"/>
        <w:rPr>
          <w:b w:val="0"/>
        </w:rPr>
      </w:pPr>
      <w:r w:rsidRPr="00733B15">
        <w:rPr>
          <w:b w:val="0"/>
        </w:rPr>
        <w:t>- wibratory wgłębne (pogrążalne) należy stosować o częstotliwości min. 6000 drgań na minutę z buławami o średnicy nie większej niż 0,65 odległości między prętami zbrojenia leżącymi w płaszczyźnie poziomej,</w:t>
      </w:r>
    </w:p>
    <w:p w:rsidR="00733B15" w:rsidRDefault="00733B15" w:rsidP="00733B15">
      <w:pPr>
        <w:pStyle w:val="Styl4"/>
        <w:ind w:left="709"/>
        <w:jc w:val="both"/>
        <w:rPr>
          <w:b w:val="0"/>
        </w:rPr>
      </w:pPr>
      <w:r w:rsidRPr="00733B15">
        <w:rPr>
          <w:b w:val="0"/>
        </w:rPr>
        <w:t>- niedopuszczalne jest opieranie buławy wibratora o pręty zbrojeniowe oraz deskowanie, odległość sąsiednich zagłębień wibratora pogrążalnego nie powinna być większa niż 1,5-krotny skuteczny promień działania wibratora,</w:t>
      </w:r>
    </w:p>
    <w:p w:rsidR="00733B15" w:rsidRDefault="00733B15" w:rsidP="00733B15">
      <w:pPr>
        <w:pStyle w:val="Styl4"/>
        <w:ind w:left="709"/>
        <w:jc w:val="both"/>
        <w:rPr>
          <w:b w:val="0"/>
        </w:rPr>
      </w:pPr>
      <w:r w:rsidRPr="00733B15">
        <w:rPr>
          <w:b w:val="0"/>
        </w:rPr>
        <w:t>- grubość warstwy zagęszczanej mieszanki betonowej nie powinna być większa od 1,25 długości buławy wibratora (roboczej jego części),</w:t>
      </w:r>
    </w:p>
    <w:p w:rsidR="00733B15" w:rsidRDefault="00733B15" w:rsidP="00733B15">
      <w:pPr>
        <w:pStyle w:val="Styl4"/>
        <w:ind w:left="709"/>
        <w:jc w:val="both"/>
        <w:rPr>
          <w:b w:val="0"/>
        </w:rPr>
      </w:pPr>
      <w:r w:rsidRPr="00733B15">
        <w:rPr>
          <w:b w:val="0"/>
        </w:rPr>
        <w:t>- wibrator w czasie pracy powinien być zagłębiony na 50 mm do 100 mm w dolną warstwę poprzednio ułożonej mieszanki,</w:t>
      </w:r>
    </w:p>
    <w:p w:rsidR="00733B15" w:rsidRDefault="00733B15" w:rsidP="00733B15">
      <w:pPr>
        <w:pStyle w:val="Styl4"/>
        <w:ind w:left="709"/>
        <w:jc w:val="both"/>
        <w:rPr>
          <w:b w:val="0"/>
        </w:rPr>
      </w:pPr>
      <w:r w:rsidRPr="00733B15">
        <w:rPr>
          <w:b w:val="0"/>
        </w:rPr>
        <w:t>- grubość płyt zagęszczanych wibratorami nie powinna być mniejsza niż 12 cm; płyty o mniejszej grubości należy zagęszczać za pomocą łat wibracyjnych,</w:t>
      </w:r>
    </w:p>
    <w:p w:rsidR="00733B15" w:rsidRDefault="00733B15" w:rsidP="00733B15">
      <w:pPr>
        <w:pStyle w:val="Styl4"/>
        <w:ind w:left="709"/>
        <w:jc w:val="both"/>
        <w:rPr>
          <w:b w:val="0"/>
        </w:rPr>
      </w:pPr>
      <w:r w:rsidRPr="00733B15">
        <w:rPr>
          <w:b w:val="0"/>
        </w:rPr>
        <w:t>- belki (łaty) wibracyjne powinny być stosowane do wyrównania powierzchni betonu płyt pomostów i charakteryzować się jednakowymi drganiami na całej długości,</w:t>
      </w:r>
    </w:p>
    <w:p w:rsidR="00733B15" w:rsidRDefault="00733B15" w:rsidP="00733B15">
      <w:pPr>
        <w:pStyle w:val="Styl4"/>
        <w:ind w:left="709"/>
        <w:jc w:val="both"/>
        <w:rPr>
          <w:b w:val="0"/>
        </w:rPr>
      </w:pPr>
      <w:r w:rsidRPr="00733B15">
        <w:rPr>
          <w:b w:val="0"/>
        </w:rPr>
        <w:t>- wibratory przyczepne mogą być stosowane do zagęszczania mieszanki betonowej w elementach nie grubszych niż 0,5 m przy jednostronnym dostępie oraz 2,0 m przy obustronnym, górny obszar elementów pionowych powinien być wtórnie zawibrowany.</w:t>
      </w:r>
    </w:p>
    <w:p w:rsidR="00733B15" w:rsidRDefault="00733B15" w:rsidP="006E7156">
      <w:pPr>
        <w:pStyle w:val="Styl4"/>
        <w:ind w:firstLine="709"/>
        <w:jc w:val="both"/>
        <w:rPr>
          <w:b w:val="0"/>
        </w:rPr>
      </w:pPr>
    </w:p>
    <w:p w:rsidR="00733B15" w:rsidRDefault="00733B15" w:rsidP="00733B15">
      <w:pPr>
        <w:pStyle w:val="Styl4"/>
        <w:ind w:firstLine="709"/>
        <w:jc w:val="both"/>
        <w:rPr>
          <w:b w:val="0"/>
        </w:rPr>
      </w:pPr>
      <w:r w:rsidRPr="00733B15">
        <w:rPr>
          <w:b w:val="0"/>
        </w:rPr>
        <w:t>Betonowanie elementów z betonu samozagęszczalnego SCC należy prowadzić w tempie umożliwiającym swobodne rozpływanie i podnoszenie się mieszanki w deskowaniu, z szybkością dostosowaną do parcia na deskowanie i umożliwiającą samoodpowietrzanie się mieszanki betonowej. Mieszanek betonowych samozagęszczalnych SCC nie należy zagęszczać mechanicznie.</w:t>
      </w:r>
    </w:p>
    <w:p w:rsidR="00733B15" w:rsidRDefault="00992AF7" w:rsidP="006E7156">
      <w:pPr>
        <w:pStyle w:val="Styl4"/>
        <w:ind w:firstLine="709"/>
        <w:jc w:val="both"/>
        <w:rPr>
          <w:b w:val="0"/>
        </w:rPr>
      </w:pPr>
      <w:r w:rsidRPr="00992AF7">
        <w:rPr>
          <w:b w:val="0"/>
        </w:rPr>
        <w:t>Zagęszczanie mieszanki betonowej w elementach masywnych obiektów powinno być dokonywane za pomocą wibratorów wgłębnych pojedynczych lub zespołu wibratorów na wspólnej ramie. Zagęszczanie mieszanki za pomocą wibratorów powierzchniowych dopuszcza się tylko dla warstwy wierzchniej.</w:t>
      </w:r>
    </w:p>
    <w:p w:rsidR="00733B15" w:rsidRDefault="00992AF7" w:rsidP="006E7156">
      <w:pPr>
        <w:pStyle w:val="Styl4"/>
        <w:ind w:firstLine="709"/>
        <w:jc w:val="both"/>
        <w:rPr>
          <w:b w:val="0"/>
        </w:rPr>
      </w:pPr>
      <w:r w:rsidRPr="00992AF7">
        <w:rPr>
          <w:b w:val="0"/>
        </w:rPr>
        <w:t>Okres pomiędzy wykonaniem jednej warstwy a rozpoczęciem następnej powinien być ustalony doświadczalnie w zależności od temperatury otoczenia, warunków atmosferycznych, właściwości cementu i innych przewidywanych czynników.</w:t>
      </w:r>
    </w:p>
    <w:p w:rsidR="00992AF7" w:rsidRDefault="00992AF7" w:rsidP="006E7156">
      <w:pPr>
        <w:pStyle w:val="Styl4"/>
        <w:ind w:firstLine="709"/>
        <w:jc w:val="both"/>
        <w:rPr>
          <w:b w:val="0"/>
        </w:rPr>
      </w:pPr>
    </w:p>
    <w:p w:rsidR="00992AF7" w:rsidRDefault="00992AF7" w:rsidP="00992AF7">
      <w:pPr>
        <w:pStyle w:val="Styl4"/>
        <w:rPr>
          <w:b w:val="0"/>
        </w:rPr>
      </w:pPr>
      <w:r>
        <w:rPr>
          <w:b w:val="0"/>
        </w:rPr>
        <w:t>5.5.2.3. Przerwy w betonowaniu</w:t>
      </w:r>
    </w:p>
    <w:p w:rsidR="00733B15" w:rsidRDefault="003403C3" w:rsidP="003403C3">
      <w:pPr>
        <w:pStyle w:val="Styl4"/>
        <w:ind w:firstLine="709"/>
        <w:jc w:val="both"/>
        <w:rPr>
          <w:b w:val="0"/>
        </w:rPr>
      </w:pPr>
      <w:r w:rsidRPr="003403C3">
        <w:rPr>
          <w:b w:val="0"/>
        </w:rPr>
        <w:t>Przerwy robocze w betonowaniu konstrukcji powinny się znajdować w miejscach przewidzianych w dokumentacji projektowej i uzgodnionych z</w:t>
      </w:r>
      <w:r w:rsidR="00031F9F">
        <w:rPr>
          <w:b w:val="0"/>
        </w:rPr>
        <w:t>przedstawicielem Zamawiającego</w:t>
      </w:r>
      <w:r w:rsidRPr="003403C3">
        <w:rPr>
          <w:b w:val="0"/>
        </w:rPr>
        <w:t>. Kąt nachylenia płaszczyzny styku mieszanki betonowej ułożonej powinien być zbliżony do 45°. W przypadku konstrukcji bardziej odpowiedzialnych ukształtowanie powierzchni betonu w przerwie roboczej należy uzgodnić z Projektantem.</w:t>
      </w:r>
    </w:p>
    <w:p w:rsidR="00733B15" w:rsidRDefault="003403C3" w:rsidP="006E7156">
      <w:pPr>
        <w:pStyle w:val="Styl4"/>
        <w:ind w:firstLine="709"/>
        <w:jc w:val="both"/>
        <w:rPr>
          <w:b w:val="0"/>
        </w:rPr>
      </w:pPr>
      <w:r w:rsidRPr="003403C3">
        <w:rPr>
          <w:b w:val="0"/>
        </w:rPr>
        <w:t>Dokładny czas rozpoczęcia nakładania kolejnej warstwy betonu powinien być ustalony w zależności od warunków atmosferycznych, właściwości cementu i innych czynników wpływających na jakość konstrukcji. Jeżeli temperatura powietrza jest wyższa niż +20°C, to czas trwania przerwy nie powinien przekraczać 2 godzin</w:t>
      </w:r>
    </w:p>
    <w:p w:rsidR="00733B15" w:rsidRDefault="003403C3" w:rsidP="006E7156">
      <w:pPr>
        <w:pStyle w:val="Styl4"/>
        <w:ind w:firstLine="709"/>
        <w:jc w:val="both"/>
        <w:rPr>
          <w:b w:val="0"/>
        </w:rPr>
      </w:pPr>
      <w:r w:rsidRPr="003403C3">
        <w:rPr>
          <w:b w:val="0"/>
        </w:rPr>
        <w:t>W przypadku wznowienia betonowania po dłuższej przerwie płaszczyznę styku należy starannie przygotować do późniejszego połączenia betonu stwardniałego z betonem świeżo nałożonym poprzez:</w:t>
      </w:r>
    </w:p>
    <w:p w:rsidR="00733B15" w:rsidRDefault="003403C3" w:rsidP="003403C3">
      <w:pPr>
        <w:pStyle w:val="Styl4"/>
        <w:ind w:left="709"/>
        <w:jc w:val="both"/>
        <w:rPr>
          <w:b w:val="0"/>
        </w:rPr>
      </w:pPr>
      <w:r w:rsidRPr="003403C3">
        <w:rPr>
          <w:b w:val="0"/>
        </w:rPr>
        <w:t>- usunięcie z powierzchni betonu stwardniałych luźnych okruchów betonu oraz warstwy pozostałego mleczka lub zaczynu cementowego,</w:t>
      </w:r>
    </w:p>
    <w:p w:rsidR="003403C3" w:rsidRDefault="003403C3" w:rsidP="003403C3">
      <w:pPr>
        <w:pStyle w:val="Styl4"/>
        <w:ind w:left="709"/>
        <w:jc w:val="both"/>
        <w:rPr>
          <w:b w:val="0"/>
        </w:rPr>
      </w:pPr>
      <w:r w:rsidRPr="003403C3">
        <w:rPr>
          <w:b w:val="0"/>
        </w:rPr>
        <w:t>- obfite zwilżenie wodą,</w:t>
      </w:r>
    </w:p>
    <w:p w:rsidR="003403C3" w:rsidRDefault="003403C3" w:rsidP="003403C3">
      <w:pPr>
        <w:pStyle w:val="Styl4"/>
        <w:ind w:left="709"/>
        <w:jc w:val="both"/>
        <w:rPr>
          <w:b w:val="0"/>
        </w:rPr>
      </w:pPr>
      <w:r w:rsidRPr="003403C3">
        <w:rPr>
          <w:b w:val="0"/>
        </w:rPr>
        <w:t>- zastosowanie warstwy sczepnej.</w:t>
      </w:r>
    </w:p>
    <w:p w:rsidR="003403C3" w:rsidRDefault="003403C3" w:rsidP="003403C3">
      <w:pPr>
        <w:pStyle w:val="Styl4"/>
        <w:ind w:left="709"/>
        <w:jc w:val="both"/>
        <w:rPr>
          <w:b w:val="0"/>
        </w:rPr>
      </w:pPr>
    </w:p>
    <w:p w:rsidR="00733B15" w:rsidRDefault="003403C3" w:rsidP="006E7156">
      <w:pPr>
        <w:pStyle w:val="Styl4"/>
        <w:ind w:firstLine="709"/>
        <w:jc w:val="both"/>
        <w:rPr>
          <w:b w:val="0"/>
        </w:rPr>
      </w:pPr>
      <w:r w:rsidRPr="003403C3">
        <w:rPr>
          <w:b w:val="0"/>
        </w:rPr>
        <w:t>Zabiegi te należy wykonać bezpośrednio przed rozpoczęciem betonowania. Po wznowieniu betonowania należy unikać dotykania wibratorem deskowania, zbrojenia i poprzednio ułożonego betonu.</w:t>
      </w:r>
    </w:p>
    <w:p w:rsidR="00733B15" w:rsidRPr="003E0804" w:rsidRDefault="00733B15" w:rsidP="006E7156">
      <w:pPr>
        <w:pStyle w:val="Styl4"/>
        <w:ind w:firstLine="709"/>
        <w:jc w:val="both"/>
        <w:rPr>
          <w:b w:val="0"/>
        </w:rPr>
      </w:pPr>
    </w:p>
    <w:p w:rsidR="0083050A" w:rsidRPr="003E0804" w:rsidRDefault="0083050A" w:rsidP="0083050A">
      <w:pPr>
        <w:pStyle w:val="Styl4"/>
        <w:jc w:val="both"/>
        <w:rPr>
          <w:b w:val="0"/>
        </w:rPr>
      </w:pPr>
      <w:r w:rsidRPr="003E0804">
        <w:rPr>
          <w:b w:val="0"/>
        </w:rPr>
        <w:t>5.5.3.  Warunki atmosferyczne przy układaniu, twardnieniu i dojrzewaniu betonu</w:t>
      </w:r>
    </w:p>
    <w:p w:rsidR="000B115F" w:rsidRDefault="000B115F" w:rsidP="000B115F">
      <w:pPr>
        <w:pStyle w:val="Styl4"/>
        <w:jc w:val="both"/>
        <w:rPr>
          <w:b w:val="0"/>
        </w:rPr>
      </w:pPr>
      <w:r>
        <w:rPr>
          <w:b w:val="0"/>
        </w:rPr>
        <w:t>5.5.3.1. Temperatura otoczenia</w:t>
      </w:r>
    </w:p>
    <w:p w:rsidR="0083050A" w:rsidRDefault="0083050A" w:rsidP="006E7156">
      <w:pPr>
        <w:pStyle w:val="Styl4"/>
        <w:ind w:firstLine="709"/>
        <w:jc w:val="both"/>
        <w:rPr>
          <w:b w:val="0"/>
        </w:rPr>
      </w:pPr>
      <w:r w:rsidRPr="0083050A">
        <w:rPr>
          <w:b w:val="0"/>
        </w:rPr>
        <w:t>Betonowanie konstrukcji należy wykonywać wyłącznie w temperaturze nie niższej niż + 5°C, zachowując warunki umożliwiające uzyskanie przez beton wytrzymałości co najmniej 15 MPa przed pierwszym zamarznięciem.</w:t>
      </w:r>
    </w:p>
    <w:p w:rsidR="0083050A" w:rsidRDefault="0083050A" w:rsidP="006E7156">
      <w:pPr>
        <w:pStyle w:val="Styl4"/>
        <w:ind w:firstLine="709"/>
        <w:jc w:val="both"/>
        <w:rPr>
          <w:b w:val="0"/>
        </w:rPr>
      </w:pPr>
      <w:r w:rsidRPr="0083050A">
        <w:rPr>
          <w:b w:val="0"/>
        </w:rPr>
        <w:t xml:space="preserve">W wyjątkowych przypadkach dopuszcza się betonowanie w temperaturze do -5°C, jednak wymaga to zgody </w:t>
      </w:r>
      <w:r w:rsidR="00031F9F" w:rsidRPr="00663F18">
        <w:rPr>
          <w:b w:val="0"/>
        </w:rPr>
        <w:t>przedstawiciela</w:t>
      </w:r>
      <w:r w:rsidR="007424F4">
        <w:rPr>
          <w:b w:val="0"/>
        </w:rPr>
        <w:t xml:space="preserve">Zamawiającego </w:t>
      </w:r>
      <w:r w:rsidRPr="0083050A">
        <w:rPr>
          <w:b w:val="0"/>
        </w:rPr>
        <w:t>oraz zapewnienia odpowiedniej temperatury mieszanki betonowej w chwili układania oraz zabezpieczenia uformowanego elementu przed utratą ciepła do uzyskania przez beton wytrzymałości 15 MPa. Przez ten okres temperatura mieszanki betonowej i ułożonego betonu w konstrukcji nie może być niższa niż +5°C</w:t>
      </w:r>
    </w:p>
    <w:p w:rsidR="0083050A" w:rsidRDefault="0083050A" w:rsidP="006E7156">
      <w:pPr>
        <w:pStyle w:val="Styl4"/>
        <w:ind w:firstLine="709"/>
        <w:jc w:val="both"/>
        <w:rPr>
          <w:b w:val="0"/>
        </w:rPr>
      </w:pPr>
      <w:r w:rsidRPr="0083050A">
        <w:rPr>
          <w:b w:val="0"/>
        </w:rPr>
        <w:t>Temperatura mieszanki betonowej w chwili opróżniania mieszalnika nie powinna być wyższa niż +35°C, a w momencie dostarczenia mieszanki betonowej jej temperatura nie powinna być niższa niż +5°C.</w:t>
      </w:r>
    </w:p>
    <w:p w:rsidR="003403C3" w:rsidRDefault="000B115F" w:rsidP="006E7156">
      <w:pPr>
        <w:pStyle w:val="Styl4"/>
        <w:ind w:firstLine="709"/>
        <w:jc w:val="both"/>
        <w:rPr>
          <w:b w:val="0"/>
        </w:rPr>
      </w:pPr>
      <w:r w:rsidRPr="000B115F">
        <w:rPr>
          <w:b w:val="0"/>
        </w:rPr>
        <w:t>Przy betonowaniu elementów masywnych należy przewidzieć wpływ warunków temperaturowych betonowania oraz temperatury wbudowywanej mieszanki betonowej tak, aby zapobiec przekroczeniu maksymalnej dopuszczanej temperatury dojrzewającego betonu wynoszącej +70°C oraz nie dopuścić do wystąpienia gradientu temperaturowego powyżej 25</w:t>
      </w:r>
      <w:r w:rsidRPr="0083050A">
        <w:rPr>
          <w:b w:val="0"/>
        </w:rPr>
        <w:t>°</w:t>
      </w:r>
      <w:r w:rsidRPr="000B115F">
        <w:rPr>
          <w:b w:val="0"/>
        </w:rPr>
        <w:t>C.</w:t>
      </w:r>
    </w:p>
    <w:p w:rsidR="003403C3" w:rsidRDefault="000B115F" w:rsidP="006E7156">
      <w:pPr>
        <w:pStyle w:val="Styl4"/>
        <w:ind w:firstLine="709"/>
        <w:jc w:val="both"/>
        <w:rPr>
          <w:b w:val="0"/>
        </w:rPr>
      </w:pPr>
      <w:r w:rsidRPr="000B115F">
        <w:rPr>
          <w:b w:val="0"/>
        </w:rPr>
        <w:t>W okresie obniżonej temperatury roboty betonowe powinny być prowadzone zgodnie z wymaganiami podanymi w Instrukcji ITB nr 282/2011 ze szczególnym uwzględnieniem minimalnej temperatury mieszanki w czasie jej układania oraz sposobu zabezpieczenia świeżo ułożonego betonu przed działaniem niskiej temperatury.</w:t>
      </w:r>
    </w:p>
    <w:p w:rsidR="000B115F" w:rsidRDefault="000B115F" w:rsidP="006E7156">
      <w:pPr>
        <w:pStyle w:val="Styl4"/>
        <w:ind w:firstLine="709"/>
        <w:jc w:val="both"/>
        <w:rPr>
          <w:b w:val="0"/>
        </w:rPr>
      </w:pPr>
      <w:r w:rsidRPr="000B115F">
        <w:rPr>
          <w:b w:val="0"/>
        </w:rPr>
        <w:t>Przed przystąpieniem do betonowania należy przygotować sposób postępowania na wypadek wystąpienia ulewnego deszczu. Konieczne jest przygotowanie odpowiedniej ilości osłon wodoszczelnych dla zabezpieczenia odkrytych powierzchni świeżego betonu. Niedopuszczalne jest betonowanie w czasie deszczu bez stosowania odpowiednich zabezpieczeń</w:t>
      </w:r>
    </w:p>
    <w:p w:rsidR="003403C3" w:rsidRDefault="003403C3" w:rsidP="006E7156">
      <w:pPr>
        <w:pStyle w:val="Styl4"/>
        <w:ind w:firstLine="709"/>
        <w:jc w:val="both"/>
        <w:rPr>
          <w:b w:val="0"/>
        </w:rPr>
      </w:pPr>
    </w:p>
    <w:p w:rsidR="000B115F" w:rsidRDefault="000B115F" w:rsidP="006E7156">
      <w:pPr>
        <w:pStyle w:val="Styl4"/>
        <w:ind w:firstLine="709"/>
        <w:jc w:val="both"/>
        <w:rPr>
          <w:b w:val="0"/>
        </w:rPr>
      </w:pPr>
    </w:p>
    <w:p w:rsidR="000B115F" w:rsidRDefault="000B115F" w:rsidP="006E7156">
      <w:pPr>
        <w:pStyle w:val="Styl4"/>
        <w:ind w:firstLine="709"/>
        <w:jc w:val="both"/>
        <w:rPr>
          <w:b w:val="0"/>
        </w:rPr>
      </w:pPr>
    </w:p>
    <w:p w:rsidR="000B115F" w:rsidRDefault="000B115F" w:rsidP="000B115F">
      <w:pPr>
        <w:pStyle w:val="Styl4"/>
        <w:jc w:val="both"/>
        <w:rPr>
          <w:b w:val="0"/>
        </w:rPr>
      </w:pPr>
      <w:r>
        <w:rPr>
          <w:b w:val="0"/>
        </w:rPr>
        <w:t>5.5.3.1. Pielęgnacja betonu</w:t>
      </w:r>
    </w:p>
    <w:p w:rsidR="000B115F" w:rsidRDefault="000B115F" w:rsidP="000B115F">
      <w:pPr>
        <w:pStyle w:val="Styl4"/>
        <w:ind w:firstLine="709"/>
        <w:jc w:val="both"/>
        <w:rPr>
          <w:b w:val="0"/>
        </w:rPr>
      </w:pPr>
      <w:r w:rsidRPr="000B115F">
        <w:rPr>
          <w:b w:val="0"/>
        </w:rPr>
        <w:t>Pielęgnację betonu należy rozpocząć bezpośrednio po zakończeniu zagęszczania i wykańczania powierzchni, zachowując minimalne okresy pielęgnacji podane w PN-EN 13670.</w:t>
      </w:r>
    </w:p>
    <w:p w:rsidR="000B115F" w:rsidRDefault="000B115F" w:rsidP="000B115F">
      <w:pPr>
        <w:pStyle w:val="Styl4"/>
        <w:jc w:val="both"/>
        <w:rPr>
          <w:b w:val="0"/>
        </w:rPr>
      </w:pPr>
    </w:p>
    <w:p w:rsidR="000B115F" w:rsidRDefault="000B115F" w:rsidP="000B115F">
      <w:pPr>
        <w:pStyle w:val="Styl4"/>
        <w:ind w:firstLine="709"/>
        <w:jc w:val="both"/>
        <w:rPr>
          <w:b w:val="0"/>
        </w:rPr>
      </w:pPr>
      <w:r w:rsidRPr="000B115F">
        <w:rPr>
          <w:b w:val="0"/>
        </w:rPr>
        <w:t>Okres pielęgnacji betonu dobiera się w zależności od wymaganego rozwoju właściwości betonu definiowanego za pomocą czasu pielęgnacji lub przyrostem wymaganej wytrzymałości betonu na ściskanie po 28 dniach dojrzewania (Tabela 12). Dodatkowe wymagania w zakresie czasu trwania pielęgnacji, np. wyższe niż uzyskanie 70% wytrzymałości charakterystyczn</w:t>
      </w:r>
      <w:r>
        <w:rPr>
          <w:b w:val="0"/>
        </w:rPr>
        <w:t>ej, mogą być określone ST</w:t>
      </w:r>
      <w:r w:rsidRPr="000B115F">
        <w:rPr>
          <w:b w:val="0"/>
        </w:rPr>
        <w:t>.</w:t>
      </w:r>
    </w:p>
    <w:p w:rsidR="000B115F" w:rsidRDefault="000B115F" w:rsidP="000B115F">
      <w:pPr>
        <w:pStyle w:val="Styl4"/>
        <w:jc w:val="both"/>
        <w:rPr>
          <w:b w:val="0"/>
        </w:rPr>
      </w:pPr>
    </w:p>
    <w:p w:rsidR="000B115F" w:rsidRDefault="000B115F" w:rsidP="000B115F">
      <w:pPr>
        <w:pStyle w:val="Styl4"/>
        <w:ind w:firstLine="709"/>
        <w:jc w:val="center"/>
        <w:rPr>
          <w:b w:val="0"/>
        </w:rPr>
      </w:pPr>
      <w:r w:rsidRPr="000B115F">
        <w:rPr>
          <w:b w:val="0"/>
        </w:rPr>
        <w:t>Tabela 12. Klasy pielęgnacji według PN-EN 13670</w:t>
      </w:r>
    </w:p>
    <w:p w:rsidR="000B115F" w:rsidRDefault="000B115F" w:rsidP="006E7156">
      <w:pPr>
        <w:pStyle w:val="Styl4"/>
        <w:ind w:firstLine="709"/>
        <w:jc w:val="both"/>
        <w:rPr>
          <w:b w:val="0"/>
        </w:rPr>
      </w:pPr>
    </w:p>
    <w:p w:rsidR="000B115F" w:rsidRDefault="000B115F" w:rsidP="000B115F">
      <w:pPr>
        <w:pStyle w:val="Styl4"/>
        <w:jc w:val="center"/>
        <w:rPr>
          <w:b w:val="0"/>
        </w:rPr>
      </w:pPr>
      <w:r>
        <w:rPr>
          <w:b w:val="0"/>
          <w:noProof/>
        </w:rPr>
        <w:drawing>
          <wp:inline distT="0" distB="0" distL="0" distR="0">
            <wp:extent cx="5233035" cy="1530350"/>
            <wp:effectExtent l="0" t="0" r="5715"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33035" cy="1530350"/>
                    </a:xfrm>
                    <a:prstGeom prst="rect">
                      <a:avLst/>
                    </a:prstGeom>
                    <a:noFill/>
                    <a:ln>
                      <a:noFill/>
                    </a:ln>
                  </pic:spPr>
                </pic:pic>
              </a:graphicData>
            </a:graphic>
          </wp:inline>
        </w:drawing>
      </w:r>
    </w:p>
    <w:p w:rsidR="003403C3" w:rsidRDefault="003403C3" w:rsidP="008A132D">
      <w:pPr>
        <w:pStyle w:val="Styl4"/>
        <w:jc w:val="both"/>
        <w:rPr>
          <w:b w:val="0"/>
        </w:rPr>
      </w:pPr>
    </w:p>
    <w:p w:rsidR="000B115F" w:rsidRDefault="008A132D" w:rsidP="006E7156">
      <w:pPr>
        <w:pStyle w:val="Styl4"/>
        <w:ind w:firstLine="709"/>
        <w:jc w:val="both"/>
        <w:rPr>
          <w:b w:val="0"/>
        </w:rPr>
      </w:pPr>
      <w:r w:rsidRPr="008A132D">
        <w:rPr>
          <w:b w:val="0"/>
        </w:rPr>
        <w:t>Zaleca się stosowanie co najmniej klasy pielęgnacji „3”. Czas pielęgnacji betonu powinien być uzależniony od warunków atmosferycznych, szybkości narastania wytrzymałości betonu oraz rodzaju zastosowanego cementu – wymagania zestawiono w Tabelach 13 i 14, odpowiednio dla 3 i 4 klasy pielęgnacji. Sposób pielęgnacji betonu powinien być ustalony w projekcie technologicznym betonowania.</w:t>
      </w:r>
    </w:p>
    <w:p w:rsidR="000B115F" w:rsidRDefault="000B115F" w:rsidP="006E7156">
      <w:pPr>
        <w:pStyle w:val="Styl4"/>
        <w:ind w:firstLine="709"/>
        <w:jc w:val="both"/>
        <w:rPr>
          <w:b w:val="0"/>
        </w:rPr>
      </w:pPr>
    </w:p>
    <w:p w:rsidR="000B115F" w:rsidRDefault="008A132D" w:rsidP="008A132D">
      <w:pPr>
        <w:pStyle w:val="Styl4"/>
        <w:jc w:val="center"/>
        <w:rPr>
          <w:b w:val="0"/>
        </w:rPr>
      </w:pPr>
      <w:r w:rsidRPr="008A132D">
        <w:rPr>
          <w:b w:val="0"/>
        </w:rPr>
        <w:t>Tabela 13. Minimalny okres pielęgnacji dla 3. klasy pielęgnacji (odpowiadający wytrzymałości powierzchni wynoszącej 50% wytrzymałości charakterystycznej)</w:t>
      </w:r>
    </w:p>
    <w:p w:rsidR="000B115F" w:rsidRDefault="000B115F" w:rsidP="006E7156">
      <w:pPr>
        <w:pStyle w:val="Styl4"/>
        <w:ind w:firstLine="709"/>
        <w:jc w:val="both"/>
        <w:rPr>
          <w:b w:val="0"/>
        </w:rPr>
      </w:pPr>
    </w:p>
    <w:p w:rsidR="000B115F" w:rsidRDefault="008A132D" w:rsidP="008A132D">
      <w:pPr>
        <w:pStyle w:val="Styl4"/>
        <w:ind w:firstLine="709"/>
        <w:jc w:val="center"/>
        <w:rPr>
          <w:b w:val="0"/>
        </w:rPr>
      </w:pPr>
      <w:r>
        <w:rPr>
          <w:b w:val="0"/>
          <w:noProof/>
        </w:rPr>
        <w:drawing>
          <wp:inline distT="0" distB="0" distL="0" distR="0">
            <wp:extent cx="5160645" cy="2761615"/>
            <wp:effectExtent l="0" t="0" r="1905" b="635"/>
            <wp:docPr id="45" name="Obraz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160645" cy="2761615"/>
                    </a:xfrm>
                    <a:prstGeom prst="rect">
                      <a:avLst/>
                    </a:prstGeom>
                    <a:noFill/>
                    <a:ln>
                      <a:noFill/>
                    </a:ln>
                  </pic:spPr>
                </pic:pic>
              </a:graphicData>
            </a:graphic>
          </wp:inline>
        </w:drawing>
      </w:r>
    </w:p>
    <w:p w:rsidR="000B115F" w:rsidRDefault="000B115F" w:rsidP="006E7156">
      <w:pPr>
        <w:pStyle w:val="Styl4"/>
        <w:ind w:firstLine="709"/>
        <w:jc w:val="both"/>
        <w:rPr>
          <w:b w:val="0"/>
        </w:rPr>
      </w:pPr>
    </w:p>
    <w:p w:rsidR="008A132D" w:rsidRDefault="008A132D" w:rsidP="006E7156">
      <w:pPr>
        <w:pStyle w:val="Styl4"/>
        <w:ind w:firstLine="709"/>
        <w:jc w:val="both"/>
        <w:rPr>
          <w:b w:val="0"/>
        </w:rPr>
      </w:pPr>
    </w:p>
    <w:p w:rsidR="008A132D" w:rsidRDefault="008A132D" w:rsidP="006E7156">
      <w:pPr>
        <w:pStyle w:val="Styl4"/>
        <w:ind w:firstLine="709"/>
        <w:jc w:val="both"/>
        <w:rPr>
          <w:b w:val="0"/>
        </w:rPr>
      </w:pPr>
    </w:p>
    <w:p w:rsidR="008A132D" w:rsidRDefault="008A132D" w:rsidP="006E7156">
      <w:pPr>
        <w:pStyle w:val="Styl4"/>
        <w:ind w:firstLine="709"/>
        <w:jc w:val="both"/>
        <w:rPr>
          <w:b w:val="0"/>
        </w:rPr>
      </w:pPr>
    </w:p>
    <w:p w:rsidR="008A132D" w:rsidRDefault="008A132D" w:rsidP="006E7156">
      <w:pPr>
        <w:pStyle w:val="Styl4"/>
        <w:ind w:firstLine="709"/>
        <w:jc w:val="both"/>
        <w:rPr>
          <w:b w:val="0"/>
        </w:rPr>
      </w:pPr>
    </w:p>
    <w:p w:rsidR="008A132D" w:rsidRDefault="008A132D" w:rsidP="006E7156">
      <w:pPr>
        <w:pStyle w:val="Styl4"/>
        <w:ind w:firstLine="709"/>
        <w:jc w:val="both"/>
        <w:rPr>
          <w:b w:val="0"/>
        </w:rPr>
      </w:pPr>
    </w:p>
    <w:p w:rsidR="008A132D" w:rsidRDefault="008A132D" w:rsidP="006E7156">
      <w:pPr>
        <w:pStyle w:val="Styl4"/>
        <w:ind w:firstLine="709"/>
        <w:jc w:val="both"/>
        <w:rPr>
          <w:b w:val="0"/>
        </w:rPr>
      </w:pPr>
    </w:p>
    <w:p w:rsidR="008A132D" w:rsidRDefault="008A132D" w:rsidP="006E7156">
      <w:pPr>
        <w:pStyle w:val="Styl4"/>
        <w:ind w:firstLine="709"/>
        <w:jc w:val="both"/>
        <w:rPr>
          <w:b w:val="0"/>
        </w:rPr>
      </w:pPr>
    </w:p>
    <w:p w:rsidR="008A132D" w:rsidRDefault="008A132D" w:rsidP="006E7156">
      <w:pPr>
        <w:pStyle w:val="Styl4"/>
        <w:ind w:firstLine="709"/>
        <w:jc w:val="both"/>
        <w:rPr>
          <w:b w:val="0"/>
        </w:rPr>
      </w:pPr>
    </w:p>
    <w:p w:rsidR="008A132D" w:rsidRDefault="008A132D" w:rsidP="006E7156">
      <w:pPr>
        <w:pStyle w:val="Styl4"/>
        <w:ind w:firstLine="709"/>
        <w:jc w:val="both"/>
        <w:rPr>
          <w:b w:val="0"/>
        </w:rPr>
      </w:pPr>
    </w:p>
    <w:p w:rsidR="008A132D" w:rsidRDefault="008A132D" w:rsidP="006E7156">
      <w:pPr>
        <w:pStyle w:val="Styl4"/>
        <w:ind w:firstLine="709"/>
        <w:jc w:val="both"/>
        <w:rPr>
          <w:b w:val="0"/>
        </w:rPr>
      </w:pPr>
    </w:p>
    <w:p w:rsidR="000B115F" w:rsidRDefault="008A132D" w:rsidP="008A132D">
      <w:pPr>
        <w:pStyle w:val="Styl4"/>
        <w:jc w:val="center"/>
        <w:rPr>
          <w:b w:val="0"/>
        </w:rPr>
      </w:pPr>
      <w:r w:rsidRPr="008A132D">
        <w:rPr>
          <w:b w:val="0"/>
        </w:rPr>
        <w:t>Tabela 14. Minimalny okres pielęgnacji dla 4. klasy pielęgnacji (odpowiadający wytrzymałości powierzchni wynoszącej 70% wytrzymałości charakterystycznej)</w:t>
      </w:r>
    </w:p>
    <w:p w:rsidR="000B115F" w:rsidRDefault="000B115F" w:rsidP="006E7156">
      <w:pPr>
        <w:pStyle w:val="Styl4"/>
        <w:ind w:firstLine="709"/>
        <w:jc w:val="both"/>
        <w:rPr>
          <w:b w:val="0"/>
        </w:rPr>
      </w:pPr>
    </w:p>
    <w:p w:rsidR="000B115F" w:rsidRDefault="008A132D" w:rsidP="008A132D">
      <w:pPr>
        <w:pStyle w:val="Styl4"/>
        <w:ind w:firstLine="709"/>
        <w:jc w:val="center"/>
        <w:rPr>
          <w:b w:val="0"/>
        </w:rPr>
      </w:pPr>
      <w:r>
        <w:rPr>
          <w:b w:val="0"/>
          <w:noProof/>
        </w:rPr>
        <w:drawing>
          <wp:inline distT="0" distB="0" distL="0" distR="0">
            <wp:extent cx="5151120" cy="2661920"/>
            <wp:effectExtent l="0" t="0" r="0" b="5080"/>
            <wp:docPr id="63" name="Obraz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151120" cy="2661920"/>
                    </a:xfrm>
                    <a:prstGeom prst="rect">
                      <a:avLst/>
                    </a:prstGeom>
                    <a:noFill/>
                    <a:ln>
                      <a:noFill/>
                    </a:ln>
                  </pic:spPr>
                </pic:pic>
              </a:graphicData>
            </a:graphic>
          </wp:inline>
        </w:drawing>
      </w:r>
    </w:p>
    <w:p w:rsidR="000B115F" w:rsidRDefault="000B115F" w:rsidP="006E7156">
      <w:pPr>
        <w:pStyle w:val="Styl4"/>
        <w:ind w:firstLine="709"/>
        <w:jc w:val="both"/>
        <w:rPr>
          <w:b w:val="0"/>
        </w:rPr>
      </w:pPr>
    </w:p>
    <w:p w:rsidR="000B115F" w:rsidRDefault="008A132D" w:rsidP="008A132D">
      <w:pPr>
        <w:pStyle w:val="Styl4"/>
        <w:jc w:val="both"/>
        <w:rPr>
          <w:b w:val="0"/>
        </w:rPr>
      </w:pPr>
      <w:r w:rsidRPr="008A132D">
        <w:rPr>
          <w:b w:val="0"/>
        </w:rPr>
        <w:t>W okresie pielęgnacji betonu należy:</w:t>
      </w:r>
    </w:p>
    <w:p w:rsidR="000B115F" w:rsidRDefault="008A132D" w:rsidP="008A132D">
      <w:pPr>
        <w:pStyle w:val="Styl4"/>
        <w:ind w:left="709"/>
        <w:jc w:val="both"/>
        <w:rPr>
          <w:b w:val="0"/>
        </w:rPr>
      </w:pPr>
      <w:r w:rsidRPr="008A132D">
        <w:rPr>
          <w:b w:val="0"/>
        </w:rPr>
        <w:t>- chronić odsłonięte powierzchnie betonu przed szkodliwym działaniem warunków atmosferycznych, a szczególnie wiatru i promieni słonecznych (w okresie zimowym - mrozu), poprzez ich osłanianie i zwilżanie w sposób dostosowany do pory roku i miejscowych warunków klimatycznych,</w:t>
      </w:r>
    </w:p>
    <w:p w:rsidR="008A132D" w:rsidRDefault="008A132D" w:rsidP="008A132D">
      <w:pPr>
        <w:pStyle w:val="Styl4"/>
        <w:ind w:left="709"/>
        <w:jc w:val="both"/>
        <w:rPr>
          <w:b w:val="0"/>
        </w:rPr>
      </w:pPr>
      <w:r w:rsidRPr="008A132D">
        <w:rPr>
          <w:b w:val="0"/>
        </w:rPr>
        <w:t>- utrzymywać stałą wilgotność ułożonego betonu przez wymagany okres pielęgnacji zwłaszcza przy stosowaniu cementów portlandzkich wieloskładnikowych CEM II i cementów hutniczych CEM III,</w:t>
      </w:r>
    </w:p>
    <w:p w:rsidR="008A132D" w:rsidRDefault="008A132D" w:rsidP="008A132D">
      <w:pPr>
        <w:pStyle w:val="Styl4"/>
        <w:ind w:left="709"/>
        <w:jc w:val="both"/>
        <w:rPr>
          <w:b w:val="0"/>
        </w:rPr>
      </w:pPr>
      <w:r w:rsidRPr="008A132D">
        <w:rPr>
          <w:b w:val="0"/>
        </w:rPr>
        <w:t>- przystąpić do pielęgnacji bezzwłocznie po zagęszczeniu i wykończeniu powierzchni betonowanego elementu (w razie konieczności ochrony swobodnej powierzchni betonu przed powstaniem rys związanych ze skurczem plastycznym, przed wykończeniem powierzchni należy zastosować pielęgnację tymczasową)</w:t>
      </w:r>
    </w:p>
    <w:p w:rsidR="008A132D" w:rsidRDefault="008A132D" w:rsidP="008A132D">
      <w:pPr>
        <w:pStyle w:val="Styl4"/>
        <w:ind w:left="709"/>
        <w:jc w:val="both"/>
        <w:rPr>
          <w:b w:val="0"/>
        </w:rPr>
      </w:pPr>
    </w:p>
    <w:p w:rsidR="008A132D" w:rsidRDefault="008A132D" w:rsidP="008A132D">
      <w:pPr>
        <w:pStyle w:val="Styl4"/>
        <w:ind w:firstLine="709"/>
        <w:jc w:val="both"/>
        <w:rPr>
          <w:b w:val="0"/>
        </w:rPr>
      </w:pPr>
      <w:r w:rsidRPr="008A132D">
        <w:rPr>
          <w:b w:val="0"/>
        </w:rPr>
        <w:t>Pielęgnacja wilgotnościowa (zwilżanie wodą) oraz pielęgnacja termiczna w przypadku betonowych elementów masywnych powinna być prowadzona według specjalnych instrukcji.</w:t>
      </w:r>
    </w:p>
    <w:p w:rsidR="008A132D" w:rsidRDefault="008A132D" w:rsidP="006E7156">
      <w:pPr>
        <w:pStyle w:val="Styl4"/>
        <w:ind w:firstLine="709"/>
        <w:jc w:val="both"/>
        <w:rPr>
          <w:b w:val="0"/>
        </w:rPr>
      </w:pPr>
      <w:r w:rsidRPr="008A132D">
        <w:rPr>
          <w:b w:val="0"/>
        </w:rPr>
        <w:t>W przypadku zagrożenia wystąpienia gradientu temperatury w dojrzewającym elemencie powyżej 15°C/m, należy przewidzieć kontrolę procesu dojrzewania poprzez ciągły pomiar i rejestrację temperatury wewnątrz betonu.</w:t>
      </w:r>
    </w:p>
    <w:p w:rsidR="008A132D" w:rsidRDefault="008A132D" w:rsidP="008A132D">
      <w:pPr>
        <w:pStyle w:val="Styl4"/>
        <w:ind w:firstLine="709"/>
        <w:jc w:val="both"/>
        <w:rPr>
          <w:b w:val="0"/>
        </w:rPr>
      </w:pPr>
      <w:r w:rsidRPr="008A132D">
        <w:rPr>
          <w:b w:val="0"/>
        </w:rPr>
        <w:t>Stosowane do pielęgnacji środki błonotwórcze (powłokotwórcze), nanoszone na powierzchnie świeżo ułożonego betonu, powinny odpowiadać następującym wymaganiom:</w:t>
      </w:r>
    </w:p>
    <w:p w:rsidR="008A132D" w:rsidRDefault="008A132D" w:rsidP="008A132D">
      <w:pPr>
        <w:pStyle w:val="Styl4"/>
        <w:ind w:left="709"/>
        <w:jc w:val="both"/>
        <w:rPr>
          <w:b w:val="0"/>
        </w:rPr>
      </w:pPr>
      <w:r w:rsidRPr="008A132D">
        <w:rPr>
          <w:b w:val="0"/>
        </w:rPr>
        <w:t>- utworzenie się szczelnej powłoki powinno nastąpić nie później niż w 24 godziny od chwili aplikacji na powierzchni betonu</w:t>
      </w:r>
    </w:p>
    <w:p w:rsidR="008A132D" w:rsidRDefault="008A132D" w:rsidP="008A132D">
      <w:pPr>
        <w:pStyle w:val="Styl4"/>
        <w:ind w:left="709"/>
        <w:jc w:val="both"/>
        <w:rPr>
          <w:b w:val="0"/>
        </w:rPr>
      </w:pPr>
      <w:r w:rsidRPr="008A132D">
        <w:rPr>
          <w:b w:val="0"/>
        </w:rPr>
        <w:t>- powstała powłoka powinna być elastyczna i mieć dobrą przyczepność do betonu świeżego i stwardniałego oraz nie ulegać zmyciu pod wpływem deszczu</w:t>
      </w:r>
    </w:p>
    <w:p w:rsidR="008A132D" w:rsidRDefault="008A132D" w:rsidP="008A132D">
      <w:pPr>
        <w:pStyle w:val="Styl4"/>
        <w:ind w:left="709"/>
        <w:jc w:val="both"/>
        <w:rPr>
          <w:b w:val="0"/>
        </w:rPr>
      </w:pPr>
      <w:r w:rsidRPr="008A132D">
        <w:rPr>
          <w:b w:val="0"/>
        </w:rPr>
        <w:t>- środek błonotwórczy nie powinien przy nanoszeniu przenikać w świeży beton na głębokość większą niż 1 mm i nie powinien wywoływać korozji betonu oraz stali.</w:t>
      </w:r>
    </w:p>
    <w:p w:rsidR="008A132D" w:rsidRDefault="008A132D" w:rsidP="008A132D">
      <w:pPr>
        <w:pStyle w:val="Styl4"/>
        <w:ind w:left="709"/>
        <w:jc w:val="both"/>
        <w:rPr>
          <w:b w:val="0"/>
        </w:rPr>
      </w:pPr>
    </w:p>
    <w:p w:rsidR="000B115F" w:rsidRDefault="008A132D" w:rsidP="006E7156">
      <w:pPr>
        <w:pStyle w:val="Styl4"/>
        <w:ind w:firstLine="709"/>
        <w:jc w:val="both"/>
        <w:rPr>
          <w:b w:val="0"/>
        </w:rPr>
      </w:pPr>
      <w:r w:rsidRPr="008A132D">
        <w:rPr>
          <w:b w:val="0"/>
        </w:rPr>
        <w:t>Woda stosowana do pielęgnacji betonu powinna odpowiadać wymaganiom PN-EN 1008. Stosowanie do pielęgnacji betonu środków pielęgnacyjnych oraz systemów izolacji powinno być zgodne z wymaganiami odpowiednich norm zharmonizowanych lub Polskich Norm, europejskimi lub krajowymi ocenami technicznymi oraz zaleceniami producenta.</w:t>
      </w:r>
    </w:p>
    <w:p w:rsidR="008A132D" w:rsidRDefault="008A132D" w:rsidP="006E7156">
      <w:pPr>
        <w:pStyle w:val="Styl4"/>
        <w:ind w:firstLine="709"/>
        <w:jc w:val="both"/>
        <w:rPr>
          <w:b w:val="0"/>
        </w:rPr>
      </w:pPr>
      <w:r w:rsidRPr="008A132D">
        <w:rPr>
          <w:b w:val="0"/>
        </w:rPr>
        <w:t>W czasie dojrzewania betonu elementy powinny być chronione przed uderzeniami i drganiami przynajmniej do chwili uzyskania przez niego wytrzymałości na ściskanie co najmniej 15 MPa.</w:t>
      </w:r>
    </w:p>
    <w:p w:rsidR="008A132D" w:rsidRDefault="008A132D" w:rsidP="006E7156">
      <w:pPr>
        <w:pStyle w:val="Styl4"/>
        <w:ind w:firstLine="709"/>
        <w:jc w:val="both"/>
        <w:rPr>
          <w:b w:val="0"/>
        </w:rPr>
      </w:pPr>
    </w:p>
    <w:p w:rsidR="008A132D" w:rsidRDefault="008A132D" w:rsidP="008A132D">
      <w:pPr>
        <w:pStyle w:val="Styl4"/>
        <w:jc w:val="both"/>
        <w:rPr>
          <w:b w:val="0"/>
        </w:rPr>
      </w:pPr>
      <w:r w:rsidRPr="008A132D">
        <w:rPr>
          <w:b w:val="0"/>
        </w:rPr>
        <w:t>Do pielęgnacji betonu w obniżonej temperaturze można stosować jedną z poniższych metod:</w:t>
      </w:r>
    </w:p>
    <w:p w:rsidR="008A132D" w:rsidRDefault="008A132D" w:rsidP="008A132D">
      <w:pPr>
        <w:pStyle w:val="Styl4"/>
        <w:ind w:left="709"/>
        <w:jc w:val="both"/>
        <w:rPr>
          <w:b w:val="0"/>
        </w:rPr>
      </w:pPr>
      <w:r w:rsidRPr="008A132D">
        <w:rPr>
          <w:b w:val="0"/>
        </w:rPr>
        <w:t>- metodę zachowania ciepła betonu w konstrukcji (osłonięcie konstrukcji materiałami ciepłochronnymi zabezpieczającymi beton przed utratą ciepła); materiały ciepłochronne nie powinny dotykać betonu,</w:t>
      </w:r>
    </w:p>
    <w:p w:rsidR="008A132D" w:rsidRDefault="003E0804" w:rsidP="003E0804">
      <w:pPr>
        <w:pStyle w:val="Styl4"/>
        <w:ind w:left="709"/>
        <w:jc w:val="both"/>
        <w:rPr>
          <w:b w:val="0"/>
        </w:rPr>
      </w:pPr>
      <w:r w:rsidRPr="003E0804">
        <w:rPr>
          <w:b w:val="0"/>
        </w:rPr>
        <w:t>- podgrzewanie betonu w konstrukcji - podgrzewanie ciepłym powietrzem lub parą pod specjalnie przygotowanymi osłonami (w przypadku zastosowania tej metody należy zwrócić uwagę na niedopuszczenie do przesuszenia betonu), podgrzewanie matami grzejnymi, zastosowanie elektronagrzewu (w przypadku tej metody należy kontrolować szybkość nagrzewania i wychładzania elementu oraz temperaturę powierzchni betonu)</w:t>
      </w:r>
    </w:p>
    <w:p w:rsidR="000B115F" w:rsidRDefault="003E0804" w:rsidP="003E0804">
      <w:pPr>
        <w:pStyle w:val="Styl4"/>
        <w:ind w:left="709"/>
        <w:jc w:val="both"/>
        <w:rPr>
          <w:b w:val="0"/>
        </w:rPr>
      </w:pPr>
      <w:r w:rsidRPr="003E0804">
        <w:rPr>
          <w:b w:val="0"/>
        </w:rPr>
        <w:t>- metodę cieplaków, czyli wykonywanie konstrukcji w tunelach stałych lub przesuwnych, w których zapewnione są odpowiednie warunki temperaturowe i wilgotnościowe (w przypadku tej metody istotne jest utrzymanie zbliżonych warunków we wszystkich punktach pielęgnowanego elementu).</w:t>
      </w:r>
    </w:p>
    <w:p w:rsidR="000B115F" w:rsidRDefault="000B115F" w:rsidP="006E7156">
      <w:pPr>
        <w:pStyle w:val="Styl4"/>
        <w:ind w:firstLine="709"/>
        <w:jc w:val="both"/>
        <w:rPr>
          <w:b w:val="0"/>
        </w:rPr>
      </w:pPr>
    </w:p>
    <w:p w:rsidR="003E0804" w:rsidRDefault="003E0804" w:rsidP="003E0804">
      <w:pPr>
        <w:pStyle w:val="Styl4"/>
        <w:jc w:val="both"/>
        <w:rPr>
          <w:b w:val="0"/>
        </w:rPr>
      </w:pPr>
      <w:r>
        <w:rPr>
          <w:b w:val="0"/>
        </w:rPr>
        <w:t>5.5.4. Rozbiórka deskowania i rusztowań</w:t>
      </w:r>
    </w:p>
    <w:p w:rsidR="003E0804" w:rsidRPr="006E7156" w:rsidRDefault="003E0804" w:rsidP="003E0804">
      <w:pPr>
        <w:pStyle w:val="Styl4"/>
        <w:ind w:firstLine="709"/>
        <w:jc w:val="both"/>
        <w:rPr>
          <w:b w:val="0"/>
        </w:rPr>
      </w:pPr>
      <w:r w:rsidRPr="003E0804">
        <w:rPr>
          <w:b w:val="0"/>
        </w:rPr>
        <w:t xml:space="preserve">Rozdeskowanie konstrukcji może nastąpić po osiągnięciu przez beton wytrzymałości niezbędnej do bezpiecznego demontażu deskowania, określonej w dokumentacji projektowej. </w:t>
      </w:r>
    </w:p>
    <w:p w:rsidR="000B115F" w:rsidRDefault="003E0804" w:rsidP="006E7156">
      <w:pPr>
        <w:pStyle w:val="Styl4"/>
        <w:ind w:firstLine="709"/>
        <w:jc w:val="both"/>
        <w:rPr>
          <w:b w:val="0"/>
        </w:rPr>
      </w:pPr>
      <w:r w:rsidRPr="003E0804">
        <w:rPr>
          <w:b w:val="0"/>
        </w:rPr>
        <w:t>Stwierdzenie osiągnięcia przez beton odpowiedniej wytrzymałości powinno zostać dokonane na podstawie badań laboratoryjnych próbek pobranych w chwili betonowania danego elementu konstrukcji (obiektu). Dopuszczalne jest zastosowanie aparatury pomiarowej do określania dojrzałości betonu, po wcześniejszym jej wyskalowaniu dla stosowanej w projekcie receptury betonu</w:t>
      </w:r>
    </w:p>
    <w:p w:rsidR="003E0804" w:rsidRDefault="003E0804" w:rsidP="006E7156">
      <w:pPr>
        <w:pStyle w:val="Styl4"/>
        <w:ind w:firstLine="709"/>
        <w:jc w:val="both"/>
        <w:rPr>
          <w:b w:val="0"/>
        </w:rPr>
      </w:pPr>
      <w:r w:rsidRPr="003E0804">
        <w:rPr>
          <w:b w:val="0"/>
        </w:rPr>
        <w:t>Demontażu rusztowania należy dokonać po przeprowadzeniu wizualnej kontroli powierzchni elementów i po ewentualnym wykończeniu powierzchni elementów</w:t>
      </w:r>
    </w:p>
    <w:p w:rsidR="003E0804" w:rsidRDefault="003E0804" w:rsidP="006E7156">
      <w:pPr>
        <w:pStyle w:val="Styl4"/>
        <w:ind w:firstLine="709"/>
        <w:jc w:val="both"/>
        <w:rPr>
          <w:b w:val="0"/>
        </w:rPr>
      </w:pPr>
    </w:p>
    <w:p w:rsidR="006F5D6D" w:rsidRPr="006F5D6D" w:rsidRDefault="00904A20" w:rsidP="006F5D6D">
      <w:pPr>
        <w:pStyle w:val="Styl4"/>
        <w:jc w:val="both"/>
      </w:pPr>
      <w:r>
        <w:t xml:space="preserve">5.6 </w:t>
      </w:r>
      <w:r w:rsidR="006F5D6D" w:rsidRPr="006F5D6D">
        <w:t xml:space="preserve">.Wykończenie powierzchni betonu </w:t>
      </w:r>
    </w:p>
    <w:p w:rsidR="006F5D6D" w:rsidRPr="006F5D6D" w:rsidRDefault="006F5D6D" w:rsidP="00904A20">
      <w:pPr>
        <w:pStyle w:val="Styl4"/>
        <w:jc w:val="both"/>
        <w:rPr>
          <w:b w:val="0"/>
        </w:rPr>
      </w:pPr>
      <w:r w:rsidRPr="006F5D6D">
        <w:rPr>
          <w:b w:val="0"/>
        </w:rPr>
        <w:t xml:space="preserve">Dla widocznych powierzchni betonowych obowiązują następujące wymagania: </w:t>
      </w:r>
    </w:p>
    <w:p w:rsidR="006F5D6D" w:rsidRPr="006F5D6D" w:rsidRDefault="006F5D6D" w:rsidP="00904A20">
      <w:pPr>
        <w:pStyle w:val="Styl4"/>
        <w:jc w:val="both"/>
        <w:rPr>
          <w:b w:val="0"/>
        </w:rPr>
      </w:pPr>
      <w:r w:rsidRPr="006F5D6D">
        <w:rPr>
          <w:b w:val="0"/>
        </w:rPr>
        <w:t xml:space="preserve">   wszystkie  betonowe  powierzchnie  muszą  być  gładkie  i  równe,  bez  zagłębień,  wybrzuszeń  ponad </w:t>
      </w:r>
    </w:p>
    <w:p w:rsidR="006F5D6D" w:rsidRPr="006F5D6D" w:rsidRDefault="006F5D6D" w:rsidP="00904A20">
      <w:pPr>
        <w:pStyle w:val="Styl4"/>
        <w:jc w:val="both"/>
        <w:rPr>
          <w:b w:val="0"/>
        </w:rPr>
      </w:pPr>
      <w:r w:rsidRPr="006F5D6D">
        <w:rPr>
          <w:b w:val="0"/>
        </w:rPr>
        <w:t xml:space="preserve">powierzchnię, </w:t>
      </w:r>
    </w:p>
    <w:p w:rsidR="006F5D6D" w:rsidRPr="006F5D6D" w:rsidRDefault="006F5D6D" w:rsidP="00904A20">
      <w:pPr>
        <w:pStyle w:val="Styl4"/>
        <w:jc w:val="both"/>
        <w:rPr>
          <w:b w:val="0"/>
        </w:rPr>
      </w:pPr>
      <w:r w:rsidRPr="006F5D6D">
        <w:rPr>
          <w:b w:val="0"/>
        </w:rPr>
        <w:t xml:space="preserve">   pęknięcia i rysy są niedopuszczalne, </w:t>
      </w:r>
    </w:p>
    <w:p w:rsidR="006F5D6D" w:rsidRPr="006F5D6D" w:rsidRDefault="006F5D6D" w:rsidP="00904A20">
      <w:pPr>
        <w:pStyle w:val="Styl4"/>
        <w:jc w:val="both"/>
        <w:rPr>
          <w:b w:val="0"/>
        </w:rPr>
      </w:pPr>
      <w:r w:rsidRPr="006F5D6D">
        <w:rPr>
          <w:b w:val="0"/>
        </w:rPr>
        <w:t xml:space="preserve">   równość  górnej  powierzchni  konstrukcji  nośnej,  na  której  przewiduje  się  ułożenie  hydroizolacji </w:t>
      </w:r>
    </w:p>
    <w:p w:rsidR="006F5D6D" w:rsidRPr="006F5D6D" w:rsidRDefault="006F5D6D" w:rsidP="00904A20">
      <w:pPr>
        <w:pStyle w:val="Styl4"/>
        <w:jc w:val="both"/>
        <w:rPr>
          <w:b w:val="0"/>
        </w:rPr>
      </w:pPr>
      <w:r w:rsidRPr="006F5D6D">
        <w:rPr>
          <w:b w:val="0"/>
        </w:rPr>
        <w:t xml:space="preserve">powinna  być  zgodna  z  wymaganiami  producenta  zastosowanej  hydroizolacji  i  SST  określającej </w:t>
      </w:r>
    </w:p>
    <w:p w:rsidR="006F5D6D" w:rsidRPr="006F5D6D" w:rsidRDefault="006F5D6D" w:rsidP="00904A20">
      <w:pPr>
        <w:pStyle w:val="Styl4"/>
        <w:jc w:val="both"/>
        <w:rPr>
          <w:b w:val="0"/>
        </w:rPr>
      </w:pPr>
      <w:r w:rsidRPr="006F5D6D">
        <w:rPr>
          <w:b w:val="0"/>
        </w:rPr>
        <w:t xml:space="preserve">warunki układania hydroizolacji, </w:t>
      </w:r>
    </w:p>
    <w:p w:rsidR="006F5D6D" w:rsidRPr="006F5D6D" w:rsidRDefault="006F5D6D" w:rsidP="00904A20">
      <w:pPr>
        <w:pStyle w:val="Styl4"/>
        <w:jc w:val="both"/>
        <w:rPr>
          <w:b w:val="0"/>
        </w:rPr>
      </w:pPr>
      <w:r w:rsidRPr="006F5D6D">
        <w:rPr>
          <w:b w:val="0"/>
        </w:rPr>
        <w:t xml:space="preserve">   kształtowanie  odpowiednich  spadków  poprzecznych  i  podłużnych  powinno  następować  podczas </w:t>
      </w:r>
    </w:p>
    <w:p w:rsidR="006F5D6D" w:rsidRPr="006F5D6D" w:rsidRDefault="006F5D6D" w:rsidP="00904A20">
      <w:pPr>
        <w:pStyle w:val="Styl4"/>
        <w:jc w:val="both"/>
        <w:rPr>
          <w:b w:val="0"/>
        </w:rPr>
      </w:pPr>
      <w:r w:rsidRPr="006F5D6D">
        <w:rPr>
          <w:b w:val="0"/>
        </w:rPr>
        <w:t xml:space="preserve">betonowania  elementu.  Wyklucza  się  szpachlowanie  konstrukcji  po  rozdeskowaniu.  Powierzchnię </w:t>
      </w:r>
    </w:p>
    <w:p w:rsidR="006F5D6D" w:rsidRPr="006F5D6D" w:rsidRDefault="006F5D6D" w:rsidP="00904A20">
      <w:pPr>
        <w:pStyle w:val="Styl4"/>
        <w:jc w:val="both"/>
        <w:rPr>
          <w:b w:val="0"/>
        </w:rPr>
      </w:pPr>
      <w:r w:rsidRPr="006F5D6D">
        <w:rPr>
          <w:b w:val="0"/>
        </w:rPr>
        <w:t xml:space="preserve">płyty  powinno  się  wyrównywać  podczas  betonowania  łatami  wibracyjnymi.  Odchylenie  równości </w:t>
      </w:r>
    </w:p>
    <w:p w:rsidR="006F5D6D" w:rsidRPr="006F5D6D" w:rsidRDefault="006F5D6D" w:rsidP="00904A20">
      <w:pPr>
        <w:pStyle w:val="Styl4"/>
        <w:jc w:val="both"/>
        <w:rPr>
          <w:b w:val="0"/>
        </w:rPr>
      </w:pPr>
      <w:r w:rsidRPr="006F5D6D">
        <w:rPr>
          <w:b w:val="0"/>
        </w:rPr>
        <w:t xml:space="preserve">powierzchni zmierzone na łacie długości 4,0 m nie powinno przekraczać 1,0 cm, </w:t>
      </w:r>
    </w:p>
    <w:p w:rsidR="006F5D6D" w:rsidRPr="006F5D6D" w:rsidRDefault="006F5D6D" w:rsidP="00904A20">
      <w:pPr>
        <w:pStyle w:val="Styl4"/>
        <w:jc w:val="both"/>
        <w:rPr>
          <w:b w:val="0"/>
        </w:rPr>
      </w:pPr>
      <w:r w:rsidRPr="006F5D6D">
        <w:rPr>
          <w:b w:val="0"/>
        </w:rPr>
        <w:t xml:space="preserve">   ostre krawędzie betonu po rozdeskowaniu powinny być oszlifowane; jeżeli dokumentacja projektowa </w:t>
      </w:r>
    </w:p>
    <w:p w:rsidR="006F5D6D" w:rsidRPr="006F5D6D" w:rsidRDefault="006F5D6D" w:rsidP="00904A20">
      <w:pPr>
        <w:pStyle w:val="Styl4"/>
        <w:jc w:val="both"/>
        <w:rPr>
          <w:b w:val="0"/>
        </w:rPr>
      </w:pPr>
      <w:r w:rsidRPr="006F5D6D">
        <w:rPr>
          <w:b w:val="0"/>
        </w:rPr>
        <w:t xml:space="preserve">nie  przewiduje  specjalnego  wykończenia  powierzchni  betonowych  konstrukcji,  to  bezpośrednio </w:t>
      </w:r>
    </w:p>
    <w:p w:rsidR="006F5D6D" w:rsidRPr="006F5D6D" w:rsidRDefault="006F5D6D" w:rsidP="00904A20">
      <w:pPr>
        <w:pStyle w:val="Styl4"/>
        <w:jc w:val="both"/>
        <w:rPr>
          <w:b w:val="0"/>
        </w:rPr>
      </w:pPr>
      <w:r w:rsidRPr="006F5D6D">
        <w:rPr>
          <w:b w:val="0"/>
        </w:rPr>
        <w:t xml:space="preserve">po rozebraniu  deskowań  należy  wszystkie  wystające  nierówności  wyrównać  za  pomocą  tarcz </w:t>
      </w:r>
    </w:p>
    <w:p w:rsidR="006F5D6D" w:rsidRPr="006F5D6D" w:rsidRDefault="006F5D6D" w:rsidP="00904A20">
      <w:pPr>
        <w:pStyle w:val="Styl4"/>
        <w:jc w:val="both"/>
        <w:rPr>
          <w:b w:val="0"/>
        </w:rPr>
      </w:pPr>
      <w:r w:rsidRPr="006F5D6D">
        <w:rPr>
          <w:b w:val="0"/>
        </w:rPr>
        <w:t xml:space="preserve">karborundowych i czystej wody, </w:t>
      </w:r>
    </w:p>
    <w:p w:rsidR="006F5D6D" w:rsidRPr="006F5D6D" w:rsidRDefault="006F5D6D" w:rsidP="00904A20">
      <w:pPr>
        <w:pStyle w:val="Styl4"/>
        <w:jc w:val="both"/>
        <w:rPr>
          <w:b w:val="0"/>
        </w:rPr>
      </w:pPr>
      <w:r w:rsidRPr="006F5D6D">
        <w:rPr>
          <w:b w:val="0"/>
        </w:rPr>
        <w:t xml:space="preserve">   gładkość   powierzchni   powinna   cechować   się   brakiem   lokalnych   progów,   raków,   wgłębień </w:t>
      </w:r>
    </w:p>
    <w:p w:rsidR="006F5D6D" w:rsidRPr="006F5D6D" w:rsidRDefault="006F5D6D" w:rsidP="00904A20">
      <w:pPr>
        <w:pStyle w:val="Styl4"/>
        <w:jc w:val="both"/>
        <w:rPr>
          <w:b w:val="0"/>
        </w:rPr>
      </w:pPr>
      <w:r w:rsidRPr="006F5D6D">
        <w:rPr>
          <w:b w:val="0"/>
        </w:rPr>
        <w:t xml:space="preserve">i wybrzuszeń,  wystających  ziaren  kruszywa.  Dopuszczalne  są  lokalne  nierówności  do  3  mm </w:t>
      </w:r>
    </w:p>
    <w:p w:rsidR="006F5D6D" w:rsidRPr="006F5D6D" w:rsidRDefault="006F5D6D" w:rsidP="00904A20">
      <w:pPr>
        <w:pStyle w:val="Styl4"/>
        <w:jc w:val="both"/>
        <w:rPr>
          <w:b w:val="0"/>
        </w:rPr>
      </w:pPr>
      <w:r w:rsidRPr="006F5D6D">
        <w:rPr>
          <w:b w:val="0"/>
        </w:rPr>
        <w:t xml:space="preserve">lub wgłębienia do 5 mm, </w:t>
      </w:r>
    </w:p>
    <w:p w:rsidR="006F5D6D" w:rsidRPr="006F5D6D" w:rsidRDefault="006F5D6D" w:rsidP="00904A20">
      <w:pPr>
        <w:pStyle w:val="Styl4"/>
        <w:jc w:val="both"/>
        <w:rPr>
          <w:b w:val="0"/>
        </w:rPr>
      </w:pPr>
      <w:r w:rsidRPr="006F5D6D">
        <w:rPr>
          <w:b w:val="0"/>
        </w:rPr>
        <w:t xml:space="preserve">   wszystkie  łączniki  stalowe  (druty,  śruby  itp.)  użyte  do  montażu  deskowania  lub  mające  inne </w:t>
      </w:r>
    </w:p>
    <w:p w:rsidR="006F5D6D" w:rsidRDefault="006F5D6D" w:rsidP="00904A20">
      <w:pPr>
        <w:pStyle w:val="Styl4"/>
        <w:jc w:val="both"/>
        <w:rPr>
          <w:b w:val="0"/>
        </w:rPr>
      </w:pPr>
      <w:r w:rsidRPr="006F5D6D">
        <w:rPr>
          <w:b w:val="0"/>
        </w:rPr>
        <w:t>tymczasowe  zastosowania,  które  pozostają  na  powierzchni  betonu  po  rozdeskowaniu,  należy</w:t>
      </w:r>
    </w:p>
    <w:p w:rsidR="006F5D6D" w:rsidRPr="006F5D6D" w:rsidRDefault="006F5D6D" w:rsidP="00904A20">
      <w:pPr>
        <w:pStyle w:val="Styl4"/>
        <w:jc w:val="both"/>
        <w:rPr>
          <w:b w:val="0"/>
        </w:rPr>
      </w:pPr>
      <w:r w:rsidRPr="006F5D6D">
        <w:rPr>
          <w:b w:val="0"/>
        </w:rPr>
        <w:t xml:space="preserve">przyciąć poniżej wykończonej powierzchni betonu do głębokości nie mniejszej niż 1 cm, a powstałe </w:t>
      </w:r>
    </w:p>
    <w:p w:rsidR="002B41CD" w:rsidRDefault="006F5D6D" w:rsidP="00904A20">
      <w:pPr>
        <w:pStyle w:val="Styl4"/>
        <w:jc w:val="both"/>
        <w:rPr>
          <w:b w:val="0"/>
        </w:rPr>
      </w:pPr>
      <w:r w:rsidRPr="006F5D6D">
        <w:rPr>
          <w:b w:val="0"/>
        </w:rPr>
        <w:t>otwory należy wypełnić materiałem naprawczym.</w:t>
      </w:r>
    </w:p>
    <w:p w:rsidR="006F5D6D" w:rsidRPr="006F5D6D" w:rsidRDefault="006F5D6D" w:rsidP="00904A20">
      <w:pPr>
        <w:pStyle w:val="Styl4"/>
        <w:jc w:val="both"/>
        <w:rPr>
          <w:b w:val="0"/>
        </w:rPr>
      </w:pPr>
      <w:r w:rsidRPr="006F5D6D">
        <w:rPr>
          <w:b w:val="0"/>
        </w:rPr>
        <w:t xml:space="preserve">Wszystkie  uszkodzenia  powierzchni  powinny  być  naprawione  na  koszt  Wykonawcy.  Części  wystające </w:t>
      </w:r>
    </w:p>
    <w:p w:rsidR="006F5D6D" w:rsidRPr="006F5D6D" w:rsidRDefault="006F5D6D" w:rsidP="00904A20">
      <w:pPr>
        <w:pStyle w:val="Styl4"/>
        <w:jc w:val="both"/>
        <w:rPr>
          <w:b w:val="0"/>
        </w:rPr>
      </w:pPr>
      <w:r w:rsidRPr="006F5D6D">
        <w:rPr>
          <w:b w:val="0"/>
        </w:rPr>
        <w:t xml:space="preserve">powinny  być  skute  lub   zeszlifowane,   a   zagłębienia   wypełnione   betonem   żywicznym  o  składzie </w:t>
      </w:r>
    </w:p>
    <w:p w:rsidR="006F5D6D" w:rsidRPr="006F5D6D" w:rsidRDefault="006F5D6D" w:rsidP="00904A20">
      <w:pPr>
        <w:pStyle w:val="Styl4"/>
        <w:jc w:val="both"/>
        <w:rPr>
          <w:b w:val="0"/>
        </w:rPr>
      </w:pPr>
      <w:r w:rsidRPr="006F5D6D">
        <w:rPr>
          <w:b w:val="0"/>
        </w:rPr>
        <w:t xml:space="preserve">zatwierdzonym  przez  Inspektora  nadzoru.  Bardzo  duże  ubytki  i  nierówności  płyty  przekraczające  2  cm </w:t>
      </w:r>
    </w:p>
    <w:p w:rsidR="006F5D6D" w:rsidRPr="006F5D6D" w:rsidRDefault="006F5D6D" w:rsidP="00904A20">
      <w:pPr>
        <w:pStyle w:val="Styl4"/>
        <w:jc w:val="both"/>
        <w:rPr>
          <w:b w:val="0"/>
        </w:rPr>
      </w:pPr>
      <w:r w:rsidRPr="006F5D6D">
        <w:rPr>
          <w:b w:val="0"/>
        </w:rPr>
        <w:t xml:space="preserve">należy  naprawić  betonem  cementowym  bezskurczowym  wykonanym  według  specjalnej  technologii </w:t>
      </w:r>
    </w:p>
    <w:p w:rsidR="006F5D6D" w:rsidRPr="006F5D6D" w:rsidRDefault="006F5D6D" w:rsidP="00904A20">
      <w:pPr>
        <w:pStyle w:val="Styl4"/>
        <w:jc w:val="both"/>
        <w:rPr>
          <w:b w:val="0"/>
        </w:rPr>
      </w:pPr>
      <w:r w:rsidRPr="006F5D6D">
        <w:rPr>
          <w:b w:val="0"/>
        </w:rPr>
        <w:t xml:space="preserve">zatwierdzonej przez Inspektora nadzoru. Pęcherze, raki i inne mniejsze uszkodzenia betonu powinny być </w:t>
      </w:r>
    </w:p>
    <w:p w:rsidR="006F5D6D" w:rsidRPr="006F5D6D" w:rsidRDefault="006F5D6D" w:rsidP="00904A20">
      <w:pPr>
        <w:pStyle w:val="Styl4"/>
        <w:jc w:val="both"/>
        <w:rPr>
          <w:b w:val="0"/>
        </w:rPr>
      </w:pPr>
      <w:r w:rsidRPr="006F5D6D">
        <w:rPr>
          <w:b w:val="0"/>
        </w:rPr>
        <w:t xml:space="preserve">naprawione drobno- lub gruboziarnistą zaprawą naprawczą lub ich kombinacją w zależności od wielkości </w:t>
      </w:r>
    </w:p>
    <w:p w:rsidR="006F5D6D" w:rsidRDefault="006F5D6D" w:rsidP="00904A20">
      <w:pPr>
        <w:pStyle w:val="Styl4"/>
        <w:jc w:val="both"/>
        <w:rPr>
          <w:b w:val="0"/>
        </w:rPr>
      </w:pPr>
      <w:r w:rsidRPr="006F5D6D">
        <w:rPr>
          <w:b w:val="0"/>
        </w:rPr>
        <w:t>uszkodzenia. Należy przy tym odpowiednio dobrać kolor zaprawy do kolorystyki naprawianego elementu.</w:t>
      </w:r>
    </w:p>
    <w:p w:rsidR="006F5D6D" w:rsidRPr="006F5D6D" w:rsidRDefault="00904A20" w:rsidP="006F5D6D">
      <w:pPr>
        <w:pStyle w:val="Styl4"/>
        <w:jc w:val="both"/>
      </w:pPr>
      <w:r>
        <w:t>5.7</w:t>
      </w:r>
      <w:r w:rsidR="006F5D6D" w:rsidRPr="006F5D6D">
        <w:t xml:space="preserve">. Roboty wykończeniowe </w:t>
      </w:r>
    </w:p>
    <w:p w:rsidR="006F5D6D" w:rsidRPr="006F5D6D" w:rsidRDefault="006F5D6D" w:rsidP="006F5D6D">
      <w:pPr>
        <w:pStyle w:val="Styl4"/>
        <w:jc w:val="both"/>
        <w:rPr>
          <w:b w:val="0"/>
        </w:rPr>
      </w:pPr>
      <w:r w:rsidRPr="006F5D6D">
        <w:rPr>
          <w:b w:val="0"/>
        </w:rPr>
        <w:t xml:space="preserve">Roboty   wykończeniowe   powinny   być   zgodne   z   dokumentacją   projektową   i   ST.   Do   robót </w:t>
      </w:r>
    </w:p>
    <w:p w:rsidR="006F5D6D" w:rsidRPr="006F5D6D" w:rsidRDefault="006F5D6D" w:rsidP="006F5D6D">
      <w:pPr>
        <w:pStyle w:val="Styl4"/>
        <w:jc w:val="both"/>
        <w:rPr>
          <w:b w:val="0"/>
        </w:rPr>
      </w:pPr>
      <w:r w:rsidRPr="006F5D6D">
        <w:rPr>
          <w:b w:val="0"/>
        </w:rPr>
        <w:t xml:space="preserve">wykończeniowych należą prace związane z dostosowaniem wykonanych robót do istniejących warunków </w:t>
      </w:r>
    </w:p>
    <w:p w:rsidR="006F5D6D" w:rsidRPr="006F5D6D" w:rsidRDefault="006F5D6D" w:rsidP="006F5D6D">
      <w:pPr>
        <w:pStyle w:val="Styl4"/>
        <w:jc w:val="both"/>
        <w:rPr>
          <w:b w:val="0"/>
        </w:rPr>
      </w:pPr>
      <w:r w:rsidRPr="006F5D6D">
        <w:rPr>
          <w:b w:val="0"/>
        </w:rPr>
        <w:t xml:space="preserve">terenowych, takie jak: </w:t>
      </w:r>
    </w:p>
    <w:p w:rsidR="006F5D6D" w:rsidRPr="006F5D6D" w:rsidRDefault="006F5D6D" w:rsidP="006F5D6D">
      <w:pPr>
        <w:pStyle w:val="Styl4"/>
        <w:jc w:val="both"/>
        <w:rPr>
          <w:b w:val="0"/>
        </w:rPr>
      </w:pPr>
      <w:r w:rsidRPr="006F5D6D">
        <w:rPr>
          <w:b w:val="0"/>
        </w:rPr>
        <w:t xml:space="preserve">   odtworzenie elementów czasowo usuniętych, </w:t>
      </w:r>
    </w:p>
    <w:p w:rsidR="006F5D6D" w:rsidRDefault="006F5D6D" w:rsidP="006F5D6D">
      <w:pPr>
        <w:pStyle w:val="Styl4"/>
        <w:jc w:val="both"/>
        <w:rPr>
          <w:b w:val="0"/>
        </w:rPr>
      </w:pPr>
      <w:r w:rsidRPr="006F5D6D">
        <w:rPr>
          <w:b w:val="0"/>
        </w:rPr>
        <w:t>   roboty porządkujące otoczenie terenu robót.</w:t>
      </w:r>
    </w:p>
    <w:p w:rsidR="00B833AC" w:rsidRDefault="00B833AC" w:rsidP="00B833AC">
      <w:pPr>
        <w:widowControl w:val="0"/>
        <w:spacing w:before="120" w:after="120"/>
        <w:rPr>
          <w:b/>
          <w:snapToGrid w:val="0"/>
          <w:u w:val="single"/>
        </w:rPr>
      </w:pPr>
      <w:r>
        <w:rPr>
          <w:b/>
          <w:noProof/>
          <w:snapToGrid w:val="0"/>
          <w:u w:val="single"/>
        </w:rPr>
        <w:t>6.</w:t>
      </w:r>
      <w:r>
        <w:rPr>
          <w:b/>
          <w:snapToGrid w:val="0"/>
          <w:u w:val="single"/>
        </w:rPr>
        <w:t xml:space="preserve"> KONTROLA JAKOŚCI ROBÓT</w:t>
      </w:r>
    </w:p>
    <w:p w:rsidR="006F5D6D" w:rsidRPr="006F5D6D" w:rsidRDefault="006F5D6D" w:rsidP="006F5D6D">
      <w:pPr>
        <w:pStyle w:val="Nagwek5"/>
        <w:rPr>
          <w:rFonts w:ascii="Times New Roman" w:hAnsi="Times New Roman"/>
          <w:b/>
          <w:snapToGrid/>
          <w:lang w:val="pl-PL"/>
        </w:rPr>
      </w:pPr>
      <w:r w:rsidRPr="006F5D6D">
        <w:rPr>
          <w:rFonts w:ascii="Times New Roman" w:hAnsi="Times New Roman"/>
          <w:b/>
          <w:snapToGrid/>
          <w:lang w:val="pl-PL"/>
        </w:rPr>
        <w:t xml:space="preserve">6.1. Ogólne zasady kontroli jakości robót </w:t>
      </w:r>
    </w:p>
    <w:p w:rsidR="006F5D6D" w:rsidRDefault="006F5D6D" w:rsidP="006F5D6D">
      <w:pPr>
        <w:pStyle w:val="Nagwek5"/>
        <w:spacing w:before="0" w:line="240" w:lineRule="auto"/>
        <w:ind w:left="0" w:firstLine="0"/>
        <w:rPr>
          <w:rFonts w:ascii="Times New Roman" w:hAnsi="Times New Roman"/>
          <w:snapToGrid/>
          <w:lang w:val="pl-PL"/>
        </w:rPr>
      </w:pPr>
      <w:r w:rsidRPr="006F5D6D">
        <w:rPr>
          <w:rFonts w:ascii="Times New Roman" w:hAnsi="Times New Roman"/>
          <w:snapToGrid/>
          <w:lang w:val="pl-PL"/>
        </w:rPr>
        <w:t xml:space="preserve">Ogólne zasady kontroli jakości robót podano w D.M.00.00.00 [1] „Wymagania ogólne”. </w:t>
      </w:r>
    </w:p>
    <w:p w:rsidR="00904A20" w:rsidRPr="006F5D6D" w:rsidRDefault="00904A20" w:rsidP="00904A20">
      <w:pPr>
        <w:pStyle w:val="Nagwek5"/>
        <w:rPr>
          <w:rFonts w:ascii="Times New Roman" w:hAnsi="Times New Roman"/>
          <w:b/>
          <w:snapToGrid/>
          <w:lang w:val="pl-PL"/>
        </w:rPr>
      </w:pPr>
      <w:r>
        <w:rPr>
          <w:rFonts w:ascii="Times New Roman" w:hAnsi="Times New Roman"/>
          <w:b/>
          <w:snapToGrid/>
          <w:lang w:val="pl-PL"/>
        </w:rPr>
        <w:t>6.2. Badania i pomiary Wykonawcy</w:t>
      </w:r>
    </w:p>
    <w:p w:rsidR="00904A20" w:rsidRPr="00904A20" w:rsidRDefault="00904A20" w:rsidP="00904A20">
      <w:pPr>
        <w:pStyle w:val="Styl4"/>
        <w:ind w:firstLine="709"/>
        <w:jc w:val="both"/>
        <w:rPr>
          <w:b w:val="0"/>
        </w:rPr>
      </w:pPr>
      <w:r w:rsidRPr="00904A20">
        <w:rPr>
          <w:b w:val="0"/>
        </w:rPr>
        <w:t>Wykonawca jest zobowiązany do przeprowadzania na bieżąco badań i pomiarów w celu sprawdzania czy jakość wykonanych Robót jest zgodna z postawionymi wymaganiami.</w:t>
      </w:r>
    </w:p>
    <w:p w:rsidR="00904A20" w:rsidRPr="005B3987" w:rsidRDefault="00904A20" w:rsidP="005B3987">
      <w:pPr>
        <w:pStyle w:val="Styl4"/>
        <w:ind w:firstLine="709"/>
        <w:jc w:val="both"/>
        <w:rPr>
          <w:b w:val="0"/>
        </w:rPr>
      </w:pPr>
      <w:r w:rsidRPr="00904A20">
        <w:rPr>
          <w:b w:val="0"/>
        </w:rPr>
        <w:t>Badania i pomiary powinny być wykonywane z niezbędną starannością, zgodnie z obowiązującymi przepisami i w wymaganym zakresie. Badania i pomiary Wykonawca powinien wykonywać z częstotliwością gwarantującą zachowanie wymagań dotyczących jakości robót, lecz nie rz</w:t>
      </w:r>
      <w:r w:rsidR="005B3987">
        <w:rPr>
          <w:b w:val="0"/>
        </w:rPr>
        <w:t>adziej niż wskazano to w ST</w:t>
      </w:r>
      <w:r w:rsidRPr="00904A20">
        <w:rPr>
          <w:b w:val="0"/>
        </w:rPr>
        <w:t xml:space="preserve">. Wyniki badań będą dokumentowane i archiwizowane przez Wykonawcę. Wyniki badań Wykonawca jest zobowiązany przekazywać </w:t>
      </w:r>
      <w:r w:rsidR="00031F9F">
        <w:rPr>
          <w:b w:val="0"/>
        </w:rPr>
        <w:t>przedstawicielowi Zamawiającego</w:t>
      </w:r>
    </w:p>
    <w:p w:rsidR="005B3987" w:rsidRPr="006F5D6D" w:rsidRDefault="005B3987" w:rsidP="005B3987">
      <w:pPr>
        <w:pStyle w:val="Nagwek5"/>
        <w:rPr>
          <w:rFonts w:ascii="Times New Roman" w:hAnsi="Times New Roman"/>
          <w:b/>
          <w:snapToGrid/>
          <w:lang w:val="pl-PL"/>
        </w:rPr>
      </w:pPr>
      <w:r>
        <w:rPr>
          <w:rFonts w:ascii="Times New Roman" w:hAnsi="Times New Roman"/>
          <w:b/>
          <w:snapToGrid/>
          <w:lang w:val="pl-PL"/>
        </w:rPr>
        <w:t>6.3. Badania i pomiary kontrolne</w:t>
      </w:r>
    </w:p>
    <w:p w:rsidR="00904A20" w:rsidRPr="005B3987" w:rsidRDefault="005B3987" w:rsidP="005B3987">
      <w:pPr>
        <w:pStyle w:val="Styl4"/>
        <w:ind w:firstLine="709"/>
        <w:jc w:val="both"/>
        <w:rPr>
          <w:b w:val="0"/>
        </w:rPr>
      </w:pPr>
      <w:r w:rsidRPr="005B3987">
        <w:rPr>
          <w:b w:val="0"/>
        </w:rPr>
        <w:t>Badania i pomiary kontrolne są zlecane przez</w:t>
      </w:r>
      <w:r w:rsidR="00031F9F" w:rsidRPr="00663F18">
        <w:rPr>
          <w:b w:val="0"/>
        </w:rPr>
        <w:t>przedstawiciela</w:t>
      </w:r>
      <w:r w:rsidR="00E6484E">
        <w:rPr>
          <w:b w:val="0"/>
        </w:rPr>
        <w:t>Zamawiającego</w:t>
      </w:r>
      <w:r w:rsidRPr="005B3987">
        <w:rPr>
          <w:b w:val="0"/>
        </w:rPr>
        <w:t>, a których celem jest sprawdzenie, czy jakość zastosowanych materiałów i wyrobów budowlanych (mieszanki betonowej i jej składników, cementów, kruszyw itp.) oraz gotowego betonu i elementu betonowego (wbudowany beton, połączenia itp.) spełniają wymagania określone w kontrakcie.</w:t>
      </w:r>
    </w:p>
    <w:p w:rsidR="00904A20" w:rsidRPr="005B3987" w:rsidRDefault="005B3987" w:rsidP="005B3987">
      <w:pPr>
        <w:pStyle w:val="Styl4"/>
        <w:ind w:firstLine="709"/>
        <w:jc w:val="both"/>
        <w:rPr>
          <w:b w:val="0"/>
        </w:rPr>
      </w:pPr>
      <w:r w:rsidRPr="005B3987">
        <w:rPr>
          <w:b w:val="0"/>
        </w:rPr>
        <w:t xml:space="preserve">Pobieraniem próbek, wykonaniem badań i pomiarów na miejscu budowy zajmuje się Laboratorium Zamawiającego/Inżynier/Inspektor Nadzoru przy udziale lub po poinformowaniu przedstawicieli Wykonawcy. </w:t>
      </w:r>
      <w:r w:rsidR="00031F9F">
        <w:rPr>
          <w:b w:val="0"/>
        </w:rPr>
        <w:t>PrzedstawicielZamawiającego</w:t>
      </w:r>
      <w:r w:rsidRPr="005B3987">
        <w:rPr>
          <w:b w:val="0"/>
        </w:rPr>
        <w:t xml:space="preserve"> decyduje o wyborze Laboratorium Zamawiającego</w:t>
      </w:r>
    </w:p>
    <w:p w:rsidR="00904A20" w:rsidRDefault="00904A20" w:rsidP="00904A20">
      <w:pPr>
        <w:pStyle w:val="Wcicienormalne"/>
      </w:pPr>
    </w:p>
    <w:p w:rsidR="00904A20" w:rsidRDefault="005B3987" w:rsidP="005B3987">
      <w:pPr>
        <w:pStyle w:val="Wcicienormalne"/>
        <w:ind w:left="0"/>
      </w:pPr>
      <w:r>
        <w:rPr>
          <w:rFonts w:ascii="Times New Roman" w:hAnsi="Times New Roman"/>
          <w:b/>
          <w:snapToGrid/>
        </w:rPr>
        <w:t>6.4. Badania i pomiary kontrolne dodatkowe</w:t>
      </w:r>
    </w:p>
    <w:p w:rsidR="00904A20" w:rsidRPr="001A367A" w:rsidRDefault="005B3987" w:rsidP="001A367A">
      <w:pPr>
        <w:pStyle w:val="Styl4"/>
        <w:ind w:firstLine="709"/>
        <w:jc w:val="both"/>
        <w:rPr>
          <w:b w:val="0"/>
        </w:rPr>
      </w:pPr>
      <w:r w:rsidRPr="001A367A">
        <w:rPr>
          <w:b w:val="0"/>
        </w:rPr>
        <w:t>W wypadku uznania, że jeden z wyników badań lub pomiarów kontrolnych nie jest reprezentatywny dla ocenianego odcinka budowy, strony kontraktu mogą wystąpić o przeprowadzenia badań lub pomiarów kontrolnych dodatkowych. Badania kontrolne dodatkowe są wykonywane przez Laboratorium Zamawiającego.</w:t>
      </w:r>
    </w:p>
    <w:p w:rsidR="00904A20" w:rsidRPr="001A367A" w:rsidRDefault="001A367A" w:rsidP="001A367A">
      <w:pPr>
        <w:pStyle w:val="Styl4"/>
        <w:ind w:firstLine="709"/>
        <w:jc w:val="both"/>
        <w:rPr>
          <w:b w:val="0"/>
        </w:rPr>
      </w:pPr>
      <w:r w:rsidRPr="001A367A">
        <w:rPr>
          <w:b w:val="0"/>
        </w:rPr>
        <w:t>Strony Kontraktu decydują wspólnie o miejscach pobierania próbek i wyznaczeniu elementów betonowych do oceny. Jeżeli element betonowy nie może być jednoznacznie i zgodnie wyznaczony, to element ten nie powinien być mniejszy niż 20% ocenianego obiektu</w:t>
      </w:r>
    </w:p>
    <w:p w:rsidR="001A367A" w:rsidRDefault="001A367A" w:rsidP="001A367A">
      <w:pPr>
        <w:pStyle w:val="Wcicienormalne"/>
        <w:ind w:left="0"/>
      </w:pPr>
    </w:p>
    <w:p w:rsidR="001A367A" w:rsidRDefault="001A367A" w:rsidP="001A367A">
      <w:pPr>
        <w:pStyle w:val="Wcicienormalne"/>
        <w:ind w:left="0"/>
      </w:pPr>
      <w:r>
        <w:rPr>
          <w:rFonts w:ascii="Times New Roman" w:hAnsi="Times New Roman"/>
          <w:b/>
          <w:snapToGrid/>
        </w:rPr>
        <w:t>6.5. Badania i pomiary arbitrażowe</w:t>
      </w:r>
    </w:p>
    <w:p w:rsidR="00904A20" w:rsidRPr="001A367A" w:rsidRDefault="001A367A" w:rsidP="001A367A">
      <w:pPr>
        <w:pStyle w:val="Styl4"/>
        <w:ind w:firstLine="709"/>
        <w:jc w:val="both"/>
        <w:rPr>
          <w:b w:val="0"/>
        </w:rPr>
      </w:pPr>
      <w:r w:rsidRPr="001A367A">
        <w:rPr>
          <w:b w:val="0"/>
        </w:rPr>
        <w:t xml:space="preserve">Badania i pomiary arbitrażowe są powtórzeniem badań lub pomiarów kontrolnych i/lub kontrolnych dodatkowych, co do których istnieją uzasadnione wątpliwości ze strony </w:t>
      </w:r>
      <w:r w:rsidR="00031F9F" w:rsidRPr="00663F18">
        <w:rPr>
          <w:b w:val="0"/>
        </w:rPr>
        <w:t>przedstawiciela</w:t>
      </w:r>
      <w:r w:rsidR="00031F9F">
        <w:rPr>
          <w:b w:val="0"/>
        </w:rPr>
        <w:t xml:space="preserve"> Zamawiającego</w:t>
      </w:r>
      <w:r w:rsidR="00E6484E">
        <w:rPr>
          <w:b w:val="0"/>
        </w:rPr>
        <w:t>/</w:t>
      </w:r>
      <w:r w:rsidRPr="001A367A">
        <w:rPr>
          <w:b w:val="0"/>
        </w:rPr>
        <w:t xml:space="preserve">Inżyniera/Inspektora Nadzoru, </w:t>
      </w:r>
      <w:r w:rsidR="00031F9F" w:rsidRPr="00663F18">
        <w:rPr>
          <w:b w:val="0"/>
        </w:rPr>
        <w:t>przedstawiciela</w:t>
      </w:r>
      <w:r w:rsidRPr="001A367A">
        <w:rPr>
          <w:b w:val="0"/>
        </w:rPr>
        <w:t>Zamawiającego lub Wykonawcy (np. na podstawie własnych badań).</w:t>
      </w:r>
    </w:p>
    <w:p w:rsidR="00904A20" w:rsidRPr="001A367A" w:rsidRDefault="001A367A" w:rsidP="001A367A">
      <w:pPr>
        <w:pStyle w:val="Styl4"/>
        <w:ind w:firstLine="709"/>
        <w:jc w:val="both"/>
        <w:rPr>
          <w:b w:val="0"/>
        </w:rPr>
      </w:pPr>
      <w:r w:rsidRPr="001A367A">
        <w:rPr>
          <w:b w:val="0"/>
        </w:rPr>
        <w:t xml:space="preserve">W przypadku wniosku Wykonawcy zgodę na przeprowadzenie badań i pomiarów arbitrażowych wyraża </w:t>
      </w:r>
      <w:r w:rsidR="00031F9F">
        <w:rPr>
          <w:b w:val="0"/>
        </w:rPr>
        <w:t>przedstawiciel Zamawiającego</w:t>
      </w:r>
      <w:r w:rsidR="00E6484E">
        <w:rPr>
          <w:b w:val="0"/>
        </w:rPr>
        <w:t>/</w:t>
      </w:r>
      <w:r w:rsidRPr="001A367A">
        <w:rPr>
          <w:b w:val="0"/>
        </w:rPr>
        <w:t xml:space="preserve">Inżynier/Inspektor Nadzoru po wcześniejszej analizie zasadności wniosku. </w:t>
      </w:r>
      <w:r w:rsidR="00031F9F">
        <w:rPr>
          <w:b w:val="0"/>
        </w:rPr>
        <w:t>Przedstawiciel Zamawiającego</w:t>
      </w:r>
      <w:r w:rsidRPr="001A367A">
        <w:rPr>
          <w:b w:val="0"/>
        </w:rPr>
        <w:t xml:space="preserve"> akceptuje laboratorium, które przeprowadzi badania lub pomiary arbitrażowe.</w:t>
      </w:r>
    </w:p>
    <w:p w:rsidR="001A367A" w:rsidRDefault="001A367A" w:rsidP="001A367A">
      <w:pPr>
        <w:pStyle w:val="Wcicienormalne"/>
        <w:ind w:left="0"/>
      </w:pPr>
    </w:p>
    <w:p w:rsidR="001A367A" w:rsidRDefault="001A367A" w:rsidP="001A367A">
      <w:pPr>
        <w:pStyle w:val="Wcicienormalne"/>
        <w:ind w:left="0"/>
        <w:rPr>
          <w:rFonts w:ascii="Times New Roman" w:hAnsi="Times New Roman"/>
          <w:b/>
          <w:snapToGrid/>
        </w:rPr>
      </w:pPr>
      <w:r>
        <w:rPr>
          <w:rFonts w:ascii="Times New Roman" w:hAnsi="Times New Roman"/>
          <w:b/>
          <w:snapToGrid/>
        </w:rPr>
        <w:t>6.6. Badania przed przystąpieniem do robót</w:t>
      </w:r>
    </w:p>
    <w:p w:rsidR="001A367A" w:rsidRDefault="001A367A" w:rsidP="001A367A">
      <w:pPr>
        <w:pStyle w:val="Wcicienormalne"/>
        <w:ind w:left="0"/>
      </w:pPr>
      <w:r>
        <w:t>Przed przystąpieniem do robót Wykonawca powinien:</w:t>
      </w:r>
    </w:p>
    <w:p w:rsidR="001A367A" w:rsidRPr="001A367A" w:rsidRDefault="001A367A" w:rsidP="001A367A">
      <w:pPr>
        <w:pStyle w:val="Styl4"/>
        <w:ind w:left="709"/>
        <w:jc w:val="both"/>
        <w:rPr>
          <w:b w:val="0"/>
        </w:rPr>
      </w:pPr>
      <w:r w:rsidRPr="001A367A">
        <w:rPr>
          <w:b w:val="0"/>
        </w:rPr>
        <w:t>- uzyskać wymagane dokumenty, dopuszczające wyroby budowlane do obrotu i powszechnego stosowania (</w:t>
      </w:r>
      <w:r>
        <w:rPr>
          <w:b w:val="0"/>
        </w:rPr>
        <w:t xml:space="preserve">np. </w:t>
      </w:r>
      <w:r w:rsidRPr="001A367A">
        <w:rPr>
          <w:b w:val="0"/>
        </w:rPr>
        <w:t>certyfikaty zgodności, deklaracje właściwości użytkowych) i na ich podstawie sprawdzić zgodność właściwości materiałów i wyrobów przeznaczonych do wykonania robót z wymaganiami po</w:t>
      </w:r>
      <w:r>
        <w:rPr>
          <w:b w:val="0"/>
        </w:rPr>
        <w:t>danymi w ST.</w:t>
      </w:r>
    </w:p>
    <w:p w:rsidR="001A367A" w:rsidRDefault="001A367A" w:rsidP="001A367A">
      <w:pPr>
        <w:pStyle w:val="Wcicienormalne"/>
        <w:ind w:left="709"/>
      </w:pPr>
      <w:r>
        <w:t>- wykonać własne badania materiałów i wyrobów przeznaczonych do wykonania robót, w celu sprawdzenia ich właściwości z wymaganymi w ST.</w:t>
      </w:r>
      <w:r>
        <w:tab/>
      </w:r>
    </w:p>
    <w:p w:rsidR="00904A20" w:rsidRDefault="001A367A" w:rsidP="001A367A">
      <w:pPr>
        <w:pStyle w:val="Wcicienormalne"/>
        <w:ind w:left="709"/>
      </w:pPr>
      <w:r>
        <w:tab/>
      </w:r>
    </w:p>
    <w:p w:rsidR="00904A20" w:rsidRDefault="001A367A" w:rsidP="001A367A">
      <w:pPr>
        <w:pStyle w:val="Wcicienormalne"/>
        <w:ind w:left="0" w:firstLine="709"/>
      </w:pPr>
      <w:r>
        <w:t xml:space="preserve">Wszystkie dokumenty oraz wyniki badań Wykonawca przedstawia </w:t>
      </w:r>
      <w:r w:rsidR="00031F9F">
        <w:t xml:space="preserve">przedstawicielowi </w:t>
      </w:r>
      <w:r w:rsidR="00031F9F">
        <w:rPr>
          <w:rFonts w:asciiTheme="minorHAnsi" w:hAnsiTheme="minorHAnsi"/>
        </w:rPr>
        <w:t>Z</w:t>
      </w:r>
      <w:r w:rsidR="00031F9F">
        <w:t>mawiającego</w:t>
      </w:r>
      <w:r w:rsidR="00E6484E">
        <w:t>/</w:t>
      </w:r>
      <w:r>
        <w:t>Inżynierowi/Inspektorowi Nadzoru do akceptacji.</w:t>
      </w:r>
    </w:p>
    <w:p w:rsidR="00904A20" w:rsidRDefault="00904A20" w:rsidP="00904A20">
      <w:pPr>
        <w:pStyle w:val="Wcicienormalne"/>
      </w:pPr>
    </w:p>
    <w:p w:rsidR="001A367A" w:rsidRDefault="001A367A" w:rsidP="001A367A">
      <w:pPr>
        <w:pStyle w:val="Wcicienormalne"/>
        <w:ind w:left="0"/>
        <w:rPr>
          <w:rFonts w:ascii="Times New Roman" w:hAnsi="Times New Roman"/>
          <w:b/>
          <w:snapToGrid/>
        </w:rPr>
      </w:pPr>
      <w:r>
        <w:rPr>
          <w:rFonts w:ascii="Times New Roman" w:hAnsi="Times New Roman"/>
          <w:b/>
          <w:snapToGrid/>
        </w:rPr>
        <w:t>6.7. Kontrola deskowań i rusztowań</w:t>
      </w:r>
    </w:p>
    <w:p w:rsidR="00904A20" w:rsidRDefault="00ED0179" w:rsidP="00ED0179">
      <w:pPr>
        <w:pStyle w:val="Styl4"/>
        <w:ind w:firstLine="709"/>
        <w:jc w:val="both"/>
        <w:rPr>
          <w:b w:val="0"/>
        </w:rPr>
      </w:pPr>
      <w:r w:rsidRPr="00ED0179">
        <w:rPr>
          <w:b w:val="0"/>
        </w:rPr>
        <w:t>Badania odbiorcze deskowań i rusztowań należy przeprowadzić po zbudowaniu, a przed rozpoczęciem ich eksploatacji pod kątem zgodności z projektem wykonawczym rusztowań i deskowań. Badania okresowe należy przeprowadzać w trakcie eksploatacji, przed każdą nową fazą robót oraz po mogących mieć wpływ na stan deskowań i rusztowań zjawiskach atmosferycznych (silnych wiatrach, intensywnych opadach, itp.), a także po ewentualnych awariach, uderzeniach montowanymi elementami obiektu mostowego, itp.</w:t>
      </w:r>
    </w:p>
    <w:p w:rsidR="005606BF" w:rsidRPr="00ED0179" w:rsidRDefault="005606BF" w:rsidP="00ED0179">
      <w:pPr>
        <w:pStyle w:val="Styl4"/>
        <w:ind w:firstLine="709"/>
        <w:jc w:val="both"/>
        <w:rPr>
          <w:b w:val="0"/>
        </w:rPr>
      </w:pPr>
    </w:p>
    <w:p w:rsidR="00904A20" w:rsidRDefault="00ED0179" w:rsidP="00ED0179">
      <w:pPr>
        <w:pStyle w:val="Wcicienormalne"/>
        <w:ind w:left="0"/>
      </w:pPr>
      <w:r>
        <w:t>Badania elementów rusztowań i deskowań należy przeprowadzać w zależności od użytego materiału zgodnie z :</w:t>
      </w:r>
    </w:p>
    <w:p w:rsidR="00904A20" w:rsidRDefault="005606BF" w:rsidP="005606BF">
      <w:pPr>
        <w:pStyle w:val="Wcicienormalne"/>
        <w:ind w:left="0" w:firstLine="709"/>
      </w:pPr>
      <w:r>
        <w:t>- PN-S-10050, w przypadku elementów stalowych,</w:t>
      </w:r>
    </w:p>
    <w:p w:rsidR="005606BF" w:rsidRDefault="005606BF" w:rsidP="005606BF">
      <w:pPr>
        <w:pStyle w:val="Wcicienormalne"/>
        <w:ind w:left="0" w:firstLine="709"/>
      </w:pPr>
      <w:r>
        <w:t>- PN-S-10080, w przypadku konstrukcji drewnianych.</w:t>
      </w:r>
    </w:p>
    <w:p w:rsidR="00904A20" w:rsidRDefault="005606BF" w:rsidP="005606BF">
      <w:pPr>
        <w:pStyle w:val="Wcicienormalne"/>
        <w:ind w:left="0"/>
      </w:pPr>
      <w:r>
        <w:t>Każde rusztowanie podlega odbiorowi, w czasie którego należy sprawdzać:</w:t>
      </w:r>
    </w:p>
    <w:p w:rsidR="005606BF" w:rsidRDefault="005606BF" w:rsidP="005606BF">
      <w:pPr>
        <w:pStyle w:val="Wcicienormalne"/>
        <w:ind w:left="0" w:firstLine="709"/>
      </w:pPr>
      <w:r>
        <w:t>- rodzaj użytego materiału na zgodność z projektem technologicznym,</w:t>
      </w:r>
    </w:p>
    <w:p w:rsidR="005606BF" w:rsidRDefault="005606BF" w:rsidP="005606BF">
      <w:pPr>
        <w:pStyle w:val="Wcicienormalne"/>
        <w:ind w:left="0" w:firstLine="709"/>
      </w:pPr>
      <w:r>
        <w:t>- łączniki, złącza,</w:t>
      </w:r>
    </w:p>
    <w:p w:rsidR="005606BF" w:rsidRDefault="005606BF" w:rsidP="005606BF">
      <w:pPr>
        <w:pStyle w:val="Wcicienormalne"/>
        <w:ind w:left="709"/>
      </w:pPr>
      <w:r>
        <w:t>- poziomy górnych krawędzi przed obciążeniem i po obciążeniu oraz krawędzi dolnych stanowiących miarę odkształcalności posadowienia (niwelacyjnie),</w:t>
      </w:r>
    </w:p>
    <w:p w:rsidR="005606BF" w:rsidRDefault="005606BF" w:rsidP="005606BF">
      <w:pPr>
        <w:pStyle w:val="Wcicienormalne"/>
        <w:ind w:left="709"/>
      </w:pPr>
      <w:r>
        <w:t>- efektywności stężeń,</w:t>
      </w:r>
    </w:p>
    <w:p w:rsidR="005606BF" w:rsidRDefault="005606BF" w:rsidP="005606BF">
      <w:pPr>
        <w:pStyle w:val="Wcicienormalne"/>
        <w:ind w:left="709"/>
      </w:pPr>
      <w:r>
        <w:t>- wielkości podniesienia wykonawczego,</w:t>
      </w:r>
    </w:p>
    <w:p w:rsidR="005606BF" w:rsidRDefault="005606BF" w:rsidP="005606BF">
      <w:pPr>
        <w:pStyle w:val="Wcicienormalne"/>
        <w:ind w:left="709"/>
      </w:pPr>
      <w:r>
        <w:t>- przygotowanie podłoża i sposób przekazywania nacisków na podłoże.</w:t>
      </w:r>
    </w:p>
    <w:p w:rsidR="005606BF" w:rsidRDefault="005606BF" w:rsidP="005606BF">
      <w:pPr>
        <w:pStyle w:val="Wcicienormalne"/>
        <w:ind w:left="709"/>
      </w:pPr>
      <w:r>
        <w:t>Każde deskowanie powinno podlegać odbiorowi, przedmiotem kontroli powinny być:</w:t>
      </w:r>
    </w:p>
    <w:p w:rsidR="005606BF" w:rsidRDefault="005606BF" w:rsidP="005606BF">
      <w:pPr>
        <w:pStyle w:val="Wcicienormalne"/>
        <w:ind w:left="709"/>
      </w:pPr>
      <w:r>
        <w:t>- rodzaj użytego materiału na zgodność z projektem technologicznym,</w:t>
      </w:r>
    </w:p>
    <w:p w:rsidR="005606BF" w:rsidRDefault="005606BF" w:rsidP="005606BF">
      <w:pPr>
        <w:pStyle w:val="Wcicienormalne"/>
        <w:ind w:left="709"/>
      </w:pPr>
      <w:r>
        <w:t>- szczelność deskowań w płaszczyznach i narożach,</w:t>
      </w:r>
    </w:p>
    <w:p w:rsidR="005606BF" w:rsidRDefault="005606BF" w:rsidP="005606BF">
      <w:pPr>
        <w:pStyle w:val="Wcicienormalne"/>
        <w:ind w:left="709"/>
      </w:pPr>
      <w:r>
        <w:t>- poziom górnej krawędzi i powierzchni deskowań przed betonowaniem i po nim oraz porównanie z poziomem wymaganym.</w:t>
      </w:r>
    </w:p>
    <w:p w:rsidR="005606BF" w:rsidRDefault="005606BF" w:rsidP="005606BF">
      <w:pPr>
        <w:pStyle w:val="Wcicienormalne"/>
        <w:ind w:left="709"/>
      </w:pPr>
    </w:p>
    <w:p w:rsidR="005606BF" w:rsidRDefault="005606BF" w:rsidP="005606BF">
      <w:pPr>
        <w:pStyle w:val="Wcicienormalne"/>
        <w:ind w:left="0" w:firstLine="709"/>
        <w:jc w:val="both"/>
      </w:pPr>
      <w:r>
        <w:t>Rusztowania i deskowania w czasie betonowania powinny być przedmiotem kontroli geodezyjnej w nawiązaniu do niezależnych reperów</w:t>
      </w:r>
    </w:p>
    <w:p w:rsidR="005606BF" w:rsidRPr="005606BF" w:rsidRDefault="005606BF" w:rsidP="005606BF">
      <w:pPr>
        <w:pStyle w:val="Wcicienormalne"/>
        <w:ind w:left="0" w:firstLine="505"/>
        <w:jc w:val="both"/>
        <w:rPr>
          <w:rFonts w:ascii="Times New Roman" w:hAnsi="Times New Roman"/>
          <w:snapToGrid/>
        </w:rPr>
      </w:pPr>
      <w:r>
        <w:t xml:space="preserve">Kontrola stanu wyposażenia, oznakowania i zabezpieczeń deskowań i rusztowań powinna być </w:t>
      </w:r>
      <w:r w:rsidRPr="005606BF">
        <w:rPr>
          <w:rFonts w:ascii="Times New Roman" w:hAnsi="Times New Roman"/>
          <w:snapToGrid/>
        </w:rPr>
        <w:t>prowadzona codziennie przez cały okres prowadzonych robót. Podczas b</w:t>
      </w:r>
      <w:r>
        <w:rPr>
          <w:rFonts w:ascii="Times New Roman" w:hAnsi="Times New Roman"/>
          <w:snapToGrid/>
        </w:rPr>
        <w:t xml:space="preserve">udowy rusztowań i deskowań oraz </w:t>
      </w:r>
      <w:r w:rsidRPr="005606BF">
        <w:rPr>
          <w:rFonts w:ascii="Times New Roman" w:hAnsi="Times New Roman"/>
          <w:snapToGrid/>
        </w:rPr>
        <w:t>podczas ich obciążania mieszanką betonową powinny być prowadzone badania geodezyjne w nawiązaniu do reperów państwowych. Pomiary te powinny być prowadzone również w czasie dojrzewania betonu oraz przy rozbiórce deskowań i rusztowań aż do wykonania próbnego obciążenia.</w:t>
      </w:r>
    </w:p>
    <w:p w:rsidR="005606BF" w:rsidRDefault="005606BF" w:rsidP="005606BF">
      <w:pPr>
        <w:pStyle w:val="Wcicienormalne"/>
        <w:ind w:left="0" w:firstLine="505"/>
        <w:jc w:val="both"/>
      </w:pPr>
      <w:r>
        <w:t>Ocena rusztowań powinna być przeprowadzona na podstawie uzyskanych wyników i staleń w formie protokołu.</w:t>
      </w:r>
    </w:p>
    <w:p w:rsidR="005606BF" w:rsidRDefault="005606BF" w:rsidP="005606BF">
      <w:pPr>
        <w:pStyle w:val="Wcicienormalne"/>
        <w:ind w:left="0" w:firstLine="505"/>
        <w:jc w:val="both"/>
      </w:pPr>
      <w:r>
        <w:t>Rusztowania należy uznać za wykonane zgodnie z wymaganiami ST, jeżeli wszystkie badania dadzą wynik pozytywny. W przeciwnym przypadku zmontowana konstrukcja rusztowania lub jej część niewłaściwie wykonana powinna być doprowadzona do stanu zgodności ze ST i całość poddana ponownym badaniom.</w:t>
      </w:r>
    </w:p>
    <w:p w:rsidR="005606BF" w:rsidRDefault="005606BF" w:rsidP="005606BF">
      <w:pPr>
        <w:pStyle w:val="Wcicienormalne"/>
        <w:ind w:left="0"/>
      </w:pPr>
    </w:p>
    <w:p w:rsidR="005606BF" w:rsidRDefault="005606BF" w:rsidP="005606BF">
      <w:pPr>
        <w:pStyle w:val="Wcicienormalne"/>
        <w:ind w:left="0"/>
        <w:rPr>
          <w:rFonts w:ascii="Times New Roman" w:hAnsi="Times New Roman"/>
          <w:b/>
          <w:snapToGrid/>
        </w:rPr>
      </w:pPr>
      <w:r>
        <w:rPr>
          <w:rFonts w:ascii="Times New Roman" w:hAnsi="Times New Roman"/>
          <w:b/>
          <w:snapToGrid/>
        </w:rPr>
        <w:t>6.8. Badania składników mieszanki betonowej</w:t>
      </w:r>
    </w:p>
    <w:p w:rsidR="005606BF" w:rsidRDefault="005606BF" w:rsidP="005606BF">
      <w:pPr>
        <w:pStyle w:val="Wcicienormalne"/>
        <w:ind w:left="0" w:firstLine="709"/>
        <w:jc w:val="both"/>
      </w:pPr>
      <w:r>
        <w:t>Badania składników mieszanki betonowej powinny być wykonane przed przystąpieniem do przygotowania mieszanki betonowej oraz podczas wykonywania robót betonowych.</w:t>
      </w:r>
    </w:p>
    <w:p w:rsidR="005606BF" w:rsidRDefault="005606BF" w:rsidP="005606BF">
      <w:pPr>
        <w:pStyle w:val="Wcicienormalne"/>
        <w:ind w:left="0" w:firstLine="709"/>
        <w:jc w:val="both"/>
      </w:pPr>
      <w:r>
        <w:t>Akceptacja dostaw składników betonu – cementu, kruszyw, domieszek i dodatków następuje na podstawie dokumentów związanych z wprowadzaniem wyrobów budowlanych do obrotu i stosowania, czyli oznakowanych znakiem CE lub znakiem B i dla których Wykonawca (Producent) dołączył Deklarację Właściwości Użytkowych (DWU) lub Krajową Deklarację Właściwości Użytkowych (KDWU), odniesionych do Europejskiej Normy zharmonizowanej (ENh), Polskiej Normy wyrobu (PN), Europejskiej Oceny Technicznej (EOT) lub Krajowej Oceny Technicznej (KOT).</w:t>
      </w:r>
    </w:p>
    <w:p w:rsidR="005606BF" w:rsidRDefault="005606BF" w:rsidP="005606BF">
      <w:pPr>
        <w:pStyle w:val="Wcicienormalne"/>
        <w:ind w:left="0" w:firstLine="709"/>
        <w:jc w:val="both"/>
      </w:pPr>
      <w:r>
        <w:t>Wykonanie badań sprawdzających składniki mieszanki betonowej przed przystąpieniem do przygotowania mieszanki betonowej, czyli na etapie badań wstępnych, jak również bieżące badania kontrolne dostaw, są po stronie Producenta betonu i powinny swym zakresem być zgodne z zapisami księgi Zakładowej Kontroli Produkcji obowiązującej w danym zakładzie produkcyjnym.</w:t>
      </w:r>
    </w:p>
    <w:p w:rsidR="005606BF" w:rsidRDefault="005606BF" w:rsidP="005606BF">
      <w:pPr>
        <w:pStyle w:val="Wcicienormalne"/>
        <w:ind w:left="0" w:firstLine="709"/>
        <w:jc w:val="both"/>
      </w:pPr>
      <w:r>
        <w:t xml:space="preserve">Zakres badań składników mieszanki betonowej będący po stronie odbiorcy betonu (Wykonawcy, </w:t>
      </w:r>
      <w:r w:rsidR="00E6484E">
        <w:t>Zamawiający</w:t>
      </w:r>
      <w:r>
        <w:t>) powinien być określony w Specyfikacji Technicznej.</w:t>
      </w:r>
    </w:p>
    <w:p w:rsidR="005606BF" w:rsidRDefault="005606BF" w:rsidP="005606BF">
      <w:pPr>
        <w:pStyle w:val="Wcicienormalne"/>
        <w:ind w:left="0" w:firstLine="709"/>
        <w:jc w:val="both"/>
      </w:pPr>
      <w:r>
        <w:t xml:space="preserve">Zakres badań składników mieszanki betonowej będący po stronie Producenta betonu oraz odbiorcy betonu (Wykonawcy, </w:t>
      </w:r>
      <w:r w:rsidR="00E6484E">
        <w:t>Zamawiający</w:t>
      </w:r>
      <w:r>
        <w:t>) powinien co najmniej obejmować badania wyszczególnione w dalszych punktach.</w:t>
      </w:r>
    </w:p>
    <w:p w:rsidR="005606BF" w:rsidRDefault="005606BF" w:rsidP="005606BF">
      <w:pPr>
        <w:pStyle w:val="Wcicienormalne"/>
        <w:ind w:left="0"/>
      </w:pPr>
    </w:p>
    <w:p w:rsidR="005606BF" w:rsidRPr="0058500C" w:rsidRDefault="005606BF" w:rsidP="005606BF">
      <w:pPr>
        <w:pStyle w:val="Wcicienormalne"/>
        <w:ind w:left="0"/>
        <w:rPr>
          <w:rFonts w:ascii="Times New Roman" w:hAnsi="Times New Roman"/>
          <w:snapToGrid/>
        </w:rPr>
      </w:pPr>
      <w:r w:rsidRPr="0058500C">
        <w:rPr>
          <w:rFonts w:ascii="Times New Roman" w:hAnsi="Times New Roman"/>
          <w:snapToGrid/>
        </w:rPr>
        <w:t>6.</w:t>
      </w:r>
      <w:r w:rsidR="0058500C" w:rsidRPr="0058500C">
        <w:rPr>
          <w:rFonts w:ascii="Times New Roman" w:hAnsi="Times New Roman"/>
          <w:snapToGrid/>
        </w:rPr>
        <w:t>8</w:t>
      </w:r>
      <w:r w:rsidRPr="0058500C">
        <w:rPr>
          <w:rFonts w:ascii="Times New Roman" w:hAnsi="Times New Roman"/>
          <w:snapToGrid/>
        </w:rPr>
        <w:t>.</w:t>
      </w:r>
      <w:r w:rsidR="0058500C" w:rsidRPr="0058500C">
        <w:rPr>
          <w:rFonts w:ascii="Times New Roman" w:hAnsi="Times New Roman"/>
          <w:snapToGrid/>
        </w:rPr>
        <w:t>1</w:t>
      </w:r>
      <w:r w:rsidRPr="0058500C">
        <w:rPr>
          <w:rFonts w:ascii="Times New Roman" w:hAnsi="Times New Roman"/>
          <w:snapToGrid/>
        </w:rPr>
        <w:t xml:space="preserve"> Badania cementu</w:t>
      </w:r>
    </w:p>
    <w:p w:rsidR="005606BF" w:rsidRDefault="005606BF" w:rsidP="005606BF">
      <w:pPr>
        <w:pStyle w:val="Wcicienormalne"/>
        <w:ind w:left="0" w:firstLine="709"/>
        <w:jc w:val="both"/>
      </w:pPr>
      <w:r>
        <w:t>Bezpośrednio przed użyciem cementu konieczne jest sprawdzenie, czy deklarowane właściwości cementu potwierdzają zgodność z wymaganiami PN-EN 197-1 lub PN-B-19707</w:t>
      </w:r>
    </w:p>
    <w:p w:rsidR="005606BF" w:rsidRDefault="005606BF" w:rsidP="005606BF">
      <w:pPr>
        <w:pStyle w:val="Wcicienormalne"/>
        <w:ind w:left="0" w:firstLine="709"/>
        <w:jc w:val="both"/>
      </w:pPr>
      <w:r>
        <w:t xml:space="preserve">W przypadku wątpliwości co do </w:t>
      </w:r>
      <w:r w:rsidR="00E6484E">
        <w:t xml:space="preserve">jakości dostawy cementu </w:t>
      </w:r>
      <w:r w:rsidR="00031F9F">
        <w:t>przedstawiciel Zamawiającego</w:t>
      </w:r>
      <w:r>
        <w:t xml:space="preserve"> wydaje polecenie przeprowadzenia oznaczeń:</w:t>
      </w:r>
    </w:p>
    <w:p w:rsidR="005606BF" w:rsidRDefault="005606BF" w:rsidP="005606BF">
      <w:pPr>
        <w:pStyle w:val="Wcicienormalne"/>
        <w:ind w:left="709"/>
        <w:jc w:val="both"/>
      </w:pPr>
      <w:r>
        <w:t>- wczesnej wytrzymałości na ściskanie oraz wytrzymałości na ściskanie po 28 dniach, według PN-EN 196-1,</w:t>
      </w:r>
    </w:p>
    <w:p w:rsidR="005606BF" w:rsidRDefault="005606BF" w:rsidP="005606BF">
      <w:pPr>
        <w:pStyle w:val="Wcicienormalne"/>
        <w:ind w:left="0" w:firstLine="709"/>
      </w:pPr>
      <w:r>
        <w:t>- czasu wiązania według PN-EN 196-2,</w:t>
      </w:r>
    </w:p>
    <w:p w:rsidR="005606BF" w:rsidRDefault="005606BF" w:rsidP="005606BF">
      <w:pPr>
        <w:pStyle w:val="Wcicienormalne"/>
        <w:ind w:left="0" w:firstLine="709"/>
      </w:pPr>
      <w:r>
        <w:t>- stałości objętości według PN-EN 196-3.</w:t>
      </w:r>
    </w:p>
    <w:p w:rsidR="005606BF" w:rsidRDefault="005606BF" w:rsidP="005606BF">
      <w:pPr>
        <w:pStyle w:val="Wcicienormalne"/>
        <w:ind w:left="0"/>
      </w:pPr>
      <w:r>
        <w:t>Inne właściwości cementu powinny być określane i deklarowane przez producenta cementu.</w:t>
      </w:r>
    </w:p>
    <w:p w:rsidR="005606BF" w:rsidRDefault="005606BF" w:rsidP="005606BF">
      <w:pPr>
        <w:pStyle w:val="Wcicienormalne"/>
        <w:ind w:left="0"/>
      </w:pPr>
      <w:r>
        <w:t>Wyniki badań należy sprawdzić na zgodność z wymaganiami podanymi w PN-EN 197-1 lub PN-B-19707.</w:t>
      </w:r>
    </w:p>
    <w:p w:rsidR="005606BF" w:rsidRDefault="005606BF" w:rsidP="005606BF">
      <w:pPr>
        <w:pStyle w:val="Wcicienormalne"/>
        <w:ind w:left="0"/>
      </w:pPr>
    </w:p>
    <w:p w:rsidR="0058500C" w:rsidRPr="0058500C" w:rsidRDefault="0058500C" w:rsidP="0058500C">
      <w:pPr>
        <w:pStyle w:val="Wcicienormalne"/>
        <w:ind w:left="0"/>
        <w:rPr>
          <w:rFonts w:ascii="Times New Roman" w:hAnsi="Times New Roman"/>
          <w:snapToGrid/>
        </w:rPr>
      </w:pPr>
      <w:r w:rsidRPr="0058500C">
        <w:rPr>
          <w:rFonts w:ascii="Times New Roman" w:hAnsi="Times New Roman"/>
          <w:snapToGrid/>
        </w:rPr>
        <w:t>6.8.2 Badania kruszywa</w:t>
      </w:r>
    </w:p>
    <w:p w:rsidR="005606BF" w:rsidRDefault="0058500C" w:rsidP="0058500C">
      <w:pPr>
        <w:pStyle w:val="Wcicienormalne"/>
        <w:ind w:left="0" w:firstLine="709"/>
        <w:jc w:val="both"/>
      </w:pPr>
      <w:r>
        <w:t>Oznaczenie kategorii reaktywności osobno dla każdej frakcji kruszywa grubego i drobnego wg PB/1/18 należy przeprowadzać z częstotliwością określoną w pkt 6.4 Wytyczne techniczne klasyfikacji kruszyw krajowych i zapobiegania reakcji alkalicznej w betonie stosowanym w nawierzchniach dróg i drogowych obiektach inżynierskich.</w:t>
      </w:r>
    </w:p>
    <w:p w:rsidR="0058500C" w:rsidRDefault="0058500C" w:rsidP="005606BF">
      <w:pPr>
        <w:pStyle w:val="Wcicienormalne"/>
        <w:ind w:left="0"/>
      </w:pPr>
      <w:r>
        <w:t>W odniesieniu do pozostałych właściwości kruszyw, w przypadku dostarczonej partii kruszywa, której jakość budzi wątpliwości, należy przeprowadzić oznaczenie:</w:t>
      </w:r>
    </w:p>
    <w:p w:rsidR="0058500C" w:rsidRDefault="0058500C" w:rsidP="0058500C">
      <w:pPr>
        <w:pStyle w:val="Wcicienormalne"/>
        <w:ind w:left="0" w:firstLine="709"/>
      </w:pPr>
      <w:r>
        <w:t>- składu ziarnowego według PN-EN 933-1</w:t>
      </w:r>
    </w:p>
    <w:p w:rsidR="0058500C" w:rsidRDefault="0058500C" w:rsidP="0058500C">
      <w:pPr>
        <w:pStyle w:val="Wcicienormalne"/>
        <w:ind w:left="0" w:firstLine="709"/>
      </w:pPr>
      <w:r>
        <w:t>- kształtu ziaren według PN-EN 933-3 lub według PN-EN 933-4 (dot. kruszywa grubego),</w:t>
      </w:r>
    </w:p>
    <w:p w:rsidR="0058500C" w:rsidRDefault="0058500C" w:rsidP="0058500C">
      <w:pPr>
        <w:pStyle w:val="Wcicienormalne"/>
        <w:ind w:left="709"/>
      </w:pPr>
      <w:r>
        <w:t>- procentowej zawartości ziaren o powierzchni przekruszonej i łamanej wg PN-EN 9335 (dot. kruszywa grubego),</w:t>
      </w:r>
    </w:p>
    <w:p w:rsidR="0058500C" w:rsidRDefault="0058500C" w:rsidP="0058500C">
      <w:pPr>
        <w:pStyle w:val="Wcicienormalne"/>
        <w:ind w:left="0" w:firstLine="709"/>
      </w:pPr>
      <w:r>
        <w:t>- zawartości pyłów według PN-EN 933-1,</w:t>
      </w:r>
    </w:p>
    <w:p w:rsidR="0058500C" w:rsidRDefault="0058500C" w:rsidP="0058500C">
      <w:pPr>
        <w:pStyle w:val="Wcicienormalne"/>
        <w:ind w:left="0" w:firstLine="709"/>
      </w:pPr>
      <w:r>
        <w:t>- zawartości substancji organicznych według PN-EN 1744-1,</w:t>
      </w:r>
    </w:p>
    <w:p w:rsidR="0058500C" w:rsidRDefault="0058500C" w:rsidP="0058500C">
      <w:pPr>
        <w:pStyle w:val="Wcicienormalne"/>
        <w:ind w:left="0" w:firstLine="709"/>
      </w:pPr>
      <w:r>
        <w:t>- odporności kruszywa na rozdrabnianie według PN-EN 1097-2 (dot. kruszywa grubego),</w:t>
      </w:r>
    </w:p>
    <w:p w:rsidR="0058500C" w:rsidRDefault="0058500C" w:rsidP="0058500C">
      <w:pPr>
        <w:pStyle w:val="Wcicienormalne"/>
        <w:ind w:left="0" w:firstLine="709"/>
      </w:pPr>
      <w:r>
        <w:t>- mrozoodporności według PN-EN 1367-1 (dot. kruszywa grubego),</w:t>
      </w:r>
    </w:p>
    <w:p w:rsidR="0058500C" w:rsidRDefault="0058500C" w:rsidP="005606BF">
      <w:pPr>
        <w:pStyle w:val="Wcicienormalne"/>
        <w:ind w:left="0"/>
      </w:pPr>
      <w:r>
        <w:t>Wyniki badań należy sprawdzić na zgodność z wymaganiami podanymi w pkt. 2.3.2.</w:t>
      </w:r>
    </w:p>
    <w:p w:rsidR="0058500C" w:rsidRDefault="0058500C" w:rsidP="005606BF">
      <w:pPr>
        <w:pStyle w:val="Wcicienormalne"/>
        <w:ind w:left="0"/>
      </w:pPr>
    </w:p>
    <w:p w:rsidR="0058500C" w:rsidRDefault="0058500C" w:rsidP="005606BF">
      <w:pPr>
        <w:pStyle w:val="Wcicienormalne"/>
        <w:ind w:left="0"/>
      </w:pPr>
      <w:r>
        <w:t>6.8.3. Badanie wody</w:t>
      </w:r>
    </w:p>
    <w:p w:rsidR="0058500C" w:rsidRDefault="0058500C" w:rsidP="0058500C">
      <w:pPr>
        <w:pStyle w:val="Wcicienormalne"/>
        <w:ind w:left="0" w:firstLine="709"/>
      </w:pPr>
      <w:r>
        <w:t>W przypadku, gdy nie jest używana woda wodociągowa badania należy wykonać zgodnie z PN-EN 1008.</w:t>
      </w:r>
    </w:p>
    <w:p w:rsidR="0058500C" w:rsidRDefault="0058500C" w:rsidP="005606BF">
      <w:pPr>
        <w:pStyle w:val="Wcicienormalne"/>
        <w:ind w:left="0"/>
      </w:pPr>
    </w:p>
    <w:p w:rsidR="0058500C" w:rsidRDefault="0058500C" w:rsidP="005606BF">
      <w:pPr>
        <w:pStyle w:val="Wcicienormalne"/>
        <w:ind w:left="0"/>
      </w:pPr>
      <w:r>
        <w:t>6.8.4. Badanie domieszek i dodatków do betonów</w:t>
      </w:r>
    </w:p>
    <w:p w:rsidR="0058500C" w:rsidRDefault="0058500C" w:rsidP="0058500C">
      <w:pPr>
        <w:pStyle w:val="Wcicienormalne"/>
        <w:ind w:left="0" w:firstLine="709"/>
      </w:pPr>
      <w:r>
        <w:t>Domieszki do betonu należy przed użyciem sprawdzić na zgodność z PN-EN 934-2, poprzez sprawdzenie ich oznakowania znakiem CE i sprawdzenie Deklaracji Właściwości Użytkowych.</w:t>
      </w:r>
    </w:p>
    <w:p w:rsidR="0058500C" w:rsidRPr="00904A20" w:rsidRDefault="0058500C" w:rsidP="0058500C">
      <w:pPr>
        <w:pStyle w:val="Nagwek5"/>
        <w:rPr>
          <w:rFonts w:ascii="Times New Roman" w:hAnsi="Times New Roman"/>
          <w:b/>
          <w:snapToGrid/>
          <w:lang w:val="pl-PL"/>
        </w:rPr>
      </w:pPr>
      <w:r>
        <w:rPr>
          <w:rFonts w:ascii="Times New Roman" w:hAnsi="Times New Roman"/>
          <w:b/>
          <w:snapToGrid/>
          <w:lang w:val="pl-PL"/>
        </w:rPr>
        <w:t>6.9. Kontrola jakości mieszanki betonowej i betonu stwardniałego</w:t>
      </w:r>
    </w:p>
    <w:p w:rsidR="0058500C" w:rsidRDefault="0058500C" w:rsidP="005606BF">
      <w:pPr>
        <w:pStyle w:val="Wcicienormalne"/>
        <w:ind w:left="0"/>
      </w:pPr>
    </w:p>
    <w:p w:rsidR="0058500C" w:rsidRDefault="0058500C" w:rsidP="005606BF">
      <w:pPr>
        <w:pStyle w:val="Wcicienormalne"/>
        <w:ind w:left="0"/>
      </w:pPr>
      <w:r>
        <w:t>6.9.1 Zakres kontroli i pobór próbek do badań</w:t>
      </w:r>
    </w:p>
    <w:p w:rsidR="0058500C" w:rsidRDefault="00175BFE" w:rsidP="00175BFE">
      <w:pPr>
        <w:pStyle w:val="Wcicienormalne"/>
        <w:ind w:left="0" w:firstLine="709"/>
      </w:pPr>
      <w:r>
        <w:t>Kontroli podlegają następujące właściwości mieszanki betonowej i betonu:</w:t>
      </w:r>
    </w:p>
    <w:p w:rsidR="0058500C" w:rsidRDefault="00175BFE" w:rsidP="005606BF">
      <w:pPr>
        <w:pStyle w:val="Wcicienormalne"/>
        <w:ind w:left="0"/>
      </w:pPr>
      <w:r>
        <w:t>- konsystencja mieszanki betonowej,</w:t>
      </w:r>
    </w:p>
    <w:p w:rsidR="00175BFE" w:rsidRDefault="00175BFE" w:rsidP="005606BF">
      <w:pPr>
        <w:pStyle w:val="Wcicienormalne"/>
        <w:ind w:left="0"/>
      </w:pPr>
      <w:r>
        <w:t>- zawartość powietrza w mieszance betonowej oraz betonu stwardniałego</w:t>
      </w:r>
    </w:p>
    <w:p w:rsidR="00175BFE" w:rsidRDefault="00175BFE" w:rsidP="005606BF">
      <w:pPr>
        <w:pStyle w:val="Wcicienormalne"/>
        <w:ind w:left="0"/>
      </w:pPr>
      <w:r>
        <w:t>- wytrzymałość na ściskanie,</w:t>
      </w:r>
    </w:p>
    <w:p w:rsidR="0058500C" w:rsidRDefault="00175BFE" w:rsidP="005606BF">
      <w:pPr>
        <w:pStyle w:val="Wcicienormalne"/>
        <w:ind w:left="0"/>
      </w:pPr>
      <w:r>
        <w:t>- odporność na działanie mrozu,</w:t>
      </w:r>
    </w:p>
    <w:p w:rsidR="00175BFE" w:rsidRDefault="00175BFE" w:rsidP="005606BF">
      <w:pPr>
        <w:pStyle w:val="Wcicienormalne"/>
        <w:ind w:left="0"/>
      </w:pPr>
      <w:r>
        <w:t>- odporność na penetrację wody pod ciśnieniem.</w:t>
      </w:r>
    </w:p>
    <w:p w:rsidR="0058500C" w:rsidRDefault="0058500C" w:rsidP="005606BF">
      <w:pPr>
        <w:pStyle w:val="Wcicienormalne"/>
        <w:ind w:left="0"/>
      </w:pPr>
    </w:p>
    <w:p w:rsidR="0058500C" w:rsidRDefault="00175BFE" w:rsidP="00175BFE">
      <w:pPr>
        <w:pStyle w:val="Wcicienormalne"/>
        <w:ind w:left="0" w:firstLine="505"/>
        <w:jc w:val="both"/>
      </w:pPr>
      <w:r>
        <w:t>W kontroli właściwości mieszanki betonowej i betonu należy rozróżnić badania objęte obowiązkową kontrolą zgodności prowadzoną przez Producenta betonu według częstotliwości i kryteriów ustalonych w normach PN-EN 206 i PN-B 06265, a zawartych również w wymaganiach Zakładowej Kontroli Produkcji oraz badania objęte nieobowiązkową z punktu widzenia normy PN-EN 206 kontrolą identyczności prowadzoną przez stronę odbiera</w:t>
      </w:r>
      <w:r w:rsidR="00E6484E">
        <w:t>jącą beton (Wykonawcę, Zamawiającego</w:t>
      </w:r>
      <w:r>
        <w:t>).</w:t>
      </w:r>
    </w:p>
    <w:p w:rsidR="00175BFE" w:rsidRDefault="00175BFE" w:rsidP="00175BFE">
      <w:pPr>
        <w:pStyle w:val="Wcicienormalne"/>
        <w:ind w:left="0" w:firstLine="505"/>
        <w:jc w:val="both"/>
      </w:pPr>
      <w:r>
        <w:t xml:space="preserve">W czasie Robót Wykonawca prowadzi kontrolę identyczności mieszanki betonowej i betonu na podstawie planu pobierania i badania próbek, które należy pobierać w miejscu rozładunku mieszanki betonowej z betonowozu lub w przypadku stosowania pompy do układania mieszanki, przy wylocie z pompy. Plan powinien zawierać m.in. podział obiektu (konstrukcji) na części podlegające osobnej ocenie, częstotliwość pobierania próbek do kontroli mieszanki betonowej i betonu. Plan kontroli identyczności betonu podlega akceptacji </w:t>
      </w:r>
      <w:r w:rsidR="00031F9F">
        <w:t xml:space="preserve">przedstawiciela </w:t>
      </w:r>
      <w:r w:rsidR="00E6484E">
        <w:t>Zamawiającego/</w:t>
      </w:r>
      <w:r>
        <w:t>Inżyniera/Inspektora Nadzoru.</w:t>
      </w:r>
    </w:p>
    <w:p w:rsidR="00175BFE" w:rsidRDefault="00175BFE" w:rsidP="00175BFE">
      <w:pPr>
        <w:pStyle w:val="Wcicienormalne"/>
        <w:ind w:left="0" w:firstLine="505"/>
        <w:jc w:val="both"/>
      </w:pPr>
      <w:r>
        <w:t>Próbki mieszanki betonu samozagęszczalnego SCC wolno pobierać jedynie ze środka wylewanej z betonowozu strugi i przenosić w sposób wykluczający ich segregację. Kostki do badań należy wypełniać centrycznie przez zalewanie, a przy wypełnianiu form z łopatki musi być ona „okręcana” w sposób wykluczający płynięcie grubego kruszywa do przodu i „zawijanie się” zaprawy do tyłu. Wypełnionych form nie wolno ustawiać w miejscach narażonych na wibracje (jak np. stopnie pracującej pompy do betonu, gdzie często pobiera się próbki).</w:t>
      </w:r>
    </w:p>
    <w:p w:rsidR="00175BFE" w:rsidRDefault="00175BFE" w:rsidP="00693B65">
      <w:pPr>
        <w:pStyle w:val="Wcicienormalne"/>
        <w:ind w:left="0"/>
        <w:jc w:val="both"/>
      </w:pPr>
    </w:p>
    <w:p w:rsidR="00693B65" w:rsidRDefault="00693B65" w:rsidP="00693B65">
      <w:pPr>
        <w:pStyle w:val="Wcicienormalne"/>
        <w:ind w:left="0"/>
        <w:jc w:val="both"/>
      </w:pPr>
      <w:r>
        <w:t>6.9.2. Sprawdzenie konsystencji mieszanki betonowej</w:t>
      </w:r>
    </w:p>
    <w:p w:rsidR="00693B65" w:rsidRDefault="00693B65" w:rsidP="00693B65">
      <w:pPr>
        <w:pStyle w:val="Wcicienormalne"/>
        <w:ind w:left="0" w:firstLine="505"/>
        <w:jc w:val="both"/>
      </w:pPr>
      <w:r>
        <w:t>Sprawdzenie konsystencji przeprowadza się zgodnie z planem pobierania i badania próbek. Badanie konsystencji metodą opadu stożka przeprowadza się zgodnie z PN-EN 12350-2, dla mieszanek SCC badanie konsystencji przeprowadza się metodą rozpływu stożka zgodnie z PN-EN 12350-8. Dodatkowe właściwości mieszanek SCC należy badać według określonej metody, zgodnie z normami przywołanymi w PN-EN 206.</w:t>
      </w:r>
    </w:p>
    <w:p w:rsidR="00175BFE" w:rsidRDefault="00693B65" w:rsidP="00693B65">
      <w:pPr>
        <w:pStyle w:val="Wcicienormalne"/>
        <w:ind w:left="0" w:firstLine="505"/>
        <w:jc w:val="both"/>
      </w:pPr>
      <w:r>
        <w:t>Na stanowisku betonowania konsystencja powinna być sprawdzana co najmniej trzy razy na pierwsze 50 m3 mieszanki do ustabilizowania się konsystencji, a później każdorazowo przy wykonywaniu próbek do badania przy badaniu zawartości powietrza lub w przypadku wątpliwości związanych z jakością. Przy stosowaniu pomp do układania mieszanki betonowej wymaga się sprawdzenia konsystencji przy wylocie.</w:t>
      </w:r>
    </w:p>
    <w:p w:rsidR="0058500C" w:rsidRDefault="00693B65" w:rsidP="00693B65">
      <w:pPr>
        <w:pStyle w:val="Wcicienormalne"/>
        <w:ind w:left="0" w:firstLine="505"/>
        <w:jc w:val="both"/>
      </w:pPr>
      <w:r>
        <w:t>Pomiar konsystencji należy wykonać na próbce punktowej pobranej na początku rozładunku. Próbkę punktową należy pobrać po rozładowaniu około 0,3 m3 mieszanki zgodnie z PN-EN 12350-1</w:t>
      </w:r>
    </w:p>
    <w:p w:rsidR="00693B65" w:rsidRDefault="00693B65" w:rsidP="00693B65">
      <w:pPr>
        <w:pStyle w:val="Wcicienormalne"/>
        <w:ind w:left="0" w:firstLine="505"/>
        <w:jc w:val="both"/>
      </w:pPr>
      <w:r>
        <w:t>Kryteria badania i oceny identyczności dla konsystencji wykonywanych przez odbio</w:t>
      </w:r>
      <w:r w:rsidR="00E6484E">
        <w:t>rcę betonu (Wykonawcę, Zamawiającego</w:t>
      </w:r>
      <w:r>
        <w:t>) są takie same jak kryteria dla oceny zgodności dla tego parametru, wykonywanej przez Producenta betonu.</w:t>
      </w:r>
    </w:p>
    <w:p w:rsidR="00693B65" w:rsidRDefault="00693B65" w:rsidP="00693B65">
      <w:pPr>
        <w:pStyle w:val="Wcicienormalne"/>
        <w:ind w:left="0" w:firstLine="505"/>
        <w:jc w:val="both"/>
      </w:pPr>
      <w:r>
        <w:t>Maksymalne dopuszczalne odchylenia pojedynczego oznaczenia kontrolowanej konsystencji lub dodatkowych właściwości mieszanek SCC od granic przyjętej klasy podano w Tabeli 16.</w:t>
      </w:r>
    </w:p>
    <w:p w:rsidR="00693B65" w:rsidRDefault="00693B65" w:rsidP="00693B65">
      <w:pPr>
        <w:pStyle w:val="Wcicienormalne"/>
        <w:ind w:left="0" w:firstLine="505"/>
        <w:jc w:val="both"/>
      </w:pPr>
      <w:r>
        <w:t>W Tabeli 17 podano maksymalne dopuszczalne tolerancje pojedynczego oznaczenia kontrolowanej konsystencji lub właściwości dodatkowych mieszanek SCC od założonej wartości.</w:t>
      </w:r>
    </w:p>
    <w:p w:rsidR="00693B65" w:rsidRDefault="00693B65" w:rsidP="00693B65">
      <w:pPr>
        <w:pStyle w:val="Wcicienormalne"/>
        <w:ind w:left="0" w:firstLine="505"/>
        <w:jc w:val="both"/>
      </w:pPr>
    </w:p>
    <w:p w:rsidR="00693B65" w:rsidRDefault="00693B65" w:rsidP="00693B65">
      <w:pPr>
        <w:pStyle w:val="Wcicienormalne"/>
        <w:ind w:left="0" w:firstLine="505"/>
        <w:jc w:val="center"/>
      </w:pPr>
      <w:r>
        <w:t>Tabela 16. Ocena zgodności w miejscu dostawy dotycząca klas konsystencji oraz właściwości dodatkowych mieszanek SCC</w:t>
      </w:r>
    </w:p>
    <w:p w:rsidR="00693B65" w:rsidRDefault="00693B65" w:rsidP="00693B65">
      <w:pPr>
        <w:pStyle w:val="Wcicienormalne"/>
        <w:ind w:left="0" w:firstLine="505"/>
        <w:jc w:val="both"/>
      </w:pPr>
    </w:p>
    <w:p w:rsidR="00693B65" w:rsidRDefault="00693B65" w:rsidP="00693B65">
      <w:pPr>
        <w:pStyle w:val="Wcicienormalne"/>
        <w:ind w:left="0" w:firstLine="505"/>
        <w:jc w:val="center"/>
      </w:pPr>
      <w:r>
        <w:rPr>
          <w:noProof/>
          <w:snapToGrid/>
        </w:rPr>
        <w:drawing>
          <wp:inline distT="0" distB="0" distL="0" distR="0">
            <wp:extent cx="5305425" cy="2815590"/>
            <wp:effectExtent l="0" t="0" r="9525" b="3810"/>
            <wp:docPr id="76" name="Obraz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305425" cy="2815590"/>
                    </a:xfrm>
                    <a:prstGeom prst="rect">
                      <a:avLst/>
                    </a:prstGeom>
                    <a:noFill/>
                    <a:ln>
                      <a:noFill/>
                    </a:ln>
                  </pic:spPr>
                </pic:pic>
              </a:graphicData>
            </a:graphic>
          </wp:inline>
        </w:drawing>
      </w:r>
    </w:p>
    <w:p w:rsidR="00693B65" w:rsidRDefault="00693B65" w:rsidP="00693B65">
      <w:pPr>
        <w:pStyle w:val="Wcicienormalne"/>
        <w:ind w:left="0" w:firstLine="505"/>
        <w:jc w:val="both"/>
      </w:pPr>
    </w:p>
    <w:p w:rsidR="00693B65" w:rsidRDefault="00693B65" w:rsidP="00693B65">
      <w:pPr>
        <w:pStyle w:val="Wcicienormalne"/>
        <w:ind w:left="0" w:firstLine="505"/>
        <w:jc w:val="center"/>
      </w:pPr>
      <w:r>
        <w:t>Tabela 17 Kryteria zgodności dotyczące założonych wartości dla konsystencji i lepkości</w:t>
      </w:r>
    </w:p>
    <w:p w:rsidR="00693B65" w:rsidRDefault="00693B65" w:rsidP="005606BF">
      <w:pPr>
        <w:pStyle w:val="Wcicienormalne"/>
        <w:ind w:left="0"/>
      </w:pPr>
    </w:p>
    <w:p w:rsidR="00693B65" w:rsidRDefault="00A634E4" w:rsidP="00A634E4">
      <w:pPr>
        <w:pStyle w:val="Wcicienormalne"/>
        <w:ind w:left="0"/>
        <w:jc w:val="center"/>
      </w:pPr>
      <w:r>
        <w:rPr>
          <w:noProof/>
          <w:snapToGrid/>
        </w:rPr>
        <w:drawing>
          <wp:inline distT="0" distB="0" distL="0" distR="0">
            <wp:extent cx="5233035" cy="1910080"/>
            <wp:effectExtent l="0" t="0" r="5715" b="0"/>
            <wp:docPr id="77" name="Obraz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33035" cy="1910080"/>
                    </a:xfrm>
                    <a:prstGeom prst="rect">
                      <a:avLst/>
                    </a:prstGeom>
                    <a:noFill/>
                    <a:ln>
                      <a:noFill/>
                    </a:ln>
                  </pic:spPr>
                </pic:pic>
              </a:graphicData>
            </a:graphic>
          </wp:inline>
        </w:drawing>
      </w:r>
    </w:p>
    <w:p w:rsidR="00693B65" w:rsidRDefault="00693B65" w:rsidP="005606BF">
      <w:pPr>
        <w:pStyle w:val="Wcicienormalne"/>
        <w:ind w:left="0"/>
      </w:pPr>
    </w:p>
    <w:p w:rsidR="00A634E4" w:rsidRDefault="00A634E4" w:rsidP="005606BF">
      <w:pPr>
        <w:pStyle w:val="Wcicienormalne"/>
        <w:ind w:left="0"/>
      </w:pPr>
      <w:r>
        <w:t>6.9.3. Sprawdzenie zawartości powietrza</w:t>
      </w:r>
    </w:p>
    <w:p w:rsidR="00A634E4" w:rsidRDefault="00A634E4" w:rsidP="00A634E4">
      <w:pPr>
        <w:pStyle w:val="Wcicienormalne"/>
        <w:ind w:left="0" w:firstLine="505"/>
        <w:jc w:val="both"/>
      </w:pPr>
      <w:r>
        <w:t>Sprawdzenie zawartości powietrza w mieszance betonowej przeprowadza się zgodnie z planem pobierania i badania próbek. Badanie zawartości powietrza w mieszance betonowej przeprowadza się zgodnie z PN-EN 12350-7. Na stanowisku betonowania zawartość powietrza w mieszance powinna być sprawdzana co najmniej trzy razy na pierwsze 50 m3 mieszanki do ustabilizowania się właściwej zawartości powietrza, a później każdorazowo przy wykonywaniu próbek do badania projektowanej wytrzymałości oraz dodatkowo, w przypadku wątpliwości związanych z jakością.</w:t>
      </w:r>
    </w:p>
    <w:p w:rsidR="00A634E4" w:rsidRDefault="00A634E4" w:rsidP="00A634E4">
      <w:pPr>
        <w:pStyle w:val="Wcicienormalne"/>
        <w:ind w:left="0" w:firstLine="505"/>
        <w:jc w:val="both"/>
      </w:pPr>
      <w:r>
        <w:t>Różnice pomiędzy przyjętą zawartością powietrza w mieszance a kontrolowaną nie powinny być większe niż: – 0,5 % / + 1 % . Zawartość powietrza w mieszance betonowej sprawdza się w miejscu dostawy betonu konstrukcyjnego napowietrzonego. Przy stosowaniu pomp do układania mieszanki betonowej wymaga się sprawdzenia zawartości powietrza w mieszance przy wylocie.</w:t>
      </w:r>
    </w:p>
    <w:p w:rsidR="00A634E4" w:rsidRDefault="00A634E4" w:rsidP="00A634E4">
      <w:pPr>
        <w:pStyle w:val="Wcicienormalne"/>
        <w:ind w:left="0" w:firstLine="505"/>
        <w:jc w:val="both"/>
      </w:pPr>
    </w:p>
    <w:p w:rsidR="00A634E4" w:rsidRDefault="00A634E4" w:rsidP="00A634E4">
      <w:pPr>
        <w:pStyle w:val="Wcicienormalne"/>
        <w:ind w:left="0"/>
        <w:jc w:val="both"/>
      </w:pPr>
      <w:r>
        <w:t>6.9.4. Sprawdzenie wyrzmałości betonu na ściskanie</w:t>
      </w:r>
    </w:p>
    <w:p w:rsidR="00A634E4" w:rsidRDefault="00A634E4" w:rsidP="00A634E4">
      <w:pPr>
        <w:pStyle w:val="Wcicienormalne"/>
        <w:ind w:left="0" w:firstLine="709"/>
        <w:jc w:val="both"/>
      </w:pPr>
      <w:r>
        <w:t xml:space="preserve">Próbki do badania wytrzymałości na ściskanie betonu wykonuje się zgodnie z planem pobierania i badania próbek. Na stanowisku betonowania należy wykonywać próbki o liczności określonej w planie, lecz nie mniej niż 6 próbek (co najmniej parami z tej samej próbki mieszanki betonowej) z jednego elementu lub grupy elementów betonowanych tego samego dnia oraz dodatkowo, w przypadku wątpliwości związanych z jakością i na polecenie </w:t>
      </w:r>
      <w:r w:rsidR="00031F9F">
        <w:t xml:space="preserve">przedstawiciela </w:t>
      </w:r>
      <w:r w:rsidR="00E6484E">
        <w:t>Zamawiającego/</w:t>
      </w:r>
      <w:r>
        <w:t>Inżyniera/Inspektora Nadzoru.</w:t>
      </w:r>
    </w:p>
    <w:p w:rsidR="00A634E4" w:rsidRDefault="00A634E4" w:rsidP="00A634E4">
      <w:pPr>
        <w:pStyle w:val="Wcicienormalne"/>
        <w:ind w:left="0" w:firstLine="505"/>
        <w:jc w:val="both"/>
      </w:pPr>
      <w:r>
        <w:t>Badanie wytrzymałości na ściskanie przeprowadza się zgodnie z PN-EN 12390-3 na próbkach sześciennych o boku 150 mm lub o walcowych o wymiarach 150/300 mm</w:t>
      </w:r>
    </w:p>
    <w:p w:rsidR="00A634E4" w:rsidRDefault="00A634E4" w:rsidP="00A634E4">
      <w:pPr>
        <w:pStyle w:val="Wcicienormalne"/>
        <w:ind w:left="0" w:firstLine="505"/>
        <w:jc w:val="both"/>
      </w:pPr>
      <w:r>
        <w:t>Sposób pobrania próbek mieszanki betonowej powinien być zgodny z PN-EN 12350-1. Próbki wykonuje się i pielęgnuje zgodnie z normą PN-EN 12390-2. Dopuszcza się oznaczenie wytrzymałości na ściskanie na próbkach sześciennych o boku 100 mm lub 200 mm, z zachowaniem następujących zależności:</w:t>
      </w:r>
    </w:p>
    <w:p w:rsidR="00A634E4" w:rsidRDefault="00A634E4" w:rsidP="00A634E4">
      <w:pPr>
        <w:pStyle w:val="Wcicienormalne"/>
        <w:ind w:left="0" w:firstLine="505"/>
        <w:jc w:val="both"/>
      </w:pPr>
      <w:r>
        <w:t>- fc, cube (150 mm)=0,95 × fc, cube (100 mm), dla próbek o boku 100mm</w:t>
      </w:r>
    </w:p>
    <w:p w:rsidR="00A634E4" w:rsidRDefault="00A634E4" w:rsidP="00A634E4">
      <w:pPr>
        <w:pStyle w:val="Wcicienormalne"/>
        <w:ind w:left="0" w:firstLine="505"/>
        <w:jc w:val="both"/>
      </w:pPr>
      <w:r>
        <w:t>- fc, cube (150 mm)=1,05 × fc, cube (200 mm), dla próbek o boku 200mm.</w:t>
      </w:r>
    </w:p>
    <w:p w:rsidR="00A634E4" w:rsidRDefault="00A634E4" w:rsidP="00A634E4">
      <w:pPr>
        <w:pStyle w:val="Wcicienormalne"/>
        <w:ind w:left="0" w:firstLine="505"/>
        <w:jc w:val="both"/>
      </w:pPr>
    </w:p>
    <w:p w:rsidR="00A634E4" w:rsidRDefault="00A634E4" w:rsidP="00A634E4">
      <w:pPr>
        <w:pStyle w:val="Wcicienormalne"/>
        <w:ind w:left="0" w:firstLine="505"/>
        <w:jc w:val="both"/>
      </w:pPr>
      <w:r>
        <w:t>Wynik badania powinien stanowić średnią z wyników dwóch lub więcej próbek do badania wykonanych z jednej próbki mieszanki i badanych w tym samym wieku. Jeżeli wartości badania różnią się o więcej niż 15 % od średniej, wyniki te należy pominąć.</w:t>
      </w:r>
    </w:p>
    <w:p w:rsidR="00A634E4" w:rsidRDefault="00067EC7" w:rsidP="00A634E4">
      <w:pPr>
        <w:pStyle w:val="Wcicienormalne"/>
        <w:ind w:left="0" w:firstLine="505"/>
        <w:jc w:val="both"/>
      </w:pPr>
      <w:r>
        <w:t>Wytrzymałość betonu na ściskanie należy oznaczyć w zależności od rodzaju zastosowanego cementu zgodnie z PN-B-06265 9 (Tabela 18).</w:t>
      </w:r>
    </w:p>
    <w:p w:rsidR="00A634E4" w:rsidRDefault="00A634E4" w:rsidP="00A634E4">
      <w:pPr>
        <w:pStyle w:val="Wcicienormalne"/>
        <w:ind w:left="0" w:firstLine="505"/>
        <w:jc w:val="both"/>
      </w:pPr>
    </w:p>
    <w:p w:rsidR="00693B65" w:rsidRDefault="00067EC7" w:rsidP="00067EC7">
      <w:pPr>
        <w:pStyle w:val="Wcicienormalne"/>
        <w:ind w:left="0"/>
        <w:jc w:val="center"/>
      </w:pPr>
      <w:r>
        <w:t>Tabela 18. Czas równoważny wykonywania badań betonu w zależności od rodzaju zastosowanego cementu</w:t>
      </w:r>
    </w:p>
    <w:p w:rsidR="00067EC7" w:rsidRDefault="00067EC7" w:rsidP="005606BF">
      <w:pPr>
        <w:pStyle w:val="Wcicienormalne"/>
        <w:ind w:left="0"/>
      </w:pPr>
    </w:p>
    <w:p w:rsidR="00067EC7" w:rsidRDefault="00067EC7" w:rsidP="00067EC7">
      <w:pPr>
        <w:pStyle w:val="Wcicienormalne"/>
        <w:ind w:left="0"/>
        <w:jc w:val="center"/>
      </w:pPr>
      <w:r>
        <w:rPr>
          <w:noProof/>
          <w:snapToGrid/>
        </w:rPr>
        <w:drawing>
          <wp:inline distT="0" distB="0" distL="0" distR="0">
            <wp:extent cx="5250815" cy="751205"/>
            <wp:effectExtent l="0" t="0" r="6985" b="0"/>
            <wp:docPr id="79" name="Obraz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50815" cy="751205"/>
                    </a:xfrm>
                    <a:prstGeom prst="rect">
                      <a:avLst/>
                    </a:prstGeom>
                    <a:noFill/>
                    <a:ln>
                      <a:noFill/>
                    </a:ln>
                  </pic:spPr>
                </pic:pic>
              </a:graphicData>
            </a:graphic>
          </wp:inline>
        </w:drawing>
      </w:r>
    </w:p>
    <w:p w:rsidR="00067EC7" w:rsidRDefault="00067EC7" w:rsidP="00067EC7">
      <w:pPr>
        <w:pStyle w:val="Wcicienormalne"/>
        <w:ind w:left="0"/>
        <w:jc w:val="center"/>
      </w:pPr>
      <w:r>
        <w:t>Tabela 19. Kryteria identyczności dotyczące wytrzymałości na ściskanie w przypadku betonu wytwarzanego w warunkach certyfikowanej kontroli produkcji</w:t>
      </w:r>
    </w:p>
    <w:p w:rsidR="00067EC7" w:rsidRDefault="00067EC7" w:rsidP="005606BF">
      <w:pPr>
        <w:pStyle w:val="Wcicienormalne"/>
        <w:ind w:left="0"/>
      </w:pPr>
    </w:p>
    <w:p w:rsidR="00067EC7" w:rsidRDefault="00067EC7" w:rsidP="00067EC7">
      <w:pPr>
        <w:pStyle w:val="Wcicienormalne"/>
        <w:ind w:left="0"/>
        <w:jc w:val="center"/>
      </w:pPr>
      <w:r>
        <w:rPr>
          <w:noProof/>
          <w:snapToGrid/>
        </w:rPr>
        <w:drawing>
          <wp:inline distT="0" distB="0" distL="0" distR="0">
            <wp:extent cx="5233035" cy="1729105"/>
            <wp:effectExtent l="0" t="0" r="5715" b="4445"/>
            <wp:docPr id="80" name="Obraz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233035" cy="1729105"/>
                    </a:xfrm>
                    <a:prstGeom prst="rect">
                      <a:avLst/>
                    </a:prstGeom>
                    <a:noFill/>
                    <a:ln>
                      <a:noFill/>
                    </a:ln>
                  </pic:spPr>
                </pic:pic>
              </a:graphicData>
            </a:graphic>
          </wp:inline>
        </w:drawing>
      </w:r>
    </w:p>
    <w:p w:rsidR="00067EC7" w:rsidRDefault="00067EC7" w:rsidP="005606BF">
      <w:pPr>
        <w:pStyle w:val="Wcicienormalne"/>
        <w:ind w:left="0"/>
      </w:pPr>
    </w:p>
    <w:p w:rsidR="001C4C46" w:rsidRDefault="001C4C46" w:rsidP="001C4C46">
      <w:pPr>
        <w:pStyle w:val="Wcicienormalne"/>
        <w:ind w:left="0"/>
        <w:jc w:val="both"/>
      </w:pPr>
      <w:r>
        <w:t>6.9.5. Sprowadzenie odporności betonu na działanie mrozu</w:t>
      </w:r>
    </w:p>
    <w:p w:rsidR="001C4C46" w:rsidRDefault="00AB16C1" w:rsidP="00AB16C1">
      <w:pPr>
        <w:pStyle w:val="Wcicienormalne"/>
        <w:ind w:left="0" w:firstLine="505"/>
        <w:jc w:val="both"/>
      </w:pPr>
      <w:r>
        <w:t>Sprawdzenie odporności betonu na działanie mrozu przeprowadza się na próbkach wykonanych na stanowisku betonowania zgodnie z planem pobierania i badania próbek, co najmniej raz z jednego elementu lub grupy elementów w okresie wykonywania obiektu, ale nie rzadziej niż jeden raz na 5000 m3 betonu.</w:t>
      </w:r>
    </w:p>
    <w:p w:rsidR="001C4C46" w:rsidRDefault="00AB16C1" w:rsidP="001C4C46">
      <w:pPr>
        <w:pStyle w:val="Wcicienormalne"/>
        <w:ind w:left="0"/>
        <w:jc w:val="both"/>
      </w:pPr>
      <w:r>
        <w:t>Badanie odporności betonu na działanie mrozu przeprowadza się metodą zgodnie z Załącznikiem N normy PN-B-06265.</w:t>
      </w:r>
    </w:p>
    <w:p w:rsidR="00AB16C1" w:rsidRDefault="00AB16C1" w:rsidP="00AB16C1">
      <w:pPr>
        <w:pStyle w:val="Wcicienormalne"/>
        <w:ind w:left="0" w:firstLine="505"/>
        <w:jc w:val="both"/>
      </w:pPr>
      <w:r>
        <w:t>Badanie mrozoodporności należy rozpocząć w czasie równoważnym w zależności od rodzaju zastosowanego cementu. Wymagany stopień mrozoodporności betonu jest osiągnięty, jeżeli po wymaganej liczbie cykli zamrażania i odmrażania, spełnione są następujące warunki:</w:t>
      </w:r>
    </w:p>
    <w:p w:rsidR="00AB16C1" w:rsidRDefault="00AB16C1" w:rsidP="00AB16C1">
      <w:pPr>
        <w:pStyle w:val="Wcicienormalne"/>
        <w:ind w:left="0" w:firstLine="505"/>
        <w:jc w:val="both"/>
      </w:pPr>
      <w:r>
        <w:t>- próbka nie wykazuje pęknięć,</w:t>
      </w:r>
    </w:p>
    <w:p w:rsidR="00AB16C1" w:rsidRDefault="00AB16C1" w:rsidP="00AB16C1">
      <w:pPr>
        <w:pStyle w:val="Wcicienormalne"/>
        <w:ind w:left="0" w:firstLine="505"/>
        <w:jc w:val="both"/>
      </w:pPr>
      <w:r>
        <w:t>- łączna masa ubytków betonu nie przekracza 5 % masy próbek nie zamrażanych,</w:t>
      </w:r>
    </w:p>
    <w:p w:rsidR="00AB16C1" w:rsidRDefault="00AB16C1" w:rsidP="00AB16C1">
      <w:pPr>
        <w:pStyle w:val="Wcicienormalne"/>
        <w:ind w:left="505"/>
        <w:jc w:val="both"/>
      </w:pPr>
      <w:r>
        <w:t>- obniżenie wytrzymałości na ściskanie jest nie większe niż 20 % w stosunku do wytrzymałości próbek nie zamrażanych.</w:t>
      </w:r>
    </w:p>
    <w:p w:rsidR="00AB16C1" w:rsidRDefault="00AB16C1" w:rsidP="00AB16C1">
      <w:pPr>
        <w:pStyle w:val="Wcicienormalne"/>
        <w:ind w:left="505"/>
        <w:jc w:val="both"/>
      </w:pPr>
    </w:p>
    <w:p w:rsidR="00AB16C1" w:rsidRDefault="00AB16C1" w:rsidP="00AB16C1">
      <w:pPr>
        <w:pStyle w:val="Wcicienormalne"/>
        <w:ind w:left="505"/>
        <w:jc w:val="both"/>
      </w:pPr>
    </w:p>
    <w:p w:rsidR="00AB16C1" w:rsidRDefault="00AB16C1" w:rsidP="00AB16C1">
      <w:pPr>
        <w:pStyle w:val="Wcicienormalne"/>
        <w:ind w:left="505"/>
        <w:jc w:val="both"/>
      </w:pPr>
    </w:p>
    <w:p w:rsidR="00AB16C1" w:rsidRDefault="00AB16C1" w:rsidP="00AB16C1">
      <w:pPr>
        <w:pStyle w:val="Wcicienormalne"/>
        <w:ind w:left="505"/>
        <w:jc w:val="both"/>
      </w:pPr>
    </w:p>
    <w:p w:rsidR="00AB16C1" w:rsidRDefault="00AB16C1" w:rsidP="00AB16C1">
      <w:pPr>
        <w:pStyle w:val="Wcicienormalne"/>
        <w:ind w:left="505"/>
        <w:jc w:val="both"/>
      </w:pPr>
    </w:p>
    <w:p w:rsidR="00AB16C1" w:rsidRDefault="00AB16C1" w:rsidP="00AB16C1">
      <w:pPr>
        <w:pStyle w:val="Wcicienormalne"/>
        <w:ind w:left="505"/>
        <w:jc w:val="both"/>
      </w:pPr>
    </w:p>
    <w:p w:rsidR="00AB16C1" w:rsidRDefault="00AB16C1" w:rsidP="00AB16C1">
      <w:pPr>
        <w:pStyle w:val="Wcicienormalne"/>
        <w:ind w:left="505"/>
        <w:jc w:val="both"/>
      </w:pPr>
    </w:p>
    <w:p w:rsidR="00AB16C1" w:rsidRDefault="00AB16C1" w:rsidP="00AB16C1">
      <w:pPr>
        <w:pStyle w:val="Wcicienormalne"/>
        <w:ind w:left="505"/>
        <w:jc w:val="both"/>
      </w:pPr>
    </w:p>
    <w:p w:rsidR="00AB16C1" w:rsidRDefault="00AB16C1" w:rsidP="00AB16C1">
      <w:pPr>
        <w:pStyle w:val="Wcicienormalne"/>
        <w:ind w:left="505"/>
        <w:jc w:val="both"/>
      </w:pPr>
    </w:p>
    <w:p w:rsidR="00AB16C1" w:rsidRDefault="00AB16C1" w:rsidP="00AB16C1">
      <w:pPr>
        <w:pStyle w:val="Wcicienormalne"/>
        <w:ind w:left="0" w:firstLine="505"/>
        <w:jc w:val="both"/>
      </w:pPr>
    </w:p>
    <w:p w:rsidR="00AB16C1" w:rsidRDefault="00AB16C1" w:rsidP="00AB16C1">
      <w:pPr>
        <w:pStyle w:val="Wcicienormalne"/>
        <w:ind w:left="0"/>
        <w:jc w:val="center"/>
      </w:pPr>
      <w:r>
        <w:t>Tabela 20. Wymagana liczba cykli zamrażania/rozmrażania dla danego stopnia mrozoodporności</w:t>
      </w:r>
    </w:p>
    <w:p w:rsidR="00AB16C1" w:rsidRDefault="00AB16C1" w:rsidP="00AB16C1">
      <w:pPr>
        <w:pStyle w:val="Wcicienormalne"/>
        <w:ind w:left="0" w:firstLine="505"/>
        <w:jc w:val="both"/>
      </w:pPr>
    </w:p>
    <w:p w:rsidR="00AB16C1" w:rsidRDefault="00AB16C1" w:rsidP="00AB16C1">
      <w:pPr>
        <w:pStyle w:val="Wcicienormalne"/>
        <w:ind w:left="0" w:firstLine="505"/>
        <w:jc w:val="center"/>
      </w:pPr>
      <w:r>
        <w:rPr>
          <w:noProof/>
          <w:snapToGrid/>
        </w:rPr>
        <w:drawing>
          <wp:inline distT="0" distB="0" distL="0" distR="0">
            <wp:extent cx="5377815" cy="733425"/>
            <wp:effectExtent l="0" t="0" r="0" b="9525"/>
            <wp:docPr id="81" name="Obraz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377815" cy="733425"/>
                    </a:xfrm>
                    <a:prstGeom prst="rect">
                      <a:avLst/>
                    </a:prstGeom>
                    <a:noFill/>
                    <a:ln>
                      <a:noFill/>
                    </a:ln>
                  </pic:spPr>
                </pic:pic>
              </a:graphicData>
            </a:graphic>
          </wp:inline>
        </w:drawing>
      </w:r>
    </w:p>
    <w:p w:rsidR="00AB16C1" w:rsidRDefault="00AB16C1" w:rsidP="00AB16C1">
      <w:pPr>
        <w:pStyle w:val="Wcicienormalne"/>
        <w:ind w:left="0" w:firstLine="505"/>
        <w:jc w:val="both"/>
      </w:pPr>
    </w:p>
    <w:p w:rsidR="00AB16C1" w:rsidRDefault="00AB16C1" w:rsidP="00AB16C1">
      <w:pPr>
        <w:pStyle w:val="Wcicienormalne"/>
        <w:ind w:left="0" w:firstLine="505"/>
        <w:jc w:val="both"/>
      </w:pPr>
      <w:r>
        <w:t>Kryteria badania i oceny identyczności dla odporności betonu na działanie mrozu wykonywanych przez odbio</w:t>
      </w:r>
      <w:r w:rsidR="00E6484E">
        <w:t>rcę betonu (Wykonawcę, Zamawiającego</w:t>
      </w:r>
      <w:r>
        <w:t>) są takie same jak kryteria dla oceny zgodności dla tego parametru, wykonywanej przez producenta betonu.</w:t>
      </w:r>
    </w:p>
    <w:p w:rsidR="00AB16C1" w:rsidRDefault="00AB16C1" w:rsidP="00AB16C1">
      <w:pPr>
        <w:pStyle w:val="Wcicienormalne"/>
        <w:ind w:left="0" w:firstLine="505"/>
        <w:jc w:val="both"/>
      </w:pPr>
      <w:r>
        <w:t>Próbki do sprawdzenia odporności betonu na działanie mrozu formuje się z mieszanki w miejscu dostawy betonu konstrukcyjnego napowietrzonego.</w:t>
      </w:r>
    </w:p>
    <w:p w:rsidR="00AB16C1" w:rsidRDefault="00AB16C1" w:rsidP="00AB16C1">
      <w:pPr>
        <w:pStyle w:val="Wcicienormalne"/>
        <w:ind w:left="0" w:firstLine="505"/>
        <w:jc w:val="both"/>
      </w:pPr>
    </w:p>
    <w:p w:rsidR="00AB16C1" w:rsidRDefault="00AB16C1" w:rsidP="00AB16C1">
      <w:pPr>
        <w:pStyle w:val="Wcicienormalne"/>
        <w:ind w:left="0" w:firstLine="505"/>
        <w:jc w:val="both"/>
      </w:pPr>
      <w:r>
        <w:t>6.9.6. Sprawdzenie odporności na penetrację wody pod ciśnieniem</w:t>
      </w:r>
    </w:p>
    <w:p w:rsidR="00AB16C1" w:rsidRDefault="00AB16C1" w:rsidP="00AB16C1">
      <w:pPr>
        <w:pStyle w:val="Wcicienormalne"/>
        <w:ind w:left="0" w:firstLine="505"/>
        <w:jc w:val="both"/>
      </w:pPr>
      <w:r>
        <w:t>Sprawdzenie odporności na penetrację wody pod ciśnieniem przeprowadza się na 3 próbkach wykonanych na stanowisku betonowania zgodnie z planem pobierania i badania próbek, co najmniej raz z jednego elementu lub grupy elementów w okresie wykonywania obiektu, ale nie rzadziej niż jeden raz na 5000 m3 betonu</w:t>
      </w:r>
    </w:p>
    <w:p w:rsidR="00AB16C1" w:rsidRDefault="00AB16C1" w:rsidP="00AB16C1">
      <w:pPr>
        <w:pStyle w:val="Wcicienormalne"/>
        <w:ind w:left="0" w:firstLine="505"/>
        <w:jc w:val="both"/>
      </w:pPr>
      <w:r>
        <w:t>Badanie odporności betonu na penetrację wody pod ciśnieniem przeprowadza się zgodnie z PN-EN 12390-8. Sposób wykonywania i pielęgnacji próbek do badania powinien być zgodny z PN-EN 12390-2.</w:t>
      </w:r>
    </w:p>
    <w:p w:rsidR="00AB16C1" w:rsidRDefault="00AB16C1" w:rsidP="00AB16C1">
      <w:pPr>
        <w:pStyle w:val="Wcicienormalne"/>
        <w:ind w:left="0" w:firstLine="505"/>
        <w:jc w:val="both"/>
      </w:pPr>
      <w:r>
        <w:t>Badanie głębokości penetracji wody pod ciśnieniem należy rozpocząć w czasie równoważnym w zależności od rodzaju zastosowanego cementu.</w:t>
      </w:r>
    </w:p>
    <w:p w:rsidR="00AB16C1" w:rsidRDefault="00AB16C1" w:rsidP="00AB16C1">
      <w:pPr>
        <w:pStyle w:val="Wcicienormalne"/>
        <w:ind w:left="0" w:firstLine="505"/>
        <w:jc w:val="both"/>
      </w:pPr>
      <w:r>
        <w:t>Maksymalna głębokość penetracji wody pod ciśnieniem w każdej badanej próbce powinna być nie większa niż określona w pkt. 2.2 niniejszych ST.</w:t>
      </w:r>
    </w:p>
    <w:p w:rsidR="00636C2B" w:rsidRDefault="00636C2B" w:rsidP="00AB16C1">
      <w:pPr>
        <w:pStyle w:val="Wcicienormalne"/>
        <w:ind w:left="0" w:firstLine="505"/>
        <w:jc w:val="both"/>
      </w:pPr>
      <w:r>
        <w:t>Kryteria badania i oceny identyczności dla głębokości penetracji wody pod ciśnieniem wykonywanych przez odbiorcę betonu (Wyko</w:t>
      </w:r>
      <w:r w:rsidR="00E6484E">
        <w:t>nawcę, Zamawiającego</w:t>
      </w:r>
      <w:r>
        <w:t>) są takie same jak kryteria dla oceny zgodności dla tego parametru, wykonywanej przez producenta betonu.</w:t>
      </w:r>
    </w:p>
    <w:p w:rsidR="00636C2B" w:rsidRDefault="00636C2B" w:rsidP="00AB16C1">
      <w:pPr>
        <w:pStyle w:val="Wcicienormalne"/>
        <w:ind w:left="0" w:firstLine="505"/>
        <w:jc w:val="both"/>
      </w:pPr>
    </w:p>
    <w:p w:rsidR="00636C2B" w:rsidRPr="00636C2B" w:rsidRDefault="00636C2B" w:rsidP="00636C2B">
      <w:pPr>
        <w:pStyle w:val="Nagwek5"/>
        <w:rPr>
          <w:rFonts w:ascii="Times New Roman" w:hAnsi="Times New Roman"/>
          <w:b/>
          <w:snapToGrid/>
          <w:lang w:val="pl-PL"/>
        </w:rPr>
      </w:pPr>
      <w:r>
        <w:rPr>
          <w:rFonts w:ascii="Times New Roman" w:hAnsi="Times New Roman"/>
          <w:b/>
          <w:snapToGrid/>
          <w:lang w:val="pl-PL"/>
        </w:rPr>
        <w:t>6.10. Pobieranie próbek i badania</w:t>
      </w:r>
    </w:p>
    <w:p w:rsidR="00636C2B" w:rsidRDefault="00636C2B" w:rsidP="00636C2B">
      <w:pPr>
        <w:pStyle w:val="Wcicienormalne"/>
        <w:ind w:left="0" w:firstLine="505"/>
        <w:jc w:val="both"/>
      </w:pPr>
      <w:r>
        <w:t xml:space="preserve">Do Wykonawcy należy wykonywanie badań przewidzianych niniejszych ST oraz gromadzenie, przechowywanie i przedkładanie </w:t>
      </w:r>
      <w:r w:rsidR="00031F9F">
        <w:t>przedstawicielowi Zamawiającego</w:t>
      </w:r>
      <w:r w:rsidR="00E6484E">
        <w:t>/</w:t>
      </w:r>
      <w:r>
        <w:t>Inżynierowi/Inspektorowi Nadzoru wyników badań składników mieszanki betonowej i betonu stwardniałego.</w:t>
      </w:r>
    </w:p>
    <w:p w:rsidR="00636C2B" w:rsidRDefault="00636C2B" w:rsidP="00AB16C1">
      <w:pPr>
        <w:pStyle w:val="Wcicienormalne"/>
        <w:ind w:left="0" w:firstLine="505"/>
        <w:jc w:val="both"/>
      </w:pPr>
      <w:r>
        <w:t xml:space="preserve">Laboratorium Zamawiającego zastrzega sobie prawo do przeprowadzenia badań kontrolnych i kontrolnych dodatkowych, w takim przypadku </w:t>
      </w:r>
      <w:r w:rsidR="00031F9F">
        <w:t>przedstawiciel Zamawiającego</w:t>
      </w:r>
      <w:r w:rsidR="00E6484E">
        <w:t>/</w:t>
      </w:r>
      <w:r>
        <w:t>Inżynier/Inspektor Nadzoru jest zobligowany do wystawienia zlecenia na w/w badanie.</w:t>
      </w:r>
    </w:p>
    <w:p w:rsidR="00636C2B" w:rsidRDefault="00636C2B" w:rsidP="00636C2B">
      <w:pPr>
        <w:pStyle w:val="Wcicienormalne"/>
        <w:ind w:left="0"/>
        <w:jc w:val="both"/>
      </w:pPr>
    </w:p>
    <w:p w:rsidR="00636C2B" w:rsidRPr="00636C2B" w:rsidRDefault="00636C2B" w:rsidP="00636C2B">
      <w:pPr>
        <w:pStyle w:val="Nagwek5"/>
        <w:rPr>
          <w:rFonts w:ascii="Times New Roman" w:hAnsi="Times New Roman"/>
          <w:b/>
          <w:snapToGrid/>
          <w:lang w:val="pl-PL"/>
        </w:rPr>
      </w:pPr>
      <w:r>
        <w:rPr>
          <w:rFonts w:ascii="Times New Roman" w:hAnsi="Times New Roman"/>
          <w:b/>
          <w:snapToGrid/>
          <w:lang w:val="pl-PL"/>
        </w:rPr>
        <w:t>6.11. Badanie betonu w konstrukcji</w:t>
      </w:r>
    </w:p>
    <w:p w:rsidR="00636C2B" w:rsidRDefault="00636C2B" w:rsidP="00AB16C1">
      <w:pPr>
        <w:pStyle w:val="Wcicienormalne"/>
        <w:ind w:left="0" w:firstLine="505"/>
        <w:jc w:val="both"/>
      </w:pPr>
      <w:r>
        <w:t>Wytrzymałość betonu na ściskanie może być określona na próbkach (rdzeniowych) wyciętych z elementu konstrukcji według PN-EN 12504-1 lub metodami nieniszczącymi według PN-EN 12504-2 lub PN-EN 12504-4. Dopuszcza się inne metody badań pośrednich i bezpośrednich betonu w konstrukcji, pod warunkiem zweryfikowania proponowanej w nich kalibracji cech wytrzymałościowych w konstrukcji na pobranych z konstrukcji odwiertach lub wykonanych wcześniej próbkach.</w:t>
      </w:r>
    </w:p>
    <w:p w:rsidR="00636C2B" w:rsidRDefault="00636C2B" w:rsidP="00636C2B">
      <w:pPr>
        <w:pStyle w:val="Wcicienormalne"/>
        <w:ind w:left="0"/>
        <w:jc w:val="both"/>
      </w:pPr>
      <w:r>
        <w:tab/>
        <w:t>Interpretacji wyników badań należy dokonać według rozdz. 9 normy PN-EN 13791.</w:t>
      </w:r>
    </w:p>
    <w:p w:rsidR="00636C2B" w:rsidRDefault="00636C2B" w:rsidP="00636C2B">
      <w:pPr>
        <w:pStyle w:val="Wcicienormalne"/>
        <w:ind w:left="0" w:firstLine="709"/>
        <w:jc w:val="both"/>
      </w:pPr>
      <w:r>
        <w:t xml:space="preserve">W przypadkach technicznie uzasadnionych </w:t>
      </w:r>
      <w:r w:rsidR="00031F9F">
        <w:t>przedstawiciel</w:t>
      </w:r>
      <w:r w:rsidR="00E6484E">
        <w:t>Zamawiając</w:t>
      </w:r>
      <w:r w:rsidR="00031F9F">
        <w:t>ego</w:t>
      </w:r>
      <w:r w:rsidR="00E6484E">
        <w:t>/</w:t>
      </w:r>
      <w:r>
        <w:t>Inżynier/Inspektor Nadzoru może zlecić przeprowadzenie dodatkowych badań mrozoodporności betonu wg PN-B-06265, na próbkach wyciętych z konstrukcji.</w:t>
      </w:r>
    </w:p>
    <w:p w:rsidR="00636C2B" w:rsidRPr="00636C2B" w:rsidRDefault="00636C2B" w:rsidP="00636C2B">
      <w:pPr>
        <w:pStyle w:val="Nagwek5"/>
        <w:rPr>
          <w:rFonts w:ascii="Times New Roman" w:hAnsi="Times New Roman"/>
          <w:b/>
          <w:snapToGrid/>
          <w:lang w:val="pl-PL"/>
        </w:rPr>
      </w:pPr>
      <w:r w:rsidRPr="00636C2B">
        <w:rPr>
          <w:rFonts w:ascii="Times New Roman" w:hAnsi="Times New Roman"/>
          <w:b/>
          <w:snapToGrid/>
          <w:lang w:val="pl-PL"/>
        </w:rPr>
        <w:t>6.12. Tolerancje wymiarów betonowych konstrukcji mostowych</w:t>
      </w:r>
    </w:p>
    <w:p w:rsidR="00636C2B" w:rsidRDefault="00636C2B" w:rsidP="00636C2B">
      <w:pPr>
        <w:pStyle w:val="Wcicienormalne"/>
        <w:ind w:left="0" w:firstLine="709"/>
        <w:jc w:val="both"/>
      </w:pPr>
      <w:r>
        <w:t>Podane niżej tolerancje wymiarów można traktować jako miarodajne tylko wtedy, gdy dokumentacja projektowa albo Specyfikacja Techniczna nie przewidują inaczej.</w:t>
      </w:r>
    </w:p>
    <w:p w:rsidR="00636C2B" w:rsidRDefault="00636C2B" w:rsidP="00636C2B">
      <w:pPr>
        <w:pStyle w:val="Wcicienormalne"/>
        <w:ind w:left="0"/>
        <w:jc w:val="both"/>
      </w:pPr>
      <w:r>
        <w:t>Dopuszczalne odchyłki wymiarowe od określonych w dokumentacji projektowej wynoszą:</w:t>
      </w:r>
    </w:p>
    <w:p w:rsidR="00636C2B" w:rsidRDefault="00636C2B" w:rsidP="00636C2B">
      <w:pPr>
        <w:pStyle w:val="Wcicienormalne"/>
        <w:ind w:left="0"/>
        <w:jc w:val="both"/>
      </w:pPr>
      <w:r>
        <w:t>- długość przęsła : ± 2 cm,</w:t>
      </w:r>
    </w:p>
    <w:p w:rsidR="00636C2B" w:rsidRDefault="00636C2B" w:rsidP="00636C2B">
      <w:pPr>
        <w:pStyle w:val="Wcicienormalne"/>
        <w:ind w:left="0"/>
        <w:jc w:val="both"/>
      </w:pPr>
      <w:r>
        <w:t>- rozpiętość usytuowania łożysk: ± 1 cm,</w:t>
      </w:r>
    </w:p>
    <w:p w:rsidR="00636C2B" w:rsidRDefault="00636C2B" w:rsidP="00636C2B">
      <w:pPr>
        <w:pStyle w:val="Wcicienormalne"/>
        <w:ind w:left="0"/>
        <w:jc w:val="both"/>
      </w:pPr>
      <w:r>
        <w:t xml:space="preserve">- oś podłużna w planie: ± 2 cm, </w:t>
      </w:r>
    </w:p>
    <w:p w:rsidR="00636C2B" w:rsidRDefault="00636C2B" w:rsidP="00636C2B">
      <w:pPr>
        <w:pStyle w:val="Wcicienormalne"/>
        <w:ind w:left="0"/>
        <w:jc w:val="both"/>
      </w:pPr>
      <w:r>
        <w:t xml:space="preserve">- usytuowanie w planie belek podłużnych i poprzecznych: ± 2 cm, </w:t>
      </w:r>
    </w:p>
    <w:p w:rsidR="00636C2B" w:rsidRDefault="00636C2B" w:rsidP="00636C2B">
      <w:pPr>
        <w:pStyle w:val="Wcicienormalne"/>
        <w:ind w:left="0"/>
        <w:jc w:val="both"/>
      </w:pPr>
      <w:r>
        <w:t xml:space="preserve">- wysokość dźwigara: + 0,5 % i </w:t>
      </w:r>
    </w:p>
    <w:p w:rsidR="00636C2B" w:rsidRDefault="00636C2B" w:rsidP="00636C2B">
      <w:pPr>
        <w:pStyle w:val="Wcicienormalne"/>
        <w:ind w:left="0"/>
        <w:jc w:val="both"/>
      </w:pPr>
      <w:r>
        <w:t xml:space="preserve">- 0,2 %, lecz nie więcej niż 5 mm, </w:t>
      </w:r>
    </w:p>
    <w:p w:rsidR="00636C2B" w:rsidRDefault="00636C2B" w:rsidP="00636C2B">
      <w:pPr>
        <w:pStyle w:val="Wcicienormalne"/>
        <w:ind w:left="0"/>
        <w:jc w:val="both"/>
      </w:pPr>
      <w:r>
        <w:t xml:space="preserve">- szerokość dźwigara : + 0,4 % i </w:t>
      </w:r>
    </w:p>
    <w:p w:rsidR="00636C2B" w:rsidRDefault="00636C2B" w:rsidP="00636C2B">
      <w:pPr>
        <w:pStyle w:val="Wcicienormalne"/>
        <w:ind w:left="0"/>
        <w:jc w:val="both"/>
      </w:pPr>
      <w:r>
        <w:t xml:space="preserve">-0,2 %, lecz nie więcej niż 3 mm, </w:t>
      </w:r>
    </w:p>
    <w:p w:rsidR="00636C2B" w:rsidRDefault="00636C2B" w:rsidP="00636C2B">
      <w:pPr>
        <w:pStyle w:val="Wcicienormalne"/>
        <w:ind w:left="0"/>
        <w:jc w:val="both"/>
      </w:pPr>
      <w:r>
        <w:t xml:space="preserve">- grubość płyt: + 1 % i </w:t>
      </w:r>
    </w:p>
    <w:p w:rsidR="00636C2B" w:rsidRDefault="00636C2B" w:rsidP="00636C2B">
      <w:pPr>
        <w:pStyle w:val="Wcicienormalne"/>
        <w:ind w:left="0"/>
        <w:jc w:val="both"/>
      </w:pPr>
      <w:r>
        <w:t xml:space="preserve">- 0,5 %, lecz nie więcej niż ± 0,5 cm, </w:t>
      </w:r>
    </w:p>
    <w:p w:rsidR="00636C2B" w:rsidRDefault="00636C2B" w:rsidP="00636C2B">
      <w:pPr>
        <w:pStyle w:val="Wcicienormalne"/>
        <w:ind w:left="0"/>
        <w:jc w:val="both"/>
      </w:pPr>
      <w:r>
        <w:t xml:space="preserve">- rzędne wysokościowe: ± 1 cm. Tolerancje dla fundamentów: </w:t>
      </w:r>
    </w:p>
    <w:p w:rsidR="00636C2B" w:rsidRDefault="00636C2B" w:rsidP="00636C2B">
      <w:pPr>
        <w:pStyle w:val="Wcicienormalne"/>
        <w:ind w:left="0"/>
        <w:jc w:val="both"/>
      </w:pPr>
      <w:r>
        <w:t xml:space="preserve">- usytuowanie w planie: ± 5 cm (dla fundamentów o szerokości &lt; 2 m: ± 2 cm) </w:t>
      </w:r>
    </w:p>
    <w:p w:rsidR="00636C2B" w:rsidRDefault="00636C2B" w:rsidP="00636C2B">
      <w:pPr>
        <w:pStyle w:val="Wcicienormalne"/>
        <w:ind w:left="0"/>
        <w:jc w:val="both"/>
      </w:pPr>
      <w:r>
        <w:t xml:space="preserve">- rzędne wierzchu ławy: ± 1 cm. </w:t>
      </w:r>
    </w:p>
    <w:p w:rsidR="00636C2B" w:rsidRDefault="00636C2B" w:rsidP="00636C2B">
      <w:pPr>
        <w:pStyle w:val="Wcicienormalne"/>
        <w:ind w:left="0"/>
        <w:jc w:val="both"/>
      </w:pPr>
      <w:r>
        <w:t xml:space="preserve">- płaszczyzny i krawędzie </w:t>
      </w:r>
    </w:p>
    <w:p w:rsidR="00636C2B" w:rsidRDefault="00636C2B" w:rsidP="00636C2B">
      <w:pPr>
        <w:pStyle w:val="Wcicienormalne"/>
        <w:ind w:left="0"/>
        <w:jc w:val="both"/>
      </w:pPr>
      <w:r>
        <w:t xml:space="preserve">- odchylenie od pionu: ± 2 cm. Tolerancje dla podpór masywnych i słupowych: </w:t>
      </w:r>
    </w:p>
    <w:p w:rsidR="00636C2B" w:rsidRDefault="00636C2B" w:rsidP="00636C2B">
      <w:pPr>
        <w:pStyle w:val="Wcicienormalne"/>
        <w:ind w:left="0"/>
        <w:jc w:val="both"/>
      </w:pPr>
      <w:r>
        <w:t xml:space="preserve">- pochylenie ścian i słupów: 0,5 % wysokości (jednak dla słupów nie więcej niż 1,5 cm), </w:t>
      </w:r>
    </w:p>
    <w:p w:rsidR="00636C2B" w:rsidRDefault="00636C2B" w:rsidP="00636C2B">
      <w:pPr>
        <w:pStyle w:val="Wcicienormalne"/>
        <w:ind w:left="0"/>
        <w:jc w:val="both"/>
      </w:pPr>
      <w:r>
        <w:t xml:space="preserve">- wymiary w planie: ± 2 cm dla podpór masywnych, ± 1 cm dla podpór słupowych, </w:t>
      </w:r>
    </w:p>
    <w:p w:rsidR="00636C2B" w:rsidRDefault="00636C2B" w:rsidP="00636C2B">
      <w:pPr>
        <w:pStyle w:val="Wcicienormalne"/>
        <w:ind w:left="0"/>
        <w:jc w:val="both"/>
      </w:pPr>
      <w:r>
        <w:t xml:space="preserve">- rzędne wierzchu podpory: ± 1 cm. </w:t>
      </w:r>
    </w:p>
    <w:p w:rsidR="00636C2B" w:rsidRDefault="00636C2B" w:rsidP="00636C2B">
      <w:pPr>
        <w:pStyle w:val="Wcicienormalne"/>
        <w:ind w:left="0"/>
        <w:jc w:val="both"/>
      </w:pPr>
      <w:r>
        <w:t xml:space="preserve">W ścianach oporowych odchyłki nie powinny przekraczać: </w:t>
      </w:r>
    </w:p>
    <w:p w:rsidR="00636C2B" w:rsidRDefault="00636C2B" w:rsidP="00636C2B">
      <w:pPr>
        <w:pStyle w:val="Wcicienormalne"/>
        <w:ind w:left="0"/>
        <w:jc w:val="both"/>
      </w:pPr>
      <w:r>
        <w:t xml:space="preserve">- 1 % wysokości w odniesieniu do nachylenia w pionie, lecz nie więcej niż 50 mm, </w:t>
      </w:r>
    </w:p>
    <w:p w:rsidR="00636C2B" w:rsidRDefault="00636C2B" w:rsidP="00636C2B">
      <w:pPr>
        <w:pStyle w:val="Wcicienormalne"/>
        <w:ind w:left="0"/>
        <w:jc w:val="both"/>
      </w:pPr>
      <w:r>
        <w:t xml:space="preserve">- ± 2 cm w odniesieniu do wymiarów w planie, </w:t>
      </w:r>
    </w:p>
    <w:p w:rsidR="00636C2B" w:rsidRDefault="00636C2B" w:rsidP="00FD3044">
      <w:pPr>
        <w:pStyle w:val="Wcicienormalne"/>
        <w:ind w:left="0"/>
        <w:jc w:val="both"/>
      </w:pPr>
      <w:r>
        <w:t>- ± 2 cm w odniesieniu do rzędnej górnej powierzchni budowli.</w:t>
      </w:r>
    </w:p>
    <w:p w:rsidR="00FD3044" w:rsidRDefault="00FD3044" w:rsidP="00FD3044">
      <w:pPr>
        <w:pStyle w:val="Nagwek5"/>
        <w:rPr>
          <w:rFonts w:ascii="Times New Roman" w:hAnsi="Times New Roman"/>
          <w:b/>
          <w:snapToGrid/>
          <w:lang w:val="pl-PL"/>
        </w:rPr>
      </w:pPr>
      <w:r>
        <w:rPr>
          <w:rFonts w:ascii="Times New Roman" w:hAnsi="Times New Roman"/>
          <w:b/>
          <w:snapToGrid/>
          <w:lang w:val="pl-PL"/>
        </w:rPr>
        <w:t>6.13</w:t>
      </w:r>
      <w:r w:rsidRPr="00636C2B">
        <w:rPr>
          <w:rFonts w:ascii="Times New Roman" w:hAnsi="Times New Roman"/>
          <w:b/>
          <w:snapToGrid/>
          <w:lang w:val="pl-PL"/>
        </w:rPr>
        <w:t xml:space="preserve">. </w:t>
      </w:r>
      <w:r>
        <w:rPr>
          <w:rFonts w:ascii="Times New Roman" w:hAnsi="Times New Roman"/>
          <w:b/>
          <w:snapToGrid/>
          <w:lang w:val="pl-PL"/>
        </w:rPr>
        <w:t>Kontrola wykończenia powierzchni betonowych</w:t>
      </w:r>
    </w:p>
    <w:p w:rsidR="00FD3044" w:rsidRDefault="00FD3044" w:rsidP="00FD3044">
      <w:pPr>
        <w:pStyle w:val="Wcicienormalne"/>
        <w:ind w:left="0" w:firstLine="505"/>
      </w:pPr>
      <w:r>
        <w:t>Jeżeli dokumentacja projektowa oraz STWiORB nie przewidują inaczej, wszystkie widoczne powierzchnie betonowe powinny być gładkie i mieć jednolitą barwę i fakturę. Na powierzchniach tych nie mogą być widoczne żadne zabrudzenia, przebarwienia czy inne wady pozostawione przez wewnętrzną wykładzinę deskowań, która powinna być odpowiednio przymocowana do deskowania. Pęknięcia elementów konstrukcyjnych są niedopuszczalne.</w:t>
      </w:r>
    </w:p>
    <w:p w:rsidR="00FD3044" w:rsidRPr="00FD3044" w:rsidRDefault="00FD3044" w:rsidP="00FD3044">
      <w:pPr>
        <w:pStyle w:val="Wcicienormalne"/>
        <w:ind w:left="0" w:firstLine="505"/>
      </w:pPr>
      <w:r>
        <w:t>Należy wykluczyć pustki, raki i wykruszenia. Lokalne ubytki należy wypełnić betonem (zaprawą naprawczą) o minimalnym skurczu i wytrzymałości nie mniejszej niż wytrzymałość betonu w konstrukcji o barwie zbliżonej do koloru pierwotnej powierzchni betonu. Wszystkie nieprawidłowości wykończenia powierzchni muszą być naprawione przez Wykonawcę.</w:t>
      </w:r>
    </w:p>
    <w:p w:rsidR="003D0D34" w:rsidRDefault="003D0D34" w:rsidP="003D0D34">
      <w:pPr>
        <w:pStyle w:val="Wcicienormalne"/>
        <w:ind w:left="0"/>
        <w:jc w:val="both"/>
      </w:pPr>
    </w:p>
    <w:p w:rsidR="00B833AC" w:rsidRDefault="00B833AC" w:rsidP="00B833AC">
      <w:pPr>
        <w:widowControl w:val="0"/>
        <w:spacing w:before="120" w:after="120"/>
        <w:ind w:left="142" w:hanging="142"/>
        <w:rPr>
          <w:b/>
          <w:snapToGrid w:val="0"/>
          <w:u w:val="single"/>
        </w:rPr>
      </w:pPr>
      <w:r>
        <w:rPr>
          <w:b/>
          <w:noProof/>
          <w:snapToGrid w:val="0"/>
          <w:u w:val="single"/>
        </w:rPr>
        <w:t>7.</w:t>
      </w:r>
      <w:r>
        <w:rPr>
          <w:b/>
          <w:snapToGrid w:val="0"/>
          <w:u w:val="single"/>
        </w:rPr>
        <w:t xml:space="preserve"> OBMIAR ROBÓT</w:t>
      </w:r>
    </w:p>
    <w:p w:rsidR="00B833AC" w:rsidRDefault="00B833AC" w:rsidP="00B833AC">
      <w:pPr>
        <w:spacing w:after="120"/>
        <w:jc w:val="both"/>
      </w:pPr>
      <w:r>
        <w:t>Nie dotyczy.</w:t>
      </w:r>
    </w:p>
    <w:p w:rsidR="00B833AC" w:rsidRDefault="00B833AC" w:rsidP="00B833AC">
      <w:pPr>
        <w:widowControl w:val="0"/>
        <w:spacing w:before="120" w:after="120"/>
        <w:jc w:val="both"/>
        <w:rPr>
          <w:b/>
          <w:snapToGrid w:val="0"/>
          <w:u w:val="single"/>
        </w:rPr>
      </w:pPr>
      <w:r>
        <w:rPr>
          <w:b/>
          <w:noProof/>
          <w:snapToGrid w:val="0"/>
          <w:u w:val="single"/>
        </w:rPr>
        <w:t>8.</w:t>
      </w:r>
      <w:r>
        <w:rPr>
          <w:b/>
          <w:snapToGrid w:val="0"/>
          <w:u w:val="single"/>
        </w:rPr>
        <w:t xml:space="preserve"> ODBIÓR ROBÓT</w:t>
      </w:r>
    </w:p>
    <w:p w:rsidR="00B833AC" w:rsidRDefault="00B833AC" w:rsidP="00B833AC">
      <w:pPr>
        <w:spacing w:after="120"/>
        <w:jc w:val="both"/>
      </w:pPr>
      <w:r>
        <w:t>Nie dotyczy</w:t>
      </w:r>
    </w:p>
    <w:p w:rsidR="00B833AC" w:rsidRDefault="00B833AC" w:rsidP="00B833AC">
      <w:pPr>
        <w:widowControl w:val="0"/>
        <w:spacing w:before="120" w:after="120"/>
        <w:rPr>
          <w:b/>
          <w:snapToGrid w:val="0"/>
          <w:u w:val="single"/>
        </w:rPr>
      </w:pPr>
      <w:r>
        <w:rPr>
          <w:b/>
          <w:noProof/>
          <w:snapToGrid w:val="0"/>
          <w:u w:val="single"/>
        </w:rPr>
        <w:t>9.</w:t>
      </w:r>
      <w:r>
        <w:rPr>
          <w:b/>
          <w:snapToGrid w:val="0"/>
          <w:u w:val="single"/>
        </w:rPr>
        <w:t xml:space="preserve"> PODSTAWA PŁATNOŚCI</w:t>
      </w:r>
    </w:p>
    <w:p w:rsidR="00B833AC" w:rsidRDefault="00B833AC" w:rsidP="00B833AC">
      <w:pPr>
        <w:spacing w:after="120"/>
        <w:jc w:val="both"/>
      </w:pPr>
      <w:r>
        <w:t>Nie dotyczy</w:t>
      </w:r>
    </w:p>
    <w:p w:rsidR="00B833AC" w:rsidRDefault="00B833AC" w:rsidP="00B833AC">
      <w:pPr>
        <w:widowControl w:val="0"/>
        <w:spacing w:before="120" w:after="120"/>
        <w:rPr>
          <w:b/>
          <w:snapToGrid w:val="0"/>
          <w:u w:val="single"/>
        </w:rPr>
      </w:pPr>
      <w:r>
        <w:rPr>
          <w:b/>
          <w:noProof/>
          <w:snapToGrid w:val="0"/>
          <w:u w:val="single"/>
        </w:rPr>
        <w:t>10.</w:t>
      </w:r>
      <w:r>
        <w:rPr>
          <w:b/>
          <w:snapToGrid w:val="0"/>
          <w:u w:val="single"/>
        </w:rPr>
        <w:t xml:space="preserve"> PRZEPISY ZWIĄZANE</w:t>
      </w:r>
    </w:p>
    <w:p w:rsidR="0021709C" w:rsidRDefault="0021709C" w:rsidP="00B833AC">
      <w:pPr>
        <w:widowControl w:val="0"/>
        <w:spacing w:before="120" w:after="120"/>
        <w:jc w:val="both"/>
        <w:rPr>
          <w:b/>
          <w:snapToGrid w:val="0"/>
        </w:rPr>
      </w:pPr>
    </w:p>
    <w:p w:rsidR="00B833AC" w:rsidRDefault="00B833AC" w:rsidP="00B833AC">
      <w:pPr>
        <w:widowControl w:val="0"/>
        <w:spacing w:before="120" w:after="120"/>
        <w:jc w:val="both"/>
        <w:rPr>
          <w:b/>
          <w:snapToGrid w:val="0"/>
        </w:rPr>
      </w:pPr>
      <w:r>
        <w:rPr>
          <w:b/>
          <w:snapToGrid w:val="0"/>
        </w:rPr>
        <w:t>10.1. Normy</w:t>
      </w:r>
    </w:p>
    <w:p w:rsidR="0021709C" w:rsidRDefault="0021709C" w:rsidP="00971639">
      <w:r>
        <w:rPr>
          <w:noProof/>
        </w:rPr>
        <w:drawing>
          <wp:inline distT="0" distB="0" distL="0" distR="0">
            <wp:extent cx="5712460" cy="1747520"/>
            <wp:effectExtent l="0" t="0" r="2540" b="5080"/>
            <wp:docPr id="82" name="Obraz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12460" cy="1747520"/>
                    </a:xfrm>
                    <a:prstGeom prst="rect">
                      <a:avLst/>
                    </a:prstGeom>
                    <a:noFill/>
                    <a:ln>
                      <a:noFill/>
                    </a:ln>
                  </pic:spPr>
                </pic:pic>
              </a:graphicData>
            </a:graphic>
          </wp:inline>
        </w:drawing>
      </w:r>
    </w:p>
    <w:p w:rsidR="0021709C" w:rsidRDefault="0021709C" w:rsidP="00971639"/>
    <w:p w:rsidR="0021709C" w:rsidRDefault="0021709C" w:rsidP="00971639"/>
    <w:p w:rsidR="0021709C" w:rsidRDefault="0021709C" w:rsidP="00971639"/>
    <w:p w:rsidR="0021709C" w:rsidRDefault="0021709C" w:rsidP="00971639"/>
    <w:p w:rsidR="0021709C" w:rsidRDefault="0021709C" w:rsidP="00971639"/>
    <w:p w:rsidR="0021709C" w:rsidRDefault="0021709C" w:rsidP="00971639"/>
    <w:p w:rsidR="0021709C" w:rsidRDefault="0021709C" w:rsidP="00971639"/>
    <w:p w:rsidR="0021709C" w:rsidRDefault="0021709C" w:rsidP="00971639"/>
    <w:p w:rsidR="0021709C" w:rsidRDefault="0021709C" w:rsidP="00971639"/>
    <w:p w:rsidR="0021709C" w:rsidRDefault="0021709C" w:rsidP="00971639"/>
    <w:p w:rsidR="0021709C" w:rsidRDefault="0021709C" w:rsidP="00971639"/>
    <w:p w:rsidR="0021709C" w:rsidRDefault="0021709C" w:rsidP="00971639">
      <w:r>
        <w:rPr>
          <w:noProof/>
        </w:rPr>
        <w:drawing>
          <wp:inline distT="0" distB="0" distL="0" distR="0">
            <wp:extent cx="5712460" cy="7098030"/>
            <wp:effectExtent l="0" t="0" r="2540" b="7620"/>
            <wp:docPr id="83" name="Obraz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12460" cy="7098030"/>
                    </a:xfrm>
                    <a:prstGeom prst="rect">
                      <a:avLst/>
                    </a:prstGeom>
                    <a:noFill/>
                    <a:ln>
                      <a:noFill/>
                    </a:ln>
                  </pic:spPr>
                </pic:pic>
              </a:graphicData>
            </a:graphic>
          </wp:inline>
        </w:drawing>
      </w:r>
    </w:p>
    <w:p w:rsidR="0021709C" w:rsidRDefault="0021709C" w:rsidP="00971639"/>
    <w:p w:rsidR="0021709C" w:rsidRDefault="0021709C" w:rsidP="00971639"/>
    <w:p w:rsidR="0021709C" w:rsidRDefault="0021709C" w:rsidP="00971639"/>
    <w:p w:rsidR="0021709C" w:rsidRDefault="0021709C" w:rsidP="00971639"/>
    <w:p w:rsidR="0021709C" w:rsidRDefault="0021709C" w:rsidP="00971639"/>
    <w:p w:rsidR="0021709C" w:rsidRDefault="0021709C" w:rsidP="00971639"/>
    <w:p w:rsidR="0021709C" w:rsidRDefault="0021709C" w:rsidP="00971639"/>
    <w:p w:rsidR="0021709C" w:rsidRDefault="0021709C" w:rsidP="00971639"/>
    <w:p w:rsidR="0021709C" w:rsidRDefault="0021709C" w:rsidP="00971639"/>
    <w:p w:rsidR="0021709C" w:rsidRDefault="0021709C" w:rsidP="00971639"/>
    <w:p w:rsidR="0021709C" w:rsidRDefault="0021709C" w:rsidP="00971639"/>
    <w:p w:rsidR="0021709C" w:rsidRDefault="0021709C" w:rsidP="00971639"/>
    <w:p w:rsidR="00986FEA" w:rsidRDefault="0021709C" w:rsidP="00971639">
      <w:pPr>
        <w:rPr>
          <w:rFonts w:ascii="PL Times New Roman" w:hAnsi="PL Times New Roman"/>
          <w:b/>
          <w:snapToGrid w:val="0"/>
          <w:sz w:val="26"/>
        </w:rPr>
      </w:pPr>
      <w:r>
        <w:rPr>
          <w:noProof/>
        </w:rPr>
        <w:drawing>
          <wp:inline distT="0" distB="0" distL="0" distR="0">
            <wp:extent cx="5706745" cy="2370455"/>
            <wp:effectExtent l="0" t="0" r="8255" b="0"/>
            <wp:docPr id="84" name="Obraz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06745" cy="2370455"/>
                    </a:xfrm>
                    <a:prstGeom prst="rect">
                      <a:avLst/>
                    </a:prstGeom>
                    <a:noFill/>
                    <a:ln>
                      <a:noFill/>
                    </a:ln>
                  </pic:spPr>
                </pic:pic>
              </a:graphicData>
            </a:graphic>
          </wp:inline>
        </w:drawing>
      </w:r>
      <w:r w:rsidR="00986FEA">
        <w:br w:type="page"/>
      </w:r>
    </w:p>
    <w:p w:rsidR="00A124D3" w:rsidRPr="00D65C73" w:rsidRDefault="00A124D3" w:rsidP="00AE0A20">
      <w:pPr>
        <w:jc w:val="both"/>
        <w:outlineLvl w:val="0"/>
        <w:rPr>
          <w:rFonts w:ascii="PL Times New Roman" w:hAnsi="PL Times New Roman"/>
          <w:b/>
          <w:snapToGrid w:val="0"/>
          <w:sz w:val="26"/>
        </w:rPr>
      </w:pPr>
      <w:bookmarkStart w:id="30" w:name="_Toc80100083"/>
      <w:r>
        <w:rPr>
          <w:rFonts w:ascii="PL Times New Roman" w:hAnsi="PL Times New Roman"/>
          <w:b/>
          <w:snapToGrid w:val="0"/>
          <w:sz w:val="26"/>
        </w:rPr>
        <w:t>M.13.01.03</w:t>
      </w:r>
      <w:r w:rsidRPr="006C636B">
        <w:rPr>
          <w:rFonts w:ascii="PL Times New Roman" w:hAnsi="PL Times New Roman"/>
          <w:b/>
          <w:snapToGrid w:val="0"/>
          <w:sz w:val="26"/>
        </w:rPr>
        <w:t xml:space="preserve">. </w:t>
      </w:r>
      <w:r w:rsidRPr="006C636B">
        <w:rPr>
          <w:rFonts w:ascii="PL Times New Roman" w:hAnsi="PL Times New Roman"/>
          <w:b/>
          <w:snapToGrid w:val="0"/>
          <w:sz w:val="26"/>
        </w:rPr>
        <w:tab/>
      </w:r>
      <w:r w:rsidRPr="006C636B">
        <w:rPr>
          <w:rFonts w:ascii="PL Times New Roman" w:hAnsi="PL Times New Roman"/>
          <w:b/>
          <w:snapToGrid w:val="0"/>
          <w:sz w:val="26"/>
        </w:rPr>
        <w:tab/>
        <w:t xml:space="preserve">BETON </w:t>
      </w:r>
      <w:r w:rsidR="00E86DAE">
        <w:rPr>
          <w:rFonts w:ascii="PL Times New Roman" w:hAnsi="PL Times New Roman"/>
          <w:b/>
          <w:snapToGrid w:val="0"/>
          <w:sz w:val="26"/>
        </w:rPr>
        <w:t>PODPÓR KLASY C30/37</w:t>
      </w:r>
      <w:r>
        <w:rPr>
          <w:rFonts w:ascii="PL Times New Roman" w:hAnsi="PL Times New Roman"/>
          <w:b/>
          <w:snapToGrid w:val="0"/>
          <w:sz w:val="26"/>
        </w:rPr>
        <w:t xml:space="preserve"> W ELEMENTACH O GRUBOŚCI &lt;</w:t>
      </w:r>
      <w:r w:rsidR="001E0690">
        <w:rPr>
          <w:rFonts w:ascii="PL Times New Roman" w:hAnsi="PL Times New Roman"/>
          <w:b/>
          <w:snapToGrid w:val="0"/>
          <w:sz w:val="26"/>
        </w:rPr>
        <w:t>60CM</w:t>
      </w:r>
      <w:bookmarkEnd w:id="30"/>
    </w:p>
    <w:p w:rsidR="00DC3746" w:rsidRPr="00986FEA" w:rsidRDefault="00DC3746" w:rsidP="0097494B">
      <w:pPr>
        <w:numPr>
          <w:ilvl w:val="2"/>
          <w:numId w:val="26"/>
        </w:numPr>
        <w:tabs>
          <w:tab w:val="clear" w:pos="0"/>
          <w:tab w:val="num" w:pos="720"/>
        </w:tabs>
        <w:suppressAutoHyphens/>
        <w:spacing w:before="120" w:after="60"/>
        <w:ind w:left="720" w:hanging="720"/>
        <w:jc w:val="both"/>
        <w:outlineLvl w:val="2"/>
        <w:rPr>
          <w:b/>
          <w:snapToGrid w:val="0"/>
          <w:u w:val="single"/>
        </w:rPr>
      </w:pPr>
      <w:r w:rsidRPr="00986FEA">
        <w:rPr>
          <w:b/>
          <w:snapToGrid w:val="0"/>
          <w:u w:val="single"/>
        </w:rPr>
        <w:t>1. WSTĘP</w:t>
      </w:r>
    </w:p>
    <w:p w:rsidR="00DC3746" w:rsidRPr="00986FEA" w:rsidRDefault="00DC3746" w:rsidP="00DC3746">
      <w:pPr>
        <w:suppressAutoHyphens/>
        <w:spacing w:before="120" w:after="120"/>
        <w:jc w:val="both"/>
        <w:rPr>
          <w:b/>
          <w:lang w:eastAsia="ar-SA"/>
        </w:rPr>
      </w:pPr>
      <w:r w:rsidRPr="00986FEA">
        <w:rPr>
          <w:b/>
          <w:lang w:eastAsia="ar-SA"/>
        </w:rPr>
        <w:t>1.1. Przedmiot SST</w:t>
      </w:r>
    </w:p>
    <w:p w:rsidR="00DC3746" w:rsidRPr="00986FEA" w:rsidRDefault="00DC3746" w:rsidP="00DC3746">
      <w:pPr>
        <w:jc w:val="both"/>
        <w:rPr>
          <w:b/>
          <w:bCs/>
          <w:i/>
          <w:color w:val="000000"/>
        </w:rPr>
      </w:pPr>
      <w:r w:rsidRPr="00986FEA">
        <w:t xml:space="preserve">Przedmiotem niniejszej Specyfikacji Technicznej są wymagania dotyczące wykonania i odbioru robót w ramach </w:t>
      </w:r>
      <w:r w:rsidRPr="00986FEA">
        <w:rPr>
          <w:iCs/>
          <w:color w:val="000000"/>
        </w:rPr>
        <w:t>zadania:</w:t>
      </w:r>
      <w:r w:rsidR="00E86DAE" w:rsidRPr="00E86DAE">
        <w:rPr>
          <w:bCs/>
        </w:rPr>
        <w:t xml:space="preserve"> </w:t>
      </w:r>
      <w:r w:rsidR="00E86DAE">
        <w:rPr>
          <w:bCs/>
        </w:rPr>
        <w:t>"Remont przepustu nad rzeką Postomia w ciągu drogi nr 445/k.2922 m. Wędrzyn."</w:t>
      </w:r>
    </w:p>
    <w:p w:rsidR="00DC3746" w:rsidRPr="00986FEA" w:rsidRDefault="00DC3746" w:rsidP="00DC3746">
      <w:pPr>
        <w:jc w:val="both"/>
        <w:rPr>
          <w:b/>
          <w:bCs/>
          <w:i/>
          <w:color w:val="000000"/>
        </w:rPr>
      </w:pPr>
    </w:p>
    <w:p w:rsidR="00DC3746" w:rsidRPr="00986FEA" w:rsidRDefault="00DC3746" w:rsidP="00DC3746">
      <w:pPr>
        <w:spacing w:line="360" w:lineRule="auto"/>
        <w:jc w:val="both"/>
        <w:rPr>
          <w:b/>
        </w:rPr>
      </w:pPr>
      <w:r w:rsidRPr="00986FEA">
        <w:rPr>
          <w:b/>
        </w:rPr>
        <w:t>1.2. Zakres stosowania SST</w:t>
      </w:r>
    </w:p>
    <w:p w:rsidR="00DC3746" w:rsidRPr="00986FEA" w:rsidRDefault="00DC3746" w:rsidP="00DC3746">
      <w:pPr>
        <w:tabs>
          <w:tab w:val="left" w:pos="576"/>
          <w:tab w:val="left" w:pos="1008"/>
        </w:tabs>
        <w:jc w:val="both"/>
      </w:pPr>
      <w:r w:rsidRPr="00986FEA">
        <w:t>Szczegółowa Specyfikacja Techniczna jest stosowana jako dokument przetargowy i kontraktowy przy zlecaniu i realizacji robót wymienionych w punkcie 1.1.</w:t>
      </w:r>
    </w:p>
    <w:p w:rsidR="00DC3746" w:rsidRPr="00986FEA" w:rsidRDefault="00DC3746" w:rsidP="00DC3746">
      <w:pPr>
        <w:tabs>
          <w:tab w:val="left" w:pos="576"/>
          <w:tab w:val="left" w:pos="1008"/>
        </w:tabs>
        <w:spacing w:before="120" w:after="120"/>
        <w:jc w:val="both"/>
        <w:rPr>
          <w:b/>
        </w:rPr>
      </w:pPr>
      <w:r w:rsidRPr="00986FEA">
        <w:rPr>
          <w:b/>
        </w:rPr>
        <w:t>1.3. Zakres robót objętych SST</w:t>
      </w:r>
    </w:p>
    <w:p w:rsidR="00DC3746" w:rsidRPr="00986FEA" w:rsidRDefault="00DC3746" w:rsidP="00DC3746">
      <w:pPr>
        <w:tabs>
          <w:tab w:val="left" w:pos="360"/>
        </w:tabs>
        <w:jc w:val="both"/>
      </w:pPr>
      <w:r w:rsidRPr="00986FEA">
        <w:t>Ustalenia zawarte w niniejszej Specyfikacji mają zastosowanie przy wykon</w:t>
      </w:r>
      <w:r>
        <w:t xml:space="preserve">ywaniu betonu konstrukcyjnego  </w:t>
      </w:r>
      <w:r w:rsidRPr="00986FEA">
        <w:t>C</w:t>
      </w:r>
      <w:r w:rsidR="00E86DAE">
        <w:t>30/37</w:t>
      </w:r>
      <w:r>
        <w:t xml:space="preserve"> </w:t>
      </w:r>
      <w:r w:rsidR="00E86DAE">
        <w:t xml:space="preserve"> – ściany czołowe</w:t>
      </w:r>
    </w:p>
    <w:p w:rsidR="00DC3746" w:rsidRPr="00986FEA" w:rsidRDefault="00DC3746" w:rsidP="00DC3746">
      <w:pPr>
        <w:tabs>
          <w:tab w:val="left" w:pos="576"/>
          <w:tab w:val="left" w:pos="1008"/>
        </w:tabs>
        <w:spacing w:before="120" w:after="120"/>
        <w:jc w:val="both"/>
        <w:rPr>
          <w:b/>
        </w:rPr>
      </w:pPr>
      <w:r w:rsidRPr="00986FEA">
        <w:rPr>
          <w:b/>
        </w:rPr>
        <w:t>1.4. Określenia podstawowe</w:t>
      </w:r>
    </w:p>
    <w:p w:rsidR="00DC3746" w:rsidRPr="00986FEA" w:rsidRDefault="00DC3746" w:rsidP="00DC3746">
      <w:pPr>
        <w:tabs>
          <w:tab w:val="left" w:pos="576"/>
          <w:tab w:val="left" w:pos="1008"/>
        </w:tabs>
        <w:jc w:val="both"/>
      </w:pPr>
      <w:r w:rsidRPr="00986FEA">
        <w:t>Określenia podane w niniejszej Specyfikacji są zgodne z obowiązującymi polskimi normami i określeniami podanymi w Spec</w:t>
      </w:r>
      <w:r w:rsidR="00E86DAE">
        <w:t>yfikacjach D.M.00.00.00; M.13.00</w:t>
      </w:r>
      <w:r w:rsidRPr="00986FEA">
        <w:t>.00</w:t>
      </w:r>
    </w:p>
    <w:p w:rsidR="00DC3746" w:rsidRPr="00986FEA" w:rsidRDefault="00DC3746" w:rsidP="00DC3746">
      <w:pPr>
        <w:tabs>
          <w:tab w:val="left" w:pos="576"/>
          <w:tab w:val="left" w:pos="1008"/>
        </w:tabs>
        <w:spacing w:before="120" w:after="120"/>
        <w:jc w:val="both"/>
        <w:rPr>
          <w:b/>
        </w:rPr>
      </w:pPr>
      <w:r w:rsidRPr="00986FEA">
        <w:rPr>
          <w:b/>
        </w:rPr>
        <w:t>1.5. Ogólne wymagania dotyczące Robót</w:t>
      </w:r>
    </w:p>
    <w:p w:rsidR="00DC3746" w:rsidRPr="00986FEA" w:rsidRDefault="00DC3746" w:rsidP="00DC3746">
      <w:pPr>
        <w:tabs>
          <w:tab w:val="left" w:pos="576"/>
          <w:tab w:val="left" w:pos="1008"/>
        </w:tabs>
        <w:jc w:val="both"/>
      </w:pPr>
      <w:r w:rsidRPr="00986FEA">
        <w:t xml:space="preserve">Ogólne wymagania dotyczące robót podano w Specyfikacji D.M.00.00.00. </w:t>
      </w:r>
    </w:p>
    <w:p w:rsidR="00DC3746" w:rsidRPr="00986FEA" w:rsidRDefault="00DC3746" w:rsidP="00DC3746">
      <w:pPr>
        <w:tabs>
          <w:tab w:val="left" w:pos="576"/>
          <w:tab w:val="left" w:pos="1008"/>
        </w:tabs>
        <w:jc w:val="both"/>
      </w:pPr>
      <w:r w:rsidRPr="00986FEA">
        <w:t>Wykonawca robót jest odpowiedzialny za jakość ich wykonania oraz za zgodn</w:t>
      </w:r>
      <w:r>
        <w:t xml:space="preserve">ość z Dokumentacją Projektową, </w:t>
      </w:r>
      <w:r w:rsidRPr="00986FEA">
        <w:t>ST i poleceniami Inspektora nadzoru.</w:t>
      </w:r>
    </w:p>
    <w:p w:rsidR="00DC3746" w:rsidRPr="00986FEA" w:rsidRDefault="00DC3746" w:rsidP="0097494B">
      <w:pPr>
        <w:numPr>
          <w:ilvl w:val="2"/>
          <w:numId w:val="26"/>
        </w:numPr>
        <w:tabs>
          <w:tab w:val="clear" w:pos="0"/>
          <w:tab w:val="num" w:pos="720"/>
        </w:tabs>
        <w:suppressAutoHyphens/>
        <w:spacing w:before="120" w:after="120"/>
        <w:ind w:left="720" w:hanging="720"/>
        <w:jc w:val="both"/>
        <w:outlineLvl w:val="2"/>
        <w:rPr>
          <w:b/>
          <w:snapToGrid w:val="0"/>
          <w:u w:val="single"/>
        </w:rPr>
      </w:pPr>
      <w:r w:rsidRPr="00986FEA">
        <w:rPr>
          <w:b/>
          <w:snapToGrid w:val="0"/>
          <w:u w:val="single"/>
        </w:rPr>
        <w:t>2. MATERIAŁY</w:t>
      </w:r>
    </w:p>
    <w:p w:rsidR="00DC3746" w:rsidRPr="00986FEA" w:rsidRDefault="00DC3746" w:rsidP="00DC3746">
      <w:pPr>
        <w:jc w:val="both"/>
      </w:pPr>
      <w:r>
        <w:t xml:space="preserve">Beton klasy </w:t>
      </w:r>
      <w:r w:rsidR="00E86DAE">
        <w:t xml:space="preserve"> </w:t>
      </w:r>
      <w:r w:rsidRPr="00986FEA">
        <w:t>C</w:t>
      </w:r>
      <w:r w:rsidR="00E86DAE">
        <w:t>30/37</w:t>
      </w:r>
      <w:r w:rsidRPr="00986FEA">
        <w:t>)</w:t>
      </w:r>
      <w:r w:rsidR="00E86DAE">
        <w:t xml:space="preserve"> wg wymagań jak w SST M.13.00</w:t>
      </w:r>
      <w:r w:rsidRPr="00986FEA">
        <w:t>.00.</w:t>
      </w:r>
    </w:p>
    <w:p w:rsidR="00DC3746" w:rsidRPr="00986FEA" w:rsidRDefault="00DC3746" w:rsidP="00DC3746">
      <w:pPr>
        <w:spacing w:before="120" w:after="120"/>
        <w:ind w:left="-11" w:hanging="11"/>
        <w:jc w:val="both"/>
        <w:outlineLvl w:val="2"/>
        <w:rPr>
          <w:b/>
          <w:snapToGrid w:val="0"/>
          <w:u w:val="single"/>
        </w:rPr>
      </w:pPr>
      <w:r w:rsidRPr="00986FEA">
        <w:rPr>
          <w:b/>
          <w:snapToGrid w:val="0"/>
          <w:u w:val="single"/>
        </w:rPr>
        <w:t>3. SPRZĘT</w:t>
      </w:r>
    </w:p>
    <w:p w:rsidR="00DC3746" w:rsidRPr="00986FEA" w:rsidRDefault="00DC3746" w:rsidP="00DC3746">
      <w:pPr>
        <w:spacing w:before="120" w:after="120"/>
        <w:ind w:left="11" w:hanging="11"/>
        <w:jc w:val="both"/>
        <w:outlineLvl w:val="2"/>
        <w:rPr>
          <w:snapToGrid w:val="0"/>
        </w:rPr>
      </w:pPr>
      <w:r w:rsidRPr="00986FEA">
        <w:rPr>
          <w:snapToGrid w:val="0"/>
        </w:rPr>
        <w:t>Wymagania dotycz</w:t>
      </w:r>
      <w:r w:rsidR="00E86DAE">
        <w:rPr>
          <w:snapToGrid w:val="0"/>
        </w:rPr>
        <w:t>ące sprzętu podano w SST M.13.00</w:t>
      </w:r>
      <w:r w:rsidRPr="00986FEA">
        <w:rPr>
          <w:snapToGrid w:val="0"/>
        </w:rPr>
        <w:t>.00.</w:t>
      </w:r>
    </w:p>
    <w:p w:rsidR="00DC3746" w:rsidRPr="00986FEA" w:rsidRDefault="00DC3746" w:rsidP="00DC3746">
      <w:pPr>
        <w:spacing w:before="120" w:after="120"/>
        <w:ind w:left="-11" w:firstLine="21"/>
        <w:jc w:val="both"/>
        <w:outlineLvl w:val="2"/>
        <w:rPr>
          <w:b/>
          <w:snapToGrid w:val="0"/>
          <w:u w:val="single"/>
        </w:rPr>
      </w:pPr>
      <w:r w:rsidRPr="00986FEA">
        <w:rPr>
          <w:b/>
          <w:snapToGrid w:val="0"/>
          <w:u w:val="single"/>
        </w:rPr>
        <w:t>4. TRANSPORT</w:t>
      </w:r>
    </w:p>
    <w:p w:rsidR="00DC3746" w:rsidRPr="00986FEA" w:rsidRDefault="00DC3746" w:rsidP="0097494B">
      <w:pPr>
        <w:numPr>
          <w:ilvl w:val="2"/>
          <w:numId w:val="26"/>
        </w:numPr>
        <w:tabs>
          <w:tab w:val="clear" w:pos="0"/>
          <w:tab w:val="num" w:pos="720"/>
        </w:tabs>
        <w:suppressAutoHyphens/>
        <w:spacing w:before="120" w:after="120"/>
        <w:ind w:left="-11" w:firstLine="21"/>
        <w:jc w:val="both"/>
        <w:outlineLvl w:val="2"/>
        <w:rPr>
          <w:snapToGrid w:val="0"/>
        </w:rPr>
      </w:pPr>
      <w:r w:rsidRPr="00986FEA">
        <w:rPr>
          <w:snapToGrid w:val="0"/>
        </w:rPr>
        <w:t>Wymagania dotyczące</w:t>
      </w:r>
      <w:r w:rsidR="00E86DAE">
        <w:rPr>
          <w:snapToGrid w:val="0"/>
        </w:rPr>
        <w:t xml:space="preserve"> transportu podano w SST M.13.00</w:t>
      </w:r>
      <w:r w:rsidRPr="00986FEA">
        <w:rPr>
          <w:snapToGrid w:val="0"/>
        </w:rPr>
        <w:t>.00.</w:t>
      </w:r>
    </w:p>
    <w:p w:rsidR="00DC3746" w:rsidRPr="00986FEA" w:rsidRDefault="00DC3746" w:rsidP="0097494B">
      <w:pPr>
        <w:numPr>
          <w:ilvl w:val="2"/>
          <w:numId w:val="26"/>
        </w:numPr>
        <w:tabs>
          <w:tab w:val="clear" w:pos="0"/>
          <w:tab w:val="num" w:pos="720"/>
        </w:tabs>
        <w:suppressAutoHyphens/>
        <w:spacing w:before="120" w:after="120"/>
        <w:ind w:left="720" w:hanging="720"/>
        <w:jc w:val="both"/>
        <w:outlineLvl w:val="2"/>
        <w:rPr>
          <w:b/>
          <w:snapToGrid w:val="0"/>
          <w:u w:val="single"/>
        </w:rPr>
      </w:pPr>
      <w:r w:rsidRPr="00986FEA">
        <w:rPr>
          <w:b/>
          <w:snapToGrid w:val="0"/>
          <w:u w:val="single"/>
        </w:rPr>
        <w:t>5. WYKONANIE ROBÓT</w:t>
      </w:r>
    </w:p>
    <w:p w:rsidR="00DC3746" w:rsidRPr="00986FEA" w:rsidRDefault="00DC3746" w:rsidP="00DC3746">
      <w:pPr>
        <w:spacing w:before="120" w:after="120"/>
        <w:ind w:left="11" w:hanging="21"/>
        <w:jc w:val="both"/>
        <w:outlineLvl w:val="2"/>
        <w:rPr>
          <w:snapToGrid w:val="0"/>
        </w:rPr>
      </w:pPr>
      <w:r w:rsidRPr="00986FEA">
        <w:rPr>
          <w:snapToGrid w:val="0"/>
        </w:rPr>
        <w:t>Wymagania dotyczące wyko</w:t>
      </w:r>
      <w:r w:rsidR="00E86DAE">
        <w:rPr>
          <w:snapToGrid w:val="0"/>
        </w:rPr>
        <w:t>nania robót podano w SST M.13.00</w:t>
      </w:r>
      <w:r w:rsidRPr="00986FEA">
        <w:rPr>
          <w:snapToGrid w:val="0"/>
        </w:rPr>
        <w:t>.00.</w:t>
      </w:r>
    </w:p>
    <w:p w:rsidR="00DC3746" w:rsidRPr="00986FEA" w:rsidRDefault="00DC3746" w:rsidP="0097494B">
      <w:pPr>
        <w:numPr>
          <w:ilvl w:val="2"/>
          <w:numId w:val="26"/>
        </w:numPr>
        <w:tabs>
          <w:tab w:val="clear" w:pos="0"/>
          <w:tab w:val="num" w:pos="720"/>
        </w:tabs>
        <w:suppressAutoHyphens/>
        <w:spacing w:before="120" w:after="120"/>
        <w:ind w:left="720" w:hanging="720"/>
        <w:jc w:val="both"/>
        <w:outlineLvl w:val="2"/>
        <w:rPr>
          <w:b/>
          <w:snapToGrid w:val="0"/>
          <w:u w:val="single"/>
        </w:rPr>
      </w:pPr>
      <w:r w:rsidRPr="00986FEA">
        <w:rPr>
          <w:b/>
          <w:snapToGrid w:val="0"/>
          <w:u w:val="single"/>
        </w:rPr>
        <w:t>6. KONTROLA JAKOŚCI ROBÓT</w:t>
      </w:r>
    </w:p>
    <w:p w:rsidR="00DC3746" w:rsidRPr="00986FEA" w:rsidRDefault="00DC3746" w:rsidP="00DC3746">
      <w:pPr>
        <w:jc w:val="both"/>
      </w:pPr>
      <w:r w:rsidRPr="00986FEA">
        <w:t>Zasady kontroli ja</w:t>
      </w:r>
      <w:r w:rsidR="00E86DAE">
        <w:t>kości robót podano w SST M.13.00</w:t>
      </w:r>
      <w:r w:rsidRPr="00986FEA">
        <w:t>.00.</w:t>
      </w:r>
    </w:p>
    <w:p w:rsidR="00DC3746" w:rsidRPr="00986FEA" w:rsidRDefault="00DC3746" w:rsidP="00DC3746">
      <w:pPr>
        <w:jc w:val="both"/>
      </w:pPr>
      <w:r w:rsidRPr="00986FEA">
        <w:t>Dopuszczalne odchyłki wymiarowe od projektu wynoszą:</w:t>
      </w:r>
    </w:p>
    <w:p w:rsidR="00DC3746" w:rsidRPr="00986FEA" w:rsidRDefault="00DC3746" w:rsidP="00DC3746">
      <w:pPr>
        <w:jc w:val="both"/>
      </w:pPr>
      <w:r w:rsidRPr="00986FEA">
        <w:t>Usytuowanie w planie ± 1,0 cm,</w:t>
      </w:r>
    </w:p>
    <w:p w:rsidR="00DC3746" w:rsidRPr="00986FEA" w:rsidRDefault="00DC3746" w:rsidP="00DC3746">
      <w:pPr>
        <w:jc w:val="both"/>
      </w:pPr>
      <w:r w:rsidRPr="00986FEA">
        <w:t>rzędne wierzchu ± 0,2 cm.</w:t>
      </w:r>
    </w:p>
    <w:p w:rsidR="00DC3746" w:rsidRPr="00986FEA" w:rsidRDefault="00DC3746" w:rsidP="0097494B">
      <w:pPr>
        <w:numPr>
          <w:ilvl w:val="2"/>
          <w:numId w:val="26"/>
        </w:numPr>
        <w:tabs>
          <w:tab w:val="clear" w:pos="0"/>
          <w:tab w:val="num" w:pos="720"/>
        </w:tabs>
        <w:suppressAutoHyphens/>
        <w:spacing w:before="120" w:after="120"/>
        <w:ind w:left="720" w:hanging="720"/>
        <w:jc w:val="both"/>
        <w:outlineLvl w:val="2"/>
        <w:rPr>
          <w:b/>
          <w:snapToGrid w:val="0"/>
          <w:u w:val="single"/>
        </w:rPr>
      </w:pPr>
      <w:r w:rsidRPr="00986FEA">
        <w:rPr>
          <w:b/>
          <w:snapToGrid w:val="0"/>
          <w:u w:val="single"/>
        </w:rPr>
        <w:t>7. OBMIAR</w:t>
      </w:r>
    </w:p>
    <w:p w:rsidR="00DC3746" w:rsidRPr="00986FEA" w:rsidRDefault="00DC3746" w:rsidP="00DC3746">
      <w:pPr>
        <w:tabs>
          <w:tab w:val="left" w:pos="576"/>
          <w:tab w:val="left" w:pos="1008"/>
        </w:tabs>
        <w:jc w:val="both"/>
      </w:pPr>
      <w:r w:rsidRPr="00986FEA">
        <w:t>Ogólne zasady obmiaru robót podano w Specyfikacji D.M.00.00.00.</w:t>
      </w:r>
    </w:p>
    <w:p w:rsidR="00DC3746" w:rsidRPr="00986FEA" w:rsidRDefault="00DC3746" w:rsidP="00DC3746">
      <w:pPr>
        <w:jc w:val="both"/>
      </w:pPr>
      <w:r w:rsidRPr="00986FEA">
        <w:t>Jednostką obmiaru jest [m</w:t>
      </w:r>
      <w:r w:rsidRPr="00986FEA">
        <w:rPr>
          <w:vertAlign w:val="superscript"/>
        </w:rPr>
        <w:t>3</w:t>
      </w:r>
      <w:r w:rsidRPr="00986FEA">
        <w:t>] wbudowanego betonu.</w:t>
      </w:r>
    </w:p>
    <w:p w:rsidR="00DC3746" w:rsidRPr="00986FEA" w:rsidRDefault="00DC3746" w:rsidP="0097494B">
      <w:pPr>
        <w:numPr>
          <w:ilvl w:val="2"/>
          <w:numId w:val="26"/>
        </w:numPr>
        <w:tabs>
          <w:tab w:val="clear" w:pos="0"/>
          <w:tab w:val="num" w:pos="720"/>
        </w:tabs>
        <w:suppressAutoHyphens/>
        <w:spacing w:before="120" w:after="120"/>
        <w:ind w:left="720" w:hanging="720"/>
        <w:jc w:val="both"/>
        <w:outlineLvl w:val="2"/>
        <w:rPr>
          <w:b/>
          <w:snapToGrid w:val="0"/>
          <w:u w:val="single"/>
        </w:rPr>
      </w:pPr>
      <w:r w:rsidRPr="00986FEA">
        <w:rPr>
          <w:b/>
          <w:snapToGrid w:val="0"/>
          <w:u w:val="single"/>
        </w:rPr>
        <w:t>8. ODBIÓR ROBÓT</w:t>
      </w:r>
    </w:p>
    <w:p w:rsidR="00DC3746" w:rsidRDefault="00DC3746" w:rsidP="00DC3746">
      <w:pPr>
        <w:tabs>
          <w:tab w:val="left" w:pos="576"/>
          <w:tab w:val="left" w:pos="1008"/>
        </w:tabs>
        <w:spacing w:before="120" w:after="120"/>
        <w:jc w:val="both"/>
        <w:rPr>
          <w:b/>
        </w:rPr>
      </w:pPr>
      <w:r>
        <w:tab/>
        <w:t>Ogólne zasady odbioru robót podano w DM 00.00.00 „Wymagania ogólne”. Roboty uznaje się za wykonane zgodnie z Dokumentacją Projektową i STWiORB, jeżeli wszystkie badania i pomiary z zachowaniem tolerancji wg pkt. 6 niniejszych STWiORB dały wyniki pozytywne</w:t>
      </w:r>
    </w:p>
    <w:p w:rsidR="00DC3746" w:rsidRPr="00986FEA" w:rsidRDefault="00DC3746" w:rsidP="00DC3746">
      <w:pPr>
        <w:tabs>
          <w:tab w:val="left" w:pos="576"/>
          <w:tab w:val="left" w:pos="1008"/>
        </w:tabs>
        <w:spacing w:before="120" w:after="120"/>
        <w:jc w:val="both"/>
        <w:rPr>
          <w:b/>
        </w:rPr>
      </w:pPr>
      <w:r w:rsidRPr="00986FEA">
        <w:rPr>
          <w:b/>
        </w:rPr>
        <w:t>8.1. Odbiory częściowe</w:t>
      </w:r>
    </w:p>
    <w:p w:rsidR="00DC3746" w:rsidRPr="00986FEA" w:rsidRDefault="00DC3746" w:rsidP="00DC3746">
      <w:pPr>
        <w:tabs>
          <w:tab w:val="left" w:pos="576"/>
          <w:tab w:val="left" w:pos="1008"/>
        </w:tabs>
        <w:jc w:val="both"/>
      </w:pPr>
      <w:r w:rsidRPr="00986FEA">
        <w:t>Odbiorom częściowym podlegają:</w:t>
      </w:r>
    </w:p>
    <w:p w:rsidR="00DC3746" w:rsidRPr="00986FEA" w:rsidRDefault="00DC3746" w:rsidP="0097494B">
      <w:pPr>
        <w:numPr>
          <w:ilvl w:val="0"/>
          <w:numId w:val="28"/>
        </w:numPr>
        <w:suppressAutoHyphens/>
        <w:ind w:left="284" w:hanging="284"/>
        <w:jc w:val="both"/>
      </w:pPr>
      <w:r w:rsidRPr="00986FEA">
        <w:t>materiały użyte do wytwarzania mieszanki betonowej (cement, kruszywo, woda zarobowa),</w:t>
      </w:r>
    </w:p>
    <w:p w:rsidR="00DC3746" w:rsidRPr="00986FEA" w:rsidRDefault="00DC3746" w:rsidP="0097494B">
      <w:pPr>
        <w:numPr>
          <w:ilvl w:val="0"/>
          <w:numId w:val="28"/>
        </w:numPr>
        <w:suppressAutoHyphens/>
        <w:ind w:left="284" w:hanging="284"/>
        <w:jc w:val="both"/>
      </w:pPr>
      <w:r w:rsidRPr="00986FEA">
        <w:t>dostarczana na plac budowy gotowa mieszanka betonowa.</w:t>
      </w:r>
    </w:p>
    <w:p w:rsidR="00DC3746" w:rsidRPr="005C046E" w:rsidRDefault="00DC3746" w:rsidP="0097494B">
      <w:pPr>
        <w:numPr>
          <w:ilvl w:val="0"/>
          <w:numId w:val="28"/>
        </w:numPr>
        <w:suppressAutoHyphens/>
        <w:ind w:left="284" w:hanging="284"/>
        <w:jc w:val="both"/>
      </w:pPr>
      <w:r w:rsidRPr="00986FEA">
        <w:t>deskowanie.</w:t>
      </w:r>
      <w:r w:rsidRPr="005C046E">
        <w:rPr>
          <w:b/>
        </w:rPr>
        <w:br w:type="page"/>
      </w:r>
    </w:p>
    <w:p w:rsidR="00DC3746" w:rsidRPr="00986FEA" w:rsidRDefault="00DC3746" w:rsidP="00DC3746">
      <w:pPr>
        <w:tabs>
          <w:tab w:val="left" w:pos="576"/>
          <w:tab w:val="left" w:pos="1008"/>
        </w:tabs>
        <w:suppressAutoHyphens/>
        <w:spacing w:before="120" w:after="120"/>
        <w:jc w:val="both"/>
      </w:pPr>
      <w:r w:rsidRPr="00986FEA">
        <w:rPr>
          <w:b/>
        </w:rPr>
        <w:t>8.2. Odbiory końcowe</w:t>
      </w:r>
    </w:p>
    <w:p w:rsidR="00DC3746" w:rsidRPr="00986FEA" w:rsidRDefault="00DC3746" w:rsidP="00DC3746">
      <w:pPr>
        <w:jc w:val="both"/>
      </w:pPr>
      <w:r w:rsidRPr="00986FEA">
        <w:t>Na podstawie badań podanych w pkt. 6 dokonuje się odbioru końcowego robót. Odbiór ten powinien być potwierdzony protokołami odbioru, zawierającymi wyniki wszystkich niezbędnych badań lub odpowiednie atesty.</w:t>
      </w:r>
    </w:p>
    <w:p w:rsidR="00DC3746" w:rsidRPr="00986FEA" w:rsidRDefault="00DC3746" w:rsidP="0097494B">
      <w:pPr>
        <w:numPr>
          <w:ilvl w:val="2"/>
          <w:numId w:val="26"/>
        </w:numPr>
        <w:tabs>
          <w:tab w:val="clear" w:pos="0"/>
          <w:tab w:val="num" w:pos="720"/>
        </w:tabs>
        <w:suppressAutoHyphens/>
        <w:spacing w:before="120" w:after="120"/>
        <w:ind w:left="720" w:hanging="720"/>
        <w:jc w:val="both"/>
        <w:outlineLvl w:val="2"/>
        <w:rPr>
          <w:b/>
          <w:snapToGrid w:val="0"/>
          <w:u w:val="single"/>
        </w:rPr>
      </w:pPr>
      <w:r w:rsidRPr="00986FEA">
        <w:rPr>
          <w:b/>
          <w:snapToGrid w:val="0"/>
          <w:u w:val="single"/>
        </w:rPr>
        <w:t>9. PŁATNOŚĆ</w:t>
      </w:r>
    </w:p>
    <w:p w:rsidR="00DC3746" w:rsidRPr="00986FEA" w:rsidRDefault="00DC3746" w:rsidP="00DC3746">
      <w:pPr>
        <w:jc w:val="both"/>
      </w:pPr>
      <w:r w:rsidRPr="00986FEA">
        <w:t>Cena jednostkowa wykonania 1 m</w:t>
      </w:r>
      <w:r w:rsidRPr="00986FEA">
        <w:rPr>
          <w:vertAlign w:val="superscript"/>
        </w:rPr>
        <w:t>3</w:t>
      </w:r>
      <w:r w:rsidRPr="00986FEA">
        <w:t xml:space="preserve"> betonu obejmuje:</w:t>
      </w:r>
    </w:p>
    <w:p w:rsidR="00DC3746" w:rsidRDefault="00DC3746" w:rsidP="00DC3746">
      <w:pPr>
        <w:suppressAutoHyphens/>
        <w:jc w:val="both"/>
        <w:rPr>
          <w:snapToGrid w:val="0"/>
        </w:rPr>
      </w:pPr>
      <w:r w:rsidRPr="00986FEA">
        <w:rPr>
          <w:snapToGrid w:val="0"/>
        </w:rPr>
        <w:t>- prace pomiarowe i przygotowawcze,</w:t>
      </w:r>
    </w:p>
    <w:p w:rsidR="00DC3746" w:rsidRPr="00986FEA" w:rsidRDefault="00DC3746" w:rsidP="00DC3746">
      <w:pPr>
        <w:suppressAutoHyphens/>
        <w:jc w:val="both"/>
        <w:rPr>
          <w:snapToGrid w:val="0"/>
        </w:rPr>
      </w:pPr>
      <w:r>
        <w:rPr>
          <w:snapToGrid w:val="0"/>
        </w:rPr>
        <w:t>- oznakowanie robót,</w:t>
      </w:r>
    </w:p>
    <w:p w:rsidR="00DC3746" w:rsidRPr="00986FEA" w:rsidRDefault="00DC3746" w:rsidP="00DC3746">
      <w:pPr>
        <w:suppressAutoHyphens/>
        <w:jc w:val="both"/>
        <w:rPr>
          <w:snapToGrid w:val="0"/>
        </w:rPr>
      </w:pPr>
      <w:r w:rsidRPr="00986FEA">
        <w:rPr>
          <w:snapToGrid w:val="0"/>
        </w:rPr>
        <w:t>- zakup materiałów,</w:t>
      </w:r>
    </w:p>
    <w:p w:rsidR="00DC3746" w:rsidRDefault="00DC3746" w:rsidP="00DC3746">
      <w:pPr>
        <w:suppressAutoHyphens/>
        <w:jc w:val="both"/>
        <w:rPr>
          <w:snapToGrid w:val="0"/>
        </w:rPr>
      </w:pPr>
      <w:r w:rsidRPr="00986FEA">
        <w:rPr>
          <w:snapToGrid w:val="0"/>
        </w:rPr>
        <w:t>- transport i składowanie materiałów niezbędnych do wykonania robót,</w:t>
      </w:r>
    </w:p>
    <w:p w:rsidR="00DC3746" w:rsidRDefault="00DC3746" w:rsidP="00DC3746">
      <w:pPr>
        <w:suppressAutoHyphens/>
        <w:jc w:val="both"/>
        <w:rPr>
          <w:snapToGrid w:val="0"/>
        </w:rPr>
      </w:pPr>
      <w:r>
        <w:rPr>
          <w:snapToGrid w:val="0"/>
        </w:rPr>
        <w:t xml:space="preserve">- wykonanie i uzgodnienie projektów technologicznych </w:t>
      </w:r>
    </w:p>
    <w:p w:rsidR="00DC3746" w:rsidRDefault="00DC3746" w:rsidP="00DC3746">
      <w:pPr>
        <w:suppressAutoHyphens/>
        <w:jc w:val="both"/>
        <w:rPr>
          <w:snapToGrid w:val="0"/>
        </w:rPr>
      </w:pPr>
      <w:r>
        <w:rPr>
          <w:snapToGrid w:val="0"/>
        </w:rPr>
        <w:t>- wykonanie operatów wodnoprawnych dla konstrukcji tymczasowych</w:t>
      </w:r>
    </w:p>
    <w:p w:rsidR="00DC3746" w:rsidRPr="00986FEA" w:rsidRDefault="00DC3746" w:rsidP="00DC3746">
      <w:pPr>
        <w:suppressAutoHyphens/>
        <w:jc w:val="both"/>
        <w:rPr>
          <w:snapToGrid w:val="0"/>
        </w:rPr>
      </w:pPr>
      <w:r>
        <w:rPr>
          <w:snapToGrid w:val="0"/>
        </w:rPr>
        <w:t>- na czas robót nad rzekami i ciekami, uzyskanie wszelkich uzgodnień i pozwoleń</w:t>
      </w:r>
    </w:p>
    <w:p w:rsidR="00DC3746" w:rsidRPr="00986FEA" w:rsidRDefault="00DC3746" w:rsidP="00DC3746">
      <w:pPr>
        <w:suppressAutoHyphens/>
        <w:jc w:val="both"/>
        <w:rPr>
          <w:snapToGrid w:val="0"/>
        </w:rPr>
      </w:pPr>
      <w:r w:rsidRPr="00986FEA">
        <w:rPr>
          <w:snapToGrid w:val="0"/>
        </w:rPr>
        <w:t>- wykonanie utrzymanie i rozbiórka dróg technologicznych,</w:t>
      </w:r>
    </w:p>
    <w:p w:rsidR="00DC3746" w:rsidRDefault="00DC3746" w:rsidP="00DC3746">
      <w:pPr>
        <w:suppressAutoHyphens/>
        <w:jc w:val="both"/>
        <w:rPr>
          <w:snapToGrid w:val="0"/>
        </w:rPr>
      </w:pPr>
      <w:r w:rsidRPr="00986FEA">
        <w:rPr>
          <w:snapToGrid w:val="0"/>
        </w:rPr>
        <w:t>- opracowanie receptury betonu,</w:t>
      </w:r>
    </w:p>
    <w:p w:rsidR="00DC3746" w:rsidRPr="00986FEA" w:rsidRDefault="00DC3746" w:rsidP="00DC3746">
      <w:pPr>
        <w:suppressAutoHyphens/>
        <w:jc w:val="both"/>
        <w:rPr>
          <w:snapToGrid w:val="0"/>
        </w:rPr>
      </w:pPr>
      <w:r>
        <w:rPr>
          <w:snapToGrid w:val="0"/>
        </w:rPr>
        <w:t>- przygotowanie i transport mieszanki,</w:t>
      </w:r>
    </w:p>
    <w:p w:rsidR="00DC3746" w:rsidRPr="00986FEA" w:rsidRDefault="00DC3746" w:rsidP="00DC3746">
      <w:pPr>
        <w:suppressAutoHyphens/>
        <w:jc w:val="both"/>
        <w:rPr>
          <w:snapToGrid w:val="0"/>
        </w:rPr>
      </w:pPr>
      <w:r w:rsidRPr="00986FEA">
        <w:rPr>
          <w:snapToGrid w:val="0"/>
        </w:rPr>
        <w:t>- pompowanie wód z wykopów na czas wykonania robót,</w:t>
      </w:r>
    </w:p>
    <w:p w:rsidR="00DC3746" w:rsidRDefault="00DC3746" w:rsidP="00DC3746">
      <w:pPr>
        <w:suppressAutoHyphens/>
        <w:jc w:val="both"/>
        <w:rPr>
          <w:snapToGrid w:val="0"/>
        </w:rPr>
      </w:pPr>
      <w:r w:rsidRPr="00986FEA">
        <w:rPr>
          <w:snapToGrid w:val="0"/>
        </w:rPr>
        <w:t>- zabezpieczenie wykopu,</w:t>
      </w:r>
    </w:p>
    <w:p w:rsidR="00DC3746" w:rsidRDefault="00DC3746" w:rsidP="00DC3746">
      <w:pPr>
        <w:suppressAutoHyphens/>
        <w:jc w:val="both"/>
        <w:rPr>
          <w:snapToGrid w:val="0"/>
        </w:rPr>
      </w:pPr>
      <w:r>
        <w:rPr>
          <w:snapToGrid w:val="0"/>
        </w:rPr>
        <w:t>- zabezpieczenie stateczność skarp</w:t>
      </w:r>
    </w:p>
    <w:p w:rsidR="00DC3746" w:rsidRDefault="00DC3746" w:rsidP="00DC3746">
      <w:pPr>
        <w:suppressAutoHyphens/>
        <w:jc w:val="both"/>
        <w:rPr>
          <w:snapToGrid w:val="0"/>
        </w:rPr>
      </w:pPr>
      <w:r>
        <w:rPr>
          <w:snapToGrid w:val="0"/>
        </w:rPr>
        <w:t>- zabezpieczenie konstrukcji drogi</w:t>
      </w:r>
    </w:p>
    <w:p w:rsidR="00DC3746" w:rsidRPr="00986FEA" w:rsidRDefault="00DC3746" w:rsidP="00DC3746">
      <w:pPr>
        <w:suppressAutoHyphens/>
        <w:jc w:val="both"/>
        <w:rPr>
          <w:snapToGrid w:val="0"/>
        </w:rPr>
      </w:pPr>
      <w:r w:rsidRPr="00986FEA">
        <w:rPr>
          <w:snapToGrid w:val="0"/>
        </w:rPr>
        <w:t>- wykonanie projektu deskowania,</w:t>
      </w:r>
    </w:p>
    <w:p w:rsidR="00DC3746" w:rsidRPr="00986FEA" w:rsidRDefault="00DC3746" w:rsidP="00DC3746">
      <w:pPr>
        <w:suppressAutoHyphens/>
        <w:jc w:val="both"/>
        <w:rPr>
          <w:snapToGrid w:val="0"/>
        </w:rPr>
      </w:pPr>
      <w:r w:rsidRPr="00986FEA">
        <w:rPr>
          <w:snapToGrid w:val="0"/>
        </w:rPr>
        <w:t>- wykonanie deskowania w tym deskowania traconego,</w:t>
      </w:r>
    </w:p>
    <w:p w:rsidR="00DC3746" w:rsidRPr="00986FEA" w:rsidRDefault="00DC3746" w:rsidP="00DC3746">
      <w:pPr>
        <w:suppressAutoHyphens/>
        <w:jc w:val="both"/>
        <w:rPr>
          <w:snapToGrid w:val="0"/>
        </w:rPr>
      </w:pPr>
      <w:r w:rsidRPr="00986FEA">
        <w:rPr>
          <w:snapToGrid w:val="0"/>
        </w:rPr>
        <w:t>- oczyszczenie i nawilżenie deskowania,</w:t>
      </w:r>
    </w:p>
    <w:p w:rsidR="00DC3746" w:rsidRPr="00986FEA" w:rsidRDefault="00DC3746" w:rsidP="00DC3746">
      <w:pPr>
        <w:suppressAutoHyphens/>
        <w:jc w:val="both"/>
        <w:rPr>
          <w:snapToGrid w:val="0"/>
        </w:rPr>
      </w:pPr>
      <w:r w:rsidRPr="00986FEA">
        <w:rPr>
          <w:snapToGrid w:val="0"/>
        </w:rPr>
        <w:t>- przygotowanie mieszanki betonowej,</w:t>
      </w:r>
    </w:p>
    <w:p w:rsidR="00DC3746" w:rsidRDefault="00DC3746" w:rsidP="00DC3746">
      <w:pPr>
        <w:suppressAutoHyphens/>
        <w:jc w:val="both"/>
        <w:rPr>
          <w:snapToGrid w:val="0"/>
        </w:rPr>
      </w:pPr>
      <w:r w:rsidRPr="00986FEA">
        <w:rPr>
          <w:snapToGrid w:val="0"/>
        </w:rPr>
        <w:t>- ułożenie mieszanki betonowej wraz z zagęszczeniem,</w:t>
      </w:r>
    </w:p>
    <w:p w:rsidR="00DC3746" w:rsidRDefault="00DC3746" w:rsidP="00DC3746">
      <w:pPr>
        <w:suppressAutoHyphens/>
        <w:jc w:val="both"/>
        <w:rPr>
          <w:snapToGrid w:val="0"/>
        </w:rPr>
      </w:pPr>
      <w:r>
        <w:rPr>
          <w:snapToGrid w:val="0"/>
        </w:rPr>
        <w:t>- przygotowanie betonu i wykonanie warstwy szczepnej w przypadku przerw roboczych</w:t>
      </w:r>
    </w:p>
    <w:p w:rsidR="00DC3746" w:rsidRPr="00986FEA" w:rsidRDefault="00DC3746" w:rsidP="00DC3746">
      <w:pPr>
        <w:suppressAutoHyphens/>
        <w:jc w:val="both"/>
        <w:rPr>
          <w:snapToGrid w:val="0"/>
        </w:rPr>
      </w:pPr>
      <w:r>
        <w:rPr>
          <w:snapToGrid w:val="0"/>
        </w:rPr>
        <w:t xml:space="preserve">- </w:t>
      </w:r>
      <w:r>
        <w:t>wykonanie w konstrukcji wszystkich wymaganych dokumentacją projektową otworów jak również osadzenie potrzebnych zakotwień, marek, rur itp.,</w:t>
      </w:r>
    </w:p>
    <w:p w:rsidR="00DC3746" w:rsidRPr="00986FEA" w:rsidRDefault="00DC3746" w:rsidP="00DC3746">
      <w:pPr>
        <w:suppressAutoHyphens/>
        <w:jc w:val="both"/>
        <w:rPr>
          <w:snapToGrid w:val="0"/>
        </w:rPr>
      </w:pPr>
      <w:r w:rsidRPr="00986FEA">
        <w:rPr>
          <w:snapToGrid w:val="0"/>
        </w:rPr>
        <w:t>- pielęgnację betonu,</w:t>
      </w:r>
    </w:p>
    <w:p w:rsidR="00DC3746" w:rsidRPr="00986FEA" w:rsidRDefault="00DC3746" w:rsidP="00DC3746">
      <w:pPr>
        <w:suppressAutoHyphens/>
        <w:jc w:val="both"/>
        <w:rPr>
          <w:snapToGrid w:val="0"/>
        </w:rPr>
      </w:pPr>
      <w:r w:rsidRPr="00986FEA">
        <w:rPr>
          <w:snapToGrid w:val="0"/>
        </w:rPr>
        <w:t>- rozebranie deskowania,</w:t>
      </w:r>
    </w:p>
    <w:p w:rsidR="00DC3746" w:rsidRDefault="00DC3746" w:rsidP="00DC3746">
      <w:pPr>
        <w:suppressAutoHyphens/>
        <w:jc w:val="both"/>
        <w:rPr>
          <w:snapToGrid w:val="0"/>
        </w:rPr>
      </w:pPr>
      <w:r w:rsidRPr="00986FEA">
        <w:rPr>
          <w:snapToGrid w:val="0"/>
        </w:rPr>
        <w:t>- usunięcie materiałów rozbiórkowych poza pas drogowy,</w:t>
      </w:r>
    </w:p>
    <w:p w:rsidR="00DC3746" w:rsidRPr="00986FEA" w:rsidRDefault="00DC3746" w:rsidP="00DC3746">
      <w:pPr>
        <w:suppressAutoHyphens/>
        <w:jc w:val="both"/>
        <w:rPr>
          <w:snapToGrid w:val="0"/>
        </w:rPr>
      </w:pPr>
      <w:r>
        <w:rPr>
          <w:snapToGrid w:val="0"/>
        </w:rPr>
        <w:t>- wykonanie wszystkich prac towarzyszących</w:t>
      </w:r>
    </w:p>
    <w:p w:rsidR="00DC3746" w:rsidRDefault="00DC3746" w:rsidP="00DC3746">
      <w:pPr>
        <w:suppressAutoHyphens/>
        <w:jc w:val="both"/>
        <w:rPr>
          <w:snapToGrid w:val="0"/>
        </w:rPr>
      </w:pPr>
      <w:r w:rsidRPr="00986FEA">
        <w:rPr>
          <w:snapToGrid w:val="0"/>
        </w:rPr>
        <w:t>- wykonanie badań i pomiarów wymaganych w Specyfikacji Technicznej.</w:t>
      </w:r>
    </w:p>
    <w:p w:rsidR="00DC3746" w:rsidRPr="00986FEA" w:rsidRDefault="00DC3746" w:rsidP="00DC3746">
      <w:pPr>
        <w:suppressAutoHyphens/>
        <w:jc w:val="both"/>
        <w:rPr>
          <w:snapToGrid w:val="0"/>
        </w:rPr>
      </w:pPr>
      <w:r>
        <w:rPr>
          <w:snapToGrid w:val="0"/>
        </w:rPr>
        <w:t xml:space="preserve">- </w:t>
      </w:r>
      <w:r>
        <w:t>wszelkie inne czynności związane z prawidłowym wykonaniem i wbudowaniem betonu zgodnie z wyma</w:t>
      </w:r>
      <w:r w:rsidR="00E86DAE">
        <w:t>ganiami określonymi w ST M 13.00</w:t>
      </w:r>
      <w:r>
        <w:t>.00.</w:t>
      </w:r>
    </w:p>
    <w:p w:rsidR="00DC3746" w:rsidRPr="00986FEA" w:rsidRDefault="00DC3746" w:rsidP="00DC3746">
      <w:pPr>
        <w:spacing w:before="120" w:after="120"/>
        <w:jc w:val="both"/>
        <w:rPr>
          <w:snapToGrid w:val="0"/>
        </w:rPr>
      </w:pPr>
      <w:r w:rsidRPr="00986FEA">
        <w:rPr>
          <w:snapToGrid w:val="0"/>
        </w:rPr>
        <w:t>Cena nie uwzględnia zbrojenia oraz robót izolacyjnych.</w:t>
      </w:r>
    </w:p>
    <w:p w:rsidR="00DC3746" w:rsidRPr="00986FEA" w:rsidRDefault="00DC3746" w:rsidP="0097494B">
      <w:pPr>
        <w:numPr>
          <w:ilvl w:val="2"/>
          <w:numId w:val="26"/>
        </w:numPr>
        <w:tabs>
          <w:tab w:val="clear" w:pos="0"/>
          <w:tab w:val="num" w:pos="720"/>
        </w:tabs>
        <w:suppressAutoHyphens/>
        <w:spacing w:before="120" w:after="120"/>
        <w:ind w:left="720" w:hanging="720"/>
        <w:jc w:val="both"/>
        <w:outlineLvl w:val="2"/>
        <w:rPr>
          <w:b/>
          <w:snapToGrid w:val="0"/>
          <w:u w:val="single"/>
        </w:rPr>
      </w:pPr>
      <w:r w:rsidRPr="00986FEA">
        <w:rPr>
          <w:b/>
          <w:snapToGrid w:val="0"/>
          <w:u w:val="single"/>
        </w:rPr>
        <w:t>10. PRZEPISY ZWIAZANE</w:t>
      </w:r>
    </w:p>
    <w:p w:rsidR="00DC3746" w:rsidRDefault="00E86DAE" w:rsidP="00DC3746">
      <w:pPr>
        <w:jc w:val="both"/>
      </w:pPr>
      <w:r>
        <w:t>Wg M.13.00</w:t>
      </w:r>
      <w:r w:rsidR="00DC3746" w:rsidRPr="00986FEA">
        <w:t>.00.</w:t>
      </w:r>
    </w:p>
    <w:p w:rsidR="006B3F74" w:rsidRDefault="006B3F74" w:rsidP="00986FEA">
      <w:pPr>
        <w:jc w:val="both"/>
      </w:pPr>
    </w:p>
    <w:p w:rsidR="00DC3746" w:rsidRPr="005C046E" w:rsidRDefault="00DC3746" w:rsidP="0097494B">
      <w:pPr>
        <w:numPr>
          <w:ilvl w:val="0"/>
          <w:numId w:val="28"/>
        </w:numPr>
        <w:suppressAutoHyphens/>
        <w:ind w:left="284" w:hanging="284"/>
        <w:jc w:val="both"/>
      </w:pPr>
      <w:r w:rsidRPr="005C046E">
        <w:rPr>
          <w:b/>
        </w:rPr>
        <w:br w:type="page"/>
      </w:r>
    </w:p>
    <w:p w:rsidR="00A124D3" w:rsidRPr="00D65C73" w:rsidRDefault="00E86DAE" w:rsidP="00AE0A20">
      <w:pPr>
        <w:jc w:val="both"/>
        <w:outlineLvl w:val="0"/>
        <w:rPr>
          <w:rFonts w:ascii="PL Times New Roman" w:hAnsi="PL Times New Roman"/>
          <w:b/>
          <w:snapToGrid w:val="0"/>
          <w:sz w:val="26"/>
        </w:rPr>
      </w:pPr>
      <w:bookmarkStart w:id="31" w:name="_Toc80100084"/>
      <w:r>
        <w:rPr>
          <w:rFonts w:ascii="PL Times New Roman" w:hAnsi="PL Times New Roman"/>
          <w:b/>
          <w:snapToGrid w:val="0"/>
          <w:sz w:val="26"/>
        </w:rPr>
        <w:t xml:space="preserve">M.13.01.05. </w:t>
      </w:r>
      <w:r>
        <w:rPr>
          <w:rFonts w:ascii="PL Times New Roman" w:hAnsi="PL Times New Roman"/>
          <w:b/>
          <w:snapToGrid w:val="0"/>
          <w:sz w:val="26"/>
        </w:rPr>
        <w:tab/>
      </w:r>
      <w:r>
        <w:rPr>
          <w:rFonts w:ascii="PL Times New Roman" w:hAnsi="PL Times New Roman"/>
          <w:b/>
          <w:snapToGrid w:val="0"/>
          <w:sz w:val="26"/>
        </w:rPr>
        <w:tab/>
        <w:t xml:space="preserve">BETON PŁYTY ZESPALAJĄCEJ ORAZ KASKADY </w:t>
      </w:r>
      <w:r w:rsidR="00A124D3">
        <w:rPr>
          <w:rFonts w:ascii="PL Times New Roman" w:hAnsi="PL Times New Roman"/>
          <w:b/>
          <w:snapToGrid w:val="0"/>
          <w:sz w:val="26"/>
        </w:rPr>
        <w:t>KLASY C30/37</w:t>
      </w:r>
      <w:bookmarkEnd w:id="31"/>
    </w:p>
    <w:p w:rsidR="00096BB0" w:rsidRPr="00986FEA" w:rsidRDefault="00096BB0" w:rsidP="0097494B">
      <w:pPr>
        <w:numPr>
          <w:ilvl w:val="2"/>
          <w:numId w:val="26"/>
        </w:numPr>
        <w:tabs>
          <w:tab w:val="clear" w:pos="0"/>
          <w:tab w:val="num" w:pos="720"/>
        </w:tabs>
        <w:suppressAutoHyphens/>
        <w:spacing w:before="120" w:after="60"/>
        <w:ind w:left="720" w:hanging="720"/>
        <w:jc w:val="both"/>
        <w:outlineLvl w:val="2"/>
        <w:rPr>
          <w:b/>
          <w:snapToGrid w:val="0"/>
          <w:u w:val="single"/>
        </w:rPr>
      </w:pPr>
      <w:r w:rsidRPr="00986FEA">
        <w:rPr>
          <w:b/>
          <w:snapToGrid w:val="0"/>
          <w:u w:val="single"/>
        </w:rPr>
        <w:t>1. WSTĘP</w:t>
      </w:r>
    </w:p>
    <w:p w:rsidR="00096BB0" w:rsidRPr="00986FEA" w:rsidRDefault="00096BB0" w:rsidP="00096BB0">
      <w:pPr>
        <w:suppressAutoHyphens/>
        <w:spacing w:before="120" w:after="120"/>
        <w:jc w:val="both"/>
        <w:rPr>
          <w:b/>
          <w:lang w:eastAsia="ar-SA"/>
        </w:rPr>
      </w:pPr>
      <w:r w:rsidRPr="00986FEA">
        <w:rPr>
          <w:b/>
          <w:lang w:eastAsia="ar-SA"/>
        </w:rPr>
        <w:t>1.1. Przedmiot SST</w:t>
      </w:r>
    </w:p>
    <w:p w:rsidR="00096BB0" w:rsidRPr="00986FEA" w:rsidRDefault="00096BB0" w:rsidP="00096BB0">
      <w:pPr>
        <w:jc w:val="both"/>
        <w:rPr>
          <w:b/>
          <w:bCs/>
          <w:i/>
          <w:color w:val="000000"/>
        </w:rPr>
      </w:pPr>
      <w:r w:rsidRPr="00986FEA">
        <w:t xml:space="preserve">Przedmiotem niniejszej Specyfikacji Technicznej są wymagania dotyczące wykonania i odbioru robót w ramach </w:t>
      </w:r>
      <w:r w:rsidRPr="00986FEA">
        <w:rPr>
          <w:iCs/>
          <w:color w:val="000000"/>
        </w:rPr>
        <w:t>zadania:</w:t>
      </w:r>
      <w:r w:rsidR="00E86DAE" w:rsidRPr="00E86DAE">
        <w:rPr>
          <w:bCs/>
        </w:rPr>
        <w:t xml:space="preserve"> </w:t>
      </w:r>
      <w:r w:rsidR="00E86DAE">
        <w:rPr>
          <w:bCs/>
        </w:rPr>
        <w:t>"Remont przepustu nad rzeką Postomia w ciągu drogi nr 445/k.2922 m. Wędrzyn."</w:t>
      </w:r>
    </w:p>
    <w:p w:rsidR="00096BB0" w:rsidRPr="00986FEA" w:rsidRDefault="00096BB0" w:rsidP="00096BB0">
      <w:pPr>
        <w:jc w:val="both"/>
        <w:rPr>
          <w:b/>
          <w:bCs/>
          <w:i/>
          <w:color w:val="000000"/>
        </w:rPr>
      </w:pPr>
    </w:p>
    <w:p w:rsidR="00096BB0" w:rsidRPr="00986FEA" w:rsidRDefault="00096BB0" w:rsidP="00096BB0">
      <w:pPr>
        <w:spacing w:line="360" w:lineRule="auto"/>
        <w:jc w:val="both"/>
        <w:rPr>
          <w:b/>
        </w:rPr>
      </w:pPr>
      <w:r w:rsidRPr="00986FEA">
        <w:rPr>
          <w:b/>
        </w:rPr>
        <w:t>1.2. Zakres stosowania SST</w:t>
      </w:r>
    </w:p>
    <w:p w:rsidR="00096BB0" w:rsidRPr="00986FEA" w:rsidRDefault="00096BB0" w:rsidP="00096BB0">
      <w:pPr>
        <w:tabs>
          <w:tab w:val="left" w:pos="576"/>
          <w:tab w:val="left" w:pos="1008"/>
        </w:tabs>
        <w:jc w:val="both"/>
      </w:pPr>
      <w:r w:rsidRPr="00986FEA">
        <w:t>Szczegółowa Specyfikacja Techniczna jest stosowana jako dokument przetargowy i kontraktowy przy zlecaniu i realizacji robót wymienionych w punkcie 1.1.</w:t>
      </w:r>
    </w:p>
    <w:p w:rsidR="00096BB0" w:rsidRPr="00986FEA" w:rsidRDefault="00096BB0" w:rsidP="00096BB0">
      <w:pPr>
        <w:tabs>
          <w:tab w:val="left" w:pos="576"/>
          <w:tab w:val="left" w:pos="1008"/>
        </w:tabs>
        <w:spacing w:before="120" w:after="120"/>
        <w:jc w:val="both"/>
        <w:rPr>
          <w:b/>
        </w:rPr>
      </w:pPr>
      <w:r w:rsidRPr="00986FEA">
        <w:rPr>
          <w:b/>
        </w:rPr>
        <w:t>1.3. Zakres robót objętych SST</w:t>
      </w:r>
    </w:p>
    <w:p w:rsidR="00096BB0" w:rsidRPr="00986FEA" w:rsidRDefault="00096BB0" w:rsidP="00096BB0">
      <w:pPr>
        <w:tabs>
          <w:tab w:val="left" w:pos="360"/>
        </w:tabs>
        <w:jc w:val="both"/>
      </w:pPr>
      <w:r w:rsidRPr="00986FEA">
        <w:t>Ustalenia zawarte w niniejszej Specyfikacji mają zastosowanie przy wykon</w:t>
      </w:r>
      <w:r>
        <w:t xml:space="preserve">ywaniu betonu konstrukcyjnego  </w:t>
      </w:r>
      <w:r w:rsidRPr="00986FEA">
        <w:t>C</w:t>
      </w:r>
      <w:r>
        <w:t>30/37 – pł</w:t>
      </w:r>
      <w:r w:rsidR="00E86DAE">
        <w:t>yta zespalająca, kaskada</w:t>
      </w:r>
      <w:r>
        <w:t>.</w:t>
      </w:r>
    </w:p>
    <w:p w:rsidR="00096BB0" w:rsidRPr="00986FEA" w:rsidRDefault="00096BB0" w:rsidP="00096BB0">
      <w:pPr>
        <w:tabs>
          <w:tab w:val="left" w:pos="576"/>
          <w:tab w:val="left" w:pos="1008"/>
        </w:tabs>
        <w:spacing w:before="120" w:after="120"/>
        <w:jc w:val="both"/>
        <w:rPr>
          <w:b/>
        </w:rPr>
      </w:pPr>
      <w:r w:rsidRPr="00986FEA">
        <w:rPr>
          <w:b/>
        </w:rPr>
        <w:t>1.4. Określenia podstawowe</w:t>
      </w:r>
    </w:p>
    <w:p w:rsidR="00096BB0" w:rsidRPr="00986FEA" w:rsidRDefault="00096BB0" w:rsidP="00096BB0">
      <w:pPr>
        <w:tabs>
          <w:tab w:val="left" w:pos="576"/>
          <w:tab w:val="left" w:pos="1008"/>
        </w:tabs>
        <w:jc w:val="both"/>
      </w:pPr>
      <w:r w:rsidRPr="00986FEA">
        <w:t>Określenia podane w niniejszej Specyfikacji są zgodne z obowiązującymi polskimi normami i określeniami podanymi w Spec</w:t>
      </w:r>
      <w:r w:rsidR="00E86DAE">
        <w:t>yfikacjach D.M.00.00.00; M.13.00</w:t>
      </w:r>
      <w:r w:rsidRPr="00986FEA">
        <w:t>.00</w:t>
      </w:r>
    </w:p>
    <w:p w:rsidR="00096BB0" w:rsidRPr="00986FEA" w:rsidRDefault="00096BB0" w:rsidP="00096BB0">
      <w:pPr>
        <w:tabs>
          <w:tab w:val="left" w:pos="576"/>
          <w:tab w:val="left" w:pos="1008"/>
        </w:tabs>
        <w:spacing w:before="120" w:after="120"/>
        <w:jc w:val="both"/>
        <w:rPr>
          <w:b/>
        </w:rPr>
      </w:pPr>
      <w:r w:rsidRPr="00986FEA">
        <w:rPr>
          <w:b/>
        </w:rPr>
        <w:t>1.5. Ogólne wymagania dotyczące Robót</w:t>
      </w:r>
    </w:p>
    <w:p w:rsidR="00096BB0" w:rsidRPr="00986FEA" w:rsidRDefault="00096BB0" w:rsidP="00096BB0">
      <w:pPr>
        <w:tabs>
          <w:tab w:val="left" w:pos="576"/>
          <w:tab w:val="left" w:pos="1008"/>
        </w:tabs>
        <w:jc w:val="both"/>
      </w:pPr>
      <w:r w:rsidRPr="00986FEA">
        <w:t xml:space="preserve">Ogólne wymagania dotyczące robót podano w Specyfikacji D.M.00.00.00. </w:t>
      </w:r>
    </w:p>
    <w:p w:rsidR="00096BB0" w:rsidRPr="00986FEA" w:rsidRDefault="00096BB0" w:rsidP="00096BB0">
      <w:pPr>
        <w:tabs>
          <w:tab w:val="left" w:pos="576"/>
          <w:tab w:val="left" w:pos="1008"/>
        </w:tabs>
        <w:jc w:val="both"/>
      </w:pPr>
      <w:r w:rsidRPr="00986FEA">
        <w:t>Wykonawca robót jest odpowiedzialny za jakość ich wykonania oraz za zgodn</w:t>
      </w:r>
      <w:r>
        <w:t xml:space="preserve">ość z Dokumentacją Projektową, </w:t>
      </w:r>
      <w:r w:rsidRPr="00986FEA">
        <w:t>ST i poleceniami Inspektora nadzoru.</w:t>
      </w:r>
    </w:p>
    <w:p w:rsidR="00096BB0" w:rsidRPr="00986FEA" w:rsidRDefault="00096BB0" w:rsidP="0097494B">
      <w:pPr>
        <w:numPr>
          <w:ilvl w:val="2"/>
          <w:numId w:val="26"/>
        </w:numPr>
        <w:tabs>
          <w:tab w:val="clear" w:pos="0"/>
          <w:tab w:val="num" w:pos="720"/>
        </w:tabs>
        <w:suppressAutoHyphens/>
        <w:spacing w:before="120" w:after="120"/>
        <w:ind w:left="720" w:hanging="720"/>
        <w:jc w:val="both"/>
        <w:outlineLvl w:val="2"/>
        <w:rPr>
          <w:b/>
          <w:snapToGrid w:val="0"/>
          <w:u w:val="single"/>
        </w:rPr>
      </w:pPr>
      <w:r w:rsidRPr="00986FEA">
        <w:rPr>
          <w:b/>
          <w:snapToGrid w:val="0"/>
          <w:u w:val="single"/>
        </w:rPr>
        <w:t>2. MATERIAŁY</w:t>
      </w:r>
    </w:p>
    <w:p w:rsidR="00096BB0" w:rsidRPr="00986FEA" w:rsidRDefault="00096BB0" w:rsidP="00096BB0">
      <w:pPr>
        <w:jc w:val="both"/>
      </w:pPr>
      <w:r>
        <w:t xml:space="preserve">Beton klasy </w:t>
      </w:r>
      <w:r w:rsidRPr="00986FEA">
        <w:t xml:space="preserve"> (C</w:t>
      </w:r>
      <w:r>
        <w:t>30/37</w:t>
      </w:r>
      <w:r w:rsidR="00CD36AA">
        <w:t>)wg wymagań jak w SST M.13.00</w:t>
      </w:r>
      <w:r w:rsidRPr="00986FEA">
        <w:t>.00.</w:t>
      </w:r>
    </w:p>
    <w:p w:rsidR="00096BB0" w:rsidRPr="00986FEA" w:rsidRDefault="00096BB0" w:rsidP="00096BB0">
      <w:pPr>
        <w:spacing w:before="120" w:after="120"/>
        <w:ind w:left="-11" w:hanging="11"/>
        <w:jc w:val="both"/>
        <w:outlineLvl w:val="2"/>
        <w:rPr>
          <w:b/>
          <w:snapToGrid w:val="0"/>
          <w:u w:val="single"/>
        </w:rPr>
      </w:pPr>
      <w:r w:rsidRPr="00986FEA">
        <w:rPr>
          <w:b/>
          <w:snapToGrid w:val="0"/>
          <w:u w:val="single"/>
        </w:rPr>
        <w:t>3. SPRZĘT</w:t>
      </w:r>
    </w:p>
    <w:p w:rsidR="00096BB0" w:rsidRPr="00986FEA" w:rsidRDefault="00096BB0" w:rsidP="00096BB0">
      <w:pPr>
        <w:spacing w:before="120" w:after="120"/>
        <w:ind w:left="11" w:hanging="11"/>
        <w:jc w:val="both"/>
        <w:outlineLvl w:val="2"/>
        <w:rPr>
          <w:snapToGrid w:val="0"/>
        </w:rPr>
      </w:pPr>
      <w:r w:rsidRPr="00986FEA">
        <w:rPr>
          <w:snapToGrid w:val="0"/>
        </w:rPr>
        <w:t>Wymagania dotycz</w:t>
      </w:r>
      <w:r w:rsidR="00CD36AA">
        <w:rPr>
          <w:snapToGrid w:val="0"/>
        </w:rPr>
        <w:t>ące sprzętu podano w SST M.13.00</w:t>
      </w:r>
      <w:r w:rsidRPr="00986FEA">
        <w:rPr>
          <w:snapToGrid w:val="0"/>
        </w:rPr>
        <w:t>.00.</w:t>
      </w:r>
    </w:p>
    <w:p w:rsidR="00096BB0" w:rsidRPr="00986FEA" w:rsidRDefault="00096BB0" w:rsidP="00096BB0">
      <w:pPr>
        <w:spacing w:before="120" w:after="120"/>
        <w:ind w:left="-11" w:firstLine="21"/>
        <w:jc w:val="both"/>
        <w:outlineLvl w:val="2"/>
        <w:rPr>
          <w:b/>
          <w:snapToGrid w:val="0"/>
          <w:u w:val="single"/>
        </w:rPr>
      </w:pPr>
      <w:r w:rsidRPr="00986FEA">
        <w:rPr>
          <w:b/>
          <w:snapToGrid w:val="0"/>
          <w:u w:val="single"/>
        </w:rPr>
        <w:t>4. TRANSPORT</w:t>
      </w:r>
    </w:p>
    <w:p w:rsidR="00096BB0" w:rsidRPr="00986FEA" w:rsidRDefault="00096BB0" w:rsidP="0097494B">
      <w:pPr>
        <w:numPr>
          <w:ilvl w:val="2"/>
          <w:numId w:val="26"/>
        </w:numPr>
        <w:tabs>
          <w:tab w:val="clear" w:pos="0"/>
          <w:tab w:val="num" w:pos="720"/>
        </w:tabs>
        <w:suppressAutoHyphens/>
        <w:spacing w:before="120" w:after="120"/>
        <w:ind w:left="-11" w:firstLine="21"/>
        <w:jc w:val="both"/>
        <w:outlineLvl w:val="2"/>
        <w:rPr>
          <w:snapToGrid w:val="0"/>
        </w:rPr>
      </w:pPr>
      <w:r w:rsidRPr="00986FEA">
        <w:rPr>
          <w:snapToGrid w:val="0"/>
        </w:rPr>
        <w:t>Wymagania dotyczące</w:t>
      </w:r>
      <w:r w:rsidR="00CD36AA">
        <w:rPr>
          <w:snapToGrid w:val="0"/>
        </w:rPr>
        <w:t xml:space="preserve"> transportu podano w SST M.13.00</w:t>
      </w:r>
      <w:r w:rsidRPr="00986FEA">
        <w:rPr>
          <w:snapToGrid w:val="0"/>
        </w:rPr>
        <w:t>.00.</w:t>
      </w:r>
    </w:p>
    <w:p w:rsidR="00096BB0" w:rsidRPr="00986FEA" w:rsidRDefault="00096BB0" w:rsidP="0097494B">
      <w:pPr>
        <w:numPr>
          <w:ilvl w:val="2"/>
          <w:numId w:val="26"/>
        </w:numPr>
        <w:tabs>
          <w:tab w:val="clear" w:pos="0"/>
          <w:tab w:val="num" w:pos="720"/>
        </w:tabs>
        <w:suppressAutoHyphens/>
        <w:spacing w:before="120" w:after="120"/>
        <w:ind w:left="720" w:hanging="720"/>
        <w:jc w:val="both"/>
        <w:outlineLvl w:val="2"/>
        <w:rPr>
          <w:b/>
          <w:snapToGrid w:val="0"/>
          <w:u w:val="single"/>
        </w:rPr>
      </w:pPr>
      <w:r w:rsidRPr="00986FEA">
        <w:rPr>
          <w:b/>
          <w:snapToGrid w:val="0"/>
          <w:u w:val="single"/>
        </w:rPr>
        <w:t>5. WYKONANIE ROBÓT</w:t>
      </w:r>
    </w:p>
    <w:p w:rsidR="00096BB0" w:rsidRPr="00986FEA" w:rsidRDefault="00096BB0" w:rsidP="00096BB0">
      <w:pPr>
        <w:spacing w:before="120" w:after="120"/>
        <w:ind w:left="11" w:hanging="21"/>
        <w:jc w:val="both"/>
        <w:outlineLvl w:val="2"/>
        <w:rPr>
          <w:snapToGrid w:val="0"/>
        </w:rPr>
      </w:pPr>
      <w:r w:rsidRPr="00986FEA">
        <w:rPr>
          <w:snapToGrid w:val="0"/>
        </w:rPr>
        <w:t>Wymagania dotyczące wyko</w:t>
      </w:r>
      <w:r w:rsidR="00CD36AA">
        <w:rPr>
          <w:snapToGrid w:val="0"/>
        </w:rPr>
        <w:t>nania robót podano w SST M.13.00</w:t>
      </w:r>
      <w:r w:rsidRPr="00986FEA">
        <w:rPr>
          <w:snapToGrid w:val="0"/>
        </w:rPr>
        <w:t>.00.</w:t>
      </w:r>
    </w:p>
    <w:p w:rsidR="00096BB0" w:rsidRPr="00986FEA" w:rsidRDefault="00096BB0" w:rsidP="0097494B">
      <w:pPr>
        <w:numPr>
          <w:ilvl w:val="2"/>
          <w:numId w:val="26"/>
        </w:numPr>
        <w:tabs>
          <w:tab w:val="clear" w:pos="0"/>
          <w:tab w:val="num" w:pos="720"/>
        </w:tabs>
        <w:suppressAutoHyphens/>
        <w:spacing w:before="120" w:after="120"/>
        <w:ind w:left="720" w:hanging="720"/>
        <w:jc w:val="both"/>
        <w:outlineLvl w:val="2"/>
        <w:rPr>
          <w:b/>
          <w:snapToGrid w:val="0"/>
          <w:u w:val="single"/>
        </w:rPr>
      </w:pPr>
      <w:r w:rsidRPr="00986FEA">
        <w:rPr>
          <w:b/>
          <w:snapToGrid w:val="0"/>
          <w:u w:val="single"/>
        </w:rPr>
        <w:t>6. KONTROLA JAKOŚCI ROBÓT</w:t>
      </w:r>
    </w:p>
    <w:p w:rsidR="00096BB0" w:rsidRPr="00986FEA" w:rsidRDefault="00096BB0" w:rsidP="00096BB0">
      <w:pPr>
        <w:jc w:val="both"/>
      </w:pPr>
      <w:r w:rsidRPr="00986FEA">
        <w:t>Zasady kontroli ja</w:t>
      </w:r>
      <w:r w:rsidR="00CD36AA">
        <w:t>kości robót podano w SST M.13.00</w:t>
      </w:r>
      <w:r w:rsidRPr="00986FEA">
        <w:t>.00.</w:t>
      </w:r>
    </w:p>
    <w:p w:rsidR="00096BB0" w:rsidRPr="00986FEA" w:rsidRDefault="00096BB0" w:rsidP="00096BB0">
      <w:pPr>
        <w:jc w:val="both"/>
      </w:pPr>
      <w:r w:rsidRPr="00986FEA">
        <w:t>Dopuszczalne odchyłki wymiarowe od projektu wynoszą:</w:t>
      </w:r>
    </w:p>
    <w:p w:rsidR="00096BB0" w:rsidRPr="00986FEA" w:rsidRDefault="00096BB0" w:rsidP="00096BB0">
      <w:pPr>
        <w:jc w:val="both"/>
      </w:pPr>
      <w:r w:rsidRPr="00986FEA">
        <w:t>Usytuowanie w planie ± 1,0 cm,</w:t>
      </w:r>
    </w:p>
    <w:p w:rsidR="00096BB0" w:rsidRPr="00986FEA" w:rsidRDefault="00096BB0" w:rsidP="00096BB0">
      <w:pPr>
        <w:jc w:val="both"/>
      </w:pPr>
      <w:r w:rsidRPr="00986FEA">
        <w:t>rzędne wierzchu ± 0,2 cm.</w:t>
      </w:r>
    </w:p>
    <w:p w:rsidR="00096BB0" w:rsidRPr="00986FEA" w:rsidRDefault="00096BB0" w:rsidP="0097494B">
      <w:pPr>
        <w:numPr>
          <w:ilvl w:val="2"/>
          <w:numId w:val="26"/>
        </w:numPr>
        <w:tabs>
          <w:tab w:val="clear" w:pos="0"/>
          <w:tab w:val="num" w:pos="720"/>
        </w:tabs>
        <w:suppressAutoHyphens/>
        <w:spacing w:before="120" w:after="120"/>
        <w:ind w:left="720" w:hanging="720"/>
        <w:jc w:val="both"/>
        <w:outlineLvl w:val="2"/>
        <w:rPr>
          <w:b/>
          <w:snapToGrid w:val="0"/>
          <w:u w:val="single"/>
        </w:rPr>
      </w:pPr>
      <w:r w:rsidRPr="00986FEA">
        <w:rPr>
          <w:b/>
          <w:snapToGrid w:val="0"/>
          <w:u w:val="single"/>
        </w:rPr>
        <w:t>7. OBMIAR</w:t>
      </w:r>
    </w:p>
    <w:p w:rsidR="00096BB0" w:rsidRPr="00986FEA" w:rsidRDefault="00096BB0" w:rsidP="00096BB0">
      <w:pPr>
        <w:tabs>
          <w:tab w:val="left" w:pos="576"/>
          <w:tab w:val="left" w:pos="1008"/>
        </w:tabs>
        <w:jc w:val="both"/>
      </w:pPr>
      <w:r w:rsidRPr="00986FEA">
        <w:t>Ogólne zasady obmiaru robót podano w Specyfikacji D.M.00.00.00.</w:t>
      </w:r>
    </w:p>
    <w:p w:rsidR="00096BB0" w:rsidRPr="00986FEA" w:rsidRDefault="00096BB0" w:rsidP="00096BB0">
      <w:pPr>
        <w:jc w:val="both"/>
      </w:pPr>
      <w:r w:rsidRPr="00986FEA">
        <w:t>Jednostką obmiaru jest [m</w:t>
      </w:r>
      <w:r w:rsidRPr="00986FEA">
        <w:rPr>
          <w:vertAlign w:val="superscript"/>
        </w:rPr>
        <w:t>3</w:t>
      </w:r>
      <w:r w:rsidRPr="00986FEA">
        <w:t>] wbudowanego betonu.</w:t>
      </w:r>
    </w:p>
    <w:p w:rsidR="00096BB0" w:rsidRPr="00986FEA" w:rsidRDefault="00096BB0" w:rsidP="0097494B">
      <w:pPr>
        <w:numPr>
          <w:ilvl w:val="2"/>
          <w:numId w:val="26"/>
        </w:numPr>
        <w:tabs>
          <w:tab w:val="clear" w:pos="0"/>
          <w:tab w:val="num" w:pos="720"/>
        </w:tabs>
        <w:suppressAutoHyphens/>
        <w:spacing w:before="120" w:after="120"/>
        <w:ind w:left="720" w:hanging="720"/>
        <w:jc w:val="both"/>
        <w:outlineLvl w:val="2"/>
        <w:rPr>
          <w:b/>
          <w:snapToGrid w:val="0"/>
          <w:u w:val="single"/>
        </w:rPr>
      </w:pPr>
      <w:r w:rsidRPr="00986FEA">
        <w:rPr>
          <w:b/>
          <w:snapToGrid w:val="0"/>
          <w:u w:val="single"/>
        </w:rPr>
        <w:t>8. ODBIÓR ROBÓT</w:t>
      </w:r>
    </w:p>
    <w:p w:rsidR="00096BB0" w:rsidRDefault="00096BB0" w:rsidP="00096BB0">
      <w:pPr>
        <w:tabs>
          <w:tab w:val="left" w:pos="576"/>
          <w:tab w:val="left" w:pos="1008"/>
        </w:tabs>
        <w:spacing w:before="120" w:after="120"/>
        <w:jc w:val="both"/>
        <w:rPr>
          <w:b/>
        </w:rPr>
      </w:pPr>
      <w:r>
        <w:tab/>
        <w:t>Ogólne zasady odbioru robót podano w DM 00.00.00 „Wymagania ogólne”. Roboty uznaje się za wykonane zgodnie z Dokumentacją Projektową i STWiORB, jeżeli wszystkie badania i pomiary z zachowaniem tolerancji wg pkt. 6 niniejszych STWiORB dały wyniki pozytywne</w:t>
      </w:r>
    </w:p>
    <w:p w:rsidR="00096BB0" w:rsidRPr="00986FEA" w:rsidRDefault="00096BB0" w:rsidP="00096BB0">
      <w:pPr>
        <w:tabs>
          <w:tab w:val="left" w:pos="576"/>
          <w:tab w:val="left" w:pos="1008"/>
        </w:tabs>
        <w:spacing w:before="120" w:after="120"/>
        <w:jc w:val="both"/>
        <w:rPr>
          <w:b/>
        </w:rPr>
      </w:pPr>
      <w:r w:rsidRPr="00986FEA">
        <w:rPr>
          <w:b/>
        </w:rPr>
        <w:t>8.1. Odbiory częściowe</w:t>
      </w:r>
    </w:p>
    <w:p w:rsidR="00096BB0" w:rsidRPr="00986FEA" w:rsidRDefault="00096BB0" w:rsidP="00096BB0">
      <w:pPr>
        <w:tabs>
          <w:tab w:val="left" w:pos="576"/>
          <w:tab w:val="left" w:pos="1008"/>
        </w:tabs>
        <w:jc w:val="both"/>
      </w:pPr>
      <w:r w:rsidRPr="00986FEA">
        <w:t>Odbiorom częściowym podlegają:</w:t>
      </w:r>
    </w:p>
    <w:p w:rsidR="00096BB0" w:rsidRPr="00986FEA" w:rsidRDefault="00096BB0" w:rsidP="0097494B">
      <w:pPr>
        <w:numPr>
          <w:ilvl w:val="0"/>
          <w:numId w:val="28"/>
        </w:numPr>
        <w:suppressAutoHyphens/>
        <w:ind w:left="284" w:hanging="284"/>
        <w:jc w:val="both"/>
      </w:pPr>
      <w:r w:rsidRPr="00986FEA">
        <w:t>materiały użyte do wytwarzania mieszanki betonowej (cement, kruszywo, woda zarobowa),</w:t>
      </w:r>
    </w:p>
    <w:p w:rsidR="00096BB0" w:rsidRPr="00986FEA" w:rsidRDefault="00096BB0" w:rsidP="0097494B">
      <w:pPr>
        <w:numPr>
          <w:ilvl w:val="0"/>
          <w:numId w:val="28"/>
        </w:numPr>
        <w:suppressAutoHyphens/>
        <w:ind w:left="284" w:hanging="284"/>
        <w:jc w:val="both"/>
      </w:pPr>
      <w:r w:rsidRPr="00986FEA">
        <w:t>dostarczana na plac budowy gotowa mieszanka betonowa.</w:t>
      </w:r>
    </w:p>
    <w:p w:rsidR="00096BB0" w:rsidRPr="005C046E" w:rsidRDefault="00096BB0" w:rsidP="0097494B">
      <w:pPr>
        <w:numPr>
          <w:ilvl w:val="0"/>
          <w:numId w:val="28"/>
        </w:numPr>
        <w:suppressAutoHyphens/>
        <w:ind w:left="284" w:hanging="284"/>
        <w:jc w:val="both"/>
      </w:pPr>
      <w:r w:rsidRPr="00986FEA">
        <w:t>deskowanie.</w:t>
      </w:r>
      <w:r w:rsidRPr="005C046E">
        <w:rPr>
          <w:b/>
        </w:rPr>
        <w:br w:type="page"/>
      </w:r>
    </w:p>
    <w:p w:rsidR="00096BB0" w:rsidRPr="00986FEA" w:rsidRDefault="00096BB0" w:rsidP="00096BB0">
      <w:pPr>
        <w:tabs>
          <w:tab w:val="left" w:pos="576"/>
          <w:tab w:val="left" w:pos="1008"/>
        </w:tabs>
        <w:suppressAutoHyphens/>
        <w:spacing w:before="120" w:after="120"/>
        <w:jc w:val="both"/>
      </w:pPr>
      <w:r w:rsidRPr="00986FEA">
        <w:rPr>
          <w:b/>
        </w:rPr>
        <w:t>8.2. Odbiory końcowe</w:t>
      </w:r>
    </w:p>
    <w:p w:rsidR="00096BB0" w:rsidRPr="00986FEA" w:rsidRDefault="00096BB0" w:rsidP="00096BB0">
      <w:pPr>
        <w:jc w:val="both"/>
      </w:pPr>
      <w:r w:rsidRPr="00986FEA">
        <w:t>Na podstawie badań podanych w pkt. 6 dokonuje się odbioru końcowego robót. Odbiór ten powinien być potwierdzony protokołami odbioru, zawierającymi wyniki wszystkich niezbędnych badań lub odpowiednie atesty.</w:t>
      </w:r>
    </w:p>
    <w:p w:rsidR="00096BB0" w:rsidRPr="00986FEA" w:rsidRDefault="00096BB0" w:rsidP="0097494B">
      <w:pPr>
        <w:numPr>
          <w:ilvl w:val="2"/>
          <w:numId w:val="26"/>
        </w:numPr>
        <w:tabs>
          <w:tab w:val="clear" w:pos="0"/>
          <w:tab w:val="num" w:pos="720"/>
        </w:tabs>
        <w:suppressAutoHyphens/>
        <w:spacing w:before="120" w:after="120"/>
        <w:ind w:left="720" w:hanging="720"/>
        <w:jc w:val="both"/>
        <w:outlineLvl w:val="2"/>
        <w:rPr>
          <w:b/>
          <w:snapToGrid w:val="0"/>
          <w:u w:val="single"/>
        </w:rPr>
      </w:pPr>
      <w:r w:rsidRPr="00986FEA">
        <w:rPr>
          <w:b/>
          <w:snapToGrid w:val="0"/>
          <w:u w:val="single"/>
        </w:rPr>
        <w:t>9. PŁATNOŚĆ</w:t>
      </w:r>
    </w:p>
    <w:p w:rsidR="00096BB0" w:rsidRPr="00986FEA" w:rsidRDefault="00096BB0" w:rsidP="00096BB0">
      <w:pPr>
        <w:jc w:val="both"/>
      </w:pPr>
      <w:r w:rsidRPr="00986FEA">
        <w:t>Cena jednostkowa wykonania 1 m</w:t>
      </w:r>
      <w:r w:rsidRPr="00986FEA">
        <w:rPr>
          <w:vertAlign w:val="superscript"/>
        </w:rPr>
        <w:t>3</w:t>
      </w:r>
      <w:r w:rsidRPr="00986FEA">
        <w:t xml:space="preserve"> betonu obejmuje:</w:t>
      </w:r>
    </w:p>
    <w:p w:rsidR="00096BB0" w:rsidRDefault="00096BB0" w:rsidP="00096BB0">
      <w:pPr>
        <w:suppressAutoHyphens/>
        <w:jc w:val="both"/>
        <w:rPr>
          <w:snapToGrid w:val="0"/>
        </w:rPr>
      </w:pPr>
      <w:r w:rsidRPr="00986FEA">
        <w:rPr>
          <w:snapToGrid w:val="0"/>
        </w:rPr>
        <w:t>- prace pomiarowe i przygotowawcze,</w:t>
      </w:r>
    </w:p>
    <w:p w:rsidR="00096BB0" w:rsidRPr="00986FEA" w:rsidRDefault="00096BB0" w:rsidP="00096BB0">
      <w:pPr>
        <w:suppressAutoHyphens/>
        <w:jc w:val="both"/>
        <w:rPr>
          <w:snapToGrid w:val="0"/>
        </w:rPr>
      </w:pPr>
      <w:r>
        <w:rPr>
          <w:snapToGrid w:val="0"/>
        </w:rPr>
        <w:t>- oznakowanie robót,</w:t>
      </w:r>
    </w:p>
    <w:p w:rsidR="00096BB0" w:rsidRPr="00986FEA" w:rsidRDefault="00096BB0" w:rsidP="00096BB0">
      <w:pPr>
        <w:suppressAutoHyphens/>
        <w:jc w:val="both"/>
        <w:rPr>
          <w:snapToGrid w:val="0"/>
        </w:rPr>
      </w:pPr>
      <w:r w:rsidRPr="00986FEA">
        <w:rPr>
          <w:snapToGrid w:val="0"/>
        </w:rPr>
        <w:t>- zakup materiałów,</w:t>
      </w:r>
    </w:p>
    <w:p w:rsidR="00096BB0" w:rsidRDefault="00096BB0" w:rsidP="00096BB0">
      <w:pPr>
        <w:suppressAutoHyphens/>
        <w:jc w:val="both"/>
        <w:rPr>
          <w:snapToGrid w:val="0"/>
        </w:rPr>
      </w:pPr>
      <w:r w:rsidRPr="00986FEA">
        <w:rPr>
          <w:snapToGrid w:val="0"/>
        </w:rPr>
        <w:t>- transport i składowanie materiałów niezbędnych do wykonania robót,</w:t>
      </w:r>
    </w:p>
    <w:p w:rsidR="00096BB0" w:rsidRDefault="00096BB0" w:rsidP="00096BB0">
      <w:pPr>
        <w:suppressAutoHyphens/>
        <w:jc w:val="both"/>
        <w:rPr>
          <w:snapToGrid w:val="0"/>
        </w:rPr>
      </w:pPr>
      <w:r>
        <w:rPr>
          <w:snapToGrid w:val="0"/>
        </w:rPr>
        <w:t xml:space="preserve">- wykonanie i uzgodnienie projektów technologicznych </w:t>
      </w:r>
    </w:p>
    <w:p w:rsidR="00096BB0" w:rsidRDefault="00096BB0" w:rsidP="00096BB0">
      <w:pPr>
        <w:suppressAutoHyphens/>
        <w:jc w:val="both"/>
        <w:rPr>
          <w:snapToGrid w:val="0"/>
        </w:rPr>
      </w:pPr>
      <w:r>
        <w:rPr>
          <w:snapToGrid w:val="0"/>
        </w:rPr>
        <w:t>- wykonanie operatów wodnoprawnych dla konstrukcji tymczasowych</w:t>
      </w:r>
    </w:p>
    <w:p w:rsidR="00096BB0" w:rsidRPr="00986FEA" w:rsidRDefault="00096BB0" w:rsidP="00096BB0">
      <w:pPr>
        <w:suppressAutoHyphens/>
        <w:jc w:val="both"/>
        <w:rPr>
          <w:snapToGrid w:val="0"/>
        </w:rPr>
      </w:pPr>
      <w:r>
        <w:rPr>
          <w:snapToGrid w:val="0"/>
        </w:rPr>
        <w:t>- na czas robót nad rzekami i ciekami, uzyskanie wszelkich uzgodnień i pozwoleń</w:t>
      </w:r>
    </w:p>
    <w:p w:rsidR="00096BB0" w:rsidRPr="00986FEA" w:rsidRDefault="00096BB0" w:rsidP="00096BB0">
      <w:pPr>
        <w:suppressAutoHyphens/>
        <w:jc w:val="both"/>
        <w:rPr>
          <w:snapToGrid w:val="0"/>
        </w:rPr>
      </w:pPr>
      <w:r w:rsidRPr="00986FEA">
        <w:rPr>
          <w:snapToGrid w:val="0"/>
        </w:rPr>
        <w:t>- wykonanie utrzymanie i rozbiórka dróg technologicznych,</w:t>
      </w:r>
    </w:p>
    <w:p w:rsidR="00096BB0" w:rsidRDefault="00096BB0" w:rsidP="00096BB0">
      <w:pPr>
        <w:suppressAutoHyphens/>
        <w:jc w:val="both"/>
        <w:rPr>
          <w:snapToGrid w:val="0"/>
        </w:rPr>
      </w:pPr>
      <w:r w:rsidRPr="00986FEA">
        <w:rPr>
          <w:snapToGrid w:val="0"/>
        </w:rPr>
        <w:t>- opracowanie receptury betonu,</w:t>
      </w:r>
    </w:p>
    <w:p w:rsidR="00096BB0" w:rsidRPr="00986FEA" w:rsidRDefault="00096BB0" w:rsidP="00096BB0">
      <w:pPr>
        <w:suppressAutoHyphens/>
        <w:jc w:val="both"/>
        <w:rPr>
          <w:snapToGrid w:val="0"/>
        </w:rPr>
      </w:pPr>
      <w:r>
        <w:rPr>
          <w:snapToGrid w:val="0"/>
        </w:rPr>
        <w:t>- przygotowanie i transport mieszanki,</w:t>
      </w:r>
    </w:p>
    <w:p w:rsidR="00096BB0" w:rsidRPr="00986FEA" w:rsidRDefault="00096BB0" w:rsidP="00096BB0">
      <w:pPr>
        <w:suppressAutoHyphens/>
        <w:jc w:val="both"/>
        <w:rPr>
          <w:snapToGrid w:val="0"/>
        </w:rPr>
      </w:pPr>
      <w:r w:rsidRPr="00986FEA">
        <w:rPr>
          <w:snapToGrid w:val="0"/>
        </w:rPr>
        <w:t>- pompowanie wód z wykopów na czas wykonania robót,</w:t>
      </w:r>
    </w:p>
    <w:p w:rsidR="00096BB0" w:rsidRDefault="00096BB0" w:rsidP="00096BB0">
      <w:pPr>
        <w:suppressAutoHyphens/>
        <w:jc w:val="both"/>
        <w:rPr>
          <w:snapToGrid w:val="0"/>
        </w:rPr>
      </w:pPr>
      <w:r w:rsidRPr="00986FEA">
        <w:rPr>
          <w:snapToGrid w:val="0"/>
        </w:rPr>
        <w:t>- zabezpieczenie wykopu,</w:t>
      </w:r>
    </w:p>
    <w:p w:rsidR="00096BB0" w:rsidRDefault="00096BB0" w:rsidP="00096BB0">
      <w:pPr>
        <w:suppressAutoHyphens/>
        <w:jc w:val="both"/>
        <w:rPr>
          <w:snapToGrid w:val="0"/>
        </w:rPr>
      </w:pPr>
      <w:r>
        <w:rPr>
          <w:snapToGrid w:val="0"/>
        </w:rPr>
        <w:t>- zabezpieczenie stateczność skarp</w:t>
      </w:r>
    </w:p>
    <w:p w:rsidR="00096BB0" w:rsidRDefault="00096BB0" w:rsidP="00096BB0">
      <w:pPr>
        <w:suppressAutoHyphens/>
        <w:jc w:val="both"/>
        <w:rPr>
          <w:snapToGrid w:val="0"/>
        </w:rPr>
      </w:pPr>
      <w:r>
        <w:rPr>
          <w:snapToGrid w:val="0"/>
        </w:rPr>
        <w:t>- zabezpieczenie konstrukcji drogi</w:t>
      </w:r>
    </w:p>
    <w:p w:rsidR="00096BB0" w:rsidRPr="00986FEA" w:rsidRDefault="00096BB0" w:rsidP="00096BB0">
      <w:pPr>
        <w:suppressAutoHyphens/>
        <w:jc w:val="both"/>
        <w:rPr>
          <w:snapToGrid w:val="0"/>
        </w:rPr>
      </w:pPr>
      <w:r w:rsidRPr="00986FEA">
        <w:rPr>
          <w:snapToGrid w:val="0"/>
        </w:rPr>
        <w:t>- wykonanie projektu deskowania,</w:t>
      </w:r>
    </w:p>
    <w:p w:rsidR="00096BB0" w:rsidRPr="00986FEA" w:rsidRDefault="00096BB0" w:rsidP="00096BB0">
      <w:pPr>
        <w:suppressAutoHyphens/>
        <w:jc w:val="both"/>
        <w:rPr>
          <w:snapToGrid w:val="0"/>
        </w:rPr>
      </w:pPr>
      <w:r w:rsidRPr="00986FEA">
        <w:rPr>
          <w:snapToGrid w:val="0"/>
        </w:rPr>
        <w:t>- wykonanie deskowania w tym deskowania traconego,</w:t>
      </w:r>
    </w:p>
    <w:p w:rsidR="00096BB0" w:rsidRPr="00986FEA" w:rsidRDefault="00096BB0" w:rsidP="00096BB0">
      <w:pPr>
        <w:suppressAutoHyphens/>
        <w:jc w:val="both"/>
        <w:rPr>
          <w:snapToGrid w:val="0"/>
        </w:rPr>
      </w:pPr>
      <w:r w:rsidRPr="00986FEA">
        <w:rPr>
          <w:snapToGrid w:val="0"/>
        </w:rPr>
        <w:t>- oczyszczenie i nawilżenie deskowania,</w:t>
      </w:r>
    </w:p>
    <w:p w:rsidR="00096BB0" w:rsidRPr="00986FEA" w:rsidRDefault="00096BB0" w:rsidP="00096BB0">
      <w:pPr>
        <w:suppressAutoHyphens/>
        <w:jc w:val="both"/>
        <w:rPr>
          <w:snapToGrid w:val="0"/>
        </w:rPr>
      </w:pPr>
      <w:r w:rsidRPr="00986FEA">
        <w:rPr>
          <w:snapToGrid w:val="0"/>
        </w:rPr>
        <w:t>- przygotowanie mieszanki betonowej,</w:t>
      </w:r>
    </w:p>
    <w:p w:rsidR="00096BB0" w:rsidRDefault="00096BB0" w:rsidP="00096BB0">
      <w:pPr>
        <w:suppressAutoHyphens/>
        <w:jc w:val="both"/>
        <w:rPr>
          <w:snapToGrid w:val="0"/>
        </w:rPr>
      </w:pPr>
      <w:r w:rsidRPr="00986FEA">
        <w:rPr>
          <w:snapToGrid w:val="0"/>
        </w:rPr>
        <w:t>- ułożenie mieszanki betonowej wraz z zagęszczeniem,</w:t>
      </w:r>
    </w:p>
    <w:p w:rsidR="00096BB0" w:rsidRDefault="00096BB0" w:rsidP="00096BB0">
      <w:pPr>
        <w:suppressAutoHyphens/>
        <w:jc w:val="both"/>
        <w:rPr>
          <w:snapToGrid w:val="0"/>
        </w:rPr>
      </w:pPr>
      <w:r>
        <w:rPr>
          <w:snapToGrid w:val="0"/>
        </w:rPr>
        <w:t>- przygotowanie betonu i wykonanie warstwy szczepnej w przypadku przerw roboczych</w:t>
      </w:r>
    </w:p>
    <w:p w:rsidR="00096BB0" w:rsidRPr="00986FEA" w:rsidRDefault="00096BB0" w:rsidP="00096BB0">
      <w:pPr>
        <w:suppressAutoHyphens/>
        <w:jc w:val="both"/>
        <w:rPr>
          <w:snapToGrid w:val="0"/>
        </w:rPr>
      </w:pPr>
      <w:r>
        <w:rPr>
          <w:snapToGrid w:val="0"/>
        </w:rPr>
        <w:t xml:space="preserve">- </w:t>
      </w:r>
      <w:r>
        <w:t>wykonanie w konstrukcji wszystkich wymaganych dokumentacją projektową otworów jak również osadzenie potrzebnych zakotwień, marek, rur itp.,</w:t>
      </w:r>
    </w:p>
    <w:p w:rsidR="00096BB0" w:rsidRPr="00986FEA" w:rsidRDefault="00096BB0" w:rsidP="00096BB0">
      <w:pPr>
        <w:suppressAutoHyphens/>
        <w:jc w:val="both"/>
        <w:rPr>
          <w:snapToGrid w:val="0"/>
        </w:rPr>
      </w:pPr>
      <w:r w:rsidRPr="00986FEA">
        <w:rPr>
          <w:snapToGrid w:val="0"/>
        </w:rPr>
        <w:t>- pielęgnację betonu,</w:t>
      </w:r>
    </w:p>
    <w:p w:rsidR="00096BB0" w:rsidRPr="00986FEA" w:rsidRDefault="00096BB0" w:rsidP="00096BB0">
      <w:pPr>
        <w:suppressAutoHyphens/>
        <w:jc w:val="both"/>
        <w:rPr>
          <w:snapToGrid w:val="0"/>
        </w:rPr>
      </w:pPr>
      <w:r w:rsidRPr="00986FEA">
        <w:rPr>
          <w:snapToGrid w:val="0"/>
        </w:rPr>
        <w:t>- rozebranie deskowania,</w:t>
      </w:r>
    </w:p>
    <w:p w:rsidR="00096BB0" w:rsidRDefault="00096BB0" w:rsidP="00096BB0">
      <w:pPr>
        <w:suppressAutoHyphens/>
        <w:jc w:val="both"/>
        <w:rPr>
          <w:snapToGrid w:val="0"/>
        </w:rPr>
      </w:pPr>
      <w:r w:rsidRPr="00986FEA">
        <w:rPr>
          <w:snapToGrid w:val="0"/>
        </w:rPr>
        <w:t>- usunięcie materiałów rozbiórkowych poza pas drogowy,</w:t>
      </w:r>
    </w:p>
    <w:p w:rsidR="00096BB0" w:rsidRPr="00986FEA" w:rsidRDefault="00096BB0" w:rsidP="00096BB0">
      <w:pPr>
        <w:suppressAutoHyphens/>
        <w:jc w:val="both"/>
        <w:rPr>
          <w:snapToGrid w:val="0"/>
        </w:rPr>
      </w:pPr>
      <w:r>
        <w:rPr>
          <w:snapToGrid w:val="0"/>
        </w:rPr>
        <w:t>- wykonanie wszystkich prac towarzyszących</w:t>
      </w:r>
    </w:p>
    <w:p w:rsidR="00096BB0" w:rsidRDefault="00096BB0" w:rsidP="00096BB0">
      <w:pPr>
        <w:suppressAutoHyphens/>
        <w:jc w:val="both"/>
        <w:rPr>
          <w:snapToGrid w:val="0"/>
        </w:rPr>
      </w:pPr>
      <w:r w:rsidRPr="00986FEA">
        <w:rPr>
          <w:snapToGrid w:val="0"/>
        </w:rPr>
        <w:t>- wykonanie badań i pomiarów wymaganych w Specyfikacji Technicznej.</w:t>
      </w:r>
    </w:p>
    <w:p w:rsidR="00096BB0" w:rsidRPr="00986FEA" w:rsidRDefault="00096BB0" w:rsidP="00096BB0">
      <w:pPr>
        <w:suppressAutoHyphens/>
        <w:jc w:val="both"/>
        <w:rPr>
          <w:snapToGrid w:val="0"/>
        </w:rPr>
      </w:pPr>
      <w:r>
        <w:rPr>
          <w:snapToGrid w:val="0"/>
        </w:rPr>
        <w:t xml:space="preserve">- </w:t>
      </w:r>
      <w:r>
        <w:t>wszelkie inne czynności związane z prawidłowym wykonaniem i wbudowaniem betonu zgodnie z wymaganiami określonymi w ST M 13.01.00.</w:t>
      </w:r>
    </w:p>
    <w:p w:rsidR="00096BB0" w:rsidRPr="00986FEA" w:rsidRDefault="00096BB0" w:rsidP="00096BB0">
      <w:pPr>
        <w:spacing w:before="120" w:after="120"/>
        <w:jc w:val="both"/>
        <w:rPr>
          <w:snapToGrid w:val="0"/>
        </w:rPr>
      </w:pPr>
      <w:r w:rsidRPr="00986FEA">
        <w:rPr>
          <w:snapToGrid w:val="0"/>
        </w:rPr>
        <w:t>Cena nie uwzględnia zbrojenia oraz robót izolacyjnych.</w:t>
      </w:r>
    </w:p>
    <w:p w:rsidR="00096BB0" w:rsidRPr="00986FEA" w:rsidRDefault="00096BB0" w:rsidP="0097494B">
      <w:pPr>
        <w:numPr>
          <w:ilvl w:val="2"/>
          <w:numId w:val="26"/>
        </w:numPr>
        <w:tabs>
          <w:tab w:val="clear" w:pos="0"/>
          <w:tab w:val="num" w:pos="720"/>
        </w:tabs>
        <w:suppressAutoHyphens/>
        <w:spacing w:before="120" w:after="120"/>
        <w:ind w:left="720" w:hanging="720"/>
        <w:jc w:val="both"/>
        <w:outlineLvl w:val="2"/>
        <w:rPr>
          <w:b/>
          <w:snapToGrid w:val="0"/>
          <w:u w:val="single"/>
        </w:rPr>
      </w:pPr>
      <w:r w:rsidRPr="00986FEA">
        <w:rPr>
          <w:b/>
          <w:snapToGrid w:val="0"/>
          <w:u w:val="single"/>
        </w:rPr>
        <w:t>10. PRZEPISY ZWIAZANE</w:t>
      </w:r>
    </w:p>
    <w:p w:rsidR="00096BB0" w:rsidRDefault="00CD36AA" w:rsidP="00096BB0">
      <w:pPr>
        <w:jc w:val="both"/>
      </w:pPr>
      <w:r>
        <w:t>Wg M.13.00</w:t>
      </w:r>
      <w:r w:rsidR="00096BB0" w:rsidRPr="00986FEA">
        <w:t>.00.</w:t>
      </w:r>
    </w:p>
    <w:p w:rsidR="00096BB0" w:rsidRDefault="00096BB0" w:rsidP="00096BB0">
      <w:pPr>
        <w:jc w:val="both"/>
      </w:pPr>
    </w:p>
    <w:p w:rsidR="00544F92" w:rsidRDefault="00544F92" w:rsidP="008E1448">
      <w:pPr>
        <w:pStyle w:val="Nagwek1"/>
      </w:pPr>
    </w:p>
    <w:p w:rsidR="00447EEA" w:rsidRDefault="00447EEA" w:rsidP="00447EEA"/>
    <w:p w:rsidR="00447EEA" w:rsidRDefault="00447EEA" w:rsidP="00447EEA"/>
    <w:p w:rsidR="00447EEA" w:rsidRDefault="00447EEA" w:rsidP="00447EEA"/>
    <w:p w:rsidR="00447EEA" w:rsidRDefault="00447EEA" w:rsidP="00447EEA"/>
    <w:p w:rsidR="00447EEA" w:rsidRDefault="00447EEA" w:rsidP="00447EEA"/>
    <w:p w:rsidR="00447EEA" w:rsidRDefault="00447EEA" w:rsidP="00447EEA"/>
    <w:p w:rsidR="00447EEA" w:rsidRDefault="00447EEA" w:rsidP="00447EEA"/>
    <w:p w:rsidR="00447EEA" w:rsidRDefault="00447EEA" w:rsidP="00447EEA"/>
    <w:p w:rsidR="00447EEA" w:rsidRDefault="00447EEA" w:rsidP="00447EEA"/>
    <w:p w:rsidR="00447EEA" w:rsidRDefault="00447EEA" w:rsidP="00447EEA"/>
    <w:p w:rsidR="00447EEA" w:rsidRDefault="00447EEA" w:rsidP="00447EEA"/>
    <w:p w:rsidR="00447EEA" w:rsidRDefault="00447EEA" w:rsidP="00447EEA"/>
    <w:p w:rsidR="00447EEA" w:rsidRDefault="00447EEA" w:rsidP="00447EEA"/>
    <w:p w:rsidR="00447EEA" w:rsidRDefault="00447EEA" w:rsidP="00447EEA"/>
    <w:p w:rsidR="00447EEA" w:rsidRDefault="00447EEA" w:rsidP="00447EEA"/>
    <w:p w:rsidR="00447EEA" w:rsidRPr="00447EEA" w:rsidRDefault="00447EEA" w:rsidP="00447EEA"/>
    <w:p w:rsidR="006C636B" w:rsidRDefault="006C636B">
      <w:pPr>
        <w:rPr>
          <w:snapToGrid w:val="0"/>
        </w:rPr>
      </w:pPr>
    </w:p>
    <w:p w:rsidR="006C636B" w:rsidRPr="006C636B" w:rsidRDefault="006C636B" w:rsidP="006C636B">
      <w:pPr>
        <w:jc w:val="both"/>
        <w:outlineLvl w:val="0"/>
        <w:rPr>
          <w:rFonts w:ascii="PL Times New Roman" w:hAnsi="PL Times New Roman"/>
          <w:b/>
          <w:snapToGrid w:val="0"/>
          <w:sz w:val="26"/>
        </w:rPr>
      </w:pPr>
      <w:bookmarkStart w:id="32" w:name="_Toc450887598"/>
      <w:bookmarkStart w:id="33" w:name="_Toc483778397"/>
      <w:bookmarkStart w:id="34" w:name="_Toc80100085"/>
      <w:r w:rsidRPr="006C636B">
        <w:rPr>
          <w:rFonts w:ascii="PL Times New Roman" w:hAnsi="PL Times New Roman"/>
          <w:b/>
          <w:snapToGrid w:val="0"/>
          <w:sz w:val="26"/>
        </w:rPr>
        <w:t xml:space="preserve">M.13.02.02. </w:t>
      </w:r>
      <w:r w:rsidRPr="006C636B">
        <w:rPr>
          <w:rFonts w:ascii="PL Times New Roman" w:hAnsi="PL Times New Roman"/>
          <w:b/>
          <w:snapToGrid w:val="0"/>
          <w:sz w:val="26"/>
        </w:rPr>
        <w:tab/>
      </w:r>
      <w:r w:rsidRPr="006C636B">
        <w:rPr>
          <w:rFonts w:ascii="PL Times New Roman" w:hAnsi="PL Times New Roman"/>
          <w:b/>
          <w:snapToGrid w:val="0"/>
          <w:sz w:val="26"/>
        </w:rPr>
        <w:tab/>
        <w:t>BETON NIEKONSTRUKCYJNY</w:t>
      </w:r>
      <w:bookmarkEnd w:id="32"/>
      <w:bookmarkEnd w:id="33"/>
      <w:bookmarkEnd w:id="34"/>
    </w:p>
    <w:p w:rsidR="006C636B" w:rsidRPr="006C636B" w:rsidRDefault="006C636B" w:rsidP="0097494B">
      <w:pPr>
        <w:numPr>
          <w:ilvl w:val="2"/>
          <w:numId w:val="26"/>
        </w:numPr>
        <w:tabs>
          <w:tab w:val="clear" w:pos="0"/>
          <w:tab w:val="num" w:pos="720"/>
        </w:tabs>
        <w:suppressAutoHyphens/>
        <w:spacing w:before="120" w:after="60"/>
        <w:ind w:left="720" w:hanging="720"/>
        <w:jc w:val="both"/>
        <w:outlineLvl w:val="2"/>
        <w:rPr>
          <w:b/>
          <w:snapToGrid w:val="0"/>
          <w:u w:val="single"/>
        </w:rPr>
      </w:pPr>
      <w:r w:rsidRPr="006C636B">
        <w:rPr>
          <w:b/>
          <w:snapToGrid w:val="0"/>
          <w:u w:val="single"/>
        </w:rPr>
        <w:t>1. WSTĘP</w:t>
      </w:r>
    </w:p>
    <w:p w:rsidR="006C636B" w:rsidRPr="006C636B" w:rsidRDefault="006C636B" w:rsidP="006C636B">
      <w:pPr>
        <w:suppressAutoHyphens/>
        <w:spacing w:before="120" w:after="120"/>
        <w:jc w:val="both"/>
        <w:rPr>
          <w:b/>
          <w:lang w:eastAsia="ar-SA"/>
        </w:rPr>
      </w:pPr>
      <w:r w:rsidRPr="006C636B">
        <w:rPr>
          <w:b/>
          <w:lang w:eastAsia="ar-SA"/>
        </w:rPr>
        <w:t>1.1. Przedmiot SST</w:t>
      </w:r>
    </w:p>
    <w:p w:rsidR="006C636B" w:rsidRPr="006C636B" w:rsidRDefault="006C636B" w:rsidP="006C636B">
      <w:pPr>
        <w:spacing w:before="120" w:after="120"/>
        <w:jc w:val="both"/>
      </w:pPr>
      <w:r w:rsidRPr="006C636B">
        <w:t xml:space="preserve">Przedmiotem niniejszej SST są wymagania dotyczące wykonania i odbioru robót w ramach </w:t>
      </w:r>
      <w:r w:rsidRPr="006C636B">
        <w:rPr>
          <w:rFonts w:eastAsia="Calibri"/>
        </w:rPr>
        <w:t>zadania:</w:t>
      </w:r>
      <w:r w:rsidR="00CD36AA" w:rsidRPr="00CD36AA">
        <w:rPr>
          <w:bCs/>
        </w:rPr>
        <w:t xml:space="preserve"> </w:t>
      </w:r>
      <w:r w:rsidR="00CD36AA">
        <w:rPr>
          <w:bCs/>
        </w:rPr>
        <w:t>"Remont przepustu nad rzeką Postomia w ciągu drogi nr 445/k.2922 m. Wędrzyn."</w:t>
      </w:r>
    </w:p>
    <w:p w:rsidR="006C636B" w:rsidRPr="006C636B" w:rsidRDefault="006C636B" w:rsidP="006C636B">
      <w:pPr>
        <w:tabs>
          <w:tab w:val="left" w:pos="576"/>
          <w:tab w:val="left" w:pos="1008"/>
        </w:tabs>
        <w:spacing w:before="60" w:after="60"/>
        <w:jc w:val="both"/>
        <w:rPr>
          <w:b/>
        </w:rPr>
      </w:pPr>
      <w:r w:rsidRPr="006C636B">
        <w:rPr>
          <w:b/>
        </w:rPr>
        <w:t>1.2. Zakres stosowania SST</w:t>
      </w:r>
    </w:p>
    <w:p w:rsidR="006C636B" w:rsidRPr="006C636B" w:rsidRDefault="006C636B" w:rsidP="006C636B">
      <w:pPr>
        <w:tabs>
          <w:tab w:val="left" w:pos="576"/>
          <w:tab w:val="left" w:pos="1008"/>
        </w:tabs>
        <w:spacing w:before="120" w:after="120"/>
        <w:jc w:val="both"/>
      </w:pPr>
      <w:r w:rsidRPr="006C636B">
        <w:t>Szczegółowa Specyfikacja Techniczna jest stosowana jako dokument przetargowy i kontraktowy przy zlecaniu i realizacji robót wymienionych w punkcie 1.1.</w:t>
      </w:r>
    </w:p>
    <w:p w:rsidR="006C636B" w:rsidRPr="006C636B" w:rsidRDefault="006C636B" w:rsidP="006C636B">
      <w:pPr>
        <w:tabs>
          <w:tab w:val="left" w:pos="576"/>
          <w:tab w:val="left" w:pos="1008"/>
        </w:tabs>
        <w:spacing w:before="60" w:after="60"/>
        <w:jc w:val="both"/>
        <w:rPr>
          <w:b/>
        </w:rPr>
      </w:pPr>
      <w:r w:rsidRPr="006C636B">
        <w:rPr>
          <w:b/>
        </w:rPr>
        <w:t>1.3. Zakres robót objętych SST</w:t>
      </w:r>
    </w:p>
    <w:p w:rsidR="006C636B" w:rsidRPr="006C636B" w:rsidRDefault="00AC54CD" w:rsidP="006C636B">
      <w:pPr>
        <w:tabs>
          <w:tab w:val="left" w:pos="360"/>
        </w:tabs>
        <w:jc w:val="both"/>
      </w:pPr>
      <w:r>
        <w:t xml:space="preserve">Wbudowanie betonu </w:t>
      </w:r>
      <w:r w:rsidR="00B03D5A">
        <w:t>C16/20</w:t>
      </w:r>
      <w:r w:rsidR="00096BB0">
        <w:t xml:space="preserve"> – beton wyrównawczy pod </w:t>
      </w:r>
      <w:r w:rsidR="00CD36AA">
        <w:t>ścianę czołową, pod przepustem, wykonanie opornika betonowego</w:t>
      </w:r>
    </w:p>
    <w:p w:rsidR="006C636B" w:rsidRPr="006C636B" w:rsidRDefault="006C636B" w:rsidP="006C636B">
      <w:pPr>
        <w:tabs>
          <w:tab w:val="left" w:pos="576"/>
          <w:tab w:val="left" w:pos="1008"/>
        </w:tabs>
        <w:spacing w:before="60" w:after="60"/>
        <w:jc w:val="both"/>
        <w:rPr>
          <w:b/>
        </w:rPr>
      </w:pPr>
      <w:r w:rsidRPr="006C636B">
        <w:rPr>
          <w:b/>
        </w:rPr>
        <w:t>1.4. Określenia podstawowe</w:t>
      </w:r>
    </w:p>
    <w:p w:rsidR="006C636B" w:rsidRPr="006C636B" w:rsidRDefault="006C636B" w:rsidP="006C636B">
      <w:pPr>
        <w:tabs>
          <w:tab w:val="left" w:pos="576"/>
          <w:tab w:val="left" w:pos="1008"/>
        </w:tabs>
        <w:jc w:val="both"/>
      </w:pPr>
      <w:r w:rsidRPr="006C636B">
        <w:t>Określenia podane w niniejszej Specyfikacji są zgodne z obowiązującymi polskimi normami i określeniami podanymi w Spe</w:t>
      </w:r>
      <w:r w:rsidR="00CD36AA">
        <w:t>cyfikacji D.M.00.00.00 i M.13.00</w:t>
      </w:r>
      <w:r w:rsidRPr="006C636B">
        <w:t>.00.</w:t>
      </w:r>
    </w:p>
    <w:p w:rsidR="006C636B" w:rsidRPr="006C636B" w:rsidRDefault="006C636B" w:rsidP="006C636B">
      <w:pPr>
        <w:tabs>
          <w:tab w:val="left" w:pos="576"/>
          <w:tab w:val="left" w:pos="1008"/>
        </w:tabs>
        <w:spacing w:before="120" w:after="120"/>
        <w:jc w:val="both"/>
        <w:rPr>
          <w:b/>
        </w:rPr>
      </w:pPr>
      <w:r w:rsidRPr="006C636B">
        <w:rPr>
          <w:b/>
        </w:rPr>
        <w:t>1.5. Ogólne wymagania dotyczące Robót</w:t>
      </w:r>
    </w:p>
    <w:p w:rsidR="006C636B" w:rsidRPr="006C636B" w:rsidRDefault="006C636B" w:rsidP="006C636B">
      <w:pPr>
        <w:tabs>
          <w:tab w:val="left" w:pos="576"/>
          <w:tab w:val="left" w:pos="1008"/>
        </w:tabs>
        <w:jc w:val="both"/>
      </w:pPr>
      <w:r w:rsidRPr="006C636B">
        <w:t xml:space="preserve">Ogólne wymagania dotyczące robót podano w Specyfikacji D.M.00.00.00. </w:t>
      </w:r>
    </w:p>
    <w:p w:rsidR="006C636B" w:rsidRPr="006C636B" w:rsidRDefault="006C636B" w:rsidP="006C636B">
      <w:pPr>
        <w:jc w:val="both"/>
      </w:pPr>
      <w:r w:rsidRPr="006C636B">
        <w:t>Wykonawca robót jest odpowiedzialny za jakość ich wykonania oraz za zgodność z Dokumentacją Projektową, SST i poleceniami Inspektora nadzoru.</w:t>
      </w:r>
    </w:p>
    <w:p w:rsidR="006C636B" w:rsidRDefault="006C636B" w:rsidP="0097494B">
      <w:pPr>
        <w:numPr>
          <w:ilvl w:val="2"/>
          <w:numId w:val="26"/>
        </w:numPr>
        <w:tabs>
          <w:tab w:val="clear" w:pos="0"/>
          <w:tab w:val="num" w:pos="720"/>
        </w:tabs>
        <w:suppressAutoHyphens/>
        <w:spacing w:before="120" w:after="60"/>
        <w:ind w:left="720" w:hanging="720"/>
        <w:jc w:val="both"/>
        <w:outlineLvl w:val="2"/>
        <w:rPr>
          <w:b/>
          <w:snapToGrid w:val="0"/>
          <w:u w:val="single"/>
        </w:rPr>
      </w:pPr>
      <w:r w:rsidRPr="006C636B">
        <w:rPr>
          <w:b/>
          <w:snapToGrid w:val="0"/>
          <w:u w:val="single"/>
        </w:rPr>
        <w:t>2. MATERIAŁY</w:t>
      </w:r>
    </w:p>
    <w:p w:rsidR="00096BB0" w:rsidRPr="00096BB0" w:rsidRDefault="00096BB0" w:rsidP="00096BB0">
      <w:pPr>
        <w:tabs>
          <w:tab w:val="left" w:pos="576"/>
          <w:tab w:val="left" w:pos="1008"/>
        </w:tabs>
        <w:spacing w:before="120" w:after="120"/>
        <w:jc w:val="both"/>
        <w:rPr>
          <w:b/>
        </w:rPr>
      </w:pPr>
      <w:r w:rsidRPr="00096BB0">
        <w:rPr>
          <w:b/>
        </w:rPr>
        <w:t>2.1</w:t>
      </w:r>
      <w:r w:rsidR="00BA43AA">
        <w:rPr>
          <w:b/>
        </w:rPr>
        <w:t>.</w:t>
      </w:r>
      <w:r w:rsidRPr="00096BB0">
        <w:rPr>
          <w:b/>
        </w:rPr>
        <w:t xml:space="preserve"> Ogólne wymagania dotyczące materiałów</w:t>
      </w:r>
    </w:p>
    <w:p w:rsidR="00096BB0" w:rsidRDefault="00096BB0" w:rsidP="00096BB0">
      <w:pPr>
        <w:suppressAutoHyphens/>
        <w:spacing w:before="120" w:after="60"/>
        <w:jc w:val="both"/>
        <w:outlineLvl w:val="2"/>
      </w:pPr>
      <w:r>
        <w:t>Ogólne wymagania dotyczące materiałów, ich pozyskiwania i składowania, podano w STWiORB D-M-00.00.00 „Wymagania ogólne” pkt 2.</w:t>
      </w:r>
    </w:p>
    <w:p w:rsidR="00573E1E" w:rsidRPr="00573E1E" w:rsidRDefault="00573E1E" w:rsidP="00573E1E">
      <w:pPr>
        <w:widowControl w:val="0"/>
        <w:ind w:firstLine="709"/>
        <w:jc w:val="both"/>
        <w:rPr>
          <w:snapToGrid w:val="0"/>
        </w:rPr>
      </w:pPr>
      <w:r w:rsidRPr="0075125F">
        <w:rPr>
          <w:snapToGrid w:val="0"/>
        </w:rPr>
        <w:t xml:space="preserve">Przed przystąpieniem do wbudowywania materiału Wykonawca zobowiązany jest do przedstawienia przy każdej dostawie deklaracji </w:t>
      </w:r>
      <w:r w:rsidR="006335B4">
        <w:rPr>
          <w:snapToGrid w:val="0"/>
        </w:rPr>
        <w:t>właściwości</w:t>
      </w:r>
      <w:r w:rsidRPr="0075125F">
        <w:rPr>
          <w:snapToGrid w:val="0"/>
        </w:rPr>
        <w:t xml:space="preserve"> użytkowych materiału objętego normą zharmonizowaną lub europejską oceną techniczną lub europejską aprobatą techniczną, lub krajowej deklaracji </w:t>
      </w:r>
      <w:r w:rsidR="006335B4">
        <w:rPr>
          <w:snapToGrid w:val="0"/>
        </w:rPr>
        <w:t>właściwości</w:t>
      </w:r>
      <w:r w:rsidRPr="0075125F">
        <w:rPr>
          <w:snapToGrid w:val="0"/>
        </w:rPr>
        <w:t xml:space="preserve"> użytkowych dla materiału objętego Polską Normą lub krajową oceną techniczną lub aprobatą techniczną, a także kart technicznych i instrukcji użytkowania poszczególnych materiałów. Za sprawdzenie przydatności materiałów oraz jakość wbudowania odpowiada Wykonawca.</w:t>
      </w:r>
    </w:p>
    <w:p w:rsidR="00096BB0" w:rsidRDefault="00BA43AA" w:rsidP="00BA43AA">
      <w:pPr>
        <w:suppressAutoHyphens/>
        <w:spacing w:before="120" w:after="60"/>
        <w:ind w:firstLine="709"/>
        <w:jc w:val="both"/>
        <w:outlineLvl w:val="2"/>
      </w:pPr>
      <w:r>
        <w:t>Dla betonu niekonstrukcyjnego, tzn. klasy niższej niż C20/25, stosowanego w drogowych obiektach inżynierskich nie obowiązują wymagania podane w Rozporządzeniu Ministra Transportu i Gospodarki Morskiej z dnia 30 maja 2000 r. w sprawie warunków technicznych, jakim powinny odpowiadać drogowe obiekty inżynierskie i ich usytuowanie . Beton powinien być wykonany zgodnie z zasadami podanymi w PN-EN 206-1:2003.</w:t>
      </w:r>
    </w:p>
    <w:p w:rsidR="00BA43AA" w:rsidRDefault="00BA43AA" w:rsidP="00BA43AA">
      <w:pPr>
        <w:tabs>
          <w:tab w:val="left" w:pos="576"/>
          <w:tab w:val="left" w:pos="1008"/>
        </w:tabs>
        <w:spacing w:before="120" w:after="120"/>
        <w:jc w:val="both"/>
        <w:rPr>
          <w:b/>
        </w:rPr>
      </w:pPr>
      <w:r w:rsidRPr="00BA43AA">
        <w:rPr>
          <w:b/>
        </w:rPr>
        <w:t>2.2. Wytrzymałość betonu</w:t>
      </w:r>
    </w:p>
    <w:p w:rsidR="00BA43AA" w:rsidRDefault="00BA43AA" w:rsidP="00BA43AA">
      <w:pPr>
        <w:tabs>
          <w:tab w:val="left" w:pos="576"/>
          <w:tab w:val="left" w:pos="1008"/>
        </w:tabs>
        <w:spacing w:before="120" w:after="120"/>
        <w:jc w:val="both"/>
        <w:rPr>
          <w:b/>
        </w:rPr>
      </w:pPr>
      <w:r>
        <w:t>Beton powinien mieć wytrzymałość określoną klasą zgodną z dokumentacją projektową.</w:t>
      </w:r>
    </w:p>
    <w:p w:rsidR="00BA43AA" w:rsidRDefault="00BA43AA" w:rsidP="00BA43AA">
      <w:pPr>
        <w:tabs>
          <w:tab w:val="left" w:pos="576"/>
          <w:tab w:val="left" w:pos="1008"/>
        </w:tabs>
        <w:spacing w:before="120" w:after="120"/>
        <w:jc w:val="both"/>
        <w:rPr>
          <w:b/>
        </w:rPr>
      </w:pPr>
      <w:r w:rsidRPr="00BA43AA">
        <w:rPr>
          <w:b/>
        </w:rPr>
        <w:t>2.3. Składniki mieszanki betonowej</w:t>
      </w:r>
    </w:p>
    <w:p w:rsidR="00BA43AA" w:rsidRDefault="00BA43AA" w:rsidP="00BA43AA">
      <w:pPr>
        <w:tabs>
          <w:tab w:val="left" w:pos="576"/>
          <w:tab w:val="left" w:pos="1008"/>
        </w:tabs>
        <w:spacing w:before="120" w:after="120"/>
        <w:jc w:val="both"/>
      </w:pPr>
      <w:r w:rsidRPr="00BA43AA">
        <w:t>2.3.1. Cement</w:t>
      </w:r>
    </w:p>
    <w:p w:rsidR="00BA43AA" w:rsidRDefault="00BA43AA" w:rsidP="00BA43AA">
      <w:pPr>
        <w:suppressAutoHyphens/>
        <w:spacing w:before="120" w:after="60"/>
        <w:ind w:firstLine="709"/>
        <w:jc w:val="both"/>
        <w:outlineLvl w:val="2"/>
      </w:pPr>
      <w:r>
        <w:t>Do wykonania betonu klasy poniżej C20/25 powinien być stosowany cement portlandzki CEM I niskoalkaliczny klasy 32,5 N spełniający wymagania normy PN-EN 197-1:2002. Dopuszczalne jest stosowanie jedynie cementu czystego (bez dodatków).</w:t>
      </w:r>
    </w:p>
    <w:p w:rsidR="00BA43AA" w:rsidRDefault="00BA43AA" w:rsidP="00BA43AA">
      <w:pPr>
        <w:suppressAutoHyphens/>
        <w:spacing w:before="120" w:after="60"/>
        <w:ind w:firstLine="709"/>
        <w:jc w:val="both"/>
        <w:outlineLvl w:val="2"/>
      </w:pPr>
      <w:r>
        <w:t>Przed użyciem cementu do wykonania mieszanki betonowej należy przeprowadzić kontrolę obejmującą:</w:t>
      </w:r>
    </w:p>
    <w:p w:rsidR="00BA43AA" w:rsidRDefault="00BA43AA" w:rsidP="00BA43AA">
      <w:pPr>
        <w:suppressAutoHyphens/>
        <w:spacing w:before="120" w:after="60"/>
        <w:ind w:firstLine="709"/>
        <w:jc w:val="both"/>
        <w:outlineLvl w:val="2"/>
      </w:pPr>
      <w:r>
        <w:t>– oznaczenie czasu wiązania wg PN-EN 196-3:2005,</w:t>
      </w:r>
    </w:p>
    <w:p w:rsidR="00BA43AA" w:rsidRDefault="00BA43AA" w:rsidP="00BA43AA">
      <w:pPr>
        <w:suppressAutoHyphens/>
        <w:spacing w:before="120" w:after="60"/>
        <w:ind w:firstLine="709"/>
        <w:jc w:val="both"/>
        <w:outlineLvl w:val="2"/>
      </w:pPr>
      <w:r>
        <w:t>– oznaczenie zmiany objętości wg PN-EN 196-3:2005.</w:t>
      </w:r>
    </w:p>
    <w:p w:rsidR="00BA43AA" w:rsidRDefault="00BA43AA" w:rsidP="00BA43AA">
      <w:pPr>
        <w:suppressAutoHyphens/>
        <w:spacing w:before="120" w:after="60"/>
        <w:ind w:firstLine="709"/>
        <w:jc w:val="both"/>
        <w:outlineLvl w:val="2"/>
      </w:pPr>
      <w:r>
        <w:t>Wyniki badań powinny być zgodne z wymaganiami dla cementu klasy 32,5 N podanymi w normie PN-EN 197-1:2002. Nie dopuszcza się występowania grudek nie dających się rozgnieść w palcach.</w:t>
      </w:r>
    </w:p>
    <w:p w:rsidR="00BA43AA" w:rsidRDefault="00BA43AA" w:rsidP="00BA43AA">
      <w:pPr>
        <w:suppressAutoHyphens/>
        <w:spacing w:before="120" w:after="60"/>
        <w:ind w:firstLine="709"/>
        <w:jc w:val="both"/>
        <w:outlineLvl w:val="2"/>
      </w:pPr>
      <w:r>
        <w:t>Cement należy przechowywać w sposób zgodny z postanowieniami PN-EN 197-1:2002 oraz BN-88/6731-08. Do każdej partii dostarczonego cementu musi być dołączone świadectwo jakości (atest) wraz z wynikami badań z uwzględnieniem wymagań ST. Każda partia cementu przed jej użyciem do betonu musi uzyskać akceptację</w:t>
      </w:r>
      <w:r w:rsidR="00031F9F">
        <w:t xml:space="preserve">przedstawiciela </w:t>
      </w:r>
      <w:r w:rsidR="00E6484E">
        <w:t>Zamawiającego</w:t>
      </w:r>
      <w:r>
        <w:t>.</w:t>
      </w:r>
    </w:p>
    <w:p w:rsidR="00BA43AA" w:rsidRDefault="00BA43AA" w:rsidP="00BA43AA">
      <w:pPr>
        <w:suppressAutoHyphens/>
        <w:spacing w:before="120" w:after="60"/>
        <w:jc w:val="both"/>
        <w:outlineLvl w:val="2"/>
      </w:pPr>
      <w:r>
        <w:t>2.3.2. Kruszywo</w:t>
      </w:r>
    </w:p>
    <w:p w:rsidR="00BA43AA" w:rsidRDefault="00BA43AA" w:rsidP="00BA43AA">
      <w:pPr>
        <w:suppressAutoHyphens/>
        <w:spacing w:before="120" w:after="60"/>
        <w:jc w:val="both"/>
        <w:outlineLvl w:val="2"/>
      </w:pPr>
      <w:r>
        <w:t>Kruszywo do wykonania betonu klasy poniżej C20/25powinno być marki nie mniejszej niż 20 i odpowiadać wymaganiom normy PN-EN 12620:2004 dla kruszyw mineralnych. Ponadto kruszywo powinno spełniać poniższe wymagania:</w:t>
      </w:r>
    </w:p>
    <w:p w:rsidR="00BA43AA" w:rsidRDefault="00BA43AA" w:rsidP="00BA43AA">
      <w:pPr>
        <w:suppressAutoHyphens/>
        <w:spacing w:before="120" w:after="60"/>
        <w:ind w:left="709"/>
        <w:jc w:val="both"/>
        <w:outlineLvl w:val="2"/>
      </w:pPr>
      <w:r>
        <w:t>– jako kruszywo grube powinien być stosowany żwir o maksymalnym wymiarze ziarna nie większym niż 31,5 mm,</w:t>
      </w:r>
    </w:p>
    <w:p w:rsidR="00BA43AA" w:rsidRDefault="00BA43AA" w:rsidP="00BA43AA">
      <w:pPr>
        <w:suppressAutoHyphens/>
        <w:spacing w:before="120" w:after="60"/>
        <w:ind w:firstLine="709"/>
        <w:jc w:val="both"/>
        <w:outlineLvl w:val="2"/>
      </w:pPr>
      <w:r>
        <w:t>– łączne uziarnienie kruszywa powinno mieścić się w granicach podanych na rysunku 1,</w:t>
      </w:r>
    </w:p>
    <w:p w:rsidR="00BA43AA" w:rsidRPr="00BA43AA" w:rsidRDefault="00BA43AA" w:rsidP="00BA43AA">
      <w:pPr>
        <w:suppressAutoHyphens/>
        <w:spacing w:before="120" w:after="60"/>
        <w:ind w:left="709"/>
        <w:jc w:val="both"/>
        <w:outlineLvl w:val="2"/>
      </w:pPr>
      <w:r>
        <w:t>– przy ustalaniu proporcji kruszyw frakcji piaskowej i grubszych należy uwzględnić wymagania pktu 2.4,</w:t>
      </w:r>
    </w:p>
    <w:p w:rsidR="00BA43AA" w:rsidRDefault="00BA43AA" w:rsidP="00BA43AA">
      <w:pPr>
        <w:suppressAutoHyphens/>
        <w:spacing w:before="120" w:after="60"/>
        <w:ind w:left="709"/>
        <w:jc w:val="both"/>
        <w:outlineLvl w:val="2"/>
      </w:pPr>
      <w:r>
        <w:t>– ziarna kruszywa nie powinny być większe niż 1/3 najmniejszego przekroju poprzecznego elementu i 3/4 odległości w świetle między prętami zbrojenia, leżącymi w jednej płaszczyźnie prostopadłej do kierunku betonowania.</w:t>
      </w:r>
    </w:p>
    <w:p w:rsidR="00BA43AA" w:rsidRDefault="00BA43AA" w:rsidP="00BA43AA">
      <w:pPr>
        <w:suppressAutoHyphens/>
        <w:spacing w:before="120" w:after="60"/>
        <w:ind w:left="709"/>
        <w:jc w:val="both"/>
        <w:outlineLvl w:val="2"/>
      </w:pPr>
      <w:r>
        <w:t>Rysunek 1. Graniczne krzywe uziarnienia kruszywa 0</w:t>
      </w:r>
      <w:r>
        <w:sym w:font="Symbol" w:char="F0B8"/>
      </w:r>
      <w:r>
        <w:t>31,5 mm (dla betonu klasy poniżej B25)</w:t>
      </w:r>
    </w:p>
    <w:p w:rsidR="00BA43AA" w:rsidRDefault="00BA43AA" w:rsidP="00BA43AA">
      <w:pPr>
        <w:suppressAutoHyphens/>
        <w:spacing w:before="120" w:after="60"/>
        <w:jc w:val="center"/>
        <w:outlineLvl w:val="2"/>
      </w:pPr>
      <w:r>
        <w:rPr>
          <w:noProof/>
        </w:rPr>
        <w:drawing>
          <wp:inline distT="0" distB="0" distL="0" distR="0">
            <wp:extent cx="3974465" cy="2345055"/>
            <wp:effectExtent l="0" t="0" r="6985" b="0"/>
            <wp:docPr id="85" name="Obraz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974465" cy="2345055"/>
                    </a:xfrm>
                    <a:prstGeom prst="rect">
                      <a:avLst/>
                    </a:prstGeom>
                    <a:noFill/>
                    <a:ln>
                      <a:noFill/>
                    </a:ln>
                  </pic:spPr>
                </pic:pic>
              </a:graphicData>
            </a:graphic>
          </wp:inline>
        </w:drawing>
      </w:r>
    </w:p>
    <w:p w:rsidR="00BA43AA" w:rsidRDefault="00BA43AA" w:rsidP="00BA43AA">
      <w:pPr>
        <w:suppressAutoHyphens/>
        <w:spacing w:before="120" w:after="60"/>
        <w:ind w:firstLine="709"/>
        <w:jc w:val="both"/>
        <w:outlineLvl w:val="2"/>
      </w:pPr>
      <w:r>
        <w:t>Przed użyciem poszczególnych partii kruszywa do betonu kon</w:t>
      </w:r>
      <w:r w:rsidR="00E6484E">
        <w:t>ieczna jest akceptacja</w:t>
      </w:r>
      <w:r w:rsidR="00031F9F">
        <w:t>przedstawiciela</w:t>
      </w:r>
      <w:r w:rsidR="00E6484E">
        <w:t xml:space="preserve"> Zamawiającego</w:t>
      </w:r>
      <w:r>
        <w:t>, która powinna być wydana na podstawie:</w:t>
      </w:r>
    </w:p>
    <w:p w:rsidR="00BA43AA" w:rsidRDefault="00BA43AA" w:rsidP="00BA43AA">
      <w:pPr>
        <w:suppressAutoHyphens/>
        <w:spacing w:before="120" w:after="60"/>
        <w:ind w:left="709"/>
        <w:jc w:val="both"/>
        <w:outlineLvl w:val="2"/>
      </w:pPr>
      <w:r>
        <w:t>a) świadectwa jakości kruszywa wystawionego przez dostawcę i zawierającego wyniki pełnych badań zgodnie z PN-EN 12620:2004 oraz okresowo wynik badania specjalnego dotyczącego reaktywności alkalicznej,</w:t>
      </w:r>
    </w:p>
    <w:p w:rsidR="00BA43AA" w:rsidRDefault="00BA43AA" w:rsidP="00BA43AA">
      <w:pPr>
        <w:suppressAutoHyphens/>
        <w:spacing w:before="120" w:after="60"/>
        <w:ind w:left="709"/>
        <w:jc w:val="both"/>
        <w:outlineLvl w:val="2"/>
      </w:pPr>
      <w:r>
        <w:t>b) przeprowadzonych na budowie badań kruszywa obejmujących:</w:t>
      </w:r>
    </w:p>
    <w:p w:rsidR="00BA43AA" w:rsidRDefault="00BA43AA" w:rsidP="00BA43AA">
      <w:pPr>
        <w:suppressAutoHyphens/>
        <w:spacing w:before="120" w:after="60"/>
        <w:ind w:left="709"/>
        <w:jc w:val="both"/>
        <w:outlineLvl w:val="2"/>
      </w:pPr>
      <w:r>
        <w:t>− oznaczenie składu ziarnowego wg PN-EN 933-1:2000/A1:2006,</w:t>
      </w:r>
    </w:p>
    <w:p w:rsidR="00BA43AA" w:rsidRDefault="00BA43AA" w:rsidP="00BA43AA">
      <w:pPr>
        <w:suppressAutoHyphens/>
        <w:spacing w:before="120" w:after="60"/>
        <w:ind w:left="709"/>
        <w:jc w:val="both"/>
        <w:outlineLvl w:val="2"/>
      </w:pPr>
      <w:r>
        <w:t>− oznaczenie kształtu ziarn wg PN-EN 933-4:2001 (dotyczy kruszywa grubego),</w:t>
      </w:r>
    </w:p>
    <w:p w:rsidR="00BA43AA" w:rsidRDefault="00BA43AA" w:rsidP="00BA43AA">
      <w:pPr>
        <w:suppressAutoHyphens/>
        <w:spacing w:before="120" w:after="60"/>
        <w:ind w:left="709"/>
        <w:jc w:val="both"/>
        <w:outlineLvl w:val="2"/>
      </w:pPr>
      <w:r>
        <w:t>− oznaczenie zawartości zanieczyszczeń obcych,</w:t>
      </w:r>
    </w:p>
    <w:p w:rsidR="00BA43AA" w:rsidRDefault="00BA43AA" w:rsidP="00BA43AA">
      <w:pPr>
        <w:suppressAutoHyphens/>
        <w:spacing w:before="120" w:after="60"/>
        <w:ind w:left="709"/>
        <w:jc w:val="both"/>
        <w:outlineLvl w:val="2"/>
      </w:pPr>
      <w:r>
        <w:t>− oznaczenie zawartości grudek gliny (oznaczać jak zawartość zanieczyszczeń obcych),</w:t>
      </w:r>
    </w:p>
    <w:p w:rsidR="00BA43AA" w:rsidRDefault="00BA43AA" w:rsidP="00BA43AA">
      <w:pPr>
        <w:suppressAutoHyphens/>
        <w:spacing w:before="120" w:after="60"/>
        <w:ind w:left="709"/>
        <w:jc w:val="both"/>
        <w:outlineLvl w:val="2"/>
      </w:pPr>
      <w:r>
        <w:t>− oznaczenie zawartości pyłów mineralnych,</w:t>
      </w:r>
    </w:p>
    <w:p w:rsidR="00BA43AA" w:rsidRDefault="00BA43AA" w:rsidP="00BA43AA">
      <w:pPr>
        <w:suppressAutoHyphens/>
        <w:spacing w:before="120" w:after="60"/>
        <w:ind w:left="709"/>
        <w:jc w:val="both"/>
        <w:outlineLvl w:val="2"/>
      </w:pPr>
      <w:r>
        <w:t xml:space="preserve">− należy prowadzić bieżącą kontrolę wilgotności kruszywa wg PN-77/1097-6:2000/A1:2006 oraz stałości zawartości frakcji 0 </w:t>
      </w:r>
      <w:r>
        <w:sym w:font="Symbol" w:char="F0B8"/>
      </w:r>
      <w:r>
        <w:t xml:space="preserve"> 2 mm dla korygowania recepty roboczej betonu.</w:t>
      </w:r>
    </w:p>
    <w:p w:rsidR="00BA43AA" w:rsidRDefault="00BA43AA" w:rsidP="00BA43AA">
      <w:pPr>
        <w:suppressAutoHyphens/>
        <w:spacing w:before="120" w:after="60"/>
        <w:ind w:firstLine="709"/>
        <w:jc w:val="both"/>
        <w:outlineLvl w:val="2"/>
      </w:pPr>
      <w:r>
        <w:t>W przypadku, gdy kontrola wykaże niezgodność cech danego kruszywa z wymaganiami PN-EN 12620:2004, użycie takiego kruszywa może nastąpić po jego uszlachetnieniu, np. przez dodatek odpowiednich frakcji kruszywa.</w:t>
      </w:r>
    </w:p>
    <w:p w:rsidR="00BA43AA" w:rsidRDefault="00BA43AA" w:rsidP="00BA43AA">
      <w:pPr>
        <w:suppressAutoHyphens/>
        <w:spacing w:before="120" w:after="60"/>
        <w:jc w:val="both"/>
        <w:outlineLvl w:val="2"/>
      </w:pPr>
      <w:r>
        <w:t>2.3.2. Woda zarobowa do betonu</w:t>
      </w:r>
    </w:p>
    <w:p w:rsidR="00BA43AA" w:rsidRDefault="00BA43AA" w:rsidP="00BA43AA">
      <w:pPr>
        <w:suppressAutoHyphens/>
        <w:spacing w:before="120" w:after="60"/>
        <w:ind w:firstLine="709"/>
        <w:jc w:val="both"/>
        <w:outlineLvl w:val="2"/>
      </w:pPr>
      <w:r>
        <w:t>Wodę zarobową do betonu należy czerpać z wodociągów miejskich. Stosowanie wody wodociągowej nie wymaga badań. Woda zarobowa dla betonu powinna odpowiadać wymaganiom normy PN-EN 1008:2004.</w:t>
      </w:r>
    </w:p>
    <w:p w:rsidR="00BA43AA" w:rsidRDefault="00BA43AA" w:rsidP="00BA43AA">
      <w:pPr>
        <w:suppressAutoHyphens/>
        <w:spacing w:before="120" w:after="60"/>
        <w:jc w:val="both"/>
        <w:outlineLvl w:val="2"/>
      </w:pPr>
      <w:r>
        <w:t>2.3.3. Domieszki i dodatki do betonu</w:t>
      </w:r>
    </w:p>
    <w:p w:rsidR="00BA43AA" w:rsidRDefault="00BA43AA" w:rsidP="00BA43AA">
      <w:pPr>
        <w:suppressAutoHyphens/>
        <w:spacing w:before="120" w:after="60"/>
        <w:ind w:firstLine="709"/>
        <w:jc w:val="both"/>
        <w:outlineLvl w:val="2"/>
      </w:pPr>
      <w:r>
        <w:t>Dopuszcza się zastosowanie domieszek i dodatków do betonu pod warunkiem przeprowadzenia kontroli skutków ubocznych, takich jak: zmniejszenie wytrzymałości, zwiększenie nasiąkliwości i skurczu po stwardnieniu betonu. Należy też ocenić wpływy domieszek na zmniejszenie trwałości betonu. Ze względu na wymaganie osiągnięcia przez beton określonego stopnia mrozoodporności należy stosować domieszki napowietrzające. Dla zastosowanej domieszki Wykonawca powinien przedstawić aprobatę techniczną wydana przez IBDiM</w:t>
      </w:r>
      <w:r w:rsidR="000A6998">
        <w:t xml:space="preserve"> lub krajową ocene techniczną</w:t>
      </w:r>
      <w:r>
        <w:t xml:space="preserve"> oraz atest producenta.</w:t>
      </w:r>
    </w:p>
    <w:p w:rsidR="00707AF9" w:rsidRDefault="00707AF9" w:rsidP="00707AF9">
      <w:pPr>
        <w:tabs>
          <w:tab w:val="left" w:pos="576"/>
          <w:tab w:val="left" w:pos="1008"/>
        </w:tabs>
        <w:spacing w:before="120" w:after="120"/>
        <w:jc w:val="both"/>
        <w:rPr>
          <w:b/>
        </w:rPr>
      </w:pPr>
      <w:r>
        <w:rPr>
          <w:b/>
        </w:rPr>
        <w:t>2.4. Skład mieszanki betonowej</w:t>
      </w:r>
    </w:p>
    <w:p w:rsidR="00707AF9" w:rsidRDefault="00707AF9" w:rsidP="00707AF9">
      <w:pPr>
        <w:suppressAutoHyphens/>
        <w:spacing w:before="120" w:after="60"/>
        <w:jc w:val="both"/>
        <w:outlineLvl w:val="2"/>
      </w:pPr>
      <w:r>
        <w:t>2.4.1. Ustalenie składu mieszanki betonowej</w:t>
      </w:r>
    </w:p>
    <w:p w:rsidR="00707AF9" w:rsidRDefault="00267623" w:rsidP="00267623">
      <w:pPr>
        <w:suppressAutoHyphens/>
        <w:spacing w:before="120" w:after="60"/>
        <w:ind w:firstLine="709"/>
        <w:jc w:val="both"/>
        <w:outlineLvl w:val="2"/>
      </w:pPr>
      <w:r>
        <w:t xml:space="preserve">Skład mieszanki betonowej powinien być ustalony zgodnie z ST oraz normą PN-EN 206-1:2003 tak, aby przy najmniejszej ilości wody zapewnić szczelne ułożenie mieszanki w wyniku zagęszczania przez wibrowanie. Skład mieszanki betonowej ustala laboratorium Wykonawcy lub wytwórni betonów i wymaga </w:t>
      </w:r>
      <w:r w:rsidR="00E6484E">
        <w:t>on zatwierdzenia przez</w:t>
      </w:r>
      <w:r w:rsidR="00031F9F">
        <w:t>przedstawiciela</w:t>
      </w:r>
      <w:r w:rsidR="00E6484E">
        <w:t xml:space="preserve"> Zamawiającego</w:t>
      </w:r>
    </w:p>
    <w:p w:rsidR="00BA43AA" w:rsidRDefault="00267623" w:rsidP="00267623">
      <w:pPr>
        <w:suppressAutoHyphens/>
        <w:spacing w:before="120" w:after="60"/>
        <w:ind w:firstLine="709"/>
        <w:jc w:val="both"/>
        <w:outlineLvl w:val="2"/>
      </w:pPr>
      <w:r>
        <w:t>Skład mieszanki betonowej powinien być ustalony zgodnie z następującymi zasadami:</w:t>
      </w:r>
    </w:p>
    <w:p w:rsidR="00267623" w:rsidRDefault="00267623" w:rsidP="00267623">
      <w:pPr>
        <w:suppressAutoHyphens/>
        <w:spacing w:before="120" w:after="60"/>
        <w:jc w:val="both"/>
        <w:outlineLvl w:val="2"/>
      </w:pPr>
      <w:r>
        <w:t>1) skład mieszanki betonowej powinien przy najmniejszej ilości wody zapewnić szczelne ułożenie mieszanki w wyniku zagęszczania przez wibrowanie,</w:t>
      </w:r>
    </w:p>
    <w:p w:rsidR="00267623" w:rsidRPr="00546468" w:rsidRDefault="00267623" w:rsidP="00267623">
      <w:pPr>
        <w:suppressAutoHyphens/>
        <w:spacing w:before="120" w:after="60"/>
        <w:jc w:val="both"/>
        <w:outlineLvl w:val="2"/>
      </w:pPr>
      <w:r>
        <w:t xml:space="preserve">2) wartość stosunku w/c powinna być nie większa niż 0,6 dla betonu narażonego bezpośrednio na działanie </w:t>
      </w:r>
      <w:r w:rsidRPr="00546468">
        <w:t>czynników atmosferycznych i niż 0,55 dla betonu narażonego na stały dostęp wody przed zamarznięciem,</w:t>
      </w:r>
    </w:p>
    <w:p w:rsidR="00267623" w:rsidRPr="00546468" w:rsidRDefault="00267623" w:rsidP="00267623">
      <w:pPr>
        <w:suppressAutoHyphens/>
        <w:spacing w:before="120" w:after="60"/>
        <w:jc w:val="both"/>
        <w:outlineLvl w:val="2"/>
      </w:pPr>
      <w:r w:rsidRPr="00546468">
        <w:t>3) odpowiednią urabialność mieszanki uzyskuje się przez dobór konsystencji mieszanki oraz dobór odpowiedniej ilości zaprawy i łącznej ilości cementu i frakcji kruszywa poniżej 0,125 mm:</w:t>
      </w:r>
    </w:p>
    <w:p w:rsidR="00267623" w:rsidRPr="00546468" w:rsidRDefault="00267623" w:rsidP="00267623">
      <w:pPr>
        <w:suppressAutoHyphens/>
        <w:spacing w:before="120" w:after="60"/>
        <w:ind w:left="709"/>
        <w:jc w:val="both"/>
        <w:outlineLvl w:val="2"/>
      </w:pPr>
      <w:r w:rsidRPr="00546468">
        <w:t xml:space="preserve">– konsystencja mieszanki nie powinna być rzadsza od plastycznej od 7s do 13 s (K-3 wg PN-EN 206-1:2003), sprawdzona aparatem Ve-Be lub od 2 cm do 5 cm wg metody stożka opadowego. Dopuszcza się badanie stożkiem opadowym wyłącznie w warunkach budowy. Różnice między założoną konsystencją mieszanki, a kontrolowaną nie mogą przekroczyć </w:t>
      </w:r>
      <w:r w:rsidRPr="00546468">
        <w:sym w:font="Symbol" w:char="F0B1"/>
      </w:r>
      <w:r w:rsidRPr="00546468">
        <w:t xml:space="preserve"> 20% wartości wskaźnika Ve-Be i </w:t>
      </w:r>
      <w:r w:rsidRPr="00546468">
        <w:sym w:font="Symbol" w:char="F0B1"/>
      </w:r>
      <w:r w:rsidRPr="00546468">
        <w:t xml:space="preserve"> 10 mm przy pomiarze stożkiem opadowym.</w:t>
      </w:r>
    </w:p>
    <w:p w:rsidR="00096BB0" w:rsidRPr="00546468" w:rsidRDefault="00267623" w:rsidP="00267623">
      <w:pPr>
        <w:suppressAutoHyphens/>
        <w:spacing w:before="120" w:after="60"/>
        <w:ind w:firstLine="709"/>
        <w:jc w:val="both"/>
        <w:outlineLvl w:val="2"/>
      </w:pPr>
      <w:r w:rsidRPr="00546468">
        <w:t>– ilość zaprawy i łączną ilość cementu i frakcji kruszywa poniżej 0,125 mm podano w tablicy 1.</w:t>
      </w:r>
    </w:p>
    <w:p w:rsidR="00267623" w:rsidRDefault="00267623" w:rsidP="00267623">
      <w:pPr>
        <w:suppressAutoHyphens/>
        <w:spacing w:before="120" w:after="60"/>
        <w:ind w:firstLine="709"/>
        <w:jc w:val="center"/>
        <w:outlineLvl w:val="2"/>
      </w:pPr>
      <w:r w:rsidRPr="00546468">
        <w:t>Tablica 1. Ilość zaprawy, cementu i kruszywa zapewniające urabialność mieszanki betonowej</w:t>
      </w:r>
    </w:p>
    <w:p w:rsidR="00267623" w:rsidRDefault="00267623" w:rsidP="00267623">
      <w:pPr>
        <w:suppressAutoHyphens/>
        <w:spacing w:before="120" w:after="60"/>
        <w:ind w:firstLine="709"/>
        <w:jc w:val="center"/>
        <w:outlineLvl w:val="2"/>
      </w:pPr>
      <w:r>
        <w:rPr>
          <w:noProof/>
        </w:rPr>
        <w:drawing>
          <wp:inline distT="0" distB="0" distL="0" distR="0">
            <wp:extent cx="4327525" cy="1140460"/>
            <wp:effectExtent l="0" t="0" r="0" b="2540"/>
            <wp:docPr id="86" name="Obraz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327525" cy="1140460"/>
                    </a:xfrm>
                    <a:prstGeom prst="rect">
                      <a:avLst/>
                    </a:prstGeom>
                    <a:noFill/>
                    <a:ln>
                      <a:noFill/>
                    </a:ln>
                  </pic:spPr>
                </pic:pic>
              </a:graphicData>
            </a:graphic>
          </wp:inline>
        </w:drawing>
      </w:r>
    </w:p>
    <w:p w:rsidR="00267623" w:rsidRDefault="00546468" w:rsidP="00546468">
      <w:pPr>
        <w:suppressAutoHyphens/>
        <w:spacing w:before="120" w:after="60"/>
        <w:jc w:val="both"/>
        <w:outlineLvl w:val="2"/>
      </w:pPr>
      <w:r>
        <w:t>4) stosunek poszczególnych frakcji kruszywa grubego ustalany doświadczalnie powinien odpowiadać najmniejszej jamistości. Zawartość powietrza w mieszance betonowej, badana metodą ciśnieniową wg PN-EN 206-1:2003, nie powinna przekraczać:</w:t>
      </w:r>
    </w:p>
    <w:p w:rsidR="00267623" w:rsidRDefault="00546468" w:rsidP="00267623">
      <w:pPr>
        <w:suppressAutoHyphens/>
        <w:spacing w:before="120" w:after="60"/>
        <w:ind w:firstLine="709"/>
        <w:jc w:val="both"/>
        <w:outlineLvl w:val="2"/>
      </w:pPr>
      <w:r>
        <w:t>− wartości 2 % w przypadku niestosowania domieszek napowietrzających,</w:t>
      </w:r>
    </w:p>
    <w:p w:rsidR="00546468" w:rsidRDefault="00546468" w:rsidP="00267623">
      <w:pPr>
        <w:suppressAutoHyphens/>
        <w:spacing w:before="120" w:after="60"/>
        <w:ind w:firstLine="709"/>
        <w:jc w:val="both"/>
        <w:outlineLvl w:val="2"/>
      </w:pPr>
      <w:r>
        <w:t>− przedziałów wartości podanych w tablicy 2 w przypadku stosowania domieszek napowietrzających,</w:t>
      </w:r>
    </w:p>
    <w:p w:rsidR="00546468" w:rsidRDefault="00546468" w:rsidP="00546468">
      <w:pPr>
        <w:suppressAutoHyphens/>
        <w:spacing w:before="120" w:after="60"/>
        <w:ind w:firstLine="709"/>
        <w:jc w:val="center"/>
        <w:outlineLvl w:val="2"/>
      </w:pPr>
      <w:r>
        <w:t>Tablica 2. Zawartość powietrza w mieszance betonowej z domieszkami napowietrzającymi</w:t>
      </w:r>
    </w:p>
    <w:p w:rsidR="00546468" w:rsidRDefault="00546468" w:rsidP="00546468">
      <w:pPr>
        <w:suppressAutoHyphens/>
        <w:spacing w:before="120" w:after="60"/>
        <w:ind w:firstLine="709"/>
        <w:jc w:val="center"/>
        <w:outlineLvl w:val="2"/>
      </w:pPr>
      <w:r>
        <w:rPr>
          <w:noProof/>
        </w:rPr>
        <w:drawing>
          <wp:inline distT="0" distB="0" distL="0" distR="0">
            <wp:extent cx="4255135" cy="778510"/>
            <wp:effectExtent l="0" t="0" r="0" b="254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255135" cy="778510"/>
                    </a:xfrm>
                    <a:prstGeom prst="rect">
                      <a:avLst/>
                    </a:prstGeom>
                    <a:noFill/>
                    <a:ln>
                      <a:noFill/>
                    </a:ln>
                  </pic:spPr>
                </pic:pic>
              </a:graphicData>
            </a:graphic>
          </wp:inline>
        </w:drawing>
      </w:r>
    </w:p>
    <w:p w:rsidR="00546468" w:rsidRDefault="00546468" w:rsidP="00546468">
      <w:pPr>
        <w:suppressAutoHyphens/>
        <w:spacing w:before="120" w:after="60"/>
        <w:outlineLvl w:val="2"/>
      </w:pPr>
      <w:r>
        <w:t>5) maksymalne ilości cementu nie powinny przekraczać 450 kg/m3 . Dopuszcza się przekroczenie tej ilości o 10 % w uzasadnionyc</w:t>
      </w:r>
      <w:r w:rsidR="00E6484E">
        <w:t>h przypadkach za zgodą</w:t>
      </w:r>
      <w:r w:rsidR="00031F9F">
        <w:t>przedstawiciela</w:t>
      </w:r>
      <w:r w:rsidR="00E6484E">
        <w:t xml:space="preserve"> Zamawiającego</w:t>
      </w:r>
      <w:r>
        <w:t>.</w:t>
      </w:r>
    </w:p>
    <w:p w:rsidR="00546468" w:rsidRDefault="009D7D00" w:rsidP="009D7D00">
      <w:pPr>
        <w:suppressAutoHyphens/>
        <w:spacing w:before="120" w:after="60"/>
        <w:outlineLvl w:val="2"/>
      </w:pPr>
      <w:r>
        <w:t>Najmniejsza dopuszczalna ilość cementu na 1 m3 mieszanki betonowej wynosi:</w:t>
      </w:r>
    </w:p>
    <w:p w:rsidR="009D7D00" w:rsidRDefault="009D7D00" w:rsidP="009D7D00">
      <w:pPr>
        <w:suppressAutoHyphens/>
        <w:spacing w:before="120" w:after="60"/>
        <w:outlineLvl w:val="2"/>
      </w:pPr>
      <w:r>
        <w:t>– dla betonu narażonego bezpośrednio na działanie czynników atmosferycznych: 270 kg (dla betonu zbrojonego) i 250 kg (dla betonu niezbrojonego),</w:t>
      </w:r>
    </w:p>
    <w:p w:rsidR="009D7D00" w:rsidRDefault="009D7D00" w:rsidP="009D7D00">
      <w:pPr>
        <w:suppressAutoHyphens/>
        <w:spacing w:before="120" w:after="60"/>
        <w:outlineLvl w:val="2"/>
      </w:pPr>
      <w:r>
        <w:t>– dla betonu narażonego na stały dostęp wody, przed zamarznięciem: 270 kg</w:t>
      </w:r>
    </w:p>
    <w:p w:rsidR="009D7D00" w:rsidRDefault="009D7D00" w:rsidP="009D7D00">
      <w:pPr>
        <w:suppressAutoHyphens/>
        <w:spacing w:before="120" w:after="60"/>
        <w:outlineLvl w:val="2"/>
      </w:pPr>
      <w:r>
        <w:t>6) recepta mieszanki betonowej może być ustalona dowolną metodą doświadczalną lub obliczeniowo-doświadczalną, zapewniającą uzyskanie betonu o wymaganych właściwościach. Przy projektowaniu składu mieszanki betonowej zagęszczanej przez wibrowanie i dojrzewającej w warunkach naturalnych (średnia temperatura dobowa nie niższa niż 10° C), średnią wymaganą wytrzymałość na ściskanie należy określić jako równą 1,3 Rb G.</w:t>
      </w:r>
    </w:p>
    <w:p w:rsidR="009D7D00" w:rsidRDefault="009D7D00" w:rsidP="009D7D00">
      <w:pPr>
        <w:suppressAutoHyphens/>
        <w:spacing w:before="120" w:after="60"/>
        <w:outlineLvl w:val="2"/>
      </w:pPr>
    </w:p>
    <w:p w:rsidR="009D7D00" w:rsidRDefault="009D7D00" w:rsidP="009D7D00">
      <w:pPr>
        <w:suppressAutoHyphens/>
        <w:spacing w:before="120" w:after="60"/>
        <w:outlineLvl w:val="2"/>
      </w:pPr>
      <w:r>
        <w:t>2.4.2. Własciwości betonu</w:t>
      </w:r>
    </w:p>
    <w:p w:rsidR="009D7D00" w:rsidRDefault="009D7D00" w:rsidP="009D7D00">
      <w:pPr>
        <w:suppressAutoHyphens/>
        <w:spacing w:before="120" w:after="60"/>
        <w:outlineLvl w:val="2"/>
      </w:pPr>
      <w:r>
        <w:t>Jeżeli ST nie podaje inaczej, beton powinien spełniać wymagania zestawione w tablicy 3.</w:t>
      </w:r>
    </w:p>
    <w:p w:rsidR="009D7D00" w:rsidRDefault="009D7D00" w:rsidP="009D7D00">
      <w:pPr>
        <w:suppressAutoHyphens/>
        <w:spacing w:before="120" w:after="60"/>
        <w:jc w:val="center"/>
        <w:outlineLvl w:val="2"/>
      </w:pPr>
      <w:r>
        <w:t>Tablica 3. Wymagane właściwości betonu</w:t>
      </w:r>
    </w:p>
    <w:p w:rsidR="009D7D00" w:rsidRDefault="009D7D00" w:rsidP="009D7D00">
      <w:pPr>
        <w:suppressAutoHyphens/>
        <w:spacing w:before="120" w:after="60"/>
        <w:outlineLvl w:val="2"/>
      </w:pPr>
    </w:p>
    <w:p w:rsidR="009D7D00" w:rsidRDefault="009D7D00" w:rsidP="009D7D00">
      <w:pPr>
        <w:suppressAutoHyphens/>
        <w:spacing w:before="120" w:after="60"/>
        <w:jc w:val="center"/>
        <w:outlineLvl w:val="2"/>
      </w:pPr>
      <w:r>
        <w:rPr>
          <w:noProof/>
        </w:rPr>
        <w:drawing>
          <wp:inline distT="0" distB="0" distL="0" distR="0">
            <wp:extent cx="4354830" cy="950595"/>
            <wp:effectExtent l="0" t="0" r="7620" b="1905"/>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354830" cy="950595"/>
                    </a:xfrm>
                    <a:prstGeom prst="rect">
                      <a:avLst/>
                    </a:prstGeom>
                    <a:noFill/>
                    <a:ln>
                      <a:noFill/>
                    </a:ln>
                  </pic:spPr>
                </pic:pic>
              </a:graphicData>
            </a:graphic>
          </wp:inline>
        </w:drawing>
      </w:r>
    </w:p>
    <w:p w:rsidR="009D7D00" w:rsidRDefault="009D7D00" w:rsidP="009D7D00">
      <w:pPr>
        <w:suppressAutoHyphens/>
        <w:spacing w:before="120" w:after="60"/>
        <w:ind w:firstLine="709"/>
        <w:outlineLvl w:val="2"/>
      </w:pPr>
      <w:r>
        <w:t>W przypadku zastosowania dodatków i domieszek badanie odporności na działanie mrozu powinno być wykonane wg PNEN 206-1:2003, z zastosowaniem wody oraz 2% roztworu solnego (NaCl), na oddzielnych próbkach.</w:t>
      </w:r>
    </w:p>
    <w:p w:rsidR="009D7D00" w:rsidRDefault="009D7D00" w:rsidP="009D7D00">
      <w:pPr>
        <w:suppressAutoHyphens/>
        <w:spacing w:before="120" w:after="60"/>
        <w:outlineLvl w:val="2"/>
      </w:pPr>
      <w:r>
        <w:t>Uwaga:</w:t>
      </w:r>
    </w:p>
    <w:p w:rsidR="00267623" w:rsidRPr="009D7D00" w:rsidRDefault="009D7D00" w:rsidP="009D7D00">
      <w:pPr>
        <w:suppressAutoHyphens/>
        <w:spacing w:before="120" w:after="60"/>
        <w:ind w:firstLine="709"/>
        <w:outlineLvl w:val="2"/>
      </w:pPr>
      <w:r>
        <w:t>Dla betonu podłoża, którego zadaniem jest jedynie ochrona zbrojenia fundamentów przed zanieczyszczeniem gruntem, powyższe wymagania mogą być odpowiednio zmniejszone w ST lub dokumentacji projektowej</w:t>
      </w:r>
      <w:r w:rsidR="00282F1B">
        <w:t xml:space="preserve"> za zgodą inspektora nadzoru</w:t>
      </w:r>
      <w:r>
        <w:t>. W podobny sposób mogą być obniżone wymagania dla betonu niekonstrukcyjnego w innych, mniej odpowiedzialnych elementach obiektu.</w:t>
      </w:r>
    </w:p>
    <w:p w:rsidR="006C636B" w:rsidRPr="006C636B" w:rsidRDefault="006C636B" w:rsidP="0097494B">
      <w:pPr>
        <w:numPr>
          <w:ilvl w:val="2"/>
          <w:numId w:val="26"/>
        </w:numPr>
        <w:tabs>
          <w:tab w:val="clear" w:pos="0"/>
          <w:tab w:val="num" w:pos="720"/>
        </w:tabs>
        <w:suppressAutoHyphens/>
        <w:spacing w:before="120" w:after="120"/>
        <w:ind w:left="720" w:hanging="720"/>
        <w:jc w:val="both"/>
        <w:outlineLvl w:val="2"/>
        <w:rPr>
          <w:b/>
          <w:snapToGrid w:val="0"/>
          <w:u w:val="single"/>
        </w:rPr>
      </w:pPr>
      <w:r w:rsidRPr="006C636B">
        <w:rPr>
          <w:b/>
          <w:snapToGrid w:val="0"/>
          <w:u w:val="single"/>
        </w:rPr>
        <w:t>3. SPRZĘT</w:t>
      </w:r>
    </w:p>
    <w:p w:rsidR="006C636B" w:rsidRPr="009D7D00" w:rsidRDefault="009D7D00" w:rsidP="009D7D00">
      <w:pPr>
        <w:tabs>
          <w:tab w:val="left" w:pos="576"/>
          <w:tab w:val="left" w:pos="1008"/>
        </w:tabs>
        <w:spacing w:before="120" w:after="120"/>
        <w:jc w:val="both"/>
        <w:rPr>
          <w:b/>
        </w:rPr>
      </w:pPr>
      <w:r w:rsidRPr="009D7D00">
        <w:rPr>
          <w:b/>
        </w:rPr>
        <w:t>3.1. Ogólne wymagania dotyczące sprzętu</w:t>
      </w:r>
    </w:p>
    <w:p w:rsidR="009D7D00" w:rsidRPr="009D7D00" w:rsidRDefault="003855FC" w:rsidP="0097494B">
      <w:pPr>
        <w:numPr>
          <w:ilvl w:val="2"/>
          <w:numId w:val="26"/>
        </w:numPr>
        <w:tabs>
          <w:tab w:val="clear" w:pos="0"/>
          <w:tab w:val="num" w:pos="720"/>
        </w:tabs>
        <w:suppressAutoHyphens/>
        <w:spacing w:before="120" w:after="120"/>
        <w:ind w:left="720" w:hanging="720"/>
        <w:jc w:val="both"/>
        <w:outlineLvl w:val="2"/>
        <w:rPr>
          <w:b/>
          <w:snapToGrid w:val="0"/>
          <w:u w:val="single"/>
        </w:rPr>
      </w:pPr>
      <w:r>
        <w:t>Ogólne wymagania dotyczące sprzętu podano w ST D-M-00.00.00 „Wymagania ogólne”</w:t>
      </w:r>
    </w:p>
    <w:p w:rsidR="009D7D00" w:rsidRDefault="003855FC" w:rsidP="003855FC">
      <w:pPr>
        <w:tabs>
          <w:tab w:val="left" w:pos="576"/>
          <w:tab w:val="left" w:pos="1008"/>
        </w:tabs>
        <w:spacing w:before="120" w:after="120"/>
        <w:jc w:val="both"/>
        <w:rPr>
          <w:b/>
        </w:rPr>
      </w:pPr>
      <w:r w:rsidRPr="003855FC">
        <w:rPr>
          <w:b/>
        </w:rPr>
        <w:t>3.2. Sprzęt do wykonania robót</w:t>
      </w:r>
    </w:p>
    <w:p w:rsidR="009D7D00" w:rsidRPr="003855FC" w:rsidRDefault="003855FC" w:rsidP="003855FC">
      <w:pPr>
        <w:tabs>
          <w:tab w:val="left" w:pos="576"/>
          <w:tab w:val="left" w:pos="1008"/>
        </w:tabs>
        <w:spacing w:before="120" w:after="120"/>
        <w:jc w:val="both"/>
        <w:rPr>
          <w:b/>
        </w:rPr>
      </w:pPr>
      <w:r>
        <w:t>Sprzęt do wykonania robót powinien spełni</w:t>
      </w:r>
      <w:r w:rsidR="00CD36AA">
        <w:t>ać wymagania podane w ST M-13.00</w:t>
      </w:r>
      <w:r>
        <w:t>.00.</w:t>
      </w:r>
    </w:p>
    <w:p w:rsidR="006C636B" w:rsidRPr="006C636B" w:rsidRDefault="006C636B" w:rsidP="0097494B">
      <w:pPr>
        <w:numPr>
          <w:ilvl w:val="2"/>
          <w:numId w:val="26"/>
        </w:numPr>
        <w:tabs>
          <w:tab w:val="clear" w:pos="0"/>
          <w:tab w:val="num" w:pos="720"/>
        </w:tabs>
        <w:suppressAutoHyphens/>
        <w:spacing w:before="120" w:after="120"/>
        <w:ind w:left="720" w:hanging="720"/>
        <w:jc w:val="both"/>
        <w:outlineLvl w:val="2"/>
        <w:rPr>
          <w:b/>
          <w:snapToGrid w:val="0"/>
          <w:u w:val="single"/>
        </w:rPr>
      </w:pPr>
      <w:r w:rsidRPr="006C636B">
        <w:rPr>
          <w:b/>
          <w:snapToGrid w:val="0"/>
          <w:u w:val="single"/>
        </w:rPr>
        <w:t>4. TRANSPORT</w:t>
      </w:r>
    </w:p>
    <w:p w:rsidR="006C636B" w:rsidRPr="006C636B" w:rsidRDefault="00096BB0" w:rsidP="006C636B">
      <w:pPr>
        <w:jc w:val="both"/>
      </w:pPr>
      <w:r>
        <w:t xml:space="preserve">Wg </w:t>
      </w:r>
      <w:r w:rsidR="00CD36AA">
        <w:t>ST M.13.00</w:t>
      </w:r>
      <w:r w:rsidR="006C636B" w:rsidRPr="006C636B">
        <w:t>.00.</w:t>
      </w:r>
    </w:p>
    <w:p w:rsidR="006C636B" w:rsidRDefault="006C636B" w:rsidP="0097494B">
      <w:pPr>
        <w:numPr>
          <w:ilvl w:val="2"/>
          <w:numId w:val="26"/>
        </w:numPr>
        <w:tabs>
          <w:tab w:val="clear" w:pos="0"/>
          <w:tab w:val="num" w:pos="720"/>
        </w:tabs>
        <w:suppressAutoHyphens/>
        <w:spacing w:before="120" w:after="120"/>
        <w:ind w:left="720" w:hanging="720"/>
        <w:jc w:val="both"/>
        <w:outlineLvl w:val="2"/>
        <w:rPr>
          <w:b/>
          <w:snapToGrid w:val="0"/>
          <w:u w:val="single"/>
        </w:rPr>
      </w:pPr>
      <w:r w:rsidRPr="006C636B">
        <w:rPr>
          <w:b/>
          <w:snapToGrid w:val="0"/>
          <w:u w:val="single"/>
        </w:rPr>
        <w:t>5. WYKONANIE ROBÓT</w:t>
      </w:r>
    </w:p>
    <w:p w:rsidR="003855FC" w:rsidRPr="003855FC" w:rsidRDefault="003855FC" w:rsidP="003855FC">
      <w:pPr>
        <w:tabs>
          <w:tab w:val="left" w:pos="576"/>
          <w:tab w:val="left" w:pos="1008"/>
        </w:tabs>
        <w:spacing w:before="120" w:after="120"/>
        <w:jc w:val="both"/>
        <w:rPr>
          <w:b/>
        </w:rPr>
      </w:pPr>
      <w:r w:rsidRPr="003855FC">
        <w:rPr>
          <w:b/>
        </w:rPr>
        <w:t>5.1. Ogólne zasady wykonywania robót</w:t>
      </w:r>
    </w:p>
    <w:p w:rsidR="003855FC" w:rsidRDefault="003855FC" w:rsidP="003855FC">
      <w:pPr>
        <w:suppressAutoHyphens/>
        <w:spacing w:before="120" w:after="120"/>
        <w:jc w:val="both"/>
        <w:outlineLvl w:val="2"/>
        <w:rPr>
          <w:b/>
          <w:snapToGrid w:val="0"/>
          <w:u w:val="single"/>
        </w:rPr>
      </w:pPr>
      <w:r>
        <w:t>Ogólne zasady wy</w:t>
      </w:r>
      <w:r w:rsidR="00D64526">
        <w:t>konywania robót podano w ST</w:t>
      </w:r>
      <w:r>
        <w:t xml:space="preserve"> D-M-00.00.00 „Wymagania ogólne”</w:t>
      </w:r>
    </w:p>
    <w:p w:rsidR="003855FC" w:rsidRPr="003855FC" w:rsidRDefault="003855FC" w:rsidP="003855FC">
      <w:pPr>
        <w:tabs>
          <w:tab w:val="left" w:pos="576"/>
          <w:tab w:val="left" w:pos="1008"/>
        </w:tabs>
        <w:spacing w:before="120" w:after="120"/>
        <w:jc w:val="both"/>
        <w:rPr>
          <w:b/>
        </w:rPr>
      </w:pPr>
      <w:r w:rsidRPr="003855FC">
        <w:rPr>
          <w:b/>
        </w:rPr>
        <w:t>5.2. Zalecenia ogólne</w:t>
      </w:r>
    </w:p>
    <w:p w:rsidR="003855FC" w:rsidRDefault="003855FC" w:rsidP="003855FC">
      <w:pPr>
        <w:suppressAutoHyphens/>
        <w:spacing w:before="120" w:after="120"/>
        <w:ind w:firstLine="709"/>
        <w:jc w:val="both"/>
        <w:outlineLvl w:val="2"/>
        <w:rPr>
          <w:b/>
          <w:snapToGrid w:val="0"/>
          <w:u w:val="single"/>
        </w:rPr>
      </w:pPr>
      <w:r>
        <w:t>Sposób wykonania robót powinien być zgodny z dokumentacja projektową, ST i z wymaganiami normy PN-EN 206- 1:2003 oraz dokumentacją technologiczną dostarczoną przez Wykonawc</w:t>
      </w:r>
      <w:r w:rsidR="00E6484E">
        <w:t xml:space="preserve">ę i zatwierdzoną przez </w:t>
      </w:r>
      <w:r w:rsidR="00031F9F">
        <w:t xml:space="preserve">przedstawiciela </w:t>
      </w:r>
      <w:r w:rsidR="00E6484E">
        <w:t>Zamawiającego</w:t>
      </w:r>
      <w:r>
        <w:t>.</w:t>
      </w:r>
    </w:p>
    <w:p w:rsidR="003855FC" w:rsidRDefault="003855FC" w:rsidP="003855FC">
      <w:pPr>
        <w:suppressAutoHyphens/>
        <w:spacing w:before="120" w:after="120"/>
        <w:ind w:firstLine="709"/>
        <w:jc w:val="both"/>
        <w:outlineLvl w:val="2"/>
        <w:rPr>
          <w:b/>
          <w:snapToGrid w:val="0"/>
          <w:u w:val="single"/>
        </w:rPr>
      </w:pPr>
      <w:r>
        <w:t>Dokumentacja technologiczna dostarczona przez Wykonawcę powinna zawierać projekt organizacji i harmonogram robót uwzględniający wszystkie warunki, w jakich będą wykonywane roboty betoniarskie, ewentualne projekty wykonawcze deskowań, projekt technologiczny betonowania.</w:t>
      </w:r>
    </w:p>
    <w:p w:rsidR="003855FC" w:rsidRDefault="003855FC" w:rsidP="003855FC">
      <w:pPr>
        <w:suppressAutoHyphens/>
        <w:spacing w:before="120" w:after="120"/>
        <w:jc w:val="both"/>
        <w:outlineLvl w:val="2"/>
      </w:pPr>
      <w:r>
        <w:t>Projekt technologiczny betonowania powinien obejmować:</w:t>
      </w:r>
    </w:p>
    <w:p w:rsidR="003855FC" w:rsidRDefault="003855FC" w:rsidP="003855FC">
      <w:pPr>
        <w:suppressAutoHyphens/>
        <w:spacing w:before="120" w:after="120"/>
        <w:ind w:firstLine="709"/>
        <w:jc w:val="both"/>
        <w:outlineLvl w:val="2"/>
      </w:pPr>
      <w:r>
        <w:t>– wybór składników betonu,</w:t>
      </w:r>
    </w:p>
    <w:p w:rsidR="003855FC" w:rsidRDefault="003855FC" w:rsidP="003855FC">
      <w:pPr>
        <w:suppressAutoHyphens/>
        <w:spacing w:before="120" w:after="120"/>
        <w:ind w:firstLine="709"/>
        <w:jc w:val="both"/>
        <w:outlineLvl w:val="2"/>
      </w:pPr>
      <w:r>
        <w:t xml:space="preserve">– opracowanie receptur laboratoryjnych i roboczych, </w:t>
      </w:r>
    </w:p>
    <w:p w:rsidR="003855FC" w:rsidRDefault="003855FC" w:rsidP="003855FC">
      <w:pPr>
        <w:suppressAutoHyphens/>
        <w:spacing w:before="120" w:after="120"/>
        <w:ind w:firstLine="709"/>
        <w:jc w:val="both"/>
        <w:outlineLvl w:val="2"/>
      </w:pPr>
      <w:r>
        <w:t xml:space="preserve">– sposób wytwarzania mieszanki betonowej, </w:t>
      </w:r>
    </w:p>
    <w:p w:rsidR="003855FC" w:rsidRDefault="003855FC" w:rsidP="003855FC">
      <w:pPr>
        <w:suppressAutoHyphens/>
        <w:spacing w:before="120" w:after="120"/>
        <w:ind w:firstLine="709"/>
        <w:jc w:val="both"/>
        <w:outlineLvl w:val="2"/>
      </w:pPr>
      <w:r>
        <w:t xml:space="preserve">– sposób transportu mieszanki betonowej, </w:t>
      </w:r>
    </w:p>
    <w:p w:rsidR="003855FC" w:rsidRDefault="003855FC" w:rsidP="003855FC">
      <w:pPr>
        <w:suppressAutoHyphens/>
        <w:spacing w:before="120" w:after="120"/>
        <w:ind w:firstLine="709"/>
        <w:jc w:val="both"/>
        <w:outlineLvl w:val="2"/>
      </w:pPr>
      <w:r>
        <w:t xml:space="preserve">– kolejność i sposób betonowania, </w:t>
      </w:r>
    </w:p>
    <w:p w:rsidR="003855FC" w:rsidRDefault="003855FC" w:rsidP="003855FC">
      <w:pPr>
        <w:suppressAutoHyphens/>
        <w:spacing w:before="120" w:after="120"/>
        <w:ind w:firstLine="709"/>
        <w:jc w:val="both"/>
        <w:outlineLvl w:val="2"/>
      </w:pPr>
      <w:r>
        <w:t xml:space="preserve">– wskazanie przerw roboczych i sposobu łączenia betonu w przerwach, </w:t>
      </w:r>
    </w:p>
    <w:p w:rsidR="003855FC" w:rsidRDefault="003855FC" w:rsidP="003855FC">
      <w:pPr>
        <w:suppressAutoHyphens/>
        <w:spacing w:before="120" w:after="120"/>
        <w:ind w:firstLine="709"/>
        <w:jc w:val="both"/>
        <w:outlineLvl w:val="2"/>
      </w:pPr>
      <w:r>
        <w:t xml:space="preserve">– sposób pielęgnacji betonu, </w:t>
      </w:r>
    </w:p>
    <w:p w:rsidR="003855FC" w:rsidRDefault="003855FC" w:rsidP="003855FC">
      <w:pPr>
        <w:suppressAutoHyphens/>
        <w:spacing w:before="120" w:after="120"/>
        <w:ind w:firstLine="709"/>
        <w:jc w:val="both"/>
        <w:outlineLvl w:val="2"/>
      </w:pPr>
      <w:r>
        <w:t xml:space="preserve">– warunki rozformowania elementu konstrukcji, </w:t>
      </w:r>
    </w:p>
    <w:p w:rsidR="003855FC" w:rsidRPr="003855FC" w:rsidRDefault="003855FC" w:rsidP="003855FC">
      <w:pPr>
        <w:suppressAutoHyphens/>
        <w:spacing w:before="120" w:after="120"/>
        <w:ind w:firstLine="709"/>
        <w:jc w:val="both"/>
        <w:outlineLvl w:val="2"/>
      </w:pPr>
      <w:r>
        <w:t>– zestawienie koniecznych badań.</w:t>
      </w:r>
    </w:p>
    <w:p w:rsidR="003855FC" w:rsidRDefault="003855FC" w:rsidP="003855FC">
      <w:pPr>
        <w:suppressAutoHyphens/>
        <w:spacing w:before="120" w:after="120"/>
        <w:jc w:val="both"/>
        <w:outlineLvl w:val="2"/>
      </w:pPr>
      <w:r>
        <w:t>Podstawowe czynności przy wykonywaniu robót obejmują:</w:t>
      </w:r>
    </w:p>
    <w:p w:rsidR="003855FC" w:rsidRDefault="003855FC" w:rsidP="003855FC">
      <w:pPr>
        <w:suppressAutoHyphens/>
        <w:spacing w:before="120" w:after="120"/>
        <w:ind w:firstLine="709"/>
        <w:jc w:val="both"/>
        <w:outlineLvl w:val="2"/>
      </w:pPr>
      <w:r>
        <w:t xml:space="preserve">− roboty przygotowawcze (w tym wykonanie deskowań), </w:t>
      </w:r>
    </w:p>
    <w:p w:rsidR="003855FC" w:rsidRDefault="003855FC" w:rsidP="003855FC">
      <w:pPr>
        <w:suppressAutoHyphens/>
        <w:spacing w:before="120" w:after="120"/>
        <w:ind w:firstLine="709"/>
        <w:jc w:val="both"/>
        <w:outlineLvl w:val="2"/>
      </w:pPr>
      <w:r>
        <w:t xml:space="preserve">− wytworzenie mieszanki betonowej, </w:t>
      </w:r>
    </w:p>
    <w:p w:rsidR="003855FC" w:rsidRDefault="003855FC" w:rsidP="003855FC">
      <w:pPr>
        <w:suppressAutoHyphens/>
        <w:spacing w:before="120" w:after="120"/>
        <w:ind w:firstLine="709"/>
        <w:jc w:val="both"/>
        <w:outlineLvl w:val="2"/>
      </w:pPr>
      <w:r>
        <w:t xml:space="preserve">− podawanie, układanie i zagęszczanie mieszanki betonowej , </w:t>
      </w:r>
    </w:p>
    <w:p w:rsidR="003855FC" w:rsidRDefault="003855FC" w:rsidP="003855FC">
      <w:pPr>
        <w:suppressAutoHyphens/>
        <w:spacing w:before="120" w:after="120"/>
        <w:ind w:firstLine="709"/>
        <w:jc w:val="both"/>
        <w:outlineLvl w:val="2"/>
      </w:pPr>
      <w:r>
        <w:t xml:space="preserve">− pielęgnację betonu, </w:t>
      </w:r>
    </w:p>
    <w:p w:rsidR="003855FC" w:rsidRDefault="003855FC" w:rsidP="003855FC">
      <w:pPr>
        <w:suppressAutoHyphens/>
        <w:spacing w:before="120" w:after="120"/>
        <w:ind w:firstLine="709"/>
        <w:jc w:val="both"/>
        <w:outlineLvl w:val="2"/>
      </w:pPr>
      <w:r>
        <w:t xml:space="preserve">− rozbiórkę deskowań, </w:t>
      </w:r>
    </w:p>
    <w:p w:rsidR="003855FC" w:rsidRDefault="003855FC" w:rsidP="003855FC">
      <w:pPr>
        <w:suppressAutoHyphens/>
        <w:spacing w:before="120" w:after="120"/>
        <w:ind w:firstLine="709"/>
        <w:jc w:val="both"/>
        <w:outlineLvl w:val="2"/>
      </w:pPr>
      <w:r>
        <w:t xml:space="preserve">− wykańczanie powierzchni betonu, </w:t>
      </w:r>
    </w:p>
    <w:p w:rsidR="003855FC" w:rsidRPr="003855FC" w:rsidRDefault="003855FC" w:rsidP="003855FC">
      <w:pPr>
        <w:suppressAutoHyphens/>
        <w:spacing w:before="120" w:after="120"/>
        <w:ind w:firstLine="709"/>
        <w:jc w:val="both"/>
        <w:outlineLvl w:val="2"/>
      </w:pPr>
      <w:r>
        <w:t>− roboty wykończeniowe.</w:t>
      </w:r>
    </w:p>
    <w:p w:rsidR="003855FC" w:rsidRPr="003855FC" w:rsidRDefault="003855FC" w:rsidP="003855FC">
      <w:pPr>
        <w:tabs>
          <w:tab w:val="left" w:pos="576"/>
          <w:tab w:val="left" w:pos="1008"/>
        </w:tabs>
        <w:spacing w:before="120" w:after="120"/>
        <w:jc w:val="both"/>
        <w:rPr>
          <w:b/>
        </w:rPr>
      </w:pPr>
      <w:r w:rsidRPr="003855FC">
        <w:rPr>
          <w:b/>
        </w:rPr>
        <w:t>5.</w:t>
      </w:r>
      <w:r>
        <w:rPr>
          <w:b/>
        </w:rPr>
        <w:t>3. Roboty przygotowawcze</w:t>
      </w:r>
    </w:p>
    <w:p w:rsidR="003855FC" w:rsidRDefault="003855FC" w:rsidP="003855FC">
      <w:pPr>
        <w:suppressAutoHyphens/>
        <w:spacing w:before="120" w:after="120"/>
        <w:ind w:firstLine="709"/>
        <w:jc w:val="both"/>
        <w:outlineLvl w:val="2"/>
        <w:rPr>
          <w:b/>
          <w:snapToGrid w:val="0"/>
          <w:u w:val="single"/>
        </w:rPr>
      </w:pPr>
      <w:r>
        <w:t>Przed przystąpieniem do robót betoniarskich, powinna</w:t>
      </w:r>
      <w:r w:rsidR="00E6484E">
        <w:t xml:space="preserve"> być stwierdzona przez</w:t>
      </w:r>
      <w:r w:rsidR="00031F9F">
        <w:t>przedstawiciel</w:t>
      </w:r>
      <w:r w:rsidR="00E6484E">
        <w:t xml:space="preserve"> Zamawiającego</w:t>
      </w:r>
      <w:r>
        <w:t xml:space="preserve"> prawidłowość wykonania wszystkich robót poprzedzających betonowanie, a w szczególności:</w:t>
      </w:r>
    </w:p>
    <w:p w:rsidR="003855FC" w:rsidRDefault="003855FC" w:rsidP="003855FC">
      <w:pPr>
        <w:suppressAutoHyphens/>
        <w:spacing w:before="120" w:after="120"/>
        <w:ind w:firstLine="709"/>
        <w:jc w:val="both"/>
        <w:outlineLvl w:val="2"/>
      </w:pPr>
      <w:r>
        <w:t xml:space="preserve">- prawidłowość wykonania deskowań, </w:t>
      </w:r>
    </w:p>
    <w:p w:rsidR="003855FC" w:rsidRDefault="003855FC" w:rsidP="003855FC">
      <w:pPr>
        <w:suppressAutoHyphens/>
        <w:spacing w:before="120" w:after="120"/>
        <w:ind w:firstLine="709"/>
        <w:jc w:val="both"/>
        <w:outlineLvl w:val="2"/>
      </w:pPr>
      <w:r>
        <w:t xml:space="preserve">– prawidłowość wykonania zbrojenia, jeśli występuje, </w:t>
      </w:r>
    </w:p>
    <w:p w:rsidR="003855FC" w:rsidRDefault="003855FC" w:rsidP="003855FC">
      <w:pPr>
        <w:suppressAutoHyphens/>
        <w:spacing w:before="120" w:after="120"/>
        <w:ind w:firstLine="709"/>
        <w:jc w:val="both"/>
        <w:outlineLvl w:val="2"/>
      </w:pPr>
      <w:r>
        <w:t xml:space="preserve">– zgodność rzędnych z dokumentacja projektową, </w:t>
      </w:r>
    </w:p>
    <w:p w:rsidR="003855FC" w:rsidRDefault="003855FC" w:rsidP="003855FC">
      <w:pPr>
        <w:suppressAutoHyphens/>
        <w:spacing w:before="120" w:after="120"/>
        <w:ind w:firstLine="709"/>
        <w:jc w:val="both"/>
        <w:outlineLvl w:val="2"/>
      </w:pPr>
      <w:r>
        <w:t xml:space="preserve">– przygotowanie powierzchni betonu uprzednio ułożonego w miejscu przerwy roboczej, </w:t>
      </w:r>
    </w:p>
    <w:p w:rsidR="003855FC" w:rsidRDefault="003855FC" w:rsidP="003855FC">
      <w:pPr>
        <w:suppressAutoHyphens/>
        <w:spacing w:before="120" w:after="120"/>
        <w:ind w:firstLine="709"/>
        <w:jc w:val="both"/>
        <w:outlineLvl w:val="2"/>
      </w:pPr>
      <w:r>
        <w:t xml:space="preserve">– prawidłowość wykonania wszystkich robót zanikających, </w:t>
      </w:r>
    </w:p>
    <w:p w:rsidR="003855FC" w:rsidRDefault="003855FC" w:rsidP="003855FC">
      <w:pPr>
        <w:suppressAutoHyphens/>
        <w:spacing w:before="120" w:after="120"/>
        <w:ind w:firstLine="709"/>
        <w:jc w:val="both"/>
        <w:outlineLvl w:val="2"/>
      </w:pPr>
      <w:r>
        <w:t>– gotowość sprzętu i urządzeń do prowadzenia betonowania.</w:t>
      </w:r>
    </w:p>
    <w:p w:rsidR="003855FC" w:rsidRDefault="003855FC" w:rsidP="003855FC">
      <w:pPr>
        <w:suppressAutoHyphens/>
        <w:spacing w:before="120" w:after="120"/>
        <w:ind w:firstLine="709"/>
        <w:jc w:val="both"/>
        <w:outlineLvl w:val="2"/>
      </w:pPr>
      <w:r>
        <w:t>W uzasadnionych przypadkach Wykonawca dostarczy projekt techniczny deskowań wykonany w oparciu o rysunki zawarte w dokumentacji projektowej lub wg własnego opracowania. Ustalona konstrukcja deskowań powinna być sprawdzona na siły wywołane parciem świeżej masy betonowej i uderzenia przy jej wylewaniu z pojemników z uwzględnieniem szybkości betonowania i sposobu zagęszczenia.</w:t>
      </w:r>
    </w:p>
    <w:p w:rsidR="003855FC" w:rsidRDefault="003855FC" w:rsidP="003855FC">
      <w:pPr>
        <w:suppressAutoHyphens/>
        <w:spacing w:before="120" w:after="120"/>
        <w:jc w:val="both"/>
        <w:outlineLvl w:val="2"/>
      </w:pPr>
      <w:r>
        <w:t>Konstrukcja deskowania powinna spełniać następujące warunki:</w:t>
      </w:r>
    </w:p>
    <w:p w:rsidR="003855FC" w:rsidRDefault="003855FC" w:rsidP="003855FC">
      <w:pPr>
        <w:suppressAutoHyphens/>
        <w:spacing w:before="120" w:after="120"/>
        <w:ind w:firstLine="709"/>
        <w:jc w:val="both"/>
        <w:outlineLvl w:val="2"/>
      </w:pPr>
      <w:r>
        <w:t xml:space="preserve">– zapewniać odpowiednią sztywność i niezmienność kształtu konstrukcji, </w:t>
      </w:r>
    </w:p>
    <w:p w:rsidR="003855FC" w:rsidRDefault="003855FC" w:rsidP="003855FC">
      <w:pPr>
        <w:suppressAutoHyphens/>
        <w:spacing w:before="120" w:after="120"/>
        <w:ind w:left="709"/>
        <w:jc w:val="both"/>
        <w:outlineLvl w:val="2"/>
      </w:pPr>
      <w:r>
        <w:t xml:space="preserve">– zapewniać wykończenie powierzchni betonu, zgodnie z wymaganiami dokumentacji projektowej (w przypadku elementów widocznych), </w:t>
      </w:r>
    </w:p>
    <w:p w:rsidR="003855FC" w:rsidRDefault="003855FC" w:rsidP="003855FC">
      <w:pPr>
        <w:suppressAutoHyphens/>
        <w:spacing w:before="120" w:after="120"/>
        <w:ind w:firstLine="709"/>
        <w:jc w:val="both"/>
        <w:outlineLvl w:val="2"/>
      </w:pPr>
      <w:r>
        <w:t xml:space="preserve">– zapewniać odpowiednią szczelność, </w:t>
      </w:r>
    </w:p>
    <w:p w:rsidR="003855FC" w:rsidRDefault="003855FC" w:rsidP="003855FC">
      <w:pPr>
        <w:suppressAutoHyphens/>
        <w:spacing w:before="120" w:after="120"/>
        <w:ind w:firstLine="709"/>
        <w:jc w:val="both"/>
        <w:outlineLvl w:val="2"/>
      </w:pPr>
      <w:r>
        <w:t xml:space="preserve">– wykazywać odporność na deformację pod wpływem warunków atmosferycznych, </w:t>
      </w:r>
    </w:p>
    <w:p w:rsidR="003855FC" w:rsidRDefault="003855FC" w:rsidP="003855FC">
      <w:pPr>
        <w:suppressAutoHyphens/>
        <w:spacing w:before="120" w:after="120"/>
        <w:ind w:left="709"/>
        <w:jc w:val="both"/>
        <w:outlineLvl w:val="2"/>
      </w:pPr>
      <w:r>
        <w:t>– powierzchnie deskowań stykające się z betonem powinny być pokryte warstwą specjalnego oleju do form,</w:t>
      </w:r>
      <w:r w:rsidR="00E6484E">
        <w:t xml:space="preserve"> zaakceptowanego przez</w:t>
      </w:r>
      <w:r w:rsidR="00031F9F">
        <w:t>przedstawiciela</w:t>
      </w:r>
      <w:r w:rsidR="00E6484E">
        <w:t xml:space="preserve"> Zamawiającego</w:t>
      </w:r>
      <w:r>
        <w:t>.</w:t>
      </w:r>
    </w:p>
    <w:p w:rsidR="003855FC" w:rsidRDefault="003855FC" w:rsidP="003855FC">
      <w:pPr>
        <w:suppressAutoHyphens/>
        <w:spacing w:before="120" w:after="120"/>
        <w:jc w:val="both"/>
        <w:outlineLvl w:val="2"/>
      </w:pPr>
      <w:r>
        <w:t>Deskowania powinny zapewniać wykonanie elementów betonowych z dokładnością ± 1 cm.</w:t>
      </w:r>
    </w:p>
    <w:p w:rsidR="003855FC" w:rsidRDefault="003855FC" w:rsidP="003855FC">
      <w:pPr>
        <w:suppressAutoHyphens/>
        <w:spacing w:before="120" w:after="120"/>
        <w:jc w:val="both"/>
        <w:outlineLvl w:val="2"/>
      </w:pPr>
    </w:p>
    <w:p w:rsidR="003855FC" w:rsidRPr="003855FC" w:rsidRDefault="003855FC" w:rsidP="003855FC">
      <w:pPr>
        <w:tabs>
          <w:tab w:val="left" w:pos="576"/>
          <w:tab w:val="left" w:pos="1008"/>
        </w:tabs>
        <w:spacing w:before="120" w:after="120"/>
        <w:jc w:val="both"/>
        <w:rPr>
          <w:b/>
        </w:rPr>
      </w:pPr>
      <w:r w:rsidRPr="003855FC">
        <w:rPr>
          <w:b/>
        </w:rPr>
        <w:t>5.4. Wytwarzanie mieszanki betonowej</w:t>
      </w:r>
    </w:p>
    <w:p w:rsidR="003855FC" w:rsidRDefault="00D64526" w:rsidP="00D64526">
      <w:pPr>
        <w:suppressAutoHyphens/>
        <w:spacing w:before="120" w:after="120"/>
        <w:ind w:firstLine="709"/>
        <w:jc w:val="both"/>
        <w:outlineLvl w:val="2"/>
        <w:rPr>
          <w:b/>
          <w:snapToGrid w:val="0"/>
          <w:u w:val="single"/>
        </w:rPr>
      </w:pPr>
      <w:r>
        <w:t>Wytwarzanie mieszanki betonowej powinno się odbywać zgodnie</w:t>
      </w:r>
      <w:r w:rsidR="00CD36AA">
        <w:t xml:space="preserve"> z zasadami podanymi w ST M-13.00</w:t>
      </w:r>
      <w:r>
        <w:t>.00</w:t>
      </w:r>
    </w:p>
    <w:p w:rsidR="003855FC" w:rsidRPr="00D64526" w:rsidRDefault="00D64526" w:rsidP="00D64526">
      <w:pPr>
        <w:tabs>
          <w:tab w:val="left" w:pos="576"/>
          <w:tab w:val="left" w:pos="1008"/>
        </w:tabs>
        <w:spacing w:before="120" w:after="120"/>
        <w:jc w:val="both"/>
        <w:rPr>
          <w:b/>
        </w:rPr>
      </w:pPr>
      <w:r w:rsidRPr="00D64526">
        <w:rPr>
          <w:b/>
        </w:rPr>
        <w:t>5.5. Podawanie</w:t>
      </w:r>
      <w:r>
        <w:rPr>
          <w:b/>
        </w:rPr>
        <w:t xml:space="preserve"> i układanie</w:t>
      </w:r>
      <w:r w:rsidRPr="00D64526">
        <w:rPr>
          <w:b/>
        </w:rPr>
        <w:t xml:space="preserve"> mieszanki beonowej</w:t>
      </w:r>
    </w:p>
    <w:p w:rsidR="003855FC" w:rsidRDefault="00D64526" w:rsidP="00D64526">
      <w:pPr>
        <w:suppressAutoHyphens/>
        <w:spacing w:before="120" w:after="120"/>
        <w:ind w:firstLine="709"/>
        <w:jc w:val="both"/>
        <w:outlineLvl w:val="2"/>
      </w:pPr>
      <w:r>
        <w:t>Zasady podawania i układania mieszanki betonowej, w tym roboty przygotowawcze, układanie i zagęszczanie, dostosowanie do warunków atmosferycznych w trakcie betonowania oraz pielęgnacja betonu</w:t>
      </w:r>
      <w:r w:rsidR="00CD36AA">
        <w:t xml:space="preserve"> powinny być zgodne z ST M-13.00</w:t>
      </w:r>
      <w:r>
        <w:t xml:space="preserve">.00. </w:t>
      </w:r>
    </w:p>
    <w:p w:rsidR="00D64526" w:rsidRPr="00D64526" w:rsidRDefault="00D64526" w:rsidP="00D64526">
      <w:pPr>
        <w:tabs>
          <w:tab w:val="left" w:pos="576"/>
          <w:tab w:val="left" w:pos="1008"/>
        </w:tabs>
        <w:spacing w:before="120" w:after="120"/>
        <w:jc w:val="both"/>
        <w:rPr>
          <w:b/>
        </w:rPr>
      </w:pPr>
      <w:r w:rsidRPr="00D64526">
        <w:rPr>
          <w:b/>
        </w:rPr>
        <w:t>5.6. Rozbiórka deskowań</w:t>
      </w:r>
    </w:p>
    <w:p w:rsidR="00D64526" w:rsidRDefault="00D64526" w:rsidP="00D64526">
      <w:pPr>
        <w:suppressAutoHyphens/>
        <w:spacing w:before="120" w:after="120"/>
        <w:ind w:firstLine="709"/>
        <w:jc w:val="both"/>
        <w:outlineLvl w:val="2"/>
      </w:pPr>
      <w:r>
        <w:t>Rozformowanie konstrukcji może nastąpić po osiągnięciu przez beton pełnej wytrzymałości projektowej i po okresie dojrzewania określonym w ST i dokumentacji projektowej.</w:t>
      </w:r>
    </w:p>
    <w:p w:rsidR="00D64526" w:rsidRPr="00D64526" w:rsidRDefault="00D64526" w:rsidP="00D64526">
      <w:pPr>
        <w:tabs>
          <w:tab w:val="left" w:pos="576"/>
          <w:tab w:val="left" w:pos="1008"/>
        </w:tabs>
        <w:spacing w:before="120" w:after="120"/>
        <w:jc w:val="both"/>
        <w:rPr>
          <w:b/>
        </w:rPr>
      </w:pPr>
      <w:r w:rsidRPr="00D64526">
        <w:rPr>
          <w:b/>
        </w:rPr>
        <w:t>5.7. Wykańczanie powierzchni betonu</w:t>
      </w:r>
    </w:p>
    <w:p w:rsidR="00D64526" w:rsidRDefault="00D64526" w:rsidP="00D64526">
      <w:pPr>
        <w:suppressAutoHyphens/>
        <w:spacing w:before="120" w:after="120"/>
        <w:ind w:firstLine="709"/>
        <w:jc w:val="both"/>
        <w:outlineLvl w:val="2"/>
      </w:pPr>
      <w:r>
        <w:t>Powierzchnie betonu w elementach niekonstrukcyjnych powinny być odpowiednio wykańczane wtedy, jeżeli dokumentacja projektowa lub ST stawiają takie warunki. W takich przypadkach, powierzchnie nale</w:t>
      </w:r>
      <w:r w:rsidR="00CD36AA">
        <w:t>ży wykańczać zgodnie z ST M13.00</w:t>
      </w:r>
      <w:r>
        <w:t>.00</w:t>
      </w:r>
    </w:p>
    <w:p w:rsidR="00D64526" w:rsidRPr="00D64526" w:rsidRDefault="00D64526" w:rsidP="00D64526">
      <w:pPr>
        <w:tabs>
          <w:tab w:val="left" w:pos="576"/>
          <w:tab w:val="left" w:pos="1008"/>
        </w:tabs>
        <w:spacing w:before="120" w:after="120"/>
        <w:jc w:val="both"/>
        <w:rPr>
          <w:b/>
        </w:rPr>
      </w:pPr>
      <w:r>
        <w:rPr>
          <w:b/>
        </w:rPr>
        <w:t>5.8</w:t>
      </w:r>
      <w:r w:rsidRPr="00D64526">
        <w:rPr>
          <w:b/>
        </w:rPr>
        <w:t>. Wykańczanie powierzchni betonu</w:t>
      </w:r>
    </w:p>
    <w:p w:rsidR="00D64526" w:rsidRDefault="00D64526" w:rsidP="00D64526">
      <w:pPr>
        <w:suppressAutoHyphens/>
        <w:spacing w:before="120" w:after="120"/>
        <w:ind w:firstLine="709"/>
        <w:jc w:val="both"/>
        <w:outlineLvl w:val="2"/>
      </w:pPr>
      <w:r>
        <w:t>Roboty wykończeniowe powinny być zgodne z dokumentacją projektową i ST. Do robót wykończeniowych należą prace związane z dostosowaniem wykonanych robót do istniejących warunków terenowych, takie jak:</w:t>
      </w:r>
    </w:p>
    <w:p w:rsidR="00D64526" w:rsidRDefault="00D64526" w:rsidP="00D64526">
      <w:pPr>
        <w:suppressAutoHyphens/>
        <w:spacing w:before="120" w:after="120"/>
        <w:ind w:firstLine="709"/>
        <w:jc w:val="both"/>
        <w:outlineLvl w:val="2"/>
      </w:pPr>
      <w:r>
        <w:t>– odtworzenie elementów czasowo usuniętych,</w:t>
      </w:r>
    </w:p>
    <w:p w:rsidR="003855FC" w:rsidRDefault="00D64526" w:rsidP="00D64526">
      <w:pPr>
        <w:suppressAutoHyphens/>
        <w:spacing w:before="120" w:after="120"/>
        <w:ind w:firstLine="709"/>
        <w:jc w:val="both"/>
        <w:outlineLvl w:val="2"/>
        <w:rPr>
          <w:b/>
          <w:snapToGrid w:val="0"/>
          <w:u w:val="single"/>
        </w:rPr>
      </w:pPr>
      <w:r>
        <w:t>– roboty porządkujące otoczenie terenu robót.</w:t>
      </w:r>
    </w:p>
    <w:p w:rsidR="00D64526" w:rsidRPr="006C636B" w:rsidRDefault="00D64526" w:rsidP="00D64526">
      <w:pPr>
        <w:suppressAutoHyphens/>
        <w:spacing w:before="120" w:after="120"/>
        <w:ind w:firstLine="709"/>
        <w:jc w:val="both"/>
        <w:outlineLvl w:val="2"/>
        <w:rPr>
          <w:b/>
          <w:snapToGrid w:val="0"/>
          <w:u w:val="single"/>
        </w:rPr>
      </w:pPr>
    </w:p>
    <w:p w:rsidR="006C636B" w:rsidRPr="006C636B" w:rsidRDefault="006C636B" w:rsidP="0097494B">
      <w:pPr>
        <w:numPr>
          <w:ilvl w:val="2"/>
          <w:numId w:val="26"/>
        </w:numPr>
        <w:tabs>
          <w:tab w:val="clear" w:pos="0"/>
          <w:tab w:val="num" w:pos="720"/>
        </w:tabs>
        <w:suppressAutoHyphens/>
        <w:spacing w:before="120" w:after="120"/>
        <w:ind w:left="720" w:hanging="720"/>
        <w:jc w:val="both"/>
        <w:outlineLvl w:val="2"/>
        <w:rPr>
          <w:b/>
          <w:snapToGrid w:val="0"/>
          <w:u w:val="single"/>
        </w:rPr>
      </w:pPr>
      <w:r w:rsidRPr="006C636B">
        <w:rPr>
          <w:b/>
          <w:snapToGrid w:val="0"/>
          <w:u w:val="single"/>
        </w:rPr>
        <w:t>6. KONTROLA JAKOŚCI ROBÓT</w:t>
      </w:r>
    </w:p>
    <w:p w:rsidR="00D64526" w:rsidRDefault="00D64526" w:rsidP="00D64526">
      <w:pPr>
        <w:tabs>
          <w:tab w:val="left" w:pos="576"/>
          <w:tab w:val="left" w:pos="1008"/>
        </w:tabs>
        <w:spacing w:before="120" w:after="120"/>
        <w:jc w:val="both"/>
      </w:pPr>
      <w:r w:rsidRPr="00D64526">
        <w:rPr>
          <w:b/>
        </w:rPr>
        <w:t>6.1. Ogólne zasady kontroli jakości robót</w:t>
      </w:r>
    </w:p>
    <w:p w:rsidR="00D64526" w:rsidRDefault="00D64526" w:rsidP="006C636B">
      <w:pPr>
        <w:jc w:val="both"/>
      </w:pPr>
      <w:r>
        <w:t>Ogólne zasady kontroli jakości robót podano w ST D-M-00.00.00  „Wymagania ogólne”.</w:t>
      </w:r>
    </w:p>
    <w:p w:rsidR="00D64526" w:rsidRDefault="00D64526" w:rsidP="006C636B">
      <w:pPr>
        <w:jc w:val="both"/>
      </w:pPr>
    </w:p>
    <w:p w:rsidR="00D64526" w:rsidRPr="00D64526" w:rsidRDefault="00D64526" w:rsidP="00D64526">
      <w:pPr>
        <w:tabs>
          <w:tab w:val="left" w:pos="576"/>
          <w:tab w:val="left" w:pos="1008"/>
        </w:tabs>
        <w:spacing w:before="120" w:after="120"/>
        <w:jc w:val="both"/>
        <w:rPr>
          <w:b/>
        </w:rPr>
      </w:pPr>
      <w:r w:rsidRPr="00D64526">
        <w:rPr>
          <w:b/>
        </w:rPr>
        <w:t>6.2. Badania przed przystąpieniem do robót</w:t>
      </w:r>
    </w:p>
    <w:p w:rsidR="00D64526" w:rsidRDefault="00D64526" w:rsidP="006C636B">
      <w:pPr>
        <w:jc w:val="both"/>
      </w:pPr>
      <w:r>
        <w:t>Przed przystąpieniem do robót Wykonawca powinien:</w:t>
      </w:r>
    </w:p>
    <w:p w:rsidR="00D64526" w:rsidRDefault="00D64526" w:rsidP="00D64526">
      <w:pPr>
        <w:suppressAutoHyphens/>
        <w:spacing w:before="120" w:after="120"/>
        <w:ind w:left="709"/>
        <w:jc w:val="both"/>
        <w:outlineLvl w:val="2"/>
      </w:pPr>
      <w:r>
        <w:t>a) uzyskać wymagane dokumenty, dopuszczające wyroby budowlane do obrotu i powszechnego stosowania (certyfikaty zgodności, deklaracje zgodności, aprobaty techniczne</w:t>
      </w:r>
      <w:r w:rsidR="000A6998">
        <w:t xml:space="preserve"> lub krajowa ocena techniczna</w:t>
      </w:r>
      <w:r>
        <w:t>, ew. badania materiałów wykonane przez dostawców itp.) i na ich podstawie sprawdzić właściwości zastosowanych materiałów na zgodność z wymaganiami podanymi w ST,</w:t>
      </w:r>
    </w:p>
    <w:p w:rsidR="00D64526" w:rsidRDefault="00D64526" w:rsidP="00D64526">
      <w:pPr>
        <w:suppressAutoHyphens/>
        <w:spacing w:before="120" w:after="120"/>
        <w:ind w:left="709"/>
        <w:jc w:val="both"/>
        <w:outlineLvl w:val="2"/>
      </w:pPr>
      <w:r>
        <w:t>b) wykonać własne badania właściwości materiałów przeznaczonych do wykonania robót, okreś</w:t>
      </w:r>
      <w:r w:rsidR="00E6484E">
        <w:t>lone w pkt 2 lub przez</w:t>
      </w:r>
      <w:r w:rsidR="00031F9F">
        <w:t>przedstawiciela</w:t>
      </w:r>
      <w:r w:rsidR="00E6484E">
        <w:t xml:space="preserve"> Zamawiającego</w:t>
      </w:r>
      <w:r>
        <w:t>.</w:t>
      </w:r>
    </w:p>
    <w:p w:rsidR="00D64526" w:rsidRDefault="00D64526" w:rsidP="00D64526">
      <w:pPr>
        <w:ind w:firstLine="709"/>
        <w:jc w:val="both"/>
      </w:pPr>
      <w:r>
        <w:t xml:space="preserve">Wszystkie dokumenty oraz wyniki badań </w:t>
      </w:r>
      <w:r w:rsidR="00E6484E">
        <w:t>Wykonawca przedstawia</w:t>
      </w:r>
      <w:r w:rsidR="003D1914">
        <w:t>przedstawicielowi Zamawiającego</w:t>
      </w:r>
      <w:r>
        <w:t xml:space="preserve"> do akceptacji.</w:t>
      </w:r>
    </w:p>
    <w:p w:rsidR="00D64526" w:rsidRDefault="00D64526" w:rsidP="00D64526">
      <w:pPr>
        <w:ind w:firstLine="709"/>
        <w:jc w:val="both"/>
      </w:pPr>
    </w:p>
    <w:p w:rsidR="00D64526" w:rsidRPr="00D64526" w:rsidRDefault="00D64526" w:rsidP="00D64526">
      <w:pPr>
        <w:tabs>
          <w:tab w:val="left" w:pos="576"/>
          <w:tab w:val="left" w:pos="1008"/>
        </w:tabs>
        <w:spacing w:before="120" w:after="120"/>
        <w:jc w:val="both"/>
        <w:rPr>
          <w:b/>
        </w:rPr>
      </w:pPr>
      <w:r w:rsidRPr="00D64526">
        <w:rPr>
          <w:b/>
        </w:rPr>
        <w:t>6.3. Badania składników mieszanki betonowej</w:t>
      </w:r>
    </w:p>
    <w:p w:rsidR="00D64526" w:rsidRDefault="00D64526" w:rsidP="00D64526">
      <w:pPr>
        <w:ind w:firstLine="709"/>
        <w:jc w:val="both"/>
      </w:pPr>
      <w:r>
        <w:t>Bezpośrednio przed użyciem cementu do wykonania mieszanki betonowej należy przeprowadzić kontrolę obejmującą:</w:t>
      </w:r>
    </w:p>
    <w:p w:rsidR="00D64526" w:rsidRDefault="00D64526" w:rsidP="006C636B">
      <w:pPr>
        <w:jc w:val="both"/>
      </w:pPr>
      <w:r>
        <w:t>– oznaczenie czasu wiązania wg PN-EN 196-3:2005,</w:t>
      </w:r>
    </w:p>
    <w:p w:rsidR="00D64526" w:rsidRDefault="00D64526" w:rsidP="006C636B">
      <w:pPr>
        <w:jc w:val="both"/>
      </w:pPr>
      <w:r>
        <w:t>– oznaczenie zmiany objętości wg PN-EN 196-3:2005,</w:t>
      </w:r>
    </w:p>
    <w:p w:rsidR="00D64526" w:rsidRDefault="00D64526" w:rsidP="006C636B">
      <w:pPr>
        <w:jc w:val="both"/>
      </w:pPr>
      <w:r>
        <w:t>– obecności grudek gliny.</w:t>
      </w:r>
    </w:p>
    <w:p w:rsidR="00D64526" w:rsidRDefault="00D64526" w:rsidP="006C636B">
      <w:pPr>
        <w:jc w:val="both"/>
      </w:pPr>
    </w:p>
    <w:p w:rsidR="00D64526" w:rsidRDefault="00D64526" w:rsidP="006C636B">
      <w:pPr>
        <w:jc w:val="both"/>
      </w:pPr>
      <w:r>
        <w:t>Wyniki badań powinny odpowiadać wymaganiom podanym w tablicy 4.</w:t>
      </w:r>
    </w:p>
    <w:p w:rsidR="00D64526" w:rsidRDefault="00D64526" w:rsidP="006C636B">
      <w:pPr>
        <w:jc w:val="both"/>
      </w:pPr>
    </w:p>
    <w:p w:rsidR="00D64526" w:rsidRDefault="00D64526" w:rsidP="00D64526">
      <w:pPr>
        <w:jc w:val="center"/>
      </w:pPr>
      <w:r>
        <w:t>Tablica 4. Wymagania dla cementu</w:t>
      </w:r>
    </w:p>
    <w:p w:rsidR="00D64526" w:rsidRDefault="00D64526" w:rsidP="00D64526">
      <w:pPr>
        <w:jc w:val="center"/>
      </w:pPr>
      <w:r>
        <w:rPr>
          <w:noProof/>
        </w:rPr>
        <w:drawing>
          <wp:inline distT="0" distB="0" distL="0" distR="0">
            <wp:extent cx="4427220" cy="796925"/>
            <wp:effectExtent l="0" t="0" r="0" b="3175"/>
            <wp:docPr id="46" name="Obraz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427220" cy="796925"/>
                    </a:xfrm>
                    <a:prstGeom prst="rect">
                      <a:avLst/>
                    </a:prstGeom>
                    <a:noFill/>
                    <a:ln>
                      <a:noFill/>
                    </a:ln>
                  </pic:spPr>
                </pic:pic>
              </a:graphicData>
            </a:graphic>
          </wp:inline>
        </w:drawing>
      </w:r>
    </w:p>
    <w:p w:rsidR="00D64526" w:rsidRDefault="00D64526" w:rsidP="006C636B">
      <w:pPr>
        <w:jc w:val="both"/>
      </w:pPr>
    </w:p>
    <w:p w:rsidR="00D64526" w:rsidRDefault="00D64526" w:rsidP="006C636B">
      <w:pPr>
        <w:jc w:val="both"/>
      </w:pPr>
      <w:r>
        <w:t>Nie dopuszcza się obecności grudek gliny</w:t>
      </w:r>
    </w:p>
    <w:p w:rsidR="00D64526" w:rsidRDefault="00D64526" w:rsidP="006C636B">
      <w:pPr>
        <w:jc w:val="both"/>
      </w:pPr>
      <w:r>
        <w:t>W przypadku gdy:</w:t>
      </w:r>
    </w:p>
    <w:p w:rsidR="00732FFC" w:rsidRDefault="00D64526" w:rsidP="00732FFC">
      <w:pPr>
        <w:ind w:firstLine="709"/>
        <w:jc w:val="both"/>
      </w:pPr>
      <w:r>
        <w:t>− czas wiązania lub zmiany objętości nie odpowiadają PN-EN 196-3:2005,</w:t>
      </w:r>
    </w:p>
    <w:p w:rsidR="00D64526" w:rsidRDefault="00D64526" w:rsidP="00732FFC">
      <w:pPr>
        <w:ind w:firstLine="709"/>
        <w:jc w:val="both"/>
      </w:pPr>
      <w:r>
        <w:t>− cement przechowywany jest niezgodnie z postanowieniami PN-EN 197-1:2002,</w:t>
      </w:r>
    </w:p>
    <w:p w:rsidR="00D64526" w:rsidRDefault="00732FFC" w:rsidP="00732FFC">
      <w:pPr>
        <w:ind w:firstLine="709"/>
        <w:jc w:val="both"/>
      </w:pPr>
      <w:r>
        <w:t>− okres przechowywania cementu jest dłuższy niż podano w PN-EN 197-1:2002,</w:t>
      </w:r>
    </w:p>
    <w:p w:rsidR="00D64526" w:rsidRDefault="00732FFC" w:rsidP="006C636B">
      <w:pPr>
        <w:jc w:val="both"/>
      </w:pPr>
      <w:r>
        <w:t>obowiązuje oznaczenie wytrzymałości cementu na ściskanie wg PN-EN 196-1:2005</w:t>
      </w:r>
    </w:p>
    <w:p w:rsidR="00732FFC" w:rsidRDefault="00732FFC" w:rsidP="006C636B">
      <w:pPr>
        <w:jc w:val="both"/>
      </w:pPr>
      <w:r>
        <w:t>Przed użyciem kruszywa do wykonania mieszanki betonowej, dla każdej dostarczonej partii, należy przeprowadzić kontrolę obejmującą:</w:t>
      </w:r>
    </w:p>
    <w:p w:rsidR="00732FFC" w:rsidRDefault="00732FFC" w:rsidP="00732FFC">
      <w:pPr>
        <w:ind w:firstLine="709"/>
        <w:jc w:val="both"/>
      </w:pPr>
      <w:r>
        <w:t>− oznaczenie składu ziarnowego wg PN-EN 933-1:2000/A1:2006 ,</w:t>
      </w:r>
    </w:p>
    <w:p w:rsidR="00732FFC" w:rsidRDefault="00732FFC" w:rsidP="00732FFC">
      <w:pPr>
        <w:ind w:firstLine="709"/>
        <w:jc w:val="both"/>
      </w:pPr>
      <w:r>
        <w:t>− oznaczenie kształtu ziarn wg PN-EN 933-4:2001(dotyczy kruszywa grubego),</w:t>
      </w:r>
    </w:p>
    <w:p w:rsidR="00732FFC" w:rsidRDefault="00732FFC" w:rsidP="00732FFC">
      <w:pPr>
        <w:ind w:firstLine="709"/>
        <w:jc w:val="both"/>
      </w:pPr>
      <w:r>
        <w:t>− oznaczenie zawartości zanieczyszczeń obcych,</w:t>
      </w:r>
    </w:p>
    <w:p w:rsidR="00732FFC" w:rsidRDefault="00732FFC" w:rsidP="00732FFC">
      <w:pPr>
        <w:ind w:firstLine="709"/>
        <w:jc w:val="both"/>
      </w:pPr>
      <w:r>
        <w:t>− oznaczenie zawartości grudek gliny (oznaczać jak zawartość zanieczyszczeń obcych),</w:t>
      </w:r>
    </w:p>
    <w:p w:rsidR="00732FFC" w:rsidRDefault="00732FFC" w:rsidP="00732FFC">
      <w:pPr>
        <w:ind w:firstLine="709"/>
        <w:jc w:val="both"/>
      </w:pPr>
      <w:r>
        <w:t>− oznaczenie zawartości pyłów mineralnych</w:t>
      </w:r>
    </w:p>
    <w:p w:rsidR="00732FFC" w:rsidRDefault="00732FFC" w:rsidP="00732FFC">
      <w:pPr>
        <w:ind w:firstLine="709"/>
        <w:jc w:val="both"/>
      </w:pPr>
      <w:r>
        <w:t>Wyniki badań powinny być zgodne z wymaganiami podanymi w PN-EN 12620:2004 dla żwiru marki 20. Przed użyciem wody do wykonania mieszanki betonowej oraz w przypadku stwierdzenia zanieczyszczeń należy przeprowadzić badania zgodnie z PN-EN 1008:2004.</w:t>
      </w:r>
    </w:p>
    <w:p w:rsidR="00732FFC" w:rsidRDefault="00732FFC" w:rsidP="006C636B">
      <w:pPr>
        <w:jc w:val="both"/>
      </w:pPr>
    </w:p>
    <w:p w:rsidR="00732FFC" w:rsidRDefault="00732FFC" w:rsidP="006C636B">
      <w:pPr>
        <w:jc w:val="both"/>
      </w:pPr>
      <w:r>
        <w:t>Dodatki i domieszki do betonu należy badać zgodnie z ich aprobatą techniczną</w:t>
      </w:r>
      <w:r w:rsidR="000A6998">
        <w:t xml:space="preserve"> lub krajowa ocena techniczną</w:t>
      </w:r>
      <w:r>
        <w:t xml:space="preserve"> wydaną przez IBDiM. Wszystkie dokumenty oraz wyniki badań </w:t>
      </w:r>
      <w:r w:rsidR="00E6484E">
        <w:t xml:space="preserve">Wykonawca przedstawi </w:t>
      </w:r>
      <w:r w:rsidR="003D1914">
        <w:t>przedstawicielowi Zamawiającego</w:t>
      </w:r>
      <w:r>
        <w:t xml:space="preserve"> do akceptacji.</w:t>
      </w:r>
    </w:p>
    <w:p w:rsidR="00732FFC" w:rsidRDefault="00732FFC" w:rsidP="00732FFC">
      <w:pPr>
        <w:tabs>
          <w:tab w:val="left" w:pos="576"/>
          <w:tab w:val="left" w:pos="1008"/>
        </w:tabs>
        <w:spacing w:before="120" w:after="120"/>
        <w:jc w:val="both"/>
      </w:pPr>
      <w:r w:rsidRPr="00732FFC">
        <w:rPr>
          <w:b/>
        </w:rPr>
        <w:t>6.4. Kontrola jakości mieszanki betonowej i betonu</w:t>
      </w:r>
    </w:p>
    <w:p w:rsidR="00732FFC" w:rsidRDefault="00732FFC" w:rsidP="006C636B">
      <w:pPr>
        <w:jc w:val="both"/>
      </w:pPr>
      <w:r>
        <w:t>Kontroli podlegają następujące właściwości mieszanki betonowej:</w:t>
      </w:r>
    </w:p>
    <w:p w:rsidR="00732FFC" w:rsidRDefault="00732FFC" w:rsidP="00732FFC">
      <w:pPr>
        <w:ind w:firstLine="709"/>
        <w:jc w:val="both"/>
      </w:pPr>
      <w:r>
        <w:t xml:space="preserve">− konsystencja mieszanki betonowej, </w:t>
      </w:r>
    </w:p>
    <w:p w:rsidR="00732FFC" w:rsidRDefault="00732FFC" w:rsidP="00732FFC">
      <w:pPr>
        <w:ind w:firstLine="709"/>
        <w:jc w:val="both"/>
      </w:pPr>
      <w:r>
        <w:t>− zawartość powietrza w mieszance betonowej,</w:t>
      </w:r>
    </w:p>
    <w:p w:rsidR="00732FFC" w:rsidRDefault="00732FFC" w:rsidP="006C636B">
      <w:pPr>
        <w:jc w:val="both"/>
      </w:pPr>
      <w:r>
        <w:t>oraz betonu:</w:t>
      </w:r>
    </w:p>
    <w:p w:rsidR="00732FFC" w:rsidRDefault="00732FFC" w:rsidP="00732FFC">
      <w:pPr>
        <w:ind w:firstLine="709"/>
        <w:jc w:val="both"/>
      </w:pPr>
      <w:r>
        <w:t xml:space="preserve">− wytrzymałość betonu na ściskanie, </w:t>
      </w:r>
    </w:p>
    <w:p w:rsidR="00732FFC" w:rsidRDefault="00732FFC" w:rsidP="00732FFC">
      <w:pPr>
        <w:ind w:firstLine="709"/>
        <w:jc w:val="both"/>
      </w:pPr>
      <w:r>
        <w:t xml:space="preserve">− nasiąkliwość betonu, </w:t>
      </w:r>
    </w:p>
    <w:p w:rsidR="00732FFC" w:rsidRDefault="00732FFC" w:rsidP="00732FFC">
      <w:pPr>
        <w:ind w:firstLine="709"/>
        <w:jc w:val="both"/>
      </w:pPr>
      <w:r>
        <w:t xml:space="preserve">− odporność betonu na działanie mrozu, </w:t>
      </w:r>
    </w:p>
    <w:p w:rsidR="00732FFC" w:rsidRDefault="00732FFC" w:rsidP="00732FFC">
      <w:pPr>
        <w:ind w:firstLine="709"/>
        <w:jc w:val="both"/>
      </w:pPr>
      <w:r>
        <w:t>− przepuszczalność wody przez beton.</w:t>
      </w:r>
    </w:p>
    <w:p w:rsidR="00732FFC" w:rsidRDefault="00732FFC" w:rsidP="00732FFC">
      <w:pPr>
        <w:ind w:firstLine="709"/>
        <w:jc w:val="both"/>
      </w:pPr>
    </w:p>
    <w:p w:rsidR="00732FFC" w:rsidRDefault="00732FFC" w:rsidP="00732FFC">
      <w:pPr>
        <w:ind w:firstLine="709"/>
        <w:jc w:val="both"/>
      </w:pPr>
      <w:r>
        <w:t>Zwraca się uwagę na konieczność wykonania planu kontroli jakości betonu zawierającego m.in. szczegółowe określenie liczebności i terminów pobierania próbek do kontroli jakości mieszanki i betonu. Plan kontroli jakości bet</w:t>
      </w:r>
      <w:r w:rsidR="00E6484E">
        <w:t xml:space="preserve">onu podlega akceptacji </w:t>
      </w:r>
      <w:r w:rsidR="003D1914">
        <w:t xml:space="preserve">przedstawiciela </w:t>
      </w:r>
      <w:r w:rsidR="00E6484E">
        <w:t>Zamawiającego</w:t>
      </w:r>
      <w:r>
        <w:t>.</w:t>
      </w:r>
    </w:p>
    <w:p w:rsidR="00732FFC" w:rsidRDefault="00732FFC" w:rsidP="006C636B">
      <w:pPr>
        <w:jc w:val="both"/>
      </w:pPr>
      <w:r>
        <w:t>Kontrolę jakości mieszanki betonowej i betonu należy przeprowadzać zgodnie z PN-EN 1008:2004</w:t>
      </w:r>
    </w:p>
    <w:p w:rsidR="00732FFC" w:rsidRDefault="00732FFC" w:rsidP="00732FFC">
      <w:pPr>
        <w:tabs>
          <w:tab w:val="left" w:pos="576"/>
          <w:tab w:val="left" w:pos="1008"/>
        </w:tabs>
        <w:spacing w:before="120" w:after="120"/>
        <w:jc w:val="both"/>
      </w:pPr>
      <w:r w:rsidRPr="00732FFC">
        <w:rPr>
          <w:b/>
        </w:rPr>
        <w:t>6.5. Tolerancje wymiarów</w:t>
      </w:r>
    </w:p>
    <w:p w:rsidR="00732FFC" w:rsidRDefault="00732FFC" w:rsidP="00732FFC">
      <w:pPr>
        <w:ind w:firstLine="709"/>
        <w:jc w:val="both"/>
      </w:pPr>
      <w:r>
        <w:t>Jeżeli ST i dokumentacja projektowa nie przewidują inaczej, to wymiary elementów nie powinny różnić się od projektowanych więcej niż o 1,0 cm.</w:t>
      </w:r>
    </w:p>
    <w:p w:rsidR="00732FFC" w:rsidRPr="00732FFC" w:rsidRDefault="00732FFC" w:rsidP="00732FFC">
      <w:pPr>
        <w:tabs>
          <w:tab w:val="left" w:pos="576"/>
          <w:tab w:val="left" w:pos="1008"/>
        </w:tabs>
        <w:spacing w:before="120" w:after="120"/>
        <w:jc w:val="both"/>
        <w:rPr>
          <w:b/>
        </w:rPr>
      </w:pPr>
      <w:r w:rsidRPr="00732FFC">
        <w:rPr>
          <w:b/>
        </w:rPr>
        <w:t>6.6. Kontrola deskowań</w:t>
      </w:r>
    </w:p>
    <w:p w:rsidR="00732FFC" w:rsidRDefault="00732FFC" w:rsidP="00732FFC">
      <w:pPr>
        <w:ind w:firstLine="709"/>
        <w:jc w:val="both"/>
      </w:pPr>
      <w:r>
        <w:t>Każde deskowanie powinno podlegać odbiorowi. Przedmiotem kontroli w czasie odbioru powinny być:</w:t>
      </w:r>
    </w:p>
    <w:p w:rsidR="00732FFC" w:rsidRDefault="00732FFC" w:rsidP="00732FFC">
      <w:pPr>
        <w:ind w:firstLine="709"/>
        <w:jc w:val="both"/>
      </w:pPr>
      <w:r>
        <w:t>–  rodzaj użytego materiału na zgodność z projektem technologicznym,</w:t>
      </w:r>
    </w:p>
    <w:p w:rsidR="00732FFC" w:rsidRDefault="00732FFC" w:rsidP="00732FFC">
      <w:pPr>
        <w:ind w:firstLine="709"/>
        <w:jc w:val="both"/>
      </w:pPr>
      <w:r>
        <w:t xml:space="preserve">– szczelność deskowań w płaszczyznach i narożach, </w:t>
      </w:r>
    </w:p>
    <w:p w:rsidR="00732FFC" w:rsidRDefault="00732FFC" w:rsidP="00732FFC">
      <w:pPr>
        <w:ind w:left="709"/>
        <w:jc w:val="both"/>
      </w:pPr>
      <w:r>
        <w:t>– poziom górnej krawędzi i powierzchni deskowań przed betonowaniem i po nim oraz porównanie z poziomem wymaganym</w:t>
      </w:r>
    </w:p>
    <w:p w:rsidR="00732FFC" w:rsidRDefault="00732FFC" w:rsidP="00732FFC">
      <w:pPr>
        <w:ind w:left="709"/>
        <w:jc w:val="both"/>
      </w:pPr>
    </w:p>
    <w:p w:rsidR="00732FFC" w:rsidRDefault="00732FFC" w:rsidP="00033314">
      <w:pPr>
        <w:ind w:firstLine="709"/>
        <w:jc w:val="both"/>
      </w:pPr>
      <w:r>
        <w:t>Deskowania w czasie betonowania powinny być przedmiotem kontroli geodezyjnej w nawiązaniu do niezależnych reperów.</w:t>
      </w:r>
    </w:p>
    <w:p w:rsidR="00732FFC" w:rsidRPr="00033314" w:rsidRDefault="00033314" w:rsidP="00033314">
      <w:pPr>
        <w:tabs>
          <w:tab w:val="left" w:pos="576"/>
          <w:tab w:val="left" w:pos="1008"/>
        </w:tabs>
        <w:spacing w:before="120" w:after="120"/>
        <w:jc w:val="both"/>
        <w:rPr>
          <w:b/>
        </w:rPr>
      </w:pPr>
      <w:r w:rsidRPr="00033314">
        <w:rPr>
          <w:b/>
        </w:rPr>
        <w:t>6.7. Kontrola wykończenia powierzchni betonowych</w:t>
      </w:r>
    </w:p>
    <w:p w:rsidR="00732FFC" w:rsidRDefault="00033314" w:rsidP="00033314">
      <w:pPr>
        <w:ind w:firstLine="709"/>
        <w:jc w:val="both"/>
      </w:pPr>
      <w:r>
        <w:t>Jeżeli dokumentacja projektowa oraz ST nie przewidują inaczej, wszystkie widoczne powierzchnie betonowe powinny być gładkie i mieć jednolitą barwę i fakturę. Na powierzchniach tych nie mogą być widoczne żadne zabrudzenia, przebarwienia czy inne wady pozostawione przez wewnętrzną wykładzinę deskowań, która powinna być odpowiednio przymocowana do deskowania. Wszystkie nieprawidłowości wykończenia powierzchni muszą być naprawione przez Wykonawcę.</w:t>
      </w:r>
    </w:p>
    <w:p w:rsidR="00033314" w:rsidRDefault="00033314" w:rsidP="006C636B">
      <w:pPr>
        <w:jc w:val="both"/>
      </w:pPr>
    </w:p>
    <w:p w:rsidR="006C636B" w:rsidRPr="006C636B" w:rsidRDefault="006C636B" w:rsidP="0097494B">
      <w:pPr>
        <w:numPr>
          <w:ilvl w:val="2"/>
          <w:numId w:val="26"/>
        </w:numPr>
        <w:tabs>
          <w:tab w:val="clear" w:pos="0"/>
          <w:tab w:val="num" w:pos="720"/>
        </w:tabs>
        <w:suppressAutoHyphens/>
        <w:spacing w:before="120" w:after="120"/>
        <w:ind w:left="720" w:hanging="720"/>
        <w:jc w:val="both"/>
        <w:outlineLvl w:val="2"/>
        <w:rPr>
          <w:b/>
          <w:snapToGrid w:val="0"/>
          <w:u w:val="single"/>
        </w:rPr>
      </w:pPr>
      <w:r w:rsidRPr="006C636B">
        <w:rPr>
          <w:b/>
          <w:snapToGrid w:val="0"/>
          <w:u w:val="single"/>
        </w:rPr>
        <w:t>7. OBMIAR</w:t>
      </w:r>
    </w:p>
    <w:p w:rsidR="006C636B" w:rsidRPr="006C636B" w:rsidRDefault="006C636B" w:rsidP="006C636B">
      <w:pPr>
        <w:jc w:val="both"/>
      </w:pPr>
      <w:r w:rsidRPr="006C636B">
        <w:t>Ogólne zasady obmiaru robót podano w Specyfikacji D.M.00.00.00.</w:t>
      </w:r>
    </w:p>
    <w:p w:rsidR="006C636B" w:rsidRPr="006C636B" w:rsidRDefault="006C636B" w:rsidP="006C636B">
      <w:pPr>
        <w:jc w:val="both"/>
      </w:pPr>
      <w:r w:rsidRPr="006C636B">
        <w:t>Jednostką obmiaru jest [m</w:t>
      </w:r>
      <w:r w:rsidRPr="006C636B">
        <w:rPr>
          <w:vertAlign w:val="superscript"/>
        </w:rPr>
        <w:t>3</w:t>
      </w:r>
      <w:r w:rsidRPr="006C636B">
        <w:t>] wbudowanego betonu.</w:t>
      </w:r>
    </w:p>
    <w:p w:rsidR="006C636B" w:rsidRPr="006C636B" w:rsidRDefault="006C636B" w:rsidP="0097494B">
      <w:pPr>
        <w:numPr>
          <w:ilvl w:val="2"/>
          <w:numId w:val="26"/>
        </w:numPr>
        <w:tabs>
          <w:tab w:val="clear" w:pos="0"/>
          <w:tab w:val="num" w:pos="720"/>
        </w:tabs>
        <w:suppressAutoHyphens/>
        <w:spacing w:before="120" w:after="120"/>
        <w:ind w:left="720" w:hanging="720"/>
        <w:jc w:val="both"/>
        <w:outlineLvl w:val="2"/>
        <w:rPr>
          <w:b/>
          <w:snapToGrid w:val="0"/>
          <w:u w:val="single"/>
        </w:rPr>
      </w:pPr>
      <w:r w:rsidRPr="006C636B">
        <w:rPr>
          <w:b/>
          <w:snapToGrid w:val="0"/>
          <w:u w:val="single"/>
        </w:rPr>
        <w:t>8. ODBIÓR ROBÓT</w:t>
      </w:r>
    </w:p>
    <w:p w:rsidR="000E074E" w:rsidRPr="000E074E" w:rsidRDefault="000E074E" w:rsidP="000E074E">
      <w:pPr>
        <w:tabs>
          <w:tab w:val="left" w:pos="576"/>
          <w:tab w:val="left" w:pos="1008"/>
        </w:tabs>
        <w:spacing w:before="120" w:after="120"/>
        <w:jc w:val="both"/>
        <w:rPr>
          <w:b/>
        </w:rPr>
      </w:pPr>
      <w:r w:rsidRPr="000E074E">
        <w:rPr>
          <w:b/>
        </w:rPr>
        <w:t>8.1. Ogólne zasady odbioru robót</w:t>
      </w:r>
    </w:p>
    <w:p w:rsidR="000E074E" w:rsidRPr="000E074E" w:rsidRDefault="000E074E" w:rsidP="0097494B">
      <w:pPr>
        <w:numPr>
          <w:ilvl w:val="2"/>
          <w:numId w:val="26"/>
        </w:numPr>
        <w:tabs>
          <w:tab w:val="clear" w:pos="0"/>
          <w:tab w:val="num" w:pos="720"/>
        </w:tabs>
        <w:suppressAutoHyphens/>
        <w:spacing w:before="120" w:after="120"/>
        <w:ind w:left="720" w:hanging="720"/>
        <w:jc w:val="both"/>
        <w:outlineLvl w:val="2"/>
        <w:rPr>
          <w:b/>
          <w:snapToGrid w:val="0"/>
        </w:rPr>
      </w:pPr>
      <w:r>
        <w:t>Ogólne zasady odbioru robót podano w ST D-M-00.00.00 „Wymagania ogólne”</w:t>
      </w:r>
    </w:p>
    <w:p w:rsidR="000E074E" w:rsidRPr="000E074E" w:rsidRDefault="000E074E" w:rsidP="000E074E">
      <w:pPr>
        <w:ind w:firstLine="709"/>
        <w:jc w:val="both"/>
      </w:pPr>
      <w:r>
        <w:t>Roboty uznaje się za wykonane zgodnie z dokumentacją projek</w:t>
      </w:r>
      <w:r w:rsidR="00E6484E">
        <w:t xml:space="preserve">tową, st i wymaganiami </w:t>
      </w:r>
      <w:r w:rsidR="003D1914">
        <w:t xml:space="preserve">przedstawiciela </w:t>
      </w:r>
      <w:r w:rsidR="00E6484E">
        <w:t>Zamawiającego</w:t>
      </w:r>
      <w:r>
        <w:t>, jeżeli wszystkie pomiary i badania z zachowaniem tolerancji wg punktu 6 dały wyniki pozytywne.</w:t>
      </w:r>
    </w:p>
    <w:p w:rsidR="000E074E" w:rsidRPr="000E074E" w:rsidRDefault="000E074E" w:rsidP="000E074E">
      <w:pPr>
        <w:tabs>
          <w:tab w:val="left" w:pos="576"/>
          <w:tab w:val="left" w:pos="1008"/>
        </w:tabs>
        <w:spacing w:before="120" w:after="120"/>
        <w:jc w:val="both"/>
        <w:rPr>
          <w:b/>
        </w:rPr>
      </w:pPr>
      <w:r>
        <w:rPr>
          <w:b/>
        </w:rPr>
        <w:t xml:space="preserve">8.2. </w:t>
      </w:r>
      <w:r w:rsidRPr="000E074E">
        <w:rPr>
          <w:b/>
        </w:rPr>
        <w:t>Odbiór robót zanikających i ulegających zakryciu</w:t>
      </w:r>
    </w:p>
    <w:p w:rsidR="000E074E" w:rsidRPr="000E074E" w:rsidRDefault="000E074E" w:rsidP="0097494B">
      <w:pPr>
        <w:numPr>
          <w:ilvl w:val="2"/>
          <w:numId w:val="26"/>
        </w:numPr>
        <w:tabs>
          <w:tab w:val="clear" w:pos="0"/>
          <w:tab w:val="num" w:pos="720"/>
        </w:tabs>
        <w:suppressAutoHyphens/>
        <w:spacing w:before="120" w:after="120"/>
        <w:ind w:left="720" w:hanging="720"/>
        <w:jc w:val="both"/>
        <w:outlineLvl w:val="2"/>
        <w:rPr>
          <w:b/>
          <w:snapToGrid w:val="0"/>
        </w:rPr>
      </w:pPr>
      <w:r>
        <w:t>Odbiorowi robót zanikających i ulegających zakryciu podlegają:</w:t>
      </w:r>
    </w:p>
    <w:p w:rsidR="000E074E" w:rsidRDefault="000E074E" w:rsidP="0097494B">
      <w:pPr>
        <w:numPr>
          <w:ilvl w:val="2"/>
          <w:numId w:val="26"/>
        </w:numPr>
        <w:tabs>
          <w:tab w:val="clear" w:pos="0"/>
          <w:tab w:val="num" w:pos="720"/>
        </w:tabs>
        <w:suppressAutoHyphens/>
        <w:spacing w:before="120" w:after="120"/>
        <w:ind w:left="720" w:hanging="720"/>
        <w:jc w:val="both"/>
        <w:outlineLvl w:val="2"/>
        <w:rPr>
          <w:b/>
          <w:snapToGrid w:val="0"/>
        </w:rPr>
      </w:pPr>
      <w:r>
        <w:t>– Wykonanie deskowań,</w:t>
      </w:r>
    </w:p>
    <w:p w:rsidR="000E074E" w:rsidRDefault="00923B59" w:rsidP="0097494B">
      <w:pPr>
        <w:numPr>
          <w:ilvl w:val="2"/>
          <w:numId w:val="26"/>
        </w:numPr>
        <w:tabs>
          <w:tab w:val="clear" w:pos="0"/>
          <w:tab w:val="num" w:pos="720"/>
        </w:tabs>
        <w:suppressAutoHyphens/>
        <w:spacing w:before="120" w:after="120"/>
        <w:ind w:left="720" w:hanging="720"/>
        <w:jc w:val="both"/>
        <w:outlineLvl w:val="2"/>
        <w:rPr>
          <w:b/>
          <w:snapToGrid w:val="0"/>
        </w:rPr>
      </w:pPr>
      <w:r>
        <w:t>– Wykonanie betonu w konstrukcjach ulegających zakryciu (np. Podłoża pod fundamenty).</w:t>
      </w:r>
    </w:p>
    <w:p w:rsidR="00923B59" w:rsidRPr="00923B59" w:rsidRDefault="00923B59" w:rsidP="0097494B">
      <w:pPr>
        <w:numPr>
          <w:ilvl w:val="2"/>
          <w:numId w:val="26"/>
        </w:numPr>
        <w:tabs>
          <w:tab w:val="clear" w:pos="0"/>
          <w:tab w:val="num" w:pos="720"/>
        </w:tabs>
        <w:suppressAutoHyphens/>
        <w:spacing w:before="120" w:after="120"/>
        <w:ind w:left="720" w:hanging="720"/>
        <w:jc w:val="both"/>
        <w:outlineLvl w:val="2"/>
        <w:rPr>
          <w:b/>
          <w:snapToGrid w:val="0"/>
        </w:rPr>
      </w:pPr>
    </w:p>
    <w:p w:rsidR="006C636B" w:rsidRPr="006C636B" w:rsidRDefault="006C636B" w:rsidP="0097494B">
      <w:pPr>
        <w:numPr>
          <w:ilvl w:val="2"/>
          <w:numId w:val="26"/>
        </w:numPr>
        <w:tabs>
          <w:tab w:val="clear" w:pos="0"/>
          <w:tab w:val="num" w:pos="720"/>
        </w:tabs>
        <w:suppressAutoHyphens/>
        <w:spacing w:before="120" w:after="120"/>
        <w:ind w:left="720" w:hanging="720"/>
        <w:jc w:val="both"/>
        <w:outlineLvl w:val="2"/>
        <w:rPr>
          <w:b/>
          <w:snapToGrid w:val="0"/>
          <w:u w:val="single"/>
        </w:rPr>
      </w:pPr>
      <w:r w:rsidRPr="006C636B">
        <w:rPr>
          <w:b/>
          <w:snapToGrid w:val="0"/>
          <w:u w:val="single"/>
        </w:rPr>
        <w:t>9. PŁATNOŚĆ</w:t>
      </w:r>
    </w:p>
    <w:p w:rsidR="006C636B" w:rsidRPr="006C636B" w:rsidRDefault="006C636B" w:rsidP="006C636B">
      <w:pPr>
        <w:jc w:val="both"/>
      </w:pPr>
      <w:r w:rsidRPr="006C636B">
        <w:t>Cena jednostkowa wykonania 1 m</w:t>
      </w:r>
      <w:r w:rsidRPr="006C636B">
        <w:rPr>
          <w:vertAlign w:val="superscript"/>
        </w:rPr>
        <w:t>3</w:t>
      </w:r>
      <w:r w:rsidRPr="006C636B">
        <w:t xml:space="preserve"> betonu obejmuje:</w:t>
      </w:r>
    </w:p>
    <w:p w:rsidR="006C636B" w:rsidRPr="006C636B" w:rsidRDefault="006C636B" w:rsidP="006C636B">
      <w:pPr>
        <w:jc w:val="both"/>
      </w:pPr>
    </w:p>
    <w:p w:rsidR="006C636B" w:rsidRPr="006C636B" w:rsidRDefault="006C636B" w:rsidP="0097494B">
      <w:pPr>
        <w:numPr>
          <w:ilvl w:val="0"/>
          <w:numId w:val="60"/>
        </w:numPr>
        <w:contextualSpacing/>
        <w:jc w:val="both"/>
      </w:pPr>
      <w:r w:rsidRPr="006C636B">
        <w:t>opracowanie recepty laboratoryjnej mieszanki betonowej,</w:t>
      </w:r>
    </w:p>
    <w:p w:rsidR="006C636B" w:rsidRDefault="006C636B" w:rsidP="0097494B">
      <w:pPr>
        <w:numPr>
          <w:ilvl w:val="0"/>
          <w:numId w:val="60"/>
        </w:numPr>
        <w:contextualSpacing/>
        <w:jc w:val="both"/>
      </w:pPr>
      <w:r w:rsidRPr="006C636B">
        <w:t>zakup materiałów,</w:t>
      </w:r>
    </w:p>
    <w:p w:rsidR="006C636B" w:rsidRPr="006C636B" w:rsidRDefault="006C636B" w:rsidP="0097494B">
      <w:pPr>
        <w:numPr>
          <w:ilvl w:val="0"/>
          <w:numId w:val="60"/>
        </w:numPr>
        <w:contextualSpacing/>
        <w:jc w:val="both"/>
      </w:pPr>
      <w:r>
        <w:t xml:space="preserve">zabezpieczenie miejsca wbudowywania betonu </w:t>
      </w:r>
    </w:p>
    <w:p w:rsidR="006C636B" w:rsidRPr="006C636B" w:rsidRDefault="006C636B" w:rsidP="0097494B">
      <w:pPr>
        <w:numPr>
          <w:ilvl w:val="0"/>
          <w:numId w:val="60"/>
        </w:numPr>
        <w:contextualSpacing/>
        <w:jc w:val="both"/>
      </w:pPr>
      <w:r w:rsidRPr="006C636B">
        <w:t>dostarczenie wszystkich niezbędnych</w:t>
      </w:r>
      <w:r w:rsidR="00046DD0">
        <w:t xml:space="preserve"> materiałów i</w:t>
      </w:r>
      <w:r w:rsidRPr="006C636B">
        <w:t xml:space="preserve"> czynników produkcji,</w:t>
      </w:r>
    </w:p>
    <w:p w:rsidR="006C636B" w:rsidRDefault="006C636B" w:rsidP="0097494B">
      <w:pPr>
        <w:numPr>
          <w:ilvl w:val="0"/>
          <w:numId w:val="60"/>
        </w:numPr>
        <w:contextualSpacing/>
        <w:jc w:val="both"/>
      </w:pPr>
      <w:r w:rsidRPr="006C636B">
        <w:t>pompowanie wody z wykopów i zabezpieczenie wykopów na czas wykonania robót,</w:t>
      </w:r>
    </w:p>
    <w:p w:rsidR="00746AE8" w:rsidRDefault="00746AE8" w:rsidP="0097494B">
      <w:pPr>
        <w:numPr>
          <w:ilvl w:val="0"/>
          <w:numId w:val="60"/>
        </w:numPr>
        <w:contextualSpacing/>
        <w:jc w:val="both"/>
      </w:pPr>
      <w:r>
        <w:t>zabezpieczenie stateczności skarp, drogi i istniejących obiektów</w:t>
      </w:r>
    </w:p>
    <w:p w:rsidR="00746AE8" w:rsidRPr="006C636B" w:rsidRDefault="00746AE8" w:rsidP="0097494B">
      <w:pPr>
        <w:numPr>
          <w:ilvl w:val="0"/>
          <w:numId w:val="60"/>
        </w:numPr>
        <w:contextualSpacing/>
        <w:jc w:val="both"/>
      </w:pPr>
      <w:r>
        <w:t xml:space="preserve">zabezpieczenie przed podmyciem </w:t>
      </w:r>
    </w:p>
    <w:p w:rsidR="006C636B" w:rsidRDefault="006C636B" w:rsidP="0097494B">
      <w:pPr>
        <w:numPr>
          <w:ilvl w:val="0"/>
          <w:numId w:val="60"/>
        </w:numPr>
        <w:contextualSpacing/>
        <w:jc w:val="both"/>
      </w:pPr>
      <w:r w:rsidRPr="006C636B">
        <w:t>oczyszczenie i przygotowanie podłoża,</w:t>
      </w:r>
    </w:p>
    <w:p w:rsidR="00544F92" w:rsidRPr="006C636B" w:rsidRDefault="00544F92" w:rsidP="0097494B">
      <w:pPr>
        <w:numPr>
          <w:ilvl w:val="0"/>
          <w:numId w:val="60"/>
        </w:numPr>
        <w:contextualSpacing/>
        <w:jc w:val="both"/>
      </w:pPr>
      <w:r>
        <w:t xml:space="preserve">ewentualne oczyszanie </w:t>
      </w:r>
      <w:r w:rsidR="00B03D5A">
        <w:t>cieku</w:t>
      </w:r>
    </w:p>
    <w:p w:rsidR="006C636B" w:rsidRPr="006C636B" w:rsidRDefault="006C636B" w:rsidP="0097494B">
      <w:pPr>
        <w:numPr>
          <w:ilvl w:val="0"/>
          <w:numId w:val="60"/>
        </w:numPr>
        <w:contextualSpacing/>
        <w:jc w:val="both"/>
      </w:pPr>
      <w:r w:rsidRPr="006C636B">
        <w:t>wykonanie deskowań,</w:t>
      </w:r>
    </w:p>
    <w:p w:rsidR="006C636B" w:rsidRPr="006C636B" w:rsidRDefault="006C636B" w:rsidP="0097494B">
      <w:pPr>
        <w:numPr>
          <w:ilvl w:val="0"/>
          <w:numId w:val="60"/>
        </w:numPr>
        <w:contextualSpacing/>
        <w:jc w:val="both"/>
      </w:pPr>
      <w:r w:rsidRPr="006C636B">
        <w:t>przygotowanie, transport i ułożenie mieszanki z odpowiednim zagęszczeniem i pielęgnacją,</w:t>
      </w:r>
    </w:p>
    <w:p w:rsidR="006C636B" w:rsidRPr="006C636B" w:rsidRDefault="006C636B" w:rsidP="0097494B">
      <w:pPr>
        <w:numPr>
          <w:ilvl w:val="0"/>
          <w:numId w:val="60"/>
        </w:numPr>
        <w:contextualSpacing/>
        <w:jc w:val="both"/>
      </w:pPr>
      <w:r w:rsidRPr="006C636B">
        <w:t>rozbiórkę deskowań,</w:t>
      </w:r>
    </w:p>
    <w:p w:rsidR="006C636B" w:rsidRDefault="006C636B" w:rsidP="0097494B">
      <w:pPr>
        <w:numPr>
          <w:ilvl w:val="0"/>
          <w:numId w:val="60"/>
        </w:numPr>
        <w:contextualSpacing/>
        <w:jc w:val="both"/>
      </w:pPr>
      <w:r w:rsidRPr="006C636B">
        <w:t>wykonanie wszystkich badań przewidzianych w SST,</w:t>
      </w:r>
    </w:p>
    <w:p w:rsidR="00746AE8" w:rsidRPr="006C636B" w:rsidRDefault="00746AE8" w:rsidP="0097494B">
      <w:pPr>
        <w:numPr>
          <w:ilvl w:val="0"/>
          <w:numId w:val="60"/>
        </w:numPr>
        <w:contextualSpacing/>
        <w:jc w:val="both"/>
      </w:pPr>
      <w:r>
        <w:t>wszystkie prace towarzyszące</w:t>
      </w:r>
    </w:p>
    <w:p w:rsidR="006C636B" w:rsidRPr="006C636B" w:rsidRDefault="006C636B" w:rsidP="0097494B">
      <w:pPr>
        <w:numPr>
          <w:ilvl w:val="0"/>
          <w:numId w:val="60"/>
        </w:numPr>
        <w:contextualSpacing/>
        <w:jc w:val="both"/>
      </w:pPr>
      <w:r w:rsidRPr="006C636B">
        <w:t>oczyszczenie stanowiska pracy.</w:t>
      </w:r>
    </w:p>
    <w:p w:rsidR="006C636B" w:rsidRPr="006C636B" w:rsidRDefault="006C636B" w:rsidP="0097494B">
      <w:pPr>
        <w:numPr>
          <w:ilvl w:val="2"/>
          <w:numId w:val="26"/>
        </w:numPr>
        <w:tabs>
          <w:tab w:val="clear" w:pos="0"/>
          <w:tab w:val="num" w:pos="720"/>
        </w:tabs>
        <w:suppressAutoHyphens/>
        <w:spacing w:before="120" w:after="120"/>
        <w:ind w:left="720" w:hanging="720"/>
        <w:jc w:val="both"/>
        <w:outlineLvl w:val="2"/>
        <w:rPr>
          <w:b/>
          <w:snapToGrid w:val="0"/>
          <w:u w:val="single"/>
        </w:rPr>
      </w:pPr>
      <w:r w:rsidRPr="006C636B">
        <w:rPr>
          <w:b/>
          <w:snapToGrid w:val="0"/>
          <w:u w:val="single"/>
        </w:rPr>
        <w:t>10. PRZEPISY ZWIĄZANE</w:t>
      </w:r>
    </w:p>
    <w:p w:rsidR="006C636B" w:rsidRPr="006C636B" w:rsidRDefault="00CD36AA" w:rsidP="006C636B">
      <w:pPr>
        <w:rPr>
          <w:snapToGrid w:val="0"/>
        </w:rPr>
      </w:pPr>
      <w:r>
        <w:rPr>
          <w:snapToGrid w:val="0"/>
        </w:rPr>
        <w:t>Wg M.13.00</w:t>
      </w:r>
      <w:r w:rsidR="006C636B" w:rsidRPr="006C636B">
        <w:rPr>
          <w:snapToGrid w:val="0"/>
        </w:rPr>
        <w:t>.00.</w:t>
      </w:r>
    </w:p>
    <w:p w:rsidR="006C636B" w:rsidRPr="006C636B" w:rsidRDefault="006C636B" w:rsidP="006C636B">
      <w:pPr>
        <w:jc w:val="both"/>
        <w:outlineLvl w:val="0"/>
        <w:rPr>
          <w:rFonts w:ascii="PL Times New Roman" w:hAnsi="PL Times New Roman"/>
          <w:b/>
          <w:snapToGrid w:val="0"/>
          <w:sz w:val="26"/>
        </w:rPr>
      </w:pPr>
    </w:p>
    <w:p w:rsidR="006C636B" w:rsidRPr="006C636B" w:rsidRDefault="006C636B" w:rsidP="006C636B">
      <w:pPr>
        <w:jc w:val="both"/>
        <w:outlineLvl w:val="0"/>
        <w:rPr>
          <w:rFonts w:ascii="PL Times New Roman" w:hAnsi="PL Times New Roman"/>
          <w:b/>
          <w:snapToGrid w:val="0"/>
          <w:sz w:val="26"/>
        </w:rPr>
      </w:pPr>
    </w:p>
    <w:p w:rsidR="006C636B" w:rsidRPr="006C636B" w:rsidRDefault="006C636B" w:rsidP="006C636B">
      <w:pPr>
        <w:jc w:val="both"/>
        <w:outlineLvl w:val="0"/>
        <w:rPr>
          <w:rFonts w:ascii="PL Times New Roman" w:hAnsi="PL Times New Roman"/>
          <w:b/>
          <w:snapToGrid w:val="0"/>
          <w:sz w:val="26"/>
        </w:rPr>
      </w:pPr>
    </w:p>
    <w:p w:rsidR="00663A8E" w:rsidRDefault="00663A8E" w:rsidP="008E1448">
      <w:pPr>
        <w:pStyle w:val="Nagwek1"/>
        <w:rPr>
          <w:b w:val="0"/>
        </w:rPr>
      </w:pPr>
    </w:p>
    <w:p w:rsidR="00245ABD" w:rsidRDefault="00245ABD">
      <w:pPr>
        <w:rPr>
          <w:rFonts w:ascii="PL Times New Roman" w:hAnsi="PL Times New Roman"/>
          <w:b/>
          <w:snapToGrid w:val="0"/>
          <w:sz w:val="26"/>
        </w:rPr>
      </w:pPr>
      <w:r>
        <w:rPr>
          <w:rFonts w:ascii="PL Times New Roman" w:hAnsi="PL Times New Roman"/>
          <w:b/>
          <w:snapToGrid w:val="0"/>
          <w:sz w:val="26"/>
        </w:rPr>
        <w:br w:type="page"/>
      </w:r>
    </w:p>
    <w:p w:rsidR="00CD36AA" w:rsidRDefault="00923B59" w:rsidP="00CD36AA">
      <w:pPr>
        <w:jc w:val="both"/>
        <w:outlineLvl w:val="0"/>
        <w:rPr>
          <w:rFonts w:ascii="PL Times New Roman" w:hAnsi="PL Times New Roman"/>
          <w:b/>
          <w:snapToGrid w:val="0"/>
          <w:sz w:val="26"/>
        </w:rPr>
      </w:pPr>
      <w:bookmarkStart w:id="35" w:name="_Toc80100086"/>
      <w:r w:rsidRPr="006C636B">
        <w:rPr>
          <w:rFonts w:ascii="PL Times New Roman" w:hAnsi="PL Times New Roman"/>
          <w:b/>
          <w:snapToGrid w:val="0"/>
          <w:sz w:val="26"/>
        </w:rPr>
        <w:t>M.13</w:t>
      </w:r>
      <w:r w:rsidR="00A124D3">
        <w:rPr>
          <w:rFonts w:ascii="PL Times New Roman" w:hAnsi="PL Times New Roman"/>
          <w:b/>
          <w:snapToGrid w:val="0"/>
          <w:sz w:val="26"/>
        </w:rPr>
        <w:t>.03.01</w:t>
      </w:r>
      <w:r>
        <w:rPr>
          <w:rFonts w:ascii="PL Times New Roman" w:hAnsi="PL Times New Roman"/>
          <w:b/>
          <w:snapToGrid w:val="0"/>
          <w:sz w:val="26"/>
        </w:rPr>
        <w:t xml:space="preserve">. </w:t>
      </w:r>
      <w:r>
        <w:rPr>
          <w:rFonts w:ascii="PL Times New Roman" w:hAnsi="PL Times New Roman"/>
          <w:b/>
          <w:snapToGrid w:val="0"/>
          <w:sz w:val="26"/>
        </w:rPr>
        <w:tab/>
      </w:r>
      <w:r>
        <w:rPr>
          <w:rFonts w:ascii="PL Times New Roman" w:hAnsi="PL Times New Roman"/>
          <w:b/>
          <w:snapToGrid w:val="0"/>
          <w:sz w:val="26"/>
        </w:rPr>
        <w:tab/>
        <w:t>PREFABRYKATY ŻELBETOWE PRZEPUSTÓW</w:t>
      </w:r>
      <w:bookmarkEnd w:id="35"/>
      <w:r>
        <w:rPr>
          <w:rFonts w:ascii="PL Times New Roman" w:hAnsi="PL Times New Roman"/>
          <w:b/>
          <w:snapToGrid w:val="0"/>
          <w:sz w:val="26"/>
        </w:rPr>
        <w:t xml:space="preserve"> </w:t>
      </w:r>
    </w:p>
    <w:p w:rsidR="00CD36AA" w:rsidRDefault="00CD36AA" w:rsidP="00CD36AA">
      <w:pPr>
        <w:jc w:val="both"/>
        <w:outlineLvl w:val="0"/>
        <w:rPr>
          <w:rFonts w:ascii="PL Times New Roman" w:hAnsi="PL Times New Roman"/>
          <w:b/>
          <w:snapToGrid w:val="0"/>
          <w:sz w:val="26"/>
        </w:rPr>
      </w:pPr>
    </w:p>
    <w:p w:rsidR="00923B59" w:rsidRPr="006C636B" w:rsidRDefault="00923B59" w:rsidP="00CD36AA">
      <w:pPr>
        <w:jc w:val="both"/>
        <w:outlineLvl w:val="0"/>
        <w:rPr>
          <w:b/>
          <w:snapToGrid w:val="0"/>
          <w:u w:val="single"/>
        </w:rPr>
      </w:pPr>
      <w:bookmarkStart w:id="36" w:name="_Toc80100087"/>
      <w:r w:rsidRPr="006C636B">
        <w:rPr>
          <w:b/>
          <w:snapToGrid w:val="0"/>
          <w:u w:val="single"/>
        </w:rPr>
        <w:t>1. WSTĘP</w:t>
      </w:r>
      <w:bookmarkEnd w:id="36"/>
    </w:p>
    <w:p w:rsidR="00923B59" w:rsidRPr="006C636B" w:rsidRDefault="00923B59" w:rsidP="00923B59">
      <w:pPr>
        <w:suppressAutoHyphens/>
        <w:spacing w:before="120" w:after="120"/>
        <w:jc w:val="both"/>
        <w:rPr>
          <w:b/>
          <w:lang w:eastAsia="ar-SA"/>
        </w:rPr>
      </w:pPr>
      <w:r w:rsidRPr="006C636B">
        <w:rPr>
          <w:b/>
          <w:lang w:eastAsia="ar-SA"/>
        </w:rPr>
        <w:t>1.1. Przedmiot SST</w:t>
      </w:r>
    </w:p>
    <w:p w:rsidR="00923B59" w:rsidRPr="00923B59" w:rsidRDefault="00923B59" w:rsidP="00A245A9">
      <w:pPr>
        <w:spacing w:before="120" w:after="120"/>
        <w:ind w:firstLine="709"/>
        <w:jc w:val="both"/>
        <w:rPr>
          <w:rFonts w:eastAsia="Calibri"/>
        </w:rPr>
      </w:pPr>
      <w:r>
        <w:t>Przedmiotem niniejszej ST są wymagania dotyczące wykonania i odbioru robót dla montażu żelbetowych prefabrykatów przepustów, dla zadania:</w:t>
      </w:r>
      <w:r w:rsidR="00CD36AA" w:rsidRPr="00CD36AA">
        <w:rPr>
          <w:bCs/>
        </w:rPr>
        <w:t xml:space="preserve"> </w:t>
      </w:r>
      <w:r w:rsidR="00CD36AA">
        <w:rPr>
          <w:bCs/>
        </w:rPr>
        <w:t>"Remont przepustu nad rzeką Postomia w ciągu drogi nr 445/k.2922 m. Wędrzyn."</w:t>
      </w:r>
    </w:p>
    <w:p w:rsidR="00923B59" w:rsidRPr="006C636B" w:rsidRDefault="00923B59" w:rsidP="00923B59">
      <w:pPr>
        <w:tabs>
          <w:tab w:val="left" w:pos="576"/>
          <w:tab w:val="left" w:pos="1008"/>
        </w:tabs>
        <w:spacing w:before="60" w:after="60"/>
        <w:jc w:val="both"/>
        <w:rPr>
          <w:b/>
        </w:rPr>
      </w:pPr>
      <w:r w:rsidRPr="006C636B">
        <w:rPr>
          <w:b/>
        </w:rPr>
        <w:t>1.2. Zakres stosowania SST</w:t>
      </w:r>
    </w:p>
    <w:p w:rsidR="00923B59" w:rsidRPr="006C636B" w:rsidRDefault="00A245A9" w:rsidP="00923B59">
      <w:pPr>
        <w:tabs>
          <w:tab w:val="left" w:pos="576"/>
          <w:tab w:val="left" w:pos="1008"/>
        </w:tabs>
        <w:spacing w:before="120" w:after="120"/>
        <w:jc w:val="both"/>
      </w:pPr>
      <w:r>
        <w:tab/>
      </w:r>
      <w:r w:rsidR="00923B59" w:rsidRPr="006C636B">
        <w:t>Szczegółowa Specyfikacja Techniczna jest stosowana jako dokument przetargowy i kontraktowy przy zlecaniu i realizacji robót wymienionych w punkcie 1.1.</w:t>
      </w:r>
    </w:p>
    <w:p w:rsidR="00923B59" w:rsidRPr="006C636B" w:rsidRDefault="00923B59" w:rsidP="00923B59">
      <w:pPr>
        <w:tabs>
          <w:tab w:val="left" w:pos="576"/>
          <w:tab w:val="left" w:pos="1008"/>
        </w:tabs>
        <w:spacing w:before="60" w:after="60"/>
        <w:jc w:val="both"/>
        <w:rPr>
          <w:b/>
        </w:rPr>
      </w:pPr>
      <w:r w:rsidRPr="006C636B">
        <w:rPr>
          <w:b/>
        </w:rPr>
        <w:t>1.3. Zakres robót objętych SST</w:t>
      </w:r>
    </w:p>
    <w:p w:rsidR="00A245A9" w:rsidRDefault="00A245A9" w:rsidP="00923B59">
      <w:pPr>
        <w:tabs>
          <w:tab w:val="left" w:pos="360"/>
        </w:tabs>
        <w:jc w:val="both"/>
      </w:pPr>
      <w:r>
        <w:tab/>
      </w:r>
      <w:r>
        <w:tab/>
        <w:t>Roboty, których dotyczy Specyfikacja, obejmują wszystkie czynności umożliwiające i mające na celu wykonanie i montaż prefabrykatów żelbetowych przepustu i obejmują:</w:t>
      </w:r>
    </w:p>
    <w:p w:rsidR="00A245A9" w:rsidRDefault="00A245A9" w:rsidP="00923B59">
      <w:pPr>
        <w:tabs>
          <w:tab w:val="left" w:pos="360"/>
        </w:tabs>
        <w:jc w:val="both"/>
      </w:pPr>
      <w:r>
        <w:tab/>
        <w:t xml:space="preserve">− </w:t>
      </w:r>
      <w:r w:rsidR="00CD36AA" w:rsidRPr="00CD36AA">
        <w:t xml:space="preserve">Wykonanie oraz montaż żelbetowych elementów prefabrykowanych przepustów skrzynkowych ( w tym 2 szt. prefabrykatów skrajnych) o przekroju 200x200 o długości 99cm (klasa obciążenia </w:t>
      </w:r>
      <w:r w:rsidR="00892CA3">
        <w:t>I</w:t>
      </w:r>
      <w:r w:rsidR="00CD36AA" w:rsidRPr="00CD36AA">
        <w:t xml:space="preserve"> + Stanag 150) wraz z wypełnieniem zamków między prefabrykatami i przygotowanie pow. prefabrykatów skrajnych do zespolenia z głowicami i płytą zespalającą</w:t>
      </w:r>
    </w:p>
    <w:p w:rsidR="00923B59" w:rsidRPr="006C636B" w:rsidRDefault="00923B59" w:rsidP="00923B59">
      <w:pPr>
        <w:tabs>
          <w:tab w:val="left" w:pos="576"/>
          <w:tab w:val="left" w:pos="1008"/>
        </w:tabs>
        <w:spacing w:before="60" w:after="60"/>
        <w:jc w:val="both"/>
        <w:rPr>
          <w:b/>
        </w:rPr>
      </w:pPr>
      <w:r w:rsidRPr="006C636B">
        <w:rPr>
          <w:b/>
        </w:rPr>
        <w:t>1.4. Określenia podstawowe</w:t>
      </w:r>
    </w:p>
    <w:p w:rsidR="00A245A9" w:rsidRDefault="00A245A9" w:rsidP="00923B59">
      <w:pPr>
        <w:tabs>
          <w:tab w:val="left" w:pos="576"/>
          <w:tab w:val="left" w:pos="1008"/>
        </w:tabs>
        <w:jc w:val="both"/>
      </w:pPr>
      <w:r>
        <w:tab/>
        <w:t>Określenia podane w niniejszej ST są zgodne z obowiązującymi odpowiednimi normami oraz z określeniami podanymi w ST DM.00.00.00 “Wymagania Ogólne”.</w:t>
      </w:r>
    </w:p>
    <w:p w:rsidR="00A245A9" w:rsidRDefault="00A245A9" w:rsidP="00923B59">
      <w:pPr>
        <w:tabs>
          <w:tab w:val="left" w:pos="576"/>
          <w:tab w:val="left" w:pos="1008"/>
        </w:tabs>
        <w:jc w:val="both"/>
      </w:pPr>
    </w:p>
    <w:p w:rsidR="00A245A9" w:rsidRDefault="00A245A9" w:rsidP="00923B59">
      <w:pPr>
        <w:tabs>
          <w:tab w:val="left" w:pos="576"/>
          <w:tab w:val="left" w:pos="1008"/>
        </w:tabs>
        <w:jc w:val="both"/>
      </w:pPr>
      <w:r>
        <w:t>1.4.1. Prefabrykat betonowy zbrojony - element z betonu zbrojonego wykonany w formie, poza miejscem jego wbudowania, pozyskiwany jako całość.</w:t>
      </w:r>
    </w:p>
    <w:p w:rsidR="00923B59" w:rsidRPr="006C636B" w:rsidRDefault="00923B59" w:rsidP="00923B59">
      <w:pPr>
        <w:tabs>
          <w:tab w:val="left" w:pos="576"/>
          <w:tab w:val="left" w:pos="1008"/>
        </w:tabs>
        <w:spacing w:before="120" w:after="120"/>
        <w:jc w:val="both"/>
        <w:rPr>
          <w:b/>
        </w:rPr>
      </w:pPr>
      <w:r w:rsidRPr="006C636B">
        <w:rPr>
          <w:b/>
        </w:rPr>
        <w:t>1.5. Ogólne wymagania dotyczące Robót</w:t>
      </w:r>
    </w:p>
    <w:p w:rsidR="00A245A9" w:rsidRDefault="00A245A9" w:rsidP="00923B59">
      <w:pPr>
        <w:tabs>
          <w:tab w:val="left" w:pos="576"/>
          <w:tab w:val="left" w:pos="1008"/>
        </w:tabs>
        <w:jc w:val="both"/>
      </w:pPr>
      <w:r>
        <w:tab/>
        <w:t>Wykonawca Robót jest odpowiedzialny za jakość ich wykonania oraz za zgodność z Dokumentacją Proje</w:t>
      </w:r>
      <w:r w:rsidR="00E6484E">
        <w:t xml:space="preserve">ktową, ST i poleceniami </w:t>
      </w:r>
      <w:r w:rsidR="003D1914">
        <w:t xml:space="preserve">przedstawiciela </w:t>
      </w:r>
      <w:r w:rsidR="00E6484E">
        <w:t>Zamawiającego</w:t>
      </w:r>
      <w:r>
        <w:t>. Ogólne wymagania dotyczące Robót podano w ST DM.00.00.00. " Wymagania Ogólne ".</w:t>
      </w:r>
    </w:p>
    <w:p w:rsidR="00A245A9" w:rsidRDefault="00A245A9" w:rsidP="00923B59">
      <w:pPr>
        <w:tabs>
          <w:tab w:val="left" w:pos="576"/>
          <w:tab w:val="left" w:pos="1008"/>
        </w:tabs>
        <w:jc w:val="both"/>
      </w:pPr>
    </w:p>
    <w:p w:rsidR="00923B59" w:rsidRDefault="00923B59" w:rsidP="0097494B">
      <w:pPr>
        <w:numPr>
          <w:ilvl w:val="2"/>
          <w:numId w:val="26"/>
        </w:numPr>
        <w:tabs>
          <w:tab w:val="clear" w:pos="0"/>
          <w:tab w:val="num" w:pos="720"/>
        </w:tabs>
        <w:suppressAutoHyphens/>
        <w:spacing w:before="120" w:after="60"/>
        <w:ind w:left="720" w:hanging="720"/>
        <w:jc w:val="both"/>
        <w:outlineLvl w:val="2"/>
        <w:rPr>
          <w:b/>
          <w:snapToGrid w:val="0"/>
          <w:u w:val="single"/>
        </w:rPr>
      </w:pPr>
      <w:r w:rsidRPr="006C636B">
        <w:rPr>
          <w:b/>
          <w:snapToGrid w:val="0"/>
          <w:u w:val="single"/>
        </w:rPr>
        <w:t>2. MATERIAŁY</w:t>
      </w:r>
    </w:p>
    <w:p w:rsidR="00923B59" w:rsidRPr="00096BB0" w:rsidRDefault="00923B59" w:rsidP="00923B59">
      <w:pPr>
        <w:tabs>
          <w:tab w:val="left" w:pos="576"/>
          <w:tab w:val="left" w:pos="1008"/>
        </w:tabs>
        <w:spacing w:before="120" w:after="120"/>
        <w:jc w:val="both"/>
        <w:rPr>
          <w:b/>
        </w:rPr>
      </w:pPr>
      <w:r w:rsidRPr="00096BB0">
        <w:rPr>
          <w:b/>
        </w:rPr>
        <w:t>2.1</w:t>
      </w:r>
      <w:r>
        <w:rPr>
          <w:b/>
        </w:rPr>
        <w:t>.</w:t>
      </w:r>
      <w:r w:rsidRPr="00096BB0">
        <w:rPr>
          <w:b/>
        </w:rPr>
        <w:t xml:space="preserve"> Ogólne wymagania dotyczące materiałów</w:t>
      </w:r>
    </w:p>
    <w:p w:rsidR="00CD162F" w:rsidRDefault="00CD162F" w:rsidP="00923B59">
      <w:pPr>
        <w:tabs>
          <w:tab w:val="left" w:pos="576"/>
          <w:tab w:val="left" w:pos="1008"/>
        </w:tabs>
        <w:spacing w:before="120" w:after="120"/>
        <w:jc w:val="both"/>
      </w:pPr>
      <w:r>
        <w:tab/>
      </w:r>
      <w:r w:rsidR="00A245A9">
        <w:t>Prefabrykaty żelbetowe powinn</w:t>
      </w:r>
      <w:r>
        <w:t>y być zgodne z Dokumentacją Pro</w:t>
      </w:r>
      <w:r w:rsidR="00A245A9">
        <w:t>j</w:t>
      </w:r>
      <w:r>
        <w:t>e</w:t>
      </w:r>
      <w:r w:rsidR="00CD36AA">
        <w:t>ktową oraz M.13.00</w:t>
      </w:r>
      <w:r w:rsidR="00A245A9">
        <w:t>.00. Tolerancje wymiarów wynoszą ±3 mm</w:t>
      </w:r>
    </w:p>
    <w:p w:rsidR="00CD162F" w:rsidRDefault="00CD162F" w:rsidP="00923B59">
      <w:pPr>
        <w:tabs>
          <w:tab w:val="left" w:pos="576"/>
          <w:tab w:val="left" w:pos="1008"/>
        </w:tabs>
        <w:spacing w:before="120" w:after="120"/>
        <w:jc w:val="both"/>
      </w:pPr>
      <w:r>
        <w:tab/>
        <w:t>Materiały uszczelniające, zespalające powinny być zgodne z Dokumentacją Projektową</w:t>
      </w:r>
    </w:p>
    <w:p w:rsidR="005303AB" w:rsidRPr="00573E1E" w:rsidRDefault="00573E1E" w:rsidP="00573E1E">
      <w:pPr>
        <w:widowControl w:val="0"/>
        <w:ind w:firstLine="709"/>
        <w:jc w:val="both"/>
        <w:rPr>
          <w:snapToGrid w:val="0"/>
        </w:rPr>
      </w:pPr>
      <w:r w:rsidRPr="0075125F">
        <w:rPr>
          <w:snapToGrid w:val="0"/>
        </w:rPr>
        <w:t xml:space="preserve">Przed przystąpieniem do wbudowywania materiału Wykonawca zobowiązany jest do przedstawienia przy każdej dostawie deklaracji </w:t>
      </w:r>
      <w:r w:rsidR="006335B4">
        <w:rPr>
          <w:snapToGrid w:val="0"/>
        </w:rPr>
        <w:t>właściwości</w:t>
      </w:r>
      <w:r w:rsidRPr="0075125F">
        <w:rPr>
          <w:snapToGrid w:val="0"/>
        </w:rPr>
        <w:t xml:space="preserve"> użytkowych materiału objętego normą zharmonizowaną lub europejską oceną techniczną lub europejską aprobatą techniczną, lub krajowej deklaracji </w:t>
      </w:r>
      <w:r w:rsidR="006335B4">
        <w:rPr>
          <w:snapToGrid w:val="0"/>
        </w:rPr>
        <w:t>właściwości</w:t>
      </w:r>
      <w:r w:rsidRPr="0075125F">
        <w:rPr>
          <w:snapToGrid w:val="0"/>
        </w:rPr>
        <w:t xml:space="preserve"> użytkowych dla materiału objętego Polską Normą lub krajową oceną techniczną lub aprobatą techniczną, a także kart technicznych i instrukcji użytkowania poszczególnych materiałów. Za sprawdzenie przydatności materiałów oraz jakość wbudowania odpowiada Wykonawca.</w:t>
      </w:r>
    </w:p>
    <w:p w:rsidR="005303AB" w:rsidRPr="005303AB" w:rsidRDefault="005303AB" w:rsidP="00923B59">
      <w:pPr>
        <w:tabs>
          <w:tab w:val="left" w:pos="576"/>
          <w:tab w:val="left" w:pos="1008"/>
        </w:tabs>
        <w:spacing w:before="120" w:after="120"/>
        <w:jc w:val="both"/>
        <w:rPr>
          <w:b/>
        </w:rPr>
      </w:pPr>
      <w:r w:rsidRPr="005303AB">
        <w:rPr>
          <w:b/>
        </w:rPr>
        <w:t>2.2. Prefabrykaty przepustów</w:t>
      </w:r>
    </w:p>
    <w:p w:rsidR="005303AB" w:rsidRPr="00AF43D9" w:rsidRDefault="00AF43D9" w:rsidP="00923B59">
      <w:pPr>
        <w:tabs>
          <w:tab w:val="left" w:pos="576"/>
          <w:tab w:val="left" w:pos="1008"/>
        </w:tabs>
        <w:spacing w:before="120" w:after="120"/>
        <w:jc w:val="both"/>
      </w:pPr>
      <w:r>
        <w:tab/>
      </w:r>
      <w:r w:rsidR="005303AB" w:rsidRPr="00AF43D9">
        <w:t xml:space="preserve">Przedmiotem niniejszej specyfikacji są prefabrykaty wykonywane zgodnie z katalogiem "Przepusty drogowe z elementów prefabrykowanych" Transprojekt Warszawa 2007 r.” </w:t>
      </w:r>
      <w:r w:rsidRPr="00AF43D9">
        <w:t xml:space="preserve">Zgodnie z powyższym, wszystkie elementy konstrukcyjne przepustów zostały zaprojektowane na obciążenie ruchome klasy </w:t>
      </w:r>
      <w:r w:rsidR="00892CA3">
        <w:t xml:space="preserve">I </w:t>
      </w:r>
      <w:r w:rsidRPr="00AF43D9">
        <w:t>oraz obciążenie pojazdem specjalnym klasy 150.</w:t>
      </w:r>
    </w:p>
    <w:p w:rsidR="00AF43D9" w:rsidRPr="00AF43D9" w:rsidRDefault="00AF43D9" w:rsidP="00923B59">
      <w:pPr>
        <w:tabs>
          <w:tab w:val="left" w:pos="576"/>
          <w:tab w:val="left" w:pos="1008"/>
        </w:tabs>
        <w:spacing w:before="120" w:after="120"/>
        <w:jc w:val="both"/>
      </w:pPr>
      <w:r w:rsidRPr="00AF43D9">
        <w:tab/>
        <w:t>Prefabrykaty przepustów powinny być wykonane w wytwórni zgodnie z PN-EN 14844:2008. Jeżeli dokumentacja projektowa ani ST nie precyzują inaczej można stosować prefabrykaty, które dodatkowo spełniają wymagania podane poniżej.</w:t>
      </w:r>
    </w:p>
    <w:p w:rsidR="005303AB" w:rsidRPr="00AF43D9" w:rsidRDefault="00AF43D9" w:rsidP="00923B59">
      <w:pPr>
        <w:tabs>
          <w:tab w:val="left" w:pos="576"/>
          <w:tab w:val="left" w:pos="1008"/>
        </w:tabs>
        <w:spacing w:before="120" w:after="120"/>
        <w:jc w:val="both"/>
      </w:pPr>
      <w:r w:rsidRPr="00AF43D9">
        <w:t>2.2.1. Materiał do wykonania prefabrykatów</w:t>
      </w:r>
    </w:p>
    <w:p w:rsidR="00AF43D9" w:rsidRDefault="00AF43D9" w:rsidP="00923B59">
      <w:pPr>
        <w:tabs>
          <w:tab w:val="left" w:pos="576"/>
          <w:tab w:val="left" w:pos="1008"/>
        </w:tabs>
        <w:spacing w:before="120" w:after="120"/>
        <w:jc w:val="both"/>
      </w:pPr>
      <w:r w:rsidRPr="00AF43D9">
        <w:tab/>
        <w:t>Zgodnie z katalogiem "Przepusty drogowe z elementów prefabrykowanych" Transprojekt Warszawa 2007 r.”   prefabrykaty należy wykonać z betonu C 35/45 (B45), sp</w:t>
      </w:r>
      <w:r w:rsidR="00CD36AA">
        <w:t>ełniającego wymagania ST M-13.00</w:t>
      </w:r>
      <w:r w:rsidRPr="00AF43D9">
        <w:t>.00, zbrojonego stalą klasy A-IIIN, spełniającej wy</w:t>
      </w:r>
      <w:r>
        <w:t>magania ST M-12.01</w:t>
      </w:r>
      <w:r w:rsidR="00CD36AA">
        <w:t>.02</w:t>
      </w:r>
      <w:r>
        <w:t>.</w:t>
      </w:r>
    </w:p>
    <w:p w:rsidR="00AF43D9" w:rsidRDefault="00AF43D9" w:rsidP="00923B59">
      <w:pPr>
        <w:tabs>
          <w:tab w:val="left" w:pos="576"/>
          <w:tab w:val="left" w:pos="1008"/>
        </w:tabs>
        <w:spacing w:before="120" w:after="120"/>
        <w:jc w:val="both"/>
      </w:pPr>
    </w:p>
    <w:p w:rsidR="00AF43D9" w:rsidRDefault="00AF43D9" w:rsidP="00923B59">
      <w:pPr>
        <w:tabs>
          <w:tab w:val="left" w:pos="576"/>
          <w:tab w:val="left" w:pos="1008"/>
        </w:tabs>
        <w:spacing w:before="120" w:after="120"/>
        <w:jc w:val="both"/>
      </w:pPr>
      <w:r>
        <w:t>2.2.2 Tolerancje wykonania prefabrykatów</w:t>
      </w:r>
    </w:p>
    <w:p w:rsidR="00AF43D9" w:rsidRDefault="00AF43D9" w:rsidP="00923B59">
      <w:pPr>
        <w:tabs>
          <w:tab w:val="left" w:pos="576"/>
          <w:tab w:val="left" w:pos="1008"/>
        </w:tabs>
        <w:spacing w:before="120" w:after="120"/>
        <w:jc w:val="both"/>
      </w:pPr>
      <w:r>
        <w:t>Wymiary prefabrykatu powinny być zgodne z dokumentacją projektową, odchyłki wymiarów nie powinny przekraczać:</w:t>
      </w:r>
    </w:p>
    <w:p w:rsidR="00AF43D9" w:rsidRDefault="00AF43D9" w:rsidP="00923B59">
      <w:pPr>
        <w:tabs>
          <w:tab w:val="left" w:pos="576"/>
          <w:tab w:val="left" w:pos="1008"/>
        </w:tabs>
        <w:spacing w:before="120" w:after="120"/>
        <w:jc w:val="both"/>
      </w:pPr>
      <w:r>
        <w:tab/>
      </w:r>
      <w:r>
        <w:sym w:font="Symbol" w:char="F02D"/>
      </w:r>
      <w:r>
        <w:t xml:space="preserve"> długość prefabrykatu </w:t>
      </w:r>
      <w:r>
        <w:sym w:font="Symbol" w:char="F0B1"/>
      </w:r>
      <w:r>
        <w:t xml:space="preserve"> 5 mm, </w:t>
      </w:r>
    </w:p>
    <w:p w:rsidR="00AF43D9" w:rsidRDefault="00AF43D9" w:rsidP="00923B59">
      <w:pPr>
        <w:tabs>
          <w:tab w:val="left" w:pos="576"/>
          <w:tab w:val="left" w:pos="1008"/>
        </w:tabs>
        <w:spacing w:before="120" w:after="120"/>
        <w:jc w:val="both"/>
      </w:pPr>
      <w:r>
        <w:tab/>
      </w:r>
      <w:r>
        <w:sym w:font="Symbol" w:char="F02D"/>
      </w:r>
      <w:r>
        <w:t xml:space="preserve"> wysokość i szerokość elementu </w:t>
      </w:r>
      <w:r>
        <w:sym w:font="Symbol" w:char="F0B1"/>
      </w:r>
      <w:r>
        <w:t xml:space="preserve"> 5 mm, </w:t>
      </w:r>
    </w:p>
    <w:p w:rsidR="00AF43D9" w:rsidRDefault="00AF43D9" w:rsidP="00923B59">
      <w:pPr>
        <w:tabs>
          <w:tab w:val="left" w:pos="576"/>
          <w:tab w:val="left" w:pos="1008"/>
        </w:tabs>
        <w:spacing w:before="120" w:after="120"/>
        <w:jc w:val="both"/>
      </w:pPr>
      <w:r>
        <w:tab/>
      </w:r>
      <w:r>
        <w:sym w:font="Symbol" w:char="F02D"/>
      </w:r>
      <w:r>
        <w:t xml:space="preserve"> grubość ścian prefabrykatu +4 mm, -2 mm, </w:t>
      </w:r>
    </w:p>
    <w:p w:rsidR="00AF43D9" w:rsidRDefault="00AF43D9" w:rsidP="00923B59">
      <w:pPr>
        <w:tabs>
          <w:tab w:val="left" w:pos="576"/>
          <w:tab w:val="left" w:pos="1008"/>
        </w:tabs>
        <w:spacing w:before="120" w:after="120"/>
        <w:jc w:val="both"/>
      </w:pPr>
      <w:r>
        <w:tab/>
      </w:r>
      <w:r>
        <w:sym w:font="Symbol" w:char="F02D"/>
      </w:r>
      <w:r>
        <w:t xml:space="preserve"> gabaryt otworu </w:t>
      </w:r>
      <w:r>
        <w:sym w:font="Symbol" w:char="F0B1"/>
      </w:r>
      <w:r>
        <w:t xml:space="preserve"> 5 mm, </w:t>
      </w:r>
    </w:p>
    <w:p w:rsidR="00AF43D9" w:rsidRDefault="00AF43D9" w:rsidP="00923B59">
      <w:pPr>
        <w:tabs>
          <w:tab w:val="left" w:pos="576"/>
          <w:tab w:val="left" w:pos="1008"/>
        </w:tabs>
        <w:spacing w:before="120" w:after="120"/>
        <w:jc w:val="both"/>
      </w:pPr>
      <w:r>
        <w:tab/>
      </w:r>
      <w:r>
        <w:sym w:font="Symbol" w:char="F02D"/>
      </w:r>
      <w:r>
        <w:t xml:space="preserve"> zbieżność ścian </w:t>
      </w:r>
      <w:r>
        <w:sym w:font="Symbol" w:char="F0B1"/>
      </w:r>
      <w:r>
        <w:t xml:space="preserve"> 5 mm, </w:t>
      </w:r>
    </w:p>
    <w:p w:rsidR="00AF43D9" w:rsidRDefault="00AF43D9" w:rsidP="00923B59">
      <w:pPr>
        <w:tabs>
          <w:tab w:val="left" w:pos="576"/>
          <w:tab w:val="left" w:pos="1008"/>
        </w:tabs>
        <w:spacing w:before="120" w:after="120"/>
        <w:jc w:val="both"/>
      </w:pPr>
      <w:r>
        <w:tab/>
      </w:r>
      <w:r>
        <w:sym w:font="Symbol" w:char="F02D"/>
      </w:r>
      <w:r>
        <w:t xml:space="preserve"> wymiar zewnętrzny przekroju </w:t>
      </w:r>
      <w:r>
        <w:sym w:font="Symbol" w:char="F0B1"/>
      </w:r>
      <w:r>
        <w:t xml:space="preserve"> 20 mm.</w:t>
      </w:r>
    </w:p>
    <w:p w:rsidR="00AF43D9" w:rsidRDefault="00AF43D9" w:rsidP="00AF43D9">
      <w:pPr>
        <w:tabs>
          <w:tab w:val="left" w:pos="576"/>
          <w:tab w:val="left" w:pos="1008"/>
        </w:tabs>
        <w:spacing w:before="120" w:after="120"/>
        <w:jc w:val="both"/>
      </w:pPr>
      <w:r>
        <w:t>2.2.3 Dopuszczalne uszkodzenia powierzchni</w:t>
      </w:r>
    </w:p>
    <w:p w:rsidR="005303AB" w:rsidRDefault="00AF43D9" w:rsidP="00923B59">
      <w:pPr>
        <w:tabs>
          <w:tab w:val="left" w:pos="576"/>
          <w:tab w:val="left" w:pos="1008"/>
        </w:tabs>
        <w:spacing w:before="120" w:after="120"/>
        <w:jc w:val="both"/>
      </w:pPr>
      <w:r>
        <w:tab/>
        <w:t>Powierzchnie elementów przepustów powinny być gładkie, bez raków, pęknięć i rys. Dopuszcza się drobne pory jako pozostałości po pęcherzykach powietrza i po wodzie, których głębokość nie przekracza 5 mm. Dopuszczalne wady i uszkodzenia elementów prefabrykowanych przepustów podano w tablicy 4.</w:t>
      </w:r>
    </w:p>
    <w:p w:rsidR="005303AB" w:rsidRDefault="00D16A31" w:rsidP="00D16A31">
      <w:pPr>
        <w:tabs>
          <w:tab w:val="left" w:pos="576"/>
          <w:tab w:val="left" w:pos="1008"/>
        </w:tabs>
        <w:spacing w:before="120" w:after="120"/>
        <w:jc w:val="center"/>
      </w:pPr>
      <w:r>
        <w:t>Tablica 4. Dopuszczalne wady i uszkodzenia prefabrykatów</w:t>
      </w:r>
    </w:p>
    <w:p w:rsidR="005303AB" w:rsidRDefault="00D16A31" w:rsidP="00D16A31">
      <w:pPr>
        <w:tabs>
          <w:tab w:val="left" w:pos="576"/>
          <w:tab w:val="left" w:pos="1008"/>
        </w:tabs>
        <w:spacing w:before="120" w:after="120"/>
        <w:jc w:val="center"/>
      </w:pPr>
      <w:r>
        <w:rPr>
          <w:noProof/>
        </w:rPr>
        <w:drawing>
          <wp:inline distT="0" distB="0" distL="0" distR="0">
            <wp:extent cx="4382135" cy="1973580"/>
            <wp:effectExtent l="0" t="0" r="0" b="7620"/>
            <wp:docPr id="72" name="Obraz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382135" cy="1973580"/>
                    </a:xfrm>
                    <a:prstGeom prst="rect">
                      <a:avLst/>
                    </a:prstGeom>
                    <a:noFill/>
                    <a:ln>
                      <a:noFill/>
                    </a:ln>
                  </pic:spPr>
                </pic:pic>
              </a:graphicData>
            </a:graphic>
          </wp:inline>
        </w:drawing>
      </w:r>
    </w:p>
    <w:p w:rsidR="00D16A31" w:rsidRDefault="00D16A31" w:rsidP="00D16A31">
      <w:pPr>
        <w:tabs>
          <w:tab w:val="left" w:pos="576"/>
          <w:tab w:val="left" w:pos="1008"/>
        </w:tabs>
        <w:spacing w:before="120" w:after="120"/>
      </w:pPr>
      <w:r>
        <w:t>2.2.4 Łączniki do zespolenia prefabrykatów z betonem wykonywanym na miejscu.</w:t>
      </w:r>
    </w:p>
    <w:p w:rsidR="00D16A31" w:rsidRDefault="002522CD" w:rsidP="00D16A31">
      <w:pPr>
        <w:tabs>
          <w:tab w:val="left" w:pos="576"/>
          <w:tab w:val="left" w:pos="1008"/>
        </w:tabs>
        <w:spacing w:before="120" w:after="120"/>
      </w:pPr>
      <w:r>
        <w:tab/>
      </w:r>
      <w:r w:rsidR="00D16A31">
        <w:t>Jeśli dokumentacja projektowa nie stanowi inaczej łączniki powinny być wykonywane</w:t>
      </w:r>
      <w:r w:rsidR="00CD36AA">
        <w:t xml:space="preserve"> ze stali AIIIN wg ST M.12.01.02</w:t>
      </w:r>
      <w:r w:rsidR="00D16A31">
        <w:t>.</w:t>
      </w:r>
    </w:p>
    <w:p w:rsidR="002522CD" w:rsidRPr="002522CD" w:rsidRDefault="002522CD" w:rsidP="002522CD">
      <w:pPr>
        <w:tabs>
          <w:tab w:val="left" w:pos="576"/>
          <w:tab w:val="left" w:pos="1008"/>
        </w:tabs>
        <w:spacing w:before="120" w:after="120"/>
      </w:pPr>
      <w:r>
        <w:tab/>
        <w:t xml:space="preserve">Łączniki powinne być wklejane na </w:t>
      </w:r>
      <w:r w:rsidRPr="002522CD">
        <w:t>zaprawa niskoskurczowana spoiwie cementowymo wytrzymałości na ściskanie min. 30MPa lub klej epoksydowy</w:t>
      </w:r>
      <w:r>
        <w:t xml:space="preserve"> (żywica)</w:t>
      </w:r>
      <w:r w:rsidRPr="002522CD">
        <w:t xml:space="preserve">. </w:t>
      </w:r>
    </w:p>
    <w:p w:rsidR="002522CD" w:rsidRDefault="002522CD" w:rsidP="002522CD">
      <w:pPr>
        <w:tabs>
          <w:tab w:val="left" w:pos="576"/>
          <w:tab w:val="left" w:pos="1008"/>
        </w:tabs>
        <w:spacing w:before="120" w:after="120"/>
      </w:pPr>
      <w:r>
        <w:tab/>
        <w:t>Zastosowana żywica powinna być materiałem twardniejącym bezskurczowo, mieć bardzo dobre właściwości mechaniczne i mieć bardzo dobrą przyczepność do betonu i stali. Jeżeli dokumentacja projektowa ani ST nie precyzują inaczej, można stosować żywicę o właściwościach podanych w tablicy 5</w:t>
      </w:r>
    </w:p>
    <w:p w:rsidR="00D16A31" w:rsidRDefault="002522CD" w:rsidP="002522CD">
      <w:pPr>
        <w:tabs>
          <w:tab w:val="left" w:pos="576"/>
          <w:tab w:val="left" w:pos="1008"/>
        </w:tabs>
        <w:spacing w:before="120" w:after="120"/>
        <w:jc w:val="center"/>
      </w:pPr>
      <w:r>
        <w:t>Tablica 5. Wymagania dla żywicy epoksydowej</w:t>
      </w:r>
    </w:p>
    <w:p w:rsidR="002522CD" w:rsidRDefault="002522CD" w:rsidP="002522CD">
      <w:pPr>
        <w:tabs>
          <w:tab w:val="left" w:pos="576"/>
          <w:tab w:val="left" w:pos="1008"/>
        </w:tabs>
        <w:spacing w:before="120" w:after="120"/>
        <w:jc w:val="center"/>
      </w:pPr>
      <w:r>
        <w:rPr>
          <w:noProof/>
        </w:rPr>
        <w:drawing>
          <wp:inline distT="0" distB="0" distL="0" distR="0">
            <wp:extent cx="4382135" cy="1810385"/>
            <wp:effectExtent l="0" t="0" r="0" b="0"/>
            <wp:docPr id="73" name="Obraz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382135" cy="1810385"/>
                    </a:xfrm>
                    <a:prstGeom prst="rect">
                      <a:avLst/>
                    </a:prstGeom>
                    <a:noFill/>
                    <a:ln>
                      <a:noFill/>
                    </a:ln>
                  </pic:spPr>
                </pic:pic>
              </a:graphicData>
            </a:graphic>
          </wp:inline>
        </w:drawing>
      </w:r>
    </w:p>
    <w:p w:rsidR="002522CD" w:rsidRDefault="002522CD" w:rsidP="002522CD">
      <w:pPr>
        <w:tabs>
          <w:tab w:val="left" w:pos="576"/>
          <w:tab w:val="left" w:pos="1008"/>
        </w:tabs>
        <w:spacing w:before="120" w:after="120"/>
      </w:pPr>
    </w:p>
    <w:p w:rsidR="002522CD" w:rsidRPr="005303AB" w:rsidRDefault="002522CD" w:rsidP="002522CD">
      <w:pPr>
        <w:tabs>
          <w:tab w:val="left" w:pos="576"/>
          <w:tab w:val="left" w:pos="1008"/>
        </w:tabs>
        <w:spacing w:before="120" w:after="120"/>
        <w:jc w:val="both"/>
        <w:rPr>
          <w:b/>
        </w:rPr>
      </w:pPr>
      <w:r>
        <w:rPr>
          <w:b/>
        </w:rPr>
        <w:t>2.3</w:t>
      </w:r>
      <w:r w:rsidRPr="005303AB">
        <w:rPr>
          <w:b/>
        </w:rPr>
        <w:t>. P</w:t>
      </w:r>
      <w:r>
        <w:rPr>
          <w:b/>
        </w:rPr>
        <w:t>ołaczenia między prefabrykatami</w:t>
      </w:r>
    </w:p>
    <w:p w:rsidR="002522CD" w:rsidRDefault="002522CD" w:rsidP="002522CD">
      <w:pPr>
        <w:tabs>
          <w:tab w:val="left" w:pos="576"/>
          <w:tab w:val="left" w:pos="1008"/>
        </w:tabs>
        <w:spacing w:before="120" w:after="120"/>
        <w:jc w:val="both"/>
      </w:pPr>
      <w:r>
        <w:tab/>
        <w:t xml:space="preserve">Zgodnie z katalogiem </w:t>
      </w:r>
      <w:r w:rsidRPr="00AF43D9">
        <w:t>"Przepusty drogowe z elementów prefabrykowanych" Transprojekt Warszawa 2007 r.”</w:t>
      </w:r>
      <w:r>
        <w:t xml:space="preserve">  ściany czołowe prefabrykatów zostały zaprojektowane w postaci zamków. Wypełnienie zamków między prefabrykatami należy wykonać ze ściśliwej wkładki przeznaczonej do uszczelniania szczelin dylatacyjnych. Wkładka uszczelniająca powinna być wykonana z okrągłego profilu, np. z neoprenu i wykazywać ściśliwość do 50%, przy optymalnej ściśliwości około 25%. Powierzchnia profilu uszczelniającego powinna być pokryta samoprzylepną powłoką wodoodporną. Średnica profilu powinna być indywidualnie dobrana do szerokości szczeliny zamka, zgodnie z dokumentacją projektową i zaleceniami producenta profilu.</w:t>
      </w:r>
    </w:p>
    <w:p w:rsidR="002522CD" w:rsidRPr="009B7DE1" w:rsidRDefault="009B7DE1" w:rsidP="009B7DE1">
      <w:pPr>
        <w:tabs>
          <w:tab w:val="left" w:pos="576"/>
          <w:tab w:val="left" w:pos="1008"/>
        </w:tabs>
        <w:spacing w:before="120" w:after="120"/>
        <w:jc w:val="both"/>
        <w:rPr>
          <w:b/>
        </w:rPr>
      </w:pPr>
      <w:r w:rsidRPr="009B7DE1">
        <w:rPr>
          <w:b/>
        </w:rPr>
        <w:t>2.4. Materiał do połaczenia prefabrykatu z betonem monolitycznym</w:t>
      </w:r>
    </w:p>
    <w:p w:rsidR="009B7DE1" w:rsidRDefault="009B7DE1" w:rsidP="009B7DE1">
      <w:pPr>
        <w:tabs>
          <w:tab w:val="left" w:pos="576"/>
          <w:tab w:val="left" w:pos="1008"/>
        </w:tabs>
        <w:spacing w:before="120" w:after="120"/>
        <w:jc w:val="both"/>
      </w:pPr>
      <w:r>
        <w:tab/>
        <w:t>Do połączenia prefabrykatów z betonem monolitycznym należy stosować środek sczepny poprawiający przyczepność świeżego betonu do betonu w prefabrykacie, pełniący jednocześnie funkcję środka zabezpieczającego antykorozyjnie zbrojenie. Jeżeli dokumentacja projektowa ani ST nie precyzują inaczej, można zastosować jednoskładnikowy środek na bazie cementu modyfikowanego polimerem, spełniający wymagania podane w tablicy 7.</w:t>
      </w:r>
    </w:p>
    <w:p w:rsidR="009B7DE1" w:rsidRDefault="009B7DE1" w:rsidP="009B7DE1">
      <w:pPr>
        <w:tabs>
          <w:tab w:val="left" w:pos="576"/>
          <w:tab w:val="left" w:pos="1008"/>
        </w:tabs>
        <w:spacing w:before="120" w:after="120"/>
        <w:jc w:val="center"/>
      </w:pPr>
      <w:r>
        <w:t>Tablica 7. Wymagania dla środka sczepnego</w:t>
      </w:r>
    </w:p>
    <w:p w:rsidR="005303AB" w:rsidRDefault="009B7DE1" w:rsidP="009B7DE1">
      <w:pPr>
        <w:tabs>
          <w:tab w:val="left" w:pos="576"/>
          <w:tab w:val="left" w:pos="1008"/>
        </w:tabs>
        <w:spacing w:before="120" w:after="120"/>
        <w:jc w:val="center"/>
      </w:pPr>
      <w:r>
        <w:rPr>
          <w:noProof/>
        </w:rPr>
        <w:drawing>
          <wp:inline distT="0" distB="0" distL="0" distR="0">
            <wp:extent cx="4300220" cy="1041400"/>
            <wp:effectExtent l="0" t="0" r="5080" b="6350"/>
            <wp:docPr id="74" name="Obraz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300220" cy="1041400"/>
                    </a:xfrm>
                    <a:prstGeom prst="rect">
                      <a:avLst/>
                    </a:prstGeom>
                    <a:noFill/>
                    <a:ln>
                      <a:noFill/>
                    </a:ln>
                  </pic:spPr>
                </pic:pic>
              </a:graphicData>
            </a:graphic>
          </wp:inline>
        </w:drawing>
      </w:r>
    </w:p>
    <w:p w:rsidR="009B7DE1" w:rsidRPr="009B7DE1" w:rsidRDefault="009B7DE1" w:rsidP="00923B59">
      <w:pPr>
        <w:tabs>
          <w:tab w:val="left" w:pos="576"/>
          <w:tab w:val="left" w:pos="1008"/>
        </w:tabs>
        <w:spacing w:before="120" w:after="120"/>
        <w:jc w:val="both"/>
        <w:rPr>
          <w:b/>
        </w:rPr>
      </w:pPr>
      <w:r w:rsidRPr="009B7DE1">
        <w:rPr>
          <w:b/>
        </w:rPr>
        <w:t>2.5. Izolacja przepustu</w:t>
      </w:r>
    </w:p>
    <w:p w:rsidR="009B7DE1" w:rsidRDefault="009B7DE1" w:rsidP="00923B59">
      <w:pPr>
        <w:tabs>
          <w:tab w:val="left" w:pos="576"/>
          <w:tab w:val="left" w:pos="1008"/>
        </w:tabs>
        <w:spacing w:before="120" w:after="120"/>
        <w:jc w:val="both"/>
      </w:pPr>
      <w:r>
        <w:tab/>
        <w:t xml:space="preserve">Wszystkie powierzchnie stykające się z gruntem należy pokryć izolacją spełniającą wymagania ST M-15.01.02. </w:t>
      </w:r>
    </w:p>
    <w:p w:rsidR="00923B59" w:rsidRPr="006C636B" w:rsidRDefault="00923B59" w:rsidP="0097494B">
      <w:pPr>
        <w:numPr>
          <w:ilvl w:val="2"/>
          <w:numId w:val="26"/>
        </w:numPr>
        <w:tabs>
          <w:tab w:val="clear" w:pos="0"/>
          <w:tab w:val="num" w:pos="720"/>
        </w:tabs>
        <w:suppressAutoHyphens/>
        <w:spacing w:before="120" w:after="120"/>
        <w:ind w:left="720" w:hanging="720"/>
        <w:jc w:val="both"/>
        <w:outlineLvl w:val="2"/>
        <w:rPr>
          <w:b/>
          <w:snapToGrid w:val="0"/>
          <w:u w:val="single"/>
        </w:rPr>
      </w:pPr>
      <w:r w:rsidRPr="006C636B">
        <w:rPr>
          <w:b/>
          <w:snapToGrid w:val="0"/>
          <w:u w:val="single"/>
        </w:rPr>
        <w:t>3. SPRZĘT</w:t>
      </w:r>
    </w:p>
    <w:p w:rsidR="00923B59" w:rsidRPr="009D7D00" w:rsidRDefault="00923B59" w:rsidP="00923B59">
      <w:pPr>
        <w:tabs>
          <w:tab w:val="left" w:pos="576"/>
          <w:tab w:val="left" w:pos="1008"/>
        </w:tabs>
        <w:spacing w:before="120" w:after="120"/>
        <w:jc w:val="both"/>
        <w:rPr>
          <w:b/>
        </w:rPr>
      </w:pPr>
      <w:r w:rsidRPr="009D7D00">
        <w:rPr>
          <w:b/>
        </w:rPr>
        <w:t>3.1. Ogólne wymagania dotyczące sprzętu</w:t>
      </w:r>
    </w:p>
    <w:p w:rsidR="00923B59" w:rsidRPr="00CD162F" w:rsidRDefault="00CD162F" w:rsidP="00CD162F">
      <w:pPr>
        <w:tabs>
          <w:tab w:val="left" w:pos="576"/>
          <w:tab w:val="left" w:pos="1008"/>
        </w:tabs>
        <w:spacing w:before="120" w:after="120"/>
        <w:jc w:val="both"/>
      </w:pPr>
      <w:r>
        <w:tab/>
      </w:r>
      <w:r w:rsidR="00923B59">
        <w:t>Ogólne wymagania dotyczące sprzętu podano w ST D-M-00.00.00 „Wymagania ogólne”</w:t>
      </w:r>
    </w:p>
    <w:p w:rsidR="00923B59" w:rsidRDefault="00923B59" w:rsidP="00923B59">
      <w:pPr>
        <w:tabs>
          <w:tab w:val="left" w:pos="576"/>
          <w:tab w:val="left" w:pos="1008"/>
        </w:tabs>
        <w:spacing w:before="120" w:after="120"/>
        <w:jc w:val="both"/>
        <w:rPr>
          <w:b/>
        </w:rPr>
      </w:pPr>
      <w:r w:rsidRPr="003855FC">
        <w:rPr>
          <w:b/>
        </w:rPr>
        <w:t>3.2. Sprzęt do wykonania robót</w:t>
      </w:r>
    </w:p>
    <w:p w:rsidR="00A245A9" w:rsidRPr="00A245A9" w:rsidRDefault="00CD162F" w:rsidP="00CD162F">
      <w:pPr>
        <w:tabs>
          <w:tab w:val="left" w:pos="576"/>
          <w:tab w:val="left" w:pos="1008"/>
        </w:tabs>
        <w:spacing w:before="120" w:after="120"/>
        <w:jc w:val="both"/>
        <w:rPr>
          <w:b/>
          <w:snapToGrid w:val="0"/>
          <w:u w:val="single"/>
        </w:rPr>
      </w:pPr>
      <w:r>
        <w:tab/>
        <w:t>Roboty można wykonać przy użyciu dowolnego typu sprzętu zaakceptowanego przez Inzyniera.</w:t>
      </w:r>
    </w:p>
    <w:p w:rsidR="00923B59" w:rsidRPr="006C636B" w:rsidRDefault="00923B59" w:rsidP="0097494B">
      <w:pPr>
        <w:numPr>
          <w:ilvl w:val="2"/>
          <w:numId w:val="26"/>
        </w:numPr>
        <w:tabs>
          <w:tab w:val="clear" w:pos="0"/>
          <w:tab w:val="num" w:pos="720"/>
        </w:tabs>
        <w:suppressAutoHyphens/>
        <w:spacing w:before="120" w:after="120"/>
        <w:ind w:left="720" w:hanging="720"/>
        <w:jc w:val="both"/>
        <w:outlineLvl w:val="2"/>
        <w:rPr>
          <w:b/>
          <w:snapToGrid w:val="0"/>
          <w:u w:val="single"/>
        </w:rPr>
      </w:pPr>
      <w:r w:rsidRPr="006C636B">
        <w:rPr>
          <w:b/>
          <w:snapToGrid w:val="0"/>
          <w:u w:val="single"/>
        </w:rPr>
        <w:t>4. TRANSPORT</w:t>
      </w:r>
    </w:p>
    <w:p w:rsidR="00582AEA" w:rsidRPr="00582AEA" w:rsidRDefault="00582AEA" w:rsidP="00582AEA">
      <w:pPr>
        <w:tabs>
          <w:tab w:val="left" w:pos="576"/>
          <w:tab w:val="left" w:pos="1008"/>
        </w:tabs>
        <w:spacing w:before="120" w:after="120"/>
        <w:jc w:val="both"/>
        <w:rPr>
          <w:b/>
        </w:rPr>
      </w:pPr>
      <w:r w:rsidRPr="00582AEA">
        <w:rPr>
          <w:b/>
        </w:rPr>
        <w:t xml:space="preserve">4.1. </w:t>
      </w:r>
      <w:r>
        <w:rPr>
          <w:b/>
        </w:rPr>
        <w:t>Warunki ogólne</w:t>
      </w:r>
    </w:p>
    <w:p w:rsidR="00582AEA" w:rsidRDefault="00582AEA" w:rsidP="00582AEA">
      <w:pPr>
        <w:ind w:firstLine="709"/>
        <w:jc w:val="both"/>
      </w:pPr>
      <w:r>
        <w:t>Ogólne warunki transportu podano w ST D-M-00.00.00 „Wymagania ogólne” [</w:t>
      </w:r>
    </w:p>
    <w:p w:rsidR="00582AEA" w:rsidRDefault="00582AEA" w:rsidP="00582AEA">
      <w:pPr>
        <w:tabs>
          <w:tab w:val="left" w:pos="576"/>
          <w:tab w:val="left" w:pos="1008"/>
        </w:tabs>
        <w:spacing w:before="120" w:after="120"/>
        <w:jc w:val="both"/>
        <w:rPr>
          <w:b/>
        </w:rPr>
      </w:pPr>
      <w:r>
        <w:rPr>
          <w:b/>
        </w:rPr>
        <w:t>4.2</w:t>
      </w:r>
      <w:r w:rsidRPr="00582AEA">
        <w:rPr>
          <w:b/>
        </w:rPr>
        <w:t xml:space="preserve">. </w:t>
      </w:r>
      <w:r>
        <w:rPr>
          <w:b/>
        </w:rPr>
        <w:t>Transport materiałów</w:t>
      </w:r>
    </w:p>
    <w:p w:rsidR="00582AEA" w:rsidRPr="00582AEA" w:rsidRDefault="00582AEA" w:rsidP="00582AEA">
      <w:pPr>
        <w:jc w:val="both"/>
      </w:pPr>
      <w:r w:rsidRPr="00582AEA">
        <w:t>4.2.1. Transport i składowanie prefabrykatów</w:t>
      </w:r>
    </w:p>
    <w:p w:rsidR="00582AEA" w:rsidRDefault="00582AEA" w:rsidP="00582AEA">
      <w:pPr>
        <w:tabs>
          <w:tab w:val="left" w:pos="576"/>
          <w:tab w:val="left" w:pos="1008"/>
        </w:tabs>
        <w:spacing w:before="120" w:after="120"/>
        <w:jc w:val="both"/>
      </w:pPr>
      <w:r>
        <w:tab/>
        <w:t>Składowanie elementów powinno odbywać się na wyrównanym, utwardzonym i odwodnionym podłożu. Poszczególne rodzaje elementów przepustów powinny być składane oddzielnie. Elementy należy układać na podkładach z zachowaniem prześwitu minimum 10 cm pomiędzy podłożem i elementem. Elementy mogą być składane w pozycji, w jakiej będą wbudowane. Transport powinien odbywać się w wagonach kolejowych, samochodach ciężarowych lub innych środkach transportowych, w liczbie sztuk nie przekraczającej dopuszczalnego obciążenia środka transportu. Rozmieszczenie elementów na środkach transportu powinno być symetryczne. Elementy należy układać na podkładach drewnianych o wymiarach przekroju co najmniej 10 × 5 cm z odstępami pomiędzy elementami umożliwiającymi rozładowanie. Podkłady powinny wystawać poza obręb elementu, co najmniej 30 cm. Do transportu można przekazać elementy, w których beton osiągnął wytrzymałość co najmniej 0,75 R. Prefabrykaty powinny być składowane w warunkach wysokiej wilgotności względnej. Prefabrykaty przeznaczone dla jednego obiektu powinny być składowane w takich samych warunkach atmosferycznych.</w:t>
      </w:r>
    </w:p>
    <w:p w:rsidR="00582AEA" w:rsidRDefault="00582AEA" w:rsidP="00582AEA">
      <w:pPr>
        <w:tabs>
          <w:tab w:val="left" w:pos="576"/>
          <w:tab w:val="left" w:pos="1008"/>
        </w:tabs>
        <w:spacing w:before="120" w:after="120"/>
        <w:jc w:val="both"/>
      </w:pPr>
    </w:p>
    <w:p w:rsidR="00582AEA" w:rsidRDefault="00582AEA" w:rsidP="00582AEA">
      <w:pPr>
        <w:tabs>
          <w:tab w:val="left" w:pos="576"/>
          <w:tab w:val="left" w:pos="1008"/>
        </w:tabs>
        <w:spacing w:before="120" w:after="120"/>
        <w:jc w:val="both"/>
      </w:pPr>
    </w:p>
    <w:p w:rsidR="00923B59" w:rsidRDefault="00923B59" w:rsidP="0097494B">
      <w:pPr>
        <w:numPr>
          <w:ilvl w:val="2"/>
          <w:numId w:val="26"/>
        </w:numPr>
        <w:tabs>
          <w:tab w:val="clear" w:pos="0"/>
          <w:tab w:val="num" w:pos="720"/>
        </w:tabs>
        <w:suppressAutoHyphens/>
        <w:spacing w:before="120" w:after="120"/>
        <w:ind w:left="720" w:hanging="720"/>
        <w:jc w:val="both"/>
        <w:outlineLvl w:val="2"/>
        <w:rPr>
          <w:b/>
          <w:snapToGrid w:val="0"/>
          <w:u w:val="single"/>
        </w:rPr>
      </w:pPr>
      <w:r w:rsidRPr="006C636B">
        <w:rPr>
          <w:b/>
          <w:snapToGrid w:val="0"/>
          <w:u w:val="single"/>
        </w:rPr>
        <w:t>5. WYKONANIE ROBÓT</w:t>
      </w:r>
    </w:p>
    <w:p w:rsidR="00923B59" w:rsidRPr="003855FC" w:rsidRDefault="00923B59" w:rsidP="00923B59">
      <w:pPr>
        <w:tabs>
          <w:tab w:val="left" w:pos="576"/>
          <w:tab w:val="left" w:pos="1008"/>
        </w:tabs>
        <w:spacing w:before="120" w:after="120"/>
        <w:jc w:val="both"/>
        <w:rPr>
          <w:b/>
        </w:rPr>
      </w:pPr>
      <w:r w:rsidRPr="003855FC">
        <w:rPr>
          <w:b/>
        </w:rPr>
        <w:t>5.1. Ogólne zasady wykonywania robót</w:t>
      </w:r>
    </w:p>
    <w:p w:rsidR="00923B59" w:rsidRDefault="001C168B" w:rsidP="001C168B">
      <w:pPr>
        <w:tabs>
          <w:tab w:val="left" w:pos="360"/>
        </w:tabs>
        <w:jc w:val="both"/>
      </w:pPr>
      <w:r>
        <w:tab/>
      </w:r>
      <w:r>
        <w:tab/>
      </w:r>
      <w:r w:rsidR="00923B59">
        <w:t>Ogólne zasady wykonywania robót podano w ST D-M-00.00.00 „Wymagania ogólne”</w:t>
      </w:r>
    </w:p>
    <w:p w:rsidR="00CD162F" w:rsidRDefault="001C168B" w:rsidP="001C168B">
      <w:pPr>
        <w:tabs>
          <w:tab w:val="left" w:pos="360"/>
        </w:tabs>
        <w:jc w:val="both"/>
      </w:pPr>
      <w:r>
        <w:tab/>
      </w:r>
      <w:r>
        <w:tab/>
      </w:r>
      <w:r w:rsidR="00E6484E">
        <w:t xml:space="preserve">Wykonawca przedstawi </w:t>
      </w:r>
      <w:r w:rsidR="003D1914">
        <w:t>przedstawicielowi Zamawiającego</w:t>
      </w:r>
      <w:r w:rsidR="00CD162F">
        <w:t xml:space="preserve"> do akceptacji Projekt Organizacji i Harmonogram Robót uwzględniające wszystkie warunki w jakich będzie wykonany montaż żelbetowych prefabrykatów przepustów.</w:t>
      </w:r>
    </w:p>
    <w:p w:rsidR="00582AEA" w:rsidRPr="00582AEA" w:rsidRDefault="00582AEA" w:rsidP="00582AEA">
      <w:pPr>
        <w:tabs>
          <w:tab w:val="left" w:pos="576"/>
          <w:tab w:val="left" w:pos="1008"/>
        </w:tabs>
        <w:spacing w:before="120" w:after="120"/>
        <w:jc w:val="both"/>
        <w:rPr>
          <w:b/>
        </w:rPr>
      </w:pPr>
      <w:r w:rsidRPr="00582AEA">
        <w:rPr>
          <w:b/>
        </w:rPr>
        <w:t>5.2. Roboty przygotowawcze</w:t>
      </w:r>
    </w:p>
    <w:p w:rsidR="00582AEA" w:rsidRDefault="00582AEA" w:rsidP="00166E50">
      <w:pPr>
        <w:suppressAutoHyphens/>
        <w:spacing w:before="120" w:after="120"/>
        <w:ind w:firstLine="709"/>
        <w:jc w:val="both"/>
        <w:outlineLvl w:val="2"/>
      </w:pPr>
      <w:r>
        <w:t>Wykonawca zobowiązany jest do przygotowania terenu budowy w zakresie:</w:t>
      </w:r>
    </w:p>
    <w:p w:rsidR="00582AEA" w:rsidRDefault="00582AEA" w:rsidP="00166E50">
      <w:pPr>
        <w:suppressAutoHyphens/>
        <w:spacing w:before="120" w:after="120"/>
        <w:ind w:left="709" w:firstLine="709"/>
        <w:jc w:val="both"/>
        <w:outlineLvl w:val="2"/>
      </w:pPr>
      <w:r>
        <w:sym w:font="Symbol" w:char="F02D"/>
      </w:r>
      <w:r>
        <w:t xml:space="preserve"> odwodnienia terenu budowy,</w:t>
      </w:r>
    </w:p>
    <w:p w:rsidR="00582AEA" w:rsidRDefault="00582AEA" w:rsidP="00166E50">
      <w:pPr>
        <w:suppressAutoHyphens/>
        <w:spacing w:before="120" w:after="120"/>
        <w:ind w:left="1418"/>
        <w:jc w:val="both"/>
        <w:outlineLvl w:val="2"/>
      </w:pPr>
      <w:r>
        <w:t xml:space="preserve">- regulacji cieku na odcinku posadowienia przepustu </w:t>
      </w:r>
    </w:p>
    <w:p w:rsidR="00582AEA" w:rsidRPr="00585E4E" w:rsidRDefault="00166E50" w:rsidP="00585E4E">
      <w:pPr>
        <w:suppressAutoHyphens/>
        <w:spacing w:before="120" w:after="120"/>
        <w:ind w:firstLine="709"/>
        <w:jc w:val="both"/>
        <w:outlineLvl w:val="2"/>
      </w:pPr>
      <w:r>
        <w:t>Zakres robót odwadniających należy dostosować do aktualnych warunków gruntowo – wodnych w trakcie wykonywania robót. Urządzenia odprowadzające wodę należy kontrolować w trakcie robót.</w:t>
      </w:r>
    </w:p>
    <w:p w:rsidR="00923B59" w:rsidRDefault="00CD162F" w:rsidP="00923B59">
      <w:pPr>
        <w:tabs>
          <w:tab w:val="left" w:pos="576"/>
          <w:tab w:val="left" w:pos="1008"/>
        </w:tabs>
        <w:spacing w:before="120" w:after="120"/>
        <w:jc w:val="both"/>
        <w:rPr>
          <w:b/>
        </w:rPr>
      </w:pPr>
      <w:r>
        <w:rPr>
          <w:b/>
        </w:rPr>
        <w:t>5.2. Sposób montażu</w:t>
      </w:r>
    </w:p>
    <w:p w:rsidR="00585E4E" w:rsidRDefault="00585E4E" w:rsidP="00585E4E">
      <w:pPr>
        <w:tabs>
          <w:tab w:val="left" w:pos="360"/>
        </w:tabs>
        <w:jc w:val="both"/>
      </w:pPr>
      <w:r>
        <w:tab/>
      </w:r>
      <w:r>
        <w:tab/>
        <w:t>Elementy prefabrykowane przepustu powinny być ustawiane na przygotowanym podłożu (płycie fundamentowej) zgodnie z dokumentacją projektową. Prefabrykaty należy ustawiać z przerwą o szerokości zależnej od światła prefabrykatu. Należy zwrócić szczególną uwagę na osiowość ustawienia prefabrykatów. Przerwę między prefabrykatami należy uszczelnić. Prefabrykaty będą zespolone z betonem wlotów/wylotów oraz z płytą zespalającą za pomocą łączników wklejanych w prefabrykat po zakończeniu montażu elementów</w:t>
      </w:r>
    </w:p>
    <w:p w:rsidR="00585E4E" w:rsidRDefault="00585E4E" w:rsidP="00585E4E">
      <w:pPr>
        <w:tabs>
          <w:tab w:val="left" w:pos="360"/>
        </w:tabs>
        <w:jc w:val="both"/>
      </w:pPr>
      <w:r>
        <w:t>Średnica otworów powinna wynosić 16 mm, pręty powinny być zakotwione na 70 mm w betonie prefabrykatu. Składniki żywicy należy mieszać w proporcjach ściśle wg wskazań producenta. Składniki należy mieszać aż do osiągnięcia jednolitej barwy, przez okres czasu określony przez producenta, lecz nie krócej niż przez 3 minuty. Następnie wymieszany materiał należy przelać do czystego pojemnika i jeszcze raz wymieszać. Czas przydatności żywicy w temperaturze +20°C wynosi zwykle około 30 minut. Temperatura podłoża i otoczenia w trakcie aplikacji żywicy powinna wynosić od +5°C do +30°C. Żywicę należy umieszczać w wywierconych otworach za pomocą sprzętu zalecanego przez producenta.</w:t>
      </w:r>
    </w:p>
    <w:p w:rsidR="00585E4E" w:rsidRDefault="00585E4E" w:rsidP="0096732D">
      <w:pPr>
        <w:tabs>
          <w:tab w:val="left" w:pos="360"/>
        </w:tabs>
        <w:jc w:val="both"/>
      </w:pPr>
      <w:r>
        <w:tab/>
      </w:r>
      <w:r>
        <w:tab/>
        <w:t>Przed połączeniem prefabrykatów z betonem wlotu/wylotu oraz płytą zespalającą należy powierzchnię prefabrykatu odpowiednio przygotować - wg pktu 5.4.</w:t>
      </w:r>
    </w:p>
    <w:p w:rsidR="00585E4E" w:rsidRDefault="00585E4E" w:rsidP="00585E4E">
      <w:pPr>
        <w:tabs>
          <w:tab w:val="left" w:pos="576"/>
          <w:tab w:val="left" w:pos="1008"/>
        </w:tabs>
        <w:spacing w:before="120" w:after="120"/>
        <w:jc w:val="both"/>
        <w:rPr>
          <w:b/>
        </w:rPr>
      </w:pPr>
      <w:r>
        <w:rPr>
          <w:b/>
        </w:rPr>
        <w:t>5.3. Wykonanie uszczelnienia szczelin dylatacyjnych między prefabrykatami</w:t>
      </w:r>
    </w:p>
    <w:p w:rsidR="00585E4E" w:rsidRDefault="00585E4E" w:rsidP="0096732D">
      <w:pPr>
        <w:tabs>
          <w:tab w:val="left" w:pos="360"/>
        </w:tabs>
        <w:jc w:val="both"/>
      </w:pPr>
      <w:r>
        <w:t>5.3.1. Umieszczenie materiału wypełniającego</w:t>
      </w:r>
    </w:p>
    <w:p w:rsidR="00585E4E" w:rsidRDefault="00585E4E" w:rsidP="0096732D">
      <w:pPr>
        <w:tabs>
          <w:tab w:val="left" w:pos="360"/>
        </w:tabs>
        <w:jc w:val="both"/>
      </w:pPr>
      <w:r>
        <w:tab/>
      </w:r>
      <w:r>
        <w:tab/>
        <w:t>Przed ułożeniem materiału wypełniającego w szczelinę między prefabrykatami, powierzchnie betonu należy dokładnie oczyścić, ewentualnie odoliwić (szczotkami lub sprężonym powietrzem). Następnie należy umieścić w szczelinie wkładkę uszczelniającą. Nie należy układać wkładek w temperaturze niższej niż -5°C, a w temperaturze poniżej 4°C należy się upewnić, że powierzchnie szczeliny nie są pokryte lodem, ani szronem. Wkładki powinny być czyste i suche. Podczas układania wkładki należy przestrzegać zaleceń producenta. Jeżeli producent wkładek uszczelniających tak wymaga, wkładkę należy ułożyć, gdy ustawiony jest jeden z prefabrykatów, przyciskając lub przyklejając wkładkę do jego powierzchni, a następnie docisnąć do niej drugi prefabrykat, tak aby wkładka została ściśnięta.</w:t>
      </w:r>
    </w:p>
    <w:p w:rsidR="00585E4E" w:rsidRDefault="00585E4E" w:rsidP="0096732D">
      <w:pPr>
        <w:tabs>
          <w:tab w:val="left" w:pos="360"/>
        </w:tabs>
        <w:jc w:val="both"/>
      </w:pPr>
    </w:p>
    <w:p w:rsidR="00585E4E" w:rsidRPr="00BF4FDF" w:rsidRDefault="001C168B" w:rsidP="001C168B">
      <w:pPr>
        <w:tabs>
          <w:tab w:val="left" w:pos="576"/>
          <w:tab w:val="left" w:pos="1008"/>
        </w:tabs>
        <w:spacing w:before="120" w:after="120"/>
        <w:jc w:val="both"/>
        <w:rPr>
          <w:b/>
        </w:rPr>
      </w:pPr>
      <w:r w:rsidRPr="00BF4FDF">
        <w:rPr>
          <w:b/>
        </w:rPr>
        <w:t>5.4 Polączenie betonu prefabrykatu ze świeżym betonem</w:t>
      </w:r>
    </w:p>
    <w:p w:rsidR="001C168B" w:rsidRPr="00BF4FDF" w:rsidRDefault="001C168B" w:rsidP="001C168B">
      <w:pPr>
        <w:tabs>
          <w:tab w:val="left" w:pos="360"/>
        </w:tabs>
        <w:jc w:val="both"/>
      </w:pPr>
      <w:r w:rsidRPr="00BF4FDF">
        <w:t>5.4.1 Przygotowanie podłoża i środka szczepnego</w:t>
      </w:r>
    </w:p>
    <w:p w:rsidR="001C168B" w:rsidRPr="00BF4FDF" w:rsidRDefault="001C168B" w:rsidP="0096732D">
      <w:pPr>
        <w:tabs>
          <w:tab w:val="left" w:pos="360"/>
        </w:tabs>
        <w:jc w:val="both"/>
      </w:pPr>
      <w:r w:rsidRPr="00BF4FDF">
        <w:tab/>
      </w:r>
      <w:r w:rsidRPr="00BF4FDF">
        <w:tab/>
        <w:t>Górną powierzchnię prefabrykatów do połączenia z betonem zespalającym oraz czołowe powierzchnie prefabrykatów skrajnych do połączenia z betonem wlotu i wylotu należy odpowiednio przygotować. Przygotowanie podłoża pod zastosowanie środka sczepnego obejmuje:</w:t>
      </w:r>
    </w:p>
    <w:p w:rsidR="001C168B" w:rsidRPr="00BF4FDF" w:rsidRDefault="001C168B" w:rsidP="0096732D">
      <w:pPr>
        <w:tabs>
          <w:tab w:val="left" w:pos="360"/>
        </w:tabs>
        <w:jc w:val="both"/>
      </w:pPr>
      <w:r w:rsidRPr="00BF4FDF">
        <w:sym w:font="Symbol" w:char="F02D"/>
      </w:r>
      <w:r w:rsidRPr="00BF4FDF">
        <w:t xml:space="preserve"> usunięcie powierzchniowych zanieczyszczeń, szkodliwych substancji mogących mieć wpływ na połączenie nakładanego materiału z betonem lub na korozję stali zbrojeniowej,</w:t>
      </w:r>
    </w:p>
    <w:p w:rsidR="001C168B" w:rsidRPr="00C20C6B" w:rsidRDefault="001C168B" w:rsidP="0096732D">
      <w:pPr>
        <w:tabs>
          <w:tab w:val="left" w:pos="360"/>
        </w:tabs>
        <w:jc w:val="both"/>
      </w:pPr>
      <w:r w:rsidRPr="00C20C6B">
        <w:sym w:font="Symbol" w:char="F02D"/>
      </w:r>
      <w:r w:rsidRPr="00C20C6B">
        <w:t xml:space="preserve"> usunięcie mleczka cementowego i słabo związanych warstw betonu,</w:t>
      </w:r>
    </w:p>
    <w:p w:rsidR="001C168B" w:rsidRPr="00C20C6B" w:rsidRDefault="001C168B" w:rsidP="0096732D">
      <w:pPr>
        <w:tabs>
          <w:tab w:val="left" w:pos="360"/>
        </w:tabs>
        <w:jc w:val="both"/>
      </w:pPr>
      <w:r w:rsidRPr="00C20C6B">
        <w:sym w:font="Symbol" w:char="F02D"/>
      </w:r>
      <w:r w:rsidRPr="00C20C6B">
        <w:t xml:space="preserve"> oczyszczenie łączników do zespolenia ze świeżym betonem zakotwionych w prefabrykacie do stopnia czystości</w:t>
      </w:r>
      <w:r w:rsidR="00371CB2">
        <w:t xml:space="preserve"> Sa 2 wg PN-ISO 8501-1:2008</w:t>
      </w:r>
      <w:r w:rsidRPr="00C20C6B">
        <w:t>.</w:t>
      </w:r>
    </w:p>
    <w:p w:rsidR="001C168B" w:rsidRPr="00C20C6B" w:rsidRDefault="001C168B" w:rsidP="0096732D">
      <w:pPr>
        <w:tabs>
          <w:tab w:val="left" w:pos="360"/>
        </w:tabs>
        <w:jc w:val="both"/>
      </w:pPr>
      <w:r w:rsidRPr="00C20C6B">
        <w:tab/>
      </w:r>
      <w:r w:rsidRPr="00C20C6B">
        <w:tab/>
        <w:t>Właściwe przygotowane podłoże powinno charakteryzować się średnią wytrzymałością na odrywanie powyżej</w:t>
      </w:r>
      <w:r w:rsidR="00371CB2">
        <w:t xml:space="preserve"> 1,5 MPa wg PN-EN 1543:2000 </w:t>
      </w:r>
      <w:r w:rsidRPr="00C20C6B">
        <w:t xml:space="preserve"> i wartością minimalną 1,0 MPa. Czyszczenie podłoża należy wykonać przez piaskowanie lub śrutowanie. Następnie należy przygotować środek sczepny zgodnie z zaleceniami producenta. Przygotowanie środka polega na wymieszaniu w odpowiednich proporcjach suchego składnika i wody. Odpowiednią ilość wody należy wlać do mieszarki wolnoobrotowej (max 500 obr/min) i stopniowo dodawać suchy składnik, dokładnie mieszając aż do uzyskania jednorodnej masy o konsystencji śmietany (co najmniej 3 minuty).</w:t>
      </w:r>
    </w:p>
    <w:p w:rsidR="001C168B" w:rsidRPr="00C20C6B" w:rsidRDefault="001C168B" w:rsidP="0096732D">
      <w:pPr>
        <w:tabs>
          <w:tab w:val="left" w:pos="360"/>
        </w:tabs>
        <w:jc w:val="both"/>
      </w:pPr>
    </w:p>
    <w:p w:rsidR="001C168B" w:rsidRDefault="001C168B" w:rsidP="0096732D">
      <w:pPr>
        <w:tabs>
          <w:tab w:val="left" w:pos="360"/>
        </w:tabs>
        <w:jc w:val="both"/>
      </w:pPr>
      <w:r w:rsidRPr="00C20C6B">
        <w:t>5.4.2. Wykonanie zabezpieczenia antykorozyjnego zbrojenia zespalającego</w:t>
      </w:r>
    </w:p>
    <w:p w:rsidR="001C168B" w:rsidRDefault="00C20C6B" w:rsidP="0096732D">
      <w:pPr>
        <w:tabs>
          <w:tab w:val="left" w:pos="360"/>
        </w:tabs>
        <w:jc w:val="both"/>
      </w:pPr>
      <w:r>
        <w:tab/>
        <w:t>Oczyszczone pręty zbrojeniowe (łączniki) należy pokryć przy pomocy średniej twardości szczotki, pędzla lub rozpylacza środkiem antykorozyjnym o grubości warstwy zalecanej przez producenta. Należy przestrzegać czasu, jaki powinien upłynąć między układaniem kolejnych warstw oraz między nałożeniem środka i rozpoczęcia układania betonu.</w:t>
      </w:r>
    </w:p>
    <w:p w:rsidR="00F772FB" w:rsidRDefault="00F772FB" w:rsidP="0096732D">
      <w:pPr>
        <w:tabs>
          <w:tab w:val="left" w:pos="360"/>
        </w:tabs>
        <w:jc w:val="both"/>
      </w:pPr>
      <w:r>
        <w:t>5.4.3. Nakładanie warstwy szczepnej</w:t>
      </w:r>
    </w:p>
    <w:p w:rsidR="00923B59" w:rsidRDefault="00F772FB" w:rsidP="00F772FB">
      <w:pPr>
        <w:tabs>
          <w:tab w:val="left" w:pos="360"/>
        </w:tabs>
        <w:jc w:val="both"/>
      </w:pPr>
      <w:r>
        <w:tab/>
        <w:t>Należy przestrzegać warunków podanych przez producenta w karcie technicznej. Zwykle wymagane jest przed nałożeniem środka zwilżenie podłoża czystą wodą aż do nasycenia. Warstwę sczepną wykonuje się poprzez nałożenie materiału szczotką, pędzlem lub natryskiem. Warstwa sczepna musi zostać dobrze wtarta w podłoże w celu osiągnięcia dobrego związania z podłożem. Świeży beton zwykle nakłada się na wilgotną warstwą sczepną metodą „mokre na mokre”.</w:t>
      </w:r>
    </w:p>
    <w:p w:rsidR="00F772FB" w:rsidRPr="00F772FB" w:rsidRDefault="00F772FB" w:rsidP="00F772FB">
      <w:pPr>
        <w:tabs>
          <w:tab w:val="left" w:pos="360"/>
        </w:tabs>
        <w:jc w:val="both"/>
      </w:pPr>
    </w:p>
    <w:p w:rsidR="00923B59" w:rsidRPr="006C636B" w:rsidRDefault="00923B59" w:rsidP="0097494B">
      <w:pPr>
        <w:numPr>
          <w:ilvl w:val="2"/>
          <w:numId w:val="26"/>
        </w:numPr>
        <w:tabs>
          <w:tab w:val="clear" w:pos="0"/>
          <w:tab w:val="num" w:pos="720"/>
        </w:tabs>
        <w:suppressAutoHyphens/>
        <w:spacing w:before="120" w:after="120"/>
        <w:ind w:left="720" w:hanging="720"/>
        <w:jc w:val="both"/>
        <w:outlineLvl w:val="2"/>
        <w:rPr>
          <w:b/>
          <w:snapToGrid w:val="0"/>
          <w:u w:val="single"/>
        </w:rPr>
      </w:pPr>
      <w:r w:rsidRPr="006C636B">
        <w:rPr>
          <w:b/>
          <w:snapToGrid w:val="0"/>
          <w:u w:val="single"/>
        </w:rPr>
        <w:t>6. KONTROLA JAKOŚCI ROBÓT</w:t>
      </w:r>
    </w:p>
    <w:p w:rsidR="00923B59" w:rsidRDefault="00923B59" w:rsidP="00923B59">
      <w:pPr>
        <w:tabs>
          <w:tab w:val="left" w:pos="576"/>
          <w:tab w:val="left" w:pos="1008"/>
        </w:tabs>
        <w:spacing w:before="120" w:after="120"/>
        <w:jc w:val="both"/>
      </w:pPr>
      <w:r w:rsidRPr="00D64526">
        <w:rPr>
          <w:b/>
        </w:rPr>
        <w:t>6.1. Ogólne zasady kontroli jakości robót</w:t>
      </w:r>
    </w:p>
    <w:p w:rsidR="00923B59" w:rsidRDefault="00923B59" w:rsidP="00F772FB">
      <w:pPr>
        <w:ind w:firstLine="709"/>
        <w:jc w:val="both"/>
      </w:pPr>
      <w:r>
        <w:t>Ogólne zasady kontroli jakości robót podano w ST D-M-00.00.00  „Wymagania ogólne”.</w:t>
      </w:r>
    </w:p>
    <w:p w:rsidR="00F772FB" w:rsidRDefault="00F772FB" w:rsidP="00923B59">
      <w:pPr>
        <w:jc w:val="both"/>
      </w:pPr>
      <w:r>
        <w:t>Przed przystąpieniem do robót Wykonawca powinien:</w:t>
      </w:r>
    </w:p>
    <w:p w:rsidR="00F772FB" w:rsidRDefault="00F772FB" w:rsidP="00F772FB">
      <w:pPr>
        <w:ind w:left="709"/>
        <w:jc w:val="both"/>
      </w:pPr>
      <w:r>
        <w:sym w:font="Symbol" w:char="F02D"/>
      </w:r>
      <w:r>
        <w:t xml:space="preserve"> uzyskać wymagane dokumenty, dopuszczające wyroby budowlane do obrotu i powszechnego stosowania, potwierdzające zgodność materiałów z wymaganiami pktu 2 niniejszej specyfikacji,</w:t>
      </w:r>
    </w:p>
    <w:p w:rsidR="00923B59" w:rsidRDefault="00F772FB" w:rsidP="00F772FB">
      <w:pPr>
        <w:ind w:left="709"/>
        <w:jc w:val="both"/>
      </w:pPr>
      <w:r>
        <w:sym w:font="Symbol" w:char="F02D"/>
      </w:r>
      <w:r>
        <w:t xml:space="preserve"> wykonać własne badania właściwości materiałów przeznaczonych do wykonania robót, określo</w:t>
      </w:r>
      <w:r w:rsidR="00E6484E">
        <w:t xml:space="preserve">ne w pkcie 2 lub przez </w:t>
      </w:r>
      <w:r w:rsidR="003D1914">
        <w:t xml:space="preserve">przedstawiciela </w:t>
      </w:r>
      <w:r w:rsidR="00E6484E">
        <w:t>Zamawiającego</w:t>
      </w:r>
    </w:p>
    <w:p w:rsidR="00F772FB" w:rsidRDefault="00F772FB" w:rsidP="00F772FB">
      <w:pPr>
        <w:jc w:val="both"/>
      </w:pPr>
      <w:r>
        <w:t>Wszystkie dokumenty oraz wyniki badań W</w:t>
      </w:r>
      <w:r w:rsidR="00E6484E">
        <w:t xml:space="preserve">ykonawca przedstawia </w:t>
      </w:r>
      <w:r w:rsidR="003D1914">
        <w:t xml:space="preserve">przedstawicielowi Zamawiającego </w:t>
      </w:r>
      <w:r>
        <w:t>do akceptacji. Jeżeli dokumentacja projektowa ani ST nie precyzują inaczej, kontrolę jakości robót można przeprowadzać stosując zasady podane poniżej.</w:t>
      </w:r>
    </w:p>
    <w:p w:rsidR="00F772FB" w:rsidRPr="00F772FB" w:rsidRDefault="00F772FB" w:rsidP="00F772FB">
      <w:pPr>
        <w:tabs>
          <w:tab w:val="left" w:pos="576"/>
          <w:tab w:val="left" w:pos="1008"/>
        </w:tabs>
        <w:spacing w:before="120" w:after="120"/>
        <w:jc w:val="both"/>
        <w:rPr>
          <w:b/>
        </w:rPr>
      </w:pPr>
      <w:r w:rsidRPr="00F772FB">
        <w:rPr>
          <w:b/>
        </w:rPr>
        <w:t>6.2. Kontrola prefabrykatów</w:t>
      </w:r>
    </w:p>
    <w:p w:rsidR="00F772FB" w:rsidRDefault="00F772FB" w:rsidP="00F772FB">
      <w:pPr>
        <w:ind w:firstLine="709"/>
        <w:jc w:val="both"/>
      </w:pPr>
      <w:r>
        <w:t>Kontrolę prefabrykatów należy przeprowadzić na podstawie atestów producenta na zgodność z wymaganiami dokumentacji projektowej. Odchyłki wymiarów i dopuszczalne wady powinny się mieścić w zakresie</w:t>
      </w:r>
      <w:r w:rsidR="00E2278B">
        <w:t xml:space="preserve"> tolerancji podanych w</w:t>
      </w:r>
      <w:r>
        <w:t xml:space="preserve"> niniejszej ST.</w:t>
      </w:r>
    </w:p>
    <w:p w:rsidR="00E2278B" w:rsidRPr="00E2278B" w:rsidRDefault="00E2278B" w:rsidP="00E2278B">
      <w:pPr>
        <w:tabs>
          <w:tab w:val="left" w:pos="576"/>
          <w:tab w:val="left" w:pos="1008"/>
        </w:tabs>
        <w:spacing w:before="120" w:after="120"/>
        <w:jc w:val="both"/>
        <w:rPr>
          <w:b/>
        </w:rPr>
      </w:pPr>
      <w:r w:rsidRPr="00E2278B">
        <w:rPr>
          <w:b/>
        </w:rPr>
        <w:t>6.3. Kontrola przygotowania powierzchni prefabrykatów do połączenia ze świeżym betonem</w:t>
      </w:r>
    </w:p>
    <w:p w:rsidR="00E2278B" w:rsidRDefault="00E2278B" w:rsidP="00E2278B">
      <w:pPr>
        <w:ind w:firstLine="709"/>
        <w:jc w:val="both"/>
      </w:pPr>
      <w:r>
        <w:t>Należy skontrolować stan zbrojenia kotwiącego przed nałożeniem środka antykorozyjnego. Zbrojenie powinno być oczyszczone do stopnia czystości</w:t>
      </w:r>
      <w:r w:rsidR="00371CB2">
        <w:t xml:space="preserve"> Sa 2 wg PN-ISO 8501-1:2008</w:t>
      </w:r>
      <w:r>
        <w:t>.</w:t>
      </w:r>
    </w:p>
    <w:p w:rsidR="00E2278B" w:rsidRDefault="00E2278B" w:rsidP="00F772FB">
      <w:pPr>
        <w:ind w:firstLine="709"/>
        <w:jc w:val="both"/>
      </w:pPr>
      <w:r>
        <w:t>Podłoże betonowe należy skontrolować przed nałożeniem warstwy sczepnej; powinno być ono czyste, pozbawione wszystkich luźnych elementów. Właściwe przygotowane podłoże powinno charakteryzować się średnią wytrzymałością na odrywanie powyżej</w:t>
      </w:r>
      <w:r w:rsidR="00371CB2">
        <w:t xml:space="preserve"> 1,5 MPa wg PN-EN 1542:2000</w:t>
      </w:r>
      <w:r>
        <w:t xml:space="preserve"> i wartością minimalną 1,0 MPa. Nawilżona powierzchnia przed nakładaniem świeżego betonu nie powinna posiadać błonki wodnej (z powierzchnią błyszczącą), lecz być matowa.</w:t>
      </w:r>
    </w:p>
    <w:p w:rsidR="00E2278B" w:rsidRPr="00E2278B" w:rsidRDefault="00E2278B" w:rsidP="00E2278B">
      <w:pPr>
        <w:tabs>
          <w:tab w:val="left" w:pos="576"/>
          <w:tab w:val="left" w:pos="1008"/>
        </w:tabs>
        <w:spacing w:before="120" w:after="120"/>
        <w:jc w:val="both"/>
        <w:rPr>
          <w:b/>
        </w:rPr>
      </w:pPr>
      <w:r w:rsidRPr="00E2278B">
        <w:rPr>
          <w:b/>
        </w:rPr>
        <w:t>6.4. Kontrola ułożenia przepustu</w:t>
      </w:r>
    </w:p>
    <w:p w:rsidR="00E2278B" w:rsidRDefault="00E2278B" w:rsidP="00E2278B">
      <w:pPr>
        <w:jc w:val="both"/>
      </w:pPr>
      <w:r>
        <w:t>Odchyłki montażu przepustu powinny mieścić się w tolerancjach:</w:t>
      </w:r>
    </w:p>
    <w:p w:rsidR="00E2278B" w:rsidRDefault="00E2278B" w:rsidP="00E2278B">
      <w:pPr>
        <w:jc w:val="both"/>
      </w:pPr>
      <w:r>
        <w:sym w:font="Symbol" w:char="F02D"/>
      </w:r>
      <w:r>
        <w:t xml:space="preserve"> odchyłka prostoliniowości mierzona łatą o długości 3 m nie powinna przekraczać 1 cm,</w:t>
      </w:r>
    </w:p>
    <w:p w:rsidR="00E2278B" w:rsidRDefault="00E2278B" w:rsidP="00E2278B">
      <w:pPr>
        <w:jc w:val="both"/>
      </w:pPr>
      <w:r>
        <w:sym w:font="Symbol" w:char="F02D"/>
      </w:r>
      <w:r>
        <w:t xml:space="preserve"> rzędne dna przepustu mierzone co 2 m nie powinny różnić się od projektowanych o więcej niż 1 cm,</w:t>
      </w:r>
    </w:p>
    <w:p w:rsidR="00923B59" w:rsidRDefault="00E2278B" w:rsidP="00923B59">
      <w:pPr>
        <w:jc w:val="both"/>
      </w:pPr>
      <w:r>
        <w:sym w:font="Symbol" w:char="F02D"/>
      </w:r>
      <w:r>
        <w:t xml:space="preserve"> przepusty powinny być ustawiane osiowo – należy sprawdzić wzajemną osiowość ustawienia każdej pary sąsiadujących przepustów.</w:t>
      </w:r>
    </w:p>
    <w:p w:rsidR="00923B59" w:rsidRPr="006C636B" w:rsidRDefault="00923B59" w:rsidP="0097494B">
      <w:pPr>
        <w:numPr>
          <w:ilvl w:val="2"/>
          <w:numId w:val="26"/>
        </w:numPr>
        <w:tabs>
          <w:tab w:val="clear" w:pos="0"/>
          <w:tab w:val="num" w:pos="720"/>
        </w:tabs>
        <w:suppressAutoHyphens/>
        <w:spacing w:before="120" w:after="120"/>
        <w:ind w:left="720" w:hanging="720"/>
        <w:jc w:val="both"/>
        <w:outlineLvl w:val="2"/>
        <w:rPr>
          <w:b/>
          <w:snapToGrid w:val="0"/>
          <w:u w:val="single"/>
        </w:rPr>
      </w:pPr>
      <w:r w:rsidRPr="006C636B">
        <w:rPr>
          <w:b/>
          <w:snapToGrid w:val="0"/>
          <w:u w:val="single"/>
        </w:rPr>
        <w:t>7. OBMIAR</w:t>
      </w:r>
    </w:p>
    <w:p w:rsidR="00923B59" w:rsidRPr="006C636B" w:rsidRDefault="00923B59" w:rsidP="00923B59">
      <w:pPr>
        <w:jc w:val="both"/>
      </w:pPr>
      <w:r w:rsidRPr="006C636B">
        <w:t>Ogólne zasady obmiaru robót podano w Specyfikacji D.M.00.00.00.</w:t>
      </w:r>
    </w:p>
    <w:p w:rsidR="00923B59" w:rsidRPr="006C636B" w:rsidRDefault="00E5450D" w:rsidP="00923B59">
      <w:pPr>
        <w:jc w:val="both"/>
      </w:pPr>
      <w:r>
        <w:t>Jednostką obmiaru jest 1 szt. wykonanego i zamontowanego prefabrykatu żelbetowego</w:t>
      </w:r>
      <w:r w:rsidR="00923B59" w:rsidRPr="006C636B">
        <w:t>.</w:t>
      </w:r>
    </w:p>
    <w:p w:rsidR="00923B59" w:rsidRPr="006C636B" w:rsidRDefault="00923B59" w:rsidP="0097494B">
      <w:pPr>
        <w:numPr>
          <w:ilvl w:val="2"/>
          <w:numId w:val="26"/>
        </w:numPr>
        <w:tabs>
          <w:tab w:val="clear" w:pos="0"/>
          <w:tab w:val="num" w:pos="720"/>
        </w:tabs>
        <w:suppressAutoHyphens/>
        <w:spacing w:before="120" w:after="120"/>
        <w:ind w:left="720" w:hanging="720"/>
        <w:jc w:val="both"/>
        <w:outlineLvl w:val="2"/>
        <w:rPr>
          <w:b/>
          <w:snapToGrid w:val="0"/>
          <w:u w:val="single"/>
        </w:rPr>
      </w:pPr>
      <w:r w:rsidRPr="006C636B">
        <w:rPr>
          <w:b/>
          <w:snapToGrid w:val="0"/>
          <w:u w:val="single"/>
        </w:rPr>
        <w:t>8. ODBIÓR ROBÓT</w:t>
      </w:r>
    </w:p>
    <w:p w:rsidR="00923B59" w:rsidRPr="000E074E" w:rsidRDefault="00923B59" w:rsidP="00923B59">
      <w:pPr>
        <w:tabs>
          <w:tab w:val="left" w:pos="576"/>
          <w:tab w:val="left" w:pos="1008"/>
        </w:tabs>
        <w:spacing w:before="120" w:after="120"/>
        <w:jc w:val="both"/>
        <w:rPr>
          <w:b/>
        </w:rPr>
      </w:pPr>
      <w:r w:rsidRPr="000E074E">
        <w:rPr>
          <w:b/>
        </w:rPr>
        <w:t>8.1. Ogólne zasady odbioru robót</w:t>
      </w:r>
    </w:p>
    <w:p w:rsidR="00923B59" w:rsidRPr="000E074E" w:rsidRDefault="00923B59" w:rsidP="0097494B">
      <w:pPr>
        <w:numPr>
          <w:ilvl w:val="2"/>
          <w:numId w:val="26"/>
        </w:numPr>
        <w:tabs>
          <w:tab w:val="clear" w:pos="0"/>
          <w:tab w:val="num" w:pos="720"/>
        </w:tabs>
        <w:suppressAutoHyphens/>
        <w:spacing w:before="120" w:after="120"/>
        <w:ind w:left="720" w:hanging="720"/>
        <w:jc w:val="both"/>
        <w:outlineLvl w:val="2"/>
        <w:rPr>
          <w:b/>
          <w:snapToGrid w:val="0"/>
        </w:rPr>
      </w:pPr>
      <w:r>
        <w:t>Ogólne zasady odbioru robót podano w ST D-M-00.00.00 „Wymagania ogólne”</w:t>
      </w:r>
    </w:p>
    <w:p w:rsidR="00923B59" w:rsidRPr="000E074E" w:rsidRDefault="00923B59" w:rsidP="00923B59">
      <w:pPr>
        <w:tabs>
          <w:tab w:val="left" w:pos="576"/>
          <w:tab w:val="left" w:pos="1008"/>
        </w:tabs>
        <w:spacing w:before="120" w:after="120"/>
        <w:jc w:val="both"/>
        <w:rPr>
          <w:b/>
        </w:rPr>
      </w:pPr>
      <w:r>
        <w:rPr>
          <w:b/>
        </w:rPr>
        <w:t xml:space="preserve">8.2. </w:t>
      </w:r>
      <w:r w:rsidRPr="000E074E">
        <w:rPr>
          <w:b/>
        </w:rPr>
        <w:t>Odbiór robót zanikających i ulegających zakryciu</w:t>
      </w:r>
    </w:p>
    <w:p w:rsidR="00923B59" w:rsidRDefault="00E5450D" w:rsidP="00E5450D">
      <w:pPr>
        <w:ind w:firstLine="709"/>
        <w:jc w:val="both"/>
      </w:pPr>
      <w:r>
        <w:t>Roboty objęte niniejszą specyfikacją podlegają odbiorowi robót zanikających i ulegających zakryciu, który jest dokonywany na podstawie wyników pomiarów, badań i oceny wizualnej.</w:t>
      </w:r>
    </w:p>
    <w:p w:rsidR="00E5450D" w:rsidRPr="00E5450D" w:rsidRDefault="00E5450D" w:rsidP="00E5450D">
      <w:pPr>
        <w:ind w:firstLine="709"/>
        <w:jc w:val="both"/>
      </w:pPr>
      <w:r>
        <w:t>Jeżeli wszystkie badania przewidziane w pkcie 6 dały wynik pozytywny, wykonane roboty należy uznać za wykonane zgodnie z wymaganiami OST. Jeżeli choć jedno badanie dało wynik ujemny wykonane roboty należy uznać za niezgodne z wymaganiami. W tym wypadku Wykonawca jest zobowiązany doprowadzić roboty do zgodności z ST i przedstawić je do ponownego odbioru.</w:t>
      </w:r>
    </w:p>
    <w:p w:rsidR="00923B59" w:rsidRDefault="00923B59" w:rsidP="0097494B">
      <w:pPr>
        <w:numPr>
          <w:ilvl w:val="2"/>
          <w:numId w:val="26"/>
        </w:numPr>
        <w:tabs>
          <w:tab w:val="clear" w:pos="0"/>
          <w:tab w:val="num" w:pos="720"/>
        </w:tabs>
        <w:suppressAutoHyphens/>
        <w:spacing w:before="120" w:after="120"/>
        <w:ind w:left="720" w:hanging="720"/>
        <w:jc w:val="both"/>
        <w:outlineLvl w:val="2"/>
        <w:rPr>
          <w:b/>
          <w:snapToGrid w:val="0"/>
          <w:u w:val="single"/>
        </w:rPr>
      </w:pPr>
      <w:r w:rsidRPr="006C636B">
        <w:rPr>
          <w:b/>
          <w:snapToGrid w:val="0"/>
          <w:u w:val="single"/>
        </w:rPr>
        <w:t>9. PŁATNOŚĆ</w:t>
      </w:r>
    </w:p>
    <w:p w:rsidR="004D0BBD" w:rsidRDefault="004D0BBD" w:rsidP="004D0BBD">
      <w:pPr>
        <w:tabs>
          <w:tab w:val="left" w:pos="576"/>
          <w:tab w:val="left" w:pos="1008"/>
        </w:tabs>
        <w:spacing w:before="120" w:after="120"/>
        <w:jc w:val="both"/>
        <w:rPr>
          <w:b/>
        </w:rPr>
      </w:pPr>
      <w:r w:rsidRPr="004D0BBD">
        <w:rPr>
          <w:b/>
        </w:rPr>
        <w:t>9.1. Ogólne ustalenia dotyczące podstawy płatności</w:t>
      </w:r>
    </w:p>
    <w:p w:rsidR="004D0BBD" w:rsidRDefault="004D0BBD" w:rsidP="004D0BBD">
      <w:pPr>
        <w:tabs>
          <w:tab w:val="left" w:pos="576"/>
          <w:tab w:val="left" w:pos="1008"/>
        </w:tabs>
        <w:spacing w:before="120" w:after="120"/>
        <w:jc w:val="both"/>
        <w:rPr>
          <w:b/>
        </w:rPr>
      </w:pPr>
      <w:r>
        <w:tab/>
        <w:t>Ogólne ustalenia dotyczące podstawy płatności podano w ST D-M-00.00.00 „Wymagania ogólne”</w:t>
      </w:r>
    </w:p>
    <w:p w:rsidR="004D0BBD" w:rsidRDefault="004D0BBD" w:rsidP="004D0BBD">
      <w:pPr>
        <w:tabs>
          <w:tab w:val="left" w:pos="576"/>
          <w:tab w:val="left" w:pos="1008"/>
        </w:tabs>
        <w:spacing w:before="120" w:after="120"/>
        <w:jc w:val="both"/>
        <w:rPr>
          <w:b/>
        </w:rPr>
      </w:pPr>
      <w:r w:rsidRPr="004D0BBD">
        <w:rPr>
          <w:b/>
        </w:rPr>
        <w:t>9.2. Cena jednostki obmiarowej</w:t>
      </w:r>
    </w:p>
    <w:p w:rsidR="004D0BBD" w:rsidRPr="006C636B" w:rsidRDefault="004D0BBD" w:rsidP="004D0BBD">
      <w:pPr>
        <w:tabs>
          <w:tab w:val="left" w:pos="576"/>
          <w:tab w:val="left" w:pos="1008"/>
        </w:tabs>
        <w:spacing w:before="120" w:after="120"/>
        <w:jc w:val="both"/>
        <w:rPr>
          <w:b/>
          <w:snapToGrid w:val="0"/>
          <w:u w:val="single"/>
        </w:rPr>
      </w:pPr>
    </w:p>
    <w:p w:rsidR="00923B59" w:rsidRPr="006C636B" w:rsidRDefault="004D0BBD" w:rsidP="00923B59">
      <w:pPr>
        <w:jc w:val="both"/>
      </w:pPr>
      <w:r>
        <w:t>Cena jednostkowa wykonania 1 szt prefabrykowanego przepustu żelbetowego</w:t>
      </w:r>
      <w:r w:rsidR="00923B59" w:rsidRPr="006C636B">
        <w:t xml:space="preserve"> obejmuje:</w:t>
      </w:r>
    </w:p>
    <w:p w:rsidR="00923B59" w:rsidRPr="006C636B" w:rsidRDefault="00923B59" w:rsidP="00923B59">
      <w:pPr>
        <w:jc w:val="both"/>
      </w:pPr>
    </w:p>
    <w:p w:rsidR="004D0BBD" w:rsidRDefault="004D0BBD" w:rsidP="0097494B">
      <w:pPr>
        <w:numPr>
          <w:ilvl w:val="0"/>
          <w:numId w:val="60"/>
        </w:numPr>
        <w:contextualSpacing/>
        <w:jc w:val="both"/>
      </w:pPr>
      <w:r>
        <w:t>Oznakowanie robót</w:t>
      </w:r>
    </w:p>
    <w:p w:rsidR="004D0BBD" w:rsidRDefault="004D0BBD" w:rsidP="0097494B">
      <w:pPr>
        <w:numPr>
          <w:ilvl w:val="0"/>
          <w:numId w:val="60"/>
        </w:numPr>
        <w:contextualSpacing/>
        <w:jc w:val="both"/>
      </w:pPr>
      <w:r>
        <w:t>Prace pomiarowe i roboty przygotowawcze</w:t>
      </w:r>
    </w:p>
    <w:p w:rsidR="00633E5B" w:rsidRDefault="00633E5B" w:rsidP="00633E5B">
      <w:pPr>
        <w:numPr>
          <w:ilvl w:val="0"/>
          <w:numId w:val="60"/>
        </w:numPr>
        <w:contextualSpacing/>
        <w:jc w:val="both"/>
      </w:pPr>
      <w:r>
        <w:t>Wykonanie robót zabezpieczających</w:t>
      </w:r>
    </w:p>
    <w:p w:rsidR="004D0BBD" w:rsidRDefault="004D0BBD" w:rsidP="0097494B">
      <w:pPr>
        <w:numPr>
          <w:ilvl w:val="0"/>
          <w:numId w:val="60"/>
        </w:numPr>
        <w:contextualSpacing/>
        <w:jc w:val="both"/>
      </w:pPr>
      <w:r>
        <w:t>Zakup, dostarczenie i składowanie materiałów i wszystkich pozostałych środków produkcji,</w:t>
      </w:r>
    </w:p>
    <w:p w:rsidR="004D0BBD" w:rsidRDefault="004D0BBD" w:rsidP="0097494B">
      <w:pPr>
        <w:numPr>
          <w:ilvl w:val="0"/>
          <w:numId w:val="60"/>
        </w:numPr>
        <w:contextualSpacing/>
        <w:jc w:val="both"/>
      </w:pPr>
      <w:r>
        <w:t>Montaż konstrukcji przepustu z elementów prefabrykowanych o określonych wymiarach,</w:t>
      </w:r>
    </w:p>
    <w:p w:rsidR="004D0BBD" w:rsidRDefault="004D0BBD" w:rsidP="0097494B">
      <w:pPr>
        <w:numPr>
          <w:ilvl w:val="0"/>
          <w:numId w:val="60"/>
        </w:numPr>
        <w:contextualSpacing/>
        <w:jc w:val="both"/>
      </w:pPr>
      <w:r>
        <w:t>Wykonanie połączeń między prefabrykatami,</w:t>
      </w:r>
    </w:p>
    <w:p w:rsidR="004D0BBD" w:rsidRDefault="004D0BBD" w:rsidP="0097494B">
      <w:pPr>
        <w:numPr>
          <w:ilvl w:val="0"/>
          <w:numId w:val="60"/>
        </w:numPr>
        <w:contextualSpacing/>
        <w:jc w:val="both"/>
      </w:pPr>
      <w:r>
        <w:t xml:space="preserve">Przeprowadzenie pomiarów i badań </w:t>
      </w:r>
      <w:r w:rsidR="00371CB2">
        <w:t>wymaganych w specyfikacji technicznej,</w:t>
      </w:r>
    </w:p>
    <w:p w:rsidR="00371CB2" w:rsidRDefault="00371CB2" w:rsidP="0097494B">
      <w:pPr>
        <w:numPr>
          <w:ilvl w:val="0"/>
          <w:numId w:val="60"/>
        </w:numPr>
        <w:contextualSpacing/>
        <w:jc w:val="both"/>
      </w:pPr>
      <w:r>
        <w:t>Wykonanie innych czynności niezbędnych do realizacji Robót objętych niniejszą ST, zgodnie z Dokumentacją Projektową</w:t>
      </w:r>
    </w:p>
    <w:p w:rsidR="00371CB2" w:rsidRDefault="00371CB2" w:rsidP="0097494B">
      <w:pPr>
        <w:numPr>
          <w:ilvl w:val="0"/>
          <w:numId w:val="60"/>
        </w:numPr>
        <w:contextualSpacing/>
        <w:jc w:val="both"/>
      </w:pPr>
      <w:r>
        <w:t>Uporządkowanie miejsca robót</w:t>
      </w:r>
    </w:p>
    <w:p w:rsidR="004D0BBD" w:rsidRPr="006C636B" w:rsidRDefault="004D0BBD" w:rsidP="004D0BBD">
      <w:pPr>
        <w:contextualSpacing/>
        <w:jc w:val="both"/>
      </w:pPr>
    </w:p>
    <w:p w:rsidR="00923B59" w:rsidRPr="006C636B" w:rsidRDefault="00923B59" w:rsidP="0097494B">
      <w:pPr>
        <w:numPr>
          <w:ilvl w:val="2"/>
          <w:numId w:val="26"/>
        </w:numPr>
        <w:tabs>
          <w:tab w:val="clear" w:pos="0"/>
          <w:tab w:val="num" w:pos="720"/>
        </w:tabs>
        <w:suppressAutoHyphens/>
        <w:spacing w:before="120" w:after="120"/>
        <w:ind w:left="720" w:hanging="720"/>
        <w:jc w:val="both"/>
        <w:outlineLvl w:val="2"/>
        <w:rPr>
          <w:b/>
          <w:snapToGrid w:val="0"/>
          <w:u w:val="single"/>
        </w:rPr>
      </w:pPr>
      <w:r w:rsidRPr="006C636B">
        <w:rPr>
          <w:b/>
          <w:snapToGrid w:val="0"/>
          <w:u w:val="single"/>
        </w:rPr>
        <w:t>10. PRZEPISY ZWIĄZANE</w:t>
      </w:r>
    </w:p>
    <w:p w:rsidR="00371CB2" w:rsidRDefault="00371CB2" w:rsidP="00371CB2">
      <w:pPr>
        <w:tabs>
          <w:tab w:val="left" w:pos="576"/>
          <w:tab w:val="left" w:pos="1008"/>
        </w:tabs>
        <w:spacing w:before="120" w:after="120"/>
        <w:jc w:val="both"/>
        <w:rPr>
          <w:b/>
        </w:rPr>
      </w:pPr>
    </w:p>
    <w:p w:rsidR="00DC05CA" w:rsidRDefault="00371CB2" w:rsidP="00371CB2">
      <w:pPr>
        <w:tabs>
          <w:tab w:val="left" w:pos="576"/>
          <w:tab w:val="left" w:pos="1008"/>
        </w:tabs>
        <w:spacing w:before="120" w:after="120"/>
        <w:jc w:val="both"/>
        <w:rPr>
          <w:b/>
        </w:rPr>
      </w:pPr>
      <w:r>
        <w:rPr>
          <w:b/>
        </w:rPr>
        <w:t>10.1 Normy</w:t>
      </w:r>
    </w:p>
    <w:p w:rsidR="00371CB2" w:rsidRDefault="00371CB2" w:rsidP="00371CB2">
      <w:pPr>
        <w:tabs>
          <w:tab w:val="left" w:pos="576"/>
          <w:tab w:val="left" w:pos="1008"/>
        </w:tabs>
        <w:spacing w:before="120" w:after="120"/>
        <w:jc w:val="both"/>
        <w:rPr>
          <w:b/>
        </w:rPr>
      </w:pPr>
    </w:p>
    <w:p w:rsidR="00371CB2" w:rsidRPr="00371CB2" w:rsidRDefault="00371CB2" w:rsidP="00371CB2">
      <w:pPr>
        <w:tabs>
          <w:tab w:val="left" w:pos="576"/>
          <w:tab w:val="left" w:pos="1008"/>
        </w:tabs>
        <w:spacing w:before="120" w:after="120"/>
        <w:jc w:val="both"/>
        <w:rPr>
          <w:b/>
        </w:rPr>
      </w:pPr>
      <w:r>
        <w:rPr>
          <w:b/>
          <w:noProof/>
        </w:rPr>
        <w:drawing>
          <wp:inline distT="0" distB="0" distL="0" distR="0">
            <wp:extent cx="5703570" cy="678815"/>
            <wp:effectExtent l="0" t="0" r="0" b="6985"/>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03570" cy="678815"/>
                    </a:xfrm>
                    <a:prstGeom prst="rect">
                      <a:avLst/>
                    </a:prstGeom>
                    <a:noFill/>
                    <a:ln>
                      <a:noFill/>
                    </a:ln>
                  </pic:spPr>
                </pic:pic>
              </a:graphicData>
            </a:graphic>
          </wp:inline>
        </w:drawing>
      </w:r>
    </w:p>
    <w:p w:rsidR="00923B59" w:rsidRDefault="00923B59" w:rsidP="00BE4E21">
      <w:pPr>
        <w:rPr>
          <w:rFonts w:ascii="PL Times New Roman" w:hAnsi="PL Times New Roman"/>
          <w:b/>
          <w:snapToGrid w:val="0"/>
          <w:sz w:val="26"/>
        </w:rPr>
      </w:pPr>
    </w:p>
    <w:p w:rsidR="00923B59" w:rsidRDefault="00923B59" w:rsidP="00BE4E21">
      <w:pPr>
        <w:rPr>
          <w:rFonts w:ascii="PL Times New Roman" w:hAnsi="PL Times New Roman"/>
          <w:b/>
          <w:snapToGrid w:val="0"/>
          <w:sz w:val="26"/>
        </w:rPr>
      </w:pPr>
    </w:p>
    <w:p w:rsidR="00923B59" w:rsidRDefault="00923B59" w:rsidP="00BE4E21">
      <w:pPr>
        <w:rPr>
          <w:rFonts w:ascii="PL Times New Roman" w:hAnsi="PL Times New Roman"/>
          <w:b/>
          <w:snapToGrid w:val="0"/>
          <w:sz w:val="26"/>
        </w:rPr>
      </w:pPr>
    </w:p>
    <w:p w:rsidR="00371CB2" w:rsidRDefault="00371CB2" w:rsidP="00BE4E21">
      <w:pPr>
        <w:rPr>
          <w:rFonts w:ascii="PL Times New Roman" w:hAnsi="PL Times New Roman"/>
          <w:b/>
          <w:snapToGrid w:val="0"/>
          <w:sz w:val="26"/>
        </w:rPr>
      </w:pPr>
      <w:r>
        <w:rPr>
          <w:rFonts w:ascii="PL Times New Roman" w:hAnsi="PL Times New Roman"/>
          <w:b/>
          <w:noProof/>
          <w:sz w:val="26"/>
        </w:rPr>
        <w:drawing>
          <wp:inline distT="0" distB="0" distL="0" distR="0">
            <wp:extent cx="5549900" cy="7668260"/>
            <wp:effectExtent l="0" t="0" r="0" b="8890"/>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549900" cy="7668260"/>
                    </a:xfrm>
                    <a:prstGeom prst="rect">
                      <a:avLst/>
                    </a:prstGeom>
                    <a:noFill/>
                    <a:ln>
                      <a:noFill/>
                    </a:ln>
                  </pic:spPr>
                </pic:pic>
              </a:graphicData>
            </a:graphic>
          </wp:inline>
        </w:drawing>
      </w:r>
    </w:p>
    <w:p w:rsidR="00371CB2" w:rsidRDefault="00371CB2" w:rsidP="00BE4E21">
      <w:pPr>
        <w:rPr>
          <w:rFonts w:ascii="PL Times New Roman" w:hAnsi="PL Times New Roman"/>
          <w:b/>
          <w:snapToGrid w:val="0"/>
          <w:sz w:val="26"/>
        </w:rPr>
      </w:pPr>
    </w:p>
    <w:p w:rsidR="00371CB2" w:rsidRDefault="00371CB2" w:rsidP="00BE4E21">
      <w:pPr>
        <w:rPr>
          <w:rFonts w:ascii="PL Times New Roman" w:hAnsi="PL Times New Roman"/>
          <w:b/>
          <w:snapToGrid w:val="0"/>
          <w:sz w:val="26"/>
        </w:rPr>
      </w:pPr>
    </w:p>
    <w:p w:rsidR="00923B59" w:rsidRDefault="00923B59" w:rsidP="00BE4E21">
      <w:pPr>
        <w:rPr>
          <w:rFonts w:ascii="PL Times New Roman" w:hAnsi="PL Times New Roman"/>
          <w:b/>
          <w:snapToGrid w:val="0"/>
          <w:sz w:val="26"/>
        </w:rPr>
      </w:pPr>
    </w:p>
    <w:p w:rsidR="00923B59" w:rsidRDefault="00923B59" w:rsidP="00BE4E21">
      <w:pPr>
        <w:rPr>
          <w:rFonts w:ascii="PL Times New Roman" w:hAnsi="PL Times New Roman"/>
          <w:b/>
          <w:snapToGrid w:val="0"/>
          <w:sz w:val="26"/>
        </w:rPr>
      </w:pPr>
    </w:p>
    <w:p w:rsidR="00923B59" w:rsidRDefault="00923B59" w:rsidP="00BE4E21">
      <w:pPr>
        <w:rPr>
          <w:rFonts w:ascii="PL Times New Roman" w:hAnsi="PL Times New Roman"/>
          <w:b/>
          <w:snapToGrid w:val="0"/>
          <w:sz w:val="26"/>
        </w:rPr>
      </w:pPr>
    </w:p>
    <w:p w:rsidR="00613905" w:rsidRDefault="00613905" w:rsidP="00BE4E21">
      <w:pPr>
        <w:rPr>
          <w:rFonts w:ascii="PL Times New Roman" w:hAnsi="PL Times New Roman"/>
          <w:b/>
          <w:snapToGrid w:val="0"/>
          <w:sz w:val="26"/>
        </w:rPr>
      </w:pPr>
    </w:p>
    <w:p w:rsidR="00371CB2" w:rsidRDefault="00371CB2" w:rsidP="00371CB2">
      <w:pPr>
        <w:tabs>
          <w:tab w:val="left" w:pos="576"/>
          <w:tab w:val="left" w:pos="1008"/>
        </w:tabs>
        <w:spacing w:before="120" w:after="120"/>
        <w:jc w:val="both"/>
        <w:rPr>
          <w:b/>
        </w:rPr>
      </w:pPr>
      <w:r>
        <w:rPr>
          <w:b/>
        </w:rPr>
        <w:t>10.2 Inne dokumenty</w:t>
      </w:r>
    </w:p>
    <w:p w:rsidR="00923B59" w:rsidRDefault="00371CB2" w:rsidP="00BE4E21">
      <w:pPr>
        <w:rPr>
          <w:rFonts w:ascii="PL Times New Roman" w:hAnsi="PL Times New Roman"/>
          <w:b/>
          <w:snapToGrid w:val="0"/>
          <w:sz w:val="26"/>
        </w:rPr>
      </w:pPr>
      <w:r>
        <w:rPr>
          <w:rFonts w:ascii="PL Times New Roman" w:hAnsi="PL Times New Roman"/>
          <w:b/>
          <w:noProof/>
          <w:sz w:val="26"/>
        </w:rPr>
        <w:drawing>
          <wp:inline distT="0" distB="0" distL="0" distR="0">
            <wp:extent cx="5114925" cy="588645"/>
            <wp:effectExtent l="0" t="0" r="9525" b="1905"/>
            <wp:docPr id="52" name="Obraz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114925" cy="588645"/>
                    </a:xfrm>
                    <a:prstGeom prst="rect">
                      <a:avLst/>
                    </a:prstGeom>
                    <a:noFill/>
                    <a:ln>
                      <a:noFill/>
                    </a:ln>
                  </pic:spPr>
                </pic:pic>
              </a:graphicData>
            </a:graphic>
          </wp:inline>
        </w:drawing>
      </w:r>
    </w:p>
    <w:p w:rsidR="00923B59" w:rsidRDefault="00923B59" w:rsidP="00BE4E21">
      <w:pPr>
        <w:rPr>
          <w:rFonts w:ascii="PL Times New Roman" w:hAnsi="PL Times New Roman"/>
          <w:b/>
          <w:snapToGrid w:val="0"/>
          <w:sz w:val="26"/>
        </w:rPr>
      </w:pPr>
    </w:p>
    <w:p w:rsidR="00923B59" w:rsidRDefault="00923B59" w:rsidP="00BE4E21">
      <w:pPr>
        <w:rPr>
          <w:rFonts w:ascii="PL Times New Roman" w:hAnsi="PL Times New Roman"/>
          <w:b/>
          <w:snapToGrid w:val="0"/>
          <w:sz w:val="26"/>
        </w:rPr>
      </w:pPr>
    </w:p>
    <w:p w:rsidR="00923B59" w:rsidRDefault="00923B59" w:rsidP="00BE4E21">
      <w:pPr>
        <w:rPr>
          <w:rFonts w:ascii="PL Times New Roman" w:hAnsi="PL Times New Roman"/>
          <w:b/>
          <w:snapToGrid w:val="0"/>
          <w:sz w:val="26"/>
        </w:rPr>
      </w:pPr>
    </w:p>
    <w:p w:rsidR="00923B59" w:rsidRDefault="00923B59" w:rsidP="00BE4E21">
      <w:pPr>
        <w:rPr>
          <w:rFonts w:ascii="PL Times New Roman" w:hAnsi="PL Times New Roman"/>
          <w:b/>
          <w:snapToGrid w:val="0"/>
          <w:sz w:val="26"/>
        </w:rPr>
      </w:pPr>
    </w:p>
    <w:p w:rsidR="00923B59" w:rsidRDefault="00923B59" w:rsidP="00BE4E21">
      <w:pPr>
        <w:rPr>
          <w:rFonts w:ascii="PL Times New Roman" w:hAnsi="PL Times New Roman"/>
          <w:b/>
          <w:snapToGrid w:val="0"/>
          <w:sz w:val="26"/>
        </w:rPr>
      </w:pPr>
    </w:p>
    <w:p w:rsidR="00923B59" w:rsidRDefault="00923B59" w:rsidP="00BE4E21">
      <w:pPr>
        <w:rPr>
          <w:rFonts w:ascii="PL Times New Roman" w:hAnsi="PL Times New Roman"/>
          <w:b/>
          <w:snapToGrid w:val="0"/>
          <w:sz w:val="26"/>
        </w:rPr>
      </w:pPr>
    </w:p>
    <w:p w:rsidR="00923B59" w:rsidRDefault="00923B59" w:rsidP="00BE4E21">
      <w:pPr>
        <w:rPr>
          <w:rFonts w:ascii="PL Times New Roman" w:hAnsi="PL Times New Roman"/>
          <w:b/>
          <w:snapToGrid w:val="0"/>
          <w:sz w:val="26"/>
        </w:rPr>
      </w:pPr>
    </w:p>
    <w:p w:rsidR="00923B59" w:rsidRDefault="00923B59" w:rsidP="00BE4E21">
      <w:pPr>
        <w:rPr>
          <w:rFonts w:ascii="PL Times New Roman" w:hAnsi="PL Times New Roman"/>
          <w:b/>
          <w:snapToGrid w:val="0"/>
          <w:sz w:val="26"/>
        </w:rPr>
      </w:pPr>
    </w:p>
    <w:p w:rsidR="00923B59" w:rsidRDefault="00923B59" w:rsidP="00BE4E21">
      <w:pPr>
        <w:rPr>
          <w:rFonts w:ascii="PL Times New Roman" w:hAnsi="PL Times New Roman"/>
          <w:b/>
          <w:snapToGrid w:val="0"/>
          <w:sz w:val="26"/>
        </w:rPr>
      </w:pPr>
    </w:p>
    <w:p w:rsidR="00923B59" w:rsidRDefault="00923B59" w:rsidP="00BE4E21">
      <w:pPr>
        <w:rPr>
          <w:rFonts w:ascii="PL Times New Roman" w:hAnsi="PL Times New Roman"/>
          <w:b/>
          <w:snapToGrid w:val="0"/>
          <w:sz w:val="26"/>
        </w:rPr>
      </w:pPr>
    </w:p>
    <w:p w:rsidR="00923B59" w:rsidRDefault="00923B59" w:rsidP="00BE4E21">
      <w:pPr>
        <w:rPr>
          <w:rFonts w:ascii="PL Times New Roman" w:hAnsi="PL Times New Roman"/>
          <w:b/>
          <w:snapToGrid w:val="0"/>
          <w:sz w:val="26"/>
        </w:rPr>
      </w:pPr>
    </w:p>
    <w:p w:rsidR="00923B59" w:rsidRDefault="00923B59" w:rsidP="00BE4E21">
      <w:pPr>
        <w:rPr>
          <w:rFonts w:ascii="PL Times New Roman" w:hAnsi="PL Times New Roman"/>
          <w:b/>
          <w:snapToGrid w:val="0"/>
          <w:sz w:val="26"/>
        </w:rPr>
      </w:pPr>
    </w:p>
    <w:p w:rsidR="00923B59" w:rsidRDefault="00923B59" w:rsidP="00BE4E21">
      <w:pPr>
        <w:rPr>
          <w:rFonts w:ascii="PL Times New Roman" w:hAnsi="PL Times New Roman"/>
          <w:b/>
          <w:snapToGrid w:val="0"/>
          <w:sz w:val="26"/>
        </w:rPr>
      </w:pPr>
    </w:p>
    <w:p w:rsidR="00923B59" w:rsidRDefault="00923B59" w:rsidP="00BE4E21">
      <w:pPr>
        <w:rPr>
          <w:rFonts w:ascii="PL Times New Roman" w:hAnsi="PL Times New Roman"/>
          <w:b/>
          <w:snapToGrid w:val="0"/>
          <w:sz w:val="26"/>
        </w:rPr>
      </w:pPr>
    </w:p>
    <w:p w:rsidR="00371CB2" w:rsidRDefault="00371CB2" w:rsidP="00BE4E21">
      <w:pPr>
        <w:rPr>
          <w:rFonts w:ascii="PL Times New Roman" w:hAnsi="PL Times New Roman"/>
          <w:b/>
          <w:snapToGrid w:val="0"/>
          <w:sz w:val="26"/>
        </w:rPr>
      </w:pPr>
    </w:p>
    <w:p w:rsidR="00371CB2" w:rsidRDefault="00371CB2" w:rsidP="00BE4E21">
      <w:pPr>
        <w:rPr>
          <w:rFonts w:ascii="PL Times New Roman" w:hAnsi="PL Times New Roman"/>
          <w:b/>
          <w:snapToGrid w:val="0"/>
          <w:sz w:val="26"/>
        </w:rPr>
      </w:pPr>
    </w:p>
    <w:p w:rsidR="00371CB2" w:rsidRDefault="00371CB2" w:rsidP="00BE4E21">
      <w:pPr>
        <w:rPr>
          <w:rFonts w:ascii="PL Times New Roman" w:hAnsi="PL Times New Roman"/>
          <w:b/>
          <w:snapToGrid w:val="0"/>
          <w:sz w:val="26"/>
        </w:rPr>
      </w:pPr>
    </w:p>
    <w:p w:rsidR="00371CB2" w:rsidRDefault="00371CB2" w:rsidP="00BE4E21">
      <w:pPr>
        <w:rPr>
          <w:rFonts w:ascii="PL Times New Roman" w:hAnsi="PL Times New Roman"/>
          <w:b/>
          <w:snapToGrid w:val="0"/>
          <w:sz w:val="26"/>
        </w:rPr>
      </w:pPr>
    </w:p>
    <w:p w:rsidR="00371CB2" w:rsidRDefault="00371CB2" w:rsidP="00BE4E21">
      <w:pPr>
        <w:rPr>
          <w:rFonts w:ascii="PL Times New Roman" w:hAnsi="PL Times New Roman"/>
          <w:b/>
          <w:snapToGrid w:val="0"/>
          <w:sz w:val="26"/>
        </w:rPr>
      </w:pPr>
    </w:p>
    <w:p w:rsidR="00371CB2" w:rsidRDefault="00371CB2" w:rsidP="00BE4E21">
      <w:pPr>
        <w:rPr>
          <w:rFonts w:ascii="PL Times New Roman" w:hAnsi="PL Times New Roman"/>
          <w:b/>
          <w:snapToGrid w:val="0"/>
          <w:sz w:val="26"/>
        </w:rPr>
      </w:pPr>
    </w:p>
    <w:p w:rsidR="00371CB2" w:rsidRDefault="00371CB2" w:rsidP="00BE4E21">
      <w:pPr>
        <w:rPr>
          <w:rFonts w:ascii="PL Times New Roman" w:hAnsi="PL Times New Roman"/>
          <w:b/>
          <w:snapToGrid w:val="0"/>
          <w:sz w:val="26"/>
        </w:rPr>
      </w:pPr>
    </w:p>
    <w:p w:rsidR="00371CB2" w:rsidRDefault="00371CB2" w:rsidP="00BE4E21">
      <w:pPr>
        <w:rPr>
          <w:rFonts w:ascii="PL Times New Roman" w:hAnsi="PL Times New Roman"/>
          <w:b/>
          <w:snapToGrid w:val="0"/>
          <w:sz w:val="26"/>
        </w:rPr>
      </w:pPr>
    </w:p>
    <w:p w:rsidR="00371CB2" w:rsidRDefault="00371CB2" w:rsidP="00BE4E21">
      <w:pPr>
        <w:rPr>
          <w:rFonts w:ascii="PL Times New Roman" w:hAnsi="PL Times New Roman"/>
          <w:b/>
          <w:snapToGrid w:val="0"/>
          <w:sz w:val="26"/>
        </w:rPr>
      </w:pPr>
    </w:p>
    <w:p w:rsidR="00371CB2" w:rsidRDefault="00371CB2" w:rsidP="00BE4E21">
      <w:pPr>
        <w:rPr>
          <w:rFonts w:ascii="PL Times New Roman" w:hAnsi="PL Times New Roman"/>
          <w:b/>
          <w:snapToGrid w:val="0"/>
          <w:sz w:val="26"/>
        </w:rPr>
      </w:pPr>
    </w:p>
    <w:p w:rsidR="00371CB2" w:rsidRDefault="00371CB2" w:rsidP="00BE4E21">
      <w:pPr>
        <w:rPr>
          <w:rFonts w:ascii="PL Times New Roman" w:hAnsi="PL Times New Roman"/>
          <w:b/>
          <w:snapToGrid w:val="0"/>
          <w:sz w:val="26"/>
        </w:rPr>
      </w:pPr>
    </w:p>
    <w:p w:rsidR="00371CB2" w:rsidRDefault="00371CB2" w:rsidP="00BE4E21">
      <w:pPr>
        <w:rPr>
          <w:rFonts w:ascii="PL Times New Roman" w:hAnsi="PL Times New Roman"/>
          <w:b/>
          <w:snapToGrid w:val="0"/>
          <w:sz w:val="26"/>
        </w:rPr>
      </w:pPr>
    </w:p>
    <w:p w:rsidR="00371CB2" w:rsidRDefault="00371CB2" w:rsidP="00BE4E21">
      <w:pPr>
        <w:rPr>
          <w:rFonts w:ascii="PL Times New Roman" w:hAnsi="PL Times New Roman"/>
          <w:b/>
          <w:snapToGrid w:val="0"/>
          <w:sz w:val="26"/>
        </w:rPr>
      </w:pPr>
    </w:p>
    <w:p w:rsidR="00371CB2" w:rsidRDefault="00371CB2" w:rsidP="00BE4E21">
      <w:pPr>
        <w:rPr>
          <w:rFonts w:ascii="PL Times New Roman" w:hAnsi="PL Times New Roman"/>
          <w:b/>
          <w:snapToGrid w:val="0"/>
          <w:sz w:val="26"/>
        </w:rPr>
      </w:pPr>
    </w:p>
    <w:p w:rsidR="00371CB2" w:rsidRDefault="00371CB2" w:rsidP="00BE4E21">
      <w:pPr>
        <w:rPr>
          <w:rFonts w:ascii="PL Times New Roman" w:hAnsi="PL Times New Roman"/>
          <w:b/>
          <w:snapToGrid w:val="0"/>
          <w:sz w:val="26"/>
        </w:rPr>
      </w:pPr>
    </w:p>
    <w:p w:rsidR="00371CB2" w:rsidRDefault="00371CB2" w:rsidP="00BE4E21">
      <w:pPr>
        <w:rPr>
          <w:rFonts w:ascii="PL Times New Roman" w:hAnsi="PL Times New Roman"/>
          <w:b/>
          <w:snapToGrid w:val="0"/>
          <w:sz w:val="26"/>
        </w:rPr>
      </w:pPr>
    </w:p>
    <w:p w:rsidR="00371CB2" w:rsidRDefault="00371CB2" w:rsidP="00BE4E21">
      <w:pPr>
        <w:rPr>
          <w:rFonts w:ascii="PL Times New Roman" w:hAnsi="PL Times New Roman"/>
          <w:b/>
          <w:snapToGrid w:val="0"/>
          <w:sz w:val="26"/>
        </w:rPr>
      </w:pPr>
    </w:p>
    <w:p w:rsidR="00371CB2" w:rsidRDefault="00371CB2" w:rsidP="00BE4E21">
      <w:pPr>
        <w:rPr>
          <w:rFonts w:ascii="PL Times New Roman" w:hAnsi="PL Times New Roman"/>
          <w:b/>
          <w:snapToGrid w:val="0"/>
          <w:sz w:val="26"/>
        </w:rPr>
      </w:pPr>
    </w:p>
    <w:p w:rsidR="00371CB2" w:rsidRDefault="00371CB2" w:rsidP="00BE4E21">
      <w:pPr>
        <w:rPr>
          <w:rFonts w:ascii="PL Times New Roman" w:hAnsi="PL Times New Roman"/>
          <w:b/>
          <w:snapToGrid w:val="0"/>
          <w:sz w:val="26"/>
        </w:rPr>
      </w:pPr>
    </w:p>
    <w:p w:rsidR="00371CB2" w:rsidRDefault="00371CB2" w:rsidP="00BE4E21">
      <w:pPr>
        <w:rPr>
          <w:rFonts w:ascii="PL Times New Roman" w:hAnsi="PL Times New Roman"/>
          <w:b/>
          <w:snapToGrid w:val="0"/>
          <w:sz w:val="26"/>
        </w:rPr>
      </w:pPr>
    </w:p>
    <w:p w:rsidR="00371CB2" w:rsidRDefault="00371CB2" w:rsidP="00BE4E21">
      <w:pPr>
        <w:rPr>
          <w:rFonts w:ascii="PL Times New Roman" w:hAnsi="PL Times New Roman"/>
          <w:b/>
          <w:snapToGrid w:val="0"/>
          <w:sz w:val="26"/>
        </w:rPr>
      </w:pPr>
    </w:p>
    <w:p w:rsidR="00371CB2" w:rsidRDefault="00371CB2" w:rsidP="00BE4E21">
      <w:pPr>
        <w:rPr>
          <w:rFonts w:ascii="PL Times New Roman" w:hAnsi="PL Times New Roman"/>
          <w:b/>
          <w:snapToGrid w:val="0"/>
          <w:sz w:val="26"/>
        </w:rPr>
      </w:pPr>
    </w:p>
    <w:p w:rsidR="00371CB2" w:rsidRDefault="00371CB2" w:rsidP="00BE4E21">
      <w:pPr>
        <w:rPr>
          <w:rFonts w:ascii="PL Times New Roman" w:hAnsi="PL Times New Roman"/>
          <w:b/>
          <w:snapToGrid w:val="0"/>
          <w:sz w:val="26"/>
        </w:rPr>
      </w:pPr>
    </w:p>
    <w:p w:rsidR="00371CB2" w:rsidRDefault="00371CB2" w:rsidP="00BE4E21">
      <w:pPr>
        <w:rPr>
          <w:rFonts w:ascii="PL Times New Roman" w:hAnsi="PL Times New Roman"/>
          <w:b/>
          <w:snapToGrid w:val="0"/>
          <w:sz w:val="26"/>
        </w:rPr>
      </w:pPr>
    </w:p>
    <w:p w:rsidR="00371CB2" w:rsidRDefault="00371CB2" w:rsidP="00BE4E21">
      <w:pPr>
        <w:rPr>
          <w:rFonts w:ascii="PL Times New Roman" w:hAnsi="PL Times New Roman"/>
          <w:b/>
          <w:snapToGrid w:val="0"/>
          <w:sz w:val="26"/>
        </w:rPr>
      </w:pPr>
    </w:p>
    <w:p w:rsidR="00371CB2" w:rsidRDefault="00371CB2" w:rsidP="00BE4E21">
      <w:pPr>
        <w:rPr>
          <w:rFonts w:ascii="PL Times New Roman" w:hAnsi="PL Times New Roman"/>
          <w:b/>
          <w:snapToGrid w:val="0"/>
          <w:sz w:val="26"/>
        </w:rPr>
      </w:pPr>
    </w:p>
    <w:p w:rsidR="00371CB2" w:rsidRDefault="00371CB2" w:rsidP="00BE4E21">
      <w:pPr>
        <w:rPr>
          <w:rFonts w:ascii="PL Times New Roman" w:hAnsi="PL Times New Roman"/>
          <w:b/>
          <w:snapToGrid w:val="0"/>
          <w:sz w:val="26"/>
        </w:rPr>
      </w:pPr>
    </w:p>
    <w:p w:rsidR="00371CB2" w:rsidRDefault="00371CB2" w:rsidP="00BE4E21">
      <w:pPr>
        <w:rPr>
          <w:rFonts w:ascii="PL Times New Roman" w:hAnsi="PL Times New Roman"/>
          <w:b/>
          <w:snapToGrid w:val="0"/>
          <w:sz w:val="26"/>
        </w:rPr>
      </w:pPr>
    </w:p>
    <w:p w:rsidR="00EC610E" w:rsidRPr="006C636B" w:rsidRDefault="00B751AC" w:rsidP="00EC610E">
      <w:pPr>
        <w:jc w:val="both"/>
        <w:outlineLvl w:val="0"/>
        <w:rPr>
          <w:rFonts w:ascii="PL Times New Roman" w:hAnsi="PL Times New Roman"/>
          <w:b/>
          <w:snapToGrid w:val="0"/>
          <w:sz w:val="26"/>
        </w:rPr>
      </w:pPr>
      <w:bookmarkStart w:id="37" w:name="_Toc80100088"/>
      <w:r>
        <w:rPr>
          <w:rFonts w:ascii="PL Times New Roman" w:hAnsi="PL Times New Roman"/>
          <w:b/>
          <w:snapToGrid w:val="0"/>
          <w:sz w:val="26"/>
        </w:rPr>
        <w:t>M.15.01.02</w:t>
      </w:r>
      <w:r w:rsidR="00EC610E">
        <w:rPr>
          <w:rFonts w:ascii="PL Times New Roman" w:hAnsi="PL Times New Roman"/>
          <w:b/>
          <w:snapToGrid w:val="0"/>
          <w:sz w:val="26"/>
        </w:rPr>
        <w:t xml:space="preserve">. </w:t>
      </w:r>
      <w:r w:rsidR="00EC610E">
        <w:rPr>
          <w:rFonts w:ascii="PL Times New Roman" w:hAnsi="PL Times New Roman"/>
          <w:b/>
          <w:snapToGrid w:val="0"/>
          <w:sz w:val="26"/>
        </w:rPr>
        <w:tab/>
      </w:r>
      <w:r w:rsidR="00EC610E">
        <w:rPr>
          <w:rFonts w:ascii="PL Times New Roman" w:hAnsi="PL Times New Roman"/>
          <w:b/>
          <w:snapToGrid w:val="0"/>
          <w:sz w:val="26"/>
        </w:rPr>
        <w:tab/>
        <w:t>IZOLACJE WYKONYWANE NA ZIMNO - BITUMICZNE</w:t>
      </w:r>
      <w:bookmarkEnd w:id="37"/>
    </w:p>
    <w:p w:rsidR="00EC610E" w:rsidRDefault="00EC610E" w:rsidP="0097494B">
      <w:pPr>
        <w:numPr>
          <w:ilvl w:val="2"/>
          <w:numId w:val="26"/>
        </w:numPr>
        <w:tabs>
          <w:tab w:val="clear" w:pos="0"/>
          <w:tab w:val="num" w:pos="720"/>
        </w:tabs>
        <w:suppressAutoHyphens/>
        <w:spacing w:before="120" w:after="60"/>
        <w:ind w:left="720" w:hanging="720"/>
        <w:jc w:val="both"/>
        <w:outlineLvl w:val="2"/>
        <w:rPr>
          <w:b/>
          <w:snapToGrid w:val="0"/>
          <w:u w:val="single"/>
        </w:rPr>
      </w:pPr>
    </w:p>
    <w:p w:rsidR="00EC610E" w:rsidRPr="006C636B" w:rsidRDefault="00EC610E" w:rsidP="0097494B">
      <w:pPr>
        <w:numPr>
          <w:ilvl w:val="2"/>
          <w:numId w:val="26"/>
        </w:numPr>
        <w:tabs>
          <w:tab w:val="clear" w:pos="0"/>
          <w:tab w:val="num" w:pos="720"/>
        </w:tabs>
        <w:suppressAutoHyphens/>
        <w:spacing w:before="120" w:after="60"/>
        <w:ind w:left="720" w:hanging="720"/>
        <w:jc w:val="both"/>
        <w:outlineLvl w:val="2"/>
        <w:rPr>
          <w:b/>
          <w:snapToGrid w:val="0"/>
          <w:u w:val="single"/>
        </w:rPr>
      </w:pPr>
      <w:r w:rsidRPr="006C636B">
        <w:rPr>
          <w:b/>
          <w:snapToGrid w:val="0"/>
          <w:u w:val="single"/>
        </w:rPr>
        <w:t>1. WSTĘP</w:t>
      </w:r>
    </w:p>
    <w:p w:rsidR="00EC610E" w:rsidRPr="006C636B" w:rsidRDefault="00EC610E" w:rsidP="00EC610E">
      <w:pPr>
        <w:suppressAutoHyphens/>
        <w:spacing w:before="120" w:after="120"/>
        <w:jc w:val="both"/>
        <w:rPr>
          <w:b/>
          <w:lang w:eastAsia="ar-SA"/>
        </w:rPr>
      </w:pPr>
      <w:r w:rsidRPr="006C636B">
        <w:rPr>
          <w:b/>
          <w:lang w:eastAsia="ar-SA"/>
        </w:rPr>
        <w:t>1.1. Przedmiot SST</w:t>
      </w:r>
    </w:p>
    <w:p w:rsidR="00F5629A" w:rsidRDefault="00F5629A" w:rsidP="00EC610E">
      <w:pPr>
        <w:spacing w:before="120" w:after="120"/>
        <w:ind w:firstLine="709"/>
        <w:jc w:val="both"/>
      </w:pPr>
      <w:r>
        <w:t xml:space="preserve">Przedmiotem niniejszej specyfikacji technicznej są wymagania dotyczące wykonania i odbioru izolacji bitumicznej na zimno materiałem bitumicznym powierzchni odziemnych </w:t>
      </w:r>
      <w:r>
        <w:rPr>
          <w:snapToGrid w:val="0"/>
        </w:rPr>
        <w:t xml:space="preserve">w ramach </w:t>
      </w:r>
      <w:r w:rsidRPr="00EF1817">
        <w:t xml:space="preserve">realizacji zadania pn. </w:t>
      </w:r>
      <w:r w:rsidR="00B751AC">
        <w:rPr>
          <w:bCs/>
        </w:rPr>
        <w:t>"Remont przepustu nad rzeką Postomia w ciągu drogi nr 445/k.2922 m. Wędrzyn."</w:t>
      </w:r>
    </w:p>
    <w:p w:rsidR="00F5629A" w:rsidRPr="00A52897" w:rsidRDefault="00EC610E" w:rsidP="00A52897">
      <w:pPr>
        <w:tabs>
          <w:tab w:val="left" w:pos="576"/>
          <w:tab w:val="left" w:pos="1008"/>
        </w:tabs>
        <w:spacing w:before="60" w:after="60"/>
        <w:jc w:val="both"/>
        <w:rPr>
          <w:b/>
        </w:rPr>
      </w:pPr>
      <w:r w:rsidRPr="006C636B">
        <w:rPr>
          <w:b/>
        </w:rPr>
        <w:t>1.2. Zakres stosowania SST</w:t>
      </w:r>
    </w:p>
    <w:p w:rsidR="00EC610E" w:rsidRPr="006C636B" w:rsidRDefault="00A52897" w:rsidP="00EC610E">
      <w:pPr>
        <w:tabs>
          <w:tab w:val="left" w:pos="576"/>
          <w:tab w:val="left" w:pos="1008"/>
        </w:tabs>
        <w:spacing w:before="120" w:after="120"/>
        <w:jc w:val="both"/>
      </w:pPr>
      <w:r>
        <w:tab/>
      </w:r>
      <w:r w:rsidR="00EC610E" w:rsidRPr="006C636B">
        <w:t>Szczegółowa Specyfikacja Techniczna jest stosowana jako dokument przetargowy i kontraktowy przy zlecaniu i realizacji robót wymienionych w punkcie 1.1.</w:t>
      </w:r>
    </w:p>
    <w:p w:rsidR="00EC610E" w:rsidRPr="006C636B" w:rsidRDefault="00EC610E" w:rsidP="00EC610E">
      <w:pPr>
        <w:tabs>
          <w:tab w:val="left" w:pos="576"/>
          <w:tab w:val="left" w:pos="1008"/>
        </w:tabs>
        <w:spacing w:before="60" w:after="60"/>
        <w:jc w:val="both"/>
        <w:rPr>
          <w:b/>
        </w:rPr>
      </w:pPr>
      <w:r w:rsidRPr="006C636B">
        <w:rPr>
          <w:b/>
        </w:rPr>
        <w:t>1.3. Zakres robót objętych SST</w:t>
      </w:r>
    </w:p>
    <w:p w:rsidR="00A52897" w:rsidRDefault="00A52897" w:rsidP="00A52897">
      <w:pPr>
        <w:jc w:val="both"/>
      </w:pPr>
      <w:r>
        <w:tab/>
        <w:t>Ustalenia zawarte w niniejszej specyfikacji dotyczą prowadzenia robót przy wykonywaniu izolacji bitumicznej powierzchni i obejmują:</w:t>
      </w:r>
    </w:p>
    <w:p w:rsidR="00A52897" w:rsidRDefault="00A52897" w:rsidP="00EC610E">
      <w:pPr>
        <w:tabs>
          <w:tab w:val="left" w:pos="360"/>
        </w:tabs>
        <w:jc w:val="both"/>
      </w:pPr>
      <w:r>
        <w:tab/>
        <w:t>- oczyszczenie i przygotowanie podłoża,</w:t>
      </w:r>
    </w:p>
    <w:p w:rsidR="00A52897" w:rsidRPr="00C572EF" w:rsidRDefault="00A52897" w:rsidP="00A52897">
      <w:pPr>
        <w:pStyle w:val="Akapitzlist"/>
        <w:ind w:left="360"/>
        <w:rPr>
          <w:sz w:val="20"/>
          <w:szCs w:val="20"/>
        </w:rPr>
      </w:pPr>
      <w:r>
        <w:rPr>
          <w:sz w:val="20"/>
          <w:szCs w:val="20"/>
        </w:rPr>
        <w:t xml:space="preserve">- </w:t>
      </w:r>
      <w:r w:rsidRPr="00C572EF">
        <w:rPr>
          <w:sz w:val="20"/>
          <w:szCs w:val="20"/>
        </w:rPr>
        <w:t>wykonanie izolacji powierzchni odziemnych betonu podpór - materiałem powłokowym do izolacji na zimno wraz z zagruntowaniem.</w:t>
      </w:r>
    </w:p>
    <w:p w:rsidR="00EC610E" w:rsidRPr="006C636B" w:rsidRDefault="00EC610E" w:rsidP="00EC610E">
      <w:pPr>
        <w:tabs>
          <w:tab w:val="left" w:pos="576"/>
          <w:tab w:val="left" w:pos="1008"/>
        </w:tabs>
        <w:spacing w:before="60" w:after="60"/>
        <w:jc w:val="both"/>
        <w:rPr>
          <w:b/>
        </w:rPr>
      </w:pPr>
      <w:r w:rsidRPr="006C636B">
        <w:rPr>
          <w:b/>
        </w:rPr>
        <w:t>1.4. Określenia podstawowe</w:t>
      </w:r>
    </w:p>
    <w:p w:rsidR="00EC610E" w:rsidRPr="006C636B" w:rsidRDefault="00EC610E" w:rsidP="00EC610E">
      <w:pPr>
        <w:tabs>
          <w:tab w:val="left" w:pos="576"/>
          <w:tab w:val="left" w:pos="1008"/>
        </w:tabs>
        <w:spacing w:before="120" w:after="120"/>
        <w:jc w:val="both"/>
        <w:rPr>
          <w:b/>
        </w:rPr>
      </w:pPr>
      <w:r w:rsidRPr="006C636B">
        <w:rPr>
          <w:b/>
        </w:rPr>
        <w:t>1.5. Ogólne wymagania dotyczące Robót</w:t>
      </w:r>
    </w:p>
    <w:p w:rsidR="00EC610E" w:rsidRDefault="00EC610E" w:rsidP="00A52897">
      <w:pPr>
        <w:spacing w:before="120" w:after="120"/>
        <w:ind w:firstLine="709"/>
        <w:jc w:val="both"/>
      </w:pPr>
      <w:r w:rsidRPr="00F54B2E">
        <w:t>Wykonawca jest odpowiedzialny za jakość stosowanych materiałów i wykonywanych robót oraz za ich zgodność z dokumentacją projektową, specyfikacją techn</w:t>
      </w:r>
      <w:r w:rsidR="00E6484E">
        <w:t xml:space="preserve">iczną oraz zaleceniami </w:t>
      </w:r>
      <w:r w:rsidR="003D1914">
        <w:t xml:space="preserve">przedstawiciela </w:t>
      </w:r>
      <w:r w:rsidR="00E6484E">
        <w:t>Zamawiającego</w:t>
      </w:r>
      <w:r w:rsidRPr="00F54B2E">
        <w:t>.</w:t>
      </w:r>
    </w:p>
    <w:p w:rsidR="00A52897" w:rsidRDefault="00A52897" w:rsidP="00A52897">
      <w:pPr>
        <w:spacing w:before="120" w:after="120"/>
        <w:ind w:firstLine="709"/>
        <w:jc w:val="both"/>
      </w:pPr>
    </w:p>
    <w:p w:rsidR="00EC610E" w:rsidRDefault="00EC610E" w:rsidP="0097494B">
      <w:pPr>
        <w:numPr>
          <w:ilvl w:val="2"/>
          <w:numId w:val="26"/>
        </w:numPr>
        <w:tabs>
          <w:tab w:val="clear" w:pos="0"/>
          <w:tab w:val="num" w:pos="720"/>
        </w:tabs>
        <w:suppressAutoHyphens/>
        <w:spacing w:before="120" w:after="60"/>
        <w:ind w:left="720" w:hanging="720"/>
        <w:jc w:val="both"/>
        <w:outlineLvl w:val="2"/>
        <w:rPr>
          <w:b/>
          <w:snapToGrid w:val="0"/>
          <w:u w:val="single"/>
        </w:rPr>
      </w:pPr>
      <w:r w:rsidRPr="006C636B">
        <w:rPr>
          <w:b/>
          <w:snapToGrid w:val="0"/>
          <w:u w:val="single"/>
        </w:rPr>
        <w:t>2. MATERIAŁY</w:t>
      </w:r>
    </w:p>
    <w:p w:rsidR="00A52897" w:rsidRPr="00A52897" w:rsidRDefault="00A52897" w:rsidP="00A52897">
      <w:pPr>
        <w:suppressAutoHyphens/>
        <w:spacing w:before="120" w:after="120"/>
        <w:jc w:val="both"/>
        <w:rPr>
          <w:b/>
          <w:lang w:eastAsia="ar-SA"/>
        </w:rPr>
      </w:pPr>
      <w:r>
        <w:rPr>
          <w:b/>
          <w:lang w:eastAsia="ar-SA"/>
        </w:rPr>
        <w:t>2.1</w:t>
      </w:r>
      <w:r w:rsidRPr="00A52897">
        <w:rPr>
          <w:b/>
          <w:lang w:eastAsia="ar-SA"/>
        </w:rPr>
        <w:t xml:space="preserve">. </w:t>
      </w:r>
      <w:r>
        <w:rPr>
          <w:b/>
          <w:lang w:eastAsia="ar-SA"/>
        </w:rPr>
        <w:t>Ogólne wymagania dotyczące materiałów</w:t>
      </w:r>
    </w:p>
    <w:p w:rsidR="00EC610E" w:rsidRDefault="00A52897" w:rsidP="00A52897">
      <w:pPr>
        <w:tabs>
          <w:tab w:val="left" w:pos="360"/>
        </w:tabs>
        <w:jc w:val="both"/>
      </w:pPr>
      <w:r>
        <w:tab/>
      </w:r>
      <w:r>
        <w:tab/>
        <w:t>Ogólne wymagania dotyczące materiałów, ich pozyskiwania i składowania, podano w STWiORB DM.00.00.00 „Wymagania ogólne” pkt 2.</w:t>
      </w:r>
    </w:p>
    <w:p w:rsidR="00573E1E" w:rsidRPr="00573E1E" w:rsidRDefault="00573E1E" w:rsidP="00573E1E">
      <w:pPr>
        <w:widowControl w:val="0"/>
        <w:ind w:firstLine="709"/>
        <w:jc w:val="both"/>
        <w:rPr>
          <w:snapToGrid w:val="0"/>
        </w:rPr>
      </w:pPr>
      <w:r w:rsidRPr="0075125F">
        <w:rPr>
          <w:snapToGrid w:val="0"/>
        </w:rPr>
        <w:t xml:space="preserve">Przed przystąpieniem do wbudowywania materiału Wykonawca zobowiązany jest do przedstawienia przy każdej dostawie deklaracji </w:t>
      </w:r>
      <w:r w:rsidR="006335B4">
        <w:rPr>
          <w:snapToGrid w:val="0"/>
        </w:rPr>
        <w:t>właściwości</w:t>
      </w:r>
      <w:r w:rsidRPr="0075125F">
        <w:rPr>
          <w:snapToGrid w:val="0"/>
        </w:rPr>
        <w:t xml:space="preserve"> użytkowych materiału objętego normą zharmonizowaną lub europejską oceną techniczną lub europejską aprobatą techniczną, lub krajowej deklaracji </w:t>
      </w:r>
      <w:r w:rsidR="006335B4">
        <w:rPr>
          <w:snapToGrid w:val="0"/>
        </w:rPr>
        <w:t>właściwości</w:t>
      </w:r>
      <w:r w:rsidRPr="0075125F">
        <w:rPr>
          <w:snapToGrid w:val="0"/>
        </w:rPr>
        <w:t>użytkowych dla materiału objętego Polską Normą lub krajową oceną techniczną lub aprobatą techniczną, a także kart technicznych i instrukcji użytkowania poszczególnych materiałów. Za sprawdzenie przydatności materiałów oraz jakość wbudowania odpowiada Wykonawca.</w:t>
      </w:r>
    </w:p>
    <w:p w:rsidR="00A52897" w:rsidRPr="00A52897" w:rsidRDefault="00A52897" w:rsidP="00A52897">
      <w:pPr>
        <w:suppressAutoHyphens/>
        <w:spacing w:before="120" w:after="120"/>
        <w:jc w:val="both"/>
        <w:rPr>
          <w:b/>
          <w:lang w:eastAsia="ar-SA"/>
        </w:rPr>
      </w:pPr>
      <w:r>
        <w:rPr>
          <w:b/>
          <w:lang w:eastAsia="ar-SA"/>
        </w:rPr>
        <w:t>2.2</w:t>
      </w:r>
      <w:r w:rsidRPr="00A52897">
        <w:rPr>
          <w:b/>
          <w:lang w:eastAsia="ar-SA"/>
        </w:rPr>
        <w:t xml:space="preserve">. </w:t>
      </w:r>
      <w:r>
        <w:rPr>
          <w:b/>
          <w:lang w:eastAsia="ar-SA"/>
        </w:rPr>
        <w:t>Zgodność materiałów z Dokumentacją Projektową</w:t>
      </w:r>
    </w:p>
    <w:p w:rsidR="00A52897" w:rsidRDefault="00A52897" w:rsidP="00EC610E">
      <w:pPr>
        <w:spacing w:before="120" w:after="120"/>
        <w:ind w:firstLine="709"/>
        <w:jc w:val="both"/>
      </w:pPr>
      <w:r>
        <w:t>Materiały do wykonania robót powinny być zgodne z ustaleniami dokumentacji projektowej.</w:t>
      </w:r>
    </w:p>
    <w:p w:rsidR="00A52897" w:rsidRDefault="00A52897" w:rsidP="00EC610E">
      <w:pPr>
        <w:spacing w:before="120" w:after="120"/>
        <w:ind w:firstLine="709"/>
        <w:jc w:val="both"/>
      </w:pPr>
      <w:r>
        <w:t>Należy stosować materiały, które są oznakowane CE lub B, dla których Wykonawca przedstawi deklarację zgodności z Polską Normą, normą zharmonizowaną, aprobatą techniczną</w:t>
      </w:r>
      <w:r w:rsidR="000A6998">
        <w:t xml:space="preserve"> (lub krajową ocene techniczną)</w:t>
      </w:r>
      <w:r>
        <w:t xml:space="preserve"> wydaną przez IBDiM lub europejską aprobatą techniczną.</w:t>
      </w:r>
    </w:p>
    <w:p w:rsidR="00A52897" w:rsidRDefault="00A52897" w:rsidP="00A52897">
      <w:pPr>
        <w:spacing w:before="120" w:after="120"/>
        <w:ind w:firstLine="709"/>
        <w:jc w:val="both"/>
      </w:pPr>
      <w:r>
        <w:t>Wykonawca dosta</w:t>
      </w:r>
      <w:r w:rsidR="00E6484E">
        <w:t>rczy</w:t>
      </w:r>
      <w:r w:rsidR="003D1914">
        <w:t xml:space="preserve">przedstawicielowi Zamawiającego </w:t>
      </w:r>
      <w:r>
        <w:t>zaświadczenia producenta potwierdzające spełnienie przez materiał izolacyjny wymaganych właściwości oraz trwałości, a także wyniki przeprowadzonych badań.</w:t>
      </w:r>
    </w:p>
    <w:p w:rsidR="002C27CE" w:rsidRDefault="002C27CE" w:rsidP="002C27CE">
      <w:pPr>
        <w:suppressAutoHyphens/>
        <w:spacing w:before="120" w:after="120"/>
        <w:jc w:val="both"/>
        <w:rPr>
          <w:b/>
          <w:lang w:eastAsia="ar-SA"/>
        </w:rPr>
      </w:pPr>
      <w:r>
        <w:rPr>
          <w:b/>
          <w:lang w:eastAsia="ar-SA"/>
        </w:rPr>
        <w:t>2.3. Materiały do gruntowania i izolacji właściwej</w:t>
      </w:r>
    </w:p>
    <w:p w:rsidR="002C27CE" w:rsidRPr="002C27CE" w:rsidRDefault="002C27CE" w:rsidP="002C27CE">
      <w:pPr>
        <w:spacing w:before="120" w:after="120"/>
        <w:ind w:firstLine="709"/>
        <w:jc w:val="both"/>
      </w:pPr>
      <w:r w:rsidRPr="002C27CE">
        <w:t>Roztwory bitumiczne (asfaltowe) do gruntowania oraz izolowania powierzchni betonowych, dostosowane do warunków środowiska w pobliżu obiektu. Dla obiektów posadowionych poniżej poziomu agresywnych wód gruntowych należy zastosować materiały izolacyjne odporne na występującą agresywność wód.Materiały do wykonania robót powinny być zgodne z ustaleniami dokumentacji projektowej. Wykonawca przed przystąpieniem do wykonania robót (izolacji</w:t>
      </w:r>
      <w:r w:rsidR="00E6484E">
        <w:t xml:space="preserve">) winien przedstawić </w:t>
      </w:r>
      <w:r w:rsidR="003D1914">
        <w:t>przedstawicielowi Zamawiającego</w:t>
      </w:r>
      <w:r w:rsidRPr="002C27CE">
        <w:t xml:space="preserve"> do zaakceptowania proponowane do zastosowania materiały</w:t>
      </w:r>
      <w:r>
        <w:t>.</w:t>
      </w:r>
    </w:p>
    <w:p w:rsidR="002C27CE" w:rsidRPr="00C572EF" w:rsidRDefault="002C27CE" w:rsidP="002C27CE">
      <w:pPr>
        <w:widowControl w:val="0"/>
        <w:jc w:val="both"/>
        <w:rPr>
          <w:rStyle w:val="Styl4Znak"/>
          <w:b w:val="0"/>
        </w:rPr>
      </w:pPr>
      <w:r w:rsidRPr="00C572EF">
        <w:rPr>
          <w:rStyle w:val="Styl4Znak"/>
          <w:b w:val="0"/>
        </w:rPr>
        <w:t>Do wykonania izolacji cienkiej można stosować następujące materiały:</w:t>
      </w:r>
    </w:p>
    <w:p w:rsidR="002C27CE" w:rsidRPr="002C27CE" w:rsidRDefault="002C27CE" w:rsidP="002C27CE">
      <w:pPr>
        <w:spacing w:before="120" w:after="120"/>
        <w:jc w:val="both"/>
      </w:pPr>
      <w:r>
        <w:t xml:space="preserve">a)  </w:t>
      </w:r>
      <w:r w:rsidRPr="002C27CE">
        <w:t>do gruntowania - rzadki (R) roztwór plastyfikowanych asfaltów ponaftowych w rozpuszczalnikach. Działanie roztworu powinno polegać na przenikaniu w pory betonu, uszczelnianiu powierzchni, wiązaniu pozostałych pyłów oraz na stwarzaniu warunków przyczepności warstw izolacyjnych do podłoża. Środek powinien być odporny na działanie temperatury do 60°C. Środka nie należy stosować na mokrych i przemrożonych powierzchniach. Rozprowadza się go na zimno, bez podgrzewania w temperaturze powyżej +5°C. Zależnie od porowatości podłoża zużycie materiału wynosi 0,3÷0,45 kg/m2 powierzchni zabezpieczanej. Przy aplikacji należy zachować szczególne środki ostrożności, ponieważ środki te są łatwopalne i nie są odporne na działanie rozpuszczalników organicznych (benzol, benzyna, nafta itp.),</w:t>
      </w:r>
    </w:p>
    <w:p w:rsidR="00E67525" w:rsidRPr="00C572EF" w:rsidRDefault="00E67525" w:rsidP="00E67525">
      <w:pPr>
        <w:widowControl w:val="0"/>
        <w:spacing w:before="120" w:after="120"/>
        <w:jc w:val="both"/>
        <w:rPr>
          <w:rStyle w:val="Styl4Znak"/>
          <w:b w:val="0"/>
        </w:rPr>
      </w:pPr>
      <w:r w:rsidRPr="00C572EF">
        <w:rPr>
          <w:rStyle w:val="Styl4Znak"/>
          <w:b w:val="0"/>
        </w:rPr>
        <w:t>b)</w:t>
      </w:r>
      <w:r w:rsidRPr="00C572EF">
        <w:rPr>
          <w:rStyle w:val="Styl4Znak"/>
          <w:b w:val="0"/>
        </w:rPr>
        <w:tab/>
        <w:t>do wykonania właściwej izolacji - półgęsty roztwór (P) produkowany z asfaltów ponaftowych, plastyfikowanych olejami i rozcieńczanych rozpuszczalnikami organicznymi. Rozprowadzany na podłożu zagruntowanym powinien tworzyć po wyschnięciu silnie przylegającą powłokę asfaltową o dużej plastyczności. Powłoka ta powinna wykazywać odporność na działanie wód agresywnych o słabych stężeniach. Środek powinien być odporny na działanie temperatury do 60°C. Rozprowadza się go zimno, bez podgrzewania w temperaturze powyżej +5°C. Zużycie materiału przy jednokrotnym smarowaniu wynosi 0,8÷1,0 kg/m2 powierzchni zabezpieczanej.</w:t>
      </w:r>
    </w:p>
    <w:p w:rsidR="00A52897" w:rsidRPr="00F54B2E" w:rsidRDefault="00E67525" w:rsidP="00E67525">
      <w:pPr>
        <w:widowControl w:val="0"/>
        <w:spacing w:before="120" w:after="120"/>
        <w:jc w:val="both"/>
      </w:pPr>
      <w:r w:rsidRPr="00C572EF">
        <w:rPr>
          <w:rStyle w:val="Styl4Znak"/>
          <w:b w:val="0"/>
        </w:rPr>
        <w:t>Grubość wykonanej izolacji przeciwwilgociowej musi być zgodna z Aprobatą techniczną</w:t>
      </w:r>
      <w:r w:rsidR="000A6998">
        <w:rPr>
          <w:rStyle w:val="Styl4Znak"/>
          <w:b w:val="0"/>
        </w:rPr>
        <w:t xml:space="preserve"> lub krajową oceną techniczną</w:t>
      </w:r>
      <w:r w:rsidRPr="00C572EF">
        <w:rPr>
          <w:rStyle w:val="Styl4Znak"/>
          <w:b w:val="0"/>
        </w:rPr>
        <w:t>.</w:t>
      </w:r>
    </w:p>
    <w:p w:rsidR="00EC610E" w:rsidRDefault="00EC610E" w:rsidP="0097494B">
      <w:pPr>
        <w:numPr>
          <w:ilvl w:val="2"/>
          <w:numId w:val="26"/>
        </w:numPr>
        <w:tabs>
          <w:tab w:val="clear" w:pos="0"/>
          <w:tab w:val="num" w:pos="720"/>
        </w:tabs>
        <w:suppressAutoHyphens/>
        <w:spacing w:before="120" w:after="120"/>
        <w:ind w:left="720" w:hanging="720"/>
        <w:jc w:val="both"/>
        <w:outlineLvl w:val="2"/>
        <w:rPr>
          <w:b/>
          <w:snapToGrid w:val="0"/>
          <w:u w:val="single"/>
        </w:rPr>
      </w:pPr>
      <w:r w:rsidRPr="006C636B">
        <w:rPr>
          <w:b/>
          <w:snapToGrid w:val="0"/>
          <w:u w:val="single"/>
        </w:rPr>
        <w:t>3. SPRZĘT</w:t>
      </w:r>
    </w:p>
    <w:p w:rsidR="00E67525" w:rsidRPr="00E67525" w:rsidRDefault="00E67525" w:rsidP="00E67525">
      <w:pPr>
        <w:widowControl w:val="0"/>
        <w:spacing w:before="120" w:after="120"/>
        <w:ind w:firstLine="709"/>
        <w:jc w:val="both"/>
        <w:rPr>
          <w:rStyle w:val="Styl4Znak"/>
          <w:b w:val="0"/>
        </w:rPr>
      </w:pPr>
      <w:r w:rsidRPr="00E67525">
        <w:rPr>
          <w:rStyle w:val="Styl4Znak"/>
          <w:b w:val="0"/>
        </w:rPr>
        <w:t>Do wykonania robót Wykonawca powinien dysponować prostym sprzętem malarskim, jak:</w:t>
      </w:r>
    </w:p>
    <w:p w:rsidR="00E67525" w:rsidRPr="00E67525" w:rsidRDefault="00E67525" w:rsidP="0097494B">
      <w:pPr>
        <w:numPr>
          <w:ilvl w:val="0"/>
          <w:numId w:val="60"/>
        </w:numPr>
        <w:contextualSpacing/>
        <w:jc w:val="both"/>
      </w:pPr>
      <w:r w:rsidRPr="00E67525">
        <w:t xml:space="preserve"> pedzle,</w:t>
      </w:r>
    </w:p>
    <w:p w:rsidR="00E67525" w:rsidRPr="00E67525" w:rsidRDefault="00E67525" w:rsidP="0097494B">
      <w:pPr>
        <w:numPr>
          <w:ilvl w:val="0"/>
          <w:numId w:val="60"/>
        </w:numPr>
        <w:contextualSpacing/>
        <w:jc w:val="both"/>
      </w:pPr>
      <w:r w:rsidRPr="00E67525">
        <w:t xml:space="preserve"> wałki,</w:t>
      </w:r>
    </w:p>
    <w:p w:rsidR="00E67525" w:rsidRPr="00E67525" w:rsidRDefault="00E67525" w:rsidP="0097494B">
      <w:pPr>
        <w:numPr>
          <w:ilvl w:val="0"/>
          <w:numId w:val="60"/>
        </w:numPr>
        <w:contextualSpacing/>
        <w:jc w:val="both"/>
      </w:pPr>
      <w:r>
        <w:t>s</w:t>
      </w:r>
      <w:r w:rsidRPr="00E67525">
        <w:t xml:space="preserve">zczotki dekarskie odporne na działanie agresywnych rozpuszczalników, głównie węglowodorów aromatycznych </w:t>
      </w:r>
    </w:p>
    <w:p w:rsidR="00EC610E" w:rsidRPr="00E67525" w:rsidRDefault="00E67525" w:rsidP="0097494B">
      <w:pPr>
        <w:numPr>
          <w:ilvl w:val="0"/>
          <w:numId w:val="60"/>
        </w:numPr>
        <w:contextualSpacing/>
        <w:jc w:val="both"/>
      </w:pPr>
      <w:r w:rsidRPr="00E67525">
        <w:t>oraz sprzętem do oczyszczania powierzchni betonowej (piaskownicy z filtrem przeciwoolejowym).</w:t>
      </w:r>
    </w:p>
    <w:p w:rsidR="00EC610E" w:rsidRPr="006C636B" w:rsidRDefault="00EC610E" w:rsidP="0097494B">
      <w:pPr>
        <w:numPr>
          <w:ilvl w:val="2"/>
          <w:numId w:val="26"/>
        </w:numPr>
        <w:tabs>
          <w:tab w:val="clear" w:pos="0"/>
          <w:tab w:val="num" w:pos="720"/>
        </w:tabs>
        <w:suppressAutoHyphens/>
        <w:spacing w:before="120" w:after="120"/>
        <w:ind w:left="720" w:hanging="720"/>
        <w:jc w:val="both"/>
        <w:outlineLvl w:val="2"/>
        <w:rPr>
          <w:b/>
          <w:snapToGrid w:val="0"/>
          <w:u w:val="single"/>
        </w:rPr>
      </w:pPr>
      <w:r w:rsidRPr="006C636B">
        <w:rPr>
          <w:b/>
          <w:snapToGrid w:val="0"/>
          <w:u w:val="single"/>
        </w:rPr>
        <w:t>4. TRANSPORT</w:t>
      </w:r>
    </w:p>
    <w:p w:rsidR="00EC610E" w:rsidRPr="001629F8" w:rsidRDefault="001629F8" w:rsidP="001629F8">
      <w:pPr>
        <w:widowControl w:val="0"/>
        <w:spacing w:before="120" w:after="120"/>
        <w:ind w:firstLine="709"/>
        <w:jc w:val="both"/>
        <w:rPr>
          <w:b/>
        </w:rPr>
      </w:pPr>
      <w:r w:rsidRPr="001629F8">
        <w:rPr>
          <w:rStyle w:val="Styl4Znak"/>
          <w:b w:val="0"/>
        </w:rPr>
        <w:t>Materiały mogą być przewożone odpowiednimi do asortymentu materiałów środkami transportu. Należy zadbać o właściwe zabezpieczenie ładunku i bezpieczeństwo transportu. Warunki składowania zgodne z Aprobatą Producenta</w:t>
      </w:r>
      <w:r w:rsidR="000A6998">
        <w:rPr>
          <w:rStyle w:val="Styl4Znak"/>
          <w:b w:val="0"/>
        </w:rPr>
        <w:t xml:space="preserve"> lub krajową oceną techniczną</w:t>
      </w:r>
      <w:r w:rsidRPr="001629F8">
        <w:rPr>
          <w:rStyle w:val="Styl4Znak"/>
        </w:rPr>
        <w:t>.</w:t>
      </w:r>
    </w:p>
    <w:p w:rsidR="00EC610E" w:rsidRDefault="00EC610E" w:rsidP="0097494B">
      <w:pPr>
        <w:numPr>
          <w:ilvl w:val="2"/>
          <w:numId w:val="26"/>
        </w:numPr>
        <w:tabs>
          <w:tab w:val="clear" w:pos="0"/>
          <w:tab w:val="num" w:pos="720"/>
        </w:tabs>
        <w:suppressAutoHyphens/>
        <w:spacing w:before="120" w:after="120"/>
        <w:ind w:left="720" w:hanging="720"/>
        <w:jc w:val="both"/>
        <w:outlineLvl w:val="2"/>
        <w:rPr>
          <w:b/>
          <w:snapToGrid w:val="0"/>
          <w:u w:val="single"/>
        </w:rPr>
      </w:pPr>
      <w:r w:rsidRPr="006C636B">
        <w:rPr>
          <w:b/>
          <w:snapToGrid w:val="0"/>
          <w:u w:val="single"/>
        </w:rPr>
        <w:t>5. WYKONANIE ROBÓT</w:t>
      </w:r>
    </w:p>
    <w:p w:rsidR="00ED5245" w:rsidRDefault="00ED5245" w:rsidP="00ED5245">
      <w:pPr>
        <w:suppressAutoHyphens/>
        <w:spacing w:before="120" w:after="120"/>
        <w:jc w:val="both"/>
        <w:rPr>
          <w:b/>
          <w:lang w:eastAsia="ar-SA"/>
        </w:rPr>
      </w:pPr>
      <w:r>
        <w:rPr>
          <w:b/>
          <w:lang w:eastAsia="ar-SA"/>
        </w:rPr>
        <w:t>5.1. Zakre wykonywanych robót</w:t>
      </w:r>
    </w:p>
    <w:p w:rsidR="00ED5245" w:rsidRPr="00ED5245" w:rsidRDefault="00ED5245" w:rsidP="00ED5245">
      <w:pPr>
        <w:suppressAutoHyphens/>
        <w:spacing w:before="120" w:after="120"/>
        <w:jc w:val="both"/>
        <w:rPr>
          <w:lang w:eastAsia="ar-SA"/>
        </w:rPr>
      </w:pPr>
      <w:r w:rsidRPr="00ED5245">
        <w:rPr>
          <w:lang w:eastAsia="ar-SA"/>
        </w:rPr>
        <w:t>5.1.1. Ogólne warunki prowadzenia robót izolacyjnych.</w:t>
      </w:r>
    </w:p>
    <w:p w:rsidR="00ED5245" w:rsidRPr="00C572EF" w:rsidRDefault="00ED5245" w:rsidP="00ED5245">
      <w:pPr>
        <w:tabs>
          <w:tab w:val="left" w:pos="0"/>
          <w:tab w:val="left" w:pos="425"/>
          <w:tab w:val="left" w:pos="851"/>
          <w:tab w:val="left" w:pos="1276"/>
          <w:tab w:val="left" w:pos="1700"/>
          <w:tab w:val="left" w:pos="2126"/>
          <w:tab w:val="left" w:pos="2552"/>
          <w:tab w:val="left" w:pos="3402"/>
          <w:tab w:val="left" w:pos="6804"/>
          <w:tab w:val="left" w:pos="7655"/>
          <w:tab w:val="left" w:pos="8505"/>
        </w:tabs>
        <w:ind w:firstLine="340"/>
        <w:jc w:val="both"/>
      </w:pPr>
      <w:r w:rsidRPr="00C572EF">
        <w:t>Izolację przeciwwodną należy układać zgodnie z zaleceniami Producenta na podłożu równym, nieodkształcalnym, gładkim  i wolnym od plam olejowych i pyłu. Dopuszcza się układanie materiału hydroizolacyjnego na wilgotnym podłożu, jeśli Producent materiału przewidział taką możliwość. Podczas wykonywania prac Wykonawca zobowiązany jest monitorować wilgotność i temperaturę powietrza. Parametry te muszą odpowiadać wymaganiom podanym w kartach technicznych, Polskich Normach i aprobatach technicznych</w:t>
      </w:r>
      <w:r w:rsidR="000A6998">
        <w:t xml:space="preserve"> (KOT)</w:t>
      </w:r>
      <w:r w:rsidRPr="00C572EF">
        <w:t>. Jeżeli warunki pogodowe odbiegają od wymagań kart technicznych, roboty należy przerwać i wznowić je dopiero po poprawie pogody. Pomiary warunków atmosferycznych należy wykonywać co 3-4 godziny i przy każdej odczuwalnej zmianie pogody.</w:t>
      </w:r>
    </w:p>
    <w:p w:rsidR="00ED5245" w:rsidRPr="00C572EF" w:rsidRDefault="00ED5245" w:rsidP="00ED5245">
      <w:pPr>
        <w:tabs>
          <w:tab w:val="left" w:pos="0"/>
          <w:tab w:val="left" w:pos="425"/>
          <w:tab w:val="left" w:pos="851"/>
          <w:tab w:val="left" w:pos="1276"/>
          <w:tab w:val="left" w:pos="1700"/>
          <w:tab w:val="left" w:pos="2126"/>
          <w:tab w:val="left" w:pos="2552"/>
          <w:tab w:val="left" w:pos="3402"/>
          <w:tab w:val="left" w:pos="6804"/>
          <w:tab w:val="left" w:pos="7655"/>
          <w:tab w:val="left" w:pos="8505"/>
        </w:tabs>
        <w:ind w:firstLine="340"/>
        <w:jc w:val="both"/>
      </w:pPr>
      <w:r w:rsidRPr="00C572EF">
        <w:t>Jeżeli producent materiałów nie podaje inaczej, to prace izolacyjne należy wykonywać przy dobrej pogodzie, niedopuszczalne jest prowadzenie robót w czasie silnego wiatru, podczas opadów śniegu, deszczu i mżawki, bezpośrednio po opadach oraz przed spodziewanymi opadami, a także w czasie, gdy wilgotność względna powietrza jest większa niż 85%. Roboty można prowadzić, gdy temperatura powietrza oraz podłoża jest wyższa od +</w:t>
      </w:r>
      <w:smartTag w:uri="urn:schemas-microsoft-com:office:smarttags" w:element="metricconverter">
        <w:smartTagPr>
          <w:attr w:name="ProductID" w:val="5°C"/>
        </w:smartTagPr>
        <w:r w:rsidRPr="00C572EF">
          <w:t>5°C</w:t>
        </w:r>
      </w:smartTag>
      <w:r w:rsidRPr="00C572EF">
        <w:t xml:space="preserve"> i niższa od +</w:t>
      </w:r>
      <w:smartTag w:uri="urn:schemas-microsoft-com:office:smarttags" w:element="metricconverter">
        <w:smartTagPr>
          <w:attr w:name="ProductID" w:val="35°C"/>
        </w:smartTagPr>
        <w:r w:rsidRPr="00C572EF">
          <w:t>35°C</w:t>
        </w:r>
      </w:smartTag>
      <w:r w:rsidRPr="00C572EF">
        <w:t>. W pobliżu wykonywanych robót nie mogą być składane żadne materiały sypkie i pylące.</w:t>
      </w:r>
    </w:p>
    <w:p w:rsidR="00ED5245" w:rsidRPr="00C572EF" w:rsidRDefault="00ED5245" w:rsidP="00ED5245">
      <w:pPr>
        <w:tabs>
          <w:tab w:val="left" w:pos="0"/>
          <w:tab w:val="left" w:pos="425"/>
          <w:tab w:val="left" w:pos="851"/>
          <w:tab w:val="left" w:pos="1276"/>
          <w:tab w:val="left" w:pos="1700"/>
          <w:tab w:val="left" w:pos="2126"/>
          <w:tab w:val="left" w:pos="2552"/>
          <w:tab w:val="left" w:pos="3402"/>
          <w:tab w:val="left" w:pos="6804"/>
          <w:tab w:val="left" w:pos="7655"/>
          <w:tab w:val="left" w:pos="8505"/>
        </w:tabs>
        <w:ind w:firstLine="340"/>
        <w:jc w:val="both"/>
      </w:pPr>
      <w:r w:rsidRPr="00C572EF">
        <w:t xml:space="preserve">Przed nałożeniem pierwszej warstwy izolacji cienkiej (warstwy gruntującej), Wykonawca powinien sprawdzić czy wilgotność podłoża gruntowego jest zgodna z wymaganiami producenta. Jeśli producent nie określa innych wymagań, wilgotność podłoża na głębokości </w:t>
      </w:r>
      <w:smartTag w:uri="urn:schemas-microsoft-com:office:smarttags" w:element="metricconverter">
        <w:smartTagPr>
          <w:attr w:name="ProductID" w:val="20 mm"/>
        </w:smartTagPr>
        <w:r w:rsidRPr="00C572EF">
          <w:t>20 mm</w:t>
        </w:r>
      </w:smartTag>
      <w:r w:rsidRPr="00C572EF">
        <w:t xml:space="preserve"> nie powinna być wyższa niż 4%. Jeśli powyższy warunek nie jest spełniony, Wykonawca przed rozpoczęciem robót powinien zastosować system osuszania podłoża betonowe</w:t>
      </w:r>
      <w:r w:rsidR="00E6484E">
        <w:t xml:space="preserve">go zaakceptowany przez </w:t>
      </w:r>
      <w:r w:rsidR="003D1914">
        <w:t xml:space="preserve">przedstawiciela </w:t>
      </w:r>
      <w:r w:rsidR="00E6484E">
        <w:t>Zamawiającego</w:t>
      </w:r>
      <w:r w:rsidRPr="00C572EF">
        <w:t>.</w:t>
      </w:r>
    </w:p>
    <w:p w:rsidR="00ED5245" w:rsidRPr="00C572EF" w:rsidRDefault="00ED5245" w:rsidP="00ED5245">
      <w:pPr>
        <w:tabs>
          <w:tab w:val="left" w:pos="0"/>
          <w:tab w:val="left" w:pos="425"/>
          <w:tab w:val="left" w:pos="851"/>
          <w:tab w:val="left" w:pos="1276"/>
          <w:tab w:val="left" w:pos="1700"/>
          <w:tab w:val="left" w:pos="2126"/>
          <w:tab w:val="left" w:pos="2552"/>
          <w:tab w:val="left" w:pos="3402"/>
          <w:tab w:val="left" w:pos="6804"/>
          <w:tab w:val="left" w:pos="7655"/>
          <w:tab w:val="left" w:pos="8505"/>
        </w:tabs>
        <w:ind w:firstLine="340"/>
        <w:jc w:val="both"/>
      </w:pPr>
      <w:r w:rsidRPr="00C572EF">
        <w:t xml:space="preserve">Mas izolacyjnych stosowanych na zimno nie wolno podgrzewać na otwartym ogniu. W okresie chłodów materiały te doprowadza się do temperatury roboczej </w:t>
      </w:r>
      <w:smartTag w:uri="urn:schemas-microsoft-com:office:smarttags" w:element="metricconverter">
        <w:smartTagPr>
          <w:attr w:name="ProductID" w:val="18°C"/>
        </w:smartTagPr>
        <w:r w:rsidRPr="00C572EF">
          <w:t>18°C</w:t>
        </w:r>
      </w:smartTag>
      <w:r w:rsidRPr="00C572EF">
        <w:t xml:space="preserve"> przez ogrzewanie beczek w gorącej wodzie lub w ogrzanych pomieszczeniach (cieplakach). Dostarczone na budowę gotowe preparaty nie mogą być rozcieńczane rozpuszczalnikami ani mieszane z innymi materiałami izolacyjnymi.</w:t>
      </w:r>
    </w:p>
    <w:p w:rsidR="00ED5245" w:rsidRPr="00C572EF" w:rsidRDefault="00ED5245" w:rsidP="00ED5245">
      <w:pPr>
        <w:tabs>
          <w:tab w:val="left" w:pos="0"/>
          <w:tab w:val="left" w:pos="425"/>
          <w:tab w:val="left" w:pos="851"/>
          <w:tab w:val="left" w:pos="1276"/>
          <w:tab w:val="left" w:pos="1700"/>
          <w:tab w:val="left" w:pos="2126"/>
          <w:tab w:val="left" w:pos="2552"/>
          <w:tab w:val="left" w:pos="3402"/>
          <w:tab w:val="left" w:pos="6804"/>
          <w:tab w:val="left" w:pos="7655"/>
          <w:tab w:val="left" w:pos="8505"/>
        </w:tabs>
        <w:ind w:firstLine="340"/>
        <w:jc w:val="both"/>
      </w:pPr>
      <w:r w:rsidRPr="00C572EF">
        <w:t xml:space="preserve">W trakcie wykonywania robót należy ściśle przestrzegać przepisów bezpieczeństwa, ponieważ materiały stosowane do wykonania izolacji są łatwopalne. Należy unikać otwartego ognia w promieniu </w:t>
      </w:r>
      <w:smartTag w:uri="urn:schemas-microsoft-com:office:smarttags" w:element="metricconverter">
        <w:smartTagPr>
          <w:attr w:name="ProductID" w:val="20 metrów"/>
        </w:smartTagPr>
        <w:r w:rsidRPr="00C572EF">
          <w:t>20 metrów</w:t>
        </w:r>
      </w:smartTag>
      <w:r w:rsidRPr="00C572EF">
        <w:t xml:space="preserve"> od miejsca pracy lub składowania materiałów.</w:t>
      </w:r>
    </w:p>
    <w:p w:rsidR="00ED5245" w:rsidRDefault="00ED5245" w:rsidP="00ED5245">
      <w:pPr>
        <w:suppressAutoHyphens/>
        <w:spacing w:before="120" w:after="120"/>
        <w:jc w:val="both"/>
        <w:rPr>
          <w:lang w:eastAsia="ar-SA"/>
        </w:rPr>
      </w:pPr>
      <w:r w:rsidRPr="00ED5245">
        <w:rPr>
          <w:lang w:eastAsia="ar-SA"/>
        </w:rPr>
        <w:t>5.1.2.</w:t>
      </w:r>
      <w:r>
        <w:rPr>
          <w:lang w:eastAsia="ar-SA"/>
        </w:rPr>
        <w:t xml:space="preserve"> Przygotowanie powierzchni betonowej do ułożenia izolacji</w:t>
      </w:r>
    </w:p>
    <w:p w:rsidR="00ED5245" w:rsidRPr="00C572EF" w:rsidRDefault="00ED5245" w:rsidP="00ED5245">
      <w:pPr>
        <w:tabs>
          <w:tab w:val="left" w:pos="0"/>
          <w:tab w:val="left" w:pos="425"/>
          <w:tab w:val="left" w:pos="851"/>
          <w:tab w:val="left" w:pos="1276"/>
          <w:tab w:val="left" w:pos="1700"/>
          <w:tab w:val="left" w:pos="2126"/>
          <w:tab w:val="left" w:pos="2552"/>
          <w:tab w:val="left" w:pos="3402"/>
          <w:tab w:val="left" w:pos="6804"/>
          <w:tab w:val="left" w:pos="7655"/>
          <w:tab w:val="left" w:pos="8505"/>
        </w:tabs>
        <w:ind w:firstLine="340"/>
        <w:jc w:val="both"/>
      </w:pPr>
      <w:r w:rsidRPr="00C572EF">
        <w:t xml:space="preserve">Izolację układa się na odpowiednio wytrzymałym mechanicznie, suchym, czystym, równym i gładkim podłożu, wolnym od plam olejowych i pyłu. Jeżeli producent w kartach technicznych nie podaje inaczej, to izolację można układać na betonie po co najmniej 14 dniach od jego ułożenia, gdy dojrzewanie betonu następowało w temperaturze co najmniej </w:t>
      </w:r>
      <w:smartTag w:uri="urn:schemas-microsoft-com:office:smarttags" w:element="metricconverter">
        <w:smartTagPr>
          <w:attr w:name="ProductID" w:val="15°C"/>
        </w:smartTagPr>
        <w:r w:rsidRPr="00C572EF">
          <w:t>15°C</w:t>
        </w:r>
      </w:smartTag>
      <w:r w:rsidRPr="00C572EF">
        <w:t>. Zaleca się układanie izolacji na betonie po 28 dniach od jego ułożenia. W przypadku, gdy dojrzewanie betonu następowało w temperaturze niższej, okres oczekiwania przed rozpoczęciem robót izolacyjnych należy odpowiednio wydłużyć. Stopień dojrzałości betonu można oceniać zgodnie z „Zaleceniami dotyczącymi oceny jakości betonu „in-situ” w nowo budowanych konstrukcjach obiektów mostowych”.</w:t>
      </w:r>
    </w:p>
    <w:p w:rsidR="00ED5245" w:rsidRDefault="00ED5245" w:rsidP="00ED5245">
      <w:pPr>
        <w:tabs>
          <w:tab w:val="left" w:pos="0"/>
          <w:tab w:val="left" w:pos="425"/>
          <w:tab w:val="left" w:pos="851"/>
          <w:tab w:val="left" w:pos="1276"/>
          <w:tab w:val="left" w:pos="1700"/>
          <w:tab w:val="left" w:pos="2126"/>
          <w:tab w:val="left" w:pos="2552"/>
          <w:tab w:val="left" w:pos="3402"/>
          <w:tab w:val="left" w:pos="6804"/>
          <w:tab w:val="left" w:pos="7655"/>
          <w:tab w:val="left" w:pos="8505"/>
        </w:tabs>
        <w:ind w:firstLine="340"/>
        <w:jc w:val="both"/>
      </w:pPr>
      <w:r w:rsidRPr="00C572EF">
        <w:t xml:space="preserve">Powierzchnie betonowe należy przed gruntowaniem odpowiednio przygotować, po usunięciu nacieków mleczka cementowego niezwiązanego kruszywa, kurzu i innych zanieczyszczeń powierzchna betonu powinna być odkurzona lub oczyszczona strumieniem sprężonego powietrza i odtłuszczona. Ubytki betonu należy wypełnić specjalnymi zaprawami </w:t>
      </w:r>
      <w:r>
        <w:t>bezskurczowymi do napraw betonu.</w:t>
      </w:r>
    </w:p>
    <w:p w:rsidR="00ED5245" w:rsidRPr="00C572EF" w:rsidRDefault="00ED5245" w:rsidP="00ED5245">
      <w:pPr>
        <w:tabs>
          <w:tab w:val="left" w:pos="0"/>
          <w:tab w:val="left" w:pos="425"/>
          <w:tab w:val="left" w:pos="851"/>
          <w:tab w:val="left" w:pos="1276"/>
          <w:tab w:val="left" w:pos="1700"/>
          <w:tab w:val="left" w:pos="2126"/>
          <w:tab w:val="left" w:pos="2552"/>
          <w:tab w:val="left" w:pos="3402"/>
          <w:tab w:val="left" w:pos="6804"/>
          <w:tab w:val="left" w:pos="7655"/>
          <w:tab w:val="left" w:pos="8505"/>
        </w:tabs>
        <w:ind w:firstLine="340"/>
        <w:jc w:val="both"/>
      </w:pPr>
      <w:r w:rsidRPr="00C572EF">
        <w:t>Bezpośrednio przed naniesieniem pierwszej warstwy izolacji podłoże należy oczyścić sprężonym powietrzem w celu uzyskania suchej powierzchni, oczyszczonej z mleczka cementowego, niewiązanych ziaren kruszywa, pyłów oraz innych zanieczyszczeń, które mogłyby obniżać przyczepność warstw bitumicznych do betonu. Sprężarka powinna być wyposażona w filtr olejowy. Odpylanie należy wykonywać zawsze w kierunku zgodnym z kierunkiem wiatru wiejącego podczas robót.</w:t>
      </w:r>
    </w:p>
    <w:p w:rsidR="00ED5245" w:rsidRPr="00C572EF" w:rsidRDefault="00ED5245" w:rsidP="00ED5245">
      <w:pPr>
        <w:keepNext/>
        <w:tabs>
          <w:tab w:val="left" w:pos="425"/>
          <w:tab w:val="left" w:pos="851"/>
          <w:tab w:val="left" w:pos="1276"/>
          <w:tab w:val="left" w:pos="1701"/>
          <w:tab w:val="left" w:pos="2126"/>
          <w:tab w:val="left" w:pos="2552"/>
          <w:tab w:val="left" w:pos="3402"/>
          <w:tab w:val="left" w:pos="6804"/>
          <w:tab w:val="left" w:pos="7655"/>
          <w:tab w:val="left" w:pos="8505"/>
        </w:tabs>
        <w:ind w:firstLine="340"/>
        <w:jc w:val="both"/>
      </w:pPr>
      <w:r w:rsidRPr="00C572EF">
        <w:t>Przygotowane podłoże powinno spełniać następujące wymagania:</w:t>
      </w:r>
    </w:p>
    <w:p w:rsidR="00ED5245" w:rsidRPr="00C572EF" w:rsidRDefault="00ED5245" w:rsidP="0097494B">
      <w:pPr>
        <w:numPr>
          <w:ilvl w:val="0"/>
          <w:numId w:val="61"/>
        </w:numPr>
        <w:autoSpaceDE w:val="0"/>
        <w:autoSpaceDN w:val="0"/>
        <w:jc w:val="both"/>
      </w:pPr>
      <w:r w:rsidRPr="00C572EF">
        <w:t>wytrzymałość gwarantowana na ściskanie powinna być nie mniejsza niż wynikająca z przyjętej klasy betonu,</w:t>
      </w:r>
    </w:p>
    <w:p w:rsidR="00ED5245" w:rsidRPr="00C572EF" w:rsidRDefault="00ED5245" w:rsidP="0097494B">
      <w:pPr>
        <w:numPr>
          <w:ilvl w:val="0"/>
          <w:numId w:val="61"/>
        </w:numPr>
        <w:autoSpaceDE w:val="0"/>
        <w:autoSpaceDN w:val="0"/>
        <w:jc w:val="both"/>
      </w:pPr>
      <w:r w:rsidRPr="00C572EF">
        <w:t xml:space="preserve">wytrzymałość betonu na rozciąganie badana metodą „pull-off” powinna wynosić co najmniej 1,5 MPa. Sprawdzenie wytrzymałości podłoża na odrywanie wykonywane metodą „pull-off” przy średnicy krążka próbnego ø </w:t>
      </w:r>
      <w:smartTag w:uri="urn:schemas-microsoft-com:office:smarttags" w:element="metricconverter">
        <w:smartTagPr>
          <w:attr w:name="ProductID" w:val="50 mm"/>
        </w:smartTagPr>
        <w:r w:rsidRPr="00C572EF">
          <w:t>50 mm</w:t>
        </w:r>
      </w:smartTag>
      <w:r w:rsidRPr="00C572EF">
        <w:t xml:space="preserve"> powinno być przeprowadzone wg zasady: 1 oznaczenie na </w:t>
      </w:r>
      <w:smartTag w:uri="urn:schemas-microsoft-com:office:smarttags" w:element="metricconverter">
        <w:smartTagPr>
          <w:attr w:name="ProductID" w:val="25 m2"/>
        </w:smartTagPr>
        <w:r w:rsidRPr="00C572EF">
          <w:t>25 m</w:t>
        </w:r>
        <w:r w:rsidRPr="00C572EF">
          <w:rPr>
            <w:vertAlign w:val="superscript"/>
          </w:rPr>
          <w:t>2</w:t>
        </w:r>
      </w:smartTag>
      <w:r w:rsidRPr="00C572EF">
        <w:t xml:space="preserve"> izolowanej powierzchni i min. 5 oznaczeń wg PN-B-01814:1992,</w:t>
      </w:r>
    </w:p>
    <w:p w:rsidR="00ED5245" w:rsidRPr="00C572EF" w:rsidRDefault="00ED5245" w:rsidP="0097494B">
      <w:pPr>
        <w:numPr>
          <w:ilvl w:val="0"/>
          <w:numId w:val="61"/>
        </w:numPr>
        <w:autoSpaceDE w:val="0"/>
        <w:autoSpaceDN w:val="0"/>
        <w:jc w:val="both"/>
      </w:pPr>
      <w:r w:rsidRPr="00C572EF">
        <w:t>podłoże powinno być suche: beton w stanie powietrzno-suchym, bez widocznych śladów wilgoci i spowodowanych wilgocią zaciemnień; przy pomiarze wilgotności wilgotnościomierzem elektronicznym za podłoże suche należy przyjąć beton o wilgotności mniejszej od 4%; pomiarów wilgotności płyty należy dokonywać przyrządem wycechowanym do pomiaru wilgotności materiałów o porowatości nie przekraczającej 10%,</w:t>
      </w:r>
    </w:p>
    <w:p w:rsidR="00ED5245" w:rsidRPr="00C572EF" w:rsidRDefault="00ED5245" w:rsidP="0097494B">
      <w:pPr>
        <w:numPr>
          <w:ilvl w:val="0"/>
          <w:numId w:val="61"/>
        </w:numPr>
        <w:autoSpaceDE w:val="0"/>
        <w:autoSpaceDN w:val="0"/>
        <w:jc w:val="both"/>
      </w:pPr>
      <w:r w:rsidRPr="00C572EF">
        <w:t>podłoże powinno być czyste: powierzchnia betonu wolna od luźnych frakcji pyłów, plam oleju, smarów i innych zanieczyszczeń; ocenę czystości podłoża wykonuje się wizualnie,</w:t>
      </w:r>
    </w:p>
    <w:p w:rsidR="00ED5245" w:rsidRPr="00C572EF" w:rsidRDefault="00ED5245" w:rsidP="0097494B">
      <w:pPr>
        <w:numPr>
          <w:ilvl w:val="0"/>
          <w:numId w:val="61"/>
        </w:numPr>
        <w:autoSpaceDE w:val="0"/>
        <w:autoSpaceDN w:val="0"/>
        <w:jc w:val="both"/>
      </w:pPr>
      <w:r w:rsidRPr="00C572EF">
        <w:t xml:space="preserve">podłoże powinno być gładkie: za podłoże gładkie uznaje się powierzchnie nie wykazujące lokalnych nierówności przekraczających </w:t>
      </w:r>
      <w:smartTag w:uri="urn:schemas-microsoft-com:office:smarttags" w:element="metricconverter">
        <w:smartTagPr>
          <w:attr w:name="ProductID" w:val="5 mm"/>
        </w:smartTagPr>
        <w:r w:rsidRPr="00C572EF">
          <w:t>5 mm</w:t>
        </w:r>
      </w:smartTag>
      <w:r w:rsidRPr="00C572EF">
        <w:t>.</w:t>
      </w:r>
    </w:p>
    <w:p w:rsidR="00ED5245" w:rsidRPr="00C572EF" w:rsidRDefault="00ED5245" w:rsidP="00ED5245">
      <w:pPr>
        <w:tabs>
          <w:tab w:val="left" w:pos="0"/>
          <w:tab w:val="left" w:pos="425"/>
          <w:tab w:val="left" w:pos="851"/>
          <w:tab w:val="left" w:pos="1276"/>
          <w:tab w:val="left" w:pos="1700"/>
          <w:tab w:val="left" w:pos="2126"/>
          <w:tab w:val="left" w:pos="2552"/>
          <w:tab w:val="left" w:pos="3402"/>
          <w:tab w:val="left" w:pos="6804"/>
          <w:tab w:val="left" w:pos="7655"/>
          <w:tab w:val="left" w:pos="8505"/>
        </w:tabs>
        <w:ind w:firstLine="340"/>
        <w:jc w:val="both"/>
      </w:pPr>
    </w:p>
    <w:p w:rsidR="00ED5245" w:rsidRDefault="00ED5245" w:rsidP="00ED5245">
      <w:pPr>
        <w:suppressAutoHyphens/>
        <w:spacing w:before="120" w:after="120"/>
        <w:jc w:val="both"/>
        <w:rPr>
          <w:lang w:eastAsia="ar-SA"/>
        </w:rPr>
      </w:pPr>
      <w:r>
        <w:rPr>
          <w:lang w:eastAsia="ar-SA"/>
        </w:rPr>
        <w:t>5.1.3. Zagruntowanie podłoża</w:t>
      </w:r>
    </w:p>
    <w:p w:rsidR="00110464" w:rsidRPr="00C572EF" w:rsidRDefault="00110464" w:rsidP="00110464">
      <w:pPr>
        <w:tabs>
          <w:tab w:val="left" w:pos="425"/>
          <w:tab w:val="left" w:pos="851"/>
          <w:tab w:val="left" w:pos="1276"/>
          <w:tab w:val="left" w:pos="1701"/>
          <w:tab w:val="left" w:pos="2126"/>
          <w:tab w:val="left" w:pos="2552"/>
          <w:tab w:val="left" w:pos="3402"/>
          <w:tab w:val="left" w:pos="6804"/>
          <w:tab w:val="left" w:pos="7655"/>
          <w:tab w:val="left" w:pos="8505"/>
        </w:tabs>
        <w:ind w:firstLine="339"/>
        <w:jc w:val="both"/>
        <w:rPr>
          <w:snapToGrid w:val="0"/>
        </w:rPr>
      </w:pPr>
      <w:r w:rsidRPr="00C572EF">
        <w:rPr>
          <w:snapToGrid w:val="0"/>
        </w:rPr>
        <w:t xml:space="preserve">Podłoże betonowe należy gruntować materiałami firmowymi zalecanymi przez producentów materiałów hydroizolacyjnych. Przed przystąpieniem do robót izolacyjnych należy obniżyć poziom wody gruntowej co najmniej o </w:t>
      </w:r>
      <w:smartTag w:uri="urn:schemas-microsoft-com:office:smarttags" w:element="metricconverter">
        <w:smartTagPr>
          <w:attr w:name="ProductID" w:val="30 cm"/>
        </w:smartTagPr>
        <w:r w:rsidRPr="00C572EF">
          <w:rPr>
            <w:snapToGrid w:val="0"/>
          </w:rPr>
          <w:t>30 cm</w:t>
        </w:r>
      </w:smartTag>
      <w:r w:rsidRPr="00C572EF">
        <w:rPr>
          <w:snapToGrid w:val="0"/>
        </w:rPr>
        <w:t xml:space="preserve"> poniżej układanej warstwy izolacji i zapewnić utrzymanie tego poziomu w czasie trwania robót. Przed nałożeniem materiału gruntującego lub izolacji przeciwwilgociowej, Wykonawca powinien określić, czy wilgotność podłoża betonowego, na którym ma być układana hydroizolacja jest zgodna z zaleceniami Producenta</w:t>
      </w:r>
    </w:p>
    <w:p w:rsidR="00480034" w:rsidRPr="00C572EF" w:rsidRDefault="00480034" w:rsidP="00480034">
      <w:pPr>
        <w:keepNext/>
        <w:tabs>
          <w:tab w:val="left" w:pos="425"/>
          <w:tab w:val="left" w:pos="851"/>
          <w:tab w:val="left" w:pos="1276"/>
          <w:tab w:val="left" w:pos="1701"/>
          <w:tab w:val="left" w:pos="2126"/>
          <w:tab w:val="left" w:pos="2552"/>
          <w:tab w:val="left" w:pos="3402"/>
          <w:tab w:val="left" w:pos="6804"/>
          <w:tab w:val="left" w:pos="7655"/>
          <w:tab w:val="left" w:pos="8505"/>
        </w:tabs>
        <w:ind w:firstLine="340"/>
        <w:jc w:val="both"/>
      </w:pPr>
      <w:r w:rsidRPr="00C572EF">
        <w:t>Przy gruntowaniu podłoża należy stosować następujące zasady:</w:t>
      </w:r>
    </w:p>
    <w:p w:rsidR="00480034" w:rsidRPr="00C572EF" w:rsidRDefault="00480034" w:rsidP="0097494B">
      <w:pPr>
        <w:numPr>
          <w:ilvl w:val="0"/>
          <w:numId w:val="62"/>
        </w:numPr>
        <w:tabs>
          <w:tab w:val="clear" w:pos="1275"/>
          <w:tab w:val="left" w:pos="425"/>
          <w:tab w:val="left" w:pos="851"/>
          <w:tab w:val="left" w:pos="1276"/>
          <w:tab w:val="left" w:pos="1701"/>
          <w:tab w:val="left" w:pos="2126"/>
          <w:tab w:val="left" w:pos="2552"/>
          <w:tab w:val="left" w:pos="3402"/>
          <w:tab w:val="left" w:pos="6804"/>
          <w:tab w:val="left" w:pos="7655"/>
          <w:tab w:val="left" w:pos="8505"/>
        </w:tabs>
        <w:jc w:val="both"/>
      </w:pPr>
      <w:r w:rsidRPr="00C572EF">
        <w:t>należy gruntować podłoże wyłącznie dobrze przygot</w:t>
      </w:r>
      <w:r w:rsidR="00E6484E">
        <w:t xml:space="preserve">owane i odebrane przez </w:t>
      </w:r>
      <w:r w:rsidR="003D1914">
        <w:t xml:space="preserve">przedstawiciela </w:t>
      </w:r>
      <w:r w:rsidR="00E6484E">
        <w:t>Zamawiającego</w:t>
      </w:r>
      <w:r w:rsidRPr="00C572EF">
        <w:t>,</w:t>
      </w:r>
    </w:p>
    <w:p w:rsidR="00480034" w:rsidRPr="00C572EF" w:rsidRDefault="00480034" w:rsidP="0097494B">
      <w:pPr>
        <w:numPr>
          <w:ilvl w:val="0"/>
          <w:numId w:val="62"/>
        </w:numPr>
        <w:tabs>
          <w:tab w:val="clear" w:pos="1275"/>
          <w:tab w:val="left" w:pos="425"/>
          <w:tab w:val="left" w:pos="851"/>
          <w:tab w:val="left" w:pos="1276"/>
          <w:tab w:val="left" w:pos="1701"/>
          <w:tab w:val="left" w:pos="2126"/>
          <w:tab w:val="left" w:pos="2552"/>
          <w:tab w:val="left" w:pos="3402"/>
          <w:tab w:val="left" w:pos="6804"/>
          <w:tab w:val="left" w:pos="7655"/>
          <w:tab w:val="left" w:pos="8505"/>
        </w:tabs>
        <w:jc w:val="both"/>
      </w:pPr>
      <w:r w:rsidRPr="00C572EF">
        <w:t>powierzchnię przewidzianą do zaizolowania należy gruntować tylko jednokrotnie, zużywając tyle środka gruntującego, ile beton zdoła całkowicie wchłonąć tak, aby na powierzchni nie pozostała powłoka z materiału hydroizolacyjengo,</w:t>
      </w:r>
    </w:p>
    <w:p w:rsidR="00480034" w:rsidRPr="00C572EF" w:rsidRDefault="00480034" w:rsidP="0097494B">
      <w:pPr>
        <w:numPr>
          <w:ilvl w:val="0"/>
          <w:numId w:val="62"/>
        </w:numPr>
        <w:tabs>
          <w:tab w:val="clear" w:pos="1275"/>
          <w:tab w:val="left" w:pos="425"/>
          <w:tab w:val="left" w:pos="851"/>
          <w:tab w:val="left" w:pos="1276"/>
          <w:tab w:val="left" w:pos="1701"/>
          <w:tab w:val="left" w:pos="2126"/>
          <w:tab w:val="left" w:pos="2552"/>
          <w:tab w:val="left" w:pos="3402"/>
          <w:tab w:val="left" w:pos="6804"/>
          <w:tab w:val="left" w:pos="7655"/>
          <w:tab w:val="left" w:pos="8505"/>
        </w:tabs>
        <w:jc w:val="both"/>
      </w:pPr>
      <w:r w:rsidRPr="00C572EF">
        <w:t xml:space="preserve">środek gruntujący należy dokładnie i równomiernie rozprowadzić wałkami malarskimi lub szczotkami do środków gruntujących, </w:t>
      </w:r>
    </w:p>
    <w:p w:rsidR="00480034" w:rsidRPr="00C572EF" w:rsidRDefault="00480034" w:rsidP="0097494B">
      <w:pPr>
        <w:numPr>
          <w:ilvl w:val="0"/>
          <w:numId w:val="62"/>
        </w:numPr>
        <w:tabs>
          <w:tab w:val="clear" w:pos="1275"/>
          <w:tab w:val="left" w:pos="425"/>
          <w:tab w:val="left" w:pos="851"/>
          <w:tab w:val="left" w:pos="1276"/>
          <w:tab w:val="left" w:pos="1701"/>
          <w:tab w:val="left" w:pos="2126"/>
          <w:tab w:val="left" w:pos="2552"/>
          <w:tab w:val="left" w:pos="3402"/>
          <w:tab w:val="left" w:pos="6804"/>
          <w:tab w:val="left" w:pos="7655"/>
          <w:tab w:val="left" w:pos="8505"/>
        </w:tabs>
        <w:jc w:val="both"/>
      </w:pPr>
      <w:r w:rsidRPr="00C572EF">
        <w:t>przed ułożeniem izolacji powierzchnia zagruntowana powinna być całkowicie sucha. Można to sprawdzić przez dotknięcie zagruntowanej powierzchni suchą, czystą dłonią (nie zatłuszczoną lub zakurzoną), gdy dłoń nie przykleja się i pozostaje czysta oznacza to, że roztwór gruntujący jest już dostatecznie suchy. Czas schnięcia roztworów gruntujących jest zróżnicowany w zależności od rodzaju zastosowanych rozpuszczalników i warunków wysychania,</w:t>
      </w:r>
    </w:p>
    <w:p w:rsidR="00480034" w:rsidRPr="00C572EF" w:rsidRDefault="00480034" w:rsidP="0097494B">
      <w:pPr>
        <w:numPr>
          <w:ilvl w:val="0"/>
          <w:numId w:val="62"/>
        </w:numPr>
        <w:tabs>
          <w:tab w:val="clear" w:pos="1275"/>
          <w:tab w:val="left" w:pos="425"/>
          <w:tab w:val="left" w:pos="851"/>
          <w:tab w:val="left" w:pos="1276"/>
          <w:tab w:val="left" w:pos="1701"/>
          <w:tab w:val="left" w:pos="2126"/>
          <w:tab w:val="left" w:pos="2552"/>
          <w:tab w:val="left" w:pos="3402"/>
          <w:tab w:val="left" w:pos="6804"/>
          <w:tab w:val="left" w:pos="7655"/>
          <w:tab w:val="left" w:pos="8505"/>
        </w:tabs>
        <w:jc w:val="both"/>
      </w:pPr>
      <w:r w:rsidRPr="00C572EF">
        <w:t>w pierwszej kolejności należy zagruntować powierzchnię przy narożach wklęsłych i wypukłych.</w:t>
      </w:r>
    </w:p>
    <w:p w:rsidR="00ED5245" w:rsidRDefault="00480034" w:rsidP="00ED5245">
      <w:pPr>
        <w:suppressAutoHyphens/>
        <w:spacing w:before="120" w:after="120"/>
        <w:jc w:val="both"/>
        <w:rPr>
          <w:lang w:eastAsia="ar-SA"/>
        </w:rPr>
      </w:pPr>
      <w:r>
        <w:rPr>
          <w:lang w:eastAsia="ar-SA"/>
        </w:rPr>
        <w:t>5.1.4. Wykonanie izolacji</w:t>
      </w:r>
    </w:p>
    <w:p w:rsidR="00480034" w:rsidRPr="00C572EF" w:rsidRDefault="00480034" w:rsidP="00480034">
      <w:pPr>
        <w:tabs>
          <w:tab w:val="left" w:pos="0"/>
          <w:tab w:val="left" w:pos="425"/>
          <w:tab w:val="left" w:pos="851"/>
          <w:tab w:val="left" w:pos="1276"/>
          <w:tab w:val="left" w:pos="1700"/>
          <w:tab w:val="left" w:pos="2126"/>
          <w:tab w:val="left" w:pos="2552"/>
          <w:tab w:val="left" w:pos="3402"/>
          <w:tab w:val="left" w:pos="6804"/>
          <w:tab w:val="left" w:pos="7655"/>
          <w:tab w:val="left" w:pos="8505"/>
        </w:tabs>
        <w:ind w:firstLine="340"/>
        <w:jc w:val="both"/>
      </w:pPr>
      <w:r w:rsidRPr="00C572EF">
        <w:t>Materiał powłoki ochronnej należy przygotować do użycia zgodnie z instrukcjami Producenta. Ilości dopuszczonych przez Producenta rozpuszczalników i dodatków powinny być zgodne z jego wymaganiami. Występowania złuszczeń, spękanych pęcherzy i itp. wad jest niedopuszczalne.</w:t>
      </w:r>
    </w:p>
    <w:p w:rsidR="00480034" w:rsidRDefault="00480034" w:rsidP="00480034">
      <w:pPr>
        <w:suppressAutoHyphens/>
        <w:spacing w:before="120" w:after="120"/>
        <w:ind w:firstLine="340"/>
        <w:jc w:val="both"/>
      </w:pPr>
      <w:r w:rsidRPr="00C572EF">
        <w:t>Powierzchnię izolowaną należy powlec roztworem asfaltowym na zagruntowanym podłożu zgodnie z zaleceniami Producenta.</w:t>
      </w:r>
    </w:p>
    <w:p w:rsidR="00480034" w:rsidRPr="00B5294E" w:rsidRDefault="00480034" w:rsidP="00480034">
      <w:pPr>
        <w:tabs>
          <w:tab w:val="left" w:pos="0"/>
          <w:tab w:val="left" w:pos="425"/>
          <w:tab w:val="left" w:pos="851"/>
          <w:tab w:val="left" w:pos="1276"/>
          <w:tab w:val="left" w:pos="1700"/>
          <w:tab w:val="left" w:pos="2126"/>
          <w:tab w:val="left" w:pos="2552"/>
          <w:tab w:val="left" w:pos="3402"/>
          <w:tab w:val="left" w:pos="6804"/>
          <w:tab w:val="left" w:pos="7655"/>
          <w:tab w:val="left" w:pos="8505"/>
        </w:tabs>
        <w:ind w:firstLine="340"/>
        <w:jc w:val="both"/>
      </w:pPr>
      <w:r w:rsidRPr="00B5294E">
        <w:t xml:space="preserve">Należy dbać, aby roztwór asfaltowy miał odpowiednią lepkość przez cały czas smarowania zgodnie z instrukcją Producenta lub PN-B-24620:1998. </w:t>
      </w:r>
    </w:p>
    <w:p w:rsidR="00480034" w:rsidRPr="00B5294E" w:rsidRDefault="00480034" w:rsidP="00480034">
      <w:pPr>
        <w:tabs>
          <w:tab w:val="left" w:pos="0"/>
          <w:tab w:val="left" w:pos="425"/>
          <w:tab w:val="left" w:pos="851"/>
          <w:tab w:val="left" w:pos="1276"/>
          <w:tab w:val="left" w:pos="1700"/>
          <w:tab w:val="left" w:pos="2126"/>
          <w:tab w:val="left" w:pos="2552"/>
          <w:tab w:val="left" w:pos="3402"/>
          <w:tab w:val="left" w:pos="6804"/>
          <w:tab w:val="left" w:pos="7655"/>
          <w:tab w:val="left" w:pos="8505"/>
        </w:tabs>
        <w:ind w:firstLine="340"/>
        <w:jc w:val="both"/>
      </w:pPr>
      <w:r w:rsidRPr="00B5294E">
        <w:t>Przed ułożeniem następnych warstw izolacji zagruntowana powierzchnia powinna być całkowicie sucha. Można to sprawdzić przez dotknięcie zagruntowanej powierzchni suchą, czystą dłonią (nie zatłuszczoną lub zakurzoną), gdy dłoń nie przykleja się i pozostaje czysta oznacza to, że roztwór gruntujący jest już dostatecznie suchy.</w:t>
      </w:r>
    </w:p>
    <w:p w:rsidR="00480034" w:rsidRPr="00B5294E" w:rsidRDefault="00480034" w:rsidP="00480034">
      <w:pPr>
        <w:tabs>
          <w:tab w:val="left" w:pos="0"/>
          <w:tab w:val="left" w:pos="425"/>
          <w:tab w:val="left" w:pos="851"/>
          <w:tab w:val="left" w:pos="1276"/>
          <w:tab w:val="left" w:pos="1700"/>
          <w:tab w:val="left" w:pos="2126"/>
          <w:tab w:val="left" w:pos="2552"/>
          <w:tab w:val="left" w:pos="3402"/>
          <w:tab w:val="left" w:pos="6804"/>
          <w:tab w:val="left" w:pos="7655"/>
          <w:tab w:val="left" w:pos="8505"/>
        </w:tabs>
        <w:ind w:firstLine="340"/>
        <w:jc w:val="both"/>
      </w:pPr>
      <w:r w:rsidRPr="00B5294E">
        <w:t>Zagruntowaną powierzchnię należy powlec roztworem asfaltowym dwukrotnie. Zużycie materiału wynosi około 0,8 do 1,0 kg/m</w:t>
      </w:r>
      <w:r w:rsidRPr="00B5294E">
        <w:rPr>
          <w:vertAlign w:val="superscript"/>
        </w:rPr>
        <w:t>2</w:t>
      </w:r>
      <w:r w:rsidRPr="00B5294E">
        <w:t xml:space="preserve"> dla jednej warstwy. Łączna grubość warstw izolacyjnych powinna być zgodna z zaleceniami Producenta.</w:t>
      </w:r>
    </w:p>
    <w:p w:rsidR="00480034" w:rsidRPr="00B5294E" w:rsidRDefault="00480034" w:rsidP="00480034">
      <w:pPr>
        <w:tabs>
          <w:tab w:val="left" w:pos="0"/>
          <w:tab w:val="left" w:pos="425"/>
          <w:tab w:val="left" w:pos="851"/>
          <w:tab w:val="left" w:pos="1276"/>
          <w:tab w:val="left" w:pos="1700"/>
          <w:tab w:val="left" w:pos="2126"/>
          <w:tab w:val="left" w:pos="2552"/>
          <w:tab w:val="left" w:pos="3402"/>
          <w:tab w:val="left" w:pos="6804"/>
          <w:tab w:val="left" w:pos="7655"/>
          <w:tab w:val="left" w:pos="8505"/>
        </w:tabs>
        <w:ind w:firstLine="340"/>
        <w:jc w:val="both"/>
      </w:pPr>
      <w:r w:rsidRPr="00B5294E">
        <w:t>Po wykonaniu robót należy usunąć z powierzchni hydroizolacji wszelkie tłuszcze i</w:t>
      </w:r>
      <w:r w:rsidR="00E6484E">
        <w:t xml:space="preserve"> oleje, a na polecenie </w:t>
      </w:r>
      <w:r w:rsidR="003D1914">
        <w:t xml:space="preserve">przedstawiciela </w:t>
      </w:r>
      <w:r w:rsidR="00E6484E">
        <w:t>Zamawiającego</w:t>
      </w:r>
      <w:r w:rsidRPr="00B5294E">
        <w:t xml:space="preserve"> ułożyć dodatkową powłokę ochronną, jeżeli usunięcie tych zanieczyszczeń w jakimkolwiek stopniu może zmniejszyć skuteczność wykonanej powłoki.</w:t>
      </w:r>
    </w:p>
    <w:p w:rsidR="00EC610E" w:rsidRDefault="00480034" w:rsidP="00B5294E">
      <w:pPr>
        <w:tabs>
          <w:tab w:val="left" w:pos="425"/>
          <w:tab w:val="left" w:pos="851"/>
          <w:tab w:val="left" w:pos="1276"/>
          <w:tab w:val="left" w:pos="1701"/>
          <w:tab w:val="left" w:pos="2126"/>
          <w:tab w:val="left" w:pos="2552"/>
          <w:tab w:val="left" w:pos="3402"/>
          <w:tab w:val="left" w:pos="6804"/>
          <w:tab w:val="left" w:pos="7655"/>
          <w:tab w:val="left" w:pos="8505"/>
        </w:tabs>
        <w:ind w:firstLine="339"/>
        <w:jc w:val="both"/>
      </w:pPr>
      <w:r w:rsidRPr="00B5294E">
        <w:t>Powierzchnię betonu z wykonaną izolacją przeciwwodną należy chronić przed światłem słonecznym, deszczem, wiatrem i innymi niekorzystnymi warunkami atmosferycznymi zgodnie z zaleceniami i wymaganiami Producenta</w:t>
      </w:r>
    </w:p>
    <w:p w:rsidR="00B5294E" w:rsidRPr="00B5294E" w:rsidRDefault="00B5294E" w:rsidP="00B5294E">
      <w:pPr>
        <w:tabs>
          <w:tab w:val="left" w:pos="425"/>
          <w:tab w:val="left" w:pos="851"/>
          <w:tab w:val="left" w:pos="1276"/>
          <w:tab w:val="left" w:pos="1701"/>
          <w:tab w:val="left" w:pos="2126"/>
          <w:tab w:val="left" w:pos="2552"/>
          <w:tab w:val="left" w:pos="3402"/>
          <w:tab w:val="left" w:pos="6804"/>
          <w:tab w:val="left" w:pos="7655"/>
          <w:tab w:val="left" w:pos="8505"/>
        </w:tabs>
        <w:ind w:firstLine="339"/>
        <w:jc w:val="both"/>
      </w:pPr>
    </w:p>
    <w:p w:rsidR="00EC610E" w:rsidRPr="006C636B" w:rsidRDefault="00EC610E" w:rsidP="0097494B">
      <w:pPr>
        <w:numPr>
          <w:ilvl w:val="2"/>
          <w:numId w:val="26"/>
        </w:numPr>
        <w:tabs>
          <w:tab w:val="clear" w:pos="0"/>
          <w:tab w:val="num" w:pos="720"/>
        </w:tabs>
        <w:suppressAutoHyphens/>
        <w:spacing w:before="120" w:after="120"/>
        <w:ind w:left="720" w:hanging="720"/>
        <w:jc w:val="both"/>
        <w:outlineLvl w:val="2"/>
        <w:rPr>
          <w:b/>
          <w:snapToGrid w:val="0"/>
          <w:u w:val="single"/>
        </w:rPr>
      </w:pPr>
      <w:r w:rsidRPr="006C636B">
        <w:rPr>
          <w:b/>
          <w:snapToGrid w:val="0"/>
          <w:u w:val="single"/>
        </w:rPr>
        <w:t>6. KONTROLA JAKOŚCI ROBÓT</w:t>
      </w:r>
    </w:p>
    <w:p w:rsidR="00B5294E" w:rsidRDefault="00B5294E" w:rsidP="00B5294E">
      <w:pPr>
        <w:pStyle w:val="Styl4"/>
      </w:pPr>
      <w:r>
        <w:t>6.1. Kontrolę jakości robót przy wykonywaniu izolacji przeciwwodnej sprawują:</w:t>
      </w:r>
    </w:p>
    <w:p w:rsidR="00B5294E" w:rsidRDefault="00E6484E" w:rsidP="00B5294E">
      <w:pPr>
        <w:tabs>
          <w:tab w:val="left" w:pos="0"/>
          <w:tab w:val="left" w:pos="425"/>
          <w:tab w:val="left" w:pos="851"/>
          <w:tab w:val="left" w:pos="1276"/>
          <w:tab w:val="left" w:pos="1700"/>
          <w:tab w:val="left" w:pos="2126"/>
          <w:tab w:val="left" w:pos="2552"/>
          <w:tab w:val="left" w:pos="3402"/>
          <w:tab w:val="left" w:pos="6804"/>
          <w:tab w:val="left" w:pos="7655"/>
          <w:tab w:val="left" w:pos="8505"/>
        </w:tabs>
        <w:ind w:firstLine="340"/>
        <w:jc w:val="both"/>
      </w:pPr>
      <w:r>
        <w:t xml:space="preserve">- </w:t>
      </w:r>
      <w:r w:rsidR="003D1914">
        <w:t>przedstawiciel</w:t>
      </w:r>
      <w:r>
        <w:t>Zamawiając</w:t>
      </w:r>
      <w:r w:rsidR="003D1914">
        <w:t>ego</w:t>
      </w:r>
      <w:r w:rsidR="00B5294E">
        <w:t>,</w:t>
      </w:r>
    </w:p>
    <w:p w:rsidR="00B5294E" w:rsidRDefault="00B5294E" w:rsidP="00B5294E">
      <w:pPr>
        <w:tabs>
          <w:tab w:val="left" w:pos="0"/>
          <w:tab w:val="left" w:pos="425"/>
          <w:tab w:val="left" w:pos="851"/>
          <w:tab w:val="left" w:pos="1276"/>
          <w:tab w:val="left" w:pos="1700"/>
          <w:tab w:val="left" w:pos="2126"/>
          <w:tab w:val="left" w:pos="2552"/>
          <w:tab w:val="left" w:pos="3402"/>
          <w:tab w:val="left" w:pos="6804"/>
          <w:tab w:val="left" w:pos="7655"/>
          <w:tab w:val="left" w:pos="8505"/>
        </w:tabs>
        <w:ind w:firstLine="340"/>
        <w:jc w:val="both"/>
      </w:pPr>
      <w:r>
        <w:t>- Wykonawca,</w:t>
      </w:r>
    </w:p>
    <w:p w:rsidR="00B5294E" w:rsidRDefault="00B5294E" w:rsidP="00B5294E">
      <w:pPr>
        <w:tabs>
          <w:tab w:val="left" w:pos="0"/>
          <w:tab w:val="left" w:pos="425"/>
          <w:tab w:val="left" w:pos="851"/>
          <w:tab w:val="left" w:pos="1276"/>
          <w:tab w:val="left" w:pos="1700"/>
          <w:tab w:val="left" w:pos="2126"/>
          <w:tab w:val="left" w:pos="2552"/>
          <w:tab w:val="left" w:pos="3402"/>
          <w:tab w:val="left" w:pos="6804"/>
          <w:tab w:val="left" w:pos="7655"/>
          <w:tab w:val="left" w:pos="8505"/>
        </w:tabs>
        <w:ind w:firstLine="340"/>
        <w:jc w:val="both"/>
      </w:pPr>
      <w:r>
        <w:t>- służby pomocnicze, takie jak: laboratoria drogowe i ośrodki badawcze.</w:t>
      </w:r>
    </w:p>
    <w:p w:rsidR="00B5294E" w:rsidRDefault="00B5294E" w:rsidP="00B5294E">
      <w:pPr>
        <w:ind w:left="360"/>
        <w:jc w:val="both"/>
      </w:pPr>
    </w:p>
    <w:p w:rsidR="00B5294E" w:rsidRDefault="00B5294E" w:rsidP="00B5294E">
      <w:pPr>
        <w:pStyle w:val="Styl4"/>
      </w:pPr>
      <w:r>
        <w:t>6.2. Zakres kontroli jakości sprawdzamy za pomocą oceny wizualnej wykonanych robót:</w:t>
      </w:r>
    </w:p>
    <w:p w:rsidR="00B5294E" w:rsidRDefault="00B5294E" w:rsidP="00B5294E">
      <w:pPr>
        <w:tabs>
          <w:tab w:val="left" w:pos="0"/>
          <w:tab w:val="left" w:pos="425"/>
          <w:tab w:val="left" w:pos="851"/>
          <w:tab w:val="left" w:pos="1276"/>
          <w:tab w:val="left" w:pos="1700"/>
          <w:tab w:val="left" w:pos="2126"/>
          <w:tab w:val="left" w:pos="2552"/>
          <w:tab w:val="left" w:pos="3402"/>
          <w:tab w:val="left" w:pos="6804"/>
          <w:tab w:val="left" w:pos="7655"/>
          <w:tab w:val="left" w:pos="8505"/>
        </w:tabs>
        <w:ind w:firstLine="340"/>
        <w:jc w:val="both"/>
      </w:pPr>
      <w:r>
        <w:t>- jakość betonu podłoża według wymagań odnośnie betonu konstrukcyjnego,</w:t>
      </w:r>
    </w:p>
    <w:p w:rsidR="00B5294E" w:rsidRDefault="00B5294E" w:rsidP="00B5294E">
      <w:pPr>
        <w:tabs>
          <w:tab w:val="left" w:pos="0"/>
          <w:tab w:val="left" w:pos="425"/>
          <w:tab w:val="left" w:pos="851"/>
          <w:tab w:val="left" w:pos="1276"/>
          <w:tab w:val="left" w:pos="1700"/>
          <w:tab w:val="left" w:pos="2126"/>
          <w:tab w:val="left" w:pos="2552"/>
          <w:tab w:val="left" w:pos="3402"/>
          <w:tab w:val="left" w:pos="6804"/>
          <w:tab w:val="left" w:pos="7655"/>
          <w:tab w:val="left" w:pos="8505"/>
        </w:tabs>
        <w:ind w:left="340"/>
        <w:jc w:val="both"/>
      </w:pPr>
      <w:r>
        <w:t>- jakość materiałów do izolacji na zimno powierzchni betonowej wg wymagań określonych w odpowiednich normach przedmiotowych lub Aprobatach Technicznych</w:t>
      </w:r>
      <w:r w:rsidR="000A6998">
        <w:t xml:space="preserve"> lub krajowej ocenie technicznej</w:t>
      </w:r>
      <w:r>
        <w:t xml:space="preserve"> do stosowania w budownictwie komunikacyjnym,</w:t>
      </w:r>
    </w:p>
    <w:p w:rsidR="00B5294E" w:rsidRDefault="00B5294E" w:rsidP="00B5294E">
      <w:pPr>
        <w:tabs>
          <w:tab w:val="left" w:pos="0"/>
          <w:tab w:val="left" w:pos="425"/>
          <w:tab w:val="left" w:pos="851"/>
          <w:tab w:val="left" w:pos="1276"/>
          <w:tab w:val="left" w:pos="1700"/>
          <w:tab w:val="left" w:pos="2126"/>
          <w:tab w:val="left" w:pos="2552"/>
          <w:tab w:val="left" w:pos="3402"/>
          <w:tab w:val="left" w:pos="6804"/>
          <w:tab w:val="left" w:pos="7655"/>
          <w:tab w:val="left" w:pos="8505"/>
        </w:tabs>
        <w:ind w:left="340"/>
        <w:jc w:val="both"/>
      </w:pPr>
      <w:r>
        <w:t>- jakość materiałów warstwy izolacyjnej - według norm zasad badania drogowych materiałów i mas bitumicznych.</w:t>
      </w:r>
    </w:p>
    <w:p w:rsidR="00B6327A" w:rsidRDefault="00B6327A" w:rsidP="00B5294E">
      <w:pPr>
        <w:tabs>
          <w:tab w:val="left" w:pos="0"/>
          <w:tab w:val="left" w:pos="425"/>
          <w:tab w:val="left" w:pos="851"/>
          <w:tab w:val="left" w:pos="1276"/>
          <w:tab w:val="left" w:pos="1700"/>
          <w:tab w:val="left" w:pos="2126"/>
          <w:tab w:val="left" w:pos="2552"/>
          <w:tab w:val="left" w:pos="3402"/>
          <w:tab w:val="left" w:pos="6804"/>
          <w:tab w:val="left" w:pos="7655"/>
          <w:tab w:val="left" w:pos="8505"/>
        </w:tabs>
        <w:ind w:left="340"/>
        <w:jc w:val="both"/>
      </w:pPr>
    </w:p>
    <w:p w:rsidR="00B6327A" w:rsidRDefault="00B6327A" w:rsidP="00B6327A">
      <w:pPr>
        <w:pStyle w:val="Styl4"/>
      </w:pPr>
      <w:r>
        <w:t>6.3. Przed przystąpieniem do robót należy sprawdzić:</w:t>
      </w:r>
    </w:p>
    <w:p w:rsidR="00B6327A" w:rsidRDefault="00B6327A" w:rsidP="00B6327A">
      <w:pPr>
        <w:tabs>
          <w:tab w:val="left" w:pos="0"/>
          <w:tab w:val="left" w:pos="425"/>
          <w:tab w:val="left" w:pos="851"/>
          <w:tab w:val="left" w:pos="1276"/>
          <w:tab w:val="left" w:pos="1700"/>
          <w:tab w:val="left" w:pos="2126"/>
          <w:tab w:val="left" w:pos="2552"/>
          <w:tab w:val="left" w:pos="3402"/>
          <w:tab w:val="left" w:pos="6804"/>
          <w:tab w:val="left" w:pos="7655"/>
          <w:tab w:val="left" w:pos="8505"/>
        </w:tabs>
        <w:ind w:left="340"/>
        <w:jc w:val="both"/>
      </w:pPr>
      <w:r>
        <w:t>a)</w:t>
      </w:r>
      <w:r>
        <w:tab/>
        <w:t>warunki atmosferyczne – temperaturę, wilgotność powietrza,</w:t>
      </w:r>
    </w:p>
    <w:p w:rsidR="00B6327A" w:rsidRDefault="00B6327A" w:rsidP="00B6327A">
      <w:pPr>
        <w:tabs>
          <w:tab w:val="left" w:pos="0"/>
          <w:tab w:val="left" w:pos="425"/>
          <w:tab w:val="left" w:pos="851"/>
          <w:tab w:val="left" w:pos="1276"/>
          <w:tab w:val="left" w:pos="1700"/>
          <w:tab w:val="left" w:pos="2126"/>
          <w:tab w:val="left" w:pos="2552"/>
          <w:tab w:val="left" w:pos="3402"/>
          <w:tab w:val="left" w:pos="6804"/>
          <w:tab w:val="left" w:pos="7655"/>
          <w:tab w:val="left" w:pos="8505"/>
        </w:tabs>
        <w:ind w:left="340"/>
        <w:jc w:val="both"/>
      </w:pPr>
      <w:r>
        <w:t>b)</w:t>
      </w:r>
      <w:r>
        <w:tab/>
        <w:t>stan podłoża – równość, temperaturę, wilgotność oraz zgodność ich z wymaganiami określonymi przez Producenta materiału,</w:t>
      </w:r>
    </w:p>
    <w:p w:rsidR="00B6327A" w:rsidRDefault="00B6327A" w:rsidP="00B6327A">
      <w:pPr>
        <w:tabs>
          <w:tab w:val="left" w:pos="0"/>
          <w:tab w:val="left" w:pos="425"/>
          <w:tab w:val="left" w:pos="851"/>
          <w:tab w:val="left" w:pos="1276"/>
          <w:tab w:val="left" w:pos="1700"/>
          <w:tab w:val="left" w:pos="2126"/>
          <w:tab w:val="left" w:pos="2552"/>
          <w:tab w:val="left" w:pos="3402"/>
          <w:tab w:val="left" w:pos="6804"/>
          <w:tab w:val="left" w:pos="7655"/>
          <w:tab w:val="left" w:pos="8505"/>
        </w:tabs>
        <w:ind w:left="340"/>
        <w:jc w:val="both"/>
      </w:pPr>
      <w:r>
        <w:t>c)</w:t>
      </w:r>
      <w:r>
        <w:tab/>
        <w:t>dostarczone dokumenty  - zgodność z odpowiednimi normami przedmiotowymi lub Aprobatami technicznymi</w:t>
      </w:r>
      <w:r w:rsidR="000A6998">
        <w:t xml:space="preserve"> lub krajowej ocenie technicznej</w:t>
      </w:r>
      <w:r>
        <w:t xml:space="preserve"> oraz czy okresy ważności nie są przekroczone,</w:t>
      </w:r>
    </w:p>
    <w:p w:rsidR="00B6327A" w:rsidRDefault="00B6327A" w:rsidP="00B6327A">
      <w:pPr>
        <w:tabs>
          <w:tab w:val="left" w:pos="0"/>
          <w:tab w:val="left" w:pos="425"/>
          <w:tab w:val="left" w:pos="851"/>
          <w:tab w:val="left" w:pos="1276"/>
          <w:tab w:val="left" w:pos="1700"/>
          <w:tab w:val="left" w:pos="2126"/>
          <w:tab w:val="left" w:pos="2552"/>
          <w:tab w:val="left" w:pos="3402"/>
          <w:tab w:val="left" w:pos="6804"/>
          <w:tab w:val="left" w:pos="7655"/>
          <w:tab w:val="left" w:pos="8505"/>
        </w:tabs>
        <w:ind w:left="340"/>
        <w:jc w:val="both"/>
      </w:pPr>
      <w:r>
        <w:t>d)</w:t>
      </w:r>
      <w:r>
        <w:tab/>
        <w:t>dostarczone na budowę opakowania z materiałem – czy termin przydatności do użycia nie został przekroczony (nie dopuszcza się stosowania materiałów którym skończył się okres ważności).</w:t>
      </w:r>
    </w:p>
    <w:p w:rsidR="00B6327A" w:rsidRDefault="00B6327A" w:rsidP="00B6327A">
      <w:pPr>
        <w:tabs>
          <w:tab w:val="left" w:pos="284"/>
        </w:tabs>
        <w:jc w:val="both"/>
        <w:rPr>
          <w:b/>
        </w:rPr>
      </w:pPr>
    </w:p>
    <w:p w:rsidR="00B6327A" w:rsidRDefault="00B6327A" w:rsidP="00B6327A">
      <w:pPr>
        <w:tabs>
          <w:tab w:val="left" w:pos="284"/>
        </w:tabs>
        <w:jc w:val="both"/>
        <w:rPr>
          <w:b/>
        </w:rPr>
      </w:pPr>
      <w:r w:rsidRPr="00F80B45">
        <w:rPr>
          <w:b/>
        </w:rPr>
        <w:t xml:space="preserve">6.4. </w:t>
      </w:r>
      <w:r>
        <w:rPr>
          <w:b/>
        </w:rPr>
        <w:t>Sprawdzenie prawidłowości wykonania robót:</w:t>
      </w:r>
    </w:p>
    <w:p w:rsidR="00B5294E" w:rsidRDefault="00B6327A" w:rsidP="00B6327A">
      <w:pPr>
        <w:tabs>
          <w:tab w:val="left" w:pos="284"/>
        </w:tabs>
        <w:jc w:val="both"/>
        <w:rPr>
          <w:b/>
        </w:rPr>
      </w:pPr>
      <w:r>
        <w:tab/>
        <w:t>Sprawdzenie dokonuje się wzrokowo dla każdej z wykonanych warstw. Sprawdza się, czy cała powierzchnia betonu podlegająca zabezpieczeniu pokryta została roztworem, czy nie występują pęcherze lub brak przylegania nanoszonej warstwy. Izolacja musi być ułożona w sposób ciągły – brak niezaizolowanych zagłębień, dziurek po pęcherzykach powietrza w betonie.</w:t>
      </w:r>
    </w:p>
    <w:p w:rsidR="00B6327A" w:rsidRPr="00B6327A" w:rsidRDefault="00B6327A" w:rsidP="00B6327A">
      <w:pPr>
        <w:tabs>
          <w:tab w:val="left" w:pos="284"/>
        </w:tabs>
        <w:jc w:val="both"/>
        <w:rPr>
          <w:b/>
        </w:rPr>
      </w:pPr>
    </w:p>
    <w:p w:rsidR="00EC610E" w:rsidRPr="00613905" w:rsidRDefault="00EC610E" w:rsidP="0097494B">
      <w:pPr>
        <w:numPr>
          <w:ilvl w:val="2"/>
          <w:numId w:val="26"/>
        </w:numPr>
        <w:tabs>
          <w:tab w:val="clear" w:pos="0"/>
          <w:tab w:val="num" w:pos="720"/>
        </w:tabs>
        <w:suppressAutoHyphens/>
        <w:spacing w:before="120" w:after="120"/>
        <w:ind w:left="720" w:hanging="720"/>
        <w:jc w:val="both"/>
        <w:outlineLvl w:val="2"/>
        <w:rPr>
          <w:b/>
          <w:snapToGrid w:val="0"/>
          <w:u w:val="single"/>
        </w:rPr>
      </w:pPr>
      <w:r w:rsidRPr="006C636B">
        <w:rPr>
          <w:b/>
          <w:snapToGrid w:val="0"/>
          <w:u w:val="single"/>
        </w:rPr>
        <w:t>7. OBMIAR</w:t>
      </w:r>
    </w:p>
    <w:p w:rsidR="00EC610E" w:rsidRPr="006C636B" w:rsidRDefault="00EC610E" w:rsidP="00EC610E">
      <w:pPr>
        <w:spacing w:before="120" w:after="120"/>
        <w:jc w:val="both"/>
      </w:pPr>
      <w:r w:rsidRPr="00613905">
        <w:t xml:space="preserve">Jednostką obmiaru jest 1 </w:t>
      </w:r>
      <w:r w:rsidR="00B6327A">
        <w:t>m2 zaizolowanej betonowej powierzchni odziemnej</w:t>
      </w:r>
      <w:r>
        <w:t>.</w:t>
      </w:r>
    </w:p>
    <w:p w:rsidR="00B46010" w:rsidRDefault="00B46010" w:rsidP="0097494B">
      <w:pPr>
        <w:numPr>
          <w:ilvl w:val="2"/>
          <w:numId w:val="26"/>
        </w:numPr>
        <w:tabs>
          <w:tab w:val="clear" w:pos="0"/>
          <w:tab w:val="num" w:pos="720"/>
        </w:tabs>
        <w:suppressAutoHyphens/>
        <w:spacing w:before="120" w:after="120"/>
        <w:ind w:left="720" w:hanging="720"/>
        <w:jc w:val="both"/>
        <w:outlineLvl w:val="2"/>
        <w:rPr>
          <w:b/>
          <w:snapToGrid w:val="0"/>
          <w:u w:val="single"/>
        </w:rPr>
      </w:pPr>
    </w:p>
    <w:p w:rsidR="00EC610E" w:rsidRPr="006C636B" w:rsidRDefault="00EC610E" w:rsidP="0097494B">
      <w:pPr>
        <w:numPr>
          <w:ilvl w:val="2"/>
          <w:numId w:val="26"/>
        </w:numPr>
        <w:tabs>
          <w:tab w:val="clear" w:pos="0"/>
          <w:tab w:val="num" w:pos="720"/>
        </w:tabs>
        <w:suppressAutoHyphens/>
        <w:spacing w:before="120" w:after="120"/>
        <w:ind w:left="720" w:hanging="720"/>
        <w:jc w:val="both"/>
        <w:outlineLvl w:val="2"/>
        <w:rPr>
          <w:b/>
          <w:snapToGrid w:val="0"/>
          <w:u w:val="single"/>
        </w:rPr>
      </w:pPr>
      <w:r w:rsidRPr="006C636B">
        <w:rPr>
          <w:b/>
          <w:snapToGrid w:val="0"/>
          <w:u w:val="single"/>
        </w:rPr>
        <w:t>8. ODBIÓR ROBÓT</w:t>
      </w:r>
    </w:p>
    <w:p w:rsidR="00B46010" w:rsidRDefault="00B46010" w:rsidP="00B46010">
      <w:pPr>
        <w:jc w:val="both"/>
      </w:pPr>
      <w:r>
        <w:t>Odbiorom robót podlegają wszystkie operacje związane z wykonaniem izolacji:</w:t>
      </w:r>
    </w:p>
    <w:p w:rsidR="00B46010" w:rsidRDefault="00B46010" w:rsidP="0097494B">
      <w:pPr>
        <w:numPr>
          <w:ilvl w:val="0"/>
          <w:numId w:val="63"/>
        </w:numPr>
        <w:jc w:val="both"/>
      </w:pPr>
      <w:r>
        <w:t>przygotowanie powierzchni do ułożenia izolacji,</w:t>
      </w:r>
    </w:p>
    <w:p w:rsidR="00B46010" w:rsidRDefault="00B46010" w:rsidP="0097494B">
      <w:pPr>
        <w:numPr>
          <w:ilvl w:val="0"/>
          <w:numId w:val="63"/>
        </w:numPr>
        <w:jc w:val="both"/>
      </w:pPr>
      <w:r>
        <w:t>zagruntowanie podłoża,</w:t>
      </w:r>
    </w:p>
    <w:p w:rsidR="00B46010" w:rsidRDefault="00B46010" w:rsidP="0097494B">
      <w:pPr>
        <w:numPr>
          <w:ilvl w:val="0"/>
          <w:numId w:val="63"/>
        </w:numPr>
        <w:jc w:val="both"/>
      </w:pPr>
      <w:r>
        <w:t>wykonanie warstw  izolacji,</w:t>
      </w:r>
    </w:p>
    <w:p w:rsidR="00EC610E" w:rsidRDefault="00B46010" w:rsidP="0097494B">
      <w:pPr>
        <w:numPr>
          <w:ilvl w:val="0"/>
          <w:numId w:val="63"/>
        </w:numPr>
        <w:jc w:val="both"/>
      </w:pPr>
      <w:r>
        <w:t>wykonanie zasypki wokół izolowanych powierzchni.</w:t>
      </w:r>
    </w:p>
    <w:p w:rsidR="00B46010" w:rsidRDefault="00B46010" w:rsidP="00B46010">
      <w:pPr>
        <w:ind w:left="360"/>
        <w:jc w:val="both"/>
      </w:pPr>
    </w:p>
    <w:p w:rsidR="00B46010" w:rsidRPr="00B46010" w:rsidRDefault="00B46010" w:rsidP="00B46010">
      <w:pPr>
        <w:ind w:left="360"/>
        <w:jc w:val="both"/>
      </w:pPr>
    </w:p>
    <w:p w:rsidR="00EC610E" w:rsidRPr="00B46010" w:rsidRDefault="00EC610E" w:rsidP="0097494B">
      <w:pPr>
        <w:numPr>
          <w:ilvl w:val="2"/>
          <w:numId w:val="26"/>
        </w:numPr>
        <w:tabs>
          <w:tab w:val="clear" w:pos="0"/>
          <w:tab w:val="num" w:pos="720"/>
        </w:tabs>
        <w:suppressAutoHyphens/>
        <w:spacing w:before="120" w:after="120"/>
        <w:ind w:left="720" w:hanging="720"/>
        <w:jc w:val="both"/>
        <w:outlineLvl w:val="2"/>
        <w:rPr>
          <w:b/>
          <w:snapToGrid w:val="0"/>
          <w:u w:val="single"/>
        </w:rPr>
      </w:pPr>
      <w:r w:rsidRPr="006C636B">
        <w:rPr>
          <w:b/>
          <w:snapToGrid w:val="0"/>
          <w:u w:val="single"/>
        </w:rPr>
        <w:t>9. PŁATNOŚĆ</w:t>
      </w:r>
    </w:p>
    <w:p w:rsidR="00B46010" w:rsidRDefault="00B46010" w:rsidP="00B46010">
      <w:pPr>
        <w:jc w:val="both"/>
      </w:pPr>
      <w:r>
        <w:t>Płatność za 1m</w:t>
      </w:r>
      <w:r>
        <w:rPr>
          <w:vertAlign w:val="superscript"/>
        </w:rPr>
        <w:t>2</w:t>
      </w:r>
      <w:r>
        <w:t xml:space="preserve"> wykonanej izolacji betonowej powierzchni odziemnej zgodnie z Dokumentacją Projektową, obmiarem robót oraz oceną jakości wykonanych robót.</w:t>
      </w:r>
    </w:p>
    <w:p w:rsidR="00B46010" w:rsidRDefault="00B46010" w:rsidP="00B46010">
      <w:pPr>
        <w:jc w:val="both"/>
      </w:pPr>
      <w:r>
        <w:t>Cena wykonania robót obejmuje:</w:t>
      </w:r>
    </w:p>
    <w:p w:rsidR="00B46010" w:rsidRDefault="00B46010" w:rsidP="0097494B">
      <w:pPr>
        <w:numPr>
          <w:ilvl w:val="0"/>
          <w:numId w:val="64"/>
        </w:numPr>
        <w:jc w:val="both"/>
      </w:pPr>
      <w:r>
        <w:t>prace przygotowawcze i pomiarowe,</w:t>
      </w:r>
    </w:p>
    <w:p w:rsidR="00B46010" w:rsidRDefault="00B46010" w:rsidP="0097494B">
      <w:pPr>
        <w:numPr>
          <w:ilvl w:val="0"/>
          <w:numId w:val="64"/>
        </w:numPr>
        <w:jc w:val="both"/>
      </w:pPr>
      <w:r>
        <w:t>zakup materiałów,</w:t>
      </w:r>
    </w:p>
    <w:p w:rsidR="00B46010" w:rsidRDefault="00B46010" w:rsidP="0097494B">
      <w:pPr>
        <w:numPr>
          <w:ilvl w:val="0"/>
          <w:numId w:val="64"/>
        </w:numPr>
        <w:jc w:val="both"/>
      </w:pPr>
      <w:r>
        <w:t>zakup i dostarczenie materiałów do miejsca wbudowania,</w:t>
      </w:r>
    </w:p>
    <w:p w:rsidR="00B46010" w:rsidRDefault="00B46010" w:rsidP="0097494B">
      <w:pPr>
        <w:numPr>
          <w:ilvl w:val="0"/>
          <w:numId w:val="64"/>
        </w:numPr>
        <w:jc w:val="both"/>
      </w:pPr>
      <w:r>
        <w:t>oczyszczenie i przygotowanie powierzchni przed izolowaniem,</w:t>
      </w:r>
    </w:p>
    <w:p w:rsidR="00B46010" w:rsidRDefault="00B46010" w:rsidP="0097494B">
      <w:pPr>
        <w:numPr>
          <w:ilvl w:val="0"/>
          <w:numId w:val="64"/>
        </w:numPr>
        <w:jc w:val="both"/>
      </w:pPr>
      <w:r>
        <w:t>zagruntowanie podłoża,</w:t>
      </w:r>
    </w:p>
    <w:p w:rsidR="00B46010" w:rsidRPr="00BE4E21" w:rsidRDefault="00B46010" w:rsidP="0097494B">
      <w:pPr>
        <w:pStyle w:val="Akapitzlist"/>
        <w:numPr>
          <w:ilvl w:val="0"/>
          <w:numId w:val="64"/>
        </w:numPr>
        <w:rPr>
          <w:sz w:val="20"/>
          <w:szCs w:val="20"/>
        </w:rPr>
      </w:pPr>
      <w:r w:rsidRPr="00BE4E21">
        <w:rPr>
          <w:sz w:val="20"/>
          <w:szCs w:val="20"/>
        </w:rPr>
        <w:t>ułożenie poszczególnych warstw z zapewnieniem szczelności połączeń poszczególnych warstw między sobą,</w:t>
      </w:r>
    </w:p>
    <w:p w:rsidR="00B46010" w:rsidRDefault="00B46010" w:rsidP="0097494B">
      <w:pPr>
        <w:numPr>
          <w:ilvl w:val="0"/>
          <w:numId w:val="64"/>
        </w:numPr>
        <w:jc w:val="both"/>
      </w:pPr>
      <w:r>
        <w:t>uporządkowanie miejsca robót,</w:t>
      </w:r>
    </w:p>
    <w:p w:rsidR="00B46010" w:rsidRDefault="00B46010" w:rsidP="0097494B">
      <w:pPr>
        <w:numPr>
          <w:ilvl w:val="0"/>
          <w:numId w:val="64"/>
        </w:numPr>
        <w:contextualSpacing/>
        <w:jc w:val="both"/>
      </w:pPr>
      <w:r>
        <w:t>wszystkie prace towarzyszące</w:t>
      </w:r>
    </w:p>
    <w:p w:rsidR="00B46010" w:rsidRDefault="00B46010" w:rsidP="0097494B">
      <w:pPr>
        <w:numPr>
          <w:ilvl w:val="0"/>
          <w:numId w:val="64"/>
        </w:numPr>
        <w:jc w:val="both"/>
      </w:pPr>
      <w:r>
        <w:t>wykonanie badań i pomiarów wymaganych w ST.</w:t>
      </w:r>
    </w:p>
    <w:p w:rsidR="00B46010" w:rsidRPr="006C636B" w:rsidRDefault="00B46010" w:rsidP="00EC610E">
      <w:pPr>
        <w:contextualSpacing/>
        <w:jc w:val="both"/>
      </w:pPr>
    </w:p>
    <w:p w:rsidR="00EC610E" w:rsidRPr="006C636B" w:rsidRDefault="00EC610E" w:rsidP="0097494B">
      <w:pPr>
        <w:numPr>
          <w:ilvl w:val="2"/>
          <w:numId w:val="26"/>
        </w:numPr>
        <w:tabs>
          <w:tab w:val="clear" w:pos="0"/>
          <w:tab w:val="num" w:pos="720"/>
        </w:tabs>
        <w:suppressAutoHyphens/>
        <w:spacing w:before="120" w:after="120"/>
        <w:ind w:left="720" w:hanging="720"/>
        <w:jc w:val="both"/>
        <w:outlineLvl w:val="2"/>
        <w:rPr>
          <w:b/>
          <w:snapToGrid w:val="0"/>
          <w:u w:val="single"/>
        </w:rPr>
      </w:pPr>
      <w:r w:rsidRPr="006C636B">
        <w:rPr>
          <w:b/>
          <w:snapToGrid w:val="0"/>
          <w:u w:val="single"/>
        </w:rPr>
        <w:t>10. PRZEPISY ZWIĄZANE</w:t>
      </w:r>
    </w:p>
    <w:p w:rsidR="0081791D" w:rsidRPr="0081791D" w:rsidRDefault="0081791D" w:rsidP="0081791D">
      <w:pPr>
        <w:tabs>
          <w:tab w:val="left" w:pos="284"/>
        </w:tabs>
        <w:jc w:val="both"/>
        <w:rPr>
          <w:b/>
        </w:rPr>
      </w:pPr>
      <w:r w:rsidRPr="0081791D">
        <w:rPr>
          <w:b/>
        </w:rPr>
        <w:t>10.1. Normy</w:t>
      </w:r>
    </w:p>
    <w:p w:rsidR="0081791D" w:rsidRDefault="0081791D" w:rsidP="0081791D">
      <w:pPr>
        <w:tabs>
          <w:tab w:val="left" w:pos="284"/>
        </w:tabs>
        <w:jc w:val="both"/>
      </w:pPr>
      <w:r>
        <w:t>PN-69/B-10260</w:t>
      </w:r>
      <w:r>
        <w:tab/>
      </w:r>
      <w:r>
        <w:tab/>
        <w:t>Izolacje bitumiczne. Wymagania i badania przy odbiorze</w:t>
      </w:r>
    </w:p>
    <w:p w:rsidR="0081791D" w:rsidRDefault="0081791D" w:rsidP="0081791D">
      <w:pPr>
        <w:tabs>
          <w:tab w:val="left" w:pos="284"/>
        </w:tabs>
        <w:jc w:val="both"/>
      </w:pPr>
      <w:r>
        <w:t>PN B 24620:1998</w:t>
      </w:r>
      <w:r>
        <w:tab/>
        <w:t>Lepik, masy i roztwory asfaltowe stosowane na zimno.</w:t>
      </w:r>
    </w:p>
    <w:p w:rsidR="0081791D" w:rsidRDefault="0081791D" w:rsidP="0081791D">
      <w:pPr>
        <w:tabs>
          <w:tab w:val="left" w:pos="284"/>
        </w:tabs>
        <w:jc w:val="both"/>
      </w:pPr>
      <w:r>
        <w:t>PN B-24002:1997</w:t>
      </w:r>
      <w:r>
        <w:tab/>
        <w:t>Asfaltowa emulsja anionowa</w:t>
      </w:r>
    </w:p>
    <w:p w:rsidR="00923B59" w:rsidRPr="0081791D" w:rsidRDefault="0081791D" w:rsidP="0081791D">
      <w:pPr>
        <w:tabs>
          <w:tab w:val="left" w:pos="284"/>
        </w:tabs>
        <w:jc w:val="both"/>
      </w:pPr>
      <w:r>
        <w:t>PN B-24003:1997</w:t>
      </w:r>
      <w:r>
        <w:tab/>
        <w:t>Asfaltowa emulsja kationowa</w:t>
      </w:r>
    </w:p>
    <w:p w:rsidR="00923B59" w:rsidRPr="0081791D" w:rsidRDefault="00923B59" w:rsidP="00BE4E21">
      <w:pPr>
        <w:rPr>
          <w:rFonts w:asciiTheme="minorHAnsi" w:hAnsiTheme="minorHAnsi"/>
          <w:b/>
          <w:snapToGrid w:val="0"/>
          <w:sz w:val="26"/>
        </w:rPr>
      </w:pPr>
    </w:p>
    <w:p w:rsidR="00EC610E" w:rsidRDefault="00EC610E" w:rsidP="00BE4E21">
      <w:pPr>
        <w:rPr>
          <w:rFonts w:ascii="PL Times New Roman" w:hAnsi="PL Times New Roman"/>
          <w:b/>
          <w:snapToGrid w:val="0"/>
          <w:sz w:val="26"/>
        </w:rPr>
      </w:pPr>
    </w:p>
    <w:p w:rsidR="00EC610E" w:rsidRDefault="00EC610E" w:rsidP="00BE4E21">
      <w:pPr>
        <w:rPr>
          <w:rFonts w:ascii="PL Times New Roman" w:hAnsi="PL Times New Roman"/>
          <w:b/>
          <w:snapToGrid w:val="0"/>
          <w:sz w:val="26"/>
        </w:rPr>
      </w:pPr>
    </w:p>
    <w:p w:rsidR="00EC610E" w:rsidRDefault="00EC610E" w:rsidP="00BE4E21">
      <w:pPr>
        <w:rPr>
          <w:rFonts w:ascii="PL Times New Roman" w:hAnsi="PL Times New Roman"/>
          <w:b/>
          <w:snapToGrid w:val="0"/>
          <w:sz w:val="26"/>
        </w:rPr>
      </w:pPr>
    </w:p>
    <w:p w:rsidR="00EC610E" w:rsidRDefault="00EC610E" w:rsidP="00BE4E21">
      <w:pPr>
        <w:rPr>
          <w:rFonts w:ascii="PL Times New Roman" w:hAnsi="PL Times New Roman"/>
          <w:b/>
          <w:snapToGrid w:val="0"/>
          <w:sz w:val="26"/>
        </w:rPr>
      </w:pPr>
    </w:p>
    <w:p w:rsidR="00EC610E" w:rsidRDefault="00EC610E" w:rsidP="00BE4E21">
      <w:pPr>
        <w:rPr>
          <w:rFonts w:ascii="PL Times New Roman" w:hAnsi="PL Times New Roman"/>
          <w:b/>
          <w:snapToGrid w:val="0"/>
          <w:sz w:val="26"/>
        </w:rPr>
      </w:pPr>
    </w:p>
    <w:p w:rsidR="00EC610E" w:rsidRDefault="00EC610E" w:rsidP="00BE4E21">
      <w:pPr>
        <w:rPr>
          <w:rFonts w:ascii="PL Times New Roman" w:hAnsi="PL Times New Roman"/>
          <w:b/>
          <w:snapToGrid w:val="0"/>
          <w:sz w:val="26"/>
        </w:rPr>
      </w:pPr>
    </w:p>
    <w:p w:rsidR="00EC610E" w:rsidRDefault="00EC610E" w:rsidP="00BE4E21">
      <w:pPr>
        <w:rPr>
          <w:rFonts w:ascii="PL Times New Roman" w:hAnsi="PL Times New Roman"/>
          <w:b/>
          <w:snapToGrid w:val="0"/>
          <w:sz w:val="26"/>
        </w:rPr>
      </w:pPr>
    </w:p>
    <w:p w:rsidR="00EC610E" w:rsidRDefault="00EC610E" w:rsidP="00BE4E21">
      <w:pPr>
        <w:rPr>
          <w:rFonts w:ascii="PL Times New Roman" w:hAnsi="PL Times New Roman"/>
          <w:b/>
          <w:snapToGrid w:val="0"/>
          <w:sz w:val="26"/>
        </w:rPr>
      </w:pPr>
    </w:p>
    <w:p w:rsidR="00EC610E" w:rsidRDefault="00EC610E" w:rsidP="00BE4E21">
      <w:pPr>
        <w:rPr>
          <w:rFonts w:ascii="PL Times New Roman" w:hAnsi="PL Times New Roman"/>
          <w:b/>
          <w:snapToGrid w:val="0"/>
          <w:sz w:val="26"/>
        </w:rPr>
      </w:pPr>
    </w:p>
    <w:p w:rsidR="00EC610E" w:rsidRDefault="00EC610E" w:rsidP="00BE4E21">
      <w:pPr>
        <w:rPr>
          <w:rFonts w:ascii="PL Times New Roman" w:hAnsi="PL Times New Roman"/>
          <w:b/>
          <w:snapToGrid w:val="0"/>
          <w:sz w:val="26"/>
        </w:rPr>
      </w:pPr>
    </w:p>
    <w:p w:rsidR="00EC610E" w:rsidRDefault="00EC610E" w:rsidP="00BE4E21">
      <w:pPr>
        <w:rPr>
          <w:rFonts w:ascii="PL Times New Roman" w:hAnsi="PL Times New Roman"/>
          <w:b/>
          <w:snapToGrid w:val="0"/>
          <w:sz w:val="26"/>
        </w:rPr>
      </w:pPr>
    </w:p>
    <w:p w:rsidR="00EC610E" w:rsidRDefault="00EC610E" w:rsidP="00BE4E21">
      <w:pPr>
        <w:rPr>
          <w:rFonts w:ascii="PL Times New Roman" w:hAnsi="PL Times New Roman"/>
          <w:b/>
          <w:snapToGrid w:val="0"/>
          <w:sz w:val="26"/>
        </w:rPr>
      </w:pPr>
    </w:p>
    <w:p w:rsidR="00EC610E" w:rsidRDefault="00EC610E" w:rsidP="00BE4E21">
      <w:pPr>
        <w:rPr>
          <w:rFonts w:ascii="PL Times New Roman" w:hAnsi="PL Times New Roman"/>
          <w:b/>
          <w:snapToGrid w:val="0"/>
          <w:sz w:val="26"/>
        </w:rPr>
      </w:pPr>
    </w:p>
    <w:p w:rsidR="00EC610E" w:rsidRDefault="00EC610E" w:rsidP="00BE4E21">
      <w:pPr>
        <w:rPr>
          <w:rFonts w:ascii="PL Times New Roman" w:hAnsi="PL Times New Roman"/>
          <w:b/>
          <w:snapToGrid w:val="0"/>
          <w:sz w:val="26"/>
        </w:rPr>
      </w:pPr>
    </w:p>
    <w:p w:rsidR="00EC610E" w:rsidRDefault="00EC610E" w:rsidP="00BE4E21">
      <w:pPr>
        <w:rPr>
          <w:rFonts w:ascii="PL Times New Roman" w:hAnsi="PL Times New Roman"/>
          <w:b/>
          <w:snapToGrid w:val="0"/>
          <w:sz w:val="26"/>
        </w:rPr>
      </w:pPr>
    </w:p>
    <w:p w:rsidR="00EC610E" w:rsidRDefault="00EC610E" w:rsidP="00BE4E21">
      <w:pPr>
        <w:rPr>
          <w:rFonts w:ascii="PL Times New Roman" w:hAnsi="PL Times New Roman"/>
          <w:b/>
          <w:snapToGrid w:val="0"/>
          <w:sz w:val="26"/>
        </w:rPr>
      </w:pPr>
    </w:p>
    <w:p w:rsidR="00EC610E" w:rsidRDefault="00EC610E" w:rsidP="00BE4E21">
      <w:pPr>
        <w:rPr>
          <w:rFonts w:ascii="PL Times New Roman" w:hAnsi="PL Times New Roman"/>
          <w:b/>
          <w:snapToGrid w:val="0"/>
          <w:sz w:val="26"/>
        </w:rPr>
      </w:pPr>
    </w:p>
    <w:p w:rsidR="00EC610E" w:rsidRDefault="00EC610E" w:rsidP="00BE4E21">
      <w:pPr>
        <w:rPr>
          <w:rFonts w:ascii="PL Times New Roman" w:hAnsi="PL Times New Roman"/>
          <w:b/>
          <w:snapToGrid w:val="0"/>
          <w:sz w:val="26"/>
        </w:rPr>
      </w:pPr>
    </w:p>
    <w:p w:rsidR="00EC610E" w:rsidRDefault="00EC610E" w:rsidP="00BE4E21">
      <w:pPr>
        <w:rPr>
          <w:rFonts w:ascii="PL Times New Roman" w:hAnsi="PL Times New Roman"/>
          <w:b/>
          <w:snapToGrid w:val="0"/>
          <w:sz w:val="26"/>
        </w:rPr>
      </w:pPr>
    </w:p>
    <w:p w:rsidR="00EC610E" w:rsidRDefault="00EC610E" w:rsidP="00BE4E21">
      <w:pPr>
        <w:rPr>
          <w:rFonts w:ascii="PL Times New Roman" w:hAnsi="PL Times New Roman"/>
          <w:b/>
          <w:snapToGrid w:val="0"/>
          <w:sz w:val="26"/>
        </w:rPr>
      </w:pPr>
    </w:p>
    <w:p w:rsidR="00EC610E" w:rsidRDefault="00EC610E" w:rsidP="00BE4E21">
      <w:pPr>
        <w:rPr>
          <w:rFonts w:ascii="PL Times New Roman" w:hAnsi="PL Times New Roman"/>
          <w:b/>
          <w:snapToGrid w:val="0"/>
          <w:sz w:val="26"/>
        </w:rPr>
      </w:pPr>
    </w:p>
    <w:p w:rsidR="00B751AC" w:rsidRPr="006C636B" w:rsidRDefault="00B751AC" w:rsidP="00B751AC">
      <w:pPr>
        <w:jc w:val="both"/>
        <w:outlineLvl w:val="0"/>
        <w:rPr>
          <w:rFonts w:ascii="PL Times New Roman" w:hAnsi="PL Times New Roman"/>
          <w:b/>
          <w:snapToGrid w:val="0"/>
          <w:sz w:val="26"/>
        </w:rPr>
      </w:pPr>
      <w:bookmarkStart w:id="38" w:name="_Toc59404821"/>
      <w:bookmarkStart w:id="39" w:name="_Toc80100089"/>
      <w:r>
        <w:rPr>
          <w:rFonts w:ascii="PL Times New Roman" w:hAnsi="PL Times New Roman"/>
          <w:b/>
          <w:snapToGrid w:val="0"/>
          <w:sz w:val="26"/>
        </w:rPr>
        <w:t xml:space="preserve">M.15.02.01. </w:t>
      </w:r>
      <w:r>
        <w:rPr>
          <w:rFonts w:ascii="PL Times New Roman" w:hAnsi="PL Times New Roman"/>
          <w:b/>
          <w:snapToGrid w:val="0"/>
          <w:sz w:val="26"/>
        </w:rPr>
        <w:tab/>
      </w:r>
      <w:r>
        <w:rPr>
          <w:rFonts w:ascii="PL Times New Roman" w:hAnsi="PL Times New Roman"/>
          <w:b/>
          <w:snapToGrid w:val="0"/>
          <w:sz w:val="26"/>
        </w:rPr>
        <w:tab/>
        <w:t>IZOLACJA NATRYSKOWA MMA</w:t>
      </w:r>
      <w:bookmarkEnd w:id="38"/>
      <w:bookmarkEnd w:id="39"/>
    </w:p>
    <w:p w:rsidR="00B751AC" w:rsidRPr="006C636B" w:rsidRDefault="00B751AC" w:rsidP="00B751AC">
      <w:pPr>
        <w:suppressAutoHyphens/>
        <w:spacing w:before="120" w:after="60"/>
        <w:jc w:val="both"/>
        <w:outlineLvl w:val="2"/>
        <w:rPr>
          <w:b/>
          <w:snapToGrid w:val="0"/>
          <w:u w:val="single"/>
        </w:rPr>
      </w:pPr>
      <w:r w:rsidRPr="006C636B">
        <w:rPr>
          <w:b/>
          <w:snapToGrid w:val="0"/>
          <w:u w:val="single"/>
        </w:rPr>
        <w:t>1. WSTĘP</w:t>
      </w:r>
    </w:p>
    <w:p w:rsidR="00B751AC" w:rsidRPr="006C636B" w:rsidRDefault="00B751AC" w:rsidP="00B751AC">
      <w:pPr>
        <w:suppressAutoHyphens/>
        <w:spacing w:before="120" w:after="120"/>
        <w:jc w:val="both"/>
        <w:rPr>
          <w:b/>
          <w:lang w:eastAsia="ar-SA"/>
        </w:rPr>
      </w:pPr>
      <w:r w:rsidRPr="006C636B">
        <w:rPr>
          <w:b/>
          <w:lang w:eastAsia="ar-SA"/>
        </w:rPr>
        <w:t>1.1. Przedmiot SST</w:t>
      </w:r>
    </w:p>
    <w:p w:rsidR="00B751AC" w:rsidRDefault="00B751AC" w:rsidP="00B751AC">
      <w:pPr>
        <w:spacing w:before="120" w:after="120"/>
        <w:ind w:firstLine="709"/>
        <w:jc w:val="both"/>
      </w:pPr>
      <w:r>
        <w:t>Przedmiotem niniejszej specyfikacji technicznej są wymagania dotyczące wykonania i odbioru izolacji natryskowej MMA gr. 3 mm</w:t>
      </w:r>
      <w:r>
        <w:rPr>
          <w:snapToGrid w:val="0"/>
        </w:rPr>
        <w:t xml:space="preserve">w ramach </w:t>
      </w:r>
      <w:r w:rsidRPr="00EF1817">
        <w:t>realizacji zadania pn.</w:t>
      </w:r>
      <w:r w:rsidRPr="00B751AC">
        <w:rPr>
          <w:bCs/>
        </w:rPr>
        <w:t xml:space="preserve"> </w:t>
      </w:r>
      <w:r>
        <w:rPr>
          <w:bCs/>
        </w:rPr>
        <w:t>"Remont przepustu nad rzeką Postomia w ciągu drogi nr 445/k.2922 m. Wędrzyn."</w:t>
      </w:r>
    </w:p>
    <w:p w:rsidR="00B751AC" w:rsidRPr="00A52897" w:rsidRDefault="00B751AC" w:rsidP="00B751AC">
      <w:pPr>
        <w:tabs>
          <w:tab w:val="left" w:pos="576"/>
          <w:tab w:val="left" w:pos="1008"/>
        </w:tabs>
        <w:spacing w:before="60" w:after="60"/>
        <w:jc w:val="both"/>
        <w:rPr>
          <w:b/>
        </w:rPr>
      </w:pPr>
      <w:r w:rsidRPr="006C636B">
        <w:rPr>
          <w:b/>
        </w:rPr>
        <w:t>1.2. Zakres stosowania SST</w:t>
      </w:r>
    </w:p>
    <w:p w:rsidR="00B751AC" w:rsidRPr="006C636B" w:rsidRDefault="00B751AC" w:rsidP="00B751AC">
      <w:pPr>
        <w:tabs>
          <w:tab w:val="left" w:pos="576"/>
          <w:tab w:val="left" w:pos="1008"/>
        </w:tabs>
        <w:spacing w:before="120" w:after="120"/>
        <w:jc w:val="both"/>
      </w:pPr>
      <w:r>
        <w:tab/>
      </w:r>
      <w:r w:rsidRPr="006C636B">
        <w:t>Szczegółowa Specyfikacja Techniczna jest stosowana jako dokument przetargowy i kontraktowy przy zlecaniu i realizacji robót wymienionych w punkcie 1.1.</w:t>
      </w:r>
    </w:p>
    <w:p w:rsidR="00B751AC" w:rsidRPr="006C636B" w:rsidRDefault="00B751AC" w:rsidP="00B751AC">
      <w:pPr>
        <w:tabs>
          <w:tab w:val="left" w:pos="576"/>
          <w:tab w:val="left" w:pos="1008"/>
        </w:tabs>
        <w:spacing w:before="60" w:after="60"/>
        <w:jc w:val="both"/>
        <w:rPr>
          <w:b/>
        </w:rPr>
      </w:pPr>
      <w:r w:rsidRPr="006C636B">
        <w:rPr>
          <w:b/>
        </w:rPr>
        <w:t>1.3. Zakres robót objętych SST</w:t>
      </w:r>
    </w:p>
    <w:p w:rsidR="00B751AC" w:rsidRDefault="00B751AC" w:rsidP="00B751AC">
      <w:pPr>
        <w:jc w:val="both"/>
      </w:pPr>
      <w:r>
        <w:tab/>
        <w:t>Ustalenia zawarte w niniejszej specyfikacji dotyczą prowadzenia robót przy wykonywaniu izolacji bitumicznej powierzchni i obejmują:</w:t>
      </w:r>
    </w:p>
    <w:p w:rsidR="00B751AC" w:rsidRDefault="00B751AC" w:rsidP="00B751AC">
      <w:pPr>
        <w:tabs>
          <w:tab w:val="left" w:pos="360"/>
        </w:tabs>
        <w:jc w:val="both"/>
      </w:pPr>
      <w:r>
        <w:tab/>
        <w:t>- oczyszczenie i przygotowanie podłoża,</w:t>
      </w:r>
    </w:p>
    <w:p w:rsidR="00B751AC" w:rsidRPr="00C572EF" w:rsidRDefault="00B751AC" w:rsidP="00B751AC">
      <w:pPr>
        <w:pStyle w:val="Akapitzlist"/>
        <w:ind w:left="360"/>
        <w:rPr>
          <w:sz w:val="20"/>
          <w:szCs w:val="20"/>
        </w:rPr>
      </w:pPr>
      <w:r>
        <w:rPr>
          <w:sz w:val="20"/>
          <w:szCs w:val="20"/>
        </w:rPr>
        <w:t xml:space="preserve">- </w:t>
      </w:r>
      <w:r w:rsidRPr="00C572EF">
        <w:rPr>
          <w:sz w:val="20"/>
          <w:szCs w:val="20"/>
        </w:rPr>
        <w:t xml:space="preserve">wykonanie izolacji </w:t>
      </w:r>
      <w:r>
        <w:rPr>
          <w:sz w:val="20"/>
          <w:szCs w:val="20"/>
        </w:rPr>
        <w:t>natryskowej MMA gr. 3 mm</w:t>
      </w:r>
    </w:p>
    <w:p w:rsidR="00B751AC" w:rsidRDefault="00B751AC" w:rsidP="00B751AC">
      <w:pPr>
        <w:tabs>
          <w:tab w:val="left" w:pos="576"/>
          <w:tab w:val="left" w:pos="1008"/>
        </w:tabs>
        <w:spacing w:before="60" w:after="60"/>
        <w:jc w:val="both"/>
        <w:rPr>
          <w:b/>
        </w:rPr>
      </w:pPr>
      <w:r w:rsidRPr="006C636B">
        <w:rPr>
          <w:b/>
        </w:rPr>
        <w:t>1.4. Określenia podstawowe</w:t>
      </w:r>
    </w:p>
    <w:p w:rsidR="00B751AC" w:rsidRPr="00FC1B5E" w:rsidRDefault="00B751AC" w:rsidP="00B751AC">
      <w:pPr>
        <w:tabs>
          <w:tab w:val="left" w:pos="576"/>
          <w:tab w:val="left" w:pos="1008"/>
        </w:tabs>
        <w:spacing w:before="60" w:after="60"/>
        <w:jc w:val="both"/>
      </w:pPr>
      <w:r w:rsidRPr="00FC1B5E">
        <w:t xml:space="preserve">Izolacja  przeciwwodna  -  nieprzepuszczalna  dla  wody  i nienasiąkliwa,  cienka  warstwa  z odpowiednio  wytrzymałych </w:t>
      </w:r>
    </w:p>
    <w:p w:rsidR="00B751AC" w:rsidRPr="00FC1B5E" w:rsidRDefault="00B751AC" w:rsidP="00B751AC">
      <w:pPr>
        <w:tabs>
          <w:tab w:val="left" w:pos="576"/>
          <w:tab w:val="left" w:pos="1008"/>
        </w:tabs>
        <w:spacing w:before="60" w:after="60"/>
        <w:jc w:val="both"/>
      </w:pPr>
      <w:r w:rsidRPr="00FC1B5E">
        <w:t xml:space="preserve">materiałów, układana na powierzchni konstrukcji inżynierskiej. Warstwa ta stanowi szczelną przegrodę zamykającą dostęp </w:t>
      </w:r>
    </w:p>
    <w:p w:rsidR="00B751AC" w:rsidRPr="00FC1B5E" w:rsidRDefault="00B751AC" w:rsidP="00B751AC">
      <w:pPr>
        <w:tabs>
          <w:tab w:val="left" w:pos="576"/>
          <w:tab w:val="left" w:pos="1008"/>
        </w:tabs>
        <w:spacing w:before="60" w:after="60"/>
        <w:jc w:val="both"/>
      </w:pPr>
      <w:r w:rsidRPr="00FC1B5E">
        <w:t xml:space="preserve">wody wgłąb konstrukcji </w:t>
      </w:r>
    </w:p>
    <w:p w:rsidR="00B751AC" w:rsidRPr="00FC1B5E" w:rsidRDefault="00B751AC" w:rsidP="00B751AC">
      <w:pPr>
        <w:tabs>
          <w:tab w:val="left" w:pos="576"/>
          <w:tab w:val="left" w:pos="1008"/>
        </w:tabs>
        <w:spacing w:before="60" w:after="60"/>
        <w:jc w:val="both"/>
      </w:pPr>
      <w:r>
        <w:t xml:space="preserve">1.4.2. </w:t>
      </w:r>
      <w:r w:rsidRPr="00FC1B5E">
        <w:t xml:space="preserve">Materiał izolacyjny - materiał przeznaczony do wykonania izolacji przeciwwodnej </w:t>
      </w:r>
    </w:p>
    <w:p w:rsidR="00B751AC" w:rsidRPr="00FC1B5E" w:rsidRDefault="00B751AC" w:rsidP="00B751AC">
      <w:pPr>
        <w:tabs>
          <w:tab w:val="left" w:pos="576"/>
          <w:tab w:val="left" w:pos="1008"/>
        </w:tabs>
        <w:spacing w:before="60" w:after="60"/>
        <w:jc w:val="both"/>
      </w:pPr>
      <w:r>
        <w:t xml:space="preserve">1.4.3. </w:t>
      </w:r>
      <w:r w:rsidRPr="00FC1B5E">
        <w:t xml:space="preserve">Podłoże - powierzchnia konstrukcji, betonowa lub metalowa, na której bezpośrednio są układane kolejne warstwy – m.in. </w:t>
      </w:r>
    </w:p>
    <w:p w:rsidR="00B751AC" w:rsidRPr="00FC1B5E" w:rsidRDefault="00B751AC" w:rsidP="00B751AC">
      <w:pPr>
        <w:tabs>
          <w:tab w:val="left" w:pos="576"/>
          <w:tab w:val="left" w:pos="1008"/>
        </w:tabs>
        <w:spacing w:before="60" w:after="60"/>
        <w:jc w:val="both"/>
      </w:pPr>
      <w:r>
        <w:t>izolacja pr</w:t>
      </w:r>
      <w:r w:rsidRPr="00FC1B5E">
        <w:t xml:space="preserve">zeciwwodna </w:t>
      </w:r>
    </w:p>
    <w:p w:rsidR="00B751AC" w:rsidRPr="00FC1B5E" w:rsidRDefault="00B751AC" w:rsidP="00B751AC">
      <w:pPr>
        <w:tabs>
          <w:tab w:val="left" w:pos="576"/>
          <w:tab w:val="left" w:pos="1008"/>
        </w:tabs>
        <w:spacing w:before="60" w:after="60"/>
        <w:jc w:val="both"/>
      </w:pPr>
      <w:r>
        <w:t xml:space="preserve">1.4.6. </w:t>
      </w:r>
      <w:r w:rsidRPr="00FC1B5E">
        <w:t xml:space="preserve">Pozostałe określenia podane w niniejszej specyfikacji są zgodne z obowiązującymi odpowiednimi normami i Specyfikacją </w:t>
      </w:r>
    </w:p>
    <w:p w:rsidR="00B751AC" w:rsidRPr="00FC1B5E" w:rsidRDefault="00B751AC" w:rsidP="00B751AC">
      <w:pPr>
        <w:tabs>
          <w:tab w:val="left" w:pos="576"/>
          <w:tab w:val="left" w:pos="1008"/>
        </w:tabs>
        <w:spacing w:before="60" w:after="60"/>
        <w:jc w:val="both"/>
      </w:pPr>
      <w:r w:rsidRPr="00FC1B5E">
        <w:t>Techniczną DM 00.00.00</w:t>
      </w:r>
    </w:p>
    <w:p w:rsidR="00B751AC" w:rsidRPr="006C636B" w:rsidRDefault="00B751AC" w:rsidP="00B751AC">
      <w:pPr>
        <w:tabs>
          <w:tab w:val="left" w:pos="576"/>
          <w:tab w:val="left" w:pos="1008"/>
        </w:tabs>
        <w:spacing w:before="120" w:after="120"/>
        <w:jc w:val="both"/>
        <w:rPr>
          <w:b/>
        </w:rPr>
      </w:pPr>
      <w:r w:rsidRPr="006C636B">
        <w:rPr>
          <w:b/>
        </w:rPr>
        <w:t>1.5. Ogólne wymagania dotyczące Robót</w:t>
      </w:r>
    </w:p>
    <w:p w:rsidR="00B751AC" w:rsidRDefault="00B751AC" w:rsidP="00B751AC">
      <w:pPr>
        <w:spacing w:before="120" w:after="120"/>
        <w:ind w:firstLine="709"/>
        <w:jc w:val="both"/>
      </w:pPr>
      <w:r w:rsidRPr="00F54B2E">
        <w:t>Wykonawca jest odpowiedzialny za jakość stosowanych materiałów i wykonywanych robót oraz za ich zgodność z dokumentacją projektową, specyfikacją techniczną oraz zaleceniami Inżyniera.</w:t>
      </w:r>
    </w:p>
    <w:p w:rsidR="00B751AC" w:rsidRDefault="00B751AC" w:rsidP="00B751AC">
      <w:pPr>
        <w:spacing w:before="120" w:after="120"/>
        <w:ind w:firstLine="709"/>
        <w:jc w:val="both"/>
      </w:pPr>
    </w:p>
    <w:p w:rsidR="00B751AC" w:rsidRDefault="00B751AC" w:rsidP="0097494B">
      <w:pPr>
        <w:numPr>
          <w:ilvl w:val="2"/>
          <w:numId w:val="26"/>
        </w:numPr>
        <w:tabs>
          <w:tab w:val="clear" w:pos="0"/>
          <w:tab w:val="num" w:pos="720"/>
        </w:tabs>
        <w:suppressAutoHyphens/>
        <w:spacing w:before="120" w:after="60"/>
        <w:ind w:left="720" w:hanging="720"/>
        <w:jc w:val="both"/>
        <w:outlineLvl w:val="2"/>
        <w:rPr>
          <w:b/>
          <w:snapToGrid w:val="0"/>
          <w:u w:val="single"/>
        </w:rPr>
      </w:pPr>
      <w:r w:rsidRPr="006C636B">
        <w:rPr>
          <w:b/>
          <w:snapToGrid w:val="0"/>
          <w:u w:val="single"/>
        </w:rPr>
        <w:t>2. MATERIAŁY</w:t>
      </w:r>
    </w:p>
    <w:p w:rsidR="00B751AC" w:rsidRPr="00A52897" w:rsidRDefault="00B751AC" w:rsidP="00B751AC">
      <w:pPr>
        <w:suppressAutoHyphens/>
        <w:spacing w:before="120" w:after="120"/>
        <w:jc w:val="both"/>
        <w:rPr>
          <w:b/>
          <w:lang w:eastAsia="ar-SA"/>
        </w:rPr>
      </w:pPr>
      <w:r>
        <w:rPr>
          <w:b/>
          <w:lang w:eastAsia="ar-SA"/>
        </w:rPr>
        <w:t>2.1</w:t>
      </w:r>
      <w:r w:rsidRPr="00A52897">
        <w:rPr>
          <w:b/>
          <w:lang w:eastAsia="ar-SA"/>
        </w:rPr>
        <w:t xml:space="preserve">. </w:t>
      </w:r>
      <w:r>
        <w:rPr>
          <w:b/>
          <w:lang w:eastAsia="ar-SA"/>
        </w:rPr>
        <w:t>Ogólne wymagania dotyczące materiałów</w:t>
      </w:r>
    </w:p>
    <w:p w:rsidR="00B751AC" w:rsidRDefault="00B751AC" w:rsidP="00B751AC">
      <w:pPr>
        <w:tabs>
          <w:tab w:val="left" w:pos="360"/>
        </w:tabs>
        <w:jc w:val="both"/>
      </w:pPr>
      <w:r>
        <w:tab/>
      </w:r>
      <w:r>
        <w:tab/>
        <w:t>Ogólne wymagania dotyczące materiałów, ich pozyskiwania i składowania, podano w STWiORB DM.00.00.00 „Wymagania ogólne” pkt 2.</w:t>
      </w:r>
    </w:p>
    <w:p w:rsidR="00B751AC" w:rsidRPr="004F7942" w:rsidRDefault="00B751AC" w:rsidP="00B751AC">
      <w:pPr>
        <w:suppressAutoHyphens/>
        <w:spacing w:before="120" w:after="120"/>
        <w:jc w:val="both"/>
        <w:outlineLvl w:val="2"/>
        <w:rPr>
          <w:b/>
          <w:snapToGrid w:val="0"/>
          <w:u w:val="single"/>
        </w:rPr>
      </w:pPr>
      <w:r w:rsidRPr="004F7942">
        <w:rPr>
          <w:b/>
          <w:snapToGrid w:val="0"/>
          <w:u w:val="single"/>
        </w:rPr>
        <w:t xml:space="preserve">2.2. Opis materiałów </w:t>
      </w:r>
    </w:p>
    <w:p w:rsidR="00B751AC" w:rsidRPr="004F7942" w:rsidRDefault="00B751AC" w:rsidP="00B751AC">
      <w:pPr>
        <w:suppressAutoHyphens/>
        <w:jc w:val="both"/>
        <w:outlineLvl w:val="2"/>
        <w:rPr>
          <w:snapToGrid w:val="0"/>
        </w:rPr>
      </w:pPr>
      <w:r w:rsidRPr="004F7942">
        <w:rPr>
          <w:snapToGrid w:val="0"/>
        </w:rPr>
        <w:t xml:space="preserve">W skład izolacji przeciwwodnej na bazie metakrylanu metylu wchodzą następujące materiały: </w:t>
      </w:r>
    </w:p>
    <w:p w:rsidR="00B751AC" w:rsidRPr="004F7942" w:rsidRDefault="00B751AC" w:rsidP="00B751AC">
      <w:pPr>
        <w:suppressAutoHyphens/>
        <w:jc w:val="both"/>
        <w:outlineLvl w:val="2"/>
        <w:rPr>
          <w:snapToGrid w:val="0"/>
        </w:rPr>
      </w:pPr>
      <w:r w:rsidRPr="004F7942">
        <w:rPr>
          <w:snapToGrid w:val="0"/>
        </w:rPr>
        <w:t xml:space="preserve">-        dwuskładnikowy   szybko   twardniejący   środek   gruntujący   na   bazie   metakrylanu   metylu,   składający   się  z  żywicy  podstawowej  i katalizatora  proszkowego,  przeznaczony  do  gruntowania  powierzchni  betonowych  oraz metalowych </w:t>
      </w:r>
    </w:p>
    <w:p w:rsidR="00B751AC" w:rsidRPr="004F7942" w:rsidRDefault="00B751AC" w:rsidP="00B751AC">
      <w:pPr>
        <w:suppressAutoHyphens/>
        <w:jc w:val="both"/>
        <w:outlineLvl w:val="2"/>
        <w:rPr>
          <w:snapToGrid w:val="0"/>
        </w:rPr>
      </w:pPr>
      <w:r w:rsidRPr="004F7942">
        <w:rPr>
          <w:snapToGrid w:val="0"/>
        </w:rPr>
        <w:t xml:space="preserve">-        trójskładnikowy    materiał    izolacyjny    na    bazie    metakrylanu    metylu,    do    wykonywania    wodoszczelnej  i  wytrzymałej  izolacji  (membrany)  przeciwwodnej  metodą  natrysku,  dostarczany  na  budowę  w postaci  dwóch składników żywicy podstawowej (A i B) oraz katalizatora proszkowego </w:t>
      </w:r>
    </w:p>
    <w:p w:rsidR="00B751AC" w:rsidRPr="004F7942" w:rsidRDefault="00B751AC" w:rsidP="00B751AC">
      <w:pPr>
        <w:suppressAutoHyphens/>
        <w:jc w:val="both"/>
        <w:outlineLvl w:val="2"/>
        <w:rPr>
          <w:snapToGrid w:val="0"/>
        </w:rPr>
      </w:pPr>
      <w:r w:rsidRPr="004F7942">
        <w:rPr>
          <w:snapToGrid w:val="0"/>
        </w:rPr>
        <w:t xml:space="preserve">-        dwuskładnikowy    materiał    izolacyjny    na    bazie    metakrylanu    metylu,    do    wykonywania    wodoszczelnej  i  wytrzymałej  izolacji  (membrany)  przeciwwodnej  metodą  ręczną,  dostarczany  na  budowę  w postaci  żywicy podstawowej i katalizatora proszkowego </w:t>
      </w:r>
    </w:p>
    <w:p w:rsidR="00B751AC" w:rsidRPr="004F7942" w:rsidRDefault="00B751AC" w:rsidP="00B751AC">
      <w:pPr>
        <w:suppressAutoHyphens/>
        <w:jc w:val="both"/>
        <w:outlineLvl w:val="2"/>
        <w:rPr>
          <w:snapToGrid w:val="0"/>
        </w:rPr>
      </w:pPr>
      <w:r w:rsidRPr="004F7942">
        <w:rPr>
          <w:snapToGrid w:val="0"/>
        </w:rPr>
        <w:t xml:space="preserve">-        dwuskładnikowy  szybko  twardniejący  środek  na  bazie  metakrylanu  metylu,  składający  się  z żywicy  podstawowej i katalizatora  proszkowego  przeznaczony  do  wykonywania  warstwy  sczepnej  pomiędzy  izolacją  przeciwwodną  a nawierzchnią asfaltową lub z żywic metakrylowych </w:t>
      </w:r>
    </w:p>
    <w:p w:rsidR="00B751AC" w:rsidRPr="004F7942" w:rsidRDefault="00B751AC" w:rsidP="00B751AC">
      <w:pPr>
        <w:suppressAutoHyphens/>
        <w:jc w:val="both"/>
        <w:outlineLvl w:val="2"/>
        <w:rPr>
          <w:snapToGrid w:val="0"/>
        </w:rPr>
      </w:pPr>
      <w:r w:rsidRPr="004F7942">
        <w:rPr>
          <w:snapToGrid w:val="0"/>
        </w:rPr>
        <w:t xml:space="preserve">-        katalizator  proszkowy  służy  do  wywoływania  reakcji  utwardzania  i regulowania  szybkości  reakcji  utwardzania materiałów na bazie metakrylanu metylu </w:t>
      </w:r>
    </w:p>
    <w:p w:rsidR="00B751AC" w:rsidRPr="004F7942" w:rsidRDefault="00B751AC" w:rsidP="00B751AC">
      <w:pPr>
        <w:suppressAutoHyphens/>
        <w:jc w:val="both"/>
        <w:outlineLvl w:val="2"/>
        <w:rPr>
          <w:snapToGrid w:val="0"/>
        </w:rPr>
      </w:pPr>
      <w:r w:rsidRPr="004F7942">
        <w:rPr>
          <w:snapToGrid w:val="0"/>
        </w:rPr>
        <w:t xml:space="preserve">-        materiały  pomocnicze  (piasek  kwarcowy,  rozcieńczalnik  itp.)  pomagające  przy  właściwym  wykonaniu  izolacji przeciwwodnej </w:t>
      </w:r>
    </w:p>
    <w:p w:rsidR="00B751AC" w:rsidRPr="004F7942" w:rsidRDefault="00B751AC" w:rsidP="00B751AC">
      <w:pPr>
        <w:suppressAutoHyphens/>
        <w:jc w:val="both"/>
        <w:outlineLvl w:val="2"/>
        <w:rPr>
          <w:snapToGrid w:val="0"/>
        </w:rPr>
      </w:pPr>
      <w:r w:rsidRPr="004F7942">
        <w:rPr>
          <w:snapToGrid w:val="0"/>
        </w:rPr>
        <w:t>Materiały  izolacji przeciwwodnej  na  bazie  metakrylanu metylu  powinny  stanowić  jednolity  system  izolacji  gwarantowany przez Producenta.</w:t>
      </w:r>
    </w:p>
    <w:p w:rsidR="00B751AC" w:rsidRDefault="00B751AC" w:rsidP="00B751AC">
      <w:pPr>
        <w:suppressAutoHyphens/>
        <w:spacing w:before="120" w:after="120"/>
        <w:jc w:val="both"/>
        <w:outlineLvl w:val="2"/>
        <w:rPr>
          <w:b/>
          <w:snapToGrid w:val="0"/>
          <w:u w:val="single"/>
        </w:rPr>
      </w:pPr>
      <w:r>
        <w:rPr>
          <w:noProof/>
        </w:rPr>
        <w:drawing>
          <wp:inline distT="0" distB="0" distL="0" distR="0">
            <wp:extent cx="5711825" cy="5093641"/>
            <wp:effectExtent l="0" t="0" r="3175" b="0"/>
            <wp:docPr id="5" name="Obraz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cstate="print"/>
                    <a:stretch>
                      <a:fillRect/>
                    </a:stretch>
                  </pic:blipFill>
                  <pic:spPr>
                    <a:xfrm>
                      <a:off x="0" y="0"/>
                      <a:ext cx="5711825" cy="5093641"/>
                    </a:xfrm>
                    <a:prstGeom prst="rect">
                      <a:avLst/>
                    </a:prstGeom>
                  </pic:spPr>
                </pic:pic>
              </a:graphicData>
            </a:graphic>
          </wp:inline>
        </w:drawing>
      </w:r>
    </w:p>
    <w:p w:rsidR="00B751AC" w:rsidRDefault="00B751AC" w:rsidP="0097494B">
      <w:pPr>
        <w:numPr>
          <w:ilvl w:val="2"/>
          <w:numId w:val="26"/>
        </w:numPr>
        <w:tabs>
          <w:tab w:val="clear" w:pos="0"/>
          <w:tab w:val="num" w:pos="720"/>
        </w:tabs>
        <w:suppressAutoHyphens/>
        <w:spacing w:before="120" w:after="120"/>
        <w:ind w:left="720" w:hanging="720"/>
        <w:jc w:val="both"/>
        <w:outlineLvl w:val="2"/>
        <w:rPr>
          <w:b/>
          <w:snapToGrid w:val="0"/>
          <w:u w:val="single"/>
        </w:rPr>
      </w:pPr>
    </w:p>
    <w:p w:rsidR="00B751AC" w:rsidRDefault="00B751AC" w:rsidP="0097494B">
      <w:pPr>
        <w:numPr>
          <w:ilvl w:val="2"/>
          <w:numId w:val="26"/>
        </w:numPr>
        <w:tabs>
          <w:tab w:val="clear" w:pos="0"/>
          <w:tab w:val="num" w:pos="720"/>
        </w:tabs>
        <w:suppressAutoHyphens/>
        <w:spacing w:before="120" w:after="120"/>
        <w:ind w:left="720" w:hanging="720"/>
        <w:jc w:val="both"/>
        <w:outlineLvl w:val="2"/>
        <w:rPr>
          <w:b/>
          <w:snapToGrid w:val="0"/>
          <w:u w:val="single"/>
        </w:rPr>
      </w:pPr>
      <w:r w:rsidRPr="006C636B">
        <w:rPr>
          <w:b/>
          <w:snapToGrid w:val="0"/>
          <w:u w:val="single"/>
        </w:rPr>
        <w:t>3. SPRZĘT</w:t>
      </w:r>
    </w:p>
    <w:p w:rsidR="00B751AC" w:rsidRDefault="00B751AC" w:rsidP="00B751AC">
      <w:pPr>
        <w:suppressAutoHyphens/>
        <w:spacing w:before="120" w:after="120"/>
        <w:jc w:val="both"/>
        <w:outlineLvl w:val="2"/>
        <w:rPr>
          <w:snapToGrid w:val="0"/>
        </w:rPr>
      </w:pPr>
      <w:r w:rsidRPr="004F7942">
        <w:rPr>
          <w:snapToGrid w:val="0"/>
        </w:rPr>
        <w:t>Warunki ogólne stosowania sprzętu podano w STWiORB DM-00.00.00 „Wymagania ogólne”.</w:t>
      </w:r>
    </w:p>
    <w:p w:rsidR="00B751AC" w:rsidRPr="004F7942" w:rsidRDefault="00B751AC" w:rsidP="00B751AC">
      <w:pPr>
        <w:suppressAutoHyphens/>
        <w:jc w:val="both"/>
        <w:outlineLvl w:val="2"/>
        <w:rPr>
          <w:snapToGrid w:val="0"/>
        </w:rPr>
      </w:pPr>
      <w:r>
        <w:rPr>
          <w:snapToGrid w:val="0"/>
        </w:rPr>
        <w:t>Sprzęt szczegółowy:</w:t>
      </w:r>
    </w:p>
    <w:p w:rsidR="00B751AC" w:rsidRPr="004F7942" w:rsidRDefault="00B751AC" w:rsidP="0097494B">
      <w:pPr>
        <w:numPr>
          <w:ilvl w:val="2"/>
          <w:numId w:val="26"/>
        </w:numPr>
        <w:suppressAutoHyphens/>
        <w:jc w:val="both"/>
        <w:outlineLvl w:val="2"/>
        <w:rPr>
          <w:snapToGrid w:val="0"/>
        </w:rPr>
      </w:pPr>
      <w:r w:rsidRPr="004F7942">
        <w:rPr>
          <w:snapToGrid w:val="0"/>
        </w:rPr>
        <w:t xml:space="preserve">-     Narzędzia pomocnicze: rakle gumowe, noże tapeciarskie, wałki malarskie, pędzle, taśmy malarskie, folie ochronne, wiadra, miernik grzebieniowy. </w:t>
      </w:r>
    </w:p>
    <w:p w:rsidR="00B751AC" w:rsidRPr="004F7942" w:rsidRDefault="00B751AC" w:rsidP="0097494B">
      <w:pPr>
        <w:numPr>
          <w:ilvl w:val="2"/>
          <w:numId w:val="26"/>
        </w:numPr>
        <w:suppressAutoHyphens/>
        <w:jc w:val="both"/>
        <w:outlineLvl w:val="2"/>
        <w:rPr>
          <w:snapToGrid w:val="0"/>
        </w:rPr>
      </w:pPr>
      <w:r w:rsidRPr="004F7942">
        <w:rPr>
          <w:snapToGrid w:val="0"/>
        </w:rPr>
        <w:t xml:space="preserve">-     Sprzęt pomocniczy: śrutownica, odkurzacz przemysłowy, sprężarka, mieszadło wolnoobrotowe, urządzenie pull-off, stacja pogodowa, miernik wilgotności, termometr. </w:t>
      </w:r>
    </w:p>
    <w:p w:rsidR="00B751AC" w:rsidRPr="004F7942" w:rsidRDefault="00B751AC" w:rsidP="0097494B">
      <w:pPr>
        <w:numPr>
          <w:ilvl w:val="2"/>
          <w:numId w:val="26"/>
        </w:numPr>
        <w:suppressAutoHyphens/>
        <w:jc w:val="both"/>
        <w:outlineLvl w:val="2"/>
        <w:rPr>
          <w:snapToGrid w:val="0"/>
        </w:rPr>
      </w:pPr>
      <w:r w:rsidRPr="004F7942">
        <w:rPr>
          <w:snapToGrid w:val="0"/>
        </w:rPr>
        <w:t xml:space="preserve">-      Sprzęt  podstawowy  do  aplikacji  metodą  natrysku:  urządzenie  do  natrysku  bezpowietrznego  dla  materiałów dwukomponentowych. </w:t>
      </w:r>
    </w:p>
    <w:p w:rsidR="00B751AC" w:rsidRPr="004F7942" w:rsidRDefault="00B751AC" w:rsidP="0097494B">
      <w:pPr>
        <w:numPr>
          <w:ilvl w:val="2"/>
          <w:numId w:val="26"/>
        </w:numPr>
        <w:suppressAutoHyphens/>
        <w:jc w:val="both"/>
        <w:outlineLvl w:val="2"/>
        <w:rPr>
          <w:snapToGrid w:val="0"/>
        </w:rPr>
      </w:pPr>
      <w:r w:rsidRPr="004F7942">
        <w:rPr>
          <w:snapToGrid w:val="0"/>
        </w:rPr>
        <w:t>-     Sprzęt  podstawowy  do  aplikacji  metodą  ręczną:  rakle  „grubościowe”,  wałki  z odpowiednim  włosiem,  wałki kolczaste.</w:t>
      </w:r>
    </w:p>
    <w:p w:rsidR="00B751AC" w:rsidRPr="006C636B" w:rsidRDefault="00B751AC" w:rsidP="0097494B">
      <w:pPr>
        <w:numPr>
          <w:ilvl w:val="2"/>
          <w:numId w:val="26"/>
        </w:numPr>
        <w:tabs>
          <w:tab w:val="clear" w:pos="0"/>
          <w:tab w:val="num" w:pos="720"/>
        </w:tabs>
        <w:suppressAutoHyphens/>
        <w:spacing w:before="120" w:after="120"/>
        <w:ind w:left="720" w:hanging="720"/>
        <w:jc w:val="both"/>
        <w:outlineLvl w:val="2"/>
        <w:rPr>
          <w:b/>
          <w:snapToGrid w:val="0"/>
          <w:u w:val="single"/>
        </w:rPr>
      </w:pPr>
      <w:r w:rsidRPr="006C636B">
        <w:rPr>
          <w:b/>
          <w:snapToGrid w:val="0"/>
          <w:u w:val="single"/>
        </w:rPr>
        <w:t>4. TRANSPORT</w:t>
      </w:r>
    </w:p>
    <w:p w:rsidR="00B751AC" w:rsidRPr="001629F8" w:rsidRDefault="00B751AC" w:rsidP="00B751AC">
      <w:pPr>
        <w:widowControl w:val="0"/>
        <w:spacing w:before="120" w:after="120"/>
        <w:ind w:firstLine="709"/>
        <w:jc w:val="both"/>
        <w:rPr>
          <w:b/>
        </w:rPr>
      </w:pPr>
      <w:r w:rsidRPr="001629F8">
        <w:rPr>
          <w:rStyle w:val="Styl4Znak"/>
          <w:b w:val="0"/>
        </w:rPr>
        <w:t xml:space="preserve">Materiały mogą być przewożone odpowiednimi do asortymentu materiałów środkami transportu. Należy zadbać o właściwe zabezpieczenie ładunku i bezpieczeństwo transportu. Warunki składowania zgodne z </w:t>
      </w:r>
      <w:r>
        <w:rPr>
          <w:rStyle w:val="Styl4Znak"/>
          <w:b w:val="0"/>
        </w:rPr>
        <w:t>zaleceniami producenta</w:t>
      </w:r>
    </w:p>
    <w:p w:rsidR="00B751AC" w:rsidRDefault="00B751AC" w:rsidP="0097494B">
      <w:pPr>
        <w:numPr>
          <w:ilvl w:val="2"/>
          <w:numId w:val="26"/>
        </w:numPr>
        <w:tabs>
          <w:tab w:val="clear" w:pos="0"/>
          <w:tab w:val="num" w:pos="720"/>
        </w:tabs>
        <w:suppressAutoHyphens/>
        <w:spacing w:before="120" w:after="120"/>
        <w:ind w:left="720" w:hanging="720"/>
        <w:jc w:val="both"/>
        <w:outlineLvl w:val="2"/>
        <w:rPr>
          <w:b/>
          <w:snapToGrid w:val="0"/>
          <w:u w:val="single"/>
        </w:rPr>
      </w:pPr>
      <w:r w:rsidRPr="006C636B">
        <w:rPr>
          <w:b/>
          <w:snapToGrid w:val="0"/>
          <w:u w:val="single"/>
        </w:rPr>
        <w:t>5. WYKONANIE ROBÓT</w:t>
      </w:r>
    </w:p>
    <w:p w:rsidR="00B751AC" w:rsidRPr="008E164E" w:rsidRDefault="00B751AC" w:rsidP="0097494B">
      <w:pPr>
        <w:numPr>
          <w:ilvl w:val="2"/>
          <w:numId w:val="26"/>
        </w:numPr>
        <w:suppressAutoHyphens/>
        <w:jc w:val="both"/>
        <w:outlineLvl w:val="2"/>
        <w:rPr>
          <w:b/>
          <w:snapToGrid w:val="0"/>
        </w:rPr>
      </w:pPr>
      <w:r w:rsidRPr="008E164E">
        <w:rPr>
          <w:b/>
          <w:snapToGrid w:val="0"/>
        </w:rPr>
        <w:t xml:space="preserve">5.1. Składniki systemu </w:t>
      </w:r>
    </w:p>
    <w:p w:rsidR="00B751AC" w:rsidRPr="004F7942" w:rsidRDefault="00B751AC" w:rsidP="0097494B">
      <w:pPr>
        <w:numPr>
          <w:ilvl w:val="2"/>
          <w:numId w:val="26"/>
        </w:numPr>
        <w:suppressAutoHyphens/>
        <w:jc w:val="both"/>
        <w:outlineLvl w:val="2"/>
        <w:rPr>
          <w:snapToGrid w:val="0"/>
        </w:rPr>
      </w:pPr>
      <w:r w:rsidRPr="004F7942">
        <w:rPr>
          <w:snapToGrid w:val="0"/>
        </w:rPr>
        <w:t xml:space="preserve">Składniki    systemu    izolacji    na    bazie    metakrylanu    metylu    powinny    być    dostosowane    do    stosowania  w temperaturach poniżej 0°C, pod warunkiem, że temperatura podłoża znajduje się powyżej temperatury punktu rosy. </w:t>
      </w:r>
    </w:p>
    <w:p w:rsidR="00B751AC" w:rsidRPr="004F7942" w:rsidRDefault="00B751AC" w:rsidP="0097494B">
      <w:pPr>
        <w:numPr>
          <w:ilvl w:val="2"/>
          <w:numId w:val="26"/>
        </w:numPr>
        <w:suppressAutoHyphens/>
        <w:jc w:val="both"/>
        <w:outlineLvl w:val="2"/>
        <w:rPr>
          <w:snapToGrid w:val="0"/>
        </w:rPr>
      </w:pPr>
      <w:r w:rsidRPr="004F7942">
        <w:rPr>
          <w:snapToGrid w:val="0"/>
        </w:rPr>
        <w:t xml:space="preserve">Roboty  powinny  być  wykonane  zgodnie  z Dokumentacją  Projektową,  oraz  wymaganiami  systemu.  Odstępstwa  od Dokumentacji Projektowej powinny być udokumentowane zapisem w Dzienniku Budowy i zaakceptowane przez Inżyniera. </w:t>
      </w:r>
    </w:p>
    <w:p w:rsidR="00B751AC" w:rsidRPr="008E164E" w:rsidRDefault="00B751AC" w:rsidP="0097494B">
      <w:pPr>
        <w:numPr>
          <w:ilvl w:val="2"/>
          <w:numId w:val="26"/>
        </w:numPr>
        <w:suppressAutoHyphens/>
        <w:jc w:val="both"/>
        <w:outlineLvl w:val="2"/>
        <w:rPr>
          <w:b/>
          <w:snapToGrid w:val="0"/>
        </w:rPr>
      </w:pPr>
      <w:r w:rsidRPr="008E164E">
        <w:rPr>
          <w:b/>
          <w:snapToGrid w:val="0"/>
        </w:rPr>
        <w:t xml:space="preserve">5.2. Kolejność prac </w:t>
      </w:r>
    </w:p>
    <w:p w:rsidR="00B751AC" w:rsidRPr="004F7942" w:rsidRDefault="00B751AC" w:rsidP="0097494B">
      <w:pPr>
        <w:numPr>
          <w:ilvl w:val="2"/>
          <w:numId w:val="26"/>
        </w:numPr>
        <w:suppressAutoHyphens/>
        <w:jc w:val="both"/>
        <w:outlineLvl w:val="2"/>
        <w:rPr>
          <w:snapToGrid w:val="0"/>
        </w:rPr>
      </w:pPr>
      <w:r w:rsidRPr="004F7942">
        <w:rPr>
          <w:snapToGrid w:val="0"/>
        </w:rPr>
        <w:t xml:space="preserve">-     Oczyszczenie i odpylenie podłoża betonowego lub metalowego </w:t>
      </w:r>
    </w:p>
    <w:p w:rsidR="00B751AC" w:rsidRPr="004F7942" w:rsidRDefault="00B751AC" w:rsidP="0097494B">
      <w:pPr>
        <w:numPr>
          <w:ilvl w:val="2"/>
          <w:numId w:val="26"/>
        </w:numPr>
        <w:suppressAutoHyphens/>
        <w:jc w:val="both"/>
        <w:outlineLvl w:val="2"/>
        <w:rPr>
          <w:snapToGrid w:val="0"/>
        </w:rPr>
      </w:pPr>
      <w:r>
        <w:rPr>
          <w:snapToGrid w:val="0"/>
        </w:rPr>
        <w:t xml:space="preserve">-   </w:t>
      </w:r>
      <w:r w:rsidRPr="004F7942">
        <w:rPr>
          <w:snapToGrid w:val="0"/>
        </w:rPr>
        <w:t xml:space="preserve">Zagruntowanie    oczyszczonego    i odpylonego    podłoża    betonowego    lub    metalowego    dwuskładnikowym, szybkotwardniejący środkiem gruntującym na bazie metakrylanu metylu  </w:t>
      </w:r>
    </w:p>
    <w:p w:rsidR="00B751AC" w:rsidRPr="004F7942" w:rsidRDefault="00B751AC" w:rsidP="0097494B">
      <w:pPr>
        <w:numPr>
          <w:ilvl w:val="2"/>
          <w:numId w:val="26"/>
        </w:numPr>
        <w:suppressAutoHyphens/>
        <w:jc w:val="both"/>
        <w:outlineLvl w:val="2"/>
        <w:rPr>
          <w:snapToGrid w:val="0"/>
        </w:rPr>
      </w:pPr>
      <w:r w:rsidRPr="004F7942">
        <w:rPr>
          <w:snapToGrid w:val="0"/>
        </w:rPr>
        <w:t xml:space="preserve">-     Ułożenie    trójskładnikowego    materiału    izolacyjnego    na    bazie    metakrylanu    metylu    w jednej    warstwie  o odpowiedniej grubości metodą natryskiwania, zgodnie z zaleceniami producenta, lub: </w:t>
      </w:r>
    </w:p>
    <w:p w:rsidR="00B751AC" w:rsidRPr="004F7942" w:rsidRDefault="00B751AC" w:rsidP="0097494B">
      <w:pPr>
        <w:numPr>
          <w:ilvl w:val="2"/>
          <w:numId w:val="26"/>
        </w:numPr>
        <w:suppressAutoHyphens/>
        <w:jc w:val="both"/>
        <w:outlineLvl w:val="2"/>
        <w:rPr>
          <w:snapToGrid w:val="0"/>
        </w:rPr>
      </w:pPr>
      <w:r w:rsidRPr="004F7942">
        <w:rPr>
          <w:snapToGrid w:val="0"/>
        </w:rPr>
        <w:t xml:space="preserve">-     Ułożenie    dwuskładnikowego    materiału    izolacyjnego    na    bazie    metakrylanu    metylu    w jednej    warstwie  o odpowiedniej grubości metodą ręczną zgodnie z zaleceniami producenta, </w:t>
      </w:r>
    </w:p>
    <w:p w:rsidR="00B751AC" w:rsidRPr="004F7942" w:rsidRDefault="00B751AC" w:rsidP="0097494B">
      <w:pPr>
        <w:numPr>
          <w:ilvl w:val="2"/>
          <w:numId w:val="26"/>
        </w:numPr>
        <w:suppressAutoHyphens/>
        <w:jc w:val="both"/>
        <w:outlineLvl w:val="2"/>
        <w:rPr>
          <w:snapToGrid w:val="0"/>
        </w:rPr>
      </w:pPr>
      <w:r w:rsidRPr="004F7942">
        <w:rPr>
          <w:snapToGrid w:val="0"/>
        </w:rPr>
        <w:t xml:space="preserve">-     Ułożenie warstwy sczepnej z dwuskładnikowego, szybko twardniejącego środka na bazie metakrylanu metylu </w:t>
      </w:r>
    </w:p>
    <w:p w:rsidR="00B751AC" w:rsidRPr="008E164E" w:rsidRDefault="00B751AC" w:rsidP="0097494B">
      <w:pPr>
        <w:numPr>
          <w:ilvl w:val="2"/>
          <w:numId w:val="26"/>
        </w:numPr>
        <w:suppressAutoHyphens/>
        <w:jc w:val="both"/>
        <w:outlineLvl w:val="2"/>
        <w:rPr>
          <w:b/>
          <w:snapToGrid w:val="0"/>
        </w:rPr>
      </w:pPr>
      <w:r w:rsidRPr="008E164E">
        <w:rPr>
          <w:b/>
          <w:snapToGrid w:val="0"/>
        </w:rPr>
        <w:t xml:space="preserve">5.3. Przygotowanie podłoża </w:t>
      </w:r>
    </w:p>
    <w:p w:rsidR="00B751AC" w:rsidRPr="004F7942" w:rsidRDefault="00B751AC" w:rsidP="0097494B">
      <w:pPr>
        <w:numPr>
          <w:ilvl w:val="2"/>
          <w:numId w:val="26"/>
        </w:numPr>
        <w:suppressAutoHyphens/>
        <w:jc w:val="both"/>
        <w:outlineLvl w:val="2"/>
        <w:rPr>
          <w:snapToGrid w:val="0"/>
        </w:rPr>
      </w:pPr>
      <w:r w:rsidRPr="004F7942">
        <w:rPr>
          <w:snapToGrid w:val="0"/>
        </w:rPr>
        <w:t>5.</w:t>
      </w:r>
      <w:r>
        <w:rPr>
          <w:snapToGrid w:val="0"/>
        </w:rPr>
        <w:t>3</w:t>
      </w:r>
      <w:r w:rsidRPr="004F7942">
        <w:rPr>
          <w:snapToGrid w:val="0"/>
        </w:rPr>
        <w:t xml:space="preserve">.1 Podłoże betonowe </w:t>
      </w:r>
    </w:p>
    <w:p w:rsidR="00B751AC" w:rsidRPr="004F7942" w:rsidRDefault="00B751AC" w:rsidP="0097494B">
      <w:pPr>
        <w:numPr>
          <w:ilvl w:val="2"/>
          <w:numId w:val="26"/>
        </w:numPr>
        <w:suppressAutoHyphens/>
        <w:jc w:val="both"/>
        <w:outlineLvl w:val="2"/>
        <w:rPr>
          <w:snapToGrid w:val="0"/>
        </w:rPr>
      </w:pPr>
      <w:r w:rsidRPr="004F7942">
        <w:rPr>
          <w:snapToGrid w:val="0"/>
        </w:rPr>
        <w:t xml:space="preserve">Podłoże  betonowe  należy  (bezpośrednio  przed  gruntowaniem)  oczyścić  z luźnych  części,  mleczka  cementowego,  pyłu i zatłuszczeń. Zaleca się oczyszczenie podłoża betonowego przy użyciu śrutownicy, natomiast zatłuszczenia należy usunąć przez ich  wypalenie  palnikiem  gazowym.  Wytrzymałość  podłoża  betonowego  badana  metodą  “pull-off”  powinna  wynosić  co  najmniej 1,5 MPa. </w:t>
      </w:r>
    </w:p>
    <w:p w:rsidR="00B751AC" w:rsidRPr="008E164E" w:rsidRDefault="00B751AC" w:rsidP="0097494B">
      <w:pPr>
        <w:numPr>
          <w:ilvl w:val="2"/>
          <w:numId w:val="26"/>
        </w:numPr>
        <w:suppressAutoHyphens/>
        <w:jc w:val="both"/>
        <w:outlineLvl w:val="2"/>
        <w:rPr>
          <w:b/>
          <w:snapToGrid w:val="0"/>
        </w:rPr>
      </w:pPr>
      <w:r w:rsidRPr="008E164E">
        <w:rPr>
          <w:b/>
          <w:snapToGrid w:val="0"/>
        </w:rPr>
        <w:t xml:space="preserve">5.4. Gruntowanie podłoża </w:t>
      </w:r>
    </w:p>
    <w:p w:rsidR="00B751AC" w:rsidRPr="004F7942" w:rsidRDefault="00B751AC" w:rsidP="0097494B">
      <w:pPr>
        <w:numPr>
          <w:ilvl w:val="2"/>
          <w:numId w:val="26"/>
        </w:numPr>
        <w:suppressAutoHyphens/>
        <w:jc w:val="both"/>
        <w:outlineLvl w:val="2"/>
        <w:rPr>
          <w:snapToGrid w:val="0"/>
        </w:rPr>
      </w:pPr>
      <w:r w:rsidRPr="004F7942">
        <w:rPr>
          <w:snapToGrid w:val="0"/>
        </w:rPr>
        <w:t>5.</w:t>
      </w:r>
      <w:r>
        <w:rPr>
          <w:snapToGrid w:val="0"/>
        </w:rPr>
        <w:t>4</w:t>
      </w:r>
      <w:r w:rsidRPr="004F7942">
        <w:rPr>
          <w:snapToGrid w:val="0"/>
        </w:rPr>
        <w:t xml:space="preserve">.1 Podłoże betonowe </w:t>
      </w:r>
    </w:p>
    <w:p w:rsidR="00B751AC" w:rsidRPr="004F7942" w:rsidRDefault="00B751AC" w:rsidP="0097494B">
      <w:pPr>
        <w:numPr>
          <w:ilvl w:val="2"/>
          <w:numId w:val="26"/>
        </w:numPr>
        <w:suppressAutoHyphens/>
        <w:jc w:val="both"/>
        <w:outlineLvl w:val="2"/>
        <w:rPr>
          <w:snapToGrid w:val="0"/>
        </w:rPr>
      </w:pPr>
      <w:r w:rsidRPr="004F7942">
        <w:rPr>
          <w:snapToGrid w:val="0"/>
        </w:rPr>
        <w:t xml:space="preserve">Podłoże betonowe przeznaczone do gruntowania powinno być w wieku minimum 7 dni, optymalnie: 28 dni. </w:t>
      </w:r>
    </w:p>
    <w:p w:rsidR="00B751AC" w:rsidRPr="008E164E" w:rsidRDefault="00B751AC" w:rsidP="0097494B">
      <w:pPr>
        <w:numPr>
          <w:ilvl w:val="2"/>
          <w:numId w:val="26"/>
        </w:numPr>
        <w:suppressAutoHyphens/>
        <w:jc w:val="both"/>
        <w:outlineLvl w:val="2"/>
        <w:rPr>
          <w:snapToGrid w:val="0"/>
        </w:rPr>
      </w:pPr>
      <w:r w:rsidRPr="004F7942">
        <w:rPr>
          <w:snapToGrid w:val="0"/>
        </w:rPr>
        <w:t xml:space="preserve">Dwuskładnikowy, szybko twardniejący środek gruntujący na  bazie metakrylanu metylu jest  złożony z dwóch składników: </w:t>
      </w:r>
      <w:r w:rsidRPr="008E164E">
        <w:rPr>
          <w:snapToGrid w:val="0"/>
        </w:rPr>
        <w:t xml:space="preserve">żywicy podstawowej oraz katalizatora proszkowego.  </w:t>
      </w:r>
    </w:p>
    <w:p w:rsidR="00B751AC" w:rsidRPr="008E164E" w:rsidRDefault="00B751AC" w:rsidP="0097494B">
      <w:pPr>
        <w:numPr>
          <w:ilvl w:val="2"/>
          <w:numId w:val="26"/>
        </w:numPr>
        <w:suppressAutoHyphens/>
        <w:jc w:val="both"/>
        <w:outlineLvl w:val="2"/>
        <w:rPr>
          <w:snapToGrid w:val="0"/>
        </w:rPr>
      </w:pPr>
      <w:r w:rsidRPr="004F7942">
        <w:rPr>
          <w:snapToGrid w:val="0"/>
        </w:rPr>
        <w:t xml:space="preserve">W  zależności  od  temperatury  otoczenia  oraz  temperatury  podłoża  należy  użyć  odpowiedniej  ilości  katalizatora </w:t>
      </w:r>
      <w:r w:rsidRPr="008E164E">
        <w:rPr>
          <w:snapToGrid w:val="0"/>
        </w:rPr>
        <w:t xml:space="preserve">proszkowego. Dwuskładnikowy, szybko twardniejący środek gruntujący na bazie metakrylanu metylu powinien być przeznaczony do stosowania przy temperaturze otoczenia w granicach od  -10 do +30°C. Zalecenia dotyczące stosowania materiału w różnych temperaturach powinien przedstawić producent. </w:t>
      </w:r>
    </w:p>
    <w:p w:rsidR="00B751AC" w:rsidRPr="008E164E" w:rsidRDefault="00B751AC" w:rsidP="0097494B">
      <w:pPr>
        <w:numPr>
          <w:ilvl w:val="2"/>
          <w:numId w:val="26"/>
        </w:numPr>
        <w:suppressAutoHyphens/>
        <w:jc w:val="both"/>
        <w:outlineLvl w:val="2"/>
        <w:rPr>
          <w:snapToGrid w:val="0"/>
        </w:rPr>
      </w:pPr>
      <w:r w:rsidRPr="004F7942">
        <w:rPr>
          <w:snapToGrid w:val="0"/>
        </w:rPr>
        <w:t xml:space="preserve">Bezpośrednio przed użyciem oba składniki materiału (żywicę bazową i katalizator proszkowy) należy dokładnie wymieszać </w:t>
      </w:r>
      <w:r w:rsidRPr="008E164E">
        <w:rPr>
          <w:snapToGrid w:val="0"/>
        </w:rPr>
        <w:t xml:space="preserve">ze sobą używając mechanicznego mieszadła wolnoobrotowego, zgodnie z zaleceniami producenta. Sposób mieszania i dozowania </w:t>
      </w:r>
    </w:p>
    <w:p w:rsidR="00B751AC" w:rsidRPr="008E164E" w:rsidRDefault="00B751AC" w:rsidP="0097494B">
      <w:pPr>
        <w:numPr>
          <w:ilvl w:val="2"/>
          <w:numId w:val="26"/>
        </w:numPr>
        <w:suppressAutoHyphens/>
        <w:jc w:val="both"/>
        <w:outlineLvl w:val="2"/>
        <w:rPr>
          <w:snapToGrid w:val="0"/>
        </w:rPr>
      </w:pPr>
      <w:r w:rsidRPr="004F7942">
        <w:rPr>
          <w:snapToGrid w:val="0"/>
        </w:rPr>
        <w:t xml:space="preserve">katalizatora powinien być zgodny z zaleceniami producenta. Niezwłocznie po zmieszaniu gruntownika z katalizatorem mieszaninę </w:t>
      </w:r>
      <w:r w:rsidRPr="008E164E">
        <w:rPr>
          <w:snapToGrid w:val="0"/>
        </w:rPr>
        <w:t xml:space="preserve">należy  przenieść  w miejsce  aplikacji  i rozłożyć  równomiernie  na  podłożu.    Na  świeży  preparat  gruntujący  należy  rozsypać równomiernie drobny piasek kwarcowy 0,3 - 0,7 mm w ilości ~0,3 kg/m².  </w:t>
      </w:r>
    </w:p>
    <w:p w:rsidR="00B751AC" w:rsidRPr="008E164E" w:rsidRDefault="00B751AC" w:rsidP="0097494B">
      <w:pPr>
        <w:numPr>
          <w:ilvl w:val="2"/>
          <w:numId w:val="26"/>
        </w:numPr>
        <w:suppressAutoHyphens/>
        <w:jc w:val="both"/>
        <w:outlineLvl w:val="2"/>
        <w:rPr>
          <w:snapToGrid w:val="0"/>
        </w:rPr>
      </w:pPr>
      <w:r w:rsidRPr="004F7942">
        <w:rPr>
          <w:snapToGrid w:val="0"/>
        </w:rPr>
        <w:t xml:space="preserve">Dwuskładnikowy,  szybko  twardniejący  środek  gruntujący  na  bazie  metakrylanu  można  układać  na  podłożu  betonowym </w:t>
      </w:r>
      <w:r w:rsidRPr="008E164E">
        <w:rPr>
          <w:snapToGrid w:val="0"/>
        </w:rPr>
        <w:t xml:space="preserve">przy  użyciu  rakli  gumowej,  pędzla  lub  wałka  malarskiego.  Materiał  należy  rozprowadzić  równomiernie  cienką  warstwą  unikającpowstawania  zastoin.  w wypadku  ich  powstania,  należy  usunąć  nadmiar  materiału  lub  rozprowadzić  go  równomiernie  po powierzchni. Nie należy stosować materiału do gruntowania, gdy jego konsystencja zaczyna przypominać żel. Przed nałożeniem materiału  izolacyjnego  na  bazie  metakrylanu  metylu  warstwa  gruntująca  powinna  być  całkowicie  utwardzona  i sucha  w dotyku. Typowe zużycie materiału do gruntowania wynosi ok. 0,3 kg/m 2 , jednakże zależy ono każdorazowo od struktury oraz porowatości powierzchni. </w:t>
      </w:r>
    </w:p>
    <w:p w:rsidR="00B751AC" w:rsidRPr="008E164E" w:rsidRDefault="00B751AC" w:rsidP="0097494B">
      <w:pPr>
        <w:numPr>
          <w:ilvl w:val="2"/>
          <w:numId w:val="26"/>
        </w:numPr>
        <w:suppressAutoHyphens/>
        <w:jc w:val="both"/>
        <w:outlineLvl w:val="2"/>
        <w:rPr>
          <w:snapToGrid w:val="0"/>
        </w:rPr>
      </w:pPr>
      <w:r w:rsidRPr="008E164E">
        <w:rPr>
          <w:snapToGrid w:val="0"/>
        </w:rPr>
        <w:t>Wszystkie  narzędzia  oraz  sprzęt  użyty  do  wykonania  warstwy  gruntującej  należy  dokładnie  oczyścić  przy  użyciu rozpuszczalnika (np. aceton).</w:t>
      </w:r>
    </w:p>
    <w:p w:rsidR="00B751AC" w:rsidRPr="008E164E" w:rsidRDefault="00B751AC" w:rsidP="0097494B">
      <w:pPr>
        <w:numPr>
          <w:ilvl w:val="2"/>
          <w:numId w:val="26"/>
        </w:numPr>
        <w:suppressAutoHyphens/>
        <w:jc w:val="both"/>
        <w:outlineLvl w:val="2"/>
        <w:rPr>
          <w:b/>
          <w:snapToGrid w:val="0"/>
        </w:rPr>
      </w:pPr>
      <w:r w:rsidRPr="008E164E">
        <w:rPr>
          <w:b/>
          <w:snapToGrid w:val="0"/>
        </w:rPr>
        <w:t xml:space="preserve">5.5. Układanie materiału izolacyjnego. </w:t>
      </w:r>
    </w:p>
    <w:p w:rsidR="00B751AC" w:rsidRPr="008E164E" w:rsidRDefault="00B751AC" w:rsidP="0097494B">
      <w:pPr>
        <w:numPr>
          <w:ilvl w:val="2"/>
          <w:numId w:val="26"/>
        </w:numPr>
        <w:suppressAutoHyphens/>
        <w:jc w:val="both"/>
        <w:outlineLvl w:val="2"/>
        <w:rPr>
          <w:snapToGrid w:val="0"/>
        </w:rPr>
      </w:pPr>
      <w:r w:rsidRPr="008E164E">
        <w:rPr>
          <w:snapToGrid w:val="0"/>
        </w:rPr>
        <w:t>5.</w:t>
      </w:r>
      <w:r>
        <w:rPr>
          <w:snapToGrid w:val="0"/>
        </w:rPr>
        <w:t>5</w:t>
      </w:r>
      <w:r w:rsidRPr="008E164E">
        <w:rPr>
          <w:snapToGrid w:val="0"/>
        </w:rPr>
        <w:t xml:space="preserve">.1 Układanie trójskładnikowego materiału izolacyjnego na bazie metakrylanu metylu metodą natryskową </w:t>
      </w:r>
    </w:p>
    <w:p w:rsidR="00B751AC" w:rsidRPr="008E164E" w:rsidRDefault="00B751AC" w:rsidP="0097494B">
      <w:pPr>
        <w:numPr>
          <w:ilvl w:val="2"/>
          <w:numId w:val="26"/>
        </w:numPr>
        <w:suppressAutoHyphens/>
        <w:jc w:val="both"/>
        <w:outlineLvl w:val="2"/>
        <w:rPr>
          <w:snapToGrid w:val="0"/>
        </w:rPr>
      </w:pPr>
      <w:r w:rsidRPr="008E164E">
        <w:rPr>
          <w:snapToGrid w:val="0"/>
        </w:rPr>
        <w:t xml:space="preserve">Trójskładnikowy materiał izolacyjny na bazie metakrylanu metylu dostarczany jest na budowę w postaci dwóch składników żywicy  podstawowej  (A  i B)  oraz  katalizatora  proszkowego.  w zależności  od  temperatury  otoczenia  oraz  temperatury  podłoża należy użyć odpowiedniej ilości katalizatora proszkowego. </w:t>
      </w:r>
    </w:p>
    <w:p w:rsidR="00B751AC" w:rsidRPr="008E164E" w:rsidRDefault="00B751AC" w:rsidP="0097494B">
      <w:pPr>
        <w:numPr>
          <w:ilvl w:val="2"/>
          <w:numId w:val="26"/>
        </w:numPr>
        <w:suppressAutoHyphens/>
        <w:jc w:val="both"/>
        <w:outlineLvl w:val="2"/>
        <w:rPr>
          <w:snapToGrid w:val="0"/>
        </w:rPr>
      </w:pPr>
      <w:r w:rsidRPr="008E164E">
        <w:rPr>
          <w:snapToGrid w:val="0"/>
        </w:rPr>
        <w:t xml:space="preserve">Bezpośrednio  przed  użyciem  składniki  A  i B  żywicy  podstawowej  należy  wstępnie  (oddzielnie)  wymieszać  używając mechanicznego  mieszadła  wolnoobrotowego  zgodnie  z zaleceniami  producenta.  Do  wstępnego  wymieszania  składników  A  i B należy  używać  różnych  mieszadeł,  aby  uniknąć  krzyżowego  zanieczyszczenia  składników.  Sposób  mieszania  i dozowania katalizatora powinien być zgodny z zaleceniami producenta. </w:t>
      </w:r>
    </w:p>
    <w:p w:rsidR="00B751AC" w:rsidRPr="008E164E" w:rsidRDefault="00B751AC" w:rsidP="0097494B">
      <w:pPr>
        <w:numPr>
          <w:ilvl w:val="2"/>
          <w:numId w:val="26"/>
        </w:numPr>
        <w:suppressAutoHyphens/>
        <w:jc w:val="both"/>
        <w:outlineLvl w:val="2"/>
        <w:rPr>
          <w:snapToGrid w:val="0"/>
        </w:rPr>
      </w:pPr>
      <w:r w:rsidRPr="008E164E">
        <w:rPr>
          <w:snapToGrid w:val="0"/>
        </w:rPr>
        <w:t xml:space="preserve">Składniki  A  i B  powinny  być  natryskiwane  przy  użyciu  urządzenia  do  natryskiwania,  zalecanego  przez  producenta. Urządzenie to pobiera odpowiednie ilości  składników żywicy A i B oraz miesza je w końcówce mieszającej umieszczonej na końcu przewodów urządzenia. </w:t>
      </w:r>
    </w:p>
    <w:p w:rsidR="00B751AC" w:rsidRPr="008E164E" w:rsidRDefault="00B751AC" w:rsidP="0097494B">
      <w:pPr>
        <w:numPr>
          <w:ilvl w:val="2"/>
          <w:numId w:val="26"/>
        </w:numPr>
        <w:suppressAutoHyphens/>
        <w:jc w:val="both"/>
        <w:outlineLvl w:val="2"/>
        <w:rPr>
          <w:snapToGrid w:val="0"/>
        </w:rPr>
      </w:pPr>
      <w:r w:rsidRPr="008E164E">
        <w:rPr>
          <w:snapToGrid w:val="0"/>
        </w:rPr>
        <w:t xml:space="preserve">Aby  poprawnie  wykonać  izolację  przeciwwodną  należy  nałożyć  na  zagruntowane  podłoże  odpowiednią  ilość  materiału. Jeśli  ilość  materiału  naniesiona  w pierwszej  warstwie  jest  zbyt  mała  należy  ułożyć  warstwę  drugą  zgodnie  z zaleceniami producenta.  Łączna  grubość  nałożonego  materiału  musi  być  zgodna  zarówno  z wartością  podana  w systemu  jak  i wartością </w:t>
      </w:r>
      <w:r>
        <w:rPr>
          <w:snapToGrid w:val="0"/>
        </w:rPr>
        <w:t>p</w:t>
      </w:r>
      <w:r w:rsidRPr="008E164E">
        <w:rPr>
          <w:snapToGrid w:val="0"/>
        </w:rPr>
        <w:t xml:space="preserve">odaną w dokumentacji technicznej obiektu (zależnie, która wartość jest większa). Ewentualna  druga  warstwa  może  być  układana  bezpośrednio  na  pierwszej.  Przed  ułożeniem  drugiej  warstwy  należy dokonać  kontroli  pierwszej  powłoki  w celu  wyeliminowania  ewentualnych  nieciągłości  warstwy.  Czas  oczekiwania  na  ułożenie drugiej warstwy jest zależny od temperatury otoczenia i wynosi około 2 godzin. Materiał powinien być przeznaczony do stosowania w temperaturze otoczenia w granicach od -5 do +30°C. Wszystkie  narzędzia  oraz  sprzęt  użyty  do  wykonania  warstwy  izolacyjnej  należy  dokładnie  oczyścić  przy  użyciu rozpuszczalnika (np. aceton). </w:t>
      </w:r>
    </w:p>
    <w:p w:rsidR="00B751AC" w:rsidRPr="008E164E" w:rsidRDefault="00B751AC" w:rsidP="0097494B">
      <w:pPr>
        <w:numPr>
          <w:ilvl w:val="2"/>
          <w:numId w:val="26"/>
        </w:numPr>
        <w:suppressAutoHyphens/>
        <w:jc w:val="both"/>
        <w:outlineLvl w:val="2"/>
        <w:rPr>
          <w:snapToGrid w:val="0"/>
        </w:rPr>
      </w:pPr>
      <w:r w:rsidRPr="008E164E">
        <w:rPr>
          <w:snapToGrid w:val="0"/>
        </w:rPr>
        <w:t xml:space="preserve">5.6.2 Układanie dwuskładnikowego materiału izolacyjnego na bazie metakrylanu metylu metodą ręczną </w:t>
      </w:r>
    </w:p>
    <w:p w:rsidR="00B751AC" w:rsidRPr="008E164E" w:rsidRDefault="00B751AC" w:rsidP="0097494B">
      <w:pPr>
        <w:numPr>
          <w:ilvl w:val="2"/>
          <w:numId w:val="26"/>
        </w:numPr>
        <w:suppressAutoHyphens/>
        <w:jc w:val="both"/>
        <w:outlineLvl w:val="2"/>
        <w:rPr>
          <w:snapToGrid w:val="0"/>
        </w:rPr>
      </w:pPr>
      <w:r w:rsidRPr="008E164E">
        <w:rPr>
          <w:snapToGrid w:val="0"/>
        </w:rPr>
        <w:t>Dwuskładnikowy  materiał  izolacyjny  na  bazie  metakrylanu  metylu  dostarczany  jest  na  budowę  w postaci  dwóch składników: żywicy podstawowej oraz katalizatora proszkowego. w zależności od temperatury otoczenia oraz temperatury podłoża należy użyć odpowiedniej ilości katalizatora proszkowego</w:t>
      </w:r>
      <w:r>
        <w:rPr>
          <w:b/>
          <w:snapToGrid w:val="0"/>
          <w:u w:val="single"/>
        </w:rPr>
        <w:t>.</w:t>
      </w:r>
    </w:p>
    <w:p w:rsidR="00B751AC" w:rsidRPr="008E164E" w:rsidRDefault="00B751AC" w:rsidP="0097494B">
      <w:pPr>
        <w:numPr>
          <w:ilvl w:val="2"/>
          <w:numId w:val="26"/>
        </w:numPr>
        <w:suppressAutoHyphens/>
        <w:jc w:val="both"/>
        <w:outlineLvl w:val="2"/>
        <w:rPr>
          <w:snapToGrid w:val="0"/>
        </w:rPr>
      </w:pPr>
      <w:r w:rsidRPr="008E164E">
        <w:rPr>
          <w:snapToGrid w:val="0"/>
        </w:rPr>
        <w:t xml:space="preserve">Bezpośrednio  przed  użyciem  żywicę  podstawową  należy  wstępnie  wymieszać  używając  mechanicznego  mieszadła wolnoobrotowego      zgodnie      z zaleceniami      producenta.      Następnie      oba      składniki      materiału      (żywicę      bazową  i  katalizator  proszkowy)  należy  dokładnie  wymieszać  ze  sobą  używając  mechanicznego  mieszadła  wolnoobrotowego,  zgodnie z zaleceniami producenta. Sposób mieszania i dozowania katalizatora powinien być zgodny z zaleceniami producenta. </w:t>
      </w:r>
      <w:r>
        <w:rPr>
          <w:snapToGrid w:val="0"/>
        </w:rPr>
        <w:t>P</w:t>
      </w:r>
      <w:r w:rsidRPr="008E164E">
        <w:rPr>
          <w:snapToGrid w:val="0"/>
        </w:rPr>
        <w:t xml:space="preserve">o    wymieszaniu    żywicy    podstawowej    z katalizatorem    mieszaninę    należy     przenieść    w miejsce    aplikacji  i rozłożyć równomiernie na podłożu używając rakli „grubościowej”. Aby  poprawnie  wykonać  izolację  przeciwwodną  należy  nałożyć  na  zagruntowane  podłoże  odpowiednią  ilość  materiału. </w:t>
      </w:r>
    </w:p>
    <w:p w:rsidR="00B751AC" w:rsidRPr="008E164E" w:rsidRDefault="00B751AC" w:rsidP="0097494B">
      <w:pPr>
        <w:numPr>
          <w:ilvl w:val="2"/>
          <w:numId w:val="26"/>
        </w:numPr>
        <w:suppressAutoHyphens/>
        <w:jc w:val="both"/>
        <w:outlineLvl w:val="2"/>
        <w:rPr>
          <w:snapToGrid w:val="0"/>
        </w:rPr>
      </w:pPr>
      <w:r w:rsidRPr="008E164E">
        <w:rPr>
          <w:snapToGrid w:val="0"/>
        </w:rPr>
        <w:t xml:space="preserve">Jeśli  ilość  materiału  w jest  zbyt  mała  należy  niezwłocznie  nanieść  dodatkową  porcję  nieutwardzonego  materiału.  Grubość </w:t>
      </w:r>
      <w:r>
        <w:rPr>
          <w:snapToGrid w:val="0"/>
        </w:rPr>
        <w:t>n</w:t>
      </w:r>
      <w:r w:rsidRPr="008E164E">
        <w:rPr>
          <w:snapToGrid w:val="0"/>
        </w:rPr>
        <w:t>ałożonego materiału musi być zgodna zarówno z wartością podana w systemu jak i wartością pod</w:t>
      </w:r>
      <w:r>
        <w:rPr>
          <w:snapToGrid w:val="0"/>
        </w:rPr>
        <w:t xml:space="preserve">aną w dokumentacji technicznej </w:t>
      </w:r>
      <w:r w:rsidRPr="008E164E">
        <w:rPr>
          <w:snapToGrid w:val="0"/>
        </w:rPr>
        <w:t xml:space="preserve">obiektu (zależnie, która wartość jest większa). </w:t>
      </w:r>
    </w:p>
    <w:p w:rsidR="00B751AC" w:rsidRPr="008E164E" w:rsidRDefault="00B751AC" w:rsidP="0097494B">
      <w:pPr>
        <w:numPr>
          <w:ilvl w:val="2"/>
          <w:numId w:val="26"/>
        </w:numPr>
        <w:suppressAutoHyphens/>
        <w:jc w:val="both"/>
        <w:outlineLvl w:val="2"/>
        <w:rPr>
          <w:snapToGrid w:val="0"/>
        </w:rPr>
      </w:pPr>
      <w:r w:rsidRPr="008E164E">
        <w:rPr>
          <w:snapToGrid w:val="0"/>
        </w:rPr>
        <w:t xml:space="preserve">Po nałożeniu odpowiedniej ilości materiału, przed jego utwardzeniem należy go przewałkować wałkiem </w:t>
      </w:r>
      <w:r>
        <w:rPr>
          <w:snapToGrid w:val="0"/>
        </w:rPr>
        <w:t xml:space="preserve">kolczastym. </w:t>
      </w:r>
      <w:r w:rsidRPr="008E164E">
        <w:rPr>
          <w:snapToGrid w:val="0"/>
        </w:rPr>
        <w:t>Materiał powinien być przeznaczony do stosowania w temperaturze otoczen</w:t>
      </w:r>
      <w:r>
        <w:rPr>
          <w:snapToGrid w:val="0"/>
        </w:rPr>
        <w:t xml:space="preserve">ia w granicach od -5 do +30°C. </w:t>
      </w:r>
      <w:r w:rsidRPr="008E164E">
        <w:rPr>
          <w:snapToGrid w:val="0"/>
        </w:rPr>
        <w:t>Wszystkie  narzędzia  oraz  sprzęt  użyty  do  wykonania  warstwy  izolacyjnej  należy  dok</w:t>
      </w:r>
      <w:r>
        <w:rPr>
          <w:snapToGrid w:val="0"/>
        </w:rPr>
        <w:t xml:space="preserve">ładnie  oczyścić  przy  użyciu </w:t>
      </w:r>
      <w:r w:rsidRPr="008E164E">
        <w:rPr>
          <w:snapToGrid w:val="0"/>
        </w:rPr>
        <w:t xml:space="preserve">rozpuszczalnika (np. aceton). </w:t>
      </w:r>
    </w:p>
    <w:p w:rsidR="00B751AC" w:rsidRPr="008E164E" w:rsidRDefault="00B751AC" w:rsidP="0097494B">
      <w:pPr>
        <w:numPr>
          <w:ilvl w:val="2"/>
          <w:numId w:val="26"/>
        </w:numPr>
        <w:suppressAutoHyphens/>
        <w:jc w:val="both"/>
        <w:outlineLvl w:val="2"/>
        <w:rPr>
          <w:snapToGrid w:val="0"/>
        </w:rPr>
      </w:pPr>
      <w:r w:rsidRPr="008E164E">
        <w:rPr>
          <w:b/>
          <w:snapToGrid w:val="0"/>
        </w:rPr>
        <w:t>5.7. Wykonanie warstwy sczepnej z dwuskładnikowego, szybko twardniejący środka na bazie metakrylanu metylu, składającego się z żywicy podstawowej i katalizatora proszkowego</w:t>
      </w:r>
      <w:r w:rsidRPr="008E164E">
        <w:rPr>
          <w:snapToGrid w:val="0"/>
        </w:rPr>
        <w:t xml:space="preserve">. </w:t>
      </w:r>
    </w:p>
    <w:p w:rsidR="00B751AC" w:rsidRPr="008E164E" w:rsidRDefault="00B751AC" w:rsidP="0097494B">
      <w:pPr>
        <w:numPr>
          <w:ilvl w:val="2"/>
          <w:numId w:val="26"/>
        </w:numPr>
        <w:suppressAutoHyphens/>
        <w:jc w:val="both"/>
        <w:outlineLvl w:val="2"/>
        <w:rPr>
          <w:snapToGrid w:val="0"/>
        </w:rPr>
      </w:pPr>
      <w:r w:rsidRPr="008E164E">
        <w:rPr>
          <w:snapToGrid w:val="0"/>
        </w:rPr>
        <w:t xml:space="preserve">Dwuskładnikowy,  szybko  twardniejący  środek  sczepny  na  bazie  metakrylanu  metylu  jest </w:t>
      </w:r>
      <w:r>
        <w:rPr>
          <w:snapToGrid w:val="0"/>
        </w:rPr>
        <w:t xml:space="preserve"> złożony  z dwóch  składników: </w:t>
      </w:r>
      <w:r w:rsidRPr="008E164E">
        <w:rPr>
          <w:snapToGrid w:val="0"/>
        </w:rPr>
        <w:t>żywicy podstawowej oraz katalizatora proszkowego. w zależności od temperatury otoczenia oraz t</w:t>
      </w:r>
      <w:r>
        <w:rPr>
          <w:snapToGrid w:val="0"/>
        </w:rPr>
        <w:t xml:space="preserve">emperatury podłoża należy użyć </w:t>
      </w:r>
      <w:r w:rsidRPr="008E164E">
        <w:rPr>
          <w:snapToGrid w:val="0"/>
        </w:rPr>
        <w:t xml:space="preserve">odpowiedniej ilości katalizatora proszkowego. </w:t>
      </w:r>
    </w:p>
    <w:p w:rsidR="00B751AC" w:rsidRPr="008E164E" w:rsidRDefault="00B751AC" w:rsidP="0097494B">
      <w:pPr>
        <w:numPr>
          <w:ilvl w:val="2"/>
          <w:numId w:val="26"/>
        </w:numPr>
        <w:suppressAutoHyphens/>
        <w:jc w:val="both"/>
        <w:outlineLvl w:val="2"/>
        <w:rPr>
          <w:snapToGrid w:val="0"/>
        </w:rPr>
      </w:pPr>
      <w:r w:rsidRPr="008E164E">
        <w:rPr>
          <w:snapToGrid w:val="0"/>
        </w:rPr>
        <w:t>Dwuskładnikowy,  szybko  twardniejący  środek  sczepny  na  bazie  metakrylanu  metylu  p</w:t>
      </w:r>
      <w:r>
        <w:rPr>
          <w:snapToGrid w:val="0"/>
        </w:rPr>
        <w:t xml:space="preserve">owinien  być  przeznaczony  do </w:t>
      </w:r>
      <w:r w:rsidRPr="008E164E">
        <w:rPr>
          <w:snapToGrid w:val="0"/>
        </w:rPr>
        <w:t xml:space="preserve">stosowania  przy  temperaturze  otoczenia  w granicach  od  -10  do  +30°C.  Zalecenia  dotyczące  stosowania  materiału  w różnych temperaturach  powinien  przedstawić  producent.  Bezpośrednio  przed  użyciem  żywicę  podstawową  należy  wstępnie  wymieszać używając  mechanicznego  mieszadła  wolnoobrotowego  zgodnie  z zaleceniami  producenta.  Następnie  oba  składniki  materiału (żywicę   bazową   i katalizator   proszkowy)   należy   dokładnie   wymieszać   ze   sobą   używając   mechanicznego   mieszadła </w:t>
      </w:r>
    </w:p>
    <w:p w:rsidR="00B751AC" w:rsidRPr="008E164E" w:rsidRDefault="00B751AC" w:rsidP="00B751AC">
      <w:pPr>
        <w:suppressAutoHyphens/>
        <w:jc w:val="both"/>
        <w:outlineLvl w:val="2"/>
        <w:rPr>
          <w:snapToGrid w:val="0"/>
        </w:rPr>
      </w:pPr>
      <w:r w:rsidRPr="008E164E">
        <w:rPr>
          <w:snapToGrid w:val="0"/>
        </w:rPr>
        <w:t>wolnoobrotowego,   zgodnie   z zaleceniami   producenta.   Sposób   mieszania   i dozowania   kataliza</w:t>
      </w:r>
      <w:r>
        <w:rPr>
          <w:snapToGrid w:val="0"/>
        </w:rPr>
        <w:t xml:space="preserve">tora   powinien   być   zgodny </w:t>
      </w:r>
      <w:r w:rsidRPr="008E164E">
        <w:rPr>
          <w:snapToGrid w:val="0"/>
        </w:rPr>
        <w:t xml:space="preserve">z zaleceniami  producenta.  Niezwłocznie  po  zmieszaniu  żywicy  z  katalizatorem  mieszaninę  należy  przenieść  w miejsce  aplikacji i rozłożyć równomiernie na podłożu.  </w:t>
      </w:r>
    </w:p>
    <w:p w:rsidR="00B751AC" w:rsidRPr="008E164E" w:rsidRDefault="00B751AC" w:rsidP="0097494B">
      <w:pPr>
        <w:numPr>
          <w:ilvl w:val="2"/>
          <w:numId w:val="26"/>
        </w:numPr>
        <w:suppressAutoHyphens/>
        <w:jc w:val="both"/>
        <w:outlineLvl w:val="2"/>
        <w:rPr>
          <w:snapToGrid w:val="0"/>
        </w:rPr>
      </w:pPr>
      <w:r w:rsidRPr="008E164E">
        <w:rPr>
          <w:snapToGrid w:val="0"/>
        </w:rPr>
        <w:t xml:space="preserve">Mieszaninę  należy  rozprowadzić  na  powierzchni  membrany  izolacyjnej  przy  użyciu  ściągaczki  i zwałkować  tak,  aby osiągnąć równą warstwę grubości ~400 mikronów co uzyskuje się przy zużyciu materiału na poziomie 0,4 kg/m². Na nieutwardzony preparat sczepny należy rozsypać równomiernie piasek kwarcowy 0,5 – 1,0 mm w ilości ~1 kg/m².  Nie należy stosować materiału do gruntowania, gdy jego konsystencja zaczyna przypominać żel. Przed   nałożeniem   mate   warstw   nadrzędnych   warstwa   sczepna   powinna   być   całkowicie   utwardzona   i sucha  w dotyku. Wszystkie  narzędzia  oraz  sprzęt  użyty  do  wykonania  warstwy  gruntującej  należy  dokładnie  oczyścić  przy  użyciu rozpuszczalnika (np. aceton). </w:t>
      </w:r>
    </w:p>
    <w:p w:rsidR="00B751AC" w:rsidRPr="008E164E" w:rsidRDefault="00B751AC" w:rsidP="0097494B">
      <w:pPr>
        <w:numPr>
          <w:ilvl w:val="2"/>
          <w:numId w:val="26"/>
        </w:numPr>
        <w:suppressAutoHyphens/>
        <w:jc w:val="both"/>
        <w:outlineLvl w:val="2"/>
        <w:rPr>
          <w:b/>
          <w:snapToGrid w:val="0"/>
        </w:rPr>
      </w:pPr>
      <w:r w:rsidRPr="008E164E">
        <w:rPr>
          <w:b/>
          <w:snapToGrid w:val="0"/>
        </w:rPr>
        <w:t xml:space="preserve">5.8. Warunki ogólne dotyczące BHP i ochrony środowiska </w:t>
      </w:r>
    </w:p>
    <w:p w:rsidR="00B751AC" w:rsidRPr="008E164E" w:rsidRDefault="00B751AC" w:rsidP="0097494B">
      <w:pPr>
        <w:numPr>
          <w:ilvl w:val="2"/>
          <w:numId w:val="26"/>
        </w:numPr>
        <w:suppressAutoHyphens/>
        <w:jc w:val="both"/>
        <w:outlineLvl w:val="2"/>
        <w:rPr>
          <w:snapToGrid w:val="0"/>
        </w:rPr>
      </w:pPr>
      <w:r w:rsidRPr="008E164E">
        <w:rPr>
          <w:snapToGrid w:val="0"/>
        </w:rPr>
        <w:t>Warunki ogólne dotyczące BHP i ochrony środowiska podano w STWiORB DM-00.00.00 „Wymagania ogólne”.</w:t>
      </w:r>
    </w:p>
    <w:p w:rsidR="00B751AC" w:rsidRDefault="00B751AC" w:rsidP="0097494B">
      <w:pPr>
        <w:numPr>
          <w:ilvl w:val="2"/>
          <w:numId w:val="26"/>
        </w:numPr>
        <w:tabs>
          <w:tab w:val="clear" w:pos="0"/>
          <w:tab w:val="num" w:pos="720"/>
        </w:tabs>
        <w:suppressAutoHyphens/>
        <w:spacing w:before="120" w:after="120"/>
        <w:ind w:left="720" w:hanging="720"/>
        <w:jc w:val="both"/>
        <w:outlineLvl w:val="2"/>
        <w:rPr>
          <w:b/>
          <w:snapToGrid w:val="0"/>
          <w:u w:val="single"/>
        </w:rPr>
      </w:pPr>
    </w:p>
    <w:p w:rsidR="00B751AC" w:rsidRPr="006C636B" w:rsidRDefault="00B751AC" w:rsidP="0097494B">
      <w:pPr>
        <w:numPr>
          <w:ilvl w:val="2"/>
          <w:numId w:val="26"/>
        </w:numPr>
        <w:tabs>
          <w:tab w:val="clear" w:pos="0"/>
          <w:tab w:val="num" w:pos="720"/>
        </w:tabs>
        <w:suppressAutoHyphens/>
        <w:spacing w:before="120" w:after="120"/>
        <w:ind w:left="720" w:hanging="720"/>
        <w:jc w:val="both"/>
        <w:outlineLvl w:val="2"/>
        <w:rPr>
          <w:b/>
          <w:snapToGrid w:val="0"/>
          <w:u w:val="single"/>
        </w:rPr>
      </w:pPr>
      <w:r w:rsidRPr="006C636B">
        <w:rPr>
          <w:b/>
          <w:snapToGrid w:val="0"/>
          <w:u w:val="single"/>
        </w:rPr>
        <w:t>6. KONTROLA JAKOŚCI ROBÓT</w:t>
      </w:r>
    </w:p>
    <w:p w:rsidR="00B751AC" w:rsidRDefault="00B751AC" w:rsidP="00B751AC">
      <w:pPr>
        <w:pStyle w:val="Styl4"/>
      </w:pPr>
      <w:r>
        <w:t>6.1. Kontrolę jakości robót przy wykonywaniu izolacji natryskowej sprawują:</w:t>
      </w:r>
    </w:p>
    <w:p w:rsidR="00B751AC" w:rsidRDefault="00B751AC" w:rsidP="00B751AC">
      <w:pPr>
        <w:tabs>
          <w:tab w:val="left" w:pos="0"/>
          <w:tab w:val="left" w:pos="425"/>
          <w:tab w:val="left" w:pos="851"/>
          <w:tab w:val="left" w:pos="1276"/>
          <w:tab w:val="left" w:pos="1700"/>
          <w:tab w:val="left" w:pos="2126"/>
          <w:tab w:val="left" w:pos="2552"/>
          <w:tab w:val="left" w:pos="3402"/>
          <w:tab w:val="left" w:pos="6804"/>
          <w:tab w:val="left" w:pos="7655"/>
          <w:tab w:val="left" w:pos="8505"/>
        </w:tabs>
        <w:ind w:firstLine="340"/>
        <w:jc w:val="both"/>
      </w:pPr>
      <w:r>
        <w:t>- Inżynier,</w:t>
      </w:r>
    </w:p>
    <w:p w:rsidR="00B751AC" w:rsidRDefault="00B751AC" w:rsidP="00B751AC">
      <w:pPr>
        <w:tabs>
          <w:tab w:val="left" w:pos="0"/>
          <w:tab w:val="left" w:pos="425"/>
          <w:tab w:val="left" w:pos="851"/>
          <w:tab w:val="left" w:pos="1276"/>
          <w:tab w:val="left" w:pos="1700"/>
          <w:tab w:val="left" w:pos="2126"/>
          <w:tab w:val="left" w:pos="2552"/>
          <w:tab w:val="left" w:pos="3402"/>
          <w:tab w:val="left" w:pos="6804"/>
          <w:tab w:val="left" w:pos="7655"/>
          <w:tab w:val="left" w:pos="8505"/>
        </w:tabs>
        <w:ind w:firstLine="340"/>
        <w:jc w:val="both"/>
      </w:pPr>
      <w:r>
        <w:t>- Wykonawca,</w:t>
      </w:r>
    </w:p>
    <w:p w:rsidR="00B751AC" w:rsidRDefault="00B751AC" w:rsidP="00B751AC">
      <w:pPr>
        <w:tabs>
          <w:tab w:val="left" w:pos="0"/>
          <w:tab w:val="left" w:pos="425"/>
          <w:tab w:val="left" w:pos="851"/>
          <w:tab w:val="left" w:pos="1276"/>
          <w:tab w:val="left" w:pos="1700"/>
          <w:tab w:val="left" w:pos="2126"/>
          <w:tab w:val="left" w:pos="2552"/>
          <w:tab w:val="left" w:pos="3402"/>
          <w:tab w:val="left" w:pos="6804"/>
          <w:tab w:val="left" w:pos="7655"/>
          <w:tab w:val="left" w:pos="8505"/>
        </w:tabs>
        <w:ind w:firstLine="340"/>
        <w:jc w:val="both"/>
      </w:pPr>
      <w:r>
        <w:t>- służby pomocnicze, takie jak: laboratoria drogowe i ośrodki badawcze.</w:t>
      </w:r>
    </w:p>
    <w:p w:rsidR="00B751AC" w:rsidRPr="008E164E" w:rsidRDefault="00B751AC" w:rsidP="00B751AC">
      <w:pPr>
        <w:jc w:val="both"/>
        <w:rPr>
          <w:b/>
        </w:rPr>
      </w:pPr>
      <w:r w:rsidRPr="008E164E">
        <w:rPr>
          <w:b/>
        </w:rPr>
        <w:t>6.2. Zasady kontroli jakości robót:</w:t>
      </w:r>
    </w:p>
    <w:p w:rsidR="00B751AC" w:rsidRDefault="00B751AC" w:rsidP="00B751AC">
      <w:pPr>
        <w:tabs>
          <w:tab w:val="left" w:pos="0"/>
          <w:tab w:val="left" w:pos="425"/>
          <w:tab w:val="left" w:pos="851"/>
          <w:tab w:val="left" w:pos="1276"/>
          <w:tab w:val="left" w:pos="1700"/>
          <w:tab w:val="left" w:pos="2126"/>
          <w:tab w:val="left" w:pos="2552"/>
          <w:tab w:val="left" w:pos="3402"/>
          <w:tab w:val="left" w:pos="6804"/>
          <w:tab w:val="left" w:pos="7655"/>
          <w:tab w:val="left" w:pos="8505"/>
        </w:tabs>
        <w:jc w:val="both"/>
      </w:pPr>
      <w:r>
        <w:t xml:space="preserve">6.2.1 Kontrola  jakości  (w  zakresie  ujętym  w niniejszej  Specyfikacji  oraz  zatwierdzonym  Planie  Zapewnienia  Jakości)dotyczy:   </w:t>
      </w:r>
    </w:p>
    <w:p w:rsidR="00B751AC" w:rsidRDefault="00B751AC" w:rsidP="00B751AC">
      <w:pPr>
        <w:tabs>
          <w:tab w:val="left" w:pos="0"/>
          <w:tab w:val="left" w:pos="425"/>
          <w:tab w:val="left" w:pos="851"/>
          <w:tab w:val="left" w:pos="1276"/>
          <w:tab w:val="left" w:pos="1700"/>
          <w:tab w:val="left" w:pos="2126"/>
          <w:tab w:val="left" w:pos="2552"/>
          <w:tab w:val="left" w:pos="3402"/>
          <w:tab w:val="left" w:pos="6804"/>
          <w:tab w:val="left" w:pos="7655"/>
          <w:tab w:val="left" w:pos="8505"/>
        </w:tabs>
        <w:jc w:val="both"/>
      </w:pPr>
      <w:r>
        <w:t xml:space="preserve">a)  jakości podłoża betonowego </w:t>
      </w:r>
    </w:p>
    <w:p w:rsidR="00B751AC" w:rsidRDefault="00B751AC" w:rsidP="00B751AC">
      <w:pPr>
        <w:tabs>
          <w:tab w:val="left" w:pos="0"/>
          <w:tab w:val="left" w:pos="425"/>
          <w:tab w:val="left" w:pos="851"/>
          <w:tab w:val="left" w:pos="1276"/>
          <w:tab w:val="left" w:pos="1700"/>
          <w:tab w:val="left" w:pos="2126"/>
          <w:tab w:val="left" w:pos="2552"/>
          <w:tab w:val="left" w:pos="3402"/>
          <w:tab w:val="left" w:pos="6804"/>
          <w:tab w:val="left" w:pos="7655"/>
          <w:tab w:val="left" w:pos="8505"/>
        </w:tabs>
        <w:jc w:val="both"/>
      </w:pPr>
      <w:r>
        <w:t xml:space="preserve">b)  jakości materiałów hydroizolacyjnych wg certyfikatu </w:t>
      </w:r>
    </w:p>
    <w:p w:rsidR="00B751AC" w:rsidRDefault="00B751AC" w:rsidP="00B751AC">
      <w:pPr>
        <w:tabs>
          <w:tab w:val="left" w:pos="0"/>
          <w:tab w:val="left" w:pos="425"/>
          <w:tab w:val="left" w:pos="851"/>
          <w:tab w:val="left" w:pos="1276"/>
          <w:tab w:val="left" w:pos="1700"/>
          <w:tab w:val="left" w:pos="2126"/>
          <w:tab w:val="left" w:pos="2552"/>
          <w:tab w:val="left" w:pos="3402"/>
          <w:tab w:val="left" w:pos="6804"/>
          <w:tab w:val="left" w:pos="7655"/>
          <w:tab w:val="left" w:pos="8505"/>
        </w:tabs>
        <w:jc w:val="both"/>
      </w:pPr>
      <w:r>
        <w:t xml:space="preserve">Należy      również      sprawdzić      zgodność      rzeczywistych      warunków      wykonania      robót      hydroizolacyjnychz  warunkami określonymi  w Specyfikacji  Technicznej oraz  zatwierdzonym  Planem Zapewnienie  Jakości i potwierdzić  je  w formie wpisu    do    dziennika    budowy.    Przy    każdym    odbiorze    robót    ulegających    zakryciu    należy    stwierdzić    ich    jakość  w formie protokołów odbioru robót lub wpisów do dziennika budowy. </w:t>
      </w:r>
    </w:p>
    <w:p w:rsidR="00B751AC" w:rsidRPr="009B2A11" w:rsidRDefault="00B751AC" w:rsidP="00B751AC">
      <w:pPr>
        <w:tabs>
          <w:tab w:val="left" w:pos="0"/>
          <w:tab w:val="left" w:pos="425"/>
          <w:tab w:val="left" w:pos="851"/>
          <w:tab w:val="left" w:pos="1276"/>
          <w:tab w:val="left" w:pos="1700"/>
          <w:tab w:val="left" w:pos="2126"/>
          <w:tab w:val="left" w:pos="2552"/>
          <w:tab w:val="left" w:pos="3402"/>
          <w:tab w:val="left" w:pos="6804"/>
          <w:tab w:val="left" w:pos="7655"/>
          <w:tab w:val="left" w:pos="8505"/>
        </w:tabs>
        <w:jc w:val="both"/>
        <w:rPr>
          <w:b/>
        </w:rPr>
      </w:pPr>
      <w:r w:rsidRPr="009B2A11">
        <w:rPr>
          <w:b/>
        </w:rPr>
        <w:t xml:space="preserve">6.3. Odbiory międzyoperacyjne </w:t>
      </w:r>
    </w:p>
    <w:p w:rsidR="00B751AC" w:rsidRDefault="00B751AC" w:rsidP="00B751AC">
      <w:pPr>
        <w:tabs>
          <w:tab w:val="left" w:pos="0"/>
          <w:tab w:val="left" w:pos="425"/>
          <w:tab w:val="left" w:pos="851"/>
          <w:tab w:val="left" w:pos="1276"/>
          <w:tab w:val="left" w:pos="1700"/>
          <w:tab w:val="left" w:pos="2126"/>
          <w:tab w:val="left" w:pos="2552"/>
          <w:tab w:val="left" w:pos="3402"/>
          <w:tab w:val="left" w:pos="6804"/>
          <w:tab w:val="left" w:pos="7655"/>
          <w:tab w:val="left" w:pos="8505"/>
        </w:tabs>
        <w:jc w:val="both"/>
      </w:pPr>
      <w:r>
        <w:t xml:space="preserve">Odbiorom międzyoperacyjnym podlegają następujące prace: </w:t>
      </w:r>
    </w:p>
    <w:p w:rsidR="00B751AC" w:rsidRDefault="00B751AC" w:rsidP="00B751AC">
      <w:pPr>
        <w:tabs>
          <w:tab w:val="left" w:pos="0"/>
          <w:tab w:val="left" w:pos="425"/>
          <w:tab w:val="left" w:pos="851"/>
          <w:tab w:val="left" w:pos="1276"/>
          <w:tab w:val="left" w:pos="1700"/>
          <w:tab w:val="left" w:pos="2126"/>
          <w:tab w:val="left" w:pos="2552"/>
          <w:tab w:val="left" w:pos="3402"/>
          <w:tab w:val="left" w:pos="6804"/>
          <w:tab w:val="left" w:pos="7655"/>
          <w:tab w:val="left" w:pos="8505"/>
        </w:tabs>
        <w:jc w:val="both"/>
      </w:pPr>
      <w:r>
        <w:t xml:space="preserve">-     Przygotowanie podłoża: </w:t>
      </w:r>
    </w:p>
    <w:p w:rsidR="00B751AC" w:rsidRDefault="00B751AC" w:rsidP="00B751AC">
      <w:pPr>
        <w:tabs>
          <w:tab w:val="left" w:pos="0"/>
          <w:tab w:val="left" w:pos="425"/>
          <w:tab w:val="left" w:pos="851"/>
          <w:tab w:val="left" w:pos="1276"/>
          <w:tab w:val="left" w:pos="1700"/>
          <w:tab w:val="left" w:pos="2126"/>
          <w:tab w:val="left" w:pos="2552"/>
          <w:tab w:val="left" w:pos="3402"/>
          <w:tab w:val="left" w:pos="6804"/>
          <w:tab w:val="left" w:pos="7655"/>
          <w:tab w:val="left" w:pos="8505"/>
        </w:tabs>
        <w:jc w:val="both"/>
      </w:pPr>
      <w:r>
        <w:rPr>
          <w:rFonts w:ascii="MS Mincho" w:eastAsia="MS Mincho" w:hAnsi="MS Mincho" w:cs="MS Mincho" w:hint="eastAsia"/>
        </w:rPr>
        <w:t>➢</w:t>
      </w:r>
      <w:r>
        <w:t xml:space="preserve">    Sprawdzenie  wytrzymałości podłoża za pomocą  metody  “pull-off”;  wytrzymałość podłoża  betonowego,  powinna wynosić co najmniej 1,5 MPa, </w:t>
      </w:r>
    </w:p>
    <w:p w:rsidR="00B751AC" w:rsidRDefault="00B751AC" w:rsidP="00B751AC">
      <w:pPr>
        <w:tabs>
          <w:tab w:val="left" w:pos="0"/>
          <w:tab w:val="left" w:pos="425"/>
          <w:tab w:val="left" w:pos="851"/>
          <w:tab w:val="left" w:pos="1276"/>
          <w:tab w:val="left" w:pos="1700"/>
          <w:tab w:val="left" w:pos="2126"/>
          <w:tab w:val="left" w:pos="2552"/>
          <w:tab w:val="left" w:pos="3402"/>
          <w:tab w:val="left" w:pos="6804"/>
          <w:tab w:val="left" w:pos="7655"/>
          <w:tab w:val="left" w:pos="8505"/>
        </w:tabs>
        <w:jc w:val="both"/>
      </w:pPr>
      <w:r>
        <w:rPr>
          <w:rFonts w:ascii="MS Mincho" w:eastAsia="MS Mincho" w:hAnsi="MS Mincho" w:cs="MS Mincho" w:hint="eastAsia"/>
        </w:rPr>
        <w:t>➢</w:t>
      </w:r>
      <w:r>
        <w:t xml:space="preserve">    Sprawdzenie równości podłoża - lokalne nierówności i zagłębienia powierzchni betonu nie powinny przekraczać  5 mm, </w:t>
      </w:r>
    </w:p>
    <w:p w:rsidR="00B751AC" w:rsidRDefault="00B751AC" w:rsidP="00B751AC">
      <w:pPr>
        <w:tabs>
          <w:tab w:val="left" w:pos="0"/>
          <w:tab w:val="left" w:pos="425"/>
          <w:tab w:val="left" w:pos="851"/>
          <w:tab w:val="left" w:pos="1276"/>
          <w:tab w:val="left" w:pos="1700"/>
          <w:tab w:val="left" w:pos="2126"/>
          <w:tab w:val="left" w:pos="2552"/>
          <w:tab w:val="left" w:pos="3402"/>
          <w:tab w:val="left" w:pos="6804"/>
          <w:tab w:val="left" w:pos="7655"/>
          <w:tab w:val="left" w:pos="8505"/>
        </w:tabs>
        <w:jc w:val="both"/>
      </w:pPr>
      <w:r>
        <w:rPr>
          <w:rFonts w:ascii="MS Mincho" w:eastAsia="MS Mincho" w:hAnsi="MS Mincho" w:cs="MS Mincho" w:hint="eastAsia"/>
        </w:rPr>
        <w:t>➢</w:t>
      </w:r>
      <w:r>
        <w:t xml:space="preserve">    Zabezpieczenie wszystkich elementów wyposażenia obiektu inżynierskiego przed ich zanieczyszczeniem </w:t>
      </w:r>
    </w:p>
    <w:p w:rsidR="00B751AC" w:rsidRDefault="00B751AC" w:rsidP="00B751AC">
      <w:pPr>
        <w:tabs>
          <w:tab w:val="left" w:pos="0"/>
          <w:tab w:val="left" w:pos="425"/>
          <w:tab w:val="left" w:pos="851"/>
          <w:tab w:val="left" w:pos="1276"/>
          <w:tab w:val="left" w:pos="1700"/>
          <w:tab w:val="left" w:pos="2126"/>
          <w:tab w:val="left" w:pos="2552"/>
          <w:tab w:val="left" w:pos="3402"/>
          <w:tab w:val="left" w:pos="6804"/>
          <w:tab w:val="left" w:pos="7655"/>
          <w:tab w:val="left" w:pos="8505"/>
        </w:tabs>
        <w:jc w:val="both"/>
      </w:pPr>
      <w:r>
        <w:t xml:space="preserve">-     Zagruntowanie Podłoża. </w:t>
      </w:r>
    </w:p>
    <w:p w:rsidR="00B751AC" w:rsidRDefault="00B751AC" w:rsidP="00B751AC">
      <w:pPr>
        <w:tabs>
          <w:tab w:val="left" w:pos="0"/>
          <w:tab w:val="left" w:pos="425"/>
          <w:tab w:val="left" w:pos="851"/>
          <w:tab w:val="left" w:pos="1276"/>
          <w:tab w:val="left" w:pos="1700"/>
          <w:tab w:val="left" w:pos="2126"/>
          <w:tab w:val="left" w:pos="2552"/>
          <w:tab w:val="left" w:pos="3402"/>
          <w:tab w:val="left" w:pos="6804"/>
          <w:tab w:val="left" w:pos="7655"/>
          <w:tab w:val="left" w:pos="8505"/>
        </w:tabs>
        <w:jc w:val="both"/>
      </w:pPr>
      <w:r>
        <w:t xml:space="preserve">-     Wykonanie warstwy izolacyjnej z materiału izolacyjnego na bazie metakrylanu metylu. </w:t>
      </w:r>
    </w:p>
    <w:p w:rsidR="00B751AC" w:rsidRDefault="00B751AC" w:rsidP="00B751AC">
      <w:pPr>
        <w:tabs>
          <w:tab w:val="left" w:pos="0"/>
          <w:tab w:val="left" w:pos="425"/>
          <w:tab w:val="left" w:pos="851"/>
          <w:tab w:val="left" w:pos="1276"/>
          <w:tab w:val="left" w:pos="1700"/>
          <w:tab w:val="left" w:pos="2126"/>
          <w:tab w:val="left" w:pos="2552"/>
          <w:tab w:val="left" w:pos="3402"/>
          <w:tab w:val="left" w:pos="6804"/>
          <w:tab w:val="left" w:pos="7655"/>
          <w:tab w:val="left" w:pos="8505"/>
        </w:tabs>
        <w:jc w:val="both"/>
      </w:pPr>
      <w:r>
        <w:t xml:space="preserve">-     Przeprowadzenie  badań  metodą  “pull-off”  wytrzymałości  na  odrywanie  od  podłoża  ułożonych  dwóch  warstw izolacyjnych  po  utwardzeniu  i porównanie  wyników  z zapisami  ujętymi  w zatwierdzonym  Planie  Zapewnienia Jakości. </w:t>
      </w:r>
    </w:p>
    <w:p w:rsidR="00B751AC" w:rsidRPr="009B2A11" w:rsidRDefault="00B751AC" w:rsidP="00B751AC">
      <w:pPr>
        <w:tabs>
          <w:tab w:val="left" w:pos="0"/>
          <w:tab w:val="left" w:pos="425"/>
          <w:tab w:val="left" w:pos="851"/>
          <w:tab w:val="left" w:pos="1276"/>
          <w:tab w:val="left" w:pos="1700"/>
          <w:tab w:val="left" w:pos="2126"/>
          <w:tab w:val="left" w:pos="2552"/>
          <w:tab w:val="left" w:pos="3402"/>
          <w:tab w:val="left" w:pos="6804"/>
          <w:tab w:val="left" w:pos="7655"/>
          <w:tab w:val="left" w:pos="8505"/>
        </w:tabs>
        <w:jc w:val="both"/>
      </w:pPr>
      <w:r>
        <w:t>-     Wykonanie warstwy sczepnej.</w:t>
      </w:r>
    </w:p>
    <w:p w:rsidR="00B751AC" w:rsidRPr="00613905" w:rsidRDefault="00B751AC" w:rsidP="0097494B">
      <w:pPr>
        <w:numPr>
          <w:ilvl w:val="2"/>
          <w:numId w:val="26"/>
        </w:numPr>
        <w:tabs>
          <w:tab w:val="clear" w:pos="0"/>
          <w:tab w:val="num" w:pos="720"/>
        </w:tabs>
        <w:suppressAutoHyphens/>
        <w:spacing w:before="120" w:after="120"/>
        <w:ind w:left="720" w:hanging="720"/>
        <w:jc w:val="both"/>
        <w:outlineLvl w:val="2"/>
        <w:rPr>
          <w:b/>
          <w:snapToGrid w:val="0"/>
          <w:u w:val="single"/>
        </w:rPr>
      </w:pPr>
      <w:r w:rsidRPr="006C636B">
        <w:rPr>
          <w:b/>
          <w:snapToGrid w:val="0"/>
          <w:u w:val="single"/>
        </w:rPr>
        <w:t>7. OBMIAR</w:t>
      </w:r>
    </w:p>
    <w:p w:rsidR="00B751AC" w:rsidRPr="009B2A11" w:rsidRDefault="00B751AC" w:rsidP="00B751AC">
      <w:pPr>
        <w:spacing w:before="120" w:after="120"/>
        <w:jc w:val="both"/>
      </w:pPr>
      <w:r w:rsidRPr="00613905">
        <w:t xml:space="preserve">Jednostką obmiaru jest 1 </w:t>
      </w:r>
      <w:r>
        <w:t xml:space="preserve">m2 zaizolowanej betonowej powierzchni </w:t>
      </w:r>
    </w:p>
    <w:p w:rsidR="00B751AC" w:rsidRPr="006C636B" w:rsidRDefault="00B751AC" w:rsidP="0097494B">
      <w:pPr>
        <w:numPr>
          <w:ilvl w:val="2"/>
          <w:numId w:val="26"/>
        </w:numPr>
        <w:tabs>
          <w:tab w:val="clear" w:pos="0"/>
          <w:tab w:val="num" w:pos="720"/>
        </w:tabs>
        <w:suppressAutoHyphens/>
        <w:spacing w:before="120" w:after="120"/>
        <w:ind w:left="720" w:hanging="720"/>
        <w:jc w:val="both"/>
        <w:outlineLvl w:val="2"/>
        <w:rPr>
          <w:b/>
          <w:snapToGrid w:val="0"/>
          <w:u w:val="single"/>
        </w:rPr>
      </w:pPr>
      <w:r w:rsidRPr="006C636B">
        <w:rPr>
          <w:b/>
          <w:snapToGrid w:val="0"/>
          <w:u w:val="single"/>
        </w:rPr>
        <w:t>8. ODBIÓR ROBÓT</w:t>
      </w:r>
    </w:p>
    <w:p w:rsidR="00B751AC" w:rsidRDefault="00B751AC" w:rsidP="00B751AC">
      <w:pPr>
        <w:jc w:val="both"/>
      </w:pPr>
      <w:r>
        <w:t>Odbiorom robót podlegają wszystkie operacje związane z wykonaniem izolacji:</w:t>
      </w:r>
    </w:p>
    <w:p w:rsidR="00B751AC" w:rsidRDefault="00B751AC" w:rsidP="0097494B">
      <w:pPr>
        <w:numPr>
          <w:ilvl w:val="0"/>
          <w:numId w:val="63"/>
        </w:numPr>
        <w:jc w:val="both"/>
      </w:pPr>
      <w:r>
        <w:t>przygotowanie powierzchni do ułożenia izolacji,</w:t>
      </w:r>
    </w:p>
    <w:p w:rsidR="00B751AC" w:rsidRDefault="00B751AC" w:rsidP="0097494B">
      <w:pPr>
        <w:numPr>
          <w:ilvl w:val="0"/>
          <w:numId w:val="63"/>
        </w:numPr>
        <w:jc w:val="both"/>
      </w:pPr>
      <w:r>
        <w:t>zagruntowanie podłoża,</w:t>
      </w:r>
    </w:p>
    <w:p w:rsidR="00B751AC" w:rsidRDefault="00B751AC" w:rsidP="0097494B">
      <w:pPr>
        <w:numPr>
          <w:ilvl w:val="0"/>
          <w:numId w:val="63"/>
        </w:numPr>
        <w:jc w:val="both"/>
      </w:pPr>
      <w:r>
        <w:t>wykonanie warstw  izolacji,</w:t>
      </w:r>
    </w:p>
    <w:p w:rsidR="00B751AC" w:rsidRPr="00B46010" w:rsidRDefault="00B751AC" w:rsidP="00B751AC">
      <w:pPr>
        <w:jc w:val="both"/>
      </w:pPr>
    </w:p>
    <w:p w:rsidR="00B751AC" w:rsidRPr="00B46010" w:rsidRDefault="00B751AC" w:rsidP="0097494B">
      <w:pPr>
        <w:numPr>
          <w:ilvl w:val="2"/>
          <w:numId w:val="26"/>
        </w:numPr>
        <w:tabs>
          <w:tab w:val="clear" w:pos="0"/>
          <w:tab w:val="num" w:pos="720"/>
        </w:tabs>
        <w:suppressAutoHyphens/>
        <w:spacing w:before="120" w:after="120"/>
        <w:ind w:left="720" w:hanging="720"/>
        <w:jc w:val="both"/>
        <w:outlineLvl w:val="2"/>
        <w:rPr>
          <w:b/>
          <w:snapToGrid w:val="0"/>
          <w:u w:val="single"/>
        </w:rPr>
      </w:pPr>
      <w:r w:rsidRPr="006C636B">
        <w:rPr>
          <w:b/>
          <w:snapToGrid w:val="0"/>
          <w:u w:val="single"/>
        </w:rPr>
        <w:t>9. PŁATNOŚĆ</w:t>
      </w:r>
    </w:p>
    <w:p w:rsidR="00B751AC" w:rsidRDefault="00B751AC" w:rsidP="00B751AC">
      <w:pPr>
        <w:jc w:val="both"/>
      </w:pPr>
      <w:r>
        <w:t>Płatność za 1m</w:t>
      </w:r>
      <w:r>
        <w:rPr>
          <w:vertAlign w:val="superscript"/>
        </w:rPr>
        <w:t>2</w:t>
      </w:r>
      <w:r>
        <w:t xml:space="preserve"> wykonanej izolacji betonowej powierzchni zgodnie z Dokumentacją Projektową, obmiarem robót oraz oceną jakości wykonanych robót.</w:t>
      </w:r>
    </w:p>
    <w:p w:rsidR="00B751AC" w:rsidRDefault="00B751AC" w:rsidP="00B751AC">
      <w:pPr>
        <w:jc w:val="both"/>
      </w:pPr>
      <w:r>
        <w:t>Cena wykonania robót obejmuje:</w:t>
      </w:r>
    </w:p>
    <w:p w:rsidR="00B751AC" w:rsidRDefault="00B751AC" w:rsidP="0097494B">
      <w:pPr>
        <w:numPr>
          <w:ilvl w:val="0"/>
          <w:numId w:val="64"/>
        </w:numPr>
        <w:jc w:val="both"/>
      </w:pPr>
      <w:r>
        <w:t>prace przygotowawcze i pomiarowe,</w:t>
      </w:r>
    </w:p>
    <w:p w:rsidR="00B751AC" w:rsidRDefault="00B751AC" w:rsidP="0097494B">
      <w:pPr>
        <w:numPr>
          <w:ilvl w:val="0"/>
          <w:numId w:val="64"/>
        </w:numPr>
        <w:jc w:val="both"/>
      </w:pPr>
      <w:r>
        <w:t>zakup materiałów,</w:t>
      </w:r>
    </w:p>
    <w:p w:rsidR="00B751AC" w:rsidRDefault="00B751AC" w:rsidP="0097494B">
      <w:pPr>
        <w:numPr>
          <w:ilvl w:val="0"/>
          <w:numId w:val="64"/>
        </w:numPr>
        <w:jc w:val="both"/>
      </w:pPr>
      <w:r>
        <w:t>zakup i dostarczenie materiałów do miejsca wbudowania,</w:t>
      </w:r>
    </w:p>
    <w:p w:rsidR="00B751AC" w:rsidRDefault="00B751AC" w:rsidP="0097494B">
      <w:pPr>
        <w:numPr>
          <w:ilvl w:val="0"/>
          <w:numId w:val="64"/>
        </w:numPr>
        <w:jc w:val="both"/>
      </w:pPr>
      <w:r>
        <w:t>oczyszczenie i przygotowanie powierzchni przed izolowaniem,</w:t>
      </w:r>
    </w:p>
    <w:p w:rsidR="00B751AC" w:rsidRDefault="00B751AC" w:rsidP="0097494B">
      <w:pPr>
        <w:numPr>
          <w:ilvl w:val="0"/>
          <w:numId w:val="64"/>
        </w:numPr>
        <w:jc w:val="both"/>
      </w:pPr>
      <w:r>
        <w:t xml:space="preserve">ułożenie  materiału  izolacyjnego  na  bazie  metakrylanu  metylu  metodą  natrysku  lub  metodą  ręczną  (zależnie  od  metody użytej na niniejszym kontrakcie) </w:t>
      </w:r>
    </w:p>
    <w:p w:rsidR="00B751AC" w:rsidRDefault="00B751AC" w:rsidP="0097494B">
      <w:pPr>
        <w:numPr>
          <w:ilvl w:val="0"/>
          <w:numId w:val="64"/>
        </w:numPr>
        <w:jc w:val="both"/>
      </w:pPr>
      <w:r>
        <w:t>ułożenie warstwy sczepnej</w:t>
      </w:r>
    </w:p>
    <w:p w:rsidR="00B751AC" w:rsidRDefault="00B751AC" w:rsidP="0097494B">
      <w:pPr>
        <w:numPr>
          <w:ilvl w:val="0"/>
          <w:numId w:val="64"/>
        </w:numPr>
        <w:jc w:val="both"/>
      </w:pPr>
      <w:r>
        <w:t xml:space="preserve">przeprowadzenie badań przewidzianych w niniejszej specyfikacji oraz Planie Zapewnienia Jakości </w:t>
      </w:r>
    </w:p>
    <w:p w:rsidR="00B751AC" w:rsidRDefault="00B751AC" w:rsidP="0097494B">
      <w:pPr>
        <w:numPr>
          <w:ilvl w:val="0"/>
          <w:numId w:val="64"/>
        </w:numPr>
        <w:jc w:val="both"/>
      </w:pPr>
      <w:r>
        <w:t xml:space="preserve">zabezpieczenie      robót      przed      szkodliwym      oddziaływaniem      robót      na      środowisko,      osoby      postronne  i przejeżdżające pojazdy, </w:t>
      </w:r>
    </w:p>
    <w:p w:rsidR="00B751AC" w:rsidRDefault="00B751AC" w:rsidP="0097494B">
      <w:pPr>
        <w:numPr>
          <w:ilvl w:val="0"/>
          <w:numId w:val="64"/>
        </w:numPr>
        <w:jc w:val="both"/>
      </w:pPr>
      <w:r>
        <w:t xml:space="preserve">usunięcie zużytych opakowań oraz uporządkowanie terenu robót. </w:t>
      </w:r>
    </w:p>
    <w:p w:rsidR="00B751AC" w:rsidRDefault="00B751AC" w:rsidP="0097494B">
      <w:pPr>
        <w:numPr>
          <w:ilvl w:val="0"/>
          <w:numId w:val="64"/>
        </w:numPr>
        <w:jc w:val="both"/>
      </w:pPr>
      <w:r>
        <w:t>wykonanie badań wg niniejszej  STWiORB. uporządkowanie miejsca robót,</w:t>
      </w:r>
    </w:p>
    <w:p w:rsidR="00B751AC" w:rsidRDefault="00B751AC" w:rsidP="0097494B">
      <w:pPr>
        <w:numPr>
          <w:ilvl w:val="0"/>
          <w:numId w:val="64"/>
        </w:numPr>
        <w:contextualSpacing/>
        <w:jc w:val="both"/>
      </w:pPr>
      <w:r>
        <w:t>wszystkie prace towarzyszące</w:t>
      </w:r>
    </w:p>
    <w:p w:rsidR="00B751AC" w:rsidRDefault="00B751AC" w:rsidP="0097494B">
      <w:pPr>
        <w:numPr>
          <w:ilvl w:val="0"/>
          <w:numId w:val="64"/>
        </w:numPr>
        <w:jc w:val="both"/>
      </w:pPr>
      <w:r>
        <w:t>wykonanie badań i pomiarów wymaganych w ST.</w:t>
      </w:r>
    </w:p>
    <w:p w:rsidR="00B751AC" w:rsidRPr="006C636B" w:rsidRDefault="00B751AC" w:rsidP="00B751AC">
      <w:pPr>
        <w:contextualSpacing/>
        <w:jc w:val="both"/>
      </w:pPr>
    </w:p>
    <w:p w:rsidR="00B751AC" w:rsidRPr="006C636B" w:rsidRDefault="00B751AC" w:rsidP="0097494B">
      <w:pPr>
        <w:numPr>
          <w:ilvl w:val="2"/>
          <w:numId w:val="26"/>
        </w:numPr>
        <w:tabs>
          <w:tab w:val="clear" w:pos="0"/>
          <w:tab w:val="num" w:pos="720"/>
        </w:tabs>
        <w:suppressAutoHyphens/>
        <w:spacing w:before="120" w:after="120"/>
        <w:ind w:left="720" w:hanging="720"/>
        <w:jc w:val="both"/>
        <w:outlineLvl w:val="2"/>
        <w:rPr>
          <w:b/>
          <w:snapToGrid w:val="0"/>
          <w:u w:val="single"/>
        </w:rPr>
      </w:pPr>
      <w:r w:rsidRPr="006C636B">
        <w:rPr>
          <w:b/>
          <w:snapToGrid w:val="0"/>
          <w:u w:val="single"/>
        </w:rPr>
        <w:t>10. PRZEPISY ZWIĄZANE</w:t>
      </w:r>
    </w:p>
    <w:p w:rsidR="00AA6196" w:rsidRPr="000222D0" w:rsidRDefault="00AA6196" w:rsidP="00AA6196">
      <w:pPr>
        <w:jc w:val="both"/>
        <w:outlineLvl w:val="0"/>
        <w:rPr>
          <w:rFonts w:ascii="PL Times New Roman" w:hAnsi="PL Times New Roman"/>
          <w:b/>
          <w:snapToGrid w:val="0"/>
          <w:sz w:val="26"/>
        </w:rPr>
      </w:pPr>
      <w:bookmarkStart w:id="40" w:name="_Toc80100090"/>
      <w:r>
        <w:rPr>
          <w:rFonts w:ascii="PL Times New Roman" w:hAnsi="PL Times New Roman"/>
          <w:b/>
          <w:snapToGrid w:val="0"/>
          <w:sz w:val="26"/>
        </w:rPr>
        <w:t>M.15.04.01.</w:t>
      </w:r>
      <w:r w:rsidRPr="000222D0">
        <w:rPr>
          <w:rFonts w:ascii="PL Times New Roman" w:hAnsi="PL Times New Roman"/>
          <w:b/>
          <w:snapToGrid w:val="0"/>
          <w:sz w:val="26"/>
        </w:rPr>
        <w:tab/>
      </w:r>
      <w:r>
        <w:rPr>
          <w:rFonts w:ascii="PL Times New Roman" w:hAnsi="PL Times New Roman"/>
          <w:b/>
          <w:snapToGrid w:val="0"/>
          <w:sz w:val="26"/>
        </w:rPr>
        <w:t>NAWIERZCHNIA NA BAZIE ŻYWIC EPOKSYDOWO - POLIURETANOWYCH</w:t>
      </w:r>
      <w:bookmarkEnd w:id="40"/>
    </w:p>
    <w:p w:rsidR="00AA6196" w:rsidRPr="000222D0" w:rsidRDefault="00AA6196" w:rsidP="00AA6196">
      <w:pPr>
        <w:widowControl w:val="0"/>
        <w:spacing w:before="120" w:after="120"/>
        <w:jc w:val="both"/>
        <w:rPr>
          <w:b/>
          <w:noProof/>
          <w:snapToGrid w:val="0"/>
          <w:u w:val="single"/>
        </w:rPr>
      </w:pPr>
      <w:r w:rsidRPr="000222D0">
        <w:rPr>
          <w:b/>
          <w:noProof/>
          <w:snapToGrid w:val="0"/>
          <w:u w:val="single"/>
        </w:rPr>
        <w:t>1. WSTĘP</w:t>
      </w:r>
    </w:p>
    <w:p w:rsidR="00AA6196" w:rsidRPr="000222D0" w:rsidRDefault="00AA6196" w:rsidP="00AA6196">
      <w:pPr>
        <w:autoSpaceDE w:val="0"/>
        <w:autoSpaceDN w:val="0"/>
        <w:adjustRightInd w:val="0"/>
        <w:rPr>
          <w:b/>
          <w:bCs/>
        </w:rPr>
      </w:pPr>
      <w:r w:rsidRPr="000222D0">
        <w:rPr>
          <w:b/>
          <w:bCs/>
        </w:rPr>
        <w:t>1.1. Przedmiot SST</w:t>
      </w:r>
    </w:p>
    <w:p w:rsidR="00AA6196" w:rsidRPr="00AA6196" w:rsidRDefault="00AA6196" w:rsidP="00AA6196">
      <w:pPr>
        <w:widowControl w:val="0"/>
        <w:ind w:firstLine="709"/>
        <w:jc w:val="both"/>
        <w:rPr>
          <w:snapToGrid w:val="0"/>
        </w:rPr>
      </w:pPr>
      <w:r w:rsidRPr="00AA6196">
        <w:rPr>
          <w:snapToGrid w:val="0"/>
        </w:rPr>
        <w:t>Przedmiotem niniejszej Specyfikacji Technicznej są wymagania dotyczące wykonania i odbioru robót związanych z wykonaniem cienkowarstwowej nawierzchni chodników w ramach projektu:</w:t>
      </w:r>
      <w:r w:rsidR="00B751AC" w:rsidRPr="00B751AC">
        <w:rPr>
          <w:bCs/>
        </w:rPr>
        <w:t xml:space="preserve"> </w:t>
      </w:r>
      <w:r w:rsidR="00B751AC">
        <w:rPr>
          <w:bCs/>
        </w:rPr>
        <w:t>"Remont przepustu nad rzeką Postomia w ciągu drogi nr 445/k.2922 m. Wędrzyn."</w:t>
      </w:r>
    </w:p>
    <w:p w:rsidR="00AA6196" w:rsidRDefault="00AA6196" w:rsidP="00AA6196">
      <w:pPr>
        <w:autoSpaceDE w:val="0"/>
        <w:autoSpaceDN w:val="0"/>
        <w:adjustRightInd w:val="0"/>
      </w:pPr>
    </w:p>
    <w:p w:rsidR="00AA6196" w:rsidRPr="000222D0" w:rsidRDefault="00AA6196" w:rsidP="00AA6196">
      <w:pPr>
        <w:autoSpaceDE w:val="0"/>
        <w:autoSpaceDN w:val="0"/>
        <w:adjustRightInd w:val="0"/>
        <w:rPr>
          <w:b/>
          <w:bCs/>
        </w:rPr>
      </w:pPr>
      <w:r w:rsidRPr="000222D0">
        <w:rPr>
          <w:b/>
          <w:bCs/>
        </w:rPr>
        <w:t>1.2. Zakres stosowania SST</w:t>
      </w:r>
    </w:p>
    <w:p w:rsidR="00AA6196" w:rsidRPr="000222D0" w:rsidRDefault="00AA6196" w:rsidP="00AA6196">
      <w:pPr>
        <w:widowControl w:val="0"/>
        <w:ind w:firstLine="709"/>
        <w:jc w:val="both"/>
        <w:rPr>
          <w:snapToGrid w:val="0"/>
        </w:rPr>
      </w:pPr>
      <w:r w:rsidRPr="000222D0">
        <w:rPr>
          <w:snapToGrid w:val="0"/>
        </w:rPr>
        <w:t xml:space="preserve">Specyfikacja Techniczna jest stosowana jako dokument przetargowy i kontraktowy przy zlecaniu i realizacji robót wymienionych w punkcie 1.1. </w:t>
      </w:r>
    </w:p>
    <w:p w:rsidR="00AA6196" w:rsidRDefault="00AA6196" w:rsidP="00AA6196">
      <w:pPr>
        <w:widowControl w:val="0"/>
        <w:jc w:val="both"/>
        <w:rPr>
          <w:snapToGrid w:val="0"/>
        </w:rPr>
      </w:pPr>
    </w:p>
    <w:p w:rsidR="00AA6196" w:rsidRPr="000222D0" w:rsidRDefault="00AA6196" w:rsidP="00AA6196">
      <w:pPr>
        <w:autoSpaceDE w:val="0"/>
        <w:autoSpaceDN w:val="0"/>
        <w:adjustRightInd w:val="0"/>
        <w:rPr>
          <w:b/>
          <w:bCs/>
        </w:rPr>
      </w:pPr>
      <w:r w:rsidRPr="000222D0">
        <w:rPr>
          <w:b/>
          <w:bCs/>
        </w:rPr>
        <w:t>1.3. Zakres robót objętych SST</w:t>
      </w:r>
    </w:p>
    <w:p w:rsidR="00AA6196" w:rsidRPr="00AA6196" w:rsidRDefault="00AA6196" w:rsidP="00AA6196">
      <w:pPr>
        <w:widowControl w:val="0"/>
        <w:ind w:firstLine="709"/>
        <w:jc w:val="both"/>
        <w:rPr>
          <w:snapToGrid w:val="0"/>
        </w:rPr>
      </w:pPr>
      <w:r w:rsidRPr="00AA6196">
        <w:rPr>
          <w:snapToGrid w:val="0"/>
        </w:rPr>
        <w:t xml:space="preserve">Ustalenia zawarte w niniejszej specyfikacji dotyczą wykonania nawierzchni  grubości </w:t>
      </w:r>
      <w:smartTag w:uri="urn:schemas-microsoft-com:office:smarttags" w:element="metricconverter">
        <w:smartTagPr>
          <w:attr w:name="ProductID" w:val="5 mm"/>
        </w:smartTagPr>
        <w:r w:rsidRPr="00AA6196">
          <w:rPr>
            <w:snapToGrid w:val="0"/>
          </w:rPr>
          <w:t>5 mm</w:t>
        </w:r>
      </w:smartTag>
      <w:r w:rsidRPr="00AA6196">
        <w:rPr>
          <w:snapToGrid w:val="0"/>
        </w:rPr>
        <w:t xml:space="preserve"> z dwuskładnikowego materiału i kruszywa na chodnikach i  obejmują:</w:t>
      </w:r>
    </w:p>
    <w:p w:rsidR="00AA6196" w:rsidRPr="00AA6196" w:rsidRDefault="00AA6196" w:rsidP="00AA6196">
      <w:pPr>
        <w:widowControl w:val="0"/>
        <w:tabs>
          <w:tab w:val="num" w:pos="720"/>
        </w:tabs>
        <w:jc w:val="both"/>
        <w:rPr>
          <w:snapToGrid w:val="0"/>
        </w:rPr>
      </w:pPr>
      <w:r>
        <w:rPr>
          <w:snapToGrid w:val="0"/>
        </w:rPr>
        <w:t xml:space="preserve">- </w:t>
      </w:r>
      <w:r w:rsidRPr="00AA6196">
        <w:rPr>
          <w:snapToGrid w:val="0"/>
        </w:rPr>
        <w:t>prace pomiarowe i roboty przygotowawcze,</w:t>
      </w:r>
    </w:p>
    <w:p w:rsidR="00AA6196" w:rsidRPr="00AA6196" w:rsidRDefault="00AA6196" w:rsidP="00AA6196">
      <w:pPr>
        <w:widowControl w:val="0"/>
        <w:tabs>
          <w:tab w:val="num" w:pos="720"/>
        </w:tabs>
        <w:jc w:val="both"/>
        <w:rPr>
          <w:snapToGrid w:val="0"/>
        </w:rPr>
      </w:pPr>
      <w:r>
        <w:rPr>
          <w:snapToGrid w:val="0"/>
        </w:rPr>
        <w:t xml:space="preserve">- </w:t>
      </w:r>
      <w:r w:rsidRPr="00AA6196">
        <w:rPr>
          <w:snapToGrid w:val="0"/>
        </w:rPr>
        <w:t>oznakowanie robót,</w:t>
      </w:r>
    </w:p>
    <w:p w:rsidR="00AA6196" w:rsidRPr="00AA6196" w:rsidRDefault="00AA6196" w:rsidP="00AA6196">
      <w:pPr>
        <w:widowControl w:val="0"/>
        <w:tabs>
          <w:tab w:val="num" w:pos="720"/>
        </w:tabs>
        <w:jc w:val="both"/>
        <w:rPr>
          <w:snapToGrid w:val="0"/>
        </w:rPr>
      </w:pPr>
      <w:r>
        <w:rPr>
          <w:snapToGrid w:val="0"/>
        </w:rPr>
        <w:t xml:space="preserve">- </w:t>
      </w:r>
      <w:r w:rsidRPr="00AA6196">
        <w:rPr>
          <w:snapToGrid w:val="0"/>
        </w:rPr>
        <w:t>dostarczenie materiałów podstawowych i pomocniczych,</w:t>
      </w:r>
    </w:p>
    <w:p w:rsidR="00AA6196" w:rsidRPr="00AA6196" w:rsidRDefault="00AA6196" w:rsidP="00AA6196">
      <w:pPr>
        <w:widowControl w:val="0"/>
        <w:tabs>
          <w:tab w:val="num" w:pos="720"/>
        </w:tabs>
        <w:jc w:val="both"/>
        <w:rPr>
          <w:snapToGrid w:val="0"/>
        </w:rPr>
      </w:pPr>
      <w:r>
        <w:rPr>
          <w:snapToGrid w:val="0"/>
        </w:rPr>
        <w:t xml:space="preserve">- </w:t>
      </w:r>
      <w:r w:rsidRPr="00AA6196">
        <w:rPr>
          <w:snapToGrid w:val="0"/>
        </w:rPr>
        <w:t>zakup i transport materiału na miejsce wbudowania,</w:t>
      </w:r>
    </w:p>
    <w:p w:rsidR="00AA6196" w:rsidRPr="00AA6196" w:rsidRDefault="00AA6196" w:rsidP="00AA6196">
      <w:pPr>
        <w:widowControl w:val="0"/>
        <w:tabs>
          <w:tab w:val="num" w:pos="720"/>
        </w:tabs>
        <w:jc w:val="both"/>
        <w:rPr>
          <w:snapToGrid w:val="0"/>
        </w:rPr>
      </w:pPr>
      <w:r>
        <w:rPr>
          <w:snapToGrid w:val="0"/>
        </w:rPr>
        <w:t xml:space="preserve">- </w:t>
      </w:r>
      <w:r w:rsidRPr="00AA6196">
        <w:rPr>
          <w:snapToGrid w:val="0"/>
        </w:rPr>
        <w:t>wykonanie masy zalewowej przy krawężniku</w:t>
      </w:r>
    </w:p>
    <w:p w:rsidR="00AA6196" w:rsidRPr="00AA6196" w:rsidRDefault="00AA6196" w:rsidP="00AA6196">
      <w:pPr>
        <w:widowControl w:val="0"/>
        <w:tabs>
          <w:tab w:val="num" w:pos="720"/>
        </w:tabs>
        <w:jc w:val="both"/>
        <w:rPr>
          <w:snapToGrid w:val="0"/>
        </w:rPr>
      </w:pPr>
      <w:r>
        <w:rPr>
          <w:snapToGrid w:val="0"/>
        </w:rPr>
        <w:t xml:space="preserve">- </w:t>
      </w:r>
      <w:r w:rsidRPr="00AA6196">
        <w:rPr>
          <w:snapToGrid w:val="0"/>
        </w:rPr>
        <w:t>rozłożenie mieszanki zgodnie z założoną grubością, szerokością i profilem, z zachowaniem projektowanej niwelety,</w:t>
      </w:r>
    </w:p>
    <w:p w:rsidR="00AA6196" w:rsidRPr="00AA6196" w:rsidRDefault="00AA6196" w:rsidP="00AA6196">
      <w:pPr>
        <w:widowControl w:val="0"/>
        <w:tabs>
          <w:tab w:val="num" w:pos="720"/>
        </w:tabs>
        <w:jc w:val="both"/>
        <w:rPr>
          <w:snapToGrid w:val="0"/>
        </w:rPr>
      </w:pPr>
      <w:r>
        <w:rPr>
          <w:snapToGrid w:val="0"/>
        </w:rPr>
        <w:t xml:space="preserve">- </w:t>
      </w:r>
      <w:r w:rsidRPr="00AA6196">
        <w:rPr>
          <w:snapToGrid w:val="0"/>
        </w:rPr>
        <w:t xml:space="preserve">przeprowadzenie pomiarów i badań laboratoryjnych, </w:t>
      </w:r>
    </w:p>
    <w:p w:rsidR="00AA6196" w:rsidRPr="00AA6196" w:rsidRDefault="00AA6196" w:rsidP="00AA6196">
      <w:pPr>
        <w:widowControl w:val="0"/>
        <w:tabs>
          <w:tab w:val="num" w:pos="720"/>
        </w:tabs>
        <w:jc w:val="both"/>
        <w:rPr>
          <w:snapToGrid w:val="0"/>
        </w:rPr>
      </w:pPr>
      <w:r>
        <w:rPr>
          <w:snapToGrid w:val="0"/>
        </w:rPr>
        <w:t xml:space="preserve">- </w:t>
      </w:r>
      <w:r w:rsidRPr="00AA6196">
        <w:rPr>
          <w:snapToGrid w:val="0"/>
        </w:rPr>
        <w:t xml:space="preserve">uszczelnienie szczelin przy słupkach balustrad i barieroporęczy. </w:t>
      </w:r>
    </w:p>
    <w:p w:rsidR="00AA6196" w:rsidRDefault="00AA6196" w:rsidP="00AA6196">
      <w:pPr>
        <w:widowControl w:val="0"/>
        <w:jc w:val="both"/>
        <w:rPr>
          <w:snapToGrid w:val="0"/>
        </w:rPr>
      </w:pPr>
    </w:p>
    <w:p w:rsidR="001B00B4" w:rsidRDefault="001B00B4" w:rsidP="001B00B4">
      <w:pPr>
        <w:autoSpaceDE w:val="0"/>
        <w:autoSpaceDN w:val="0"/>
        <w:adjustRightInd w:val="0"/>
        <w:rPr>
          <w:b/>
          <w:bCs/>
        </w:rPr>
      </w:pPr>
      <w:r>
        <w:rPr>
          <w:b/>
          <w:bCs/>
        </w:rPr>
        <w:t>1.4</w:t>
      </w:r>
      <w:r w:rsidRPr="000222D0">
        <w:rPr>
          <w:b/>
          <w:bCs/>
        </w:rPr>
        <w:t xml:space="preserve">. </w:t>
      </w:r>
      <w:r>
        <w:rPr>
          <w:b/>
          <w:bCs/>
        </w:rPr>
        <w:t>Określenia podstawowe</w:t>
      </w:r>
    </w:p>
    <w:p w:rsidR="001B00B4" w:rsidRPr="001B00B4" w:rsidRDefault="001B00B4" w:rsidP="001B00B4">
      <w:pPr>
        <w:widowControl w:val="0"/>
        <w:tabs>
          <w:tab w:val="num" w:pos="720"/>
        </w:tabs>
        <w:jc w:val="both"/>
        <w:rPr>
          <w:snapToGrid w:val="0"/>
        </w:rPr>
      </w:pPr>
      <w:r>
        <w:rPr>
          <w:snapToGrid w:val="0"/>
        </w:rPr>
        <w:tab/>
      </w:r>
      <w:r w:rsidRPr="001B00B4">
        <w:rPr>
          <w:snapToGrid w:val="0"/>
        </w:rPr>
        <w:t>Określenia podane w niniejszej ST są zgodne z obowiązującymi, odpowiednimi normami i Aprobatą Techniczną</w:t>
      </w:r>
      <w:r w:rsidR="00D85CE9">
        <w:rPr>
          <w:snapToGrid w:val="0"/>
        </w:rPr>
        <w:t xml:space="preserve"> lub krajową oceną techniczną</w:t>
      </w:r>
      <w:r w:rsidRPr="001B00B4">
        <w:rPr>
          <w:snapToGrid w:val="0"/>
        </w:rPr>
        <w:t>.</w:t>
      </w:r>
    </w:p>
    <w:p w:rsidR="001B00B4" w:rsidRPr="000222D0" w:rsidRDefault="001B00B4" w:rsidP="001B00B4">
      <w:pPr>
        <w:autoSpaceDE w:val="0"/>
        <w:autoSpaceDN w:val="0"/>
        <w:adjustRightInd w:val="0"/>
        <w:rPr>
          <w:b/>
          <w:bCs/>
        </w:rPr>
      </w:pPr>
    </w:p>
    <w:p w:rsidR="00AA6196" w:rsidRDefault="001B00B4" w:rsidP="00AA6196">
      <w:pPr>
        <w:autoSpaceDE w:val="0"/>
        <w:autoSpaceDN w:val="0"/>
        <w:adjustRightInd w:val="0"/>
        <w:jc w:val="both"/>
      </w:pPr>
      <w:r>
        <w:rPr>
          <w:b/>
          <w:bCs/>
        </w:rPr>
        <w:t>1.5</w:t>
      </w:r>
      <w:r w:rsidRPr="000222D0">
        <w:rPr>
          <w:b/>
          <w:bCs/>
        </w:rPr>
        <w:t xml:space="preserve">. </w:t>
      </w:r>
      <w:r>
        <w:rPr>
          <w:b/>
          <w:bCs/>
        </w:rPr>
        <w:t>Ogólne wymagania dotyczące robót</w:t>
      </w:r>
    </w:p>
    <w:p w:rsidR="00AA6196" w:rsidRPr="00BA2E5D" w:rsidRDefault="001B00B4" w:rsidP="00BA2E5D">
      <w:pPr>
        <w:widowControl w:val="0"/>
        <w:tabs>
          <w:tab w:val="num" w:pos="720"/>
        </w:tabs>
        <w:jc w:val="both"/>
        <w:rPr>
          <w:snapToGrid w:val="0"/>
        </w:rPr>
      </w:pPr>
      <w:r>
        <w:rPr>
          <w:snapToGrid w:val="0"/>
        </w:rPr>
        <w:tab/>
      </w:r>
      <w:r w:rsidRPr="001B00B4">
        <w:rPr>
          <w:snapToGrid w:val="0"/>
        </w:rPr>
        <w:t>Wykonawca jest odpowiedzialny za jakość stosowanych materiałów i wykonywanych robót oraz za ich zgodność z dokumentacją projektową, specyfikacją techniczną oraz zaleceniami</w:t>
      </w:r>
      <w:r w:rsidR="00330D20">
        <w:t>przedstawiciel</w:t>
      </w:r>
      <w:r w:rsidR="00330D20">
        <w:rPr>
          <w:snapToGrid w:val="0"/>
        </w:rPr>
        <w:t xml:space="preserve">a </w:t>
      </w:r>
      <w:r w:rsidR="00EC6812">
        <w:rPr>
          <w:snapToGrid w:val="0"/>
        </w:rPr>
        <w:t>Zamawiającego</w:t>
      </w:r>
      <w:r w:rsidRPr="001B00B4">
        <w:rPr>
          <w:snapToGrid w:val="0"/>
        </w:rPr>
        <w:t>.</w:t>
      </w:r>
    </w:p>
    <w:p w:rsidR="00AA6196" w:rsidRDefault="00AA6196" w:rsidP="00AA6196">
      <w:pPr>
        <w:widowControl w:val="0"/>
        <w:spacing w:before="120" w:after="120"/>
        <w:jc w:val="both"/>
        <w:rPr>
          <w:b/>
          <w:noProof/>
          <w:snapToGrid w:val="0"/>
          <w:u w:val="single"/>
        </w:rPr>
      </w:pPr>
      <w:r w:rsidRPr="000222D0">
        <w:rPr>
          <w:b/>
          <w:noProof/>
          <w:snapToGrid w:val="0"/>
          <w:u w:val="single"/>
        </w:rPr>
        <w:t>2. MATERIAŁY</w:t>
      </w:r>
    </w:p>
    <w:p w:rsidR="001B00B4" w:rsidRDefault="00BA2E5D" w:rsidP="00BA2E5D">
      <w:pPr>
        <w:widowControl w:val="0"/>
        <w:tabs>
          <w:tab w:val="num" w:pos="720"/>
        </w:tabs>
        <w:jc w:val="both"/>
        <w:rPr>
          <w:snapToGrid w:val="0"/>
        </w:rPr>
      </w:pPr>
      <w:r>
        <w:rPr>
          <w:snapToGrid w:val="0"/>
        </w:rPr>
        <w:tab/>
      </w:r>
      <w:r w:rsidR="001B00B4" w:rsidRPr="00BA2E5D">
        <w:rPr>
          <w:snapToGrid w:val="0"/>
        </w:rPr>
        <w:t xml:space="preserve">Ogólne wymagania dotyczące materiałów, ich pozyskiwania i składowania, podano w D.M.00.00.00 </w:t>
      </w:r>
    </w:p>
    <w:p w:rsidR="00573E1E" w:rsidRPr="00BA2E5D" w:rsidRDefault="00573E1E" w:rsidP="00573E1E">
      <w:pPr>
        <w:widowControl w:val="0"/>
        <w:ind w:firstLine="709"/>
        <w:jc w:val="both"/>
        <w:rPr>
          <w:snapToGrid w:val="0"/>
        </w:rPr>
      </w:pPr>
      <w:r w:rsidRPr="0075125F">
        <w:rPr>
          <w:snapToGrid w:val="0"/>
        </w:rPr>
        <w:t xml:space="preserve">Przed przystąpieniem do wbudowywania materiału Wykonawca zobowiązany jest do przedstawienia przy każdej dostawie deklaracji </w:t>
      </w:r>
      <w:r w:rsidR="006335B4">
        <w:rPr>
          <w:snapToGrid w:val="0"/>
        </w:rPr>
        <w:t>właściwości</w:t>
      </w:r>
      <w:r w:rsidRPr="0075125F">
        <w:rPr>
          <w:snapToGrid w:val="0"/>
        </w:rPr>
        <w:t xml:space="preserve"> użytkowych materiału objętego normą zharmonizowaną lub europejską oceną techniczną lub europejską aprobatą techniczną, lub krajowej deklaracji </w:t>
      </w:r>
      <w:r w:rsidR="006335B4">
        <w:rPr>
          <w:snapToGrid w:val="0"/>
        </w:rPr>
        <w:t>właściwości</w:t>
      </w:r>
      <w:r w:rsidRPr="0075125F">
        <w:rPr>
          <w:snapToGrid w:val="0"/>
        </w:rPr>
        <w:t xml:space="preserve"> użytkowych dla materiału objętego Polską Normą lub krajową oceną techniczną lub aprobatą techniczną, a także kart technicznych i instrukcji użytkowania poszczególnych materiałów. Za sprawdzenie przydatności materiałów oraz jakość wbudowania odpowiada Wykonawca.</w:t>
      </w:r>
    </w:p>
    <w:p w:rsidR="00BA2E5D" w:rsidRPr="00BA2E5D" w:rsidRDefault="00BA2E5D" w:rsidP="00BA2E5D">
      <w:pPr>
        <w:widowControl w:val="0"/>
        <w:tabs>
          <w:tab w:val="num" w:pos="720"/>
        </w:tabs>
        <w:jc w:val="both"/>
        <w:rPr>
          <w:snapToGrid w:val="0"/>
        </w:rPr>
      </w:pPr>
      <w:r w:rsidRPr="00BA2E5D">
        <w:rPr>
          <w:snapToGrid w:val="0"/>
        </w:rPr>
        <w:t>Materiałami stosowanymi do wykonania robót według zasad niniejszej ST są:</w:t>
      </w:r>
    </w:p>
    <w:p w:rsidR="00BA2E5D" w:rsidRPr="00BA2E5D" w:rsidRDefault="00BA2E5D" w:rsidP="00BA2E5D">
      <w:pPr>
        <w:widowControl w:val="0"/>
        <w:tabs>
          <w:tab w:val="num" w:pos="720"/>
        </w:tabs>
        <w:jc w:val="both"/>
        <w:rPr>
          <w:snapToGrid w:val="0"/>
        </w:rPr>
      </w:pPr>
      <w:r>
        <w:rPr>
          <w:snapToGrid w:val="0"/>
        </w:rPr>
        <w:tab/>
      </w:r>
      <w:r w:rsidRPr="00BA2E5D">
        <w:rPr>
          <w:snapToGrid w:val="0"/>
        </w:rPr>
        <w:t>Dla warstwy nawierzchni masa dwuskładnikowa, bezrozpuszczalnikowa, pigmentowana oparta na żywicach epoksydowo-poliuretanowych zawierających naturalne utwardzacze oraz nie zawierająca plastyfikatorów, smoły powęglowej i bitumów.</w:t>
      </w:r>
    </w:p>
    <w:p w:rsidR="00BA2E5D" w:rsidRPr="00BA2E5D" w:rsidRDefault="00BA2E5D" w:rsidP="00BA2E5D">
      <w:pPr>
        <w:widowControl w:val="0"/>
        <w:tabs>
          <w:tab w:val="num" w:pos="720"/>
        </w:tabs>
        <w:jc w:val="both"/>
        <w:rPr>
          <w:snapToGrid w:val="0"/>
        </w:rPr>
      </w:pPr>
      <w:r w:rsidRPr="00BA2E5D">
        <w:rPr>
          <w:snapToGrid w:val="0"/>
        </w:rPr>
        <w:t>Charakterystyka:</w:t>
      </w:r>
    </w:p>
    <w:p w:rsidR="00BA2E5D" w:rsidRPr="00BA2E5D" w:rsidRDefault="00BA2E5D" w:rsidP="00BA2E5D">
      <w:pPr>
        <w:widowControl w:val="0"/>
        <w:tabs>
          <w:tab w:val="num" w:pos="720"/>
        </w:tabs>
        <w:jc w:val="both"/>
        <w:rPr>
          <w:snapToGrid w:val="0"/>
        </w:rPr>
      </w:pPr>
      <w:r>
        <w:rPr>
          <w:snapToGrid w:val="0"/>
        </w:rPr>
        <w:tab/>
        <w:t xml:space="preserve">- </w:t>
      </w:r>
      <w:r w:rsidRPr="00BA2E5D">
        <w:rPr>
          <w:snapToGrid w:val="0"/>
        </w:rPr>
        <w:t>odporna na działanie większości związków chemicznych,</w:t>
      </w:r>
    </w:p>
    <w:p w:rsidR="00BA2E5D" w:rsidRPr="00BA2E5D" w:rsidRDefault="00BA2E5D" w:rsidP="00BA2E5D">
      <w:pPr>
        <w:widowControl w:val="0"/>
        <w:tabs>
          <w:tab w:val="num" w:pos="720"/>
        </w:tabs>
        <w:jc w:val="both"/>
        <w:rPr>
          <w:snapToGrid w:val="0"/>
        </w:rPr>
      </w:pPr>
      <w:r>
        <w:rPr>
          <w:snapToGrid w:val="0"/>
        </w:rPr>
        <w:tab/>
        <w:t xml:space="preserve">- </w:t>
      </w:r>
      <w:r w:rsidRPr="00BA2E5D">
        <w:rPr>
          <w:snapToGrid w:val="0"/>
        </w:rPr>
        <w:t>samopoziomująca się,</w:t>
      </w:r>
    </w:p>
    <w:p w:rsidR="00BA2E5D" w:rsidRPr="00BA2E5D" w:rsidRDefault="00BA2E5D" w:rsidP="00BA2E5D">
      <w:pPr>
        <w:widowControl w:val="0"/>
        <w:tabs>
          <w:tab w:val="num" w:pos="720"/>
        </w:tabs>
        <w:jc w:val="both"/>
        <w:rPr>
          <w:snapToGrid w:val="0"/>
        </w:rPr>
      </w:pPr>
      <w:r>
        <w:rPr>
          <w:snapToGrid w:val="0"/>
        </w:rPr>
        <w:tab/>
        <w:t xml:space="preserve">- </w:t>
      </w:r>
      <w:r w:rsidRPr="00BA2E5D">
        <w:rPr>
          <w:snapToGrid w:val="0"/>
        </w:rPr>
        <w:t>elastyczna,</w:t>
      </w:r>
    </w:p>
    <w:p w:rsidR="00BA2E5D" w:rsidRPr="00BA2E5D" w:rsidRDefault="00BA2E5D" w:rsidP="00BA2E5D">
      <w:pPr>
        <w:widowControl w:val="0"/>
        <w:tabs>
          <w:tab w:val="num" w:pos="720"/>
        </w:tabs>
        <w:jc w:val="both"/>
        <w:rPr>
          <w:snapToGrid w:val="0"/>
        </w:rPr>
      </w:pPr>
      <w:r>
        <w:rPr>
          <w:snapToGrid w:val="0"/>
        </w:rPr>
        <w:tab/>
        <w:t xml:space="preserve">- </w:t>
      </w:r>
      <w:r w:rsidRPr="00BA2E5D">
        <w:rPr>
          <w:snapToGrid w:val="0"/>
        </w:rPr>
        <w:t>posiada dużą wytrzymałość zarówno na ściskanie i rozciąganie.</w:t>
      </w:r>
    </w:p>
    <w:p w:rsidR="00BA2E5D" w:rsidRPr="00BA2E5D" w:rsidRDefault="00BA2E5D" w:rsidP="00BA2E5D">
      <w:pPr>
        <w:widowControl w:val="0"/>
        <w:tabs>
          <w:tab w:val="num" w:pos="720"/>
        </w:tabs>
        <w:jc w:val="both"/>
        <w:rPr>
          <w:snapToGrid w:val="0"/>
        </w:rPr>
      </w:pPr>
      <w:r w:rsidRPr="00BA2E5D">
        <w:rPr>
          <w:snapToGrid w:val="0"/>
        </w:rPr>
        <w:t>Dane techniczne:</w:t>
      </w:r>
    </w:p>
    <w:p w:rsidR="00BA2E5D" w:rsidRPr="00BA2E5D" w:rsidRDefault="00BA2E5D" w:rsidP="00BA2E5D">
      <w:pPr>
        <w:widowControl w:val="0"/>
        <w:tabs>
          <w:tab w:val="num" w:pos="720"/>
        </w:tabs>
        <w:ind w:left="709"/>
        <w:jc w:val="both"/>
        <w:rPr>
          <w:snapToGrid w:val="0"/>
        </w:rPr>
      </w:pPr>
      <w:r>
        <w:rPr>
          <w:snapToGrid w:val="0"/>
        </w:rPr>
        <w:tab/>
        <w:t xml:space="preserve">- </w:t>
      </w:r>
      <w:r w:rsidRPr="00BA2E5D">
        <w:rPr>
          <w:snapToGrid w:val="0"/>
        </w:rPr>
        <w:t>kolor; żywica poliuretanowa jest barwy czarnej, lecz kolor nawierzchni wykonanej na jej bazie będzie zależał od rodzaju zastosowanego kruszywa (wybór musi b</w:t>
      </w:r>
      <w:r w:rsidR="00EC6812">
        <w:rPr>
          <w:snapToGrid w:val="0"/>
        </w:rPr>
        <w:t xml:space="preserve">yć zaakceptowany przez </w:t>
      </w:r>
      <w:r w:rsidR="00330D20">
        <w:t>przedstawiciel</w:t>
      </w:r>
      <w:r w:rsidR="00330D20">
        <w:rPr>
          <w:snapToGrid w:val="0"/>
        </w:rPr>
        <w:t xml:space="preserve">a </w:t>
      </w:r>
      <w:r w:rsidR="00EC6812">
        <w:rPr>
          <w:snapToGrid w:val="0"/>
        </w:rPr>
        <w:t>Zamawiającego</w:t>
      </w:r>
      <w:r w:rsidRPr="00BA2E5D">
        <w:rPr>
          <w:snapToGrid w:val="0"/>
        </w:rPr>
        <w:t>),</w:t>
      </w:r>
    </w:p>
    <w:p w:rsidR="00BA2E5D" w:rsidRPr="00BA2E5D" w:rsidRDefault="00BA2E5D" w:rsidP="00BA2E5D">
      <w:pPr>
        <w:widowControl w:val="0"/>
        <w:tabs>
          <w:tab w:val="num" w:pos="720"/>
        </w:tabs>
        <w:jc w:val="both"/>
        <w:rPr>
          <w:snapToGrid w:val="0"/>
        </w:rPr>
      </w:pPr>
      <w:r>
        <w:rPr>
          <w:snapToGrid w:val="0"/>
        </w:rPr>
        <w:tab/>
      </w:r>
      <w:r w:rsidRPr="00BA2E5D">
        <w:rPr>
          <w:snapToGrid w:val="0"/>
        </w:rPr>
        <w:t>ciężar objętościowy;  1,2 kg/dcm3,</w:t>
      </w:r>
    </w:p>
    <w:p w:rsidR="00BA2E5D" w:rsidRDefault="00BA2E5D" w:rsidP="00BA2E5D">
      <w:pPr>
        <w:widowControl w:val="0"/>
        <w:tabs>
          <w:tab w:val="num" w:pos="720"/>
        </w:tabs>
        <w:jc w:val="both"/>
        <w:rPr>
          <w:snapToGrid w:val="0"/>
        </w:rPr>
      </w:pPr>
      <w:r>
        <w:rPr>
          <w:snapToGrid w:val="0"/>
        </w:rPr>
        <w:tab/>
        <w:t xml:space="preserve">- </w:t>
      </w:r>
      <w:r w:rsidRPr="00BA2E5D">
        <w:rPr>
          <w:snapToGrid w:val="0"/>
        </w:rPr>
        <w:t>zawartość składników stałych od 97 do 100 %.</w:t>
      </w:r>
    </w:p>
    <w:p w:rsidR="00BA2E5D" w:rsidRPr="00BA2E5D" w:rsidRDefault="00BA2E5D" w:rsidP="00BA2E5D">
      <w:pPr>
        <w:widowControl w:val="0"/>
        <w:tabs>
          <w:tab w:val="num" w:pos="720"/>
        </w:tabs>
        <w:jc w:val="both"/>
        <w:rPr>
          <w:snapToGrid w:val="0"/>
        </w:rPr>
      </w:pPr>
    </w:p>
    <w:p w:rsidR="00BA2E5D" w:rsidRPr="00BA2E5D" w:rsidRDefault="00BA2E5D" w:rsidP="00BA2E5D">
      <w:pPr>
        <w:widowControl w:val="0"/>
        <w:tabs>
          <w:tab w:val="num" w:pos="720"/>
        </w:tabs>
        <w:jc w:val="both"/>
        <w:rPr>
          <w:snapToGrid w:val="0"/>
        </w:rPr>
      </w:pPr>
      <w:r>
        <w:rPr>
          <w:snapToGrid w:val="0"/>
        </w:rPr>
        <w:tab/>
      </w:r>
      <w:r w:rsidRPr="00BA2E5D">
        <w:rPr>
          <w:snapToGrid w:val="0"/>
        </w:rPr>
        <w:t>Środek do gruntowania powierzchni betonu na bazie żywicy epoksydowej.</w:t>
      </w:r>
    </w:p>
    <w:p w:rsidR="00BA2E5D" w:rsidRPr="00BA2E5D" w:rsidRDefault="00BA2E5D" w:rsidP="00BA2E5D">
      <w:pPr>
        <w:widowControl w:val="0"/>
        <w:tabs>
          <w:tab w:val="num" w:pos="720"/>
        </w:tabs>
        <w:jc w:val="both"/>
        <w:rPr>
          <w:snapToGrid w:val="0"/>
        </w:rPr>
      </w:pPr>
      <w:r>
        <w:rPr>
          <w:snapToGrid w:val="0"/>
        </w:rPr>
        <w:tab/>
      </w:r>
      <w:r w:rsidRPr="00BA2E5D">
        <w:rPr>
          <w:snapToGrid w:val="0"/>
        </w:rPr>
        <w:t xml:space="preserve">Kruszywo; piasek kwarcowy o granulacji 0,4 – </w:t>
      </w:r>
      <w:smartTag w:uri="urn:schemas-microsoft-com:office:smarttags" w:element="metricconverter">
        <w:smartTagPr>
          <w:attr w:name="ProductID" w:val="0,7 mm"/>
        </w:smartTagPr>
        <w:r w:rsidRPr="00BA2E5D">
          <w:rPr>
            <w:snapToGrid w:val="0"/>
          </w:rPr>
          <w:t>0,7 mm</w:t>
        </w:r>
      </w:smartTag>
      <w:r w:rsidRPr="00BA2E5D">
        <w:rPr>
          <w:snapToGrid w:val="0"/>
        </w:rPr>
        <w:t>. Można zastosować kruszywo grubszej granulacji p</w:t>
      </w:r>
      <w:r w:rsidR="00EC6812">
        <w:rPr>
          <w:snapToGrid w:val="0"/>
        </w:rPr>
        <w:t xml:space="preserve">o uzyskaniu akceptacji </w:t>
      </w:r>
      <w:r w:rsidR="00330D20">
        <w:t>przedstawiciel</w:t>
      </w:r>
      <w:r w:rsidR="00330D20">
        <w:rPr>
          <w:snapToGrid w:val="0"/>
        </w:rPr>
        <w:t xml:space="preserve">a </w:t>
      </w:r>
      <w:r w:rsidR="00EC6812">
        <w:rPr>
          <w:snapToGrid w:val="0"/>
        </w:rPr>
        <w:t>Zamawiającego</w:t>
      </w:r>
      <w:r w:rsidRPr="00BA2E5D">
        <w:rPr>
          <w:snapToGrid w:val="0"/>
        </w:rPr>
        <w:t>.</w:t>
      </w:r>
    </w:p>
    <w:p w:rsidR="00BA2E5D" w:rsidRPr="00BA2E5D" w:rsidRDefault="00BA2E5D" w:rsidP="00BA2E5D">
      <w:pPr>
        <w:widowControl w:val="0"/>
        <w:tabs>
          <w:tab w:val="num" w:pos="720"/>
        </w:tabs>
        <w:jc w:val="both"/>
        <w:rPr>
          <w:snapToGrid w:val="0"/>
        </w:rPr>
      </w:pPr>
      <w:r w:rsidRPr="00BA2E5D">
        <w:rPr>
          <w:snapToGrid w:val="0"/>
        </w:rPr>
        <w:t xml:space="preserve">Laminat na wzmocnienie połączenia z krawężnikiem Oraz na styku gzymsów polimerobetonowych i betonu kapy chodnika szerokości </w:t>
      </w:r>
      <w:smartTag w:uri="urn:schemas-microsoft-com:office:smarttags" w:element="metricconverter">
        <w:smartTagPr>
          <w:attr w:name="ProductID" w:val="100 mm"/>
        </w:smartTagPr>
        <w:r w:rsidRPr="00BA2E5D">
          <w:rPr>
            <w:snapToGrid w:val="0"/>
          </w:rPr>
          <w:t>100 mm</w:t>
        </w:r>
      </w:smartTag>
      <w:r w:rsidRPr="00BA2E5D">
        <w:rPr>
          <w:snapToGrid w:val="0"/>
        </w:rPr>
        <w:t>,</w:t>
      </w:r>
    </w:p>
    <w:p w:rsidR="00E25052" w:rsidRPr="00E25052" w:rsidRDefault="00BA2E5D" w:rsidP="00E25052">
      <w:pPr>
        <w:widowControl w:val="0"/>
        <w:tabs>
          <w:tab w:val="num" w:pos="720"/>
        </w:tabs>
        <w:jc w:val="both"/>
        <w:rPr>
          <w:snapToGrid w:val="0"/>
        </w:rPr>
      </w:pPr>
      <w:r w:rsidRPr="00BA2E5D">
        <w:rPr>
          <w:snapToGrid w:val="0"/>
        </w:rPr>
        <w:t>Zaproponowany przez Wykonawcę materiał m</w:t>
      </w:r>
      <w:r w:rsidR="00EC6812">
        <w:rPr>
          <w:snapToGrid w:val="0"/>
        </w:rPr>
        <w:t xml:space="preserve">usi uzyskać akceptację </w:t>
      </w:r>
      <w:r w:rsidR="00330D20">
        <w:t>przedstawiciel</w:t>
      </w:r>
      <w:r w:rsidR="00330D20">
        <w:rPr>
          <w:snapToGrid w:val="0"/>
        </w:rPr>
        <w:t xml:space="preserve">a </w:t>
      </w:r>
      <w:r w:rsidR="00EC6812">
        <w:rPr>
          <w:snapToGrid w:val="0"/>
        </w:rPr>
        <w:t>Zamawiającego</w:t>
      </w:r>
      <w:r w:rsidRPr="00BA2E5D">
        <w:rPr>
          <w:snapToGrid w:val="0"/>
        </w:rPr>
        <w:t>.</w:t>
      </w:r>
    </w:p>
    <w:p w:rsidR="00AA6196" w:rsidRDefault="00AA6196" w:rsidP="00AA6196">
      <w:pPr>
        <w:widowControl w:val="0"/>
        <w:spacing w:before="120" w:after="120"/>
        <w:jc w:val="both"/>
        <w:rPr>
          <w:b/>
          <w:noProof/>
          <w:snapToGrid w:val="0"/>
          <w:u w:val="single"/>
        </w:rPr>
      </w:pPr>
      <w:r w:rsidRPr="000222D0">
        <w:rPr>
          <w:b/>
          <w:noProof/>
          <w:snapToGrid w:val="0"/>
          <w:u w:val="single"/>
        </w:rPr>
        <w:t>3. SPRZĘT</w:t>
      </w:r>
    </w:p>
    <w:p w:rsidR="00E25052" w:rsidRPr="00E25052" w:rsidRDefault="00E25052" w:rsidP="00E25052">
      <w:pPr>
        <w:widowControl w:val="0"/>
        <w:tabs>
          <w:tab w:val="num" w:pos="720"/>
        </w:tabs>
        <w:jc w:val="both"/>
        <w:rPr>
          <w:snapToGrid w:val="0"/>
        </w:rPr>
      </w:pPr>
      <w:r>
        <w:rPr>
          <w:snapToGrid w:val="0"/>
        </w:rPr>
        <w:t xml:space="preserve">- </w:t>
      </w:r>
      <w:r w:rsidRPr="00E25052">
        <w:rPr>
          <w:snapToGrid w:val="0"/>
        </w:rPr>
        <w:t>Sprzęt do oczyszczenia podłoża poprzez szlifowanie lub piaskowanie,</w:t>
      </w:r>
    </w:p>
    <w:p w:rsidR="00E25052" w:rsidRPr="00E25052" w:rsidRDefault="00E25052" w:rsidP="00E25052">
      <w:pPr>
        <w:widowControl w:val="0"/>
        <w:tabs>
          <w:tab w:val="num" w:pos="720"/>
        </w:tabs>
        <w:jc w:val="both"/>
        <w:rPr>
          <w:snapToGrid w:val="0"/>
        </w:rPr>
      </w:pPr>
      <w:r>
        <w:rPr>
          <w:snapToGrid w:val="0"/>
        </w:rPr>
        <w:t xml:space="preserve">- </w:t>
      </w:r>
      <w:r w:rsidRPr="00E25052">
        <w:rPr>
          <w:snapToGrid w:val="0"/>
        </w:rPr>
        <w:t>Pędzle lub wałki do gruntowania powierzchni betonu,</w:t>
      </w:r>
    </w:p>
    <w:p w:rsidR="00E25052" w:rsidRPr="00E25052" w:rsidRDefault="00E25052" w:rsidP="00E25052">
      <w:pPr>
        <w:widowControl w:val="0"/>
        <w:tabs>
          <w:tab w:val="num" w:pos="720"/>
        </w:tabs>
        <w:jc w:val="both"/>
        <w:rPr>
          <w:snapToGrid w:val="0"/>
        </w:rPr>
      </w:pPr>
      <w:r>
        <w:rPr>
          <w:snapToGrid w:val="0"/>
        </w:rPr>
        <w:t xml:space="preserve">- </w:t>
      </w:r>
      <w:r w:rsidRPr="00E25052">
        <w:rPr>
          <w:snapToGrid w:val="0"/>
        </w:rPr>
        <w:t>Listwa gumowa na prowadnicach do rozprowadzania preparatu,</w:t>
      </w:r>
    </w:p>
    <w:p w:rsidR="00E25052" w:rsidRPr="00E25052" w:rsidRDefault="00E25052" w:rsidP="00E25052">
      <w:pPr>
        <w:widowControl w:val="0"/>
        <w:tabs>
          <w:tab w:val="num" w:pos="720"/>
        </w:tabs>
        <w:jc w:val="both"/>
        <w:rPr>
          <w:snapToGrid w:val="0"/>
        </w:rPr>
      </w:pPr>
      <w:r>
        <w:rPr>
          <w:snapToGrid w:val="0"/>
        </w:rPr>
        <w:t xml:space="preserve">- </w:t>
      </w:r>
      <w:r w:rsidRPr="00E25052">
        <w:rPr>
          <w:snapToGrid w:val="0"/>
        </w:rPr>
        <w:t>Mieszadło elektryczne (300-400 obr/min).</w:t>
      </w:r>
    </w:p>
    <w:p w:rsidR="00AA6196" w:rsidRDefault="00AA6196" w:rsidP="00AA6196">
      <w:pPr>
        <w:widowControl w:val="0"/>
        <w:spacing w:before="120" w:after="120"/>
        <w:jc w:val="both"/>
        <w:rPr>
          <w:b/>
          <w:noProof/>
          <w:snapToGrid w:val="0"/>
          <w:u w:val="single"/>
        </w:rPr>
      </w:pPr>
      <w:r w:rsidRPr="000222D0">
        <w:rPr>
          <w:b/>
          <w:noProof/>
          <w:snapToGrid w:val="0"/>
          <w:u w:val="single"/>
        </w:rPr>
        <w:t>4. TRANSPORT</w:t>
      </w:r>
    </w:p>
    <w:p w:rsidR="00E25052" w:rsidRPr="00E25052" w:rsidRDefault="00E25052" w:rsidP="00E25052">
      <w:pPr>
        <w:widowControl w:val="0"/>
        <w:tabs>
          <w:tab w:val="num" w:pos="720"/>
        </w:tabs>
        <w:jc w:val="both"/>
        <w:rPr>
          <w:snapToGrid w:val="0"/>
        </w:rPr>
      </w:pPr>
      <w:r>
        <w:rPr>
          <w:snapToGrid w:val="0"/>
        </w:rPr>
        <w:tab/>
      </w:r>
      <w:r w:rsidRPr="00E25052">
        <w:rPr>
          <w:snapToGrid w:val="0"/>
        </w:rPr>
        <w:t>Materiały mogą być przewożone odpowiednimi do asortymentu materiałów środkami transportu. Należy zadbać o właściwe zabezpieczenie ładunku i bezpieczeństwo transportu. Preparat dostarczany jest w plastikowych lub metalowych pojemnikach w postaci płynnej. Kruszywo w trakcie transportu należy zabezpieczyć przed zanieczyszczeniem.</w:t>
      </w:r>
    </w:p>
    <w:p w:rsidR="00AA6196" w:rsidRDefault="00AA6196" w:rsidP="00AA6196">
      <w:pPr>
        <w:widowControl w:val="0"/>
        <w:spacing w:before="120" w:after="120"/>
        <w:jc w:val="both"/>
        <w:rPr>
          <w:b/>
          <w:noProof/>
          <w:snapToGrid w:val="0"/>
          <w:u w:val="single"/>
        </w:rPr>
      </w:pPr>
      <w:r w:rsidRPr="000222D0">
        <w:rPr>
          <w:b/>
          <w:noProof/>
          <w:snapToGrid w:val="0"/>
          <w:u w:val="single"/>
        </w:rPr>
        <w:t>5. WYKONANIE ROBÓT</w:t>
      </w:r>
    </w:p>
    <w:p w:rsidR="00E25052" w:rsidRPr="00E25052" w:rsidRDefault="00E25052" w:rsidP="00E25052">
      <w:pPr>
        <w:widowControl w:val="0"/>
        <w:tabs>
          <w:tab w:val="num" w:pos="720"/>
        </w:tabs>
        <w:jc w:val="both"/>
        <w:rPr>
          <w:snapToGrid w:val="0"/>
        </w:rPr>
      </w:pPr>
      <w:r>
        <w:rPr>
          <w:snapToGrid w:val="0"/>
        </w:rPr>
        <w:tab/>
      </w:r>
      <w:r w:rsidRPr="00E25052">
        <w:rPr>
          <w:snapToGrid w:val="0"/>
        </w:rPr>
        <w:t xml:space="preserve">Powierzchnia przeznaczona pod nawierzchnię, musi być starannie przygotowana. Przygotowanie podłoża polega na oczyszczeniu go z części luźnych, pyłów, olejów i innych elementów obniżających przyczepność poprzez np. szlifowanie i piaskowanie. Powierzchnia ta musi być sucha i odpylona. Krawędź na styku z krawężnikiem oraz na styku gzymsów polimerobetonowych i betonu kapy chodnika należy wzmocnić poprzez przyklejenie paska szerokości </w:t>
      </w:r>
      <w:smartTag w:uri="urn:schemas-microsoft-com:office:smarttags" w:element="metricconverter">
        <w:smartTagPr>
          <w:attr w:name="ProductID" w:val="100 mm"/>
        </w:smartTagPr>
        <w:r w:rsidRPr="00E25052">
          <w:rPr>
            <w:snapToGrid w:val="0"/>
          </w:rPr>
          <w:t>100 mm</w:t>
        </w:r>
      </w:smartTag>
      <w:r w:rsidRPr="00E25052">
        <w:rPr>
          <w:snapToGrid w:val="0"/>
        </w:rPr>
        <w:t xml:space="preserve"> z laminatu.</w:t>
      </w:r>
    </w:p>
    <w:p w:rsidR="00E25052" w:rsidRPr="00E25052" w:rsidRDefault="00E25052" w:rsidP="00E25052">
      <w:pPr>
        <w:widowControl w:val="0"/>
        <w:tabs>
          <w:tab w:val="num" w:pos="720"/>
        </w:tabs>
        <w:jc w:val="both"/>
        <w:rPr>
          <w:snapToGrid w:val="0"/>
        </w:rPr>
      </w:pPr>
      <w:r>
        <w:rPr>
          <w:snapToGrid w:val="0"/>
        </w:rPr>
        <w:tab/>
      </w:r>
      <w:r w:rsidRPr="00E25052">
        <w:rPr>
          <w:snapToGrid w:val="0"/>
        </w:rPr>
        <w:t>Preparat do gruntowania podłoża należy wymieszać w naczyniu w sposób ciągły co najmniej 5 minut, w stosunku wagowym 1:1, tak by mieszanina była jednorodna.</w:t>
      </w:r>
    </w:p>
    <w:p w:rsidR="00E25052" w:rsidRPr="00E25052" w:rsidRDefault="00E25052" w:rsidP="00E25052">
      <w:pPr>
        <w:widowControl w:val="0"/>
        <w:tabs>
          <w:tab w:val="num" w:pos="720"/>
        </w:tabs>
        <w:jc w:val="both"/>
        <w:rPr>
          <w:snapToGrid w:val="0"/>
        </w:rPr>
      </w:pPr>
      <w:r>
        <w:rPr>
          <w:snapToGrid w:val="0"/>
        </w:rPr>
        <w:tab/>
      </w:r>
      <w:r w:rsidRPr="00E25052">
        <w:rPr>
          <w:snapToGrid w:val="0"/>
        </w:rPr>
        <w:t>Przygotowanie mieszanki - krótko przed rozpoczęciem prac składniki należy wymieszać intensywnie za pomocą mieszadła elektrycznego (300-400 obr/min). Piasek dozować porcjami podczas mieszania. Czas mieszania wynosi minimum 3 minuty.</w:t>
      </w:r>
    </w:p>
    <w:p w:rsidR="00E25052" w:rsidRPr="00BE6917" w:rsidRDefault="00E25052" w:rsidP="00E25052">
      <w:pPr>
        <w:widowControl w:val="0"/>
        <w:tabs>
          <w:tab w:val="num" w:pos="720"/>
        </w:tabs>
        <w:jc w:val="both"/>
        <w:rPr>
          <w:rFonts w:ascii="Arial" w:hAnsi="Arial" w:cs="Arial"/>
        </w:rPr>
      </w:pPr>
      <w:r>
        <w:rPr>
          <w:snapToGrid w:val="0"/>
        </w:rPr>
        <w:tab/>
      </w:r>
      <w:r w:rsidRPr="00E25052">
        <w:rPr>
          <w:snapToGrid w:val="0"/>
        </w:rPr>
        <w:t>Kruszywo należy wypłukać i wysuszyć.</w:t>
      </w:r>
    </w:p>
    <w:p w:rsidR="00E25052" w:rsidRPr="00E25052" w:rsidRDefault="00E25052" w:rsidP="00E25052">
      <w:pPr>
        <w:widowControl w:val="0"/>
        <w:tabs>
          <w:tab w:val="num" w:pos="720"/>
        </w:tabs>
        <w:jc w:val="both"/>
        <w:rPr>
          <w:snapToGrid w:val="0"/>
        </w:rPr>
      </w:pPr>
      <w:r>
        <w:rPr>
          <w:snapToGrid w:val="0"/>
        </w:rPr>
        <w:tab/>
      </w:r>
      <w:r w:rsidRPr="00E25052">
        <w:rPr>
          <w:snapToGrid w:val="0"/>
        </w:rPr>
        <w:t xml:space="preserve">W pierwszej kolejności powierzchnię na której będzie ułożona nawierzchnia należy zagruntować preparatem za pomocą pędzla lub wałka. Następnie po około 0,5-1,0 godziny nakłada się mieszankę zasadniczą według instrukcji producenta. Nawierzchnię na chodniku należy ułożyć grubości </w:t>
      </w:r>
      <w:smartTag w:uri="urn:schemas-microsoft-com:office:smarttags" w:element="metricconverter">
        <w:smartTagPr>
          <w:attr w:name="ProductID" w:val="5 mm"/>
        </w:smartTagPr>
        <w:r w:rsidRPr="00E25052">
          <w:rPr>
            <w:snapToGrid w:val="0"/>
          </w:rPr>
          <w:t>5 mm</w:t>
        </w:r>
      </w:smartTag>
      <w:r w:rsidRPr="00E25052">
        <w:rPr>
          <w:snapToGrid w:val="0"/>
        </w:rPr>
        <w:t>.</w:t>
      </w:r>
    </w:p>
    <w:p w:rsidR="00E25052" w:rsidRPr="00E25052" w:rsidRDefault="00E25052" w:rsidP="00E25052">
      <w:pPr>
        <w:widowControl w:val="0"/>
        <w:tabs>
          <w:tab w:val="num" w:pos="720"/>
        </w:tabs>
        <w:jc w:val="both"/>
        <w:rPr>
          <w:snapToGrid w:val="0"/>
        </w:rPr>
      </w:pPr>
      <w:r w:rsidRPr="00E25052">
        <w:rPr>
          <w:snapToGrid w:val="0"/>
        </w:rPr>
        <w:t>Temperatura podłoża w trakcie wykonywania nawierzchni powinna zawierać się w przedziale 8-</w:t>
      </w:r>
      <w:smartTag w:uri="urn:schemas-microsoft-com:office:smarttags" w:element="metricconverter">
        <w:smartTagPr>
          <w:attr w:name="ProductID" w:val="300C"/>
        </w:smartTagPr>
        <w:r w:rsidRPr="00E25052">
          <w:rPr>
            <w:snapToGrid w:val="0"/>
          </w:rPr>
          <w:t>300C</w:t>
        </w:r>
      </w:smartTag>
      <w:r w:rsidRPr="00E25052">
        <w:rPr>
          <w:snapToGrid w:val="0"/>
        </w:rPr>
        <w:t xml:space="preserve">. Ponadto podłoże powinno mieć temperaturę minimum </w:t>
      </w:r>
      <w:smartTag w:uri="urn:schemas-microsoft-com:office:smarttags" w:element="metricconverter">
        <w:smartTagPr>
          <w:attr w:name="ProductID" w:val="30C"/>
        </w:smartTagPr>
        <w:r w:rsidRPr="00E25052">
          <w:rPr>
            <w:snapToGrid w:val="0"/>
          </w:rPr>
          <w:t>30C</w:t>
        </w:r>
      </w:smartTag>
      <w:r w:rsidRPr="00E25052">
        <w:rPr>
          <w:snapToGrid w:val="0"/>
        </w:rPr>
        <w:t xml:space="preserve"> powyżej punktu rosy. Temperatura powietrza powinna wynosić minimum </w:t>
      </w:r>
      <w:smartTag w:uri="urn:schemas-microsoft-com:office:smarttags" w:element="metricconverter">
        <w:smartTagPr>
          <w:attr w:name="ProductID" w:val="120C"/>
        </w:smartTagPr>
        <w:r w:rsidRPr="00E25052">
          <w:rPr>
            <w:snapToGrid w:val="0"/>
          </w:rPr>
          <w:t>120C</w:t>
        </w:r>
      </w:smartTag>
      <w:r w:rsidRPr="00E25052">
        <w:rPr>
          <w:snapToGrid w:val="0"/>
        </w:rPr>
        <w:t>, a wilgotność względna 50-85%. Przez pierwsze 24 godziny po wykonaniu nawierzchni, należy ją chronić przed deszczem i intensywnym promieniowaniem słonecznym np. przez przykrycie plandekami.</w:t>
      </w:r>
    </w:p>
    <w:p w:rsidR="00E25052" w:rsidRPr="00E25052" w:rsidRDefault="00E25052" w:rsidP="00E25052">
      <w:pPr>
        <w:ind w:firstLine="709"/>
        <w:rPr>
          <w:rFonts w:ascii="Arial" w:hAnsi="Arial" w:cs="Arial"/>
        </w:rPr>
      </w:pPr>
      <w:r w:rsidRPr="00E25052">
        <w:rPr>
          <w:snapToGrid w:val="0"/>
        </w:rPr>
        <w:t xml:space="preserve">Styk nawierzchni z krawężnikiem należy wzmocnić poprzez przyklejenie paska z laminatu szerokości </w:t>
      </w:r>
      <w:smartTag w:uri="urn:schemas-microsoft-com:office:smarttags" w:element="metricconverter">
        <w:smartTagPr>
          <w:attr w:name="ProductID" w:val="100 mm"/>
        </w:smartTagPr>
        <w:r w:rsidRPr="00E25052">
          <w:rPr>
            <w:snapToGrid w:val="0"/>
          </w:rPr>
          <w:t>100 mm</w:t>
        </w:r>
      </w:smartTag>
      <w:r w:rsidRPr="00E25052">
        <w:rPr>
          <w:snapToGrid w:val="0"/>
        </w:rPr>
        <w:t>. Świeżo ułożoną warstwę żywicy należy równomiernie zasypać kruszywem</w:t>
      </w:r>
      <w:r w:rsidRPr="00BE6917">
        <w:rPr>
          <w:rFonts w:ascii="Arial" w:hAnsi="Arial" w:cs="Arial"/>
        </w:rPr>
        <w:t>.</w:t>
      </w:r>
    </w:p>
    <w:p w:rsidR="00AA6196" w:rsidRDefault="00AA6196" w:rsidP="00AA6196">
      <w:pPr>
        <w:widowControl w:val="0"/>
        <w:spacing w:before="120" w:after="120"/>
        <w:jc w:val="both"/>
        <w:rPr>
          <w:b/>
          <w:noProof/>
          <w:snapToGrid w:val="0"/>
          <w:u w:val="single"/>
        </w:rPr>
      </w:pPr>
      <w:r w:rsidRPr="000222D0">
        <w:rPr>
          <w:b/>
          <w:noProof/>
          <w:snapToGrid w:val="0"/>
          <w:u w:val="single"/>
        </w:rPr>
        <w:t>6. KONTROLA JAKOŚCI ROBÓT</w:t>
      </w:r>
    </w:p>
    <w:p w:rsidR="00E25052" w:rsidRPr="00E25052" w:rsidRDefault="00E25052" w:rsidP="00E25052">
      <w:pPr>
        <w:rPr>
          <w:snapToGrid w:val="0"/>
        </w:rPr>
      </w:pPr>
      <w:r w:rsidRPr="00E25052">
        <w:rPr>
          <w:snapToGrid w:val="0"/>
        </w:rPr>
        <w:t>Kontrola jakości w trakcie robót obejmuje:</w:t>
      </w:r>
    </w:p>
    <w:p w:rsidR="00E25052" w:rsidRPr="00E25052" w:rsidRDefault="00E25052" w:rsidP="00E25052">
      <w:pPr>
        <w:widowControl w:val="0"/>
        <w:tabs>
          <w:tab w:val="num" w:pos="720"/>
          <w:tab w:val="num" w:pos="1428"/>
        </w:tabs>
        <w:jc w:val="both"/>
        <w:rPr>
          <w:snapToGrid w:val="0"/>
        </w:rPr>
      </w:pPr>
      <w:r>
        <w:rPr>
          <w:snapToGrid w:val="0"/>
        </w:rPr>
        <w:tab/>
        <w:t xml:space="preserve">- </w:t>
      </w:r>
      <w:r w:rsidRPr="00E25052">
        <w:rPr>
          <w:snapToGrid w:val="0"/>
        </w:rPr>
        <w:t>kontrolę przygotowania podłoża,</w:t>
      </w:r>
    </w:p>
    <w:p w:rsidR="00E25052" w:rsidRPr="00E25052" w:rsidRDefault="00E25052" w:rsidP="00E25052">
      <w:pPr>
        <w:widowControl w:val="0"/>
        <w:tabs>
          <w:tab w:val="num" w:pos="720"/>
          <w:tab w:val="num" w:pos="1428"/>
        </w:tabs>
        <w:jc w:val="both"/>
        <w:rPr>
          <w:snapToGrid w:val="0"/>
        </w:rPr>
      </w:pPr>
      <w:r>
        <w:rPr>
          <w:snapToGrid w:val="0"/>
        </w:rPr>
        <w:tab/>
        <w:t xml:space="preserve">- </w:t>
      </w:r>
      <w:r w:rsidRPr="00E25052">
        <w:rPr>
          <w:snapToGrid w:val="0"/>
        </w:rPr>
        <w:t>sposób przygotowania materiałów,</w:t>
      </w:r>
    </w:p>
    <w:p w:rsidR="00E25052" w:rsidRPr="00E25052" w:rsidRDefault="00E25052" w:rsidP="00E25052">
      <w:pPr>
        <w:widowControl w:val="0"/>
        <w:tabs>
          <w:tab w:val="num" w:pos="720"/>
          <w:tab w:val="num" w:pos="1428"/>
        </w:tabs>
        <w:jc w:val="both"/>
        <w:rPr>
          <w:snapToGrid w:val="0"/>
        </w:rPr>
      </w:pPr>
      <w:r>
        <w:rPr>
          <w:snapToGrid w:val="0"/>
        </w:rPr>
        <w:tab/>
        <w:t xml:space="preserve">- </w:t>
      </w:r>
      <w:r w:rsidRPr="00E25052">
        <w:rPr>
          <w:snapToGrid w:val="0"/>
        </w:rPr>
        <w:t>kontrolę zagruntowania podłoża,</w:t>
      </w:r>
    </w:p>
    <w:p w:rsidR="00E25052" w:rsidRPr="00E25052" w:rsidRDefault="00E25052" w:rsidP="00E25052">
      <w:pPr>
        <w:widowControl w:val="0"/>
        <w:tabs>
          <w:tab w:val="num" w:pos="720"/>
          <w:tab w:val="num" w:pos="1428"/>
        </w:tabs>
        <w:jc w:val="both"/>
        <w:rPr>
          <w:snapToGrid w:val="0"/>
        </w:rPr>
      </w:pPr>
      <w:r>
        <w:rPr>
          <w:snapToGrid w:val="0"/>
        </w:rPr>
        <w:tab/>
        <w:t xml:space="preserve">- </w:t>
      </w:r>
      <w:r w:rsidRPr="00E25052">
        <w:rPr>
          <w:snapToGrid w:val="0"/>
        </w:rPr>
        <w:t>kontrolę naniesienia mieszanki,</w:t>
      </w:r>
    </w:p>
    <w:p w:rsidR="00E25052" w:rsidRPr="00E25052" w:rsidRDefault="00E25052" w:rsidP="00E25052">
      <w:pPr>
        <w:widowControl w:val="0"/>
        <w:tabs>
          <w:tab w:val="num" w:pos="720"/>
          <w:tab w:val="num" w:pos="1428"/>
        </w:tabs>
        <w:jc w:val="both"/>
        <w:rPr>
          <w:snapToGrid w:val="0"/>
        </w:rPr>
      </w:pPr>
      <w:r>
        <w:rPr>
          <w:snapToGrid w:val="0"/>
        </w:rPr>
        <w:tab/>
        <w:t xml:space="preserve">- </w:t>
      </w:r>
      <w:r w:rsidRPr="00E25052">
        <w:rPr>
          <w:snapToGrid w:val="0"/>
        </w:rPr>
        <w:t>kontrolę posypywania kruszywem,</w:t>
      </w:r>
    </w:p>
    <w:p w:rsidR="00E25052" w:rsidRPr="00E25052" w:rsidRDefault="00E25052" w:rsidP="00E25052">
      <w:pPr>
        <w:widowControl w:val="0"/>
        <w:tabs>
          <w:tab w:val="num" w:pos="720"/>
          <w:tab w:val="num" w:pos="1428"/>
        </w:tabs>
        <w:jc w:val="both"/>
        <w:rPr>
          <w:snapToGrid w:val="0"/>
        </w:rPr>
      </w:pPr>
      <w:r>
        <w:rPr>
          <w:snapToGrid w:val="0"/>
        </w:rPr>
        <w:tab/>
        <w:t xml:space="preserve">- </w:t>
      </w:r>
      <w:r w:rsidRPr="00E25052">
        <w:rPr>
          <w:snapToGrid w:val="0"/>
        </w:rPr>
        <w:t>kontrolę pielęgnacji wykonanej nawierzchni.</w:t>
      </w:r>
    </w:p>
    <w:p w:rsidR="00AA6196" w:rsidRDefault="00AA6196" w:rsidP="00AA6196">
      <w:pPr>
        <w:widowControl w:val="0"/>
        <w:spacing w:before="120" w:after="120"/>
        <w:jc w:val="both"/>
        <w:rPr>
          <w:b/>
          <w:noProof/>
          <w:snapToGrid w:val="0"/>
          <w:u w:val="single"/>
        </w:rPr>
      </w:pPr>
      <w:r w:rsidRPr="000222D0">
        <w:rPr>
          <w:b/>
          <w:noProof/>
          <w:snapToGrid w:val="0"/>
          <w:u w:val="single"/>
        </w:rPr>
        <w:t>7. OBMIAR ROBÓT</w:t>
      </w:r>
    </w:p>
    <w:p w:rsidR="00E25052" w:rsidRDefault="00E25052" w:rsidP="00E25052">
      <w:pPr>
        <w:ind w:firstLine="709"/>
        <w:rPr>
          <w:snapToGrid w:val="0"/>
        </w:rPr>
      </w:pPr>
      <w:r w:rsidRPr="00E25052">
        <w:rPr>
          <w:snapToGrid w:val="0"/>
        </w:rPr>
        <w:t>Jednostką obmiaru jest m2 wykonanej nawierzchni chodników zgodnie z dokumentacją projektową i pomiarem w terenie.</w:t>
      </w:r>
    </w:p>
    <w:p w:rsidR="00E25052" w:rsidRPr="00E25052" w:rsidRDefault="00E25052" w:rsidP="00E25052">
      <w:pPr>
        <w:ind w:firstLine="709"/>
        <w:rPr>
          <w:snapToGrid w:val="0"/>
        </w:rPr>
      </w:pPr>
    </w:p>
    <w:p w:rsidR="00AA6196" w:rsidRDefault="00AA6196" w:rsidP="00AA6196">
      <w:pPr>
        <w:autoSpaceDE w:val="0"/>
        <w:autoSpaceDN w:val="0"/>
        <w:adjustRightInd w:val="0"/>
        <w:rPr>
          <w:b/>
          <w:noProof/>
          <w:snapToGrid w:val="0"/>
          <w:u w:val="single"/>
        </w:rPr>
      </w:pPr>
      <w:r w:rsidRPr="000222D0">
        <w:rPr>
          <w:b/>
          <w:noProof/>
          <w:snapToGrid w:val="0"/>
          <w:u w:val="single"/>
        </w:rPr>
        <w:t>8. ODBIÓR ROBÓT</w:t>
      </w:r>
    </w:p>
    <w:p w:rsidR="00E25052" w:rsidRPr="00E25052" w:rsidRDefault="00E25052" w:rsidP="00E25052">
      <w:pPr>
        <w:ind w:firstLine="709"/>
        <w:rPr>
          <w:snapToGrid w:val="0"/>
        </w:rPr>
      </w:pPr>
      <w:r w:rsidRPr="00E25052">
        <w:rPr>
          <w:snapToGrid w:val="0"/>
        </w:rPr>
        <w:t>Odbiór robót zanikających i ulegających zakryciu oraz odbiory częściowe i ostateczne przeprowadzać według zasad określonych w ST D-M.00.00.00.</w:t>
      </w:r>
    </w:p>
    <w:p w:rsidR="00E25052" w:rsidRPr="00E25052" w:rsidRDefault="00E25052" w:rsidP="00E25052">
      <w:pPr>
        <w:ind w:firstLine="709"/>
        <w:rPr>
          <w:snapToGrid w:val="0"/>
        </w:rPr>
      </w:pPr>
      <w:r w:rsidRPr="00E25052">
        <w:rPr>
          <w:snapToGrid w:val="0"/>
        </w:rPr>
        <w:t>Na podstawie wyników badań należy sporządzić protokoły odbioru. Jeżeli wszystkie badania dały wyniki dodatnie, wykonane roboty należy uznać za zgodne z wymaganiami i dokumentacją projektową</w:t>
      </w:r>
    </w:p>
    <w:p w:rsidR="00AA6196" w:rsidRDefault="00AA6196" w:rsidP="00AA6196">
      <w:pPr>
        <w:widowControl w:val="0"/>
        <w:spacing w:before="120" w:after="120"/>
        <w:jc w:val="both"/>
        <w:rPr>
          <w:b/>
          <w:noProof/>
          <w:snapToGrid w:val="0"/>
          <w:u w:val="single"/>
        </w:rPr>
      </w:pPr>
      <w:r w:rsidRPr="000222D0">
        <w:rPr>
          <w:b/>
          <w:noProof/>
          <w:snapToGrid w:val="0"/>
          <w:u w:val="single"/>
        </w:rPr>
        <w:t>9. PODSTAWA PŁATNOŚCI</w:t>
      </w:r>
    </w:p>
    <w:p w:rsidR="00E25052" w:rsidRPr="00E25052" w:rsidRDefault="00E25052" w:rsidP="00E25052">
      <w:pPr>
        <w:rPr>
          <w:snapToGrid w:val="0"/>
        </w:rPr>
      </w:pPr>
      <w:r w:rsidRPr="00E25052">
        <w:rPr>
          <w:snapToGrid w:val="0"/>
        </w:rPr>
        <w:t>Cena wykonania robót obejmuje:</w:t>
      </w:r>
    </w:p>
    <w:p w:rsidR="00E25052" w:rsidRPr="00E25052" w:rsidRDefault="00E25052" w:rsidP="00E25052">
      <w:pPr>
        <w:tabs>
          <w:tab w:val="num" w:pos="720"/>
        </w:tabs>
        <w:ind w:firstLine="709"/>
        <w:rPr>
          <w:snapToGrid w:val="0"/>
        </w:rPr>
      </w:pPr>
      <w:r>
        <w:rPr>
          <w:snapToGrid w:val="0"/>
        </w:rPr>
        <w:t xml:space="preserve">- </w:t>
      </w:r>
      <w:r w:rsidRPr="00E25052">
        <w:rPr>
          <w:snapToGrid w:val="0"/>
        </w:rPr>
        <w:t>zakup i transport materiałów przewidzianych do wykonania robót,</w:t>
      </w:r>
    </w:p>
    <w:p w:rsidR="00E25052" w:rsidRPr="00E25052" w:rsidRDefault="00E25052" w:rsidP="00E25052">
      <w:pPr>
        <w:tabs>
          <w:tab w:val="num" w:pos="720"/>
        </w:tabs>
        <w:ind w:firstLine="709"/>
        <w:rPr>
          <w:snapToGrid w:val="0"/>
        </w:rPr>
      </w:pPr>
      <w:r>
        <w:rPr>
          <w:snapToGrid w:val="0"/>
        </w:rPr>
        <w:t xml:space="preserve">- </w:t>
      </w:r>
      <w:r w:rsidRPr="00E25052">
        <w:rPr>
          <w:snapToGrid w:val="0"/>
        </w:rPr>
        <w:t>uzyskanie zatwierdzenia proponowanego systemu,</w:t>
      </w:r>
    </w:p>
    <w:p w:rsidR="00E25052" w:rsidRPr="00E25052" w:rsidRDefault="00E25052" w:rsidP="00E25052">
      <w:pPr>
        <w:tabs>
          <w:tab w:val="num" w:pos="720"/>
        </w:tabs>
        <w:ind w:firstLine="709"/>
        <w:rPr>
          <w:snapToGrid w:val="0"/>
        </w:rPr>
      </w:pPr>
      <w:r>
        <w:rPr>
          <w:snapToGrid w:val="0"/>
        </w:rPr>
        <w:t xml:space="preserve">- </w:t>
      </w:r>
      <w:r w:rsidRPr="00E25052">
        <w:rPr>
          <w:snapToGrid w:val="0"/>
        </w:rPr>
        <w:t>przygotowanie podłoża pod nawierzchnię,</w:t>
      </w:r>
    </w:p>
    <w:p w:rsidR="00E25052" w:rsidRPr="00E25052" w:rsidRDefault="00E25052" w:rsidP="00E25052">
      <w:pPr>
        <w:tabs>
          <w:tab w:val="num" w:pos="720"/>
        </w:tabs>
        <w:ind w:firstLine="709"/>
        <w:rPr>
          <w:snapToGrid w:val="0"/>
        </w:rPr>
      </w:pPr>
      <w:r>
        <w:rPr>
          <w:snapToGrid w:val="0"/>
        </w:rPr>
        <w:t xml:space="preserve">- </w:t>
      </w:r>
      <w:r w:rsidRPr="00E25052">
        <w:rPr>
          <w:snapToGrid w:val="0"/>
        </w:rPr>
        <w:t>przygotowanie materiałów,</w:t>
      </w:r>
    </w:p>
    <w:p w:rsidR="00E25052" w:rsidRPr="00E25052" w:rsidRDefault="00E25052" w:rsidP="00E25052">
      <w:pPr>
        <w:tabs>
          <w:tab w:val="num" w:pos="720"/>
        </w:tabs>
        <w:ind w:left="709"/>
        <w:rPr>
          <w:snapToGrid w:val="0"/>
        </w:rPr>
      </w:pPr>
      <w:r>
        <w:rPr>
          <w:snapToGrid w:val="0"/>
        </w:rPr>
        <w:t xml:space="preserve">- </w:t>
      </w:r>
      <w:r w:rsidRPr="00E25052">
        <w:rPr>
          <w:snapToGrid w:val="0"/>
        </w:rPr>
        <w:t xml:space="preserve">wykonanie wzmocnienia styku z krawężnikiem paskiem oraz na styku gzymsów polimerobetonowych i betonu kapy chodnika z laminatu szerokości </w:t>
      </w:r>
      <w:smartTag w:uri="urn:schemas-microsoft-com:office:smarttags" w:element="metricconverter">
        <w:smartTagPr>
          <w:attr w:name="ProductID" w:val="100 mm"/>
        </w:smartTagPr>
        <w:r w:rsidRPr="00E25052">
          <w:rPr>
            <w:snapToGrid w:val="0"/>
          </w:rPr>
          <w:t>100 mm</w:t>
        </w:r>
      </w:smartTag>
      <w:r w:rsidRPr="00E25052">
        <w:rPr>
          <w:snapToGrid w:val="0"/>
        </w:rPr>
        <w:t>,</w:t>
      </w:r>
    </w:p>
    <w:p w:rsidR="00E25052" w:rsidRPr="00E25052" w:rsidRDefault="00E25052" w:rsidP="00E25052">
      <w:pPr>
        <w:tabs>
          <w:tab w:val="num" w:pos="720"/>
        </w:tabs>
        <w:ind w:firstLine="709"/>
        <w:rPr>
          <w:snapToGrid w:val="0"/>
        </w:rPr>
      </w:pPr>
      <w:r>
        <w:rPr>
          <w:snapToGrid w:val="0"/>
        </w:rPr>
        <w:t xml:space="preserve">- </w:t>
      </w:r>
      <w:r w:rsidRPr="00E25052">
        <w:rPr>
          <w:snapToGrid w:val="0"/>
        </w:rPr>
        <w:t>zagruntowanie podłoża,</w:t>
      </w:r>
    </w:p>
    <w:p w:rsidR="00E25052" w:rsidRPr="00E25052" w:rsidRDefault="00E25052" w:rsidP="00E25052">
      <w:pPr>
        <w:tabs>
          <w:tab w:val="num" w:pos="720"/>
        </w:tabs>
        <w:ind w:firstLine="709"/>
        <w:rPr>
          <w:snapToGrid w:val="0"/>
        </w:rPr>
      </w:pPr>
      <w:r>
        <w:rPr>
          <w:snapToGrid w:val="0"/>
        </w:rPr>
        <w:t xml:space="preserve">- </w:t>
      </w:r>
      <w:r w:rsidRPr="00E25052">
        <w:rPr>
          <w:snapToGrid w:val="0"/>
        </w:rPr>
        <w:t>rozłożenie masy nawierzchniowej zgodnie z kartą techniczną z posypaniem kruszywem,</w:t>
      </w:r>
    </w:p>
    <w:p w:rsidR="00E25052" w:rsidRPr="00E25052" w:rsidRDefault="00E25052" w:rsidP="00E25052">
      <w:pPr>
        <w:tabs>
          <w:tab w:val="num" w:pos="720"/>
        </w:tabs>
        <w:ind w:firstLine="709"/>
        <w:rPr>
          <w:snapToGrid w:val="0"/>
        </w:rPr>
      </w:pPr>
      <w:r>
        <w:rPr>
          <w:snapToGrid w:val="0"/>
        </w:rPr>
        <w:t xml:space="preserve">- </w:t>
      </w:r>
      <w:r w:rsidRPr="00E25052">
        <w:rPr>
          <w:snapToGrid w:val="0"/>
        </w:rPr>
        <w:t>pielęgnacja wykonanej nawierzchni,</w:t>
      </w:r>
    </w:p>
    <w:p w:rsidR="00E25052" w:rsidRPr="00E25052" w:rsidRDefault="00E25052" w:rsidP="00E25052">
      <w:pPr>
        <w:tabs>
          <w:tab w:val="num" w:pos="720"/>
        </w:tabs>
        <w:ind w:firstLine="709"/>
        <w:rPr>
          <w:snapToGrid w:val="0"/>
        </w:rPr>
      </w:pPr>
      <w:r>
        <w:rPr>
          <w:snapToGrid w:val="0"/>
        </w:rPr>
        <w:t xml:space="preserve">- </w:t>
      </w:r>
      <w:r w:rsidRPr="00E25052">
        <w:rPr>
          <w:snapToGrid w:val="0"/>
        </w:rPr>
        <w:t>przeprowadzenie pomiarów i badań laboratoryjnych wymaganych w ST,</w:t>
      </w:r>
    </w:p>
    <w:p w:rsidR="00E25052" w:rsidRDefault="00E25052" w:rsidP="00741813">
      <w:pPr>
        <w:tabs>
          <w:tab w:val="num" w:pos="720"/>
        </w:tabs>
        <w:ind w:firstLine="709"/>
        <w:rPr>
          <w:snapToGrid w:val="0"/>
        </w:rPr>
      </w:pPr>
      <w:r>
        <w:rPr>
          <w:snapToGrid w:val="0"/>
        </w:rPr>
        <w:t xml:space="preserve">- </w:t>
      </w:r>
      <w:r w:rsidRPr="00E25052">
        <w:rPr>
          <w:snapToGrid w:val="0"/>
        </w:rPr>
        <w:t>uporządkowanie placu budowy.</w:t>
      </w:r>
    </w:p>
    <w:p w:rsidR="00741813" w:rsidRPr="00741813" w:rsidRDefault="00741813" w:rsidP="00741813">
      <w:pPr>
        <w:tabs>
          <w:tab w:val="num" w:pos="720"/>
        </w:tabs>
        <w:ind w:firstLine="709"/>
        <w:rPr>
          <w:snapToGrid w:val="0"/>
        </w:rPr>
      </w:pPr>
    </w:p>
    <w:p w:rsidR="00AA6196" w:rsidRPr="000222D0" w:rsidRDefault="00AA6196" w:rsidP="00AA6196">
      <w:pPr>
        <w:widowControl w:val="0"/>
        <w:spacing w:before="120" w:after="120"/>
        <w:jc w:val="both"/>
        <w:rPr>
          <w:b/>
          <w:noProof/>
          <w:snapToGrid w:val="0"/>
          <w:u w:val="single"/>
        </w:rPr>
      </w:pPr>
      <w:r w:rsidRPr="000222D0">
        <w:rPr>
          <w:b/>
          <w:noProof/>
          <w:snapToGrid w:val="0"/>
          <w:u w:val="single"/>
        </w:rPr>
        <w:t>10. PRZEPISY ZWIĄZANE</w:t>
      </w:r>
    </w:p>
    <w:p w:rsidR="00741813" w:rsidRPr="00741813" w:rsidRDefault="00741813" w:rsidP="00741813">
      <w:pPr>
        <w:tabs>
          <w:tab w:val="num" w:pos="720"/>
        </w:tabs>
        <w:ind w:firstLine="709"/>
        <w:rPr>
          <w:snapToGrid w:val="0"/>
        </w:rPr>
      </w:pPr>
      <w:r w:rsidRPr="00741813">
        <w:rPr>
          <w:snapToGrid w:val="0"/>
        </w:rPr>
        <w:t>Aprobata techniczna IBD i M</w:t>
      </w:r>
    </w:p>
    <w:p w:rsidR="00115BE4" w:rsidRPr="00741813" w:rsidRDefault="00741813" w:rsidP="00741813">
      <w:pPr>
        <w:tabs>
          <w:tab w:val="num" w:pos="720"/>
        </w:tabs>
        <w:ind w:firstLine="709"/>
        <w:rPr>
          <w:snapToGrid w:val="0"/>
        </w:rPr>
      </w:pPr>
      <w:r w:rsidRPr="00741813">
        <w:rPr>
          <w:snapToGrid w:val="0"/>
        </w:rPr>
        <w:t>Karta Techniczna Producenta</w:t>
      </w:r>
    </w:p>
    <w:p w:rsidR="00115BE4" w:rsidRDefault="00115BE4" w:rsidP="00BE4E21">
      <w:pPr>
        <w:rPr>
          <w:rFonts w:ascii="PL Times New Roman" w:hAnsi="PL Times New Roman"/>
          <w:b/>
          <w:snapToGrid w:val="0"/>
          <w:sz w:val="26"/>
        </w:rPr>
      </w:pPr>
    </w:p>
    <w:p w:rsidR="00115BE4" w:rsidRDefault="00115BE4" w:rsidP="00BE4E21">
      <w:pPr>
        <w:rPr>
          <w:rFonts w:ascii="PL Times New Roman" w:hAnsi="PL Times New Roman"/>
          <w:b/>
          <w:snapToGrid w:val="0"/>
          <w:sz w:val="26"/>
        </w:rPr>
      </w:pPr>
    </w:p>
    <w:p w:rsidR="00115BE4" w:rsidRDefault="00115BE4" w:rsidP="00BE4E21">
      <w:pPr>
        <w:rPr>
          <w:rFonts w:ascii="PL Times New Roman" w:hAnsi="PL Times New Roman"/>
          <w:b/>
          <w:snapToGrid w:val="0"/>
          <w:sz w:val="26"/>
        </w:rPr>
      </w:pPr>
    </w:p>
    <w:p w:rsidR="00115BE4" w:rsidRDefault="00115BE4" w:rsidP="00BE4E21">
      <w:pPr>
        <w:rPr>
          <w:rFonts w:ascii="PL Times New Roman" w:hAnsi="PL Times New Roman"/>
          <w:b/>
          <w:snapToGrid w:val="0"/>
          <w:sz w:val="26"/>
        </w:rPr>
      </w:pPr>
    </w:p>
    <w:p w:rsidR="00115BE4" w:rsidRDefault="00115BE4" w:rsidP="00BE4E21">
      <w:pPr>
        <w:rPr>
          <w:rFonts w:ascii="PL Times New Roman" w:hAnsi="PL Times New Roman"/>
          <w:b/>
          <w:snapToGrid w:val="0"/>
          <w:sz w:val="26"/>
        </w:rPr>
      </w:pPr>
    </w:p>
    <w:p w:rsidR="00115BE4" w:rsidRDefault="00115BE4" w:rsidP="00BE4E21">
      <w:pPr>
        <w:rPr>
          <w:rFonts w:ascii="PL Times New Roman" w:hAnsi="PL Times New Roman"/>
          <w:b/>
          <w:snapToGrid w:val="0"/>
          <w:sz w:val="26"/>
        </w:rPr>
      </w:pPr>
    </w:p>
    <w:p w:rsidR="00115BE4" w:rsidRDefault="00115BE4" w:rsidP="00BE4E21">
      <w:pPr>
        <w:rPr>
          <w:rFonts w:ascii="PL Times New Roman" w:hAnsi="PL Times New Roman"/>
          <w:b/>
          <w:snapToGrid w:val="0"/>
          <w:sz w:val="26"/>
        </w:rPr>
      </w:pPr>
    </w:p>
    <w:p w:rsidR="00115BE4" w:rsidRDefault="00115BE4" w:rsidP="00BE4E21">
      <w:pPr>
        <w:rPr>
          <w:rFonts w:ascii="PL Times New Roman" w:hAnsi="PL Times New Roman"/>
          <w:b/>
          <w:snapToGrid w:val="0"/>
          <w:sz w:val="26"/>
        </w:rPr>
      </w:pPr>
    </w:p>
    <w:p w:rsidR="00115BE4" w:rsidRDefault="00115BE4" w:rsidP="00BE4E21">
      <w:pPr>
        <w:rPr>
          <w:rFonts w:ascii="PL Times New Roman" w:hAnsi="PL Times New Roman"/>
          <w:b/>
          <w:snapToGrid w:val="0"/>
          <w:sz w:val="26"/>
        </w:rPr>
      </w:pPr>
    </w:p>
    <w:p w:rsidR="00115BE4" w:rsidRDefault="00115BE4" w:rsidP="00BE4E21">
      <w:pPr>
        <w:rPr>
          <w:rFonts w:ascii="PL Times New Roman" w:hAnsi="PL Times New Roman"/>
          <w:b/>
          <w:snapToGrid w:val="0"/>
          <w:sz w:val="26"/>
        </w:rPr>
      </w:pPr>
    </w:p>
    <w:p w:rsidR="00115BE4" w:rsidRDefault="00115BE4" w:rsidP="00BE4E21">
      <w:pPr>
        <w:rPr>
          <w:rFonts w:ascii="PL Times New Roman" w:hAnsi="PL Times New Roman"/>
          <w:b/>
          <w:snapToGrid w:val="0"/>
          <w:sz w:val="26"/>
        </w:rPr>
      </w:pPr>
    </w:p>
    <w:p w:rsidR="00115BE4" w:rsidRDefault="00115BE4" w:rsidP="00BE4E21">
      <w:pPr>
        <w:rPr>
          <w:rFonts w:ascii="PL Times New Roman" w:hAnsi="PL Times New Roman"/>
          <w:b/>
          <w:snapToGrid w:val="0"/>
          <w:sz w:val="26"/>
        </w:rPr>
      </w:pPr>
    </w:p>
    <w:p w:rsidR="00115BE4" w:rsidRDefault="00115BE4" w:rsidP="00BE4E21">
      <w:pPr>
        <w:rPr>
          <w:rFonts w:ascii="PL Times New Roman" w:hAnsi="PL Times New Roman"/>
          <w:b/>
          <w:snapToGrid w:val="0"/>
          <w:sz w:val="26"/>
        </w:rPr>
      </w:pPr>
    </w:p>
    <w:p w:rsidR="00115BE4" w:rsidRDefault="00115BE4" w:rsidP="00BE4E21">
      <w:pPr>
        <w:rPr>
          <w:rFonts w:ascii="PL Times New Roman" w:hAnsi="PL Times New Roman"/>
          <w:b/>
          <w:snapToGrid w:val="0"/>
          <w:sz w:val="26"/>
        </w:rPr>
      </w:pPr>
    </w:p>
    <w:p w:rsidR="00115BE4" w:rsidRDefault="00115BE4" w:rsidP="00BE4E21">
      <w:pPr>
        <w:rPr>
          <w:rFonts w:ascii="PL Times New Roman" w:hAnsi="PL Times New Roman"/>
          <w:b/>
          <w:snapToGrid w:val="0"/>
          <w:sz w:val="26"/>
        </w:rPr>
      </w:pPr>
    </w:p>
    <w:p w:rsidR="00115BE4" w:rsidRDefault="00115BE4" w:rsidP="00BE4E21">
      <w:pPr>
        <w:rPr>
          <w:rFonts w:ascii="PL Times New Roman" w:hAnsi="PL Times New Roman"/>
          <w:b/>
          <w:snapToGrid w:val="0"/>
          <w:sz w:val="26"/>
        </w:rPr>
      </w:pPr>
    </w:p>
    <w:p w:rsidR="00115BE4" w:rsidRDefault="00115BE4" w:rsidP="00BE4E21">
      <w:pPr>
        <w:rPr>
          <w:rFonts w:ascii="PL Times New Roman" w:hAnsi="PL Times New Roman"/>
          <w:b/>
          <w:snapToGrid w:val="0"/>
          <w:sz w:val="26"/>
        </w:rPr>
      </w:pPr>
    </w:p>
    <w:p w:rsidR="00115BE4" w:rsidRDefault="00115BE4" w:rsidP="00BE4E21">
      <w:pPr>
        <w:rPr>
          <w:rFonts w:ascii="PL Times New Roman" w:hAnsi="PL Times New Roman"/>
          <w:b/>
          <w:snapToGrid w:val="0"/>
          <w:sz w:val="26"/>
        </w:rPr>
      </w:pPr>
    </w:p>
    <w:p w:rsidR="00115BE4" w:rsidRDefault="00115BE4" w:rsidP="00BE4E21">
      <w:pPr>
        <w:rPr>
          <w:rFonts w:ascii="PL Times New Roman" w:hAnsi="PL Times New Roman"/>
          <w:b/>
          <w:snapToGrid w:val="0"/>
          <w:sz w:val="26"/>
        </w:rPr>
      </w:pPr>
    </w:p>
    <w:p w:rsidR="00115BE4" w:rsidRDefault="00115BE4" w:rsidP="00BE4E21">
      <w:pPr>
        <w:rPr>
          <w:rFonts w:ascii="PL Times New Roman" w:hAnsi="PL Times New Roman"/>
          <w:b/>
          <w:snapToGrid w:val="0"/>
          <w:sz w:val="26"/>
        </w:rPr>
      </w:pPr>
    </w:p>
    <w:p w:rsidR="00115BE4" w:rsidRDefault="00115BE4" w:rsidP="00BE4E21">
      <w:pPr>
        <w:rPr>
          <w:rFonts w:ascii="PL Times New Roman" w:hAnsi="PL Times New Roman"/>
          <w:b/>
          <w:snapToGrid w:val="0"/>
          <w:sz w:val="26"/>
        </w:rPr>
      </w:pPr>
    </w:p>
    <w:p w:rsidR="00115BE4" w:rsidRDefault="00115BE4" w:rsidP="00BE4E21">
      <w:pPr>
        <w:rPr>
          <w:rFonts w:ascii="PL Times New Roman" w:hAnsi="PL Times New Roman"/>
          <w:b/>
          <w:snapToGrid w:val="0"/>
          <w:sz w:val="26"/>
        </w:rPr>
      </w:pPr>
    </w:p>
    <w:p w:rsidR="00115BE4" w:rsidRDefault="00115BE4" w:rsidP="00BE4E21">
      <w:pPr>
        <w:rPr>
          <w:rFonts w:ascii="PL Times New Roman" w:hAnsi="PL Times New Roman"/>
          <w:b/>
          <w:snapToGrid w:val="0"/>
          <w:sz w:val="26"/>
        </w:rPr>
      </w:pPr>
    </w:p>
    <w:p w:rsidR="00115BE4" w:rsidRDefault="00115BE4" w:rsidP="00BE4E21">
      <w:pPr>
        <w:rPr>
          <w:rFonts w:ascii="PL Times New Roman" w:hAnsi="PL Times New Roman"/>
          <w:b/>
          <w:snapToGrid w:val="0"/>
          <w:sz w:val="26"/>
        </w:rPr>
      </w:pPr>
    </w:p>
    <w:p w:rsidR="00115BE4" w:rsidRDefault="00115BE4" w:rsidP="00BE4E21">
      <w:pPr>
        <w:rPr>
          <w:rFonts w:ascii="PL Times New Roman" w:hAnsi="PL Times New Roman"/>
          <w:b/>
          <w:snapToGrid w:val="0"/>
          <w:sz w:val="26"/>
        </w:rPr>
      </w:pPr>
    </w:p>
    <w:p w:rsidR="00115BE4" w:rsidRDefault="00115BE4" w:rsidP="00BE4E21">
      <w:pPr>
        <w:rPr>
          <w:rFonts w:ascii="PL Times New Roman" w:hAnsi="PL Times New Roman"/>
          <w:b/>
          <w:snapToGrid w:val="0"/>
          <w:sz w:val="26"/>
        </w:rPr>
      </w:pPr>
    </w:p>
    <w:p w:rsidR="00115BE4" w:rsidRDefault="00115BE4" w:rsidP="00BE4E21">
      <w:pPr>
        <w:rPr>
          <w:rFonts w:ascii="PL Times New Roman" w:hAnsi="PL Times New Roman"/>
          <w:b/>
          <w:snapToGrid w:val="0"/>
          <w:sz w:val="26"/>
        </w:rPr>
      </w:pPr>
    </w:p>
    <w:p w:rsidR="00115BE4" w:rsidRDefault="00115BE4" w:rsidP="00BE4E21">
      <w:pPr>
        <w:rPr>
          <w:rFonts w:ascii="PL Times New Roman" w:hAnsi="PL Times New Roman"/>
          <w:b/>
          <w:snapToGrid w:val="0"/>
          <w:sz w:val="26"/>
        </w:rPr>
      </w:pPr>
    </w:p>
    <w:p w:rsidR="00115BE4" w:rsidRDefault="00115BE4" w:rsidP="00BE4E21">
      <w:pPr>
        <w:rPr>
          <w:rFonts w:ascii="PL Times New Roman" w:hAnsi="PL Times New Roman"/>
          <w:b/>
          <w:snapToGrid w:val="0"/>
          <w:sz w:val="26"/>
        </w:rPr>
      </w:pPr>
    </w:p>
    <w:p w:rsidR="00115BE4" w:rsidRDefault="00115BE4" w:rsidP="00BE4E21">
      <w:pPr>
        <w:rPr>
          <w:rFonts w:ascii="PL Times New Roman" w:hAnsi="PL Times New Roman"/>
          <w:b/>
          <w:snapToGrid w:val="0"/>
          <w:sz w:val="26"/>
        </w:rPr>
      </w:pPr>
    </w:p>
    <w:p w:rsidR="00115BE4" w:rsidRDefault="00115BE4" w:rsidP="00BE4E21">
      <w:pPr>
        <w:rPr>
          <w:rFonts w:ascii="PL Times New Roman" w:hAnsi="PL Times New Roman"/>
          <w:b/>
          <w:snapToGrid w:val="0"/>
          <w:sz w:val="26"/>
        </w:rPr>
      </w:pPr>
    </w:p>
    <w:p w:rsidR="00115BE4" w:rsidRDefault="00115BE4" w:rsidP="00BE4E21">
      <w:pPr>
        <w:rPr>
          <w:rFonts w:ascii="PL Times New Roman" w:hAnsi="PL Times New Roman"/>
          <w:b/>
          <w:snapToGrid w:val="0"/>
          <w:sz w:val="26"/>
        </w:rPr>
      </w:pPr>
    </w:p>
    <w:p w:rsidR="00115BE4" w:rsidRDefault="00115BE4" w:rsidP="00BE4E21">
      <w:pPr>
        <w:rPr>
          <w:rFonts w:ascii="PL Times New Roman" w:hAnsi="PL Times New Roman"/>
          <w:b/>
          <w:snapToGrid w:val="0"/>
          <w:sz w:val="26"/>
        </w:rPr>
      </w:pPr>
    </w:p>
    <w:p w:rsidR="00673CA3" w:rsidRPr="000222D0" w:rsidRDefault="00673CA3" w:rsidP="00673CA3">
      <w:pPr>
        <w:jc w:val="both"/>
        <w:outlineLvl w:val="0"/>
        <w:rPr>
          <w:rFonts w:ascii="PL Times New Roman" w:hAnsi="PL Times New Roman"/>
          <w:b/>
          <w:snapToGrid w:val="0"/>
          <w:sz w:val="26"/>
        </w:rPr>
      </w:pPr>
      <w:bookmarkStart w:id="41" w:name="_Toc80100091"/>
      <w:r>
        <w:rPr>
          <w:rFonts w:ascii="PL Times New Roman" w:hAnsi="PL Times New Roman"/>
          <w:b/>
          <w:snapToGrid w:val="0"/>
          <w:sz w:val="26"/>
        </w:rPr>
        <w:t>M.19.01.03. BARIERO – PORĘCZE OCHRONNE STALOWE NA MOŚCIE</w:t>
      </w:r>
      <w:bookmarkEnd w:id="41"/>
    </w:p>
    <w:p w:rsidR="00673CA3" w:rsidRPr="000222D0" w:rsidRDefault="00673CA3" w:rsidP="00673CA3">
      <w:pPr>
        <w:widowControl w:val="0"/>
        <w:spacing w:before="120" w:after="120"/>
        <w:jc w:val="both"/>
        <w:rPr>
          <w:b/>
          <w:noProof/>
          <w:snapToGrid w:val="0"/>
          <w:u w:val="single"/>
        </w:rPr>
      </w:pPr>
      <w:r w:rsidRPr="000222D0">
        <w:rPr>
          <w:b/>
          <w:noProof/>
          <w:snapToGrid w:val="0"/>
          <w:u w:val="single"/>
        </w:rPr>
        <w:t>1. WSTĘP</w:t>
      </w:r>
    </w:p>
    <w:p w:rsidR="00673CA3" w:rsidRPr="000222D0" w:rsidRDefault="00673CA3" w:rsidP="00673CA3">
      <w:pPr>
        <w:autoSpaceDE w:val="0"/>
        <w:autoSpaceDN w:val="0"/>
        <w:adjustRightInd w:val="0"/>
        <w:rPr>
          <w:b/>
          <w:bCs/>
        </w:rPr>
      </w:pPr>
      <w:r w:rsidRPr="000222D0">
        <w:rPr>
          <w:b/>
          <w:bCs/>
        </w:rPr>
        <w:t>1.1. Przedmiot SST</w:t>
      </w:r>
    </w:p>
    <w:p w:rsidR="00673CA3" w:rsidRDefault="00673CA3" w:rsidP="00673CA3">
      <w:pPr>
        <w:widowControl w:val="0"/>
        <w:jc w:val="both"/>
        <w:rPr>
          <w:snapToGrid w:val="0"/>
        </w:rPr>
      </w:pPr>
      <w:r w:rsidRPr="00F85B5B">
        <w:rPr>
          <w:snapToGrid w:val="0"/>
        </w:rPr>
        <w:t>Przedmiotem niniejszej Specyfikacji Technicznej są wymagania dotyczące wykonan</w:t>
      </w:r>
      <w:r>
        <w:rPr>
          <w:snapToGrid w:val="0"/>
        </w:rPr>
        <w:t xml:space="preserve">ia i odbioru robót </w:t>
      </w:r>
      <w:r w:rsidRPr="0075125F">
        <w:rPr>
          <w:snapToGrid w:val="0"/>
        </w:rPr>
        <w:t xml:space="preserve">związanych </w:t>
      </w:r>
      <w:r w:rsidRPr="007D5241">
        <w:rPr>
          <w:snapToGrid w:val="0"/>
        </w:rPr>
        <w:t xml:space="preserve">z </w:t>
      </w:r>
      <w:r>
        <w:rPr>
          <w:snapToGrid w:val="0"/>
        </w:rPr>
        <w:t xml:space="preserve">realizacją </w:t>
      </w:r>
      <w:r w:rsidR="008D27A8">
        <w:rPr>
          <w:snapToGrid w:val="0"/>
        </w:rPr>
        <w:t xml:space="preserve">na drogach bariero – poręczy stalowych </w:t>
      </w:r>
      <w:r w:rsidRPr="00F85B5B">
        <w:rPr>
          <w:snapToGrid w:val="0"/>
        </w:rPr>
        <w:t>w ramach zadania.</w:t>
      </w:r>
      <w:r>
        <w:rPr>
          <w:snapToGrid w:val="0"/>
        </w:rPr>
        <w:t xml:space="preserve">: </w:t>
      </w:r>
      <w:r w:rsidR="00B751AC">
        <w:rPr>
          <w:bCs/>
        </w:rPr>
        <w:t>"Remont przepustu nad rzeką Postomia w ciągu drogi nr 445/k.2922 m. Wędrzyn."</w:t>
      </w:r>
    </w:p>
    <w:p w:rsidR="00673CA3" w:rsidRPr="00F85B5B" w:rsidRDefault="00673CA3" w:rsidP="00673CA3">
      <w:pPr>
        <w:widowControl w:val="0"/>
        <w:jc w:val="both"/>
        <w:rPr>
          <w:snapToGrid w:val="0"/>
        </w:rPr>
      </w:pPr>
    </w:p>
    <w:p w:rsidR="00673CA3" w:rsidRPr="000222D0" w:rsidRDefault="00673CA3" w:rsidP="00673CA3">
      <w:pPr>
        <w:autoSpaceDE w:val="0"/>
        <w:autoSpaceDN w:val="0"/>
        <w:adjustRightInd w:val="0"/>
        <w:rPr>
          <w:b/>
          <w:bCs/>
        </w:rPr>
      </w:pPr>
      <w:r w:rsidRPr="000222D0">
        <w:rPr>
          <w:b/>
          <w:bCs/>
        </w:rPr>
        <w:t>1.2. Zakres stosowania SST</w:t>
      </w:r>
    </w:p>
    <w:p w:rsidR="00673CA3" w:rsidRDefault="00673CA3" w:rsidP="00673CA3">
      <w:pPr>
        <w:widowControl w:val="0"/>
        <w:jc w:val="both"/>
        <w:rPr>
          <w:snapToGrid w:val="0"/>
        </w:rPr>
      </w:pPr>
      <w:r w:rsidRPr="000222D0">
        <w:rPr>
          <w:snapToGrid w:val="0"/>
        </w:rPr>
        <w:t xml:space="preserve">Specyfikacja Techniczna jest stosowana jako dokument przetargowy i kontraktowy przy zlecaniu i realizacji robót wymienionych w punkcie 1.1. </w:t>
      </w:r>
    </w:p>
    <w:p w:rsidR="00673CA3" w:rsidRPr="000222D0" w:rsidRDefault="00673CA3" w:rsidP="00673CA3">
      <w:pPr>
        <w:widowControl w:val="0"/>
        <w:jc w:val="both"/>
        <w:rPr>
          <w:snapToGrid w:val="0"/>
        </w:rPr>
      </w:pPr>
    </w:p>
    <w:p w:rsidR="00673CA3" w:rsidRPr="007D5241" w:rsidRDefault="00673CA3" w:rsidP="00673CA3">
      <w:pPr>
        <w:autoSpaceDE w:val="0"/>
        <w:autoSpaceDN w:val="0"/>
        <w:adjustRightInd w:val="0"/>
        <w:rPr>
          <w:b/>
          <w:bCs/>
        </w:rPr>
      </w:pPr>
      <w:r w:rsidRPr="000222D0">
        <w:rPr>
          <w:b/>
          <w:bCs/>
        </w:rPr>
        <w:t>1.3. Zakres robót objętych SST</w:t>
      </w:r>
    </w:p>
    <w:p w:rsidR="008D27A8" w:rsidRDefault="008D27A8" w:rsidP="00673CA3">
      <w:pPr>
        <w:widowControl w:val="0"/>
        <w:jc w:val="both"/>
        <w:rPr>
          <w:snapToGrid w:val="0"/>
        </w:rPr>
      </w:pPr>
    </w:p>
    <w:p w:rsidR="008D27A8" w:rsidRDefault="00B751AC" w:rsidP="00673CA3">
      <w:pPr>
        <w:widowControl w:val="0"/>
        <w:jc w:val="both"/>
        <w:rPr>
          <w:snapToGrid w:val="0"/>
        </w:rPr>
      </w:pPr>
      <w:r w:rsidRPr="00B751AC">
        <w:rPr>
          <w:snapToGrid w:val="0"/>
        </w:rPr>
        <w:t>Montaż na przepuście barieroporęczy o parametrach H2, minB, W4; odcinek testowany 18m, odcinek początkowy 4m, odcinek końcowy 4m. Dopuszcza się zastosowanie innych barier o parametrach równoważnych lub lepszych oraz o takiej samej szerokości lub węższych. Barieroporęcz poza obiektem może być kontynuacją barieroporęczy i wtedy należy przewidzieć wykonanie fundamentów żelbetowych o wymiarach np. 45x45x80 cm  pod barieroporęcze na dojazdach lub przechodzić w barieroporęcz wbijaną stanowiącą przedłużenie systemu.</w:t>
      </w:r>
    </w:p>
    <w:p w:rsidR="00B751AC" w:rsidRDefault="00B751AC" w:rsidP="00673CA3">
      <w:pPr>
        <w:widowControl w:val="0"/>
        <w:jc w:val="both"/>
        <w:rPr>
          <w:snapToGrid w:val="0"/>
        </w:rPr>
      </w:pPr>
    </w:p>
    <w:p w:rsidR="008D27A8" w:rsidRPr="008D27A8" w:rsidRDefault="008D27A8" w:rsidP="008D27A8">
      <w:pPr>
        <w:autoSpaceDE w:val="0"/>
        <w:autoSpaceDN w:val="0"/>
        <w:adjustRightInd w:val="0"/>
        <w:rPr>
          <w:b/>
          <w:bCs/>
        </w:rPr>
      </w:pPr>
      <w:r w:rsidRPr="008D27A8">
        <w:rPr>
          <w:b/>
          <w:bCs/>
        </w:rPr>
        <w:t>1.4. Określenia podstawowe</w:t>
      </w:r>
    </w:p>
    <w:p w:rsidR="008D27A8" w:rsidRDefault="008D27A8" w:rsidP="008D27A8">
      <w:pPr>
        <w:widowControl w:val="0"/>
        <w:ind w:firstLine="709"/>
        <w:jc w:val="both"/>
        <w:rPr>
          <w:snapToGrid w:val="0"/>
        </w:rPr>
      </w:pPr>
      <w:r w:rsidRPr="008D27A8">
        <w:rPr>
          <w:snapToGrid w:val="0"/>
        </w:rPr>
        <w:t xml:space="preserve">Określenia podstawowe są zgodne z obowiązującymi, odpowiednimi polskimi normami i </w:t>
      </w:r>
      <w:r>
        <w:rPr>
          <w:snapToGrid w:val="0"/>
        </w:rPr>
        <w:t>z definicjami podanymi w ST</w:t>
      </w:r>
      <w:r w:rsidRPr="008D27A8">
        <w:rPr>
          <w:snapToGrid w:val="0"/>
        </w:rPr>
        <w:t xml:space="preserve"> D</w:t>
      </w:r>
      <w:r>
        <w:rPr>
          <w:snapToGrid w:val="0"/>
        </w:rPr>
        <w:t>-</w:t>
      </w:r>
      <w:r w:rsidRPr="008D27A8">
        <w:rPr>
          <w:snapToGrid w:val="0"/>
        </w:rPr>
        <w:t>M.00.00.00 „Wymagania ogólne” pkt 1.4.</w:t>
      </w:r>
    </w:p>
    <w:p w:rsidR="008D27A8" w:rsidRDefault="008D27A8" w:rsidP="00673CA3">
      <w:pPr>
        <w:widowControl w:val="0"/>
        <w:jc w:val="both"/>
        <w:rPr>
          <w:snapToGrid w:val="0"/>
        </w:rPr>
      </w:pPr>
    </w:p>
    <w:p w:rsidR="008D27A8" w:rsidRDefault="008D27A8" w:rsidP="00673CA3">
      <w:pPr>
        <w:widowControl w:val="0"/>
        <w:jc w:val="both"/>
        <w:rPr>
          <w:snapToGrid w:val="0"/>
        </w:rPr>
      </w:pPr>
      <w:r>
        <w:rPr>
          <w:b/>
          <w:bCs/>
        </w:rPr>
        <w:t>1.5</w:t>
      </w:r>
      <w:r w:rsidRPr="008D27A8">
        <w:rPr>
          <w:b/>
          <w:bCs/>
        </w:rPr>
        <w:t xml:space="preserve">. </w:t>
      </w:r>
      <w:r>
        <w:rPr>
          <w:b/>
          <w:bCs/>
        </w:rPr>
        <w:t>Ogólne wymagania dotyczące robót</w:t>
      </w:r>
    </w:p>
    <w:p w:rsidR="008D27A8" w:rsidRDefault="008D27A8" w:rsidP="008D27A8">
      <w:pPr>
        <w:widowControl w:val="0"/>
        <w:ind w:firstLine="709"/>
        <w:jc w:val="both"/>
        <w:rPr>
          <w:snapToGrid w:val="0"/>
        </w:rPr>
      </w:pPr>
      <w:r w:rsidRPr="008D27A8">
        <w:rPr>
          <w:snapToGrid w:val="0"/>
        </w:rPr>
        <w:t xml:space="preserve">Ogólne wymagania </w:t>
      </w:r>
      <w:r>
        <w:rPr>
          <w:snapToGrid w:val="0"/>
        </w:rPr>
        <w:t>dotyczące robót podano w ST</w:t>
      </w:r>
      <w:r w:rsidRPr="008D27A8">
        <w:rPr>
          <w:snapToGrid w:val="0"/>
        </w:rPr>
        <w:t xml:space="preserve"> D</w:t>
      </w:r>
      <w:r>
        <w:rPr>
          <w:snapToGrid w:val="0"/>
        </w:rPr>
        <w:t>-</w:t>
      </w:r>
      <w:r w:rsidRPr="008D27A8">
        <w:rPr>
          <w:snapToGrid w:val="0"/>
        </w:rPr>
        <w:t>M.00.00.00 „Wymagania ogólne”</w:t>
      </w:r>
    </w:p>
    <w:p w:rsidR="008D27A8" w:rsidRDefault="008D27A8" w:rsidP="00673CA3">
      <w:pPr>
        <w:widowControl w:val="0"/>
        <w:jc w:val="both"/>
        <w:rPr>
          <w:snapToGrid w:val="0"/>
        </w:rPr>
      </w:pPr>
    </w:p>
    <w:p w:rsidR="00673CA3" w:rsidRDefault="00673CA3" w:rsidP="00673CA3">
      <w:pPr>
        <w:widowControl w:val="0"/>
        <w:spacing w:before="120" w:after="120"/>
        <w:jc w:val="both"/>
        <w:rPr>
          <w:b/>
          <w:noProof/>
          <w:snapToGrid w:val="0"/>
          <w:u w:val="single"/>
        </w:rPr>
      </w:pPr>
      <w:r w:rsidRPr="000222D0">
        <w:rPr>
          <w:b/>
          <w:noProof/>
          <w:snapToGrid w:val="0"/>
          <w:u w:val="single"/>
        </w:rPr>
        <w:t>2. MATERIAŁY</w:t>
      </w:r>
    </w:p>
    <w:p w:rsidR="008D27A8" w:rsidRDefault="008D27A8" w:rsidP="008D27A8">
      <w:pPr>
        <w:autoSpaceDE w:val="0"/>
        <w:autoSpaceDN w:val="0"/>
        <w:adjustRightInd w:val="0"/>
        <w:rPr>
          <w:b/>
          <w:bCs/>
        </w:rPr>
      </w:pPr>
      <w:r w:rsidRPr="008D27A8">
        <w:rPr>
          <w:b/>
          <w:bCs/>
        </w:rPr>
        <w:t>2.1. Ogólne wymagania dotyczące materiałów</w:t>
      </w:r>
    </w:p>
    <w:p w:rsidR="008D27A8" w:rsidRDefault="008D27A8" w:rsidP="00673CA3">
      <w:pPr>
        <w:widowControl w:val="0"/>
        <w:jc w:val="both"/>
        <w:rPr>
          <w:b/>
          <w:bCs/>
        </w:rPr>
      </w:pPr>
    </w:p>
    <w:p w:rsidR="008D27A8" w:rsidRPr="00CE478B" w:rsidRDefault="008D27A8" w:rsidP="008D27A8">
      <w:pPr>
        <w:widowControl w:val="0"/>
        <w:ind w:firstLine="709"/>
        <w:jc w:val="both"/>
        <w:rPr>
          <w:snapToGrid w:val="0"/>
        </w:rPr>
      </w:pPr>
      <w:r w:rsidRPr="0088130F">
        <w:rPr>
          <w:snapToGrid w:val="0"/>
        </w:rPr>
        <w:t>Ogólne wymagania dotyczące materiałów, ich poz</w:t>
      </w:r>
      <w:r>
        <w:rPr>
          <w:snapToGrid w:val="0"/>
        </w:rPr>
        <w:t>yskiwania i składow., wg ST</w:t>
      </w:r>
      <w:r w:rsidRPr="0088130F">
        <w:rPr>
          <w:snapToGrid w:val="0"/>
        </w:rPr>
        <w:t xml:space="preserve"> D</w:t>
      </w:r>
      <w:r>
        <w:rPr>
          <w:snapToGrid w:val="0"/>
        </w:rPr>
        <w:t>-</w:t>
      </w:r>
      <w:r w:rsidRPr="0088130F">
        <w:rPr>
          <w:snapToGrid w:val="0"/>
        </w:rPr>
        <w:t>M.00.00.00 „Wymagania ogólne”</w:t>
      </w:r>
    </w:p>
    <w:p w:rsidR="008D27A8" w:rsidRPr="00CE478B" w:rsidRDefault="008D27A8" w:rsidP="008D27A8">
      <w:pPr>
        <w:widowControl w:val="0"/>
        <w:ind w:firstLine="709"/>
        <w:jc w:val="both"/>
        <w:rPr>
          <w:snapToGrid w:val="0"/>
        </w:rPr>
      </w:pPr>
      <w:r w:rsidRPr="0075125F">
        <w:rPr>
          <w:snapToGrid w:val="0"/>
        </w:rPr>
        <w:t xml:space="preserve">Przed przystąpieniem do wbudowywania materiału Wykonawca zobowiązany jest do przedstawienia przy każdej dostawie deklaracji </w:t>
      </w:r>
      <w:r w:rsidR="006335B4">
        <w:rPr>
          <w:snapToGrid w:val="0"/>
        </w:rPr>
        <w:t>właściwości</w:t>
      </w:r>
      <w:r w:rsidRPr="0075125F">
        <w:rPr>
          <w:snapToGrid w:val="0"/>
        </w:rPr>
        <w:t xml:space="preserve"> użytkowych materiału objętego normą zharmonizowaną lub europejską oceną techniczną lub europejską aprobatą techniczną, lub krajowej deklaracji </w:t>
      </w:r>
      <w:r w:rsidR="006335B4">
        <w:rPr>
          <w:snapToGrid w:val="0"/>
        </w:rPr>
        <w:t>właściwości</w:t>
      </w:r>
      <w:r w:rsidRPr="0075125F">
        <w:rPr>
          <w:snapToGrid w:val="0"/>
        </w:rPr>
        <w:t xml:space="preserve"> użytkowych dla materiału objętego Polską Normą lub krajową oceną techniczną lub aprobatą techniczną, a także kart technicznych i instrukcji użytkowania poszczególnych materiałów. Za sprawdzenie przydatności materiałów oraz jakość wbudowania odpowiada Wykonawca.</w:t>
      </w:r>
    </w:p>
    <w:p w:rsidR="008D27A8" w:rsidRDefault="008D27A8" w:rsidP="00673CA3">
      <w:pPr>
        <w:widowControl w:val="0"/>
        <w:jc w:val="both"/>
        <w:rPr>
          <w:b/>
          <w:bCs/>
        </w:rPr>
      </w:pPr>
    </w:p>
    <w:p w:rsidR="008D27A8" w:rsidRDefault="008D27A8" w:rsidP="00673CA3">
      <w:pPr>
        <w:widowControl w:val="0"/>
        <w:jc w:val="both"/>
        <w:rPr>
          <w:b/>
          <w:bCs/>
        </w:rPr>
      </w:pPr>
      <w:r>
        <w:rPr>
          <w:b/>
          <w:bCs/>
        </w:rPr>
        <w:t>2.2. Materiały do wkonania barier ochronnch</w:t>
      </w:r>
    </w:p>
    <w:p w:rsidR="008D27A8" w:rsidRPr="008D27A8" w:rsidRDefault="008D27A8" w:rsidP="008D27A8">
      <w:pPr>
        <w:widowControl w:val="0"/>
        <w:ind w:firstLine="709"/>
        <w:jc w:val="both"/>
        <w:rPr>
          <w:snapToGrid w:val="0"/>
        </w:rPr>
      </w:pPr>
      <w:r w:rsidRPr="008D27A8">
        <w:rPr>
          <w:snapToGrid w:val="0"/>
        </w:rPr>
        <w:t>Stalowe bariero-poręcze, jak również wszystkie ich elementy składowe powinny spełniać wymagania określone w „Wytycznych stosowania drogowych barier ochronnych na drogach krajowych” wydanych przez GDDKiA, być zgodne z normami PN-EN 1317 i z dokumentacją projektową</w:t>
      </w:r>
    </w:p>
    <w:p w:rsidR="008D27A8" w:rsidRPr="008D27A8" w:rsidRDefault="008D27A8" w:rsidP="008D27A8">
      <w:pPr>
        <w:widowControl w:val="0"/>
        <w:ind w:firstLine="709"/>
        <w:jc w:val="both"/>
        <w:rPr>
          <w:snapToGrid w:val="0"/>
        </w:rPr>
      </w:pPr>
      <w:r w:rsidRPr="008D27A8">
        <w:rPr>
          <w:snapToGrid w:val="0"/>
        </w:rPr>
        <w:t>Stalowe bariero-poręcze dostarczone na budowę powinny mieć atesty i gwarancje trwałości producenta, certyfikat na znak bezpieczeństwa i oznaczenia tym znakiem wyrobów bariery ochronnej, jak również aprobaty techniczne</w:t>
      </w:r>
      <w:r w:rsidR="00D85CE9">
        <w:rPr>
          <w:snapToGrid w:val="0"/>
        </w:rPr>
        <w:t xml:space="preserve"> (krajową ocene techniczną)</w:t>
      </w:r>
      <w:r w:rsidRPr="008D27A8">
        <w:rPr>
          <w:snapToGrid w:val="0"/>
        </w:rPr>
        <w:t xml:space="preserve"> i deklaracj</w:t>
      </w:r>
      <w:r w:rsidR="004A0962">
        <w:rPr>
          <w:snapToGrid w:val="0"/>
        </w:rPr>
        <w:t>e zgodności jak w p. 2.1 ST</w:t>
      </w:r>
    </w:p>
    <w:p w:rsidR="008D27A8" w:rsidRPr="008D27A8" w:rsidRDefault="008D27A8" w:rsidP="008D27A8">
      <w:pPr>
        <w:widowControl w:val="0"/>
        <w:ind w:firstLine="709"/>
        <w:jc w:val="both"/>
        <w:rPr>
          <w:snapToGrid w:val="0"/>
        </w:rPr>
      </w:pPr>
      <w:r w:rsidRPr="008D27A8">
        <w:rPr>
          <w:snapToGrid w:val="0"/>
        </w:rPr>
        <w:t>Wszystkie elementy bariero-poręczy ochronnych powinny być zaprojektowane na okres użytkowania nie krótszy niż 20 lat. Materiały powinny zost</w:t>
      </w:r>
      <w:r w:rsidR="00EC6812">
        <w:rPr>
          <w:snapToGrid w:val="0"/>
        </w:rPr>
        <w:t>ać zaakceptowane przez</w:t>
      </w:r>
      <w:r w:rsidR="00330D20">
        <w:t>przedstawiciela</w:t>
      </w:r>
      <w:r w:rsidR="00EC6812">
        <w:rPr>
          <w:snapToGrid w:val="0"/>
        </w:rPr>
        <w:t xml:space="preserve"> Zamawiającego</w:t>
      </w:r>
    </w:p>
    <w:p w:rsidR="008D27A8" w:rsidRPr="008D27A8" w:rsidRDefault="008D27A8" w:rsidP="008D27A8">
      <w:pPr>
        <w:widowControl w:val="0"/>
        <w:ind w:firstLine="709"/>
        <w:jc w:val="both"/>
        <w:rPr>
          <w:snapToGrid w:val="0"/>
        </w:rPr>
      </w:pPr>
      <w:r w:rsidRPr="008D27A8">
        <w:rPr>
          <w:snapToGrid w:val="0"/>
        </w:rPr>
        <w:t xml:space="preserve">Sposób zabezpieczenia antykorozyjnego elementów bariero-poręczy ustala producent w taki sposób, aby zapewnić trwałość powłoki antykorozyjnej przez okres 5 do 10 lat w warunkach normalnych, do co najmniej 3 do 5 lat w środowisku o zwiększonej korozyjności. W przypadku braku wystarczających danych minimalna grubość powłoki cynkowej powinna wynosić 60 </w:t>
      </w:r>
      <w:r w:rsidRPr="008D27A8">
        <w:rPr>
          <w:snapToGrid w:val="0"/>
        </w:rPr>
        <w:sym w:font="Symbol" w:char="F06D"/>
      </w:r>
      <w:r w:rsidRPr="008D27A8">
        <w:rPr>
          <w:snapToGrid w:val="0"/>
        </w:rPr>
        <w:t>m</w:t>
      </w:r>
    </w:p>
    <w:p w:rsidR="008D27A8" w:rsidRDefault="008D27A8" w:rsidP="008D27A8">
      <w:pPr>
        <w:widowControl w:val="0"/>
        <w:ind w:firstLine="709"/>
        <w:jc w:val="both"/>
        <w:rPr>
          <w:b/>
          <w:bCs/>
        </w:rPr>
      </w:pPr>
      <w:r>
        <w:rPr>
          <w:snapToGrid w:val="0"/>
        </w:rPr>
        <w:t>Wg niniejszej ST</w:t>
      </w:r>
      <w:r w:rsidRPr="008D27A8">
        <w:rPr>
          <w:snapToGrid w:val="0"/>
        </w:rPr>
        <w:t xml:space="preserve"> materiałem są bariero-poręcze stalowe wg PN-EN 1317-2 i dok. proj</w:t>
      </w:r>
      <w:r>
        <w:t>.</w:t>
      </w:r>
    </w:p>
    <w:p w:rsidR="008D27A8" w:rsidRDefault="008D27A8" w:rsidP="008D27A8">
      <w:pPr>
        <w:widowControl w:val="0"/>
        <w:ind w:firstLine="709"/>
        <w:jc w:val="both"/>
        <w:rPr>
          <w:snapToGrid w:val="0"/>
        </w:rPr>
      </w:pPr>
      <w:r w:rsidRPr="008D27A8">
        <w:rPr>
          <w:snapToGrid w:val="0"/>
        </w:rPr>
        <w:t>Powierzchnie elementów powinny być bez rys, pęknięć i ubytków betonu. Krawędzie elementów powinny być równe i proste.</w:t>
      </w:r>
    </w:p>
    <w:p w:rsidR="008D27A8" w:rsidRDefault="008D27A8" w:rsidP="008D27A8">
      <w:pPr>
        <w:widowControl w:val="0"/>
        <w:ind w:firstLine="709"/>
        <w:jc w:val="both"/>
        <w:rPr>
          <w:snapToGrid w:val="0"/>
        </w:rPr>
      </w:pPr>
    </w:p>
    <w:p w:rsidR="007F1E86" w:rsidRDefault="007F1E86" w:rsidP="008D27A8">
      <w:pPr>
        <w:widowControl w:val="0"/>
        <w:ind w:firstLine="709"/>
        <w:jc w:val="both"/>
        <w:rPr>
          <w:snapToGrid w:val="0"/>
        </w:rPr>
      </w:pPr>
    </w:p>
    <w:p w:rsidR="00B751AC" w:rsidRDefault="00B751AC" w:rsidP="008D27A8">
      <w:pPr>
        <w:widowControl w:val="0"/>
        <w:ind w:firstLine="709"/>
        <w:jc w:val="both"/>
        <w:rPr>
          <w:snapToGrid w:val="0"/>
        </w:rPr>
      </w:pPr>
    </w:p>
    <w:p w:rsidR="008D27A8" w:rsidRDefault="008D27A8" w:rsidP="008D27A8">
      <w:pPr>
        <w:widowControl w:val="0"/>
        <w:jc w:val="both"/>
        <w:rPr>
          <w:b/>
          <w:bCs/>
        </w:rPr>
      </w:pPr>
      <w:r>
        <w:rPr>
          <w:b/>
          <w:bCs/>
        </w:rPr>
        <w:t>2.3. Zakotwienie</w:t>
      </w:r>
    </w:p>
    <w:p w:rsidR="008D27A8" w:rsidRPr="008D27A8" w:rsidRDefault="007F1E86" w:rsidP="008D27A8">
      <w:pPr>
        <w:widowControl w:val="0"/>
        <w:ind w:firstLine="709"/>
        <w:jc w:val="both"/>
        <w:rPr>
          <w:snapToGrid w:val="0"/>
        </w:rPr>
      </w:pPr>
      <w:r w:rsidRPr="007F1E86">
        <w:rPr>
          <w:snapToGrid w:val="0"/>
        </w:rPr>
        <w:t>Słupki mogą być kotwione na kotwy chemiczne.</w:t>
      </w:r>
    </w:p>
    <w:p w:rsidR="008D27A8" w:rsidRDefault="007F1E86" w:rsidP="007F1E86">
      <w:pPr>
        <w:widowControl w:val="0"/>
        <w:ind w:firstLine="709"/>
        <w:jc w:val="both"/>
        <w:rPr>
          <w:b/>
          <w:bCs/>
        </w:rPr>
      </w:pPr>
      <w:r w:rsidRPr="008D27A8">
        <w:rPr>
          <w:snapToGrid w:val="0"/>
        </w:rPr>
        <w:t>Barieroporęcz poza obiektem może być kontynuacją barieroporęczy i wtedy należy przewidzieć wykonanie fundamentów żelbetowych o wymiarach np. 45x45x80 cm  pod barieroporęcze na dojazdach</w:t>
      </w:r>
    </w:p>
    <w:p w:rsidR="008D27A8" w:rsidRDefault="008D27A8" w:rsidP="00673CA3">
      <w:pPr>
        <w:widowControl w:val="0"/>
        <w:jc w:val="both"/>
        <w:rPr>
          <w:b/>
          <w:bCs/>
        </w:rPr>
      </w:pPr>
    </w:p>
    <w:p w:rsidR="008D27A8" w:rsidRPr="007F1E86" w:rsidRDefault="007F1E86" w:rsidP="007F1E86">
      <w:pPr>
        <w:widowControl w:val="0"/>
        <w:jc w:val="both"/>
        <w:rPr>
          <w:b/>
          <w:bCs/>
        </w:rPr>
      </w:pPr>
      <w:r>
        <w:rPr>
          <w:b/>
          <w:bCs/>
        </w:rPr>
        <w:t>2.4. Składowanie materiałów</w:t>
      </w:r>
    </w:p>
    <w:p w:rsidR="008D27A8" w:rsidRPr="007F1E86" w:rsidRDefault="007F1E86" w:rsidP="007F1E86">
      <w:pPr>
        <w:widowControl w:val="0"/>
        <w:ind w:firstLine="709"/>
        <w:jc w:val="both"/>
        <w:rPr>
          <w:snapToGrid w:val="0"/>
        </w:rPr>
      </w:pPr>
      <w:r w:rsidRPr="007F1E86">
        <w:rPr>
          <w:snapToGrid w:val="0"/>
        </w:rPr>
        <w:t>Elementy dłuższe bariero-poręczy mogą być składowane pod zadaszeniem lub na otwartej przestrzeni, na podłożu wyrównanym i odwodnionym, przy czym elementy poszczególnych typów należy układać oddzielnie z ewentualnym zastosowaniem podkładek. Elementy montażowe i połączeniowe można składować w pojemnikach handlowych producenta</w:t>
      </w:r>
    </w:p>
    <w:p w:rsidR="008D27A8" w:rsidRPr="007F1E86" w:rsidRDefault="007F1E86" w:rsidP="007F1E86">
      <w:pPr>
        <w:widowControl w:val="0"/>
        <w:ind w:firstLine="709"/>
        <w:jc w:val="both"/>
        <w:rPr>
          <w:snapToGrid w:val="0"/>
        </w:rPr>
      </w:pPr>
      <w:r w:rsidRPr="007F1E86">
        <w:rPr>
          <w:snapToGrid w:val="0"/>
        </w:rPr>
        <w:t>Składowanie kruszywa powinno odbywać się w warunkach zabezpieczających je przed zanieczyszczeniem i zmieszaniem z innymi asortymentami kruszywa lub jego frakcjami. Zaleca się, aby drobne frakcje kruszywa były chronione za pomocą plandek lub zadaszeń. Podłoże składowiska musi być równe, utwardzone i dobrze odwodnione, aby nie dopuścić do zanieczyszczenia kruszywa w trakcie składowania.</w:t>
      </w:r>
    </w:p>
    <w:p w:rsidR="008D27A8" w:rsidRPr="009F6807" w:rsidRDefault="009F6807" w:rsidP="009F6807">
      <w:pPr>
        <w:widowControl w:val="0"/>
        <w:ind w:firstLine="709"/>
        <w:jc w:val="both"/>
        <w:rPr>
          <w:snapToGrid w:val="0"/>
        </w:rPr>
      </w:pPr>
      <w:r w:rsidRPr="009F6807">
        <w:rPr>
          <w:snapToGrid w:val="0"/>
        </w:rPr>
        <w:t>Przechowywanie cementu powinno być zgodne z ustaleniami BN-88/6731-08.</w:t>
      </w:r>
    </w:p>
    <w:p w:rsidR="00673CA3" w:rsidRPr="009F6807" w:rsidRDefault="009F6807" w:rsidP="009F6807">
      <w:pPr>
        <w:widowControl w:val="0"/>
        <w:ind w:firstLine="709"/>
        <w:jc w:val="both"/>
        <w:rPr>
          <w:b/>
          <w:bCs/>
        </w:rPr>
      </w:pPr>
      <w:r w:rsidRPr="009F6807">
        <w:rPr>
          <w:snapToGrid w:val="0"/>
        </w:rPr>
        <w:t>Inne materiały należy przechowywać w sposób zgodny z zaleceniami producenta</w:t>
      </w:r>
    </w:p>
    <w:p w:rsidR="00673CA3" w:rsidRDefault="00673CA3" w:rsidP="00673CA3">
      <w:pPr>
        <w:widowControl w:val="0"/>
        <w:spacing w:before="120" w:after="120"/>
        <w:jc w:val="both"/>
        <w:rPr>
          <w:b/>
          <w:noProof/>
          <w:snapToGrid w:val="0"/>
          <w:u w:val="single"/>
        </w:rPr>
      </w:pPr>
      <w:r w:rsidRPr="000222D0">
        <w:rPr>
          <w:b/>
          <w:noProof/>
          <w:snapToGrid w:val="0"/>
          <w:u w:val="single"/>
        </w:rPr>
        <w:t>3. SPRZĘT</w:t>
      </w:r>
    </w:p>
    <w:p w:rsidR="009F6807" w:rsidRDefault="009F6807" w:rsidP="00673CA3">
      <w:pPr>
        <w:widowControl w:val="0"/>
        <w:ind w:firstLine="709"/>
        <w:jc w:val="both"/>
        <w:rPr>
          <w:snapToGrid w:val="0"/>
        </w:rPr>
      </w:pPr>
      <w:r w:rsidRPr="009F6807">
        <w:rPr>
          <w:snapToGrid w:val="0"/>
        </w:rPr>
        <w:t>Ogólne wymagania dotyczące sprzętu podano w STWiORB DM.00.00.00 „Wymagania ogólne”</w:t>
      </w:r>
    </w:p>
    <w:p w:rsidR="009F6807" w:rsidRDefault="009F6807" w:rsidP="00673CA3">
      <w:pPr>
        <w:widowControl w:val="0"/>
        <w:ind w:firstLine="709"/>
        <w:jc w:val="both"/>
        <w:rPr>
          <w:snapToGrid w:val="0"/>
        </w:rPr>
      </w:pPr>
      <w:r w:rsidRPr="009F6807">
        <w:rPr>
          <w:snapToGrid w:val="0"/>
        </w:rPr>
        <w:t>Wykonawca przystępujący do wykonania bariero-poręczy stalowych powinien wykazać się możliwością korzystania z następującego sprzętu:</w:t>
      </w:r>
    </w:p>
    <w:p w:rsidR="009F6807" w:rsidRPr="009F6807" w:rsidRDefault="009F6807" w:rsidP="00673CA3">
      <w:pPr>
        <w:widowControl w:val="0"/>
        <w:ind w:firstLine="709"/>
        <w:jc w:val="both"/>
        <w:rPr>
          <w:snapToGrid w:val="0"/>
        </w:rPr>
      </w:pPr>
      <w:r w:rsidRPr="009F6807">
        <w:rPr>
          <w:snapToGrid w:val="0"/>
        </w:rPr>
        <w:t xml:space="preserve">– zestawu sprzętu specjalistycznego do montażu bariero-poręczy, </w:t>
      </w:r>
    </w:p>
    <w:p w:rsidR="009F6807" w:rsidRPr="009F6807" w:rsidRDefault="009F6807" w:rsidP="00673CA3">
      <w:pPr>
        <w:widowControl w:val="0"/>
        <w:ind w:firstLine="709"/>
        <w:jc w:val="both"/>
        <w:rPr>
          <w:snapToGrid w:val="0"/>
        </w:rPr>
      </w:pPr>
      <w:r w:rsidRPr="009F6807">
        <w:rPr>
          <w:snapToGrid w:val="0"/>
        </w:rPr>
        <w:t xml:space="preserve">– żurawi samochodowych o udźwigu do 4 t, </w:t>
      </w:r>
    </w:p>
    <w:p w:rsidR="009F6807" w:rsidRPr="009F6807" w:rsidRDefault="009F6807" w:rsidP="00673CA3">
      <w:pPr>
        <w:widowControl w:val="0"/>
        <w:ind w:firstLine="709"/>
        <w:jc w:val="both"/>
        <w:rPr>
          <w:snapToGrid w:val="0"/>
        </w:rPr>
      </w:pPr>
      <w:r w:rsidRPr="009F6807">
        <w:rPr>
          <w:snapToGrid w:val="0"/>
        </w:rPr>
        <w:t xml:space="preserve">– wiertnic do wykonywania otworów pod słupki, </w:t>
      </w:r>
    </w:p>
    <w:p w:rsidR="009F6807" w:rsidRPr="009F6807" w:rsidRDefault="009F6807" w:rsidP="00673CA3">
      <w:pPr>
        <w:widowControl w:val="0"/>
        <w:ind w:firstLine="709"/>
        <w:jc w:val="both"/>
        <w:rPr>
          <w:snapToGrid w:val="0"/>
        </w:rPr>
      </w:pPr>
      <w:r w:rsidRPr="009F6807">
        <w:rPr>
          <w:snapToGrid w:val="0"/>
        </w:rPr>
        <w:t xml:space="preserve">– koparek kołowych, </w:t>
      </w:r>
    </w:p>
    <w:p w:rsidR="009F6807" w:rsidRPr="009F6807" w:rsidRDefault="009F6807" w:rsidP="00673CA3">
      <w:pPr>
        <w:widowControl w:val="0"/>
        <w:ind w:firstLine="709"/>
        <w:jc w:val="both"/>
        <w:rPr>
          <w:snapToGrid w:val="0"/>
        </w:rPr>
      </w:pPr>
      <w:r w:rsidRPr="009F6807">
        <w:rPr>
          <w:snapToGrid w:val="0"/>
        </w:rPr>
        <w:t xml:space="preserve">– urządzeń wbijających lub wibromłotów do pogrążania słupków w grunt, </w:t>
      </w:r>
    </w:p>
    <w:p w:rsidR="009F6807" w:rsidRPr="009F6807" w:rsidRDefault="009F6807" w:rsidP="00673CA3">
      <w:pPr>
        <w:widowControl w:val="0"/>
        <w:ind w:firstLine="709"/>
        <w:jc w:val="both"/>
        <w:rPr>
          <w:snapToGrid w:val="0"/>
        </w:rPr>
      </w:pPr>
      <w:r w:rsidRPr="009F6807">
        <w:rPr>
          <w:snapToGrid w:val="0"/>
        </w:rPr>
        <w:t xml:space="preserve">– betoniarki przewoźnej, </w:t>
      </w:r>
    </w:p>
    <w:p w:rsidR="009F6807" w:rsidRPr="009F6807" w:rsidRDefault="009F6807" w:rsidP="00673CA3">
      <w:pPr>
        <w:widowControl w:val="0"/>
        <w:ind w:firstLine="709"/>
        <w:jc w:val="both"/>
        <w:rPr>
          <w:snapToGrid w:val="0"/>
        </w:rPr>
      </w:pPr>
      <w:r w:rsidRPr="009F6807">
        <w:rPr>
          <w:snapToGrid w:val="0"/>
        </w:rPr>
        <w:t xml:space="preserve">– wibratorów do betonu, </w:t>
      </w:r>
    </w:p>
    <w:p w:rsidR="009F6807" w:rsidRPr="009F6807" w:rsidRDefault="009F6807" w:rsidP="00673CA3">
      <w:pPr>
        <w:widowControl w:val="0"/>
        <w:ind w:firstLine="709"/>
        <w:jc w:val="both"/>
        <w:rPr>
          <w:snapToGrid w:val="0"/>
        </w:rPr>
      </w:pPr>
      <w:r w:rsidRPr="009F6807">
        <w:rPr>
          <w:snapToGrid w:val="0"/>
        </w:rPr>
        <w:t xml:space="preserve">– przewoźnego zbiornika na wodę, </w:t>
      </w:r>
    </w:p>
    <w:p w:rsidR="009F6807" w:rsidRDefault="009F6807" w:rsidP="00673CA3">
      <w:pPr>
        <w:widowControl w:val="0"/>
        <w:ind w:firstLine="709"/>
        <w:jc w:val="both"/>
        <w:rPr>
          <w:snapToGrid w:val="0"/>
        </w:rPr>
      </w:pPr>
      <w:r w:rsidRPr="009F6807">
        <w:rPr>
          <w:snapToGrid w:val="0"/>
        </w:rPr>
        <w:t>– ładowarki, itp.</w:t>
      </w:r>
    </w:p>
    <w:p w:rsidR="00673CA3" w:rsidRDefault="00673CA3" w:rsidP="00673CA3">
      <w:pPr>
        <w:widowControl w:val="0"/>
        <w:spacing w:before="120" w:after="120"/>
        <w:jc w:val="both"/>
        <w:rPr>
          <w:b/>
          <w:noProof/>
          <w:snapToGrid w:val="0"/>
          <w:u w:val="single"/>
        </w:rPr>
      </w:pPr>
      <w:r w:rsidRPr="000222D0">
        <w:rPr>
          <w:b/>
          <w:noProof/>
          <w:snapToGrid w:val="0"/>
          <w:u w:val="single"/>
        </w:rPr>
        <w:t>4. TRANSPORT</w:t>
      </w:r>
    </w:p>
    <w:p w:rsidR="009F6807" w:rsidRDefault="009F6807" w:rsidP="00673CA3">
      <w:pPr>
        <w:widowControl w:val="0"/>
        <w:ind w:firstLine="709"/>
        <w:jc w:val="both"/>
        <w:rPr>
          <w:snapToGrid w:val="0"/>
        </w:rPr>
      </w:pPr>
      <w:r w:rsidRPr="009F6807">
        <w:rPr>
          <w:snapToGrid w:val="0"/>
        </w:rPr>
        <w:t>Ogólne wymagania dotyczące transportu podano w STWiORB DM.00.00.00 „Wymagania ogólne”</w:t>
      </w:r>
    </w:p>
    <w:p w:rsidR="009F6807" w:rsidRDefault="009F6807" w:rsidP="00673CA3">
      <w:pPr>
        <w:widowControl w:val="0"/>
        <w:ind w:firstLine="709"/>
        <w:jc w:val="both"/>
        <w:rPr>
          <w:snapToGrid w:val="0"/>
        </w:rPr>
      </w:pPr>
      <w:r w:rsidRPr="009F6807">
        <w:rPr>
          <w:snapToGrid w:val="0"/>
        </w:rPr>
        <w:t>Transport elementów bariero-poręczy może odbywać się dowolnym środkiem transportu. Elementy konstrukcyjne barieroporęczy nie powinny wystawać poza gabaryt środka transportu.</w:t>
      </w:r>
    </w:p>
    <w:p w:rsidR="009F6807" w:rsidRDefault="009F6807" w:rsidP="00673CA3">
      <w:pPr>
        <w:widowControl w:val="0"/>
        <w:ind w:firstLine="709"/>
        <w:jc w:val="both"/>
        <w:rPr>
          <w:snapToGrid w:val="0"/>
        </w:rPr>
      </w:pPr>
      <w:r w:rsidRPr="009F6807">
        <w:rPr>
          <w:snapToGrid w:val="0"/>
        </w:rPr>
        <w:t>Elementy dłuższe (np. profilowaną taśmę stalową, pasy profilowe) należy przewozić w opakowaniach producenta. Elementy montażowe i połączeniowe zaleca się przewozić w pojemnikach handlowych producenta.</w:t>
      </w:r>
    </w:p>
    <w:p w:rsidR="009F6807" w:rsidRDefault="009F6807" w:rsidP="00673CA3">
      <w:pPr>
        <w:widowControl w:val="0"/>
        <w:ind w:firstLine="709"/>
        <w:jc w:val="both"/>
        <w:rPr>
          <w:snapToGrid w:val="0"/>
        </w:rPr>
      </w:pPr>
      <w:r w:rsidRPr="009F6807">
        <w:rPr>
          <w:snapToGrid w:val="0"/>
        </w:rPr>
        <w:t>Załadunek i wyładunek elementów konstrukcji bariero-poręczy można dokonywać za pomocą żurawi lub ręcznie. Przy załadunku i wyładunku, należy zabezpieczyć elementy konstrukcji przed pomieszaniem. Elementy bariero-poręczy należy przewozić w warunkach zabezpieczających wyroby przed korozją i uszkodzeniami mechanicznymi.</w:t>
      </w:r>
    </w:p>
    <w:p w:rsidR="009F6807" w:rsidRDefault="009F6807" w:rsidP="009F6807">
      <w:pPr>
        <w:widowControl w:val="0"/>
        <w:ind w:firstLine="709"/>
        <w:jc w:val="both"/>
        <w:rPr>
          <w:snapToGrid w:val="0"/>
        </w:rPr>
      </w:pPr>
      <w:r w:rsidRPr="009F6807">
        <w:rPr>
          <w:snapToGrid w:val="0"/>
        </w:rPr>
        <w:t>Kruszywo do betonu można przewozić dowolnym środkiem transportu w warunkach zabezpieczających je przed zanieczyszczeniem i zmieszaniem z innymi materiałami. Podczas transportu kruszywa powinny być zabezpieczone przed wysypaniem, a kruszywo drobne - przed rozpyleniem. Drewno i elementy deskowania należy przewozić w warunkach chroniących je przed przemieszczaniem, a elementy metalowe w warunkach zabezpieczających przed korozją i uszkodzeniami mechanicznymi. Cement należy przewozić zgodnie z postanowieniami BN-88/6731-08. Mieszankę betonową należy przewozić zgodnie z postanowieniami PN-B-06251.</w:t>
      </w:r>
    </w:p>
    <w:p w:rsidR="009F6807" w:rsidRDefault="009F6807" w:rsidP="00673CA3">
      <w:pPr>
        <w:widowControl w:val="0"/>
        <w:ind w:firstLine="709"/>
        <w:jc w:val="both"/>
        <w:rPr>
          <w:snapToGrid w:val="0"/>
        </w:rPr>
      </w:pPr>
      <w:r w:rsidRPr="009F6807">
        <w:rPr>
          <w:snapToGrid w:val="0"/>
        </w:rPr>
        <w:t>Elementy prefabrykowane fundamentów mogą być przewożone dowolnymi środkami transportowymi w liczbie sztuk nie przekraczającej dopuszczalnego obciążenia zastosowanego środka transportu. Rozmieszczenie elementów na środku transportu powinno być symetryczne. Elementy należy układać na podkładach drewnianych.</w:t>
      </w:r>
    </w:p>
    <w:p w:rsidR="00673CA3" w:rsidRDefault="00673CA3" w:rsidP="00673CA3">
      <w:pPr>
        <w:widowControl w:val="0"/>
        <w:spacing w:before="120" w:after="120"/>
        <w:jc w:val="both"/>
        <w:rPr>
          <w:b/>
          <w:noProof/>
          <w:snapToGrid w:val="0"/>
          <w:u w:val="single"/>
        </w:rPr>
      </w:pPr>
      <w:r w:rsidRPr="000222D0">
        <w:rPr>
          <w:b/>
          <w:noProof/>
          <w:snapToGrid w:val="0"/>
          <w:u w:val="single"/>
        </w:rPr>
        <w:t>5. WYKONANIE ROBÓT</w:t>
      </w:r>
    </w:p>
    <w:p w:rsidR="009F6807" w:rsidRPr="007F1E86" w:rsidRDefault="009F6807" w:rsidP="009F6807">
      <w:pPr>
        <w:widowControl w:val="0"/>
        <w:jc w:val="both"/>
        <w:rPr>
          <w:b/>
          <w:bCs/>
        </w:rPr>
      </w:pPr>
      <w:r>
        <w:rPr>
          <w:b/>
          <w:bCs/>
        </w:rPr>
        <w:t>5.1. Ogólne zasady wykonania robót</w:t>
      </w:r>
    </w:p>
    <w:p w:rsidR="009F6807" w:rsidRDefault="009F6807" w:rsidP="009F6807">
      <w:pPr>
        <w:widowControl w:val="0"/>
        <w:ind w:firstLine="709"/>
        <w:jc w:val="both"/>
        <w:rPr>
          <w:snapToGrid w:val="0"/>
        </w:rPr>
      </w:pPr>
      <w:r w:rsidRPr="009F6807">
        <w:rPr>
          <w:snapToGrid w:val="0"/>
        </w:rPr>
        <w:t>Ogólne zasady wykonania robót podano w STWiORB DM.00.00.00 „Wymagania ogólne”</w:t>
      </w:r>
      <w:r w:rsidR="00D82889">
        <w:rPr>
          <w:snapToGrid w:val="0"/>
        </w:rPr>
        <w:t xml:space="preserve">. </w:t>
      </w:r>
      <w:r w:rsidR="00D82889" w:rsidRPr="00D82889">
        <w:rPr>
          <w:b/>
          <w:snapToGrid w:val="0"/>
        </w:rPr>
        <w:t>Przed rozpoczęciem montażu barier należy wykonać próbne przekopy w celu zlokalizowania istniejących sieci uzbrojenia terenu.</w:t>
      </w:r>
    </w:p>
    <w:p w:rsidR="009F6807" w:rsidRPr="007F1E86" w:rsidRDefault="009F6807" w:rsidP="009F6807">
      <w:pPr>
        <w:widowControl w:val="0"/>
        <w:jc w:val="both"/>
        <w:rPr>
          <w:b/>
          <w:bCs/>
        </w:rPr>
      </w:pPr>
      <w:r>
        <w:rPr>
          <w:b/>
          <w:bCs/>
        </w:rPr>
        <w:t>5.2. Roboty przgotowawcze</w:t>
      </w:r>
    </w:p>
    <w:p w:rsidR="009F6807" w:rsidRDefault="009F6807" w:rsidP="009F6807">
      <w:pPr>
        <w:widowControl w:val="0"/>
        <w:ind w:firstLine="709"/>
        <w:jc w:val="both"/>
        <w:rPr>
          <w:snapToGrid w:val="0"/>
        </w:rPr>
      </w:pPr>
      <w:r w:rsidRPr="009F6807">
        <w:rPr>
          <w:snapToGrid w:val="0"/>
        </w:rPr>
        <w:t>Przed wykonaniem właściwych robót należy, na podstawie d</w:t>
      </w:r>
      <w:r>
        <w:rPr>
          <w:snapToGrid w:val="0"/>
        </w:rPr>
        <w:t>okumentacji projektowej, ST</w:t>
      </w:r>
      <w:r w:rsidR="00EC6812">
        <w:rPr>
          <w:snapToGrid w:val="0"/>
        </w:rPr>
        <w:t xml:space="preserve"> lub wskazań </w:t>
      </w:r>
      <w:r w:rsidR="00330D20">
        <w:t>przedstawiciel</w:t>
      </w:r>
      <w:r w:rsidR="00330D20">
        <w:rPr>
          <w:snapToGrid w:val="0"/>
        </w:rPr>
        <w:t xml:space="preserve">a </w:t>
      </w:r>
      <w:r w:rsidR="00EC6812">
        <w:rPr>
          <w:snapToGrid w:val="0"/>
        </w:rPr>
        <w:t>zamawiającego</w:t>
      </w:r>
      <w:r w:rsidRPr="009F6807">
        <w:rPr>
          <w:snapToGrid w:val="0"/>
        </w:rPr>
        <w:t>:</w:t>
      </w:r>
    </w:p>
    <w:p w:rsidR="009F6807" w:rsidRDefault="009F6807" w:rsidP="009F6807">
      <w:pPr>
        <w:widowControl w:val="0"/>
        <w:ind w:firstLine="709"/>
        <w:jc w:val="both"/>
        <w:rPr>
          <w:snapToGrid w:val="0"/>
        </w:rPr>
      </w:pPr>
      <w:r w:rsidRPr="009F6807">
        <w:rPr>
          <w:snapToGrid w:val="0"/>
        </w:rPr>
        <w:t xml:space="preserve">– wytyczyć trasę bariero-poręczy, </w:t>
      </w:r>
    </w:p>
    <w:p w:rsidR="009F6807" w:rsidRDefault="009F6807" w:rsidP="009F6807">
      <w:pPr>
        <w:widowControl w:val="0"/>
        <w:ind w:firstLine="709"/>
        <w:jc w:val="both"/>
        <w:rPr>
          <w:snapToGrid w:val="0"/>
        </w:rPr>
      </w:pPr>
      <w:r w:rsidRPr="009F6807">
        <w:rPr>
          <w:snapToGrid w:val="0"/>
        </w:rPr>
        <w:t xml:space="preserve">– ustalić lokalizację słupków </w:t>
      </w:r>
    </w:p>
    <w:p w:rsidR="00D82889" w:rsidRDefault="00D82889" w:rsidP="009F6807">
      <w:pPr>
        <w:widowControl w:val="0"/>
        <w:ind w:firstLine="709"/>
        <w:jc w:val="both"/>
        <w:rPr>
          <w:snapToGrid w:val="0"/>
        </w:rPr>
      </w:pPr>
      <w:r>
        <w:rPr>
          <w:snapToGrid w:val="0"/>
        </w:rPr>
        <w:t>- dokonać próbnych przekopów w celu zlokalizowania sieci uzbrojenia terenu</w:t>
      </w:r>
    </w:p>
    <w:p w:rsidR="00D82889" w:rsidRDefault="00D82889" w:rsidP="009F6807">
      <w:pPr>
        <w:widowControl w:val="0"/>
        <w:ind w:firstLine="709"/>
        <w:jc w:val="both"/>
        <w:rPr>
          <w:snapToGrid w:val="0"/>
        </w:rPr>
      </w:pPr>
      <w:r>
        <w:rPr>
          <w:snapToGrid w:val="0"/>
        </w:rPr>
        <w:t xml:space="preserve">- dokonać ewentualnej korekty przełożenia sieci </w:t>
      </w:r>
    </w:p>
    <w:p w:rsidR="009F6807" w:rsidRDefault="009F6807" w:rsidP="009F6807">
      <w:pPr>
        <w:widowControl w:val="0"/>
        <w:ind w:firstLine="709"/>
        <w:jc w:val="both"/>
        <w:rPr>
          <w:snapToGrid w:val="0"/>
        </w:rPr>
      </w:pPr>
      <w:r w:rsidRPr="009F6807">
        <w:rPr>
          <w:snapToGrid w:val="0"/>
        </w:rPr>
        <w:t xml:space="preserve">– określić wysokość prowadnicy bariero-poręczy </w:t>
      </w:r>
    </w:p>
    <w:p w:rsidR="009F6807" w:rsidRDefault="009F6807" w:rsidP="009F6807">
      <w:pPr>
        <w:widowControl w:val="0"/>
        <w:ind w:firstLine="709"/>
        <w:jc w:val="both"/>
        <w:rPr>
          <w:snapToGrid w:val="0"/>
        </w:rPr>
      </w:pPr>
      <w:r w:rsidRPr="009F6807">
        <w:rPr>
          <w:snapToGrid w:val="0"/>
        </w:rPr>
        <w:t xml:space="preserve">– określić miejsca odcinków początkowych i końcowych bariero-poręczy, </w:t>
      </w:r>
    </w:p>
    <w:p w:rsidR="009F6807" w:rsidRDefault="009F6807" w:rsidP="009F6807">
      <w:pPr>
        <w:widowControl w:val="0"/>
        <w:ind w:firstLine="709"/>
        <w:jc w:val="both"/>
        <w:rPr>
          <w:snapToGrid w:val="0"/>
        </w:rPr>
      </w:pPr>
      <w:r w:rsidRPr="009F6807">
        <w:rPr>
          <w:snapToGrid w:val="0"/>
        </w:rPr>
        <w:t>– ustalić ew. miejsca przerw, przejść i przejazdów w bariero-poręczy, itp.</w:t>
      </w:r>
    </w:p>
    <w:p w:rsidR="009F6807" w:rsidRDefault="009F6807" w:rsidP="009F6807">
      <w:pPr>
        <w:widowControl w:val="0"/>
        <w:jc w:val="both"/>
        <w:rPr>
          <w:b/>
          <w:bCs/>
        </w:rPr>
      </w:pPr>
    </w:p>
    <w:p w:rsidR="009F6807" w:rsidRPr="007F1E86" w:rsidRDefault="009F6807" w:rsidP="009F6807">
      <w:pPr>
        <w:widowControl w:val="0"/>
        <w:jc w:val="both"/>
        <w:rPr>
          <w:b/>
          <w:bCs/>
        </w:rPr>
      </w:pPr>
      <w:r>
        <w:rPr>
          <w:b/>
          <w:bCs/>
        </w:rPr>
        <w:t>5.3. Osadzenie słupków</w:t>
      </w:r>
    </w:p>
    <w:p w:rsidR="009F6807" w:rsidRDefault="009F6807" w:rsidP="009F6807">
      <w:pPr>
        <w:widowControl w:val="0"/>
        <w:ind w:firstLine="709"/>
        <w:jc w:val="both"/>
        <w:rPr>
          <w:snapToGrid w:val="0"/>
        </w:rPr>
      </w:pPr>
      <w:r w:rsidRPr="009F6807">
        <w:rPr>
          <w:snapToGrid w:val="0"/>
        </w:rPr>
        <w:t>Bariera zostanie ponownie zamontowana wg dokumentacji projektowej lub instrukcji producenta barier.</w:t>
      </w:r>
    </w:p>
    <w:p w:rsidR="009F6807" w:rsidRDefault="009F6807" w:rsidP="009F6807">
      <w:pPr>
        <w:widowControl w:val="0"/>
        <w:ind w:firstLine="709"/>
        <w:jc w:val="both"/>
        <w:rPr>
          <w:snapToGrid w:val="0"/>
        </w:rPr>
      </w:pPr>
    </w:p>
    <w:p w:rsidR="009F6807" w:rsidRPr="007F1E86" w:rsidRDefault="009F6807" w:rsidP="009F6807">
      <w:pPr>
        <w:widowControl w:val="0"/>
        <w:jc w:val="both"/>
        <w:rPr>
          <w:b/>
          <w:bCs/>
        </w:rPr>
      </w:pPr>
      <w:r>
        <w:rPr>
          <w:b/>
          <w:bCs/>
        </w:rPr>
        <w:t>5.4. Montaż bariero - poręczy</w:t>
      </w:r>
    </w:p>
    <w:p w:rsidR="009F6807" w:rsidRDefault="009F6807" w:rsidP="009F6807">
      <w:pPr>
        <w:widowControl w:val="0"/>
        <w:ind w:firstLine="709"/>
        <w:jc w:val="both"/>
        <w:rPr>
          <w:snapToGrid w:val="0"/>
        </w:rPr>
      </w:pPr>
      <w:r w:rsidRPr="009F6807">
        <w:rPr>
          <w:snapToGrid w:val="0"/>
        </w:rPr>
        <w:t>Sposób montażu bariero-poręczy zaproponuje Wykonawca i pr</w:t>
      </w:r>
      <w:r w:rsidR="00330D20">
        <w:rPr>
          <w:snapToGrid w:val="0"/>
        </w:rPr>
        <w:t xml:space="preserve">zedstawi do akceptacji </w:t>
      </w:r>
      <w:r w:rsidR="00330D20">
        <w:t>przedstawiciela</w:t>
      </w:r>
      <w:r w:rsidR="00330D20">
        <w:rPr>
          <w:snapToGrid w:val="0"/>
        </w:rPr>
        <w:t xml:space="preserve"> Zamawiającego</w:t>
      </w:r>
      <w:r w:rsidRPr="009F6807">
        <w:rPr>
          <w:snapToGrid w:val="0"/>
        </w:rPr>
        <w:t>.</w:t>
      </w:r>
    </w:p>
    <w:p w:rsidR="009F6807" w:rsidRDefault="009F6807" w:rsidP="009F6807">
      <w:pPr>
        <w:widowControl w:val="0"/>
        <w:ind w:firstLine="709"/>
        <w:jc w:val="both"/>
        <w:rPr>
          <w:snapToGrid w:val="0"/>
        </w:rPr>
      </w:pPr>
      <w:r w:rsidRPr="009F6807">
        <w:rPr>
          <w:snapToGrid w:val="0"/>
        </w:rPr>
        <w:t>bariero-poręcza powinna być montowana zgodnie z instrukcją montażową lub zgodnie z zasadami konstrukcyjnymi ustalonymi przez producenta bariero-poręczy. Montaż bariero-poręczy, w ramach dopuszczalnych odchyłek umożliwionych wielkością otworów w elementach bariero-poręczy, powinien doprowadzić do zapewnienia równej i płynnej linii prowadnic barieroporęczy w planie i profilu. Przy montażu bariero-poręczy niedopuszczalne jest wykonywanie jakichkolwiek otworów lub cięć, naruszających powłokę cynkową poszczególnych elementów bariero-poręczy. Przy montażu bariero-poręczy należy zwracać uwagę na poprawne wykonanie, zgodne z dokumentacją projektową i wytycznymi producenta bariero-poręczy:</w:t>
      </w:r>
    </w:p>
    <w:p w:rsidR="009F6807" w:rsidRDefault="009F6807" w:rsidP="009F6807">
      <w:pPr>
        <w:widowControl w:val="0"/>
        <w:spacing w:before="120" w:after="120"/>
        <w:ind w:left="709"/>
        <w:jc w:val="both"/>
        <w:rPr>
          <w:snapToGrid w:val="0"/>
        </w:rPr>
      </w:pPr>
      <w:r>
        <w:t>- odcinków początkowych i końcowych, o właściwej długości odcinka, z zastosowaniem łączników ukośnych w miejscach niezbędnych przy połączeniu poziomego odcinka prowadnicy z odcinkiem nachylonym, z odchyleniem odcinka w planie w miejscach przewidzianych dla barier skrajnych, z ewentualną kotwą betonową w przypadkach przewidzianych w dokumentacji projektowej,</w:t>
      </w:r>
    </w:p>
    <w:p w:rsidR="009F6807" w:rsidRPr="009F6807" w:rsidRDefault="009F6807" w:rsidP="009F6807">
      <w:pPr>
        <w:widowControl w:val="0"/>
        <w:spacing w:before="120" w:after="120"/>
        <w:ind w:left="709"/>
        <w:jc w:val="both"/>
      </w:pPr>
      <w:r>
        <w:t>– odcinków barier osłonowych o właściwej długości odcinka bariery: a) przyległego do obiektu lub przeszkody, b) przed i za obiektem, c) ukośnego początkowego, d) ukośnego końcowego, e) wzmocnionego,</w:t>
      </w:r>
    </w:p>
    <w:p w:rsidR="009F6807" w:rsidRPr="009F6807" w:rsidRDefault="009F6807" w:rsidP="009F6807">
      <w:pPr>
        <w:widowControl w:val="0"/>
        <w:spacing w:before="120" w:after="120"/>
        <w:ind w:left="709"/>
        <w:jc w:val="both"/>
      </w:pPr>
      <w:r>
        <w:t>– dodatkowych urządzeń, jak np. dodatkowej prowadnicy bariero-poręczy, osłony słupków bariero-poręczy, itp. Na bariero-poręczy powinny być umieszczone elementy odblaskowe czerwone - po prawej stronie jezdni, – białe - po lewej stronie jezdni.</w:t>
      </w:r>
    </w:p>
    <w:p w:rsidR="009F6807" w:rsidRPr="009F6807" w:rsidRDefault="009F6807" w:rsidP="009F6807">
      <w:pPr>
        <w:widowControl w:val="0"/>
        <w:jc w:val="both"/>
        <w:rPr>
          <w:snapToGrid w:val="0"/>
        </w:rPr>
      </w:pPr>
      <w:r w:rsidRPr="009F6807">
        <w:rPr>
          <w:snapToGrid w:val="0"/>
        </w:rPr>
        <w:t>Odległości pomiędzy kolejnymi elementami odblaskowymi powinny być zgodne z ustaleniami WSDBO</w:t>
      </w:r>
      <w:r w:rsidR="00873269">
        <w:rPr>
          <w:snapToGrid w:val="0"/>
        </w:rPr>
        <w:t>.</w:t>
      </w:r>
    </w:p>
    <w:p w:rsidR="00873269" w:rsidRDefault="009F6807" w:rsidP="00873269">
      <w:pPr>
        <w:widowControl w:val="0"/>
        <w:jc w:val="both"/>
        <w:rPr>
          <w:snapToGrid w:val="0"/>
        </w:rPr>
      </w:pPr>
      <w:r w:rsidRPr="009F6807">
        <w:rPr>
          <w:snapToGrid w:val="0"/>
        </w:rPr>
        <w:t>Elementy odblaskowe należy umocować do bariero-poręczy w sposób trwały, zgodny z wytycznymi producenta barieroporęczy.</w:t>
      </w:r>
    </w:p>
    <w:p w:rsidR="00673CA3" w:rsidRPr="00346AA4" w:rsidRDefault="00673CA3" w:rsidP="00673CA3">
      <w:pPr>
        <w:widowControl w:val="0"/>
        <w:spacing w:before="120" w:after="120"/>
        <w:jc w:val="both"/>
        <w:rPr>
          <w:b/>
          <w:noProof/>
          <w:snapToGrid w:val="0"/>
          <w:u w:val="single"/>
        </w:rPr>
      </w:pPr>
      <w:r w:rsidRPr="000222D0">
        <w:rPr>
          <w:b/>
          <w:noProof/>
          <w:snapToGrid w:val="0"/>
          <w:u w:val="single"/>
        </w:rPr>
        <w:t>6. KONTROLA JAKOŚCI ROBÓT</w:t>
      </w:r>
    </w:p>
    <w:p w:rsidR="00873269" w:rsidRPr="007F1E86" w:rsidRDefault="00873269" w:rsidP="00873269">
      <w:pPr>
        <w:widowControl w:val="0"/>
        <w:jc w:val="both"/>
        <w:rPr>
          <w:b/>
          <w:bCs/>
        </w:rPr>
      </w:pPr>
      <w:r>
        <w:rPr>
          <w:b/>
          <w:bCs/>
        </w:rPr>
        <w:t>6.1. Ogólne zasady kontroli robót</w:t>
      </w:r>
    </w:p>
    <w:p w:rsidR="00873269" w:rsidRDefault="00873269" w:rsidP="00873269">
      <w:pPr>
        <w:widowControl w:val="0"/>
        <w:ind w:firstLine="709"/>
        <w:jc w:val="both"/>
        <w:rPr>
          <w:snapToGrid w:val="0"/>
        </w:rPr>
      </w:pPr>
      <w:r w:rsidRPr="00873269">
        <w:rPr>
          <w:snapToGrid w:val="0"/>
        </w:rPr>
        <w:t xml:space="preserve">Ogólne zasady kontroli jakości </w:t>
      </w:r>
      <w:r w:rsidR="004A0962">
        <w:rPr>
          <w:snapToGrid w:val="0"/>
        </w:rPr>
        <w:t>robót podano w ST</w:t>
      </w:r>
      <w:r w:rsidRPr="00873269">
        <w:rPr>
          <w:snapToGrid w:val="0"/>
        </w:rPr>
        <w:t xml:space="preserve"> D</w:t>
      </w:r>
      <w:r w:rsidR="004A0962">
        <w:rPr>
          <w:snapToGrid w:val="0"/>
        </w:rPr>
        <w:t>-</w:t>
      </w:r>
      <w:r w:rsidRPr="00873269">
        <w:rPr>
          <w:snapToGrid w:val="0"/>
        </w:rPr>
        <w:t>M.00.00.00 „Wymagania ogólne”</w:t>
      </w:r>
    </w:p>
    <w:p w:rsidR="00873269" w:rsidRDefault="00873269" w:rsidP="00673CA3">
      <w:pPr>
        <w:widowControl w:val="0"/>
        <w:jc w:val="both"/>
        <w:rPr>
          <w:snapToGrid w:val="0"/>
        </w:rPr>
      </w:pPr>
    </w:p>
    <w:p w:rsidR="00873269" w:rsidRDefault="00873269" w:rsidP="00673CA3">
      <w:pPr>
        <w:widowControl w:val="0"/>
        <w:jc w:val="both"/>
        <w:rPr>
          <w:snapToGrid w:val="0"/>
        </w:rPr>
      </w:pPr>
      <w:r w:rsidRPr="00873269">
        <w:rPr>
          <w:b/>
          <w:bCs/>
        </w:rPr>
        <w:t>6.2. Badania przed przystąpieniem do robót</w:t>
      </w:r>
    </w:p>
    <w:p w:rsidR="00873269" w:rsidRDefault="00873269" w:rsidP="00873269">
      <w:pPr>
        <w:widowControl w:val="0"/>
        <w:ind w:firstLine="709"/>
        <w:jc w:val="both"/>
        <w:rPr>
          <w:snapToGrid w:val="0"/>
        </w:rPr>
      </w:pPr>
      <w:r w:rsidRPr="00873269">
        <w:rPr>
          <w:snapToGrid w:val="0"/>
        </w:rPr>
        <w:t>Wszystkie materiały dostarczone na budowę z zaświadczeniem o jakości (certyfikaty zgodności, deklaracje zgodności, itp.) producenta powinny być sprawdzone w zakresie powierzchni wyrobu i jego wymiarów.</w:t>
      </w:r>
    </w:p>
    <w:p w:rsidR="00873269" w:rsidRDefault="00873269" w:rsidP="00873269">
      <w:pPr>
        <w:widowControl w:val="0"/>
        <w:ind w:firstLine="709"/>
        <w:jc w:val="both"/>
        <w:rPr>
          <w:snapToGrid w:val="0"/>
        </w:rPr>
      </w:pPr>
      <w:r w:rsidRPr="00873269">
        <w:rPr>
          <w:snapToGrid w:val="0"/>
        </w:rPr>
        <w:t>W przypadkach budzących wątpliwości można zlecić uprawnionej jednostce zbadanie właściwości dostarczonych wyrobów i materiałów w zakresie wymagań podanych w punkcie 2.</w:t>
      </w:r>
    </w:p>
    <w:p w:rsidR="00873269" w:rsidRDefault="00873269" w:rsidP="00673CA3">
      <w:pPr>
        <w:widowControl w:val="0"/>
        <w:jc w:val="both"/>
        <w:rPr>
          <w:snapToGrid w:val="0"/>
        </w:rPr>
      </w:pPr>
    </w:p>
    <w:p w:rsidR="00873269" w:rsidRDefault="00873269" w:rsidP="00873269">
      <w:pPr>
        <w:widowControl w:val="0"/>
        <w:jc w:val="both"/>
        <w:rPr>
          <w:snapToGrid w:val="0"/>
        </w:rPr>
      </w:pPr>
      <w:r>
        <w:rPr>
          <w:b/>
          <w:bCs/>
        </w:rPr>
        <w:t>6.3</w:t>
      </w:r>
      <w:r w:rsidRPr="00873269">
        <w:rPr>
          <w:b/>
          <w:bCs/>
        </w:rPr>
        <w:t xml:space="preserve">. </w:t>
      </w:r>
      <w:r>
        <w:rPr>
          <w:b/>
          <w:bCs/>
        </w:rPr>
        <w:t>Badania w czasie wykonywania robót</w:t>
      </w:r>
    </w:p>
    <w:p w:rsidR="00873269" w:rsidRDefault="00873269" w:rsidP="00873269">
      <w:pPr>
        <w:widowControl w:val="0"/>
        <w:jc w:val="both"/>
        <w:rPr>
          <w:snapToGrid w:val="0"/>
        </w:rPr>
      </w:pPr>
      <w:r w:rsidRPr="00873269">
        <w:rPr>
          <w:snapToGrid w:val="0"/>
        </w:rPr>
        <w:t>W czasie wykonywania robót należy zbadać:</w:t>
      </w:r>
    </w:p>
    <w:p w:rsidR="00873269" w:rsidRDefault="00873269" w:rsidP="00873269">
      <w:pPr>
        <w:widowControl w:val="0"/>
        <w:ind w:left="709"/>
        <w:jc w:val="both"/>
      </w:pPr>
      <w:r>
        <w:t xml:space="preserve">– zgodność wykonania bariero-poręczy z dokumentacją projektową (lokalizacja, wymiary, wysokość prowadnicy nad terenem), </w:t>
      </w:r>
    </w:p>
    <w:p w:rsidR="00873269" w:rsidRDefault="00873269" w:rsidP="00873269">
      <w:pPr>
        <w:widowControl w:val="0"/>
        <w:ind w:left="709"/>
        <w:jc w:val="both"/>
      </w:pPr>
      <w:r>
        <w:t xml:space="preserve">– zachowanie dopuszczalnych odchyłek wymiarów, zgodnie z punktem 2 i katalogiem (informacją) producenta barieroporęczy, </w:t>
      </w:r>
    </w:p>
    <w:p w:rsidR="00873269" w:rsidRDefault="00873269" w:rsidP="00873269">
      <w:pPr>
        <w:widowControl w:val="0"/>
        <w:ind w:firstLine="709"/>
        <w:jc w:val="both"/>
      </w:pPr>
      <w:r>
        <w:t>– poprawność ustawienia słupków, zgodnie z punktem 5,</w:t>
      </w:r>
    </w:p>
    <w:p w:rsidR="00873269" w:rsidRDefault="00873269" w:rsidP="00873269">
      <w:pPr>
        <w:widowControl w:val="0"/>
        <w:ind w:firstLine="709"/>
        <w:jc w:val="both"/>
      </w:pPr>
      <w:r>
        <w:t xml:space="preserve">– prawidłowość montażu bariero-poręczy stalowej, zgodnie z punktem 5, </w:t>
      </w:r>
    </w:p>
    <w:p w:rsidR="00873269" w:rsidRDefault="00873269" w:rsidP="00873269">
      <w:pPr>
        <w:widowControl w:val="0"/>
        <w:ind w:firstLine="709"/>
        <w:jc w:val="both"/>
      </w:pPr>
      <w:r>
        <w:t xml:space="preserve">– poprawność umieszczenia elementów odblaskowych, zgodnie z obowiązującymi przepisami. </w:t>
      </w:r>
    </w:p>
    <w:p w:rsidR="00873269" w:rsidRDefault="00873269" w:rsidP="00873269">
      <w:pPr>
        <w:widowControl w:val="0"/>
        <w:ind w:firstLine="709"/>
        <w:jc w:val="both"/>
      </w:pPr>
      <w:r>
        <w:t xml:space="preserve">– Kontrola montażu Należy przyjąć następujące dopuszczalne odchyłki montażu: </w:t>
      </w:r>
    </w:p>
    <w:p w:rsidR="00873269" w:rsidRDefault="00873269" w:rsidP="00873269">
      <w:pPr>
        <w:widowControl w:val="0"/>
        <w:ind w:firstLine="709"/>
        <w:jc w:val="both"/>
      </w:pPr>
      <w:r>
        <w:t xml:space="preserve">– odchylenie słupka od pionu </w:t>
      </w:r>
      <w:r>
        <w:sym w:font="Symbol" w:char="F0B1"/>
      </w:r>
      <w:r>
        <w:t xml:space="preserve"> 0,5%, </w:t>
      </w:r>
    </w:p>
    <w:p w:rsidR="00873269" w:rsidRDefault="00873269" w:rsidP="00873269">
      <w:pPr>
        <w:widowControl w:val="0"/>
        <w:ind w:left="709"/>
        <w:jc w:val="both"/>
        <w:rPr>
          <w:snapToGrid w:val="0"/>
        </w:rPr>
      </w:pPr>
      <w:r>
        <w:t xml:space="preserve">– odchyłka w odległości ustawienia słupka od krawędzi jezdni </w:t>
      </w:r>
      <w:r>
        <w:sym w:font="Symbol" w:char="F0B1"/>
      </w:r>
      <w:r>
        <w:t xml:space="preserve"> 0,5 cm, – odchyłka od prostoliniowości wykonanej balustrady 0,5%.</w:t>
      </w:r>
    </w:p>
    <w:p w:rsidR="00873269" w:rsidRDefault="00873269" w:rsidP="00673CA3">
      <w:pPr>
        <w:widowControl w:val="0"/>
        <w:jc w:val="both"/>
        <w:rPr>
          <w:snapToGrid w:val="0"/>
        </w:rPr>
      </w:pPr>
    </w:p>
    <w:p w:rsidR="00873269" w:rsidRDefault="00873269" w:rsidP="00673CA3">
      <w:pPr>
        <w:widowControl w:val="0"/>
        <w:jc w:val="both"/>
        <w:rPr>
          <w:snapToGrid w:val="0"/>
        </w:rPr>
      </w:pPr>
      <w:r w:rsidRPr="00873269">
        <w:rPr>
          <w:snapToGrid w:val="0"/>
        </w:rPr>
        <w:t>Należy skontrolować styk słupka z powierzchnią betonu chodnika - powinien być szczelny, a zaprawa niskoskurczowa tak uformowana, aby odpływ wody był na zewnątrz.</w:t>
      </w:r>
    </w:p>
    <w:p w:rsidR="00673CA3" w:rsidRPr="008246C9" w:rsidRDefault="00673CA3" w:rsidP="00673CA3">
      <w:pPr>
        <w:widowControl w:val="0"/>
        <w:spacing w:before="120" w:after="120"/>
        <w:jc w:val="both"/>
        <w:rPr>
          <w:b/>
          <w:noProof/>
          <w:snapToGrid w:val="0"/>
          <w:u w:val="single"/>
        </w:rPr>
      </w:pPr>
      <w:r w:rsidRPr="000222D0">
        <w:rPr>
          <w:b/>
          <w:noProof/>
          <w:snapToGrid w:val="0"/>
          <w:u w:val="single"/>
        </w:rPr>
        <w:t>7. OBMIAR ROBÓT</w:t>
      </w:r>
    </w:p>
    <w:p w:rsidR="004A0962" w:rsidRPr="00227178" w:rsidRDefault="004A0962" w:rsidP="004A0962">
      <w:pPr>
        <w:pStyle w:val="Tekstpodstawowy"/>
        <w:tabs>
          <w:tab w:val="clear" w:pos="1008"/>
          <w:tab w:val="left" w:pos="736"/>
          <w:tab w:val="left" w:pos="1020"/>
          <w:tab w:val="left" w:pos="1360"/>
          <w:tab w:val="left" w:pos="1700"/>
          <w:tab w:val="left" w:pos="2041"/>
          <w:tab w:val="left" w:pos="2380"/>
          <w:tab w:val="left" w:pos="2721"/>
          <w:tab w:val="left" w:pos="3061"/>
          <w:tab w:val="left" w:pos="3402"/>
          <w:tab w:val="left" w:pos="5668"/>
        </w:tabs>
        <w:ind w:left="420"/>
        <w:rPr>
          <w:rFonts w:ascii="Times New Roman" w:hAnsi="Times New Roman"/>
        </w:rPr>
      </w:pPr>
      <w:r w:rsidRPr="00227178">
        <w:rPr>
          <w:rFonts w:ascii="Times New Roman" w:hAnsi="Times New Roman"/>
        </w:rPr>
        <w:t xml:space="preserve">Jednostką obmiaru jest 1 m (metr) ustawionych i zamocowanej stalowych </w:t>
      </w:r>
      <w:r>
        <w:rPr>
          <w:rFonts w:ascii="Times New Roman" w:hAnsi="Times New Roman"/>
        </w:rPr>
        <w:t>bariero poręczy</w:t>
      </w:r>
    </w:p>
    <w:p w:rsidR="00673CA3" w:rsidRDefault="00673CA3" w:rsidP="00673CA3">
      <w:pPr>
        <w:autoSpaceDE w:val="0"/>
        <w:autoSpaceDN w:val="0"/>
        <w:adjustRightInd w:val="0"/>
        <w:rPr>
          <w:b/>
          <w:noProof/>
          <w:snapToGrid w:val="0"/>
          <w:u w:val="single"/>
        </w:rPr>
      </w:pPr>
    </w:p>
    <w:p w:rsidR="00673CA3" w:rsidRDefault="00673CA3" w:rsidP="00673CA3">
      <w:pPr>
        <w:autoSpaceDE w:val="0"/>
        <w:autoSpaceDN w:val="0"/>
        <w:adjustRightInd w:val="0"/>
        <w:rPr>
          <w:b/>
          <w:noProof/>
          <w:snapToGrid w:val="0"/>
          <w:u w:val="single"/>
        </w:rPr>
      </w:pPr>
      <w:r w:rsidRPr="000222D0">
        <w:rPr>
          <w:b/>
          <w:noProof/>
          <w:snapToGrid w:val="0"/>
          <w:u w:val="single"/>
        </w:rPr>
        <w:t>8. ODBIÓR ROBÓT</w:t>
      </w:r>
    </w:p>
    <w:p w:rsidR="0030087F" w:rsidRDefault="0030087F" w:rsidP="0030087F">
      <w:pPr>
        <w:pStyle w:val="Tekstpodstawowy"/>
        <w:tabs>
          <w:tab w:val="left" w:pos="736"/>
          <w:tab w:val="left" w:pos="1360"/>
          <w:tab w:val="left" w:pos="1700"/>
          <w:tab w:val="left" w:pos="2041"/>
          <w:tab w:val="left" w:pos="2380"/>
          <w:tab w:val="left" w:pos="2721"/>
          <w:tab w:val="left" w:pos="3061"/>
          <w:tab w:val="left" w:pos="3402"/>
          <w:tab w:val="left" w:pos="5668"/>
        </w:tabs>
        <w:ind w:left="420"/>
        <w:rPr>
          <w:rFonts w:ascii="Times New Roman" w:hAnsi="Times New Roman"/>
        </w:rPr>
      </w:pPr>
    </w:p>
    <w:p w:rsidR="004A0962" w:rsidRDefault="0030087F" w:rsidP="0030087F">
      <w:pPr>
        <w:pStyle w:val="Tekstpodstawowy"/>
        <w:tabs>
          <w:tab w:val="left" w:pos="736"/>
          <w:tab w:val="left" w:pos="1360"/>
          <w:tab w:val="left" w:pos="1700"/>
          <w:tab w:val="left" w:pos="2041"/>
          <w:tab w:val="left" w:pos="2380"/>
          <w:tab w:val="left" w:pos="2721"/>
          <w:tab w:val="left" w:pos="3061"/>
          <w:tab w:val="left" w:pos="3402"/>
          <w:tab w:val="left" w:pos="5668"/>
        </w:tabs>
        <w:ind w:left="420"/>
      </w:pPr>
      <w:r w:rsidRPr="0030087F">
        <w:rPr>
          <w:rFonts w:ascii="Times New Roman" w:hAnsi="Times New Roman"/>
        </w:rPr>
        <w:t>Ogólne zasad</w:t>
      </w:r>
      <w:r w:rsidR="001F1073">
        <w:rPr>
          <w:rFonts w:ascii="Times New Roman" w:hAnsi="Times New Roman"/>
        </w:rPr>
        <w:t>y odbioru robót podano w ST</w:t>
      </w:r>
      <w:r w:rsidRPr="0030087F">
        <w:rPr>
          <w:rFonts w:ascii="Times New Roman" w:hAnsi="Times New Roman"/>
        </w:rPr>
        <w:t xml:space="preserve"> D</w:t>
      </w:r>
      <w:r w:rsidR="001F1073">
        <w:rPr>
          <w:rFonts w:ascii="Times New Roman" w:hAnsi="Times New Roman"/>
        </w:rPr>
        <w:t>-</w:t>
      </w:r>
      <w:r w:rsidRPr="0030087F">
        <w:rPr>
          <w:rFonts w:ascii="Times New Roman" w:hAnsi="Times New Roman"/>
        </w:rPr>
        <w:t>M.00.00.00 „Wymagania ogólne” pkt 8</w:t>
      </w:r>
    </w:p>
    <w:p w:rsidR="004A0962" w:rsidRDefault="001C29BC" w:rsidP="001C29BC">
      <w:pPr>
        <w:widowControl w:val="0"/>
        <w:ind w:firstLine="420"/>
        <w:jc w:val="both"/>
        <w:rPr>
          <w:snapToGrid w:val="0"/>
        </w:rPr>
      </w:pPr>
      <w:r w:rsidRPr="001C29BC">
        <w:rPr>
          <w:snapToGrid w:val="0"/>
        </w:rPr>
        <w:t>Roboty uznaje się za wykonane zgodnie z dokumentacją projekto</w:t>
      </w:r>
      <w:r>
        <w:rPr>
          <w:snapToGrid w:val="0"/>
        </w:rPr>
        <w:t>wą, ST</w:t>
      </w:r>
      <w:r w:rsidR="00EC6812">
        <w:rPr>
          <w:snapToGrid w:val="0"/>
        </w:rPr>
        <w:t xml:space="preserve"> i wymaganiami</w:t>
      </w:r>
      <w:r w:rsidR="00330D20">
        <w:t>przedstawiciela</w:t>
      </w:r>
      <w:r w:rsidR="00EC6812">
        <w:rPr>
          <w:snapToGrid w:val="0"/>
        </w:rPr>
        <w:t xml:space="preserve"> Zamawiającego</w:t>
      </w:r>
      <w:r w:rsidRPr="001C29BC">
        <w:rPr>
          <w:snapToGrid w:val="0"/>
        </w:rPr>
        <w:t>, jeżeli wszystkie pomiary i badania z zachowaniem tolerancji wg pkt 6 dały wyniki pozytywne</w:t>
      </w:r>
    </w:p>
    <w:p w:rsidR="00673CA3" w:rsidRDefault="00673CA3" w:rsidP="00673CA3">
      <w:pPr>
        <w:autoSpaceDE w:val="0"/>
        <w:autoSpaceDN w:val="0"/>
        <w:adjustRightInd w:val="0"/>
        <w:rPr>
          <w:b/>
          <w:noProof/>
          <w:snapToGrid w:val="0"/>
          <w:u w:val="single"/>
        </w:rPr>
      </w:pPr>
    </w:p>
    <w:p w:rsidR="00673CA3" w:rsidRPr="00C75C91" w:rsidRDefault="00673CA3" w:rsidP="00673CA3">
      <w:pPr>
        <w:widowControl w:val="0"/>
        <w:spacing w:before="120" w:after="120"/>
        <w:jc w:val="both"/>
        <w:rPr>
          <w:b/>
          <w:noProof/>
          <w:snapToGrid w:val="0"/>
          <w:u w:val="single"/>
        </w:rPr>
      </w:pPr>
      <w:r w:rsidRPr="000222D0">
        <w:rPr>
          <w:b/>
          <w:noProof/>
          <w:snapToGrid w:val="0"/>
          <w:u w:val="single"/>
        </w:rPr>
        <w:t>9. PODSTAWA PŁATNOŚCI</w:t>
      </w:r>
    </w:p>
    <w:p w:rsidR="001C29BC" w:rsidRDefault="001C29BC" w:rsidP="00673CA3">
      <w:pPr>
        <w:ind w:firstLine="709"/>
        <w:jc w:val="both"/>
        <w:rPr>
          <w:snapToGrid w:val="0"/>
        </w:rPr>
      </w:pPr>
      <w:r>
        <w:t>Ogólne ustalenia dotyczące podstawy płatności podano w STWiORB DM.00.00.00 „Wymagania ogólne” pkt 9.</w:t>
      </w:r>
    </w:p>
    <w:p w:rsidR="001C29BC" w:rsidRDefault="001C29BC" w:rsidP="00673CA3">
      <w:pPr>
        <w:ind w:firstLine="709"/>
        <w:jc w:val="both"/>
        <w:rPr>
          <w:snapToGrid w:val="0"/>
        </w:rPr>
      </w:pPr>
      <w:r w:rsidRPr="001C29BC">
        <w:rPr>
          <w:snapToGrid w:val="0"/>
        </w:rPr>
        <w:t>Cena wykonania 1 m bariero-poręczy stalowej obejmuje m.in</w:t>
      </w:r>
      <w:r>
        <w:t>.:</w:t>
      </w:r>
    </w:p>
    <w:p w:rsidR="001C29BC" w:rsidRDefault="001C29BC" w:rsidP="00673CA3">
      <w:pPr>
        <w:ind w:firstLine="709"/>
        <w:jc w:val="both"/>
        <w:rPr>
          <w:snapToGrid w:val="0"/>
        </w:rPr>
      </w:pPr>
    </w:p>
    <w:p w:rsidR="001C29BC" w:rsidRDefault="001C29BC" w:rsidP="00673CA3">
      <w:pPr>
        <w:ind w:firstLine="709"/>
        <w:jc w:val="both"/>
      </w:pPr>
      <w:r>
        <w:t>– prace pomiarowe i roboty przygotowawcze,</w:t>
      </w:r>
    </w:p>
    <w:p w:rsidR="006C41B6" w:rsidRDefault="006C41B6" w:rsidP="00673CA3">
      <w:pPr>
        <w:ind w:firstLine="709"/>
        <w:jc w:val="both"/>
      </w:pPr>
      <w:r>
        <w:t>- próbne przekopy</w:t>
      </w:r>
    </w:p>
    <w:p w:rsidR="006C41B6" w:rsidRDefault="006C41B6" w:rsidP="00673CA3">
      <w:pPr>
        <w:ind w:firstLine="709"/>
        <w:jc w:val="both"/>
        <w:rPr>
          <w:snapToGrid w:val="0"/>
        </w:rPr>
      </w:pPr>
      <w:r>
        <w:t>- korekta położenia sieci w razie potrzeby</w:t>
      </w:r>
    </w:p>
    <w:p w:rsidR="001C29BC" w:rsidRDefault="001C29BC" w:rsidP="00673CA3">
      <w:pPr>
        <w:ind w:firstLine="709"/>
        <w:jc w:val="both"/>
        <w:rPr>
          <w:snapToGrid w:val="0"/>
        </w:rPr>
      </w:pPr>
      <w:r>
        <w:t>– oznakowanie robót,</w:t>
      </w:r>
    </w:p>
    <w:p w:rsidR="001C29BC" w:rsidRDefault="001C29BC" w:rsidP="001C29BC">
      <w:pPr>
        <w:ind w:firstLine="709"/>
        <w:jc w:val="both"/>
        <w:rPr>
          <w:snapToGrid w:val="0"/>
        </w:rPr>
      </w:pPr>
      <w:r>
        <w:t xml:space="preserve">– </w:t>
      </w:r>
      <w:r w:rsidR="003D6A36">
        <w:t xml:space="preserve">zakup i </w:t>
      </w:r>
      <w:r>
        <w:t>dostarczenie materiałów,</w:t>
      </w:r>
    </w:p>
    <w:p w:rsidR="001C29BC" w:rsidRDefault="001C29BC" w:rsidP="001C29BC">
      <w:pPr>
        <w:ind w:left="709"/>
        <w:jc w:val="both"/>
        <w:rPr>
          <w:snapToGrid w:val="0"/>
        </w:rPr>
      </w:pPr>
      <w:r>
        <w:t>– osadzenie słupków bariero-poręczy (z ew. wykonaniem dołów i fundamentów betonowych, lub bezpośrednie wbicie wzgl. wwibrowanie w grunt),</w:t>
      </w:r>
    </w:p>
    <w:p w:rsidR="001C29BC" w:rsidRDefault="001C29BC" w:rsidP="001C29BC">
      <w:pPr>
        <w:ind w:left="709"/>
        <w:jc w:val="both"/>
        <w:rPr>
          <w:snapToGrid w:val="0"/>
        </w:rPr>
      </w:pPr>
      <w:r>
        <w:t>– montaż bariery, lub barieroporęczy z wykonaniem niezbędnych odcinków początkowych i końcowych, ew. barier osłonowych, odcinków przejściowych pomiędzy różnymi typami barier, przerw, przejść i przejazdów w barierze, umocowaniem elementów odblaskowych itp.</w:t>
      </w:r>
    </w:p>
    <w:p w:rsidR="001C29BC" w:rsidRDefault="001C29BC" w:rsidP="00673CA3">
      <w:pPr>
        <w:ind w:firstLine="709"/>
        <w:jc w:val="both"/>
        <w:rPr>
          <w:snapToGrid w:val="0"/>
        </w:rPr>
      </w:pPr>
      <w:r>
        <w:t>– przeprowadzenie badań i pomiarów wymaganych w specyfikacji technicznej,</w:t>
      </w:r>
    </w:p>
    <w:p w:rsidR="00673CA3" w:rsidRDefault="00673CA3" w:rsidP="00673CA3">
      <w:pPr>
        <w:widowControl w:val="0"/>
        <w:jc w:val="both"/>
        <w:rPr>
          <w:snapToGrid w:val="0"/>
        </w:rPr>
      </w:pPr>
    </w:p>
    <w:p w:rsidR="00673CA3" w:rsidRPr="000222D0" w:rsidRDefault="00673CA3" w:rsidP="00673CA3">
      <w:pPr>
        <w:widowControl w:val="0"/>
        <w:spacing w:before="120" w:after="120"/>
        <w:jc w:val="both"/>
        <w:rPr>
          <w:b/>
          <w:noProof/>
          <w:snapToGrid w:val="0"/>
          <w:u w:val="single"/>
        </w:rPr>
      </w:pPr>
      <w:r w:rsidRPr="000222D0">
        <w:rPr>
          <w:b/>
          <w:noProof/>
          <w:snapToGrid w:val="0"/>
          <w:u w:val="single"/>
        </w:rPr>
        <w:t>10. PRZEPISY ZWIĄZANE</w:t>
      </w:r>
    </w:p>
    <w:p w:rsidR="00C75C91" w:rsidRDefault="003D6A36" w:rsidP="00BE4E21">
      <w:pPr>
        <w:rPr>
          <w:rFonts w:ascii="PL Times New Roman" w:hAnsi="PL Times New Roman"/>
          <w:b/>
          <w:snapToGrid w:val="0"/>
          <w:sz w:val="26"/>
        </w:rPr>
      </w:pPr>
      <w:r>
        <w:rPr>
          <w:rFonts w:ascii="PL Times New Roman" w:hAnsi="PL Times New Roman"/>
          <w:b/>
          <w:noProof/>
          <w:sz w:val="26"/>
        </w:rPr>
        <w:drawing>
          <wp:inline distT="0" distB="0" distL="0" distR="0">
            <wp:extent cx="5703570" cy="1873885"/>
            <wp:effectExtent l="0" t="0" r="0" b="0"/>
            <wp:docPr id="103" name="Obraz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03570" cy="1873885"/>
                    </a:xfrm>
                    <a:prstGeom prst="rect">
                      <a:avLst/>
                    </a:prstGeom>
                    <a:noFill/>
                    <a:ln>
                      <a:noFill/>
                    </a:ln>
                  </pic:spPr>
                </pic:pic>
              </a:graphicData>
            </a:graphic>
          </wp:inline>
        </w:drawing>
      </w:r>
    </w:p>
    <w:p w:rsidR="00C75C91" w:rsidRDefault="00C75C91" w:rsidP="00BE4E21">
      <w:pPr>
        <w:rPr>
          <w:rFonts w:ascii="PL Times New Roman" w:hAnsi="PL Times New Roman"/>
          <w:b/>
          <w:snapToGrid w:val="0"/>
          <w:sz w:val="26"/>
        </w:rPr>
      </w:pPr>
    </w:p>
    <w:p w:rsidR="00C75C91" w:rsidRDefault="00C75C91" w:rsidP="00BE4E21">
      <w:pPr>
        <w:rPr>
          <w:rFonts w:ascii="PL Times New Roman" w:hAnsi="PL Times New Roman"/>
          <w:b/>
          <w:snapToGrid w:val="0"/>
          <w:sz w:val="26"/>
        </w:rPr>
      </w:pPr>
    </w:p>
    <w:p w:rsidR="00C75C91" w:rsidRDefault="00C75C91" w:rsidP="00BE4E21">
      <w:pPr>
        <w:rPr>
          <w:rFonts w:ascii="PL Times New Roman" w:hAnsi="PL Times New Roman"/>
          <w:b/>
          <w:snapToGrid w:val="0"/>
          <w:sz w:val="26"/>
        </w:rPr>
      </w:pPr>
    </w:p>
    <w:p w:rsidR="00C75C91" w:rsidRDefault="00C75C91" w:rsidP="00BE4E21">
      <w:pPr>
        <w:rPr>
          <w:rFonts w:ascii="PL Times New Roman" w:hAnsi="PL Times New Roman"/>
          <w:b/>
          <w:snapToGrid w:val="0"/>
          <w:sz w:val="26"/>
        </w:rPr>
      </w:pPr>
    </w:p>
    <w:p w:rsidR="00C75C91" w:rsidRDefault="00C75C91" w:rsidP="00BE4E21">
      <w:pPr>
        <w:rPr>
          <w:rFonts w:ascii="PL Times New Roman" w:hAnsi="PL Times New Roman"/>
          <w:b/>
          <w:snapToGrid w:val="0"/>
          <w:sz w:val="26"/>
        </w:rPr>
      </w:pPr>
    </w:p>
    <w:p w:rsidR="00C75C91" w:rsidRDefault="00C75C91" w:rsidP="00BE4E21">
      <w:pPr>
        <w:rPr>
          <w:rFonts w:ascii="PL Times New Roman" w:hAnsi="PL Times New Roman"/>
          <w:b/>
          <w:snapToGrid w:val="0"/>
          <w:sz w:val="26"/>
        </w:rPr>
      </w:pPr>
    </w:p>
    <w:p w:rsidR="00C75C91" w:rsidRDefault="00C75C91" w:rsidP="00BE4E21">
      <w:pPr>
        <w:rPr>
          <w:rFonts w:ascii="PL Times New Roman" w:hAnsi="PL Times New Roman"/>
          <w:b/>
          <w:snapToGrid w:val="0"/>
          <w:sz w:val="26"/>
        </w:rPr>
      </w:pPr>
    </w:p>
    <w:p w:rsidR="00C75C91" w:rsidRDefault="00C75C91" w:rsidP="00BE4E21">
      <w:pPr>
        <w:rPr>
          <w:rFonts w:ascii="PL Times New Roman" w:hAnsi="PL Times New Roman"/>
          <w:b/>
          <w:snapToGrid w:val="0"/>
          <w:sz w:val="26"/>
        </w:rPr>
      </w:pPr>
    </w:p>
    <w:p w:rsidR="00C75C91" w:rsidRDefault="00C75C91" w:rsidP="00BE4E21">
      <w:pPr>
        <w:rPr>
          <w:rFonts w:ascii="PL Times New Roman" w:hAnsi="PL Times New Roman"/>
          <w:b/>
          <w:snapToGrid w:val="0"/>
          <w:sz w:val="26"/>
        </w:rPr>
      </w:pPr>
    </w:p>
    <w:p w:rsidR="00DC5D94" w:rsidRPr="000222D0" w:rsidRDefault="00C26502" w:rsidP="00DC5D94">
      <w:pPr>
        <w:jc w:val="both"/>
        <w:outlineLvl w:val="0"/>
        <w:rPr>
          <w:rFonts w:ascii="PL Times New Roman" w:hAnsi="PL Times New Roman"/>
          <w:b/>
          <w:snapToGrid w:val="0"/>
          <w:sz w:val="26"/>
        </w:rPr>
      </w:pPr>
      <w:bookmarkStart w:id="42" w:name="_Toc80100092"/>
      <w:r>
        <w:rPr>
          <w:rFonts w:ascii="PL Times New Roman" w:hAnsi="PL Times New Roman"/>
          <w:b/>
          <w:snapToGrid w:val="0"/>
          <w:sz w:val="26"/>
        </w:rPr>
        <w:t>M.20.01.08</w:t>
      </w:r>
      <w:r w:rsidR="00DC5D94">
        <w:rPr>
          <w:rFonts w:ascii="PL Times New Roman" w:hAnsi="PL Times New Roman"/>
          <w:b/>
          <w:snapToGrid w:val="0"/>
          <w:sz w:val="26"/>
        </w:rPr>
        <w:t xml:space="preserve">. </w:t>
      </w:r>
      <w:r w:rsidR="00EB4EF1">
        <w:rPr>
          <w:rFonts w:ascii="PL Times New Roman" w:hAnsi="PL Times New Roman"/>
          <w:b/>
          <w:snapToGrid w:val="0"/>
          <w:sz w:val="26"/>
        </w:rPr>
        <w:t>UMOCNIENIE POWIERZCHNIOWE SKARP KOSTKĄ BRUKOWĄ</w:t>
      </w:r>
      <w:bookmarkEnd w:id="42"/>
    </w:p>
    <w:p w:rsidR="00DC5D94" w:rsidRPr="000222D0" w:rsidRDefault="00DC5D94" w:rsidP="00DC5D94">
      <w:pPr>
        <w:widowControl w:val="0"/>
        <w:spacing w:before="120" w:after="120"/>
        <w:jc w:val="both"/>
        <w:rPr>
          <w:b/>
          <w:noProof/>
          <w:snapToGrid w:val="0"/>
          <w:u w:val="single"/>
        </w:rPr>
      </w:pPr>
      <w:r w:rsidRPr="000222D0">
        <w:rPr>
          <w:b/>
          <w:noProof/>
          <w:snapToGrid w:val="0"/>
          <w:u w:val="single"/>
        </w:rPr>
        <w:t>1. WSTĘP</w:t>
      </w:r>
    </w:p>
    <w:p w:rsidR="00DC5D94" w:rsidRPr="000222D0" w:rsidRDefault="00DC5D94" w:rsidP="00DC5D94">
      <w:pPr>
        <w:autoSpaceDE w:val="0"/>
        <w:autoSpaceDN w:val="0"/>
        <w:adjustRightInd w:val="0"/>
        <w:rPr>
          <w:b/>
          <w:bCs/>
        </w:rPr>
      </w:pPr>
      <w:r w:rsidRPr="000222D0">
        <w:rPr>
          <w:b/>
          <w:bCs/>
        </w:rPr>
        <w:t>1.1. Przedmiot SST</w:t>
      </w:r>
    </w:p>
    <w:p w:rsidR="00DC5D94" w:rsidRDefault="00DC5D94" w:rsidP="00DC5D94">
      <w:pPr>
        <w:widowControl w:val="0"/>
        <w:jc w:val="both"/>
        <w:rPr>
          <w:snapToGrid w:val="0"/>
        </w:rPr>
      </w:pPr>
      <w:r w:rsidRPr="00F85B5B">
        <w:rPr>
          <w:snapToGrid w:val="0"/>
        </w:rPr>
        <w:t>Przedmiotem niniejszej Specyfikacji Technicznej są wymagania dotyczące wykonan</w:t>
      </w:r>
      <w:r>
        <w:rPr>
          <w:snapToGrid w:val="0"/>
        </w:rPr>
        <w:t xml:space="preserve">ia i odbioru robót </w:t>
      </w:r>
      <w:r w:rsidR="00EB4EF1">
        <w:t>związanych zprzeciwerozyjnym umocnieniem powierzchniowym skarp</w:t>
      </w:r>
      <w:r w:rsidR="001728A3">
        <w:t xml:space="preserve"> i dna</w:t>
      </w:r>
      <w:r w:rsidR="00EB4EF1">
        <w:t xml:space="preserve"> kamieniem brukowym </w:t>
      </w:r>
      <w:r w:rsidRPr="00F85B5B">
        <w:rPr>
          <w:snapToGrid w:val="0"/>
        </w:rPr>
        <w:t>w ramach zadania.</w:t>
      </w:r>
      <w:r>
        <w:rPr>
          <w:snapToGrid w:val="0"/>
        </w:rPr>
        <w:t xml:space="preserve">: </w:t>
      </w:r>
      <w:r w:rsidR="00C26502">
        <w:rPr>
          <w:bCs/>
        </w:rPr>
        <w:t>"Remont przepustu nad rzeką Postomia w ciągu drogi nr 445/k.2922 m. Wędrzyn."</w:t>
      </w:r>
    </w:p>
    <w:p w:rsidR="00DC5D94" w:rsidRPr="00F85B5B" w:rsidRDefault="00DC5D94" w:rsidP="00DC5D94">
      <w:pPr>
        <w:widowControl w:val="0"/>
        <w:jc w:val="both"/>
        <w:rPr>
          <w:snapToGrid w:val="0"/>
        </w:rPr>
      </w:pPr>
    </w:p>
    <w:p w:rsidR="00DC5D94" w:rsidRPr="000222D0" w:rsidRDefault="00DC5D94" w:rsidP="00DC5D94">
      <w:pPr>
        <w:autoSpaceDE w:val="0"/>
        <w:autoSpaceDN w:val="0"/>
        <w:adjustRightInd w:val="0"/>
        <w:rPr>
          <w:b/>
          <w:bCs/>
        </w:rPr>
      </w:pPr>
      <w:r w:rsidRPr="000222D0">
        <w:rPr>
          <w:b/>
          <w:bCs/>
        </w:rPr>
        <w:t>1.2. Zakres stosowania SST</w:t>
      </w:r>
    </w:p>
    <w:p w:rsidR="00DC5D94" w:rsidRDefault="00DC5D94" w:rsidP="00DC5D94">
      <w:pPr>
        <w:widowControl w:val="0"/>
        <w:jc w:val="both"/>
        <w:rPr>
          <w:snapToGrid w:val="0"/>
        </w:rPr>
      </w:pPr>
      <w:r w:rsidRPr="000222D0">
        <w:rPr>
          <w:snapToGrid w:val="0"/>
        </w:rPr>
        <w:t xml:space="preserve">Specyfikacja Techniczna jest stosowana jako dokument przetargowy i kontraktowy przy zlecaniu i realizacji robót wymienionych w punkcie 1.1. </w:t>
      </w:r>
    </w:p>
    <w:p w:rsidR="00DC5D94" w:rsidRPr="000222D0" w:rsidRDefault="00DC5D94" w:rsidP="00DC5D94">
      <w:pPr>
        <w:widowControl w:val="0"/>
        <w:jc w:val="both"/>
        <w:rPr>
          <w:snapToGrid w:val="0"/>
        </w:rPr>
      </w:pPr>
    </w:p>
    <w:p w:rsidR="00DC5D94" w:rsidRPr="008E1656" w:rsidRDefault="00DC5D94" w:rsidP="00DC5D94">
      <w:pPr>
        <w:autoSpaceDE w:val="0"/>
        <w:autoSpaceDN w:val="0"/>
        <w:adjustRightInd w:val="0"/>
        <w:rPr>
          <w:b/>
          <w:bCs/>
        </w:rPr>
      </w:pPr>
      <w:r w:rsidRPr="000222D0">
        <w:rPr>
          <w:b/>
          <w:bCs/>
        </w:rPr>
        <w:t>1.3. Zakres robót objętych SST</w:t>
      </w:r>
    </w:p>
    <w:p w:rsidR="00EB4EF1" w:rsidRPr="00641AB0" w:rsidRDefault="00EB4EF1" w:rsidP="00EB4EF1">
      <w:pPr>
        <w:widowControl w:val="0"/>
        <w:jc w:val="both"/>
        <w:rPr>
          <w:snapToGrid w:val="0"/>
        </w:rPr>
      </w:pPr>
      <w:r w:rsidRPr="00641AB0">
        <w:rPr>
          <w:snapToGrid w:val="0"/>
        </w:rPr>
        <w:t>Ustalenia zawarte w niniejszej specyfikacji dotyczą wykonania:</w:t>
      </w:r>
    </w:p>
    <w:p w:rsidR="00EB4EF1" w:rsidRDefault="00EB4EF1" w:rsidP="00DC5D94">
      <w:pPr>
        <w:widowControl w:val="0"/>
        <w:jc w:val="both"/>
        <w:rPr>
          <w:snapToGrid w:val="0"/>
        </w:rPr>
      </w:pPr>
      <w:r>
        <w:t>− roboty pomiarowe przy liniowych robotach ziemnych,</w:t>
      </w:r>
    </w:p>
    <w:p w:rsidR="00EB4EF1" w:rsidRDefault="00FF53AF" w:rsidP="00DC5D94">
      <w:pPr>
        <w:widowControl w:val="0"/>
        <w:jc w:val="both"/>
        <w:rPr>
          <w:snapToGrid w:val="0"/>
        </w:rPr>
      </w:pPr>
      <w:r>
        <w:t xml:space="preserve">− wykonanie umocnienia </w:t>
      </w:r>
      <w:r w:rsidR="00EB4EF1">
        <w:t xml:space="preserve"> skarp</w:t>
      </w:r>
      <w:r w:rsidR="00C26502">
        <w:t xml:space="preserve"> i  poboczy</w:t>
      </w:r>
      <w:r w:rsidR="00EB4EF1">
        <w:t xml:space="preserve"> kostką brukową kamienną</w:t>
      </w:r>
      <w:r>
        <w:t xml:space="preserve"> 9/11</w:t>
      </w:r>
      <w:r w:rsidR="00EB4EF1">
        <w:t xml:space="preserve"> na podbudowie z betonu</w:t>
      </w:r>
      <w:r>
        <w:t xml:space="preserve"> C</w:t>
      </w:r>
      <w:r w:rsidR="00C26502">
        <w:t>16/2</w:t>
      </w:r>
      <w:r w:rsidR="00941695">
        <w:t>0</w:t>
      </w:r>
      <w:r w:rsidR="001728A3">
        <w:t xml:space="preserve"> wraz z oporem z obrzeża betonowego 8x30</w:t>
      </w:r>
    </w:p>
    <w:p w:rsidR="00DC5D94" w:rsidRDefault="00DC5D94" w:rsidP="00DC5D94">
      <w:pPr>
        <w:widowControl w:val="0"/>
        <w:jc w:val="both"/>
        <w:rPr>
          <w:snapToGrid w:val="0"/>
        </w:rPr>
      </w:pPr>
    </w:p>
    <w:p w:rsidR="00DC5D94" w:rsidRPr="008D27A8" w:rsidRDefault="00DC5D94" w:rsidP="00DC5D94">
      <w:pPr>
        <w:autoSpaceDE w:val="0"/>
        <w:autoSpaceDN w:val="0"/>
        <w:adjustRightInd w:val="0"/>
        <w:rPr>
          <w:b/>
          <w:bCs/>
        </w:rPr>
      </w:pPr>
      <w:r w:rsidRPr="008D27A8">
        <w:rPr>
          <w:b/>
          <w:bCs/>
        </w:rPr>
        <w:t>1.4. Określenia podstawowe</w:t>
      </w:r>
    </w:p>
    <w:p w:rsidR="00DC5D94" w:rsidRPr="00EB4EF1" w:rsidRDefault="00EB4EF1" w:rsidP="00DC5D94">
      <w:pPr>
        <w:widowControl w:val="0"/>
        <w:jc w:val="both"/>
      </w:pPr>
      <w:r>
        <w:t>1.4.1. Brukowiec - kamień nieobrobiony (otoczak) lub obrobiony w kształcie nieregularnym i zaokrąglonych krawędziach.</w:t>
      </w:r>
    </w:p>
    <w:p w:rsidR="00EB4EF1" w:rsidRDefault="00EB4EF1" w:rsidP="00DC5D94">
      <w:pPr>
        <w:widowControl w:val="0"/>
        <w:jc w:val="both"/>
        <w:rPr>
          <w:snapToGrid w:val="0"/>
        </w:rPr>
      </w:pPr>
      <w:r>
        <w:rPr>
          <w:snapToGrid w:val="0"/>
        </w:rPr>
        <w:t xml:space="preserve">1.4.2. </w:t>
      </w:r>
      <w:r>
        <w:t>Kostka brukowa – kamień obrobiony w kształcie sześcianu</w:t>
      </w:r>
    </w:p>
    <w:p w:rsidR="00EB4EF1" w:rsidRDefault="00EB4EF1" w:rsidP="00DC5D94">
      <w:pPr>
        <w:widowControl w:val="0"/>
        <w:jc w:val="both"/>
        <w:rPr>
          <w:snapToGrid w:val="0"/>
        </w:rPr>
      </w:pPr>
      <w:r>
        <w:t>1.4.3. Pozostałe określenia podstawowe są zgodne z definicjami podanymi w ST D-M-00.00.00 „Wymagania ogólne” pkt 1.4.</w:t>
      </w:r>
    </w:p>
    <w:p w:rsidR="00EB4EF1" w:rsidRDefault="00EB4EF1" w:rsidP="00DC5D94">
      <w:pPr>
        <w:widowControl w:val="0"/>
        <w:jc w:val="both"/>
        <w:rPr>
          <w:snapToGrid w:val="0"/>
        </w:rPr>
      </w:pPr>
    </w:p>
    <w:p w:rsidR="00DC5D94" w:rsidRDefault="00DC5D94" w:rsidP="00DC5D94">
      <w:pPr>
        <w:widowControl w:val="0"/>
        <w:jc w:val="both"/>
        <w:rPr>
          <w:snapToGrid w:val="0"/>
        </w:rPr>
      </w:pPr>
      <w:r>
        <w:rPr>
          <w:b/>
          <w:bCs/>
        </w:rPr>
        <w:t>1.5</w:t>
      </w:r>
      <w:r w:rsidRPr="008D27A8">
        <w:rPr>
          <w:b/>
          <w:bCs/>
        </w:rPr>
        <w:t xml:space="preserve">. </w:t>
      </w:r>
      <w:r>
        <w:rPr>
          <w:b/>
          <w:bCs/>
        </w:rPr>
        <w:t>Ogólne wymagania dotyczące robót</w:t>
      </w:r>
    </w:p>
    <w:p w:rsidR="00DC5D94" w:rsidRDefault="00DC5D94" w:rsidP="00DC5D94">
      <w:pPr>
        <w:widowControl w:val="0"/>
        <w:ind w:firstLine="709"/>
        <w:jc w:val="both"/>
        <w:rPr>
          <w:snapToGrid w:val="0"/>
        </w:rPr>
      </w:pPr>
      <w:r w:rsidRPr="008D27A8">
        <w:rPr>
          <w:snapToGrid w:val="0"/>
        </w:rPr>
        <w:t xml:space="preserve">Ogólne wymagania </w:t>
      </w:r>
      <w:r>
        <w:rPr>
          <w:snapToGrid w:val="0"/>
        </w:rPr>
        <w:t>dotyczące robót podano w ST</w:t>
      </w:r>
      <w:r w:rsidRPr="008D27A8">
        <w:rPr>
          <w:snapToGrid w:val="0"/>
        </w:rPr>
        <w:t xml:space="preserve"> D</w:t>
      </w:r>
      <w:r>
        <w:rPr>
          <w:snapToGrid w:val="0"/>
        </w:rPr>
        <w:t>-</w:t>
      </w:r>
      <w:r w:rsidRPr="008D27A8">
        <w:rPr>
          <w:snapToGrid w:val="0"/>
        </w:rPr>
        <w:t>M.00.00.00 „Wymagania ogólne”</w:t>
      </w:r>
    </w:p>
    <w:p w:rsidR="00DC5D94" w:rsidRPr="00641AB0" w:rsidRDefault="00DC5D94" w:rsidP="00DC5D94">
      <w:pPr>
        <w:widowControl w:val="0"/>
        <w:ind w:firstLine="709"/>
        <w:jc w:val="both"/>
        <w:rPr>
          <w:snapToGrid w:val="0"/>
        </w:rPr>
      </w:pPr>
      <w:r w:rsidRPr="00641AB0">
        <w:rPr>
          <w:snapToGrid w:val="0"/>
        </w:rPr>
        <w:t>Wykonawca jest odpowiedzialny za jakość stosowanych materiałów, zgodną ze Szczegółową Specyfikacją Techniczną oraz zaleceniami Inspektora nadzoru.</w:t>
      </w:r>
    </w:p>
    <w:p w:rsidR="00EB4EF1" w:rsidRDefault="00EB4EF1" w:rsidP="00DC5D94">
      <w:pPr>
        <w:widowControl w:val="0"/>
        <w:jc w:val="both"/>
        <w:rPr>
          <w:snapToGrid w:val="0"/>
        </w:rPr>
      </w:pPr>
    </w:p>
    <w:p w:rsidR="00DC5D94" w:rsidRPr="008E1656" w:rsidRDefault="00DC5D94" w:rsidP="00DC5D94">
      <w:pPr>
        <w:widowControl w:val="0"/>
        <w:spacing w:before="120" w:after="120"/>
        <w:jc w:val="both"/>
        <w:rPr>
          <w:b/>
          <w:noProof/>
          <w:snapToGrid w:val="0"/>
          <w:u w:val="single"/>
        </w:rPr>
      </w:pPr>
      <w:r w:rsidRPr="000222D0">
        <w:rPr>
          <w:b/>
          <w:noProof/>
          <w:snapToGrid w:val="0"/>
          <w:u w:val="single"/>
        </w:rPr>
        <w:t>2. MATERIAŁY</w:t>
      </w:r>
    </w:p>
    <w:p w:rsidR="00EB4EF1" w:rsidRDefault="00EB4EF1" w:rsidP="00EB4EF1">
      <w:pPr>
        <w:widowControl w:val="0"/>
        <w:jc w:val="both"/>
        <w:rPr>
          <w:snapToGrid w:val="0"/>
        </w:rPr>
      </w:pPr>
      <w:r>
        <w:rPr>
          <w:b/>
          <w:bCs/>
        </w:rPr>
        <w:t>2.1. Ogólne wymagania dotyczące materiałów</w:t>
      </w:r>
    </w:p>
    <w:p w:rsidR="00DC5D94" w:rsidRPr="00CE478B" w:rsidRDefault="00DC5D94" w:rsidP="00DC5D94">
      <w:pPr>
        <w:widowControl w:val="0"/>
        <w:ind w:firstLine="709"/>
        <w:jc w:val="both"/>
        <w:rPr>
          <w:snapToGrid w:val="0"/>
        </w:rPr>
      </w:pPr>
      <w:r w:rsidRPr="0088130F">
        <w:rPr>
          <w:snapToGrid w:val="0"/>
        </w:rPr>
        <w:t>Ogólne wymagania dotyczące materiałów, ich poz</w:t>
      </w:r>
      <w:r>
        <w:rPr>
          <w:snapToGrid w:val="0"/>
        </w:rPr>
        <w:t>yskiwania i składow., wg ST</w:t>
      </w:r>
      <w:r w:rsidRPr="0088130F">
        <w:rPr>
          <w:snapToGrid w:val="0"/>
        </w:rPr>
        <w:t xml:space="preserve"> D</w:t>
      </w:r>
      <w:r>
        <w:rPr>
          <w:snapToGrid w:val="0"/>
        </w:rPr>
        <w:t>-</w:t>
      </w:r>
      <w:r w:rsidRPr="0088130F">
        <w:rPr>
          <w:snapToGrid w:val="0"/>
        </w:rPr>
        <w:t>M.00.00.00 „Wymagania ogólne”</w:t>
      </w:r>
    </w:p>
    <w:p w:rsidR="00DC5D94" w:rsidRDefault="00DC5D94" w:rsidP="00DC5D94">
      <w:pPr>
        <w:widowControl w:val="0"/>
        <w:ind w:firstLine="709"/>
        <w:jc w:val="both"/>
        <w:rPr>
          <w:snapToGrid w:val="0"/>
        </w:rPr>
      </w:pPr>
      <w:r w:rsidRPr="0075125F">
        <w:rPr>
          <w:snapToGrid w:val="0"/>
        </w:rPr>
        <w:t xml:space="preserve">Przed przystąpieniem do wbudowywania materiału Wykonawca zobowiązany jest do przedstawienia przy każdej dostawie deklaracji </w:t>
      </w:r>
      <w:r w:rsidR="006335B4">
        <w:rPr>
          <w:snapToGrid w:val="0"/>
        </w:rPr>
        <w:t>właściwości</w:t>
      </w:r>
      <w:r w:rsidRPr="0075125F">
        <w:rPr>
          <w:snapToGrid w:val="0"/>
        </w:rPr>
        <w:t xml:space="preserve"> użytkowych materiału objętego normą zharmonizowaną lub europejską oceną techniczną lub europejską aprobatą techniczną, lub krajowej deklaracji </w:t>
      </w:r>
      <w:r w:rsidR="006335B4">
        <w:rPr>
          <w:snapToGrid w:val="0"/>
        </w:rPr>
        <w:t>właściwości</w:t>
      </w:r>
      <w:r w:rsidRPr="0075125F">
        <w:rPr>
          <w:snapToGrid w:val="0"/>
        </w:rPr>
        <w:t xml:space="preserve"> użytkowych dla materiału objętego Polską Normą lub krajową oceną techniczną lub aprobatą techniczną, a także kart technicznych i instrukcji użytkowania poszczególnych materiałów. Za sprawdzenie przydatności materiałów oraz jakość wbudowania odpowiada Wykonawca.</w:t>
      </w:r>
    </w:p>
    <w:p w:rsidR="00EB4EF1" w:rsidRPr="00CE478B" w:rsidRDefault="00EB4EF1" w:rsidP="00DC5D94">
      <w:pPr>
        <w:widowControl w:val="0"/>
        <w:ind w:firstLine="709"/>
        <w:jc w:val="both"/>
        <w:rPr>
          <w:snapToGrid w:val="0"/>
        </w:rPr>
      </w:pPr>
    </w:p>
    <w:p w:rsidR="00EB4EF1" w:rsidRPr="00EB4EF1" w:rsidRDefault="00EB4EF1" w:rsidP="00EB4EF1">
      <w:pPr>
        <w:widowControl w:val="0"/>
        <w:jc w:val="both"/>
        <w:rPr>
          <w:b/>
          <w:bCs/>
        </w:rPr>
      </w:pPr>
      <w:r w:rsidRPr="00EB4EF1">
        <w:rPr>
          <w:b/>
          <w:bCs/>
        </w:rPr>
        <w:t>2.2. Rodzaje materiałów</w:t>
      </w:r>
    </w:p>
    <w:p w:rsidR="00EB4EF1" w:rsidRPr="00EB4EF1" w:rsidRDefault="00EB4EF1" w:rsidP="00EB4EF1">
      <w:pPr>
        <w:widowControl w:val="0"/>
        <w:ind w:firstLine="709"/>
        <w:jc w:val="both"/>
        <w:rPr>
          <w:snapToGrid w:val="0"/>
        </w:rPr>
      </w:pPr>
      <w:r w:rsidRPr="00EB4EF1">
        <w:rPr>
          <w:snapToGrid w:val="0"/>
        </w:rPr>
        <w:t>Materiałami sto</w:t>
      </w:r>
      <w:r>
        <w:rPr>
          <w:snapToGrid w:val="0"/>
        </w:rPr>
        <w:t>sowanymi przy umacnianiu skarp objętymi niniejszą ST</w:t>
      </w:r>
      <w:r w:rsidRPr="00EB4EF1">
        <w:rPr>
          <w:snapToGrid w:val="0"/>
        </w:rPr>
        <w:t xml:space="preserve"> są:</w:t>
      </w:r>
    </w:p>
    <w:p w:rsidR="00EB4EF1" w:rsidRPr="00EB4EF1" w:rsidRDefault="00EB4EF1" w:rsidP="00EB4EF1">
      <w:pPr>
        <w:widowControl w:val="0"/>
        <w:ind w:firstLine="709"/>
        <w:jc w:val="both"/>
        <w:rPr>
          <w:snapToGrid w:val="0"/>
        </w:rPr>
      </w:pPr>
      <w:r w:rsidRPr="00EB4EF1">
        <w:rPr>
          <w:snapToGrid w:val="0"/>
        </w:rPr>
        <w:t xml:space="preserve">− Kostka kamienna, </w:t>
      </w:r>
    </w:p>
    <w:p w:rsidR="00EB4EF1" w:rsidRPr="00EB4EF1" w:rsidRDefault="00EB4EF1" w:rsidP="00EB4EF1">
      <w:pPr>
        <w:widowControl w:val="0"/>
        <w:ind w:firstLine="709"/>
        <w:jc w:val="both"/>
        <w:rPr>
          <w:snapToGrid w:val="0"/>
        </w:rPr>
      </w:pPr>
      <w:r w:rsidRPr="00EB4EF1">
        <w:rPr>
          <w:snapToGrid w:val="0"/>
        </w:rPr>
        <w:t xml:space="preserve">− kruszywo, </w:t>
      </w:r>
    </w:p>
    <w:p w:rsidR="00EB4EF1" w:rsidRPr="00EB4EF1" w:rsidRDefault="00EB4EF1" w:rsidP="00EB4EF1">
      <w:pPr>
        <w:widowControl w:val="0"/>
        <w:ind w:firstLine="709"/>
        <w:jc w:val="both"/>
        <w:rPr>
          <w:snapToGrid w:val="0"/>
        </w:rPr>
      </w:pPr>
      <w:r w:rsidRPr="00EB4EF1">
        <w:rPr>
          <w:snapToGrid w:val="0"/>
        </w:rPr>
        <w:t xml:space="preserve">− cement, </w:t>
      </w:r>
    </w:p>
    <w:p w:rsidR="00EB4EF1" w:rsidRDefault="00EB4EF1" w:rsidP="00EB4EF1">
      <w:pPr>
        <w:widowControl w:val="0"/>
        <w:ind w:firstLine="709"/>
        <w:jc w:val="both"/>
        <w:rPr>
          <w:snapToGrid w:val="0"/>
        </w:rPr>
      </w:pPr>
      <w:r w:rsidRPr="00EB4EF1">
        <w:rPr>
          <w:snapToGrid w:val="0"/>
        </w:rPr>
        <w:t>− zaprawa cementowa,</w:t>
      </w:r>
    </w:p>
    <w:p w:rsidR="00D84305" w:rsidRPr="00EB4EF1" w:rsidRDefault="00D84305" w:rsidP="00D84305">
      <w:pPr>
        <w:widowControl w:val="0"/>
        <w:ind w:firstLine="709"/>
        <w:jc w:val="both"/>
        <w:rPr>
          <w:snapToGrid w:val="0"/>
        </w:rPr>
      </w:pPr>
      <w:r>
        <w:rPr>
          <w:snapToGrid w:val="0"/>
        </w:rPr>
        <w:t>− obrzeża betonowe</w:t>
      </w:r>
      <w:r w:rsidRPr="00EB4EF1">
        <w:rPr>
          <w:snapToGrid w:val="0"/>
        </w:rPr>
        <w:t>,</w:t>
      </w:r>
    </w:p>
    <w:p w:rsidR="00FF53AF" w:rsidRDefault="00FF53AF" w:rsidP="00FF53AF">
      <w:pPr>
        <w:widowControl w:val="0"/>
        <w:jc w:val="both"/>
        <w:rPr>
          <w:b/>
          <w:bCs/>
        </w:rPr>
      </w:pPr>
    </w:p>
    <w:p w:rsidR="00EB4EF1" w:rsidRPr="00FF53AF" w:rsidRDefault="00FF53AF" w:rsidP="00FF53AF">
      <w:pPr>
        <w:widowControl w:val="0"/>
        <w:jc w:val="both"/>
        <w:rPr>
          <w:b/>
          <w:bCs/>
        </w:rPr>
      </w:pPr>
      <w:r w:rsidRPr="00FF53AF">
        <w:rPr>
          <w:b/>
          <w:bCs/>
        </w:rPr>
        <w:t>2.3. Kostka brukowa</w:t>
      </w:r>
    </w:p>
    <w:p w:rsidR="00EB4EF1" w:rsidRPr="00FF53AF" w:rsidRDefault="00FF53AF" w:rsidP="00FF53AF">
      <w:pPr>
        <w:widowControl w:val="0"/>
        <w:jc w:val="both"/>
        <w:rPr>
          <w:snapToGrid w:val="0"/>
        </w:rPr>
      </w:pPr>
      <w:r w:rsidRPr="00FF53AF">
        <w:rPr>
          <w:snapToGrid w:val="0"/>
        </w:rPr>
        <w:t>2.3.1. Rodzaj kostki</w:t>
      </w:r>
    </w:p>
    <w:p w:rsidR="00EB4EF1" w:rsidRPr="00FF53AF" w:rsidRDefault="00FF53AF" w:rsidP="00FF53AF">
      <w:pPr>
        <w:widowControl w:val="0"/>
        <w:ind w:firstLine="709"/>
        <w:jc w:val="both"/>
        <w:rPr>
          <w:snapToGrid w:val="0"/>
        </w:rPr>
      </w:pPr>
      <w:r w:rsidRPr="00FF53AF">
        <w:rPr>
          <w:snapToGrid w:val="0"/>
        </w:rPr>
        <w:t>Granitowa kostka ciosana wg PN-EN 1342:2003 „Kostka brukowa z kamienia naturalnego do zewnętrznych nawierzchni drogowych. Wymagania i metody badań”</w:t>
      </w:r>
    </w:p>
    <w:p w:rsidR="00FF53AF" w:rsidRDefault="00FF53AF" w:rsidP="00941695">
      <w:pPr>
        <w:widowControl w:val="0"/>
        <w:ind w:firstLine="709"/>
        <w:jc w:val="both"/>
        <w:rPr>
          <w:snapToGrid w:val="0"/>
        </w:rPr>
      </w:pPr>
      <w:r w:rsidRPr="00FF53AF">
        <w:rPr>
          <w:snapToGrid w:val="0"/>
        </w:rPr>
        <w:t>Dostawca powinien określić wymiary nominalne każdej badanej kostki brukowej, chyba że wymiary dostarczonych kostek są przypadkowe. Wymiary należy mierzyć zgodnie z normą PN-EN 1342.</w:t>
      </w:r>
    </w:p>
    <w:p w:rsidR="00941695" w:rsidRDefault="00941695" w:rsidP="00941695">
      <w:pPr>
        <w:widowControl w:val="0"/>
        <w:jc w:val="both"/>
        <w:rPr>
          <w:snapToGrid w:val="0"/>
        </w:rPr>
      </w:pPr>
    </w:p>
    <w:p w:rsidR="00941695" w:rsidRDefault="00941695" w:rsidP="00941695">
      <w:pPr>
        <w:widowControl w:val="0"/>
        <w:jc w:val="both"/>
        <w:rPr>
          <w:snapToGrid w:val="0"/>
        </w:rPr>
      </w:pPr>
      <w:r>
        <w:rPr>
          <w:snapToGrid w:val="0"/>
        </w:rPr>
        <w:t>2.3.2. Wymiary powierzchni elementu i grubość – dopuszczalne odchyłki</w:t>
      </w:r>
    </w:p>
    <w:p w:rsidR="00941695" w:rsidRPr="00941695" w:rsidRDefault="00941695" w:rsidP="00941695">
      <w:pPr>
        <w:widowControl w:val="0"/>
        <w:ind w:firstLine="709"/>
        <w:jc w:val="both"/>
        <w:rPr>
          <w:snapToGrid w:val="0"/>
        </w:rPr>
      </w:pPr>
      <w:r w:rsidRPr="00941695">
        <w:rPr>
          <w:snapToGrid w:val="0"/>
        </w:rPr>
        <w:t>Odchyłki od nominalnych wymiarów powierzchni elementu, zmierzonych zgodnie z PN-EN 1342 powinny odpowiadać wartościom w granicach odchyłek podanych w tablicy 1.</w:t>
      </w:r>
    </w:p>
    <w:p w:rsidR="00941695" w:rsidRPr="00941695" w:rsidRDefault="00941695" w:rsidP="00941695">
      <w:pPr>
        <w:widowControl w:val="0"/>
        <w:ind w:firstLine="709"/>
        <w:jc w:val="both"/>
        <w:rPr>
          <w:snapToGrid w:val="0"/>
        </w:rPr>
      </w:pPr>
      <w:r w:rsidRPr="00941695">
        <w:rPr>
          <w:snapToGrid w:val="0"/>
        </w:rPr>
        <w:t>Tablica 1 - Odchyłki od nominalnych wymiarów powierzchni</w:t>
      </w:r>
    </w:p>
    <w:p w:rsidR="00FF53AF" w:rsidRDefault="00941695" w:rsidP="00DC5D94">
      <w:pPr>
        <w:widowControl w:val="0"/>
        <w:spacing w:before="120" w:after="120"/>
        <w:jc w:val="both"/>
      </w:pPr>
      <w:r>
        <w:rPr>
          <w:noProof/>
        </w:rPr>
        <w:drawing>
          <wp:inline distT="0" distB="0" distL="0" distR="0">
            <wp:extent cx="4699000" cy="678815"/>
            <wp:effectExtent l="0" t="0" r="6350" b="6985"/>
            <wp:docPr id="108" name="Obraz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699000" cy="678815"/>
                    </a:xfrm>
                    <a:prstGeom prst="rect">
                      <a:avLst/>
                    </a:prstGeom>
                    <a:noFill/>
                    <a:ln>
                      <a:noFill/>
                    </a:ln>
                  </pic:spPr>
                </pic:pic>
              </a:graphicData>
            </a:graphic>
          </wp:inline>
        </w:drawing>
      </w:r>
    </w:p>
    <w:p w:rsidR="00FF53AF" w:rsidRDefault="00941695" w:rsidP="00941695">
      <w:pPr>
        <w:widowControl w:val="0"/>
        <w:ind w:firstLine="709"/>
        <w:jc w:val="both"/>
        <w:rPr>
          <w:snapToGrid w:val="0"/>
        </w:rPr>
      </w:pPr>
      <w:r w:rsidRPr="00941695">
        <w:rPr>
          <w:snapToGrid w:val="0"/>
        </w:rPr>
        <w:t>Odchyłki od wymiaru nominalnego grubości, mierzone zgodnie z PN-EN 1342 powinny odpowiadać wartościom w granicach odchyłek podanych w tablicy 2</w:t>
      </w:r>
    </w:p>
    <w:p w:rsidR="00941695" w:rsidRPr="00941695" w:rsidRDefault="00941695" w:rsidP="00941695">
      <w:pPr>
        <w:widowControl w:val="0"/>
        <w:ind w:firstLine="709"/>
        <w:jc w:val="both"/>
        <w:rPr>
          <w:snapToGrid w:val="0"/>
        </w:rPr>
      </w:pPr>
    </w:p>
    <w:p w:rsidR="00FF53AF" w:rsidRPr="00941695" w:rsidRDefault="00941695" w:rsidP="00941695">
      <w:pPr>
        <w:widowControl w:val="0"/>
        <w:ind w:firstLine="709"/>
        <w:jc w:val="both"/>
        <w:rPr>
          <w:snapToGrid w:val="0"/>
        </w:rPr>
      </w:pPr>
      <w:r w:rsidRPr="00941695">
        <w:rPr>
          <w:snapToGrid w:val="0"/>
        </w:rPr>
        <w:t>Tablica 2 - Odchyłki od nominalnej grubości</w:t>
      </w:r>
    </w:p>
    <w:p w:rsidR="00FF53AF" w:rsidRDefault="00941695" w:rsidP="00DC5D94">
      <w:pPr>
        <w:widowControl w:val="0"/>
        <w:spacing w:before="120" w:after="120"/>
        <w:jc w:val="both"/>
      </w:pPr>
      <w:r>
        <w:rPr>
          <w:noProof/>
        </w:rPr>
        <w:drawing>
          <wp:inline distT="0" distB="0" distL="0" distR="0">
            <wp:extent cx="4499610" cy="941705"/>
            <wp:effectExtent l="0" t="0" r="0" b="0"/>
            <wp:docPr id="109" name="Obraz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499610" cy="941705"/>
                    </a:xfrm>
                    <a:prstGeom prst="rect">
                      <a:avLst/>
                    </a:prstGeom>
                    <a:noFill/>
                    <a:ln>
                      <a:noFill/>
                    </a:ln>
                  </pic:spPr>
                </pic:pic>
              </a:graphicData>
            </a:graphic>
          </wp:inline>
        </w:drawing>
      </w:r>
    </w:p>
    <w:p w:rsidR="00FF53AF" w:rsidRDefault="00941695" w:rsidP="00941695">
      <w:pPr>
        <w:widowControl w:val="0"/>
        <w:ind w:firstLine="709"/>
        <w:jc w:val="both"/>
        <w:rPr>
          <w:snapToGrid w:val="0"/>
        </w:rPr>
      </w:pPr>
      <w:r w:rsidRPr="00941695">
        <w:rPr>
          <w:snapToGrid w:val="0"/>
        </w:rPr>
        <w:t>Jeżeli kamienne kostki brukowe są układane w kształcie wachlarza, nie tylko potrzeba więcej kostek sześciennych, ale także pewnej liczby kostek trapezowych i podłużnych. Dla tak zamierzonego zastosowana kamiennych kostek brukowych dostawa może zawierać maksymalnie 10 % kostek brukowych, których wymiary przekraczają dopuszczalne odchyłki o nie więcej niż 10 mm. We wszystkich przypadkach grubość kostek brukowych powinna być przestrzegana. Jeżeli kostki brukowe nie będą układane w kształcie wachlarza, powinno być to zaznaczone przy zamawianiu.</w:t>
      </w:r>
    </w:p>
    <w:p w:rsidR="00941695" w:rsidRDefault="00941695" w:rsidP="00941695">
      <w:pPr>
        <w:widowControl w:val="0"/>
        <w:ind w:firstLine="709"/>
        <w:jc w:val="both"/>
        <w:rPr>
          <w:snapToGrid w:val="0"/>
        </w:rPr>
      </w:pPr>
    </w:p>
    <w:p w:rsidR="00FF53AF" w:rsidRPr="00941695" w:rsidRDefault="00941695" w:rsidP="00941695">
      <w:pPr>
        <w:widowControl w:val="0"/>
        <w:jc w:val="both"/>
        <w:rPr>
          <w:snapToGrid w:val="0"/>
        </w:rPr>
      </w:pPr>
      <w:r w:rsidRPr="00941695">
        <w:rPr>
          <w:snapToGrid w:val="0"/>
        </w:rPr>
        <w:t>2.3.3. Podcinanie boków ciosanych – dopuszczalne odchyłki</w:t>
      </w:r>
    </w:p>
    <w:p w:rsidR="00941695" w:rsidRPr="00941695" w:rsidRDefault="00941695" w:rsidP="00941695">
      <w:pPr>
        <w:widowControl w:val="0"/>
        <w:ind w:firstLine="709"/>
        <w:jc w:val="both"/>
        <w:rPr>
          <w:snapToGrid w:val="0"/>
        </w:rPr>
      </w:pPr>
      <w:r w:rsidRPr="00941695">
        <w:rPr>
          <w:snapToGrid w:val="0"/>
        </w:rPr>
        <w:t>Odchyłka od prostopadłości powierzchni bocznej, mierzonej zgodnie z PN-EN 1342 nie powinna przekraczać 15 mm w odniesieniu do powierzchni.</w:t>
      </w:r>
    </w:p>
    <w:p w:rsidR="00941695" w:rsidRDefault="00941695" w:rsidP="00941695">
      <w:pPr>
        <w:widowControl w:val="0"/>
        <w:jc w:val="both"/>
        <w:rPr>
          <w:snapToGrid w:val="0"/>
        </w:rPr>
      </w:pPr>
    </w:p>
    <w:p w:rsidR="00FF53AF" w:rsidRPr="00941695" w:rsidRDefault="00941695" w:rsidP="00941695">
      <w:pPr>
        <w:widowControl w:val="0"/>
        <w:jc w:val="both"/>
        <w:rPr>
          <w:snapToGrid w:val="0"/>
        </w:rPr>
      </w:pPr>
      <w:r w:rsidRPr="00941695">
        <w:rPr>
          <w:snapToGrid w:val="0"/>
        </w:rPr>
        <w:t>2.3.4. Nierówności powierzchni kostki ciosanej lub z grubą fakturą - dopuszczalne odchyłki</w:t>
      </w:r>
    </w:p>
    <w:p w:rsidR="00941695" w:rsidRDefault="00941695" w:rsidP="00941695">
      <w:pPr>
        <w:widowControl w:val="0"/>
        <w:ind w:firstLine="709"/>
        <w:jc w:val="both"/>
        <w:rPr>
          <w:snapToGrid w:val="0"/>
        </w:rPr>
      </w:pPr>
      <w:r w:rsidRPr="00941695">
        <w:rPr>
          <w:snapToGrid w:val="0"/>
        </w:rPr>
        <w:t>Wgłębienia i wypukłości na powierzchni, mierzone zgodnie z PN-EN 1342 nie powinny przekraczać odchyłek podanych w tablicy 3.</w:t>
      </w:r>
    </w:p>
    <w:p w:rsidR="00941695" w:rsidRPr="00941695" w:rsidRDefault="00941695" w:rsidP="00941695">
      <w:pPr>
        <w:widowControl w:val="0"/>
        <w:ind w:firstLine="709"/>
        <w:jc w:val="both"/>
        <w:rPr>
          <w:snapToGrid w:val="0"/>
        </w:rPr>
      </w:pPr>
    </w:p>
    <w:p w:rsidR="00941695" w:rsidRPr="00941695" w:rsidRDefault="00941695" w:rsidP="00941695">
      <w:pPr>
        <w:widowControl w:val="0"/>
        <w:ind w:firstLine="709"/>
        <w:jc w:val="both"/>
        <w:rPr>
          <w:snapToGrid w:val="0"/>
        </w:rPr>
      </w:pPr>
      <w:r w:rsidRPr="00941695">
        <w:rPr>
          <w:snapToGrid w:val="0"/>
        </w:rPr>
        <w:t>Tablica 3 - Odchyłki od nierówności powierzchni</w:t>
      </w:r>
    </w:p>
    <w:p w:rsidR="00941695" w:rsidRDefault="00941695" w:rsidP="00941695">
      <w:pPr>
        <w:widowControl w:val="0"/>
        <w:spacing w:before="120" w:after="120"/>
        <w:jc w:val="center"/>
      </w:pPr>
      <w:r>
        <w:rPr>
          <w:noProof/>
        </w:rPr>
        <w:drawing>
          <wp:inline distT="0" distB="0" distL="0" distR="0">
            <wp:extent cx="2218055" cy="470535"/>
            <wp:effectExtent l="0" t="0" r="0" b="5715"/>
            <wp:docPr id="110" name="Obraz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218055" cy="470535"/>
                    </a:xfrm>
                    <a:prstGeom prst="rect">
                      <a:avLst/>
                    </a:prstGeom>
                    <a:noFill/>
                    <a:ln>
                      <a:noFill/>
                    </a:ln>
                  </pic:spPr>
                </pic:pic>
              </a:graphicData>
            </a:graphic>
          </wp:inline>
        </w:drawing>
      </w:r>
    </w:p>
    <w:p w:rsidR="00941695" w:rsidRDefault="00941695" w:rsidP="00DC5D94">
      <w:pPr>
        <w:widowControl w:val="0"/>
        <w:spacing w:before="120" w:after="120"/>
        <w:jc w:val="both"/>
      </w:pPr>
      <w:r>
        <w:t>2.3.5. Odporność na zamrażanie / rozmrażanie</w:t>
      </w:r>
    </w:p>
    <w:p w:rsidR="00941695" w:rsidRPr="00941695" w:rsidRDefault="00941695" w:rsidP="00941695">
      <w:pPr>
        <w:widowControl w:val="0"/>
        <w:ind w:firstLine="709"/>
        <w:jc w:val="both"/>
        <w:rPr>
          <w:snapToGrid w:val="0"/>
        </w:rPr>
      </w:pPr>
      <w:r w:rsidRPr="00941695">
        <w:rPr>
          <w:snapToGrid w:val="0"/>
        </w:rPr>
        <w:t>Producent powinien określić odporność kamienia na zamrażanie/rozmrażanie zgodnie z tablicą 4, jeżeli badanie jest wykonywane zgodnie z PN-EN 12371. Liczba cykli powinna wynosić 48. Badanie wykonuje się w celu ustalenia wpływu cykli zamrażania/odmrażania na właściwości użytkowe (PN-EN 1926 - wytrzymałość na ściskanie). Próbki do badań powinny być zgodne z odpowiednią normą</w:t>
      </w:r>
    </w:p>
    <w:p w:rsidR="00941695" w:rsidRDefault="00941695" w:rsidP="00941695">
      <w:pPr>
        <w:widowControl w:val="0"/>
        <w:ind w:firstLine="709"/>
        <w:jc w:val="both"/>
        <w:rPr>
          <w:snapToGrid w:val="0"/>
        </w:rPr>
      </w:pPr>
      <w:r w:rsidRPr="00941695">
        <w:rPr>
          <w:snapToGrid w:val="0"/>
        </w:rPr>
        <w:t>Brak wymagania dotyczącego odporności na zamrażanie/rozmrażanie lub brak określenia takiej właściwości należy odnotować.</w:t>
      </w:r>
    </w:p>
    <w:p w:rsidR="00941695" w:rsidRPr="00941695" w:rsidRDefault="00941695" w:rsidP="00941695">
      <w:pPr>
        <w:widowControl w:val="0"/>
        <w:ind w:firstLine="709"/>
        <w:jc w:val="both"/>
        <w:rPr>
          <w:snapToGrid w:val="0"/>
        </w:rPr>
      </w:pPr>
    </w:p>
    <w:p w:rsidR="00941695" w:rsidRDefault="00941695" w:rsidP="00941695">
      <w:pPr>
        <w:widowControl w:val="0"/>
        <w:ind w:firstLine="709"/>
        <w:jc w:val="both"/>
      </w:pPr>
      <w:r w:rsidRPr="00941695">
        <w:rPr>
          <w:snapToGrid w:val="0"/>
        </w:rPr>
        <w:t>Tablica 4 - Odporność na zamrażanie / rozmrażanie</w:t>
      </w:r>
    </w:p>
    <w:p w:rsidR="00941695" w:rsidRDefault="00941695" w:rsidP="00941695">
      <w:pPr>
        <w:widowControl w:val="0"/>
        <w:spacing w:before="120" w:after="120"/>
        <w:jc w:val="center"/>
      </w:pPr>
      <w:r>
        <w:rPr>
          <w:noProof/>
        </w:rPr>
        <w:drawing>
          <wp:inline distT="0" distB="0" distL="0" distR="0">
            <wp:extent cx="3068955" cy="842010"/>
            <wp:effectExtent l="0" t="0" r="0" b="0"/>
            <wp:docPr id="111" name="Obraz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068955" cy="842010"/>
                    </a:xfrm>
                    <a:prstGeom prst="rect">
                      <a:avLst/>
                    </a:prstGeom>
                    <a:noFill/>
                    <a:ln>
                      <a:noFill/>
                    </a:ln>
                  </pic:spPr>
                </pic:pic>
              </a:graphicData>
            </a:graphic>
          </wp:inline>
        </w:drawing>
      </w:r>
    </w:p>
    <w:p w:rsidR="00941695" w:rsidRDefault="00941695" w:rsidP="00DC5D94">
      <w:pPr>
        <w:widowControl w:val="0"/>
        <w:spacing w:before="120" w:after="120"/>
        <w:jc w:val="both"/>
      </w:pPr>
      <w:r>
        <w:t>2.3.6. Wytrzymałość na ściskanie</w:t>
      </w:r>
    </w:p>
    <w:p w:rsidR="00941695" w:rsidRPr="00941695" w:rsidRDefault="00941695" w:rsidP="00D37708">
      <w:pPr>
        <w:widowControl w:val="0"/>
        <w:ind w:firstLine="709"/>
        <w:jc w:val="both"/>
        <w:rPr>
          <w:snapToGrid w:val="0"/>
        </w:rPr>
      </w:pPr>
      <w:r w:rsidRPr="00941695">
        <w:rPr>
          <w:snapToGrid w:val="0"/>
        </w:rPr>
        <w:t>Producent powinien deklarować wytrzymałość na ściskanie (MPa) jako minimalną wartość przewidywaną w odniesieniu do pojedynczych próbek do badania, badanych zgodnie z PN-EN 1926. Jeżeli właściwość ta nie jest określana, należy to odnotować.</w:t>
      </w:r>
    </w:p>
    <w:p w:rsidR="00941695" w:rsidRDefault="00941695" w:rsidP="00941695">
      <w:pPr>
        <w:widowControl w:val="0"/>
        <w:jc w:val="both"/>
        <w:rPr>
          <w:b/>
          <w:bCs/>
        </w:rPr>
      </w:pPr>
      <w:r>
        <w:rPr>
          <w:b/>
          <w:bCs/>
        </w:rPr>
        <w:t>2.4. Wygląd</w:t>
      </w:r>
    </w:p>
    <w:p w:rsidR="006763EA" w:rsidRPr="006763EA" w:rsidRDefault="006763EA" w:rsidP="006763EA">
      <w:pPr>
        <w:widowControl w:val="0"/>
        <w:jc w:val="both"/>
        <w:rPr>
          <w:snapToGrid w:val="0"/>
        </w:rPr>
      </w:pPr>
      <w:r w:rsidRPr="006763EA">
        <w:rPr>
          <w:snapToGrid w:val="0"/>
        </w:rPr>
        <w:t>2.4.1. Wygląd zewnętrzny</w:t>
      </w:r>
    </w:p>
    <w:p w:rsidR="00941695" w:rsidRDefault="006763EA" w:rsidP="006763EA">
      <w:pPr>
        <w:widowControl w:val="0"/>
        <w:ind w:firstLine="709"/>
        <w:jc w:val="both"/>
        <w:rPr>
          <w:snapToGrid w:val="0"/>
        </w:rPr>
      </w:pPr>
      <w:r w:rsidRPr="006763EA">
        <w:rPr>
          <w:snapToGrid w:val="0"/>
        </w:rPr>
        <w:t>Kamień jest naturalnym materiałem, który może mieć wygląd zróżnicowany pod względem barwy, użylenia i struktury, dlatego też ogólną charakterystykę wyglądu zewnętrznego można podać na podstawie jednej próbki lub kilku próbek.</w:t>
      </w:r>
    </w:p>
    <w:p w:rsidR="006763EA" w:rsidRPr="006763EA" w:rsidRDefault="006763EA" w:rsidP="006763EA">
      <w:pPr>
        <w:widowControl w:val="0"/>
        <w:ind w:firstLine="709"/>
        <w:jc w:val="both"/>
        <w:rPr>
          <w:snapToGrid w:val="0"/>
        </w:rPr>
      </w:pPr>
    </w:p>
    <w:p w:rsidR="00941695" w:rsidRPr="006763EA" w:rsidRDefault="006763EA" w:rsidP="006763EA">
      <w:pPr>
        <w:widowControl w:val="0"/>
        <w:jc w:val="both"/>
        <w:rPr>
          <w:snapToGrid w:val="0"/>
        </w:rPr>
      </w:pPr>
      <w:r>
        <w:t>2.4.2. Próbka odniesienia</w:t>
      </w:r>
    </w:p>
    <w:p w:rsidR="006763EA" w:rsidRPr="006763EA" w:rsidRDefault="006763EA" w:rsidP="006763EA">
      <w:pPr>
        <w:widowControl w:val="0"/>
        <w:ind w:firstLine="709"/>
        <w:jc w:val="both"/>
        <w:rPr>
          <w:snapToGrid w:val="0"/>
        </w:rPr>
      </w:pPr>
      <w:r w:rsidRPr="006763EA">
        <w:rPr>
          <w:snapToGrid w:val="0"/>
        </w:rPr>
        <w:t>Próbka odniesienia powinna się składać z pewnej liczby kostek brukowych z kamienia naturalnego o wymiarach wystarczających do przedstawienia wyglądu gotowego wyrobu i dać ogólne pojęcie w odniesieniu do barwy, wzoru użylenia, struktury i wykończenia powierzchni. Próbka powinna przedstawiać ogólną tonację zabarwienia i wykończenia kamienia naturalnego, lecz nie powinna w jakikolwiek sposób sugerować, całkowitej jednolitości barwy i użylenia dostarczonej partii na podstawie próbki.</w:t>
      </w:r>
    </w:p>
    <w:p w:rsidR="006763EA" w:rsidRPr="006763EA" w:rsidRDefault="006763EA" w:rsidP="006763EA">
      <w:pPr>
        <w:widowControl w:val="0"/>
        <w:ind w:firstLine="709"/>
        <w:jc w:val="both"/>
        <w:rPr>
          <w:snapToGrid w:val="0"/>
        </w:rPr>
      </w:pPr>
      <w:r w:rsidRPr="006763EA">
        <w:rPr>
          <w:snapToGrid w:val="0"/>
        </w:rPr>
        <w:t>Próbkę odniesienia należy przekazać odbiorcy w celu zaprezentowania określonych charakterystycznych właściwości oferowanego materiału, takich jak pustki w trawertynie, pory kanalikowe w granicie, rysy szkliste, plamy, żyły krystaliczne i rdzawe plamy.</w:t>
      </w:r>
    </w:p>
    <w:p w:rsidR="006763EA" w:rsidRPr="006763EA" w:rsidRDefault="006763EA" w:rsidP="006763EA">
      <w:pPr>
        <w:widowControl w:val="0"/>
        <w:ind w:firstLine="709"/>
        <w:jc w:val="both"/>
        <w:rPr>
          <w:snapToGrid w:val="0"/>
        </w:rPr>
      </w:pPr>
      <w:r w:rsidRPr="006763EA">
        <w:rPr>
          <w:snapToGrid w:val="0"/>
        </w:rPr>
        <w:t>Wymienionych właściwości nie traktuje się jako wady i nie wykorzystuje się jako powodu do odrzucenia materiału.</w:t>
      </w:r>
    </w:p>
    <w:p w:rsidR="006763EA" w:rsidRPr="006763EA" w:rsidRDefault="006763EA" w:rsidP="006763EA">
      <w:pPr>
        <w:widowControl w:val="0"/>
        <w:ind w:firstLine="709"/>
        <w:jc w:val="both"/>
        <w:rPr>
          <w:snapToGrid w:val="0"/>
        </w:rPr>
      </w:pPr>
      <w:r w:rsidRPr="006763EA">
        <w:rPr>
          <w:snapToGrid w:val="0"/>
        </w:rPr>
        <w:t>Do próbki powinna być dołączona informacja zawierająca nazwę i adres producenta lub dostawcy jak również identyfikacja materiału łącznie z nazwą handlową, opisem petrograficznym, krajem pochodzenia i rejonem wydobycia.</w:t>
      </w:r>
    </w:p>
    <w:p w:rsidR="006763EA" w:rsidRDefault="006763EA" w:rsidP="006763EA">
      <w:pPr>
        <w:widowControl w:val="0"/>
        <w:ind w:firstLine="709"/>
        <w:jc w:val="both"/>
        <w:rPr>
          <w:snapToGrid w:val="0"/>
        </w:rPr>
      </w:pPr>
      <w:r w:rsidRPr="006763EA">
        <w:rPr>
          <w:snapToGrid w:val="0"/>
        </w:rPr>
        <w:t>Próbki odniesienia powinny także pokazywać proponowane wykończenie powierzchni. Każde porównanie próbek do badań z próbkami odniesienia powinno polegać na obserwacji tych próbek umieszczonych naprzeciw siebie, z odległości dwóch metrów w warunkach normalnego oświetlenia i zapisaniu jakichkolwiek widocznych różnic dotyczących wyglądu, struktury lub barwy</w:t>
      </w:r>
      <w:r>
        <w:rPr>
          <w:snapToGrid w:val="0"/>
        </w:rPr>
        <w:t>.</w:t>
      </w:r>
    </w:p>
    <w:p w:rsidR="006763EA" w:rsidRPr="006763EA" w:rsidRDefault="006763EA" w:rsidP="006763EA">
      <w:pPr>
        <w:widowControl w:val="0"/>
        <w:ind w:firstLine="709"/>
        <w:jc w:val="both"/>
        <w:rPr>
          <w:snapToGrid w:val="0"/>
        </w:rPr>
      </w:pPr>
    </w:p>
    <w:p w:rsidR="006763EA" w:rsidRDefault="006763EA" w:rsidP="006763EA">
      <w:pPr>
        <w:widowControl w:val="0"/>
        <w:jc w:val="both"/>
        <w:rPr>
          <w:b/>
          <w:bCs/>
        </w:rPr>
      </w:pPr>
      <w:r>
        <w:rPr>
          <w:b/>
          <w:bCs/>
        </w:rPr>
        <w:t>2.5. Nasiąkliwość</w:t>
      </w:r>
    </w:p>
    <w:p w:rsidR="006763EA" w:rsidRDefault="006763EA" w:rsidP="006763EA">
      <w:pPr>
        <w:widowControl w:val="0"/>
        <w:ind w:firstLine="709"/>
        <w:jc w:val="both"/>
        <w:rPr>
          <w:snapToGrid w:val="0"/>
        </w:rPr>
      </w:pPr>
      <w:r w:rsidRPr="006763EA">
        <w:rPr>
          <w:snapToGrid w:val="0"/>
        </w:rPr>
        <w:t>Producent powinien deklarować nasiąkliwość (w % masy) jako maksymalną wartość przewidywaną w odniesieniu do pojedynczych próbek, badanych zgodnie z PN-EN 13755, jeżeli jest takie wymaganie</w:t>
      </w:r>
      <w:r>
        <w:rPr>
          <w:snapToGrid w:val="0"/>
        </w:rPr>
        <w:t>.</w:t>
      </w:r>
    </w:p>
    <w:p w:rsidR="006763EA" w:rsidRPr="006763EA" w:rsidRDefault="006763EA" w:rsidP="006763EA">
      <w:pPr>
        <w:widowControl w:val="0"/>
        <w:ind w:firstLine="709"/>
        <w:jc w:val="both"/>
        <w:rPr>
          <w:snapToGrid w:val="0"/>
        </w:rPr>
      </w:pPr>
    </w:p>
    <w:p w:rsidR="006763EA" w:rsidRDefault="006763EA" w:rsidP="006763EA">
      <w:pPr>
        <w:widowControl w:val="0"/>
        <w:jc w:val="both"/>
        <w:rPr>
          <w:b/>
          <w:bCs/>
        </w:rPr>
      </w:pPr>
      <w:r>
        <w:rPr>
          <w:b/>
          <w:bCs/>
        </w:rPr>
        <w:t>2.6. Opis petrograficzny</w:t>
      </w:r>
    </w:p>
    <w:p w:rsidR="006763EA" w:rsidRDefault="006763EA" w:rsidP="006763EA">
      <w:pPr>
        <w:widowControl w:val="0"/>
        <w:ind w:firstLine="709"/>
        <w:jc w:val="both"/>
        <w:rPr>
          <w:snapToGrid w:val="0"/>
        </w:rPr>
      </w:pPr>
      <w:r w:rsidRPr="006763EA">
        <w:rPr>
          <w:snapToGrid w:val="0"/>
        </w:rPr>
        <w:t>Producent powinien dostarczyć opis petrograficzny z uwzględnieniem nazwy petrograficznej danego rodzaju skały zgodnie z PN-EN 12407.</w:t>
      </w:r>
    </w:p>
    <w:p w:rsidR="006763EA" w:rsidRPr="006763EA" w:rsidRDefault="006763EA" w:rsidP="006763EA">
      <w:pPr>
        <w:widowControl w:val="0"/>
        <w:ind w:firstLine="709"/>
        <w:jc w:val="both"/>
        <w:rPr>
          <w:snapToGrid w:val="0"/>
        </w:rPr>
      </w:pPr>
    </w:p>
    <w:p w:rsidR="006763EA" w:rsidRDefault="006763EA" w:rsidP="006763EA">
      <w:pPr>
        <w:widowControl w:val="0"/>
        <w:jc w:val="both"/>
        <w:rPr>
          <w:b/>
          <w:bCs/>
        </w:rPr>
      </w:pPr>
      <w:r>
        <w:rPr>
          <w:b/>
          <w:bCs/>
        </w:rPr>
        <w:t>2.7. Chemiczna obróbka powierzchni</w:t>
      </w:r>
    </w:p>
    <w:p w:rsidR="006763EA" w:rsidRDefault="006763EA" w:rsidP="006763EA">
      <w:pPr>
        <w:widowControl w:val="0"/>
        <w:ind w:firstLine="709"/>
        <w:jc w:val="both"/>
        <w:rPr>
          <w:snapToGrid w:val="0"/>
        </w:rPr>
      </w:pPr>
      <w:r w:rsidRPr="006763EA">
        <w:rPr>
          <w:snapToGrid w:val="0"/>
        </w:rPr>
        <w:t>Producent/dostawca powinien podać, czy wyrób był poddany chemicznej obróbce powierzchni i jaka to była obróbka</w:t>
      </w:r>
      <w:r>
        <w:rPr>
          <w:snapToGrid w:val="0"/>
        </w:rPr>
        <w:t>.</w:t>
      </w:r>
    </w:p>
    <w:p w:rsidR="006763EA" w:rsidRPr="006763EA" w:rsidRDefault="006763EA" w:rsidP="006763EA">
      <w:pPr>
        <w:widowControl w:val="0"/>
        <w:ind w:firstLine="709"/>
        <w:jc w:val="both"/>
        <w:rPr>
          <w:snapToGrid w:val="0"/>
        </w:rPr>
      </w:pPr>
    </w:p>
    <w:p w:rsidR="006763EA" w:rsidRDefault="006763EA" w:rsidP="006763EA">
      <w:pPr>
        <w:widowControl w:val="0"/>
        <w:jc w:val="both"/>
        <w:rPr>
          <w:b/>
          <w:bCs/>
        </w:rPr>
      </w:pPr>
      <w:r>
        <w:rPr>
          <w:b/>
          <w:bCs/>
        </w:rPr>
        <w:t>2.8. Kruszywo</w:t>
      </w:r>
    </w:p>
    <w:p w:rsidR="006763EA" w:rsidRPr="006763EA" w:rsidRDefault="006763EA" w:rsidP="006763EA">
      <w:pPr>
        <w:widowControl w:val="0"/>
        <w:ind w:firstLine="709"/>
        <w:jc w:val="both"/>
        <w:rPr>
          <w:snapToGrid w:val="0"/>
        </w:rPr>
      </w:pPr>
      <w:r w:rsidRPr="006763EA">
        <w:rPr>
          <w:snapToGrid w:val="0"/>
        </w:rPr>
        <w:t>Żwir i mieszanka powinny odpowiadać wymaganiom PN-EN 13043:2004.</w:t>
      </w:r>
    </w:p>
    <w:p w:rsidR="006763EA" w:rsidRDefault="006763EA" w:rsidP="006763EA">
      <w:pPr>
        <w:widowControl w:val="0"/>
        <w:ind w:firstLine="709"/>
        <w:jc w:val="both"/>
        <w:rPr>
          <w:snapToGrid w:val="0"/>
        </w:rPr>
      </w:pPr>
      <w:r w:rsidRPr="006763EA">
        <w:rPr>
          <w:snapToGrid w:val="0"/>
        </w:rPr>
        <w:t>Piasek powinien odpowiadać wymaganiom PN-EN 13043:2004</w:t>
      </w:r>
    </w:p>
    <w:p w:rsidR="006763EA" w:rsidRPr="006763EA" w:rsidRDefault="006763EA" w:rsidP="006763EA">
      <w:pPr>
        <w:widowControl w:val="0"/>
        <w:ind w:firstLine="709"/>
        <w:jc w:val="both"/>
        <w:rPr>
          <w:snapToGrid w:val="0"/>
        </w:rPr>
      </w:pPr>
    </w:p>
    <w:p w:rsidR="006763EA" w:rsidRDefault="006763EA" w:rsidP="006763EA">
      <w:pPr>
        <w:widowControl w:val="0"/>
        <w:jc w:val="both"/>
        <w:rPr>
          <w:b/>
          <w:bCs/>
        </w:rPr>
      </w:pPr>
      <w:r>
        <w:rPr>
          <w:b/>
          <w:bCs/>
        </w:rPr>
        <w:t>2.9. Cement</w:t>
      </w:r>
    </w:p>
    <w:p w:rsidR="006763EA" w:rsidRPr="006763EA" w:rsidRDefault="006763EA" w:rsidP="006763EA">
      <w:pPr>
        <w:widowControl w:val="0"/>
        <w:ind w:firstLine="709"/>
        <w:jc w:val="both"/>
        <w:rPr>
          <w:snapToGrid w:val="0"/>
        </w:rPr>
      </w:pPr>
      <w:r w:rsidRPr="006763EA">
        <w:rPr>
          <w:snapToGrid w:val="0"/>
        </w:rPr>
        <w:t>Cement portlandzki powinien odpowiadać wymaganiom PN-EN 197-1</w:t>
      </w:r>
    </w:p>
    <w:p w:rsidR="006763EA" w:rsidRPr="006763EA" w:rsidRDefault="006763EA" w:rsidP="006763EA">
      <w:pPr>
        <w:widowControl w:val="0"/>
        <w:ind w:firstLine="709"/>
        <w:jc w:val="both"/>
        <w:rPr>
          <w:snapToGrid w:val="0"/>
        </w:rPr>
      </w:pPr>
      <w:r w:rsidRPr="006763EA">
        <w:rPr>
          <w:snapToGrid w:val="0"/>
        </w:rPr>
        <w:t>Cement hutniczy powinien odpowiadać wymaganiom PN-EN 197-1</w:t>
      </w:r>
    </w:p>
    <w:p w:rsidR="006763EA" w:rsidRDefault="006763EA" w:rsidP="006763EA">
      <w:pPr>
        <w:widowControl w:val="0"/>
        <w:ind w:firstLine="709"/>
        <w:jc w:val="both"/>
        <w:rPr>
          <w:snapToGrid w:val="0"/>
        </w:rPr>
      </w:pPr>
      <w:r w:rsidRPr="006763EA">
        <w:rPr>
          <w:snapToGrid w:val="0"/>
        </w:rPr>
        <w:t>Składowanie cementu powinno być zgodne z BN-88/6731-08 .</w:t>
      </w:r>
    </w:p>
    <w:p w:rsidR="00015D14" w:rsidRDefault="00015D14" w:rsidP="006763EA">
      <w:pPr>
        <w:widowControl w:val="0"/>
        <w:ind w:firstLine="709"/>
        <w:jc w:val="both"/>
        <w:rPr>
          <w:snapToGrid w:val="0"/>
        </w:rPr>
      </w:pPr>
    </w:p>
    <w:p w:rsidR="00015D14" w:rsidRDefault="00015D14" w:rsidP="00015D14">
      <w:pPr>
        <w:widowControl w:val="0"/>
        <w:jc w:val="both"/>
        <w:rPr>
          <w:b/>
          <w:bCs/>
        </w:rPr>
      </w:pPr>
      <w:r w:rsidRPr="00015D14">
        <w:rPr>
          <w:b/>
          <w:bCs/>
        </w:rPr>
        <w:t>2.10. Obrzeża betonowe z oporem</w:t>
      </w:r>
    </w:p>
    <w:p w:rsidR="00015D14" w:rsidRPr="00015D14" w:rsidRDefault="00015D14" w:rsidP="00015D14">
      <w:pPr>
        <w:widowControl w:val="0"/>
        <w:ind w:firstLine="709"/>
        <w:jc w:val="both"/>
        <w:rPr>
          <w:snapToGrid w:val="0"/>
        </w:rPr>
      </w:pPr>
      <w:r w:rsidRPr="00015D14">
        <w:rPr>
          <w:snapToGrid w:val="0"/>
        </w:rPr>
        <w:t>Zgodnie z D.05.03.23</w:t>
      </w:r>
    </w:p>
    <w:p w:rsidR="00DC5D94" w:rsidRDefault="00DC5D94" w:rsidP="00DC5D94">
      <w:pPr>
        <w:widowControl w:val="0"/>
        <w:spacing w:before="120" w:after="120"/>
        <w:jc w:val="both"/>
        <w:rPr>
          <w:b/>
          <w:noProof/>
          <w:snapToGrid w:val="0"/>
          <w:u w:val="single"/>
        </w:rPr>
      </w:pPr>
      <w:r w:rsidRPr="000222D0">
        <w:rPr>
          <w:b/>
          <w:noProof/>
          <w:snapToGrid w:val="0"/>
          <w:u w:val="single"/>
        </w:rPr>
        <w:t>3. SPRZĘT</w:t>
      </w:r>
    </w:p>
    <w:p w:rsidR="006763EA" w:rsidRPr="006763EA" w:rsidRDefault="006763EA" w:rsidP="006763EA">
      <w:pPr>
        <w:widowControl w:val="0"/>
        <w:jc w:val="both"/>
        <w:rPr>
          <w:b/>
          <w:bCs/>
        </w:rPr>
      </w:pPr>
      <w:r w:rsidRPr="006763EA">
        <w:rPr>
          <w:b/>
          <w:bCs/>
        </w:rPr>
        <w:t>3.1. Ogólne wymagania dotyczące sprzętu</w:t>
      </w:r>
    </w:p>
    <w:p w:rsidR="006763EA" w:rsidRDefault="006763EA" w:rsidP="006763EA">
      <w:pPr>
        <w:widowControl w:val="0"/>
        <w:ind w:firstLine="709"/>
        <w:jc w:val="both"/>
        <w:rPr>
          <w:snapToGrid w:val="0"/>
        </w:rPr>
      </w:pPr>
      <w:r w:rsidRPr="006763EA">
        <w:rPr>
          <w:snapToGrid w:val="0"/>
        </w:rPr>
        <w:t>Ogólne wymagania do</w:t>
      </w:r>
      <w:r>
        <w:rPr>
          <w:snapToGrid w:val="0"/>
        </w:rPr>
        <w:t>tyczące sprzętu podano w ST</w:t>
      </w:r>
      <w:r w:rsidRPr="006763EA">
        <w:rPr>
          <w:snapToGrid w:val="0"/>
        </w:rPr>
        <w:t xml:space="preserve"> D-M-00</w:t>
      </w:r>
      <w:r>
        <w:rPr>
          <w:snapToGrid w:val="0"/>
        </w:rPr>
        <w:t xml:space="preserve">.00.00 „Wymagania ogólne” </w:t>
      </w:r>
    </w:p>
    <w:p w:rsidR="006763EA" w:rsidRDefault="006763EA" w:rsidP="00DC5D94">
      <w:pPr>
        <w:ind w:firstLine="709"/>
        <w:jc w:val="both"/>
        <w:rPr>
          <w:snapToGrid w:val="0"/>
        </w:rPr>
      </w:pPr>
    </w:p>
    <w:p w:rsidR="006763EA" w:rsidRPr="006763EA" w:rsidRDefault="006763EA" w:rsidP="006763EA">
      <w:pPr>
        <w:widowControl w:val="0"/>
        <w:jc w:val="both"/>
        <w:rPr>
          <w:b/>
          <w:bCs/>
        </w:rPr>
      </w:pPr>
      <w:r w:rsidRPr="006763EA">
        <w:rPr>
          <w:b/>
          <w:bCs/>
        </w:rPr>
        <w:t>3.2. Sprzęt do wykonania robót</w:t>
      </w:r>
    </w:p>
    <w:p w:rsidR="006763EA" w:rsidRDefault="006763EA" w:rsidP="006763EA">
      <w:pPr>
        <w:widowControl w:val="0"/>
        <w:ind w:firstLine="709"/>
        <w:jc w:val="both"/>
        <w:rPr>
          <w:snapToGrid w:val="0"/>
        </w:rPr>
      </w:pPr>
      <w:r w:rsidRPr="006763EA">
        <w:rPr>
          <w:snapToGrid w:val="0"/>
        </w:rPr>
        <w:t>Wykonawca przystępujący do wykonania umocnienia techniczno-biologicznego powinien wykazać się możliwością korzystania z następującego sprzętu:</w:t>
      </w:r>
    </w:p>
    <w:p w:rsidR="006763EA" w:rsidRPr="008400AD" w:rsidRDefault="006763EA" w:rsidP="008400AD">
      <w:pPr>
        <w:widowControl w:val="0"/>
        <w:ind w:firstLine="709"/>
        <w:jc w:val="both"/>
        <w:rPr>
          <w:snapToGrid w:val="0"/>
        </w:rPr>
      </w:pPr>
      <w:r w:rsidRPr="008400AD">
        <w:rPr>
          <w:snapToGrid w:val="0"/>
        </w:rPr>
        <w:t xml:space="preserve">− równiarek, </w:t>
      </w:r>
    </w:p>
    <w:p w:rsidR="008400AD" w:rsidRPr="008400AD" w:rsidRDefault="006763EA" w:rsidP="008400AD">
      <w:pPr>
        <w:widowControl w:val="0"/>
        <w:ind w:firstLine="709"/>
        <w:jc w:val="both"/>
        <w:rPr>
          <w:snapToGrid w:val="0"/>
        </w:rPr>
      </w:pPr>
      <w:r w:rsidRPr="008400AD">
        <w:rPr>
          <w:snapToGrid w:val="0"/>
        </w:rPr>
        <w:t xml:space="preserve">− ew. walców gładkich, żebrowanych lub ryflowanych, </w:t>
      </w:r>
    </w:p>
    <w:p w:rsidR="008400AD" w:rsidRPr="008400AD" w:rsidRDefault="006763EA" w:rsidP="008400AD">
      <w:pPr>
        <w:widowControl w:val="0"/>
        <w:ind w:firstLine="709"/>
        <w:jc w:val="both"/>
        <w:rPr>
          <w:snapToGrid w:val="0"/>
        </w:rPr>
      </w:pPr>
      <w:r w:rsidRPr="008400AD">
        <w:rPr>
          <w:snapToGrid w:val="0"/>
        </w:rPr>
        <w:t xml:space="preserve">− ubijaków o ręcznym prowadzeniu, </w:t>
      </w:r>
    </w:p>
    <w:p w:rsidR="008400AD" w:rsidRPr="008400AD" w:rsidRDefault="006763EA" w:rsidP="008400AD">
      <w:pPr>
        <w:widowControl w:val="0"/>
        <w:ind w:firstLine="709"/>
        <w:jc w:val="both"/>
        <w:rPr>
          <w:snapToGrid w:val="0"/>
        </w:rPr>
      </w:pPr>
      <w:r w:rsidRPr="008400AD">
        <w:rPr>
          <w:snapToGrid w:val="0"/>
        </w:rPr>
        <w:t xml:space="preserve">− wibratorów samobieżnych, </w:t>
      </w:r>
    </w:p>
    <w:p w:rsidR="008400AD" w:rsidRPr="008400AD" w:rsidRDefault="006763EA" w:rsidP="008400AD">
      <w:pPr>
        <w:widowControl w:val="0"/>
        <w:ind w:firstLine="709"/>
        <w:jc w:val="both"/>
        <w:rPr>
          <w:snapToGrid w:val="0"/>
        </w:rPr>
      </w:pPr>
      <w:r w:rsidRPr="008400AD">
        <w:rPr>
          <w:snapToGrid w:val="0"/>
        </w:rPr>
        <w:t xml:space="preserve">− płyt ubijających, </w:t>
      </w:r>
    </w:p>
    <w:p w:rsidR="006763EA" w:rsidRDefault="006763EA" w:rsidP="008400AD">
      <w:pPr>
        <w:widowControl w:val="0"/>
        <w:ind w:firstLine="709"/>
        <w:jc w:val="both"/>
        <w:rPr>
          <w:snapToGrid w:val="0"/>
        </w:rPr>
      </w:pPr>
      <w:r w:rsidRPr="008400AD">
        <w:rPr>
          <w:snapToGrid w:val="0"/>
        </w:rPr>
        <w:t>− ew. sprzętu do podwieszania i podciągania,</w:t>
      </w:r>
    </w:p>
    <w:p w:rsidR="006763EA" w:rsidRDefault="006763EA" w:rsidP="00DC5D94">
      <w:pPr>
        <w:ind w:firstLine="709"/>
        <w:jc w:val="both"/>
        <w:rPr>
          <w:snapToGrid w:val="0"/>
        </w:rPr>
      </w:pPr>
    </w:p>
    <w:p w:rsidR="00DC5D94" w:rsidRPr="008400AD" w:rsidRDefault="00DC5D94" w:rsidP="008400AD">
      <w:pPr>
        <w:widowControl w:val="0"/>
        <w:spacing w:before="120" w:after="120"/>
        <w:jc w:val="both"/>
        <w:rPr>
          <w:b/>
          <w:noProof/>
          <w:snapToGrid w:val="0"/>
          <w:u w:val="single"/>
        </w:rPr>
      </w:pPr>
      <w:r w:rsidRPr="000222D0">
        <w:rPr>
          <w:b/>
          <w:noProof/>
          <w:snapToGrid w:val="0"/>
          <w:u w:val="single"/>
        </w:rPr>
        <w:t>4. TRANSPORT</w:t>
      </w:r>
    </w:p>
    <w:p w:rsidR="008400AD" w:rsidRPr="008400AD" w:rsidRDefault="008400AD" w:rsidP="008400AD">
      <w:pPr>
        <w:widowControl w:val="0"/>
        <w:jc w:val="both"/>
        <w:rPr>
          <w:b/>
          <w:bCs/>
        </w:rPr>
      </w:pPr>
      <w:r w:rsidRPr="008400AD">
        <w:rPr>
          <w:b/>
          <w:bCs/>
        </w:rPr>
        <w:t>4.1. Ogólne wymagania dotyczące transportu</w:t>
      </w:r>
    </w:p>
    <w:p w:rsidR="008400AD" w:rsidRDefault="008400AD" w:rsidP="008400AD">
      <w:pPr>
        <w:widowControl w:val="0"/>
        <w:ind w:firstLine="709"/>
        <w:jc w:val="both"/>
        <w:rPr>
          <w:snapToGrid w:val="0"/>
        </w:rPr>
      </w:pPr>
      <w:r w:rsidRPr="008400AD">
        <w:rPr>
          <w:snapToGrid w:val="0"/>
        </w:rPr>
        <w:t>Ogólne wymagania dotyczące transportu podano w ST D-M-00.00.00 „Wymagania ogólne”</w:t>
      </w:r>
    </w:p>
    <w:p w:rsidR="008400AD" w:rsidRPr="008400AD" w:rsidRDefault="008400AD" w:rsidP="008400AD">
      <w:pPr>
        <w:widowControl w:val="0"/>
        <w:ind w:firstLine="709"/>
        <w:jc w:val="both"/>
        <w:rPr>
          <w:snapToGrid w:val="0"/>
        </w:rPr>
      </w:pPr>
    </w:p>
    <w:p w:rsidR="008400AD" w:rsidRDefault="008400AD" w:rsidP="008400AD">
      <w:pPr>
        <w:widowControl w:val="0"/>
        <w:jc w:val="both"/>
      </w:pPr>
      <w:r w:rsidRPr="008400AD">
        <w:rPr>
          <w:b/>
          <w:bCs/>
        </w:rPr>
        <w:t>4.2. Transport materiałów</w:t>
      </w:r>
    </w:p>
    <w:p w:rsidR="008400AD" w:rsidRPr="008400AD" w:rsidRDefault="008400AD" w:rsidP="008400AD">
      <w:pPr>
        <w:widowControl w:val="0"/>
        <w:jc w:val="both"/>
        <w:rPr>
          <w:snapToGrid w:val="0"/>
        </w:rPr>
      </w:pPr>
      <w:r w:rsidRPr="008400AD">
        <w:rPr>
          <w:snapToGrid w:val="0"/>
        </w:rPr>
        <w:t>4.2.1. Transport brukowca</w:t>
      </w:r>
    </w:p>
    <w:p w:rsidR="008400AD" w:rsidRDefault="008400AD" w:rsidP="008400AD">
      <w:pPr>
        <w:widowControl w:val="0"/>
        <w:ind w:firstLine="709"/>
        <w:jc w:val="both"/>
        <w:rPr>
          <w:snapToGrid w:val="0"/>
        </w:rPr>
      </w:pPr>
      <w:r w:rsidRPr="008400AD">
        <w:rPr>
          <w:snapToGrid w:val="0"/>
        </w:rPr>
        <w:t>Brukowiec można przewozić dowolnymi środkami transportu.</w:t>
      </w:r>
    </w:p>
    <w:p w:rsidR="008400AD" w:rsidRDefault="008400AD" w:rsidP="008400AD">
      <w:pPr>
        <w:widowControl w:val="0"/>
        <w:ind w:firstLine="709"/>
        <w:jc w:val="both"/>
      </w:pPr>
    </w:p>
    <w:p w:rsidR="008400AD" w:rsidRPr="008400AD" w:rsidRDefault="008400AD" w:rsidP="008400AD">
      <w:pPr>
        <w:widowControl w:val="0"/>
        <w:jc w:val="both"/>
        <w:rPr>
          <w:snapToGrid w:val="0"/>
        </w:rPr>
      </w:pPr>
      <w:r w:rsidRPr="008400AD">
        <w:rPr>
          <w:snapToGrid w:val="0"/>
        </w:rPr>
        <w:t>4.2.2. Transport kruszywa</w:t>
      </w:r>
    </w:p>
    <w:p w:rsidR="008400AD" w:rsidRPr="008400AD" w:rsidRDefault="008400AD" w:rsidP="008400AD">
      <w:pPr>
        <w:widowControl w:val="0"/>
        <w:ind w:firstLine="709"/>
        <w:jc w:val="both"/>
        <w:rPr>
          <w:snapToGrid w:val="0"/>
        </w:rPr>
      </w:pPr>
      <w:r w:rsidRPr="008400AD">
        <w:rPr>
          <w:snapToGrid w:val="0"/>
        </w:rPr>
        <w:t>Kruszywo można przewozić dowolnymi środkami transportu w warunkach zabezpieczających je przed zanieczyszczeniem, zmieszaniem z innymi kruszywami i nadmiernym zawilgoceniem.</w:t>
      </w:r>
    </w:p>
    <w:p w:rsidR="008400AD" w:rsidRPr="008400AD" w:rsidRDefault="008400AD" w:rsidP="008400AD">
      <w:pPr>
        <w:widowControl w:val="0"/>
        <w:jc w:val="both"/>
        <w:rPr>
          <w:snapToGrid w:val="0"/>
        </w:rPr>
      </w:pPr>
    </w:p>
    <w:p w:rsidR="008400AD" w:rsidRPr="008400AD" w:rsidRDefault="008400AD" w:rsidP="008400AD">
      <w:pPr>
        <w:widowControl w:val="0"/>
        <w:jc w:val="both"/>
        <w:rPr>
          <w:snapToGrid w:val="0"/>
        </w:rPr>
      </w:pPr>
      <w:r w:rsidRPr="008400AD">
        <w:rPr>
          <w:snapToGrid w:val="0"/>
        </w:rPr>
        <w:t>4.2.3. Transport cementu</w:t>
      </w:r>
    </w:p>
    <w:p w:rsidR="008400AD" w:rsidRPr="008400AD" w:rsidRDefault="008400AD" w:rsidP="008400AD">
      <w:pPr>
        <w:widowControl w:val="0"/>
        <w:ind w:firstLine="709"/>
        <w:jc w:val="both"/>
        <w:rPr>
          <w:snapToGrid w:val="0"/>
        </w:rPr>
      </w:pPr>
      <w:r w:rsidRPr="008400AD">
        <w:rPr>
          <w:snapToGrid w:val="0"/>
        </w:rPr>
        <w:t>Cement należy przewozić zgodnie z wymaganiami BN-88/6731-08</w:t>
      </w:r>
    </w:p>
    <w:p w:rsidR="00DC5D94" w:rsidRDefault="00DC5D94" w:rsidP="008400AD">
      <w:pPr>
        <w:widowControl w:val="0"/>
        <w:jc w:val="both"/>
        <w:rPr>
          <w:snapToGrid w:val="0"/>
        </w:rPr>
      </w:pPr>
    </w:p>
    <w:p w:rsidR="008400AD" w:rsidRPr="008400AD" w:rsidRDefault="00DC5D94" w:rsidP="008400AD">
      <w:pPr>
        <w:widowControl w:val="0"/>
        <w:spacing w:before="120" w:after="120"/>
        <w:jc w:val="both"/>
        <w:rPr>
          <w:b/>
          <w:noProof/>
          <w:snapToGrid w:val="0"/>
          <w:u w:val="single"/>
        </w:rPr>
      </w:pPr>
      <w:r w:rsidRPr="000222D0">
        <w:rPr>
          <w:b/>
          <w:noProof/>
          <w:snapToGrid w:val="0"/>
          <w:u w:val="single"/>
        </w:rPr>
        <w:t>5. WYKONANIE ROBÓT</w:t>
      </w:r>
    </w:p>
    <w:p w:rsidR="008400AD" w:rsidRPr="008400AD" w:rsidRDefault="008400AD" w:rsidP="008400AD">
      <w:pPr>
        <w:widowControl w:val="0"/>
        <w:jc w:val="both"/>
        <w:rPr>
          <w:b/>
          <w:bCs/>
        </w:rPr>
      </w:pPr>
      <w:r w:rsidRPr="008400AD">
        <w:rPr>
          <w:b/>
          <w:bCs/>
        </w:rPr>
        <w:t>5.1. Ogólne zasady wykonania robót</w:t>
      </w:r>
    </w:p>
    <w:p w:rsidR="008400AD" w:rsidRDefault="008400AD" w:rsidP="008400AD">
      <w:pPr>
        <w:widowControl w:val="0"/>
        <w:ind w:firstLine="709"/>
        <w:jc w:val="both"/>
        <w:rPr>
          <w:snapToGrid w:val="0"/>
        </w:rPr>
      </w:pPr>
      <w:r w:rsidRPr="008400AD">
        <w:rPr>
          <w:snapToGrid w:val="0"/>
        </w:rPr>
        <w:t xml:space="preserve">Ogólne zasady </w:t>
      </w:r>
      <w:r>
        <w:rPr>
          <w:snapToGrid w:val="0"/>
        </w:rPr>
        <w:t>wykonania robót podano w ST</w:t>
      </w:r>
      <w:r w:rsidRPr="008400AD">
        <w:rPr>
          <w:snapToGrid w:val="0"/>
        </w:rPr>
        <w:t xml:space="preserve"> D-M-00.00.00 „Wymagania ogólne”</w:t>
      </w:r>
    </w:p>
    <w:p w:rsidR="008400AD" w:rsidRPr="008400AD" w:rsidRDefault="008400AD" w:rsidP="008400AD">
      <w:pPr>
        <w:widowControl w:val="0"/>
        <w:ind w:firstLine="709"/>
        <w:jc w:val="both"/>
        <w:rPr>
          <w:snapToGrid w:val="0"/>
        </w:rPr>
      </w:pPr>
    </w:p>
    <w:p w:rsidR="008400AD" w:rsidRPr="008400AD" w:rsidRDefault="008400AD" w:rsidP="008400AD">
      <w:pPr>
        <w:widowControl w:val="0"/>
        <w:jc w:val="both"/>
        <w:rPr>
          <w:b/>
          <w:bCs/>
        </w:rPr>
      </w:pPr>
      <w:r w:rsidRPr="008400AD">
        <w:rPr>
          <w:b/>
          <w:bCs/>
        </w:rPr>
        <w:t>5.2. Brukowanie</w:t>
      </w:r>
    </w:p>
    <w:p w:rsidR="008400AD" w:rsidRPr="008400AD" w:rsidRDefault="008400AD" w:rsidP="008400AD">
      <w:pPr>
        <w:widowControl w:val="0"/>
        <w:ind w:firstLine="709"/>
        <w:jc w:val="both"/>
        <w:rPr>
          <w:snapToGrid w:val="0"/>
        </w:rPr>
      </w:pPr>
      <w:r w:rsidRPr="008400AD">
        <w:rPr>
          <w:snapToGrid w:val="0"/>
        </w:rPr>
        <w:t>Umocnienie brukowcem stosuje się w miejscach wskazanych w dokumentacji projektowej.</w:t>
      </w:r>
    </w:p>
    <w:p w:rsidR="008400AD" w:rsidRPr="008400AD" w:rsidRDefault="008400AD" w:rsidP="008400AD">
      <w:pPr>
        <w:widowControl w:val="0"/>
        <w:ind w:firstLine="709"/>
        <w:jc w:val="both"/>
        <w:rPr>
          <w:snapToGrid w:val="0"/>
        </w:rPr>
      </w:pPr>
    </w:p>
    <w:p w:rsidR="008400AD" w:rsidRPr="008400AD" w:rsidRDefault="008400AD" w:rsidP="008400AD">
      <w:pPr>
        <w:widowControl w:val="0"/>
        <w:jc w:val="both"/>
        <w:rPr>
          <w:snapToGrid w:val="0"/>
        </w:rPr>
      </w:pPr>
      <w:r w:rsidRPr="008400AD">
        <w:rPr>
          <w:snapToGrid w:val="0"/>
        </w:rPr>
        <w:t>5.2.1. Przygotowanie podłoża</w:t>
      </w:r>
    </w:p>
    <w:p w:rsidR="008400AD" w:rsidRPr="008400AD" w:rsidRDefault="008400AD" w:rsidP="008400AD">
      <w:pPr>
        <w:widowControl w:val="0"/>
        <w:ind w:firstLine="709"/>
        <w:jc w:val="both"/>
        <w:rPr>
          <w:snapToGrid w:val="0"/>
        </w:rPr>
      </w:pPr>
      <w:r w:rsidRPr="008400AD">
        <w:rPr>
          <w:snapToGrid w:val="0"/>
        </w:rPr>
        <w:t>Podłoże pod brukowiec należy przygotować zgodnie z PN-S-02205:1998</w:t>
      </w:r>
    </w:p>
    <w:p w:rsidR="008400AD" w:rsidRPr="008400AD" w:rsidRDefault="008400AD" w:rsidP="008400AD">
      <w:pPr>
        <w:widowControl w:val="0"/>
        <w:ind w:firstLine="709"/>
        <w:jc w:val="both"/>
        <w:rPr>
          <w:snapToGrid w:val="0"/>
        </w:rPr>
      </w:pPr>
    </w:p>
    <w:p w:rsidR="008400AD" w:rsidRPr="008400AD" w:rsidRDefault="008400AD" w:rsidP="008400AD">
      <w:pPr>
        <w:widowControl w:val="0"/>
        <w:jc w:val="both"/>
        <w:rPr>
          <w:snapToGrid w:val="0"/>
        </w:rPr>
      </w:pPr>
      <w:r w:rsidRPr="008400AD">
        <w:rPr>
          <w:snapToGrid w:val="0"/>
        </w:rPr>
        <w:t>5.2.2. Podkład</w:t>
      </w:r>
    </w:p>
    <w:p w:rsidR="008400AD" w:rsidRPr="008400AD" w:rsidRDefault="008400AD" w:rsidP="008400AD">
      <w:pPr>
        <w:widowControl w:val="0"/>
        <w:ind w:firstLine="709"/>
        <w:jc w:val="both"/>
        <w:rPr>
          <w:snapToGrid w:val="0"/>
        </w:rPr>
      </w:pPr>
      <w:r w:rsidRPr="008400AD">
        <w:rPr>
          <w:snapToGrid w:val="0"/>
        </w:rPr>
        <w:t>Podkład pod brukowiec stanowi warstwa betonu. Podkład należy układać „pod sznur” lub przeciąganiem łaty, „pod łatę”. Po ułożeniu podkładu należy go lekko uklepać, ale nie ubijać.</w:t>
      </w:r>
    </w:p>
    <w:p w:rsidR="008400AD" w:rsidRPr="008400AD" w:rsidRDefault="008400AD" w:rsidP="008400AD">
      <w:pPr>
        <w:widowControl w:val="0"/>
        <w:ind w:firstLine="709"/>
        <w:jc w:val="both"/>
        <w:rPr>
          <w:snapToGrid w:val="0"/>
        </w:rPr>
      </w:pPr>
    </w:p>
    <w:p w:rsidR="008400AD" w:rsidRPr="008400AD" w:rsidRDefault="008400AD" w:rsidP="008400AD">
      <w:pPr>
        <w:widowControl w:val="0"/>
        <w:jc w:val="both"/>
        <w:rPr>
          <w:snapToGrid w:val="0"/>
        </w:rPr>
      </w:pPr>
      <w:r w:rsidRPr="008400AD">
        <w:rPr>
          <w:snapToGrid w:val="0"/>
        </w:rPr>
        <w:t>5.2.3. Układanie brukowca</w:t>
      </w:r>
    </w:p>
    <w:p w:rsidR="008400AD" w:rsidRPr="008400AD" w:rsidRDefault="008400AD" w:rsidP="008400AD">
      <w:pPr>
        <w:widowControl w:val="0"/>
        <w:ind w:firstLine="709"/>
        <w:jc w:val="both"/>
        <w:rPr>
          <w:snapToGrid w:val="0"/>
        </w:rPr>
      </w:pPr>
      <w:r w:rsidRPr="008400AD">
        <w:rPr>
          <w:snapToGrid w:val="0"/>
        </w:rPr>
        <w:t>Brukowiec należy układać na przygotowanym podkładzie cementowo - piaskowym. Brukowiec układa się „pod sznur” naciągnięty na palikach na wysokość od 2 cm do 4 cm nad projektowany poziom powierzchni. Układanie brukowca należy rozpocząć od uprzednio wykonanych oporów. W przypadku gdy dokumentacja projektowa takich oporów nie przewiduje, należy w pierwszej kolejności, po linii obwodu umocnienia, ułożyć brukowce największe. Brukowiec należy układać tak, aby szczeliny między sąsiednimi warstwami mijały się i nie przekraczały 3 cm, a największy wymiar brukowca był skierowany w podkład.</w:t>
      </w:r>
    </w:p>
    <w:p w:rsidR="008400AD" w:rsidRPr="00015D14" w:rsidRDefault="00015D14" w:rsidP="00015D14">
      <w:pPr>
        <w:widowControl w:val="0"/>
        <w:ind w:firstLine="709"/>
        <w:jc w:val="both"/>
        <w:rPr>
          <w:snapToGrid w:val="0"/>
        </w:rPr>
      </w:pPr>
      <w:r w:rsidRPr="00015D14">
        <w:rPr>
          <w:snapToGrid w:val="0"/>
        </w:rPr>
        <w:t>Po ułożeniu brukowca szczeliny należy wypełnić kruszywem i powierzchnię ubić do osiągnięcia wymaganego poziomu. W przypadku układania brukowca na zaprawie cementowo-piaskowej rozłożonej na podkładzie z kruszywa, szczeliny należy wypełnić zaprawą cementowo-piaskową o stosunku 1:2. W okresie wiązania zaprawy cementowo-piaskowej powierzchnię bruku należy osłonić matami lub warstwą piasku i utrzymywać w stanie wilgotnym przez co najmniej 7 dni.</w:t>
      </w:r>
    </w:p>
    <w:p w:rsidR="00DC5D94" w:rsidRDefault="00DC5D94" w:rsidP="00DC5D94">
      <w:pPr>
        <w:widowControl w:val="0"/>
        <w:jc w:val="both"/>
        <w:rPr>
          <w:b/>
          <w:bCs/>
        </w:rPr>
      </w:pPr>
    </w:p>
    <w:p w:rsidR="00DC5D94" w:rsidRPr="00346AA4" w:rsidRDefault="00DC5D94" w:rsidP="00DC5D94">
      <w:pPr>
        <w:widowControl w:val="0"/>
        <w:spacing w:before="120" w:after="120"/>
        <w:jc w:val="both"/>
        <w:rPr>
          <w:b/>
          <w:noProof/>
          <w:snapToGrid w:val="0"/>
          <w:u w:val="single"/>
        </w:rPr>
      </w:pPr>
      <w:r w:rsidRPr="000222D0">
        <w:rPr>
          <w:b/>
          <w:noProof/>
          <w:snapToGrid w:val="0"/>
          <w:u w:val="single"/>
        </w:rPr>
        <w:t>6. KONTROLA JAKOŚCI ROBÓT</w:t>
      </w:r>
    </w:p>
    <w:p w:rsidR="00015D14" w:rsidRDefault="00015D14" w:rsidP="00DC5D94">
      <w:pPr>
        <w:widowControl w:val="0"/>
        <w:jc w:val="both"/>
        <w:rPr>
          <w:snapToGrid w:val="0"/>
        </w:rPr>
      </w:pPr>
      <w:r w:rsidRPr="00015D14">
        <w:rPr>
          <w:b/>
          <w:bCs/>
        </w:rPr>
        <w:t>6.1. Ogólne zasady kontroli jakości robót</w:t>
      </w:r>
    </w:p>
    <w:p w:rsidR="00015D14" w:rsidRDefault="00015D14" w:rsidP="00015D14">
      <w:pPr>
        <w:widowControl w:val="0"/>
        <w:ind w:firstLine="709"/>
        <w:jc w:val="both"/>
        <w:rPr>
          <w:snapToGrid w:val="0"/>
        </w:rPr>
      </w:pPr>
      <w:r>
        <w:t>Ogólne zasady kontroli jakości robót podano w ST D-M-00.00.00 „Wymagania ogólne”</w:t>
      </w:r>
    </w:p>
    <w:p w:rsidR="00015D14" w:rsidRDefault="00015D14" w:rsidP="00DC5D94">
      <w:pPr>
        <w:widowControl w:val="0"/>
        <w:jc w:val="both"/>
        <w:rPr>
          <w:snapToGrid w:val="0"/>
        </w:rPr>
      </w:pPr>
    </w:p>
    <w:p w:rsidR="00DC5D94" w:rsidRPr="00FA1F41" w:rsidRDefault="00DC5D94" w:rsidP="00DC5D94">
      <w:pPr>
        <w:widowControl w:val="0"/>
        <w:spacing w:before="120" w:after="120"/>
        <w:jc w:val="both"/>
        <w:rPr>
          <w:b/>
          <w:noProof/>
          <w:snapToGrid w:val="0"/>
          <w:u w:val="single"/>
        </w:rPr>
      </w:pPr>
      <w:r w:rsidRPr="00FA1F41">
        <w:rPr>
          <w:b/>
          <w:noProof/>
          <w:snapToGrid w:val="0"/>
          <w:u w:val="single"/>
        </w:rPr>
        <w:t>7. OBMIAR ROBÓT</w:t>
      </w:r>
    </w:p>
    <w:p w:rsidR="00DC5D94" w:rsidRPr="00D37708" w:rsidRDefault="00DC5D94" w:rsidP="00D37708">
      <w:pPr>
        <w:widowControl w:val="0"/>
        <w:tabs>
          <w:tab w:val="left" w:pos="0"/>
          <w:tab w:val="left" w:pos="339"/>
          <w:tab w:val="left" w:pos="736"/>
          <w:tab w:val="left" w:pos="1020"/>
          <w:tab w:val="left" w:pos="1360"/>
          <w:tab w:val="left" w:pos="1700"/>
          <w:tab w:val="left" w:pos="2041"/>
          <w:tab w:val="left" w:pos="2380"/>
          <w:tab w:val="left" w:pos="2721"/>
          <w:tab w:val="left" w:pos="3061"/>
          <w:tab w:val="left" w:pos="3402"/>
          <w:tab w:val="left" w:pos="5668"/>
        </w:tabs>
        <w:jc w:val="both"/>
      </w:pPr>
      <w:r w:rsidRPr="00FA1F41">
        <w:tab/>
        <w:t xml:space="preserve">Jednostką  obmiaru </w:t>
      </w:r>
      <w:r w:rsidR="00015D14" w:rsidRPr="00FA1F41">
        <w:t xml:space="preserve">1 m2 </w:t>
      </w:r>
      <w:r w:rsidR="00FA1F41" w:rsidRPr="00FA1F41">
        <w:t>powierzchni</w:t>
      </w:r>
      <w:r w:rsidR="00FA1F41">
        <w:t xml:space="preserve"> umocnionych przez brukowanie.</w:t>
      </w:r>
    </w:p>
    <w:p w:rsidR="00DC5D94" w:rsidRDefault="00DC5D94" w:rsidP="00DC5D94">
      <w:pPr>
        <w:autoSpaceDE w:val="0"/>
        <w:autoSpaceDN w:val="0"/>
        <w:adjustRightInd w:val="0"/>
        <w:rPr>
          <w:b/>
          <w:noProof/>
          <w:snapToGrid w:val="0"/>
          <w:u w:val="single"/>
        </w:rPr>
      </w:pPr>
      <w:r w:rsidRPr="000222D0">
        <w:rPr>
          <w:b/>
          <w:noProof/>
          <w:snapToGrid w:val="0"/>
          <w:u w:val="single"/>
        </w:rPr>
        <w:t>8. ODBIÓR ROBÓT</w:t>
      </w:r>
    </w:p>
    <w:p w:rsidR="00DC5D94" w:rsidRDefault="00DC5D94" w:rsidP="00DC5D94">
      <w:pPr>
        <w:pStyle w:val="Tekstpodstawowy"/>
        <w:tabs>
          <w:tab w:val="left" w:pos="736"/>
          <w:tab w:val="left" w:pos="1360"/>
          <w:tab w:val="left" w:pos="1700"/>
          <w:tab w:val="left" w:pos="2041"/>
          <w:tab w:val="left" w:pos="2380"/>
          <w:tab w:val="left" w:pos="2721"/>
          <w:tab w:val="left" w:pos="3061"/>
          <w:tab w:val="left" w:pos="3402"/>
          <w:tab w:val="left" w:pos="5668"/>
        </w:tabs>
        <w:ind w:left="420"/>
        <w:rPr>
          <w:rFonts w:ascii="Times New Roman" w:hAnsi="Times New Roman"/>
        </w:rPr>
      </w:pPr>
    </w:p>
    <w:p w:rsidR="00DC5D94" w:rsidRPr="007203C0" w:rsidRDefault="00FA1F41" w:rsidP="007203C0">
      <w:pPr>
        <w:widowControl w:val="0"/>
        <w:ind w:firstLine="709"/>
        <w:jc w:val="both"/>
        <w:rPr>
          <w:snapToGrid w:val="0"/>
        </w:rPr>
      </w:pPr>
      <w:r w:rsidRPr="007203C0">
        <w:rPr>
          <w:snapToGrid w:val="0"/>
        </w:rPr>
        <w:t>Ogólne zasad</w:t>
      </w:r>
      <w:r w:rsidR="007203C0" w:rsidRPr="007203C0">
        <w:rPr>
          <w:snapToGrid w:val="0"/>
        </w:rPr>
        <w:t>y odbioru robót podano w ST</w:t>
      </w:r>
      <w:r w:rsidRPr="007203C0">
        <w:rPr>
          <w:snapToGrid w:val="0"/>
        </w:rPr>
        <w:t xml:space="preserve"> D-M-00.00.00 „Wymagania ogólne”</w:t>
      </w:r>
    </w:p>
    <w:p w:rsidR="00FA1F41" w:rsidRPr="007203C0" w:rsidRDefault="007203C0" w:rsidP="007203C0">
      <w:pPr>
        <w:widowControl w:val="0"/>
        <w:ind w:firstLine="709"/>
        <w:jc w:val="both"/>
        <w:rPr>
          <w:snapToGrid w:val="0"/>
        </w:rPr>
      </w:pPr>
      <w:r w:rsidRPr="007203C0">
        <w:rPr>
          <w:snapToGrid w:val="0"/>
        </w:rPr>
        <w:t>Roboty uznaje się za wykonane zgodnie z dokumentacją projektową, STWiORB i wymaganiami</w:t>
      </w:r>
      <w:r w:rsidR="00EC6812">
        <w:rPr>
          <w:snapToGrid w:val="0"/>
        </w:rPr>
        <w:t>zamawiajacego</w:t>
      </w:r>
      <w:r w:rsidRPr="007203C0">
        <w:rPr>
          <w:snapToGrid w:val="0"/>
        </w:rPr>
        <w:t>, jeżeli wszystkie pomiary i badania z zachowaniem tolerancji wg pktu 6 dały wyniki pozytywne.</w:t>
      </w:r>
    </w:p>
    <w:p w:rsidR="00DC5D94" w:rsidRDefault="00DC5D94" w:rsidP="007203C0">
      <w:pPr>
        <w:widowControl w:val="0"/>
        <w:jc w:val="both"/>
        <w:rPr>
          <w:snapToGrid w:val="0"/>
        </w:rPr>
      </w:pPr>
    </w:p>
    <w:p w:rsidR="00DC5D94" w:rsidRPr="00C75C91" w:rsidRDefault="00DC5D94" w:rsidP="00DC5D94">
      <w:pPr>
        <w:widowControl w:val="0"/>
        <w:spacing w:before="120" w:after="120"/>
        <w:jc w:val="both"/>
        <w:rPr>
          <w:b/>
          <w:noProof/>
          <w:snapToGrid w:val="0"/>
          <w:u w:val="single"/>
        </w:rPr>
      </w:pPr>
      <w:r w:rsidRPr="000222D0">
        <w:rPr>
          <w:b/>
          <w:noProof/>
          <w:snapToGrid w:val="0"/>
          <w:u w:val="single"/>
        </w:rPr>
        <w:t>9. PODSTAWA PŁATNOŚCI</w:t>
      </w:r>
    </w:p>
    <w:p w:rsidR="007203C0" w:rsidRPr="007D6B84" w:rsidRDefault="00DC5D94" w:rsidP="007203C0">
      <w:pPr>
        <w:widowControl w:val="0"/>
        <w:tabs>
          <w:tab w:val="left" w:pos="0"/>
          <w:tab w:val="left" w:pos="339"/>
          <w:tab w:val="left" w:pos="736"/>
          <w:tab w:val="left" w:pos="1020"/>
          <w:tab w:val="left" w:pos="1360"/>
          <w:tab w:val="left" w:pos="1700"/>
          <w:tab w:val="left" w:pos="2041"/>
          <w:tab w:val="left" w:pos="2380"/>
          <w:tab w:val="left" w:pos="2721"/>
          <w:tab w:val="left" w:pos="3061"/>
          <w:tab w:val="left" w:pos="3402"/>
          <w:tab w:val="left" w:pos="5668"/>
        </w:tabs>
        <w:jc w:val="both"/>
      </w:pPr>
      <w:r>
        <w:tab/>
      </w:r>
      <w:r w:rsidR="007203C0">
        <w:tab/>
      </w:r>
      <w:r w:rsidR="007203C0" w:rsidRPr="007D6B84">
        <w:t>Płatność za 1 m</w:t>
      </w:r>
      <w:r w:rsidR="007203C0">
        <w:t>2 wykonania umocnienia powierzchni skarp i dna cieku kostką brukową</w:t>
      </w:r>
      <w:r w:rsidR="007203C0" w:rsidRPr="007D6B84">
        <w:t>.</w:t>
      </w:r>
    </w:p>
    <w:p w:rsidR="007203C0" w:rsidRPr="00AE230F" w:rsidRDefault="007203C0" w:rsidP="007203C0">
      <w:pPr>
        <w:widowControl w:val="0"/>
        <w:tabs>
          <w:tab w:val="left" w:pos="0"/>
          <w:tab w:val="left" w:pos="339"/>
          <w:tab w:val="left" w:pos="736"/>
          <w:tab w:val="left" w:pos="1020"/>
          <w:tab w:val="left" w:pos="1360"/>
          <w:tab w:val="left" w:pos="1700"/>
          <w:tab w:val="left" w:pos="2041"/>
          <w:tab w:val="left" w:pos="2380"/>
          <w:tab w:val="left" w:pos="2721"/>
          <w:tab w:val="left" w:pos="3061"/>
          <w:tab w:val="left" w:pos="3402"/>
          <w:tab w:val="left" w:pos="5668"/>
        </w:tabs>
        <w:jc w:val="both"/>
      </w:pPr>
      <w:r>
        <w:tab/>
      </w:r>
      <w:r w:rsidRPr="007D6B84">
        <w:t>Cena jednostkowa obejmuje:</w:t>
      </w:r>
    </w:p>
    <w:p w:rsidR="007203C0" w:rsidRDefault="007203C0" w:rsidP="007203C0">
      <w:pPr>
        <w:widowControl w:val="0"/>
        <w:ind w:firstLine="709"/>
        <w:jc w:val="both"/>
        <w:rPr>
          <w:snapToGrid w:val="0"/>
        </w:rPr>
      </w:pPr>
      <w:r w:rsidRPr="007203C0">
        <w:rPr>
          <w:snapToGrid w:val="0"/>
        </w:rPr>
        <w:t xml:space="preserve">− roboty pomiarowe i przygotowawcze, </w:t>
      </w:r>
    </w:p>
    <w:p w:rsidR="007203C0" w:rsidRDefault="007203C0" w:rsidP="007203C0">
      <w:pPr>
        <w:widowControl w:val="0"/>
        <w:ind w:firstLine="709"/>
        <w:jc w:val="both"/>
        <w:rPr>
          <w:snapToGrid w:val="0"/>
        </w:rPr>
      </w:pPr>
      <w:r w:rsidRPr="007203C0">
        <w:rPr>
          <w:snapToGrid w:val="0"/>
        </w:rPr>
        <w:t xml:space="preserve">− dostarczenie i wbudowanie materiałów, </w:t>
      </w:r>
    </w:p>
    <w:p w:rsidR="001728A3" w:rsidRDefault="001728A3" w:rsidP="007203C0">
      <w:pPr>
        <w:widowControl w:val="0"/>
        <w:ind w:firstLine="709"/>
        <w:jc w:val="both"/>
        <w:rPr>
          <w:snapToGrid w:val="0"/>
        </w:rPr>
      </w:pPr>
      <w:r>
        <w:rPr>
          <w:snapToGrid w:val="0"/>
        </w:rPr>
        <w:t>- wkonanie oporu z obrzeża betonowego,</w:t>
      </w:r>
    </w:p>
    <w:p w:rsidR="007203C0" w:rsidRDefault="007203C0" w:rsidP="007203C0">
      <w:pPr>
        <w:widowControl w:val="0"/>
        <w:ind w:firstLine="709"/>
        <w:jc w:val="both"/>
        <w:rPr>
          <w:snapToGrid w:val="0"/>
        </w:rPr>
      </w:pPr>
      <w:r w:rsidRPr="007203C0">
        <w:rPr>
          <w:snapToGrid w:val="0"/>
        </w:rPr>
        <w:t>− ew. pielęgnacja spoin, − uporządkowanie terenu,</w:t>
      </w:r>
    </w:p>
    <w:p w:rsidR="00DC5D94" w:rsidRDefault="007203C0" w:rsidP="007203C0">
      <w:pPr>
        <w:widowControl w:val="0"/>
        <w:ind w:firstLine="709"/>
        <w:jc w:val="both"/>
        <w:rPr>
          <w:snapToGrid w:val="0"/>
        </w:rPr>
      </w:pPr>
      <w:r w:rsidRPr="007203C0">
        <w:rPr>
          <w:snapToGrid w:val="0"/>
        </w:rPr>
        <w:t>− przeprowadzenie badań i pomiarów wymaganych w specyfikacji technicznej.</w:t>
      </w:r>
    </w:p>
    <w:p w:rsidR="00D84305" w:rsidRDefault="00D84305" w:rsidP="007203C0">
      <w:pPr>
        <w:widowControl w:val="0"/>
        <w:ind w:firstLine="709"/>
        <w:jc w:val="both"/>
        <w:rPr>
          <w:snapToGrid w:val="0"/>
        </w:rPr>
      </w:pPr>
      <w:r>
        <w:rPr>
          <w:snapToGrid w:val="0"/>
        </w:rPr>
        <w:t>- opracowanie recepty laboratoryjnej betonu,</w:t>
      </w:r>
    </w:p>
    <w:p w:rsidR="00D84305" w:rsidRDefault="00D84305" w:rsidP="007203C0">
      <w:pPr>
        <w:widowControl w:val="0"/>
        <w:ind w:firstLine="709"/>
        <w:jc w:val="both"/>
        <w:rPr>
          <w:snapToGrid w:val="0"/>
        </w:rPr>
      </w:pPr>
      <w:r>
        <w:rPr>
          <w:snapToGrid w:val="0"/>
        </w:rPr>
        <w:t>- przygotowanie, transport i ułożenie podbudowy z betonu,</w:t>
      </w:r>
    </w:p>
    <w:p w:rsidR="00D84305" w:rsidRDefault="00D84305" w:rsidP="007203C0">
      <w:pPr>
        <w:widowControl w:val="0"/>
        <w:ind w:firstLine="709"/>
        <w:jc w:val="both"/>
        <w:rPr>
          <w:snapToGrid w:val="0"/>
        </w:rPr>
      </w:pPr>
      <w:r>
        <w:rPr>
          <w:snapToGrid w:val="0"/>
        </w:rPr>
        <w:t>- dostarczenie wszystkich czynników produkcji</w:t>
      </w:r>
    </w:p>
    <w:p w:rsidR="00D84305" w:rsidRPr="007203C0" w:rsidRDefault="00D84305" w:rsidP="007203C0">
      <w:pPr>
        <w:widowControl w:val="0"/>
        <w:ind w:firstLine="709"/>
        <w:jc w:val="both"/>
        <w:rPr>
          <w:snapToGrid w:val="0"/>
        </w:rPr>
      </w:pPr>
      <w:r>
        <w:rPr>
          <w:snapToGrid w:val="0"/>
        </w:rPr>
        <w:t>- pompowanie wody, zabezpieczenie przed rozmyciem.</w:t>
      </w:r>
    </w:p>
    <w:p w:rsidR="00DC5D94" w:rsidRDefault="00DC5D94" w:rsidP="00DC5D94">
      <w:pPr>
        <w:widowControl w:val="0"/>
        <w:jc w:val="both"/>
        <w:rPr>
          <w:snapToGrid w:val="0"/>
        </w:rPr>
      </w:pPr>
    </w:p>
    <w:p w:rsidR="00DC5D94" w:rsidRPr="000222D0" w:rsidRDefault="00DC5D94" w:rsidP="00DC5D94">
      <w:pPr>
        <w:widowControl w:val="0"/>
        <w:spacing w:before="120" w:after="120"/>
        <w:jc w:val="both"/>
        <w:rPr>
          <w:b/>
          <w:noProof/>
          <w:snapToGrid w:val="0"/>
          <w:u w:val="single"/>
        </w:rPr>
      </w:pPr>
      <w:r w:rsidRPr="000222D0">
        <w:rPr>
          <w:b/>
          <w:noProof/>
          <w:snapToGrid w:val="0"/>
          <w:u w:val="single"/>
        </w:rPr>
        <w:t>10. PRZEPISY ZWIĄZANE</w:t>
      </w:r>
    </w:p>
    <w:p w:rsidR="00DC5D94" w:rsidRDefault="005A6CD4" w:rsidP="00BE4E21">
      <w:pPr>
        <w:rPr>
          <w:rFonts w:ascii="PL Times New Roman" w:hAnsi="PL Times New Roman"/>
          <w:b/>
          <w:snapToGrid w:val="0"/>
          <w:sz w:val="26"/>
        </w:rPr>
      </w:pPr>
      <w:r>
        <w:rPr>
          <w:rFonts w:ascii="PL Times New Roman" w:hAnsi="PL Times New Roman"/>
          <w:b/>
          <w:noProof/>
          <w:sz w:val="26"/>
        </w:rPr>
        <w:drawing>
          <wp:inline distT="0" distB="0" distL="0" distR="0">
            <wp:extent cx="4952365" cy="2589530"/>
            <wp:effectExtent l="0" t="0" r="635" b="1270"/>
            <wp:docPr id="105" name="Obraz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952365" cy="2589530"/>
                    </a:xfrm>
                    <a:prstGeom prst="rect">
                      <a:avLst/>
                    </a:prstGeom>
                    <a:noFill/>
                    <a:ln>
                      <a:noFill/>
                    </a:ln>
                  </pic:spPr>
                </pic:pic>
              </a:graphicData>
            </a:graphic>
          </wp:inline>
        </w:drawing>
      </w:r>
    </w:p>
    <w:p w:rsidR="001728A3" w:rsidRDefault="005A6CD4" w:rsidP="00BE4E21">
      <w:pPr>
        <w:rPr>
          <w:rFonts w:ascii="PL Times New Roman" w:hAnsi="PL Times New Roman"/>
          <w:b/>
          <w:snapToGrid w:val="0"/>
          <w:sz w:val="26"/>
        </w:rPr>
      </w:pPr>
      <w:r>
        <w:rPr>
          <w:rFonts w:ascii="PL Times New Roman" w:hAnsi="PL Times New Roman"/>
          <w:b/>
          <w:noProof/>
          <w:sz w:val="26"/>
        </w:rPr>
        <w:drawing>
          <wp:inline distT="0" distB="0" distL="0" distR="0">
            <wp:extent cx="5730875" cy="3385820"/>
            <wp:effectExtent l="0" t="0" r="3175" b="5080"/>
            <wp:docPr id="107" name="Obraz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30875" cy="3385820"/>
                    </a:xfrm>
                    <a:prstGeom prst="rect">
                      <a:avLst/>
                    </a:prstGeom>
                    <a:noFill/>
                    <a:ln>
                      <a:noFill/>
                    </a:ln>
                  </pic:spPr>
                </pic:pic>
              </a:graphicData>
            </a:graphic>
          </wp:inline>
        </w:drawing>
      </w:r>
    </w:p>
    <w:p w:rsidR="00C26502" w:rsidRDefault="00C26502" w:rsidP="00BE4E21">
      <w:pPr>
        <w:rPr>
          <w:rFonts w:ascii="PL Times New Roman" w:hAnsi="PL Times New Roman"/>
          <w:b/>
          <w:snapToGrid w:val="0"/>
          <w:sz w:val="26"/>
        </w:rPr>
      </w:pPr>
    </w:p>
    <w:p w:rsidR="00C26502" w:rsidRPr="008B3BC0" w:rsidRDefault="00C26502" w:rsidP="00C26502">
      <w:pPr>
        <w:outlineLvl w:val="0"/>
        <w:rPr>
          <w:rFonts w:ascii="PL Times New Roman" w:hAnsi="PL Times New Roman"/>
          <w:b/>
          <w:snapToGrid w:val="0"/>
          <w:color w:val="0000FF"/>
          <w:sz w:val="28"/>
          <w:szCs w:val="28"/>
          <w:lang w:eastAsia="ar-SA"/>
        </w:rPr>
      </w:pPr>
      <w:bookmarkStart w:id="43" w:name="_Toc502302613"/>
      <w:bookmarkStart w:id="44" w:name="_Toc26910625"/>
      <w:bookmarkStart w:id="45" w:name="_Toc80100093"/>
      <w:r>
        <w:rPr>
          <w:rFonts w:ascii="PL Times New Roman" w:hAnsi="PL Times New Roman"/>
          <w:b/>
          <w:snapToGrid w:val="0"/>
          <w:sz w:val="26"/>
          <w:szCs w:val="26"/>
        </w:rPr>
        <w:t>M</w:t>
      </w:r>
      <w:r w:rsidRPr="008B3BC0">
        <w:rPr>
          <w:rFonts w:ascii="PL Times New Roman" w:hAnsi="PL Times New Roman"/>
          <w:b/>
          <w:snapToGrid w:val="0"/>
          <w:sz w:val="26"/>
          <w:szCs w:val="26"/>
        </w:rPr>
        <w:t>.</w:t>
      </w:r>
      <w:r>
        <w:rPr>
          <w:rFonts w:ascii="PL Times New Roman" w:hAnsi="PL Times New Roman"/>
          <w:b/>
          <w:snapToGrid w:val="0"/>
          <w:sz w:val="26"/>
          <w:szCs w:val="26"/>
        </w:rPr>
        <w:t>20</w:t>
      </w:r>
      <w:r w:rsidRPr="008B3BC0">
        <w:rPr>
          <w:rFonts w:ascii="PL Times New Roman" w:hAnsi="PL Times New Roman"/>
          <w:b/>
          <w:snapToGrid w:val="0"/>
          <w:sz w:val="26"/>
          <w:szCs w:val="26"/>
        </w:rPr>
        <w:t>.0</w:t>
      </w:r>
      <w:r>
        <w:rPr>
          <w:rFonts w:ascii="PL Times New Roman" w:hAnsi="PL Times New Roman"/>
          <w:b/>
          <w:snapToGrid w:val="0"/>
          <w:sz w:val="26"/>
          <w:szCs w:val="26"/>
        </w:rPr>
        <w:t>1</w:t>
      </w:r>
      <w:r w:rsidRPr="008B3BC0">
        <w:rPr>
          <w:rFonts w:ascii="PL Times New Roman" w:hAnsi="PL Times New Roman"/>
          <w:b/>
          <w:snapToGrid w:val="0"/>
          <w:sz w:val="26"/>
          <w:szCs w:val="26"/>
        </w:rPr>
        <w:t>.</w:t>
      </w:r>
      <w:r>
        <w:rPr>
          <w:rFonts w:ascii="PL Times New Roman" w:hAnsi="PL Times New Roman"/>
          <w:b/>
          <w:snapToGrid w:val="0"/>
          <w:sz w:val="26"/>
          <w:szCs w:val="26"/>
        </w:rPr>
        <w:t>14</w:t>
      </w:r>
      <w:r w:rsidRPr="008B3BC0">
        <w:rPr>
          <w:rFonts w:ascii="PL Times New Roman" w:hAnsi="PL Times New Roman"/>
          <w:b/>
          <w:snapToGrid w:val="0"/>
          <w:sz w:val="26"/>
          <w:szCs w:val="26"/>
        </w:rPr>
        <w:t xml:space="preserve">. </w:t>
      </w:r>
      <w:r w:rsidRPr="008B3BC0">
        <w:rPr>
          <w:rFonts w:ascii="PL Times New Roman" w:hAnsi="PL Times New Roman"/>
          <w:b/>
          <w:snapToGrid w:val="0"/>
          <w:sz w:val="26"/>
          <w:szCs w:val="26"/>
        </w:rPr>
        <w:tab/>
        <w:t>NAWIERZCHNIA Z BETONU ASFALTOWEGO. WARSTWA ŚCIERALNA WG PN-EN</w:t>
      </w:r>
      <w:bookmarkEnd w:id="43"/>
      <w:bookmarkEnd w:id="44"/>
      <w:bookmarkEnd w:id="45"/>
    </w:p>
    <w:p w:rsidR="00C26502" w:rsidRPr="008B3BC0" w:rsidRDefault="00C26502" w:rsidP="00C26502">
      <w:pPr>
        <w:widowControl w:val="0"/>
        <w:suppressAutoHyphens/>
        <w:spacing w:before="120" w:after="120"/>
        <w:ind w:right="6878"/>
        <w:jc w:val="both"/>
        <w:rPr>
          <w:b/>
          <w:u w:val="single"/>
          <w:lang w:eastAsia="ar-SA"/>
        </w:rPr>
      </w:pPr>
      <w:r w:rsidRPr="008B3BC0">
        <w:rPr>
          <w:b/>
          <w:u w:val="single"/>
          <w:lang w:eastAsia="ar-SA"/>
        </w:rPr>
        <w:t xml:space="preserve">l. WSTĘP </w:t>
      </w:r>
    </w:p>
    <w:p w:rsidR="00C26502" w:rsidRPr="008B3BC0" w:rsidRDefault="00C26502" w:rsidP="00C26502">
      <w:pPr>
        <w:widowControl w:val="0"/>
        <w:numPr>
          <w:ilvl w:val="1"/>
          <w:numId w:val="0"/>
        </w:numPr>
        <w:tabs>
          <w:tab w:val="num" w:pos="1080"/>
        </w:tabs>
        <w:suppressAutoHyphens/>
        <w:jc w:val="both"/>
        <w:outlineLvl w:val="1"/>
        <w:rPr>
          <w:lang w:eastAsia="ar-SA"/>
        </w:rPr>
      </w:pPr>
      <w:r w:rsidRPr="008B3BC0">
        <w:rPr>
          <w:lang w:eastAsia="ar-SA"/>
        </w:rPr>
        <w:t>1.1. Przedmiot ST</w:t>
      </w:r>
    </w:p>
    <w:p w:rsidR="00C26502" w:rsidRPr="008B3BC0" w:rsidRDefault="00C26502" w:rsidP="00C26502">
      <w:pPr>
        <w:suppressAutoHyphens/>
        <w:jc w:val="both"/>
        <w:rPr>
          <w:b/>
          <w:bCs/>
          <w:lang w:eastAsia="ar-SA"/>
        </w:rPr>
      </w:pPr>
      <w:r w:rsidRPr="008B3BC0">
        <w:rPr>
          <w:lang w:eastAsia="ar-SA"/>
        </w:rPr>
        <w:t>Przedmiotem niniejszej Specyfikacji Technicznej są wymagania dotyczące wykonania i odbioru robót związanych z wykonaniem warstwy ścieralnej z betonu asfaltowego</w:t>
      </w:r>
      <w:r>
        <w:rPr>
          <w:lang w:eastAsia="ar-SA"/>
        </w:rPr>
        <w:t xml:space="preserve"> AC11S gr. 5 cm 50/70</w:t>
      </w:r>
      <w:r w:rsidRPr="008B3BC0">
        <w:rPr>
          <w:lang w:eastAsia="ar-SA"/>
        </w:rPr>
        <w:t xml:space="preserve"> w ramach </w:t>
      </w:r>
      <w:r w:rsidRPr="008B3BC0">
        <w:rPr>
          <w:bCs/>
          <w:lang w:eastAsia="ar-SA"/>
        </w:rPr>
        <w:t>projektu</w:t>
      </w:r>
      <w:r>
        <w:rPr>
          <w:bCs/>
          <w:lang w:eastAsia="ar-SA"/>
        </w:rPr>
        <w:t>:</w:t>
      </w:r>
      <w:r w:rsidRPr="008B3BC0">
        <w:rPr>
          <w:bCs/>
          <w:lang w:eastAsia="ar-SA"/>
        </w:rPr>
        <w:t xml:space="preserve"> </w:t>
      </w:r>
      <w:r>
        <w:rPr>
          <w:bCs/>
        </w:rPr>
        <w:t>"Remont przepustu nad rzeką Postomia w ciągu drogi nr 445/k.2922 m. Wędrzyn</w:t>
      </w:r>
    </w:p>
    <w:p w:rsidR="00C26502" w:rsidRPr="008B3BC0" w:rsidRDefault="00C26502" w:rsidP="00C26502">
      <w:pPr>
        <w:suppressAutoHyphens/>
        <w:jc w:val="both"/>
        <w:rPr>
          <w:b/>
          <w:bCs/>
          <w:lang w:eastAsia="ar-SA"/>
        </w:rPr>
      </w:pPr>
      <w:r w:rsidRPr="008B3BC0">
        <w:rPr>
          <w:b/>
          <w:bCs/>
          <w:lang w:eastAsia="ar-SA"/>
        </w:rPr>
        <w:t>1.2. Zakres stosowania ST</w:t>
      </w:r>
    </w:p>
    <w:p w:rsidR="00C26502" w:rsidRPr="008B3BC0" w:rsidRDefault="00C26502" w:rsidP="00C26502">
      <w:pPr>
        <w:widowControl w:val="0"/>
        <w:suppressAutoHyphens/>
        <w:ind w:right="-3"/>
        <w:jc w:val="both"/>
        <w:rPr>
          <w:lang w:eastAsia="ar-SA"/>
        </w:rPr>
      </w:pPr>
      <w:r w:rsidRPr="008B3BC0">
        <w:rPr>
          <w:lang w:eastAsia="ar-SA"/>
        </w:rPr>
        <w:t>Specyfikacja Techniczna jest stosowana jako dokument przetargowy i kontraktowy przy zlecaniu i realizacji robót wymienionych w punkcie 1.1.</w:t>
      </w:r>
    </w:p>
    <w:p w:rsidR="00C26502" w:rsidRPr="008B3BC0" w:rsidRDefault="00C26502" w:rsidP="00C26502">
      <w:pPr>
        <w:suppressAutoHyphens/>
        <w:jc w:val="both"/>
        <w:rPr>
          <w:b/>
          <w:lang w:eastAsia="ar-SA"/>
        </w:rPr>
      </w:pPr>
      <w:r w:rsidRPr="008B3BC0">
        <w:rPr>
          <w:b/>
          <w:lang w:eastAsia="ar-SA"/>
        </w:rPr>
        <w:t>1.3. Zakres robót objętych ST</w:t>
      </w:r>
    </w:p>
    <w:p w:rsidR="00C26502" w:rsidRPr="008B3BC0" w:rsidRDefault="00C26502" w:rsidP="00C26502">
      <w:pPr>
        <w:suppressAutoHyphens/>
        <w:jc w:val="both"/>
        <w:rPr>
          <w:lang w:eastAsia="ar-SA"/>
        </w:rPr>
      </w:pPr>
      <w:r w:rsidRPr="008B3BC0">
        <w:rPr>
          <w:lang w:eastAsia="ar-SA"/>
        </w:rPr>
        <w:tab/>
        <w:t xml:space="preserve">Ustalenia zawarte w niniejszej specyfikacji dotyczą zasad prowadzenia robót związanych z wykonaniem i odbiorem warstwy ścieralnej z betonu asfaltowego wg PN-EN 13108-1 [47] i WT-2 Nawierzchnie asfaltowe 2010 z mieszanki mineralno-asfaltowej dostarczonej od producenta i obejmuje: </w:t>
      </w:r>
    </w:p>
    <w:p w:rsidR="00C26502" w:rsidRPr="008B3BC0" w:rsidRDefault="00C26502" w:rsidP="0097494B">
      <w:pPr>
        <w:numPr>
          <w:ilvl w:val="0"/>
          <w:numId w:val="82"/>
        </w:numPr>
        <w:suppressAutoHyphens/>
        <w:jc w:val="both"/>
        <w:rPr>
          <w:lang w:eastAsia="ar-SA"/>
        </w:rPr>
      </w:pPr>
      <w:r w:rsidRPr="008B3BC0">
        <w:t xml:space="preserve">Wykonanie warstwy ścieralnej z AC 11 o gr. </w:t>
      </w:r>
      <w:r>
        <w:t>5</w:t>
      </w:r>
      <w:r w:rsidRPr="008B3BC0">
        <w:t xml:space="preserve"> cm </w:t>
      </w:r>
      <w:r w:rsidRPr="008B3BC0">
        <w:rPr>
          <w:lang w:eastAsia="ar-SA"/>
        </w:rPr>
        <w:t xml:space="preserve">W przypadku produkcji mieszanki mineralno-asfaltowej przez Wykonawcę dla potrzeb budowy, Wykonawca zobowiązany jest prowadzić Zakładową kontrolę produkcji (ZKP) zgodnie z WT-2 </w:t>
      </w:r>
    </w:p>
    <w:p w:rsidR="00C26502" w:rsidRPr="008B3BC0" w:rsidRDefault="00C26502" w:rsidP="00C26502">
      <w:pPr>
        <w:suppressAutoHyphens/>
        <w:jc w:val="both"/>
        <w:rPr>
          <w:lang w:eastAsia="ar-SA"/>
        </w:rPr>
      </w:pPr>
      <w:r w:rsidRPr="008B3BC0">
        <w:rPr>
          <w:lang w:eastAsia="ar-SA"/>
        </w:rPr>
        <w:tab/>
        <w:t>Warstwę ścieralną z betonu asfaltowego można wykonywać dla dróg kategorii ruchu od KR1 do KR</w:t>
      </w:r>
      <w:r>
        <w:rPr>
          <w:lang w:eastAsia="ar-SA"/>
        </w:rPr>
        <w:t>4</w:t>
      </w:r>
      <w:r w:rsidRPr="008B3BC0">
        <w:rPr>
          <w:lang w:eastAsia="ar-SA"/>
        </w:rPr>
        <w:t xml:space="preserve"> (określenie kategorii ruchu podano w punkcie 1.4.7). Stosowane mieszanki  betonu asfaltowego o wymiarze D podano w tablicy 1.</w:t>
      </w:r>
    </w:p>
    <w:p w:rsidR="00C26502" w:rsidRPr="008B3BC0" w:rsidRDefault="00C26502" w:rsidP="00C26502">
      <w:pPr>
        <w:suppressAutoHyphens/>
        <w:spacing w:before="60" w:after="60"/>
        <w:jc w:val="center"/>
        <w:rPr>
          <w:lang w:eastAsia="ar-SA"/>
        </w:rPr>
      </w:pPr>
      <w:r w:rsidRPr="008B3BC0">
        <w:rPr>
          <w:lang w:eastAsia="ar-SA"/>
        </w:rPr>
        <w:t>Tablica 1. Stosowane mieszanki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6"/>
        <w:gridCol w:w="6132"/>
      </w:tblGrid>
      <w:tr w:rsidR="00C26502" w:rsidRPr="008B3BC0" w:rsidTr="00C26502">
        <w:trPr>
          <w:trHeight w:val="590"/>
          <w:jc w:val="center"/>
        </w:trPr>
        <w:tc>
          <w:tcPr>
            <w:tcW w:w="1276" w:type="dxa"/>
            <w:vAlign w:val="center"/>
          </w:tcPr>
          <w:p w:rsidR="00C26502" w:rsidRPr="008B3BC0" w:rsidRDefault="00C26502" w:rsidP="00C26502">
            <w:pPr>
              <w:suppressAutoHyphens/>
              <w:jc w:val="center"/>
              <w:rPr>
                <w:lang w:eastAsia="ar-SA"/>
              </w:rPr>
            </w:pPr>
            <w:r w:rsidRPr="008B3BC0">
              <w:rPr>
                <w:lang w:eastAsia="ar-SA"/>
              </w:rPr>
              <w:t>Kategoria</w:t>
            </w:r>
          </w:p>
          <w:p w:rsidR="00C26502" w:rsidRPr="008B3BC0" w:rsidRDefault="00C26502" w:rsidP="00C26502">
            <w:pPr>
              <w:suppressAutoHyphens/>
              <w:jc w:val="center"/>
              <w:rPr>
                <w:lang w:eastAsia="ar-SA"/>
              </w:rPr>
            </w:pPr>
            <w:r w:rsidRPr="008B3BC0">
              <w:rPr>
                <w:lang w:eastAsia="ar-SA"/>
              </w:rPr>
              <w:t>ruchu</w:t>
            </w:r>
          </w:p>
        </w:tc>
        <w:tc>
          <w:tcPr>
            <w:tcW w:w="6132" w:type="dxa"/>
            <w:vAlign w:val="center"/>
          </w:tcPr>
          <w:p w:rsidR="00C26502" w:rsidRPr="008B3BC0" w:rsidRDefault="00C26502" w:rsidP="00C26502">
            <w:pPr>
              <w:suppressAutoHyphens/>
              <w:jc w:val="center"/>
              <w:rPr>
                <w:lang w:eastAsia="ar-SA"/>
              </w:rPr>
            </w:pPr>
            <w:r w:rsidRPr="008B3BC0">
              <w:rPr>
                <w:lang w:eastAsia="ar-SA"/>
              </w:rPr>
              <w:t>Mieszanki  o wymiarze D</w:t>
            </w:r>
            <w:r w:rsidRPr="008B3BC0">
              <w:rPr>
                <w:vertAlign w:val="superscript"/>
                <w:lang w:eastAsia="ar-SA"/>
              </w:rPr>
              <w:t>1)</w:t>
            </w:r>
            <w:r w:rsidRPr="008B3BC0">
              <w:rPr>
                <w:lang w:eastAsia="ar-SA"/>
              </w:rPr>
              <w:t>,  mm</w:t>
            </w:r>
          </w:p>
        </w:tc>
      </w:tr>
      <w:tr w:rsidR="00C26502" w:rsidRPr="008B3BC0" w:rsidTr="00C26502">
        <w:trPr>
          <w:jc w:val="center"/>
        </w:trPr>
        <w:tc>
          <w:tcPr>
            <w:tcW w:w="1276" w:type="dxa"/>
          </w:tcPr>
          <w:p w:rsidR="00C26502" w:rsidRPr="008B3BC0" w:rsidRDefault="00C26502" w:rsidP="00C26502">
            <w:pPr>
              <w:suppressAutoHyphens/>
              <w:spacing w:before="60" w:after="60"/>
              <w:jc w:val="center"/>
              <w:rPr>
                <w:lang w:eastAsia="ar-SA"/>
              </w:rPr>
            </w:pPr>
            <w:r w:rsidRPr="008B3BC0">
              <w:rPr>
                <w:lang w:eastAsia="ar-SA"/>
              </w:rPr>
              <w:t>KR 1-</w:t>
            </w:r>
            <w:r>
              <w:rPr>
                <w:lang w:eastAsia="ar-SA"/>
              </w:rPr>
              <w:t>4</w:t>
            </w:r>
          </w:p>
        </w:tc>
        <w:tc>
          <w:tcPr>
            <w:tcW w:w="6132" w:type="dxa"/>
          </w:tcPr>
          <w:p w:rsidR="00C26502" w:rsidRPr="008B3BC0" w:rsidRDefault="00C26502" w:rsidP="00C26502">
            <w:pPr>
              <w:suppressAutoHyphens/>
              <w:spacing w:before="60" w:after="60"/>
              <w:jc w:val="center"/>
              <w:rPr>
                <w:lang w:val="en-US" w:eastAsia="ar-SA"/>
              </w:rPr>
            </w:pPr>
            <w:r w:rsidRPr="008B3BC0">
              <w:rPr>
                <w:lang w:val="en-US" w:eastAsia="ar-SA"/>
              </w:rPr>
              <w:t>AC11S</w:t>
            </w:r>
          </w:p>
        </w:tc>
      </w:tr>
    </w:tbl>
    <w:p w:rsidR="00C26502" w:rsidRPr="008B3BC0" w:rsidRDefault="00C26502" w:rsidP="00C26502">
      <w:pPr>
        <w:suppressAutoHyphens/>
        <w:spacing w:before="120"/>
        <w:rPr>
          <w:lang w:eastAsia="ar-SA"/>
        </w:rPr>
      </w:pPr>
      <w:r w:rsidRPr="008B3BC0">
        <w:rPr>
          <w:vertAlign w:val="superscript"/>
          <w:lang w:eastAsia="ar-SA"/>
        </w:rPr>
        <w:t xml:space="preserve">1) </w:t>
      </w:r>
      <w:r w:rsidRPr="008B3BC0">
        <w:rPr>
          <w:lang w:eastAsia="ar-SA"/>
        </w:rPr>
        <w:t>Podział ze względu na wymiar największego kruszywa w mieszance.</w:t>
      </w:r>
    </w:p>
    <w:p w:rsidR="00C26502" w:rsidRPr="008B3BC0" w:rsidRDefault="00C26502" w:rsidP="00C26502">
      <w:pPr>
        <w:suppressAutoHyphens/>
        <w:jc w:val="both"/>
        <w:rPr>
          <w:b/>
          <w:lang w:eastAsia="ar-SA"/>
        </w:rPr>
      </w:pPr>
      <w:r w:rsidRPr="008B3BC0">
        <w:rPr>
          <w:b/>
          <w:lang w:eastAsia="ar-SA"/>
        </w:rPr>
        <w:t>1.4. Określenia podstawowe</w:t>
      </w:r>
    </w:p>
    <w:p w:rsidR="00C26502" w:rsidRPr="008B3BC0" w:rsidRDefault="00C26502" w:rsidP="00C26502">
      <w:pPr>
        <w:suppressAutoHyphens/>
        <w:jc w:val="both"/>
        <w:rPr>
          <w:lang w:eastAsia="ar-SA"/>
        </w:rPr>
      </w:pPr>
      <w:r w:rsidRPr="008B3BC0">
        <w:rPr>
          <w:b/>
          <w:lang w:eastAsia="ar-SA"/>
        </w:rPr>
        <w:t xml:space="preserve">1.4.1. </w:t>
      </w:r>
      <w:r w:rsidRPr="008B3BC0">
        <w:rPr>
          <w:lang w:eastAsia="ar-SA"/>
        </w:rPr>
        <w:t>Nawierzchnia – konstrukcja składająca się z jednej lub kilku warstw służących do przejmowania i rozkładania obciążeń od ruchu pojazdów na podłoże.</w:t>
      </w:r>
    </w:p>
    <w:p w:rsidR="00C26502" w:rsidRPr="008B3BC0" w:rsidRDefault="00C26502" w:rsidP="00C26502">
      <w:pPr>
        <w:suppressAutoHyphens/>
        <w:jc w:val="both"/>
        <w:rPr>
          <w:lang w:eastAsia="ar-SA"/>
        </w:rPr>
      </w:pPr>
      <w:r w:rsidRPr="008B3BC0">
        <w:rPr>
          <w:b/>
          <w:lang w:eastAsia="ar-SA"/>
        </w:rPr>
        <w:t xml:space="preserve">1.4.2. </w:t>
      </w:r>
      <w:r w:rsidRPr="008B3BC0">
        <w:rPr>
          <w:lang w:eastAsia="ar-SA"/>
        </w:rPr>
        <w:t>Warstwa ścieralna – górna warstwa nawierzchni będąca w bezpośrednim kontakcie z kołami pojazdów.</w:t>
      </w:r>
    </w:p>
    <w:p w:rsidR="00C26502" w:rsidRPr="008B3BC0" w:rsidRDefault="00C26502" w:rsidP="00C26502">
      <w:pPr>
        <w:suppressAutoHyphens/>
        <w:jc w:val="both"/>
        <w:rPr>
          <w:lang w:eastAsia="ar-SA"/>
        </w:rPr>
      </w:pPr>
      <w:r w:rsidRPr="008B3BC0">
        <w:rPr>
          <w:b/>
          <w:lang w:eastAsia="ar-SA"/>
        </w:rPr>
        <w:t xml:space="preserve">1.4.3. </w:t>
      </w:r>
      <w:r w:rsidRPr="008B3BC0">
        <w:rPr>
          <w:lang w:eastAsia="ar-SA"/>
        </w:rPr>
        <w:t>Mieszanka mineralno-asfaltowa – mieszanka kruszyw i lepiszcza asfaltowego.</w:t>
      </w:r>
    </w:p>
    <w:p w:rsidR="00C26502" w:rsidRPr="008B3BC0" w:rsidRDefault="00C26502" w:rsidP="00C26502">
      <w:pPr>
        <w:suppressAutoHyphens/>
        <w:jc w:val="both"/>
        <w:rPr>
          <w:lang w:eastAsia="ar-SA"/>
        </w:rPr>
      </w:pPr>
      <w:r w:rsidRPr="008B3BC0">
        <w:rPr>
          <w:b/>
          <w:lang w:eastAsia="ar-SA"/>
        </w:rPr>
        <w:t xml:space="preserve">1.4.4. </w:t>
      </w:r>
      <w:r w:rsidRPr="008B3BC0">
        <w:rPr>
          <w:lang w:eastAsia="ar-SA"/>
        </w:rPr>
        <w:t>Wymiar mieszanki mineralno-asfaltowej – określenie mieszanki mineralno-asfaltowej, wyróżniające tę mieszankę ze zbioru mieszanek tego samego typu ze względu na największy wymiar kruszywa, np. wymiar 8 lub 11.</w:t>
      </w:r>
    </w:p>
    <w:p w:rsidR="00C26502" w:rsidRPr="008B3BC0" w:rsidRDefault="00C26502" w:rsidP="00C26502">
      <w:pPr>
        <w:suppressAutoHyphens/>
        <w:jc w:val="both"/>
        <w:rPr>
          <w:lang w:eastAsia="ar-SA"/>
        </w:rPr>
      </w:pPr>
      <w:r w:rsidRPr="008B3BC0">
        <w:rPr>
          <w:b/>
          <w:lang w:eastAsia="ar-SA"/>
        </w:rPr>
        <w:t xml:space="preserve">1.4.5. </w:t>
      </w:r>
      <w:r w:rsidRPr="008B3BC0">
        <w:rPr>
          <w:lang w:eastAsia="ar-SA"/>
        </w:rPr>
        <w:t>Beton asfaltowy – mieszanka mineralno-asfaltowa, w której kruszywo o uziarnieniu ciągłym lub nieciągłym tworzy strukturę wzajemnie klinującą się.</w:t>
      </w:r>
    </w:p>
    <w:p w:rsidR="00C26502" w:rsidRPr="008B3BC0" w:rsidRDefault="00C26502" w:rsidP="00C26502">
      <w:pPr>
        <w:suppressAutoHyphens/>
        <w:jc w:val="both"/>
        <w:rPr>
          <w:lang w:eastAsia="ar-SA"/>
        </w:rPr>
      </w:pPr>
      <w:r w:rsidRPr="008B3BC0">
        <w:rPr>
          <w:b/>
          <w:lang w:eastAsia="ar-SA"/>
        </w:rPr>
        <w:t xml:space="preserve">1.4.6. </w:t>
      </w:r>
      <w:r w:rsidRPr="008B3BC0">
        <w:rPr>
          <w:lang w:eastAsia="ar-SA"/>
        </w:rPr>
        <w:t>Uziarnienie – skład ziarnowy kruszywa, wyrażony w procentach masy ziaren przechodzących przez określony zestaw sit.</w:t>
      </w:r>
    </w:p>
    <w:p w:rsidR="00C26502" w:rsidRPr="008B3BC0" w:rsidRDefault="00C26502" w:rsidP="00C26502">
      <w:pPr>
        <w:suppressAutoHyphens/>
        <w:jc w:val="both"/>
        <w:rPr>
          <w:lang w:eastAsia="ar-SA"/>
        </w:rPr>
      </w:pPr>
      <w:r w:rsidRPr="008B3BC0">
        <w:rPr>
          <w:b/>
          <w:lang w:eastAsia="ar-SA"/>
        </w:rPr>
        <w:t xml:space="preserve">1.4.7. </w:t>
      </w:r>
      <w:r w:rsidRPr="008B3BC0">
        <w:rPr>
          <w:lang w:eastAsia="ar-SA"/>
        </w:rPr>
        <w:t>Kategoria ruchu – obciążenie drogi ruchem samochodowym, wyrażone w osiach obliczeniowych (100 kN) wg „Katalogu typowych konstrukcji nawierzchni podatnych i półsztywnych” GDDP-IBDiM [68].</w:t>
      </w:r>
    </w:p>
    <w:p w:rsidR="00C26502" w:rsidRPr="008B3BC0" w:rsidRDefault="00C26502" w:rsidP="00C26502">
      <w:pPr>
        <w:suppressAutoHyphens/>
        <w:jc w:val="both"/>
        <w:rPr>
          <w:lang w:eastAsia="ar-SA"/>
        </w:rPr>
      </w:pPr>
      <w:r w:rsidRPr="008B3BC0">
        <w:rPr>
          <w:b/>
          <w:lang w:eastAsia="ar-SA"/>
        </w:rPr>
        <w:t xml:space="preserve">1.4.8. </w:t>
      </w:r>
      <w:r w:rsidRPr="008B3BC0">
        <w:rPr>
          <w:lang w:eastAsia="ar-SA"/>
        </w:rPr>
        <w:t>Wymiar kruszywa – wielkość ziaren kruszywa, określona przez dolny (d) i górny (D) wymiar sita.</w:t>
      </w:r>
    </w:p>
    <w:p w:rsidR="00C26502" w:rsidRPr="008B3BC0" w:rsidRDefault="00C26502" w:rsidP="00C26502">
      <w:pPr>
        <w:suppressAutoHyphens/>
        <w:jc w:val="both"/>
        <w:rPr>
          <w:lang w:eastAsia="ar-SA"/>
        </w:rPr>
      </w:pPr>
      <w:r w:rsidRPr="008B3BC0">
        <w:rPr>
          <w:b/>
          <w:lang w:eastAsia="ar-SA"/>
        </w:rPr>
        <w:t xml:space="preserve">1.4.9. </w:t>
      </w:r>
      <w:r w:rsidRPr="008B3BC0">
        <w:rPr>
          <w:lang w:eastAsia="ar-SA"/>
        </w:rPr>
        <w:t xml:space="preserve">Kruszywo grube – kruszywo z ziaren o wymiarze: D ≤ </w:t>
      </w:r>
      <w:smartTag w:uri="urn:schemas-microsoft-com:office:smarttags" w:element="metricconverter">
        <w:smartTagPr>
          <w:attr w:name="ProductID" w:val="45 mm"/>
        </w:smartTagPr>
        <w:r w:rsidRPr="008B3BC0">
          <w:rPr>
            <w:lang w:eastAsia="ar-SA"/>
          </w:rPr>
          <w:t>45 mm</w:t>
        </w:r>
      </w:smartTag>
      <w:r w:rsidRPr="008B3BC0">
        <w:rPr>
          <w:lang w:eastAsia="ar-SA"/>
        </w:rPr>
        <w:t xml:space="preserve"> oraz d &gt;</w:t>
      </w:r>
      <w:smartTag w:uri="urn:schemas-microsoft-com:office:smarttags" w:element="metricconverter">
        <w:smartTagPr>
          <w:attr w:name="ProductID" w:val="2 mm"/>
        </w:smartTagPr>
        <w:r w:rsidRPr="008B3BC0">
          <w:rPr>
            <w:lang w:eastAsia="ar-SA"/>
          </w:rPr>
          <w:t>2 mm</w:t>
        </w:r>
      </w:smartTag>
      <w:r w:rsidRPr="008B3BC0">
        <w:rPr>
          <w:lang w:eastAsia="ar-SA"/>
        </w:rPr>
        <w:t>.</w:t>
      </w:r>
    </w:p>
    <w:p w:rsidR="00C26502" w:rsidRPr="008B3BC0" w:rsidRDefault="00C26502" w:rsidP="00C26502">
      <w:pPr>
        <w:suppressAutoHyphens/>
        <w:jc w:val="both"/>
        <w:rPr>
          <w:lang w:eastAsia="ar-SA"/>
        </w:rPr>
      </w:pPr>
      <w:r w:rsidRPr="008B3BC0">
        <w:rPr>
          <w:b/>
          <w:lang w:eastAsia="ar-SA"/>
        </w:rPr>
        <w:t xml:space="preserve">1.4.10. </w:t>
      </w:r>
      <w:r w:rsidRPr="008B3BC0">
        <w:rPr>
          <w:lang w:eastAsia="ar-SA"/>
        </w:rPr>
        <w:t xml:space="preserve">Kruszywo drobne – kruszywo z ziaren o wymiarze: D ≤ </w:t>
      </w:r>
      <w:smartTag w:uri="urn:schemas-microsoft-com:office:smarttags" w:element="metricconverter">
        <w:smartTagPr>
          <w:attr w:name="ProductID" w:val="2 mm"/>
        </w:smartTagPr>
        <w:r w:rsidRPr="008B3BC0">
          <w:rPr>
            <w:lang w:eastAsia="ar-SA"/>
          </w:rPr>
          <w:t>2 mm</w:t>
        </w:r>
      </w:smartTag>
      <w:r w:rsidRPr="008B3BC0">
        <w:rPr>
          <w:lang w:eastAsia="ar-SA"/>
        </w:rPr>
        <w:t xml:space="preserve">, którego większa część pozostaje na sicie </w:t>
      </w:r>
      <w:smartTag w:uri="urn:schemas-microsoft-com:office:smarttags" w:element="metricconverter">
        <w:smartTagPr>
          <w:attr w:name="ProductID" w:val="0,063 mm"/>
        </w:smartTagPr>
        <w:r w:rsidRPr="008B3BC0">
          <w:rPr>
            <w:lang w:eastAsia="ar-SA"/>
          </w:rPr>
          <w:t>0,063 mm</w:t>
        </w:r>
      </w:smartTag>
      <w:r w:rsidRPr="008B3BC0">
        <w:rPr>
          <w:lang w:eastAsia="ar-SA"/>
        </w:rPr>
        <w:t>.</w:t>
      </w:r>
    </w:p>
    <w:p w:rsidR="00C26502" w:rsidRPr="008B3BC0" w:rsidRDefault="00C26502" w:rsidP="00C26502">
      <w:pPr>
        <w:suppressAutoHyphens/>
        <w:jc w:val="both"/>
        <w:rPr>
          <w:lang w:eastAsia="ar-SA"/>
        </w:rPr>
      </w:pPr>
      <w:r w:rsidRPr="008B3BC0">
        <w:rPr>
          <w:b/>
          <w:lang w:eastAsia="ar-SA"/>
        </w:rPr>
        <w:t xml:space="preserve">1.4.11. </w:t>
      </w:r>
      <w:r w:rsidRPr="008B3BC0">
        <w:rPr>
          <w:lang w:eastAsia="ar-SA"/>
        </w:rPr>
        <w:t xml:space="preserve">Pył – kruszywo z ziaren przechodzących przez sito </w:t>
      </w:r>
      <w:smartTag w:uri="urn:schemas-microsoft-com:office:smarttags" w:element="metricconverter">
        <w:smartTagPr>
          <w:attr w:name="ProductID" w:val="0,063 mm"/>
        </w:smartTagPr>
        <w:r w:rsidRPr="008B3BC0">
          <w:rPr>
            <w:lang w:eastAsia="ar-SA"/>
          </w:rPr>
          <w:t>0,063 mm</w:t>
        </w:r>
      </w:smartTag>
      <w:r w:rsidRPr="008B3BC0">
        <w:rPr>
          <w:lang w:eastAsia="ar-SA"/>
        </w:rPr>
        <w:t>.</w:t>
      </w:r>
    </w:p>
    <w:p w:rsidR="00C26502" w:rsidRPr="008B3BC0" w:rsidRDefault="00C26502" w:rsidP="00C26502">
      <w:pPr>
        <w:suppressAutoHyphens/>
        <w:jc w:val="both"/>
        <w:rPr>
          <w:lang w:eastAsia="ar-SA"/>
        </w:rPr>
      </w:pPr>
      <w:r w:rsidRPr="008B3BC0">
        <w:rPr>
          <w:b/>
          <w:lang w:eastAsia="ar-SA"/>
        </w:rPr>
        <w:t xml:space="preserve">1.4.12. </w:t>
      </w:r>
      <w:r w:rsidRPr="008B3BC0">
        <w:rPr>
          <w:lang w:eastAsia="ar-SA"/>
        </w:rPr>
        <w:t xml:space="preserve">Wypełniacz – kruszywo, którego większa część przechodzi przez sito </w:t>
      </w:r>
      <w:smartTag w:uri="urn:schemas-microsoft-com:office:smarttags" w:element="metricconverter">
        <w:smartTagPr>
          <w:attr w:name="ProductID" w:val="0,063 mm"/>
        </w:smartTagPr>
        <w:r w:rsidRPr="008B3BC0">
          <w:rPr>
            <w:lang w:eastAsia="ar-SA"/>
          </w:rPr>
          <w:t>0,063 mm</w:t>
        </w:r>
      </w:smartTag>
      <w:r w:rsidRPr="008B3BC0">
        <w:rPr>
          <w:lang w:eastAsia="ar-SA"/>
        </w:rPr>
        <w:t>. (Wypełniacz mieszany – kruszywo, które składa się z wypełniacza pochodzenia mineralnego i wodorotlenku wapnia. Wypełniacz dodany – wypełniacz pochodzenia mineralnego, wyprodukowany oddzielnie).</w:t>
      </w:r>
    </w:p>
    <w:p w:rsidR="00C26502" w:rsidRPr="008B3BC0" w:rsidRDefault="00C26502" w:rsidP="00C26502">
      <w:pPr>
        <w:suppressAutoHyphens/>
        <w:jc w:val="both"/>
        <w:rPr>
          <w:lang w:eastAsia="ar-SA"/>
        </w:rPr>
      </w:pPr>
      <w:r w:rsidRPr="008B3BC0">
        <w:rPr>
          <w:b/>
          <w:lang w:eastAsia="ar-SA"/>
        </w:rPr>
        <w:t xml:space="preserve">1.4.13. </w:t>
      </w:r>
      <w:r w:rsidRPr="008B3BC0">
        <w:rPr>
          <w:lang w:eastAsia="ar-SA"/>
        </w:rPr>
        <w:t>Kationowa emulsja asfaltowa – emulsja, w której emulgator nadaje dodatnie ładunki cząstkom zdyspergowanego asfaltu.</w:t>
      </w:r>
    </w:p>
    <w:p w:rsidR="00C26502" w:rsidRPr="008B3BC0" w:rsidRDefault="00C26502" w:rsidP="00C26502">
      <w:pPr>
        <w:suppressAutoHyphens/>
        <w:jc w:val="both"/>
        <w:rPr>
          <w:lang w:eastAsia="ar-SA"/>
        </w:rPr>
      </w:pPr>
      <w:r w:rsidRPr="008B3BC0">
        <w:rPr>
          <w:b/>
          <w:lang w:eastAsia="ar-SA"/>
        </w:rPr>
        <w:t xml:space="preserve">1.4.14. </w:t>
      </w:r>
      <w:r w:rsidRPr="008B3BC0">
        <w:rPr>
          <w:lang w:eastAsia="ar-SA"/>
        </w:rPr>
        <w:t>Pozostałe określenia podstawowe są zgodne z obowiązującymi, odpowiednimi polskimi normami i z definicjami podanymi w ST D-M-00.00.00 „Wymagania ogólne” pkt 1.4.</w:t>
      </w:r>
    </w:p>
    <w:p w:rsidR="00C26502" w:rsidRPr="008B3BC0" w:rsidRDefault="00C26502" w:rsidP="00C26502">
      <w:pPr>
        <w:suppressAutoHyphens/>
        <w:rPr>
          <w:lang w:eastAsia="ar-SA"/>
        </w:rPr>
      </w:pPr>
    </w:p>
    <w:p w:rsidR="00C26502" w:rsidRPr="008B3BC0" w:rsidRDefault="00C26502" w:rsidP="00C26502">
      <w:pPr>
        <w:suppressAutoHyphens/>
        <w:rPr>
          <w:lang w:eastAsia="ar-SA"/>
        </w:rPr>
      </w:pPr>
    </w:p>
    <w:p w:rsidR="00C26502" w:rsidRPr="008B3BC0" w:rsidRDefault="00C26502" w:rsidP="00C26502">
      <w:pPr>
        <w:suppressAutoHyphens/>
        <w:rPr>
          <w:lang w:eastAsia="ar-SA"/>
        </w:rPr>
      </w:pPr>
    </w:p>
    <w:p w:rsidR="00C26502" w:rsidRPr="008B3BC0" w:rsidRDefault="00C26502" w:rsidP="00C26502">
      <w:pPr>
        <w:suppressAutoHyphens/>
        <w:rPr>
          <w:lang w:eastAsia="ar-SA"/>
        </w:rPr>
      </w:pPr>
      <w:r w:rsidRPr="008B3BC0">
        <w:rPr>
          <w:b/>
          <w:lang w:eastAsia="ar-SA"/>
        </w:rPr>
        <w:t xml:space="preserve">1.4.15. </w:t>
      </w:r>
      <w:r w:rsidRPr="008B3BC0">
        <w:rPr>
          <w:lang w:eastAsia="ar-SA"/>
        </w:rPr>
        <w:t>Symbole i skróty dodatkowe</w:t>
      </w:r>
    </w:p>
    <w:tbl>
      <w:tblPr>
        <w:tblW w:w="0" w:type="auto"/>
        <w:jc w:val="center"/>
        <w:tblLook w:val="04A0" w:firstRow="1" w:lastRow="0" w:firstColumn="1" w:lastColumn="0" w:noHBand="0" w:noVBand="1"/>
      </w:tblPr>
      <w:tblGrid>
        <w:gridCol w:w="675"/>
        <w:gridCol w:w="6912"/>
      </w:tblGrid>
      <w:tr w:rsidR="00C26502" w:rsidRPr="008B3BC0" w:rsidTr="00C26502">
        <w:trPr>
          <w:jc w:val="center"/>
        </w:trPr>
        <w:tc>
          <w:tcPr>
            <w:tcW w:w="675" w:type="dxa"/>
          </w:tcPr>
          <w:p w:rsidR="00C26502" w:rsidRPr="008B3BC0" w:rsidRDefault="00C26502" w:rsidP="00C26502">
            <w:pPr>
              <w:suppressAutoHyphens/>
              <w:jc w:val="both"/>
              <w:rPr>
                <w:lang w:eastAsia="ar-SA"/>
              </w:rPr>
            </w:pPr>
            <w:r w:rsidRPr="008B3BC0">
              <w:rPr>
                <w:lang w:eastAsia="ar-SA"/>
              </w:rPr>
              <w:t>ACS</w:t>
            </w:r>
          </w:p>
        </w:tc>
        <w:tc>
          <w:tcPr>
            <w:tcW w:w="6912" w:type="dxa"/>
          </w:tcPr>
          <w:p w:rsidR="00C26502" w:rsidRPr="008B3BC0" w:rsidRDefault="00C26502" w:rsidP="0097494B">
            <w:pPr>
              <w:numPr>
                <w:ilvl w:val="0"/>
                <w:numId w:val="79"/>
              </w:numPr>
              <w:suppressAutoHyphens/>
              <w:overflowPunct w:val="0"/>
              <w:autoSpaceDE w:val="0"/>
              <w:autoSpaceDN w:val="0"/>
              <w:adjustRightInd w:val="0"/>
              <w:ind w:left="318" w:hanging="219"/>
              <w:jc w:val="both"/>
              <w:textAlignment w:val="baseline"/>
              <w:rPr>
                <w:lang w:eastAsia="ar-SA"/>
              </w:rPr>
            </w:pPr>
            <w:r w:rsidRPr="008B3BC0">
              <w:rPr>
                <w:lang w:eastAsia="ar-SA"/>
              </w:rPr>
              <w:t>beton asfaltowy do warstwy ścieralnej</w:t>
            </w:r>
          </w:p>
        </w:tc>
      </w:tr>
      <w:tr w:rsidR="00C26502" w:rsidRPr="008B3BC0" w:rsidTr="00C26502">
        <w:trPr>
          <w:jc w:val="center"/>
        </w:trPr>
        <w:tc>
          <w:tcPr>
            <w:tcW w:w="675" w:type="dxa"/>
          </w:tcPr>
          <w:p w:rsidR="00C26502" w:rsidRPr="008B3BC0" w:rsidRDefault="00C26502" w:rsidP="00C26502">
            <w:pPr>
              <w:suppressAutoHyphens/>
              <w:jc w:val="both"/>
              <w:rPr>
                <w:lang w:eastAsia="ar-SA"/>
              </w:rPr>
            </w:pPr>
            <w:r w:rsidRPr="008B3BC0">
              <w:rPr>
                <w:lang w:eastAsia="ar-SA"/>
              </w:rPr>
              <w:t>PMB</w:t>
            </w:r>
          </w:p>
        </w:tc>
        <w:tc>
          <w:tcPr>
            <w:tcW w:w="6912" w:type="dxa"/>
          </w:tcPr>
          <w:p w:rsidR="00C26502" w:rsidRPr="008B3BC0" w:rsidRDefault="00C26502" w:rsidP="0097494B">
            <w:pPr>
              <w:numPr>
                <w:ilvl w:val="0"/>
                <w:numId w:val="80"/>
              </w:numPr>
              <w:suppressAutoHyphens/>
              <w:overflowPunct w:val="0"/>
              <w:autoSpaceDE w:val="0"/>
              <w:autoSpaceDN w:val="0"/>
              <w:adjustRightInd w:val="0"/>
              <w:ind w:left="318" w:hanging="219"/>
              <w:jc w:val="both"/>
              <w:textAlignment w:val="baseline"/>
              <w:rPr>
                <w:lang w:eastAsia="ar-SA"/>
              </w:rPr>
            </w:pPr>
            <w:r w:rsidRPr="008B3BC0">
              <w:rPr>
                <w:lang w:eastAsia="ar-SA"/>
              </w:rPr>
              <w:t>polimeroasfalt,</w:t>
            </w:r>
          </w:p>
        </w:tc>
      </w:tr>
      <w:tr w:rsidR="00C26502" w:rsidRPr="008B3BC0" w:rsidTr="00C26502">
        <w:trPr>
          <w:jc w:val="center"/>
        </w:trPr>
        <w:tc>
          <w:tcPr>
            <w:tcW w:w="675" w:type="dxa"/>
          </w:tcPr>
          <w:p w:rsidR="00C26502" w:rsidRPr="008B3BC0" w:rsidRDefault="00C26502" w:rsidP="00C26502">
            <w:pPr>
              <w:suppressAutoHyphens/>
              <w:jc w:val="both"/>
              <w:rPr>
                <w:lang w:eastAsia="ar-SA"/>
              </w:rPr>
            </w:pPr>
            <w:r w:rsidRPr="008B3BC0">
              <w:rPr>
                <w:lang w:eastAsia="ar-SA"/>
              </w:rPr>
              <w:t>D</w:t>
            </w:r>
          </w:p>
        </w:tc>
        <w:tc>
          <w:tcPr>
            <w:tcW w:w="6912" w:type="dxa"/>
          </w:tcPr>
          <w:p w:rsidR="00C26502" w:rsidRPr="008B3BC0" w:rsidRDefault="00C26502" w:rsidP="0097494B">
            <w:pPr>
              <w:numPr>
                <w:ilvl w:val="0"/>
                <w:numId w:val="80"/>
              </w:numPr>
              <w:suppressAutoHyphens/>
              <w:overflowPunct w:val="0"/>
              <w:autoSpaceDE w:val="0"/>
              <w:autoSpaceDN w:val="0"/>
              <w:adjustRightInd w:val="0"/>
              <w:ind w:left="318" w:hanging="219"/>
              <w:jc w:val="both"/>
              <w:textAlignment w:val="baseline"/>
              <w:rPr>
                <w:lang w:eastAsia="ar-SA"/>
              </w:rPr>
            </w:pPr>
            <w:r w:rsidRPr="008B3BC0">
              <w:rPr>
                <w:lang w:eastAsia="ar-SA"/>
              </w:rPr>
              <w:t>górny wymiar sita (przy określaniu wielkości ziaren kruszywa),</w:t>
            </w:r>
          </w:p>
        </w:tc>
      </w:tr>
      <w:tr w:rsidR="00C26502" w:rsidRPr="008B3BC0" w:rsidTr="00C26502">
        <w:trPr>
          <w:jc w:val="center"/>
        </w:trPr>
        <w:tc>
          <w:tcPr>
            <w:tcW w:w="675" w:type="dxa"/>
          </w:tcPr>
          <w:p w:rsidR="00C26502" w:rsidRPr="008B3BC0" w:rsidRDefault="00C26502" w:rsidP="00C26502">
            <w:pPr>
              <w:suppressAutoHyphens/>
              <w:jc w:val="both"/>
              <w:rPr>
                <w:lang w:eastAsia="ar-SA"/>
              </w:rPr>
            </w:pPr>
            <w:r w:rsidRPr="008B3BC0">
              <w:rPr>
                <w:lang w:eastAsia="ar-SA"/>
              </w:rPr>
              <w:t>d</w:t>
            </w:r>
          </w:p>
        </w:tc>
        <w:tc>
          <w:tcPr>
            <w:tcW w:w="6912" w:type="dxa"/>
          </w:tcPr>
          <w:p w:rsidR="00C26502" w:rsidRPr="008B3BC0" w:rsidRDefault="00C26502" w:rsidP="0097494B">
            <w:pPr>
              <w:numPr>
                <w:ilvl w:val="0"/>
                <w:numId w:val="80"/>
              </w:numPr>
              <w:suppressAutoHyphens/>
              <w:overflowPunct w:val="0"/>
              <w:autoSpaceDE w:val="0"/>
              <w:autoSpaceDN w:val="0"/>
              <w:adjustRightInd w:val="0"/>
              <w:ind w:left="318" w:hanging="219"/>
              <w:jc w:val="both"/>
              <w:textAlignment w:val="baseline"/>
              <w:rPr>
                <w:lang w:eastAsia="ar-SA"/>
              </w:rPr>
            </w:pPr>
            <w:r w:rsidRPr="008B3BC0">
              <w:rPr>
                <w:lang w:eastAsia="ar-SA"/>
              </w:rPr>
              <w:t>dolny wymiar sita (przy określaniu wielkości ziaren kruszywa),</w:t>
            </w:r>
          </w:p>
        </w:tc>
      </w:tr>
      <w:tr w:rsidR="00C26502" w:rsidRPr="008B3BC0" w:rsidTr="00C26502">
        <w:trPr>
          <w:jc w:val="center"/>
        </w:trPr>
        <w:tc>
          <w:tcPr>
            <w:tcW w:w="675" w:type="dxa"/>
          </w:tcPr>
          <w:p w:rsidR="00C26502" w:rsidRPr="008B3BC0" w:rsidRDefault="00C26502" w:rsidP="00C26502">
            <w:pPr>
              <w:suppressAutoHyphens/>
              <w:jc w:val="both"/>
              <w:rPr>
                <w:lang w:eastAsia="ar-SA"/>
              </w:rPr>
            </w:pPr>
            <w:r w:rsidRPr="008B3BC0">
              <w:rPr>
                <w:lang w:eastAsia="ar-SA"/>
              </w:rPr>
              <w:t>C</w:t>
            </w:r>
          </w:p>
        </w:tc>
        <w:tc>
          <w:tcPr>
            <w:tcW w:w="6912" w:type="dxa"/>
          </w:tcPr>
          <w:p w:rsidR="00C26502" w:rsidRPr="008B3BC0" w:rsidRDefault="00C26502" w:rsidP="0097494B">
            <w:pPr>
              <w:numPr>
                <w:ilvl w:val="0"/>
                <w:numId w:val="80"/>
              </w:numPr>
              <w:suppressAutoHyphens/>
              <w:overflowPunct w:val="0"/>
              <w:autoSpaceDE w:val="0"/>
              <w:autoSpaceDN w:val="0"/>
              <w:adjustRightInd w:val="0"/>
              <w:ind w:left="318" w:hanging="219"/>
              <w:jc w:val="both"/>
              <w:textAlignment w:val="baseline"/>
              <w:rPr>
                <w:lang w:eastAsia="ar-SA"/>
              </w:rPr>
            </w:pPr>
            <w:r w:rsidRPr="008B3BC0">
              <w:rPr>
                <w:lang w:eastAsia="ar-SA"/>
              </w:rPr>
              <w:t>kationowa emulsja asfaltowa,</w:t>
            </w:r>
          </w:p>
        </w:tc>
      </w:tr>
      <w:tr w:rsidR="00C26502" w:rsidRPr="008B3BC0" w:rsidTr="00C26502">
        <w:trPr>
          <w:jc w:val="center"/>
        </w:trPr>
        <w:tc>
          <w:tcPr>
            <w:tcW w:w="675" w:type="dxa"/>
          </w:tcPr>
          <w:p w:rsidR="00C26502" w:rsidRPr="008B3BC0" w:rsidRDefault="00C26502" w:rsidP="00C26502">
            <w:pPr>
              <w:suppressAutoHyphens/>
              <w:jc w:val="both"/>
              <w:rPr>
                <w:lang w:eastAsia="ar-SA"/>
              </w:rPr>
            </w:pPr>
            <w:r w:rsidRPr="008B3BC0">
              <w:rPr>
                <w:lang w:eastAsia="ar-SA"/>
              </w:rPr>
              <w:t>NPD</w:t>
            </w:r>
          </w:p>
        </w:tc>
        <w:tc>
          <w:tcPr>
            <w:tcW w:w="6912" w:type="dxa"/>
          </w:tcPr>
          <w:p w:rsidR="00C26502" w:rsidRPr="008B3BC0" w:rsidRDefault="00C26502" w:rsidP="0097494B">
            <w:pPr>
              <w:numPr>
                <w:ilvl w:val="0"/>
                <w:numId w:val="80"/>
              </w:numPr>
              <w:suppressAutoHyphens/>
              <w:overflowPunct w:val="0"/>
              <w:autoSpaceDE w:val="0"/>
              <w:autoSpaceDN w:val="0"/>
              <w:adjustRightInd w:val="0"/>
              <w:ind w:left="318" w:hanging="219"/>
              <w:jc w:val="both"/>
              <w:textAlignment w:val="baseline"/>
              <w:rPr>
                <w:lang w:eastAsia="ar-SA"/>
              </w:rPr>
            </w:pPr>
            <w:r w:rsidRPr="008B3BC0">
              <w:rPr>
                <w:lang w:eastAsia="ar-SA"/>
              </w:rPr>
              <w:t>właściwość użytkowa nie określana (ang. No Performance Determined; producent może jej nie określać),</w:t>
            </w:r>
          </w:p>
        </w:tc>
      </w:tr>
      <w:tr w:rsidR="00C26502" w:rsidRPr="008B3BC0" w:rsidTr="00C26502">
        <w:trPr>
          <w:jc w:val="center"/>
        </w:trPr>
        <w:tc>
          <w:tcPr>
            <w:tcW w:w="675" w:type="dxa"/>
          </w:tcPr>
          <w:p w:rsidR="00C26502" w:rsidRPr="008B3BC0" w:rsidRDefault="00C26502" w:rsidP="00C26502">
            <w:pPr>
              <w:suppressAutoHyphens/>
              <w:jc w:val="both"/>
              <w:rPr>
                <w:lang w:eastAsia="ar-SA"/>
              </w:rPr>
            </w:pPr>
            <w:r w:rsidRPr="008B3BC0">
              <w:rPr>
                <w:lang w:eastAsia="ar-SA"/>
              </w:rPr>
              <w:t>TBR</w:t>
            </w:r>
          </w:p>
        </w:tc>
        <w:tc>
          <w:tcPr>
            <w:tcW w:w="6912" w:type="dxa"/>
          </w:tcPr>
          <w:p w:rsidR="00C26502" w:rsidRPr="008B3BC0" w:rsidRDefault="00C26502" w:rsidP="0097494B">
            <w:pPr>
              <w:numPr>
                <w:ilvl w:val="0"/>
                <w:numId w:val="80"/>
              </w:numPr>
              <w:suppressAutoHyphens/>
              <w:overflowPunct w:val="0"/>
              <w:autoSpaceDE w:val="0"/>
              <w:autoSpaceDN w:val="0"/>
              <w:adjustRightInd w:val="0"/>
              <w:ind w:left="318" w:hanging="219"/>
              <w:jc w:val="both"/>
              <w:textAlignment w:val="baseline"/>
              <w:rPr>
                <w:lang w:eastAsia="ar-SA"/>
              </w:rPr>
            </w:pPr>
            <w:r w:rsidRPr="008B3BC0">
              <w:rPr>
                <w:lang w:eastAsia="ar-SA"/>
              </w:rPr>
              <w:t>do zadeklarowania (ang. To Be Reported; producent może dostarczyć odpowiednie informacje, jednak nie jest do tego zobowiązany),</w:t>
            </w:r>
          </w:p>
        </w:tc>
      </w:tr>
      <w:tr w:rsidR="00C26502" w:rsidRPr="008B3BC0" w:rsidTr="00C26502">
        <w:trPr>
          <w:jc w:val="center"/>
        </w:trPr>
        <w:tc>
          <w:tcPr>
            <w:tcW w:w="675" w:type="dxa"/>
          </w:tcPr>
          <w:p w:rsidR="00C26502" w:rsidRPr="008B3BC0" w:rsidRDefault="00C26502" w:rsidP="00C26502">
            <w:pPr>
              <w:suppressAutoHyphens/>
              <w:jc w:val="both"/>
              <w:rPr>
                <w:lang w:eastAsia="ar-SA"/>
              </w:rPr>
            </w:pPr>
            <w:r w:rsidRPr="008B3BC0">
              <w:rPr>
                <w:lang w:eastAsia="ar-SA"/>
              </w:rPr>
              <w:t>IRI</w:t>
            </w:r>
          </w:p>
        </w:tc>
        <w:tc>
          <w:tcPr>
            <w:tcW w:w="6912" w:type="dxa"/>
          </w:tcPr>
          <w:p w:rsidR="00C26502" w:rsidRPr="008B3BC0" w:rsidRDefault="00C26502" w:rsidP="0097494B">
            <w:pPr>
              <w:numPr>
                <w:ilvl w:val="0"/>
                <w:numId w:val="80"/>
              </w:numPr>
              <w:suppressAutoHyphens/>
              <w:overflowPunct w:val="0"/>
              <w:autoSpaceDE w:val="0"/>
              <w:autoSpaceDN w:val="0"/>
              <w:adjustRightInd w:val="0"/>
              <w:ind w:left="318" w:hanging="219"/>
              <w:jc w:val="both"/>
              <w:textAlignment w:val="baseline"/>
              <w:rPr>
                <w:lang w:eastAsia="ar-SA"/>
              </w:rPr>
            </w:pPr>
            <w:r w:rsidRPr="008B3BC0">
              <w:rPr>
                <w:lang w:eastAsia="ar-SA"/>
              </w:rPr>
              <w:t>(International Roughness Index) międzynarodowy wskaźnik równości,</w:t>
            </w:r>
          </w:p>
        </w:tc>
      </w:tr>
      <w:tr w:rsidR="00C26502" w:rsidRPr="008B3BC0" w:rsidTr="00C26502">
        <w:trPr>
          <w:jc w:val="center"/>
        </w:trPr>
        <w:tc>
          <w:tcPr>
            <w:tcW w:w="675" w:type="dxa"/>
          </w:tcPr>
          <w:p w:rsidR="00C26502" w:rsidRPr="008B3BC0" w:rsidRDefault="00C26502" w:rsidP="00C26502">
            <w:pPr>
              <w:suppressAutoHyphens/>
              <w:jc w:val="both"/>
              <w:rPr>
                <w:lang w:eastAsia="ar-SA"/>
              </w:rPr>
            </w:pPr>
            <w:r w:rsidRPr="008B3BC0">
              <w:rPr>
                <w:lang w:eastAsia="ar-SA"/>
              </w:rPr>
              <w:t>MOP</w:t>
            </w:r>
          </w:p>
        </w:tc>
        <w:tc>
          <w:tcPr>
            <w:tcW w:w="6912" w:type="dxa"/>
          </w:tcPr>
          <w:p w:rsidR="00C26502" w:rsidRPr="008B3BC0" w:rsidRDefault="00C26502" w:rsidP="0097494B">
            <w:pPr>
              <w:numPr>
                <w:ilvl w:val="0"/>
                <w:numId w:val="80"/>
              </w:numPr>
              <w:suppressAutoHyphens/>
              <w:overflowPunct w:val="0"/>
              <w:autoSpaceDE w:val="0"/>
              <w:autoSpaceDN w:val="0"/>
              <w:adjustRightInd w:val="0"/>
              <w:ind w:left="318" w:hanging="219"/>
              <w:jc w:val="both"/>
              <w:textAlignment w:val="baseline"/>
              <w:rPr>
                <w:lang w:eastAsia="ar-SA"/>
              </w:rPr>
            </w:pPr>
            <w:r w:rsidRPr="008B3BC0">
              <w:rPr>
                <w:lang w:eastAsia="ar-SA"/>
              </w:rPr>
              <w:t xml:space="preserve">miejsce obsługi podróżnych. </w:t>
            </w:r>
          </w:p>
        </w:tc>
      </w:tr>
    </w:tbl>
    <w:p w:rsidR="00C26502" w:rsidRPr="008B3BC0" w:rsidRDefault="00C26502" w:rsidP="00C26502">
      <w:pPr>
        <w:suppressAutoHyphens/>
        <w:jc w:val="both"/>
        <w:rPr>
          <w:b/>
          <w:lang w:eastAsia="ar-SA"/>
        </w:rPr>
      </w:pPr>
      <w:r w:rsidRPr="008B3BC0">
        <w:rPr>
          <w:b/>
          <w:lang w:eastAsia="ar-SA"/>
        </w:rPr>
        <w:t>1.5. Ogólne wymagania dotyczące robót</w:t>
      </w:r>
    </w:p>
    <w:p w:rsidR="00C26502" w:rsidRPr="008B3BC0" w:rsidRDefault="00C26502" w:rsidP="00C26502">
      <w:pPr>
        <w:suppressAutoHyphens/>
        <w:jc w:val="both"/>
        <w:rPr>
          <w:lang w:eastAsia="ar-SA"/>
        </w:rPr>
      </w:pPr>
      <w:r w:rsidRPr="008B3BC0">
        <w:rPr>
          <w:b/>
          <w:lang w:eastAsia="ar-SA"/>
        </w:rPr>
        <w:tab/>
      </w:r>
      <w:r w:rsidRPr="008B3BC0">
        <w:rPr>
          <w:lang w:eastAsia="ar-SA"/>
        </w:rPr>
        <w:t>Ogólne wymagania dotyczące robót podano w ST D-M-00.00.00 „Wymagania ogólne” [1] pkt 1.5.</w:t>
      </w:r>
    </w:p>
    <w:p w:rsidR="00C26502" w:rsidRPr="008B3BC0" w:rsidRDefault="00C26502" w:rsidP="00C26502">
      <w:pPr>
        <w:widowControl w:val="0"/>
        <w:suppressAutoHyphens/>
        <w:spacing w:before="120" w:after="120"/>
        <w:ind w:right="6878"/>
        <w:jc w:val="both"/>
        <w:rPr>
          <w:b/>
          <w:u w:val="single"/>
          <w:lang w:eastAsia="ar-SA"/>
        </w:rPr>
      </w:pPr>
      <w:r w:rsidRPr="008B3BC0">
        <w:rPr>
          <w:b/>
          <w:u w:val="single"/>
          <w:lang w:eastAsia="ar-SA"/>
        </w:rPr>
        <w:t>2. MATERIAŁY</w:t>
      </w:r>
    </w:p>
    <w:p w:rsidR="00C26502" w:rsidRPr="008B3BC0" w:rsidRDefault="00C26502" w:rsidP="00C26502">
      <w:pPr>
        <w:suppressAutoHyphens/>
        <w:jc w:val="both"/>
        <w:rPr>
          <w:b/>
          <w:lang w:eastAsia="ar-SA"/>
        </w:rPr>
      </w:pPr>
      <w:r w:rsidRPr="008B3BC0">
        <w:rPr>
          <w:b/>
          <w:lang w:eastAsia="ar-SA"/>
        </w:rPr>
        <w:t>2.1. Ogólne wymagania dotyczące materiałów</w:t>
      </w:r>
    </w:p>
    <w:p w:rsidR="00C26502" w:rsidRPr="008B3BC0" w:rsidRDefault="00C26502" w:rsidP="00C26502">
      <w:pPr>
        <w:suppressAutoHyphens/>
        <w:jc w:val="both"/>
        <w:rPr>
          <w:lang w:eastAsia="ar-SA"/>
        </w:rPr>
      </w:pPr>
      <w:r w:rsidRPr="008B3BC0">
        <w:rPr>
          <w:b/>
          <w:lang w:eastAsia="ar-SA"/>
        </w:rPr>
        <w:tab/>
      </w:r>
      <w:r w:rsidRPr="008B3BC0">
        <w:rPr>
          <w:lang w:eastAsia="ar-SA"/>
        </w:rPr>
        <w:t>Ogólne wymagania dotyczące materiałów, ich pozyskiwania i składowania, podano w ST D-M-00.00.00 „Wymagania ogólne” [1] pkt 2.</w:t>
      </w:r>
    </w:p>
    <w:p w:rsidR="00C26502" w:rsidRPr="008B3BC0" w:rsidRDefault="00C26502" w:rsidP="00C26502">
      <w:pPr>
        <w:suppressAutoHyphens/>
        <w:jc w:val="both"/>
        <w:rPr>
          <w:b/>
          <w:lang w:eastAsia="ar-SA"/>
        </w:rPr>
      </w:pPr>
      <w:r w:rsidRPr="008B3BC0">
        <w:rPr>
          <w:b/>
          <w:lang w:eastAsia="ar-SA"/>
        </w:rPr>
        <w:t>2.2. Lepiszcza asfaltowe</w:t>
      </w:r>
    </w:p>
    <w:p w:rsidR="00C26502" w:rsidRPr="008B3BC0" w:rsidRDefault="00C26502" w:rsidP="00C26502">
      <w:pPr>
        <w:suppressAutoHyphens/>
        <w:jc w:val="both"/>
        <w:rPr>
          <w:lang w:eastAsia="ar-SA"/>
        </w:rPr>
      </w:pPr>
      <w:r w:rsidRPr="008B3BC0">
        <w:rPr>
          <w:lang w:eastAsia="ar-SA"/>
        </w:rPr>
        <w:tab/>
        <w:t>Należy stosować asfalty drogowe wg PN-EN 12591 [27] lub polimeroasfalty wg PN-EN 14023 [59]. Rodzaje stosowanych lepiszcz asfaltowych podano w tablicy 2. Oprócz lepiszcz wymienionych w tablicy 2 można stosować inne lepiszcza nienormowe według aprobat technicznych.</w:t>
      </w:r>
    </w:p>
    <w:p w:rsidR="00C26502" w:rsidRPr="008B3BC0" w:rsidRDefault="00C26502" w:rsidP="00C26502">
      <w:pPr>
        <w:suppressAutoHyphens/>
        <w:jc w:val="both"/>
        <w:rPr>
          <w:lang w:eastAsia="ar-SA"/>
        </w:rPr>
      </w:pPr>
      <w:r w:rsidRPr="008B3BC0">
        <w:rPr>
          <w:lang w:eastAsia="ar-SA"/>
        </w:rPr>
        <w:t>Tablica 2. Zalecane  lepiszcza asfaltowego do warstwy ścieralnej z betonu asfaltowego</w:t>
      </w:r>
    </w:p>
    <w:tbl>
      <w:tblPr>
        <w:tblW w:w="75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84"/>
        <w:gridCol w:w="1418"/>
        <w:gridCol w:w="1842"/>
        <w:gridCol w:w="2867"/>
      </w:tblGrid>
      <w:tr w:rsidR="00C26502" w:rsidRPr="008B3BC0" w:rsidTr="00C26502">
        <w:trPr>
          <w:jc w:val="center"/>
        </w:trPr>
        <w:tc>
          <w:tcPr>
            <w:tcW w:w="1384" w:type="dxa"/>
            <w:tcBorders>
              <w:bottom w:val="nil"/>
            </w:tcBorders>
          </w:tcPr>
          <w:p w:rsidR="00C26502" w:rsidRPr="008B3BC0" w:rsidRDefault="00C26502" w:rsidP="00C26502">
            <w:pPr>
              <w:suppressAutoHyphens/>
              <w:spacing w:before="60"/>
              <w:jc w:val="center"/>
              <w:rPr>
                <w:lang w:eastAsia="ar-SA"/>
              </w:rPr>
            </w:pPr>
            <w:r w:rsidRPr="008B3BC0">
              <w:rPr>
                <w:lang w:eastAsia="ar-SA"/>
              </w:rPr>
              <w:t>Kategoria</w:t>
            </w:r>
          </w:p>
        </w:tc>
        <w:tc>
          <w:tcPr>
            <w:tcW w:w="1418" w:type="dxa"/>
            <w:tcBorders>
              <w:bottom w:val="nil"/>
            </w:tcBorders>
          </w:tcPr>
          <w:p w:rsidR="00C26502" w:rsidRPr="008B3BC0" w:rsidRDefault="00C26502" w:rsidP="00C26502">
            <w:pPr>
              <w:suppressAutoHyphens/>
              <w:spacing w:before="60"/>
              <w:jc w:val="center"/>
              <w:rPr>
                <w:lang w:eastAsia="ar-SA"/>
              </w:rPr>
            </w:pPr>
            <w:r w:rsidRPr="008B3BC0">
              <w:rPr>
                <w:lang w:eastAsia="ar-SA"/>
              </w:rPr>
              <w:t>Mieszanka</w:t>
            </w:r>
          </w:p>
        </w:tc>
        <w:tc>
          <w:tcPr>
            <w:tcW w:w="4709" w:type="dxa"/>
            <w:gridSpan w:val="2"/>
          </w:tcPr>
          <w:p w:rsidR="00C26502" w:rsidRPr="008B3BC0" w:rsidRDefault="00C26502" w:rsidP="00C26502">
            <w:pPr>
              <w:suppressAutoHyphens/>
              <w:spacing w:before="60"/>
              <w:jc w:val="center"/>
              <w:rPr>
                <w:lang w:eastAsia="ar-SA"/>
              </w:rPr>
            </w:pPr>
            <w:r w:rsidRPr="008B3BC0">
              <w:rPr>
                <w:lang w:eastAsia="ar-SA"/>
              </w:rPr>
              <w:t xml:space="preserve">Gatunek lepiszcza   </w:t>
            </w:r>
          </w:p>
        </w:tc>
      </w:tr>
      <w:tr w:rsidR="00C26502" w:rsidRPr="008B3BC0" w:rsidTr="00C26502">
        <w:trPr>
          <w:jc w:val="center"/>
        </w:trPr>
        <w:tc>
          <w:tcPr>
            <w:tcW w:w="1384" w:type="dxa"/>
            <w:tcBorders>
              <w:top w:val="nil"/>
            </w:tcBorders>
          </w:tcPr>
          <w:p w:rsidR="00C26502" w:rsidRPr="008B3BC0" w:rsidRDefault="00C26502" w:rsidP="00C26502">
            <w:pPr>
              <w:suppressAutoHyphens/>
              <w:spacing w:after="60"/>
              <w:jc w:val="center"/>
              <w:rPr>
                <w:lang w:eastAsia="ar-SA"/>
              </w:rPr>
            </w:pPr>
            <w:r w:rsidRPr="008B3BC0">
              <w:rPr>
                <w:lang w:eastAsia="ar-SA"/>
              </w:rPr>
              <w:t>ruchu</w:t>
            </w:r>
          </w:p>
        </w:tc>
        <w:tc>
          <w:tcPr>
            <w:tcW w:w="1418" w:type="dxa"/>
            <w:tcBorders>
              <w:top w:val="nil"/>
            </w:tcBorders>
          </w:tcPr>
          <w:p w:rsidR="00C26502" w:rsidRPr="008B3BC0" w:rsidRDefault="00C26502" w:rsidP="00C26502">
            <w:pPr>
              <w:suppressAutoHyphens/>
              <w:spacing w:after="60"/>
              <w:jc w:val="center"/>
              <w:rPr>
                <w:lang w:eastAsia="ar-SA"/>
              </w:rPr>
            </w:pPr>
            <w:r w:rsidRPr="008B3BC0">
              <w:rPr>
                <w:lang w:eastAsia="ar-SA"/>
              </w:rPr>
              <w:t>ACS</w:t>
            </w:r>
          </w:p>
        </w:tc>
        <w:tc>
          <w:tcPr>
            <w:tcW w:w="1842" w:type="dxa"/>
          </w:tcPr>
          <w:p w:rsidR="00C26502" w:rsidRPr="008B3BC0" w:rsidRDefault="00C26502" w:rsidP="00C26502">
            <w:pPr>
              <w:suppressAutoHyphens/>
              <w:spacing w:after="60"/>
              <w:jc w:val="center"/>
              <w:rPr>
                <w:lang w:eastAsia="ar-SA"/>
              </w:rPr>
            </w:pPr>
            <w:r w:rsidRPr="008B3BC0">
              <w:rPr>
                <w:lang w:eastAsia="ar-SA"/>
              </w:rPr>
              <w:t>asfalt drogowy</w:t>
            </w:r>
          </w:p>
        </w:tc>
        <w:tc>
          <w:tcPr>
            <w:tcW w:w="2867" w:type="dxa"/>
          </w:tcPr>
          <w:p w:rsidR="00C26502" w:rsidRPr="008B3BC0" w:rsidRDefault="00C26502" w:rsidP="00C26502">
            <w:pPr>
              <w:suppressAutoHyphens/>
              <w:spacing w:after="60"/>
              <w:jc w:val="center"/>
              <w:rPr>
                <w:lang w:eastAsia="ar-SA"/>
              </w:rPr>
            </w:pPr>
            <w:r w:rsidRPr="008B3BC0">
              <w:rPr>
                <w:lang w:eastAsia="ar-SA"/>
              </w:rPr>
              <w:t>polimeroasfalt</w:t>
            </w:r>
          </w:p>
        </w:tc>
      </w:tr>
      <w:tr w:rsidR="00C26502" w:rsidRPr="008B3BC0" w:rsidTr="00C26502">
        <w:trPr>
          <w:jc w:val="center"/>
        </w:trPr>
        <w:tc>
          <w:tcPr>
            <w:tcW w:w="1384" w:type="dxa"/>
          </w:tcPr>
          <w:p w:rsidR="00C26502" w:rsidRPr="008B3BC0" w:rsidRDefault="00C26502" w:rsidP="00C26502">
            <w:pPr>
              <w:suppressAutoHyphens/>
              <w:spacing w:before="120"/>
              <w:jc w:val="center"/>
              <w:rPr>
                <w:lang w:eastAsia="ar-SA"/>
              </w:rPr>
            </w:pPr>
            <w:r w:rsidRPr="008B3BC0">
              <w:rPr>
                <w:lang w:eastAsia="ar-SA"/>
              </w:rPr>
              <w:t>KR1 – KR2</w:t>
            </w:r>
          </w:p>
        </w:tc>
        <w:tc>
          <w:tcPr>
            <w:tcW w:w="1418" w:type="dxa"/>
          </w:tcPr>
          <w:p w:rsidR="00C26502" w:rsidRPr="008B3BC0" w:rsidRDefault="00C26502" w:rsidP="00C26502">
            <w:pPr>
              <w:suppressAutoHyphens/>
              <w:jc w:val="center"/>
              <w:rPr>
                <w:lang w:eastAsia="ar-SA"/>
              </w:rPr>
            </w:pPr>
            <w:r w:rsidRPr="008B3BC0">
              <w:rPr>
                <w:lang w:eastAsia="ar-SA"/>
              </w:rPr>
              <w:t>AC5S, AC8S, AC11S</w:t>
            </w:r>
          </w:p>
        </w:tc>
        <w:tc>
          <w:tcPr>
            <w:tcW w:w="1842" w:type="dxa"/>
          </w:tcPr>
          <w:p w:rsidR="00C26502" w:rsidRPr="008B3BC0" w:rsidRDefault="00C26502" w:rsidP="00C26502">
            <w:pPr>
              <w:suppressAutoHyphens/>
              <w:spacing w:before="120"/>
              <w:jc w:val="center"/>
              <w:rPr>
                <w:lang w:eastAsia="ar-SA"/>
              </w:rPr>
            </w:pPr>
            <w:r w:rsidRPr="008B3BC0">
              <w:rPr>
                <w:lang w:eastAsia="ar-SA"/>
              </w:rPr>
              <w:t xml:space="preserve"> 50/70</w:t>
            </w:r>
            <w:r w:rsidRPr="008B3BC0">
              <w:rPr>
                <w:vertAlign w:val="superscript"/>
                <w:lang w:eastAsia="ar-SA"/>
              </w:rPr>
              <w:t>1)</w:t>
            </w:r>
            <w:r w:rsidRPr="008B3BC0">
              <w:rPr>
                <w:lang w:eastAsia="ar-SA"/>
              </w:rPr>
              <w:t>,   70/100</w:t>
            </w:r>
          </w:p>
        </w:tc>
        <w:tc>
          <w:tcPr>
            <w:tcW w:w="2867" w:type="dxa"/>
          </w:tcPr>
          <w:p w:rsidR="00C26502" w:rsidRPr="008B3BC0" w:rsidRDefault="00C26502" w:rsidP="00C26502">
            <w:pPr>
              <w:suppressAutoHyphens/>
              <w:spacing w:before="120"/>
              <w:jc w:val="center"/>
              <w:rPr>
                <w:lang w:eastAsia="ar-SA"/>
              </w:rPr>
            </w:pPr>
            <w:r w:rsidRPr="008B3BC0">
              <w:rPr>
                <w:lang w:eastAsia="ar-SA"/>
              </w:rPr>
              <w:t>PMB 45/80-55,</w:t>
            </w:r>
          </w:p>
          <w:p w:rsidR="00C26502" w:rsidRPr="008B3BC0" w:rsidRDefault="00C26502" w:rsidP="00C26502">
            <w:pPr>
              <w:suppressAutoHyphens/>
              <w:jc w:val="center"/>
              <w:rPr>
                <w:vertAlign w:val="superscript"/>
                <w:lang w:eastAsia="ar-SA"/>
              </w:rPr>
            </w:pPr>
            <w:r w:rsidRPr="008B3BC0">
              <w:rPr>
                <w:lang w:eastAsia="ar-SA"/>
              </w:rPr>
              <w:t>PMB 45/80-65</w:t>
            </w:r>
          </w:p>
        </w:tc>
      </w:tr>
      <w:tr w:rsidR="00C26502" w:rsidRPr="008B3BC0" w:rsidTr="00C26502">
        <w:trPr>
          <w:trHeight w:val="477"/>
          <w:jc w:val="center"/>
        </w:trPr>
        <w:tc>
          <w:tcPr>
            <w:tcW w:w="7511" w:type="dxa"/>
            <w:gridSpan w:val="4"/>
          </w:tcPr>
          <w:p w:rsidR="00C26502" w:rsidRPr="008B3BC0" w:rsidRDefault="00C26502" w:rsidP="0097494B">
            <w:pPr>
              <w:numPr>
                <w:ilvl w:val="0"/>
                <w:numId w:val="71"/>
              </w:numPr>
              <w:tabs>
                <w:tab w:val="num" w:pos="426"/>
              </w:tabs>
              <w:suppressAutoHyphens/>
              <w:overflowPunct w:val="0"/>
              <w:autoSpaceDE w:val="0"/>
              <w:autoSpaceDN w:val="0"/>
              <w:adjustRightInd w:val="0"/>
              <w:ind w:left="426" w:hanging="284"/>
              <w:jc w:val="both"/>
              <w:textAlignment w:val="baseline"/>
              <w:rPr>
                <w:lang w:eastAsia="ar-SA"/>
              </w:rPr>
            </w:pPr>
            <w:r w:rsidRPr="008B3BC0">
              <w:rPr>
                <w:lang w:eastAsia="ar-SA"/>
              </w:rPr>
              <w:t xml:space="preserve">Nie zaleca się do stosowania w regionach, gdzie spodziewana minimalna temperatura nawierzchni wynosi poniżej </w:t>
            </w:r>
            <w:smartTag w:uri="urn:schemas-microsoft-com:office:smarttags" w:element="metricconverter">
              <w:smartTagPr>
                <w:attr w:name="ProductID" w:val="-28ﾰC"/>
              </w:smartTagPr>
              <w:r w:rsidRPr="008B3BC0">
                <w:rPr>
                  <w:lang w:eastAsia="ar-SA"/>
                </w:rPr>
                <w:t>-28°C</w:t>
              </w:r>
            </w:smartTag>
            <w:r w:rsidRPr="008B3BC0">
              <w:rPr>
                <w:lang w:eastAsia="ar-SA"/>
              </w:rPr>
              <w:t xml:space="preserve"> (region północno-wschodni i tereny podgórskie)</w:t>
            </w:r>
          </w:p>
        </w:tc>
      </w:tr>
    </w:tbl>
    <w:p w:rsidR="00C26502" w:rsidRPr="008B3BC0" w:rsidRDefault="00C26502" w:rsidP="00C26502">
      <w:pPr>
        <w:suppressAutoHyphens/>
        <w:rPr>
          <w:lang w:eastAsia="ar-SA"/>
        </w:rPr>
      </w:pPr>
      <w:r w:rsidRPr="008B3BC0">
        <w:rPr>
          <w:lang w:eastAsia="ar-SA"/>
        </w:rPr>
        <w:t xml:space="preserve">Asfalty drogowe powinny spełniać wymagania podane w tablicy 3. </w:t>
      </w:r>
    </w:p>
    <w:p w:rsidR="00C26502" w:rsidRPr="008B3BC0" w:rsidRDefault="00C26502" w:rsidP="00C26502">
      <w:pPr>
        <w:suppressAutoHyphens/>
        <w:rPr>
          <w:lang w:eastAsia="ar-SA"/>
        </w:rPr>
      </w:pPr>
      <w:r w:rsidRPr="008B3BC0">
        <w:rPr>
          <w:lang w:eastAsia="ar-SA"/>
        </w:rPr>
        <w:t>Polimeroasfalty  powinny spełniać wymagania podane  w tablicy 4.</w:t>
      </w:r>
    </w:p>
    <w:p w:rsidR="00C26502" w:rsidRPr="008B3BC0" w:rsidRDefault="00C26502" w:rsidP="00C26502">
      <w:pPr>
        <w:suppressAutoHyphens/>
        <w:jc w:val="center"/>
        <w:rPr>
          <w:lang w:eastAsia="ar-SA"/>
        </w:rPr>
      </w:pPr>
      <w:r w:rsidRPr="008B3BC0">
        <w:rPr>
          <w:lang w:eastAsia="ar-SA"/>
        </w:rPr>
        <w:t>Tablica 3. Wymagania wobec asfaltów drogowych wg PN-EN 12591 [27]</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4"/>
        <w:gridCol w:w="2409"/>
        <w:gridCol w:w="851"/>
        <w:gridCol w:w="1984"/>
        <w:gridCol w:w="851"/>
        <w:gridCol w:w="882"/>
      </w:tblGrid>
      <w:tr w:rsidR="00C26502" w:rsidRPr="008B3BC0" w:rsidTr="00C26502">
        <w:trPr>
          <w:jc w:val="center"/>
        </w:trPr>
        <w:tc>
          <w:tcPr>
            <w:tcW w:w="534" w:type="dxa"/>
            <w:vMerge w:val="restart"/>
            <w:vAlign w:val="center"/>
          </w:tcPr>
          <w:p w:rsidR="00C26502" w:rsidRPr="008B3BC0" w:rsidRDefault="00C26502" w:rsidP="00C26502">
            <w:pPr>
              <w:suppressAutoHyphens/>
              <w:jc w:val="center"/>
              <w:rPr>
                <w:lang w:eastAsia="ar-SA"/>
              </w:rPr>
            </w:pPr>
            <w:r w:rsidRPr="008B3BC0">
              <w:rPr>
                <w:lang w:eastAsia="ar-SA"/>
              </w:rPr>
              <w:t>Lp.</w:t>
            </w:r>
          </w:p>
        </w:tc>
        <w:tc>
          <w:tcPr>
            <w:tcW w:w="3260" w:type="dxa"/>
            <w:gridSpan w:val="2"/>
            <w:vMerge w:val="restart"/>
            <w:vAlign w:val="center"/>
          </w:tcPr>
          <w:p w:rsidR="00C26502" w:rsidRPr="008B3BC0" w:rsidRDefault="00C26502" w:rsidP="00C26502">
            <w:pPr>
              <w:suppressAutoHyphens/>
              <w:jc w:val="center"/>
              <w:rPr>
                <w:lang w:eastAsia="ar-SA"/>
              </w:rPr>
            </w:pPr>
            <w:r w:rsidRPr="008B3BC0">
              <w:rPr>
                <w:lang w:eastAsia="ar-SA"/>
              </w:rPr>
              <w:t>Właściwości</w:t>
            </w:r>
          </w:p>
        </w:tc>
        <w:tc>
          <w:tcPr>
            <w:tcW w:w="1984" w:type="dxa"/>
            <w:vMerge w:val="restart"/>
            <w:vAlign w:val="center"/>
          </w:tcPr>
          <w:p w:rsidR="00C26502" w:rsidRPr="008B3BC0" w:rsidRDefault="00C26502" w:rsidP="00C26502">
            <w:pPr>
              <w:suppressAutoHyphens/>
              <w:jc w:val="center"/>
              <w:rPr>
                <w:lang w:eastAsia="ar-SA"/>
              </w:rPr>
            </w:pPr>
            <w:r w:rsidRPr="008B3BC0">
              <w:rPr>
                <w:lang w:eastAsia="ar-SA"/>
              </w:rPr>
              <w:t>Metoda</w:t>
            </w:r>
          </w:p>
          <w:p w:rsidR="00C26502" w:rsidRPr="008B3BC0" w:rsidRDefault="00C26502" w:rsidP="00C26502">
            <w:pPr>
              <w:suppressAutoHyphens/>
              <w:jc w:val="center"/>
              <w:rPr>
                <w:lang w:eastAsia="ar-SA"/>
              </w:rPr>
            </w:pPr>
            <w:r w:rsidRPr="008B3BC0">
              <w:rPr>
                <w:lang w:eastAsia="ar-SA"/>
              </w:rPr>
              <w:t>badania</w:t>
            </w:r>
          </w:p>
        </w:tc>
        <w:tc>
          <w:tcPr>
            <w:tcW w:w="1733" w:type="dxa"/>
            <w:gridSpan w:val="2"/>
          </w:tcPr>
          <w:p w:rsidR="00C26502" w:rsidRPr="008B3BC0" w:rsidRDefault="00C26502" w:rsidP="00C26502">
            <w:pPr>
              <w:suppressAutoHyphens/>
              <w:jc w:val="center"/>
              <w:rPr>
                <w:lang w:eastAsia="ar-SA"/>
              </w:rPr>
            </w:pPr>
            <w:r w:rsidRPr="008B3BC0">
              <w:rPr>
                <w:lang w:eastAsia="ar-SA"/>
              </w:rPr>
              <w:t>Rodzaj asfaltu</w:t>
            </w:r>
          </w:p>
        </w:tc>
      </w:tr>
      <w:tr w:rsidR="00C26502" w:rsidRPr="008B3BC0" w:rsidTr="00C26502">
        <w:trPr>
          <w:jc w:val="center"/>
        </w:trPr>
        <w:tc>
          <w:tcPr>
            <w:tcW w:w="534" w:type="dxa"/>
            <w:vMerge/>
          </w:tcPr>
          <w:p w:rsidR="00C26502" w:rsidRPr="008B3BC0" w:rsidRDefault="00C26502" w:rsidP="00C26502">
            <w:pPr>
              <w:suppressAutoHyphens/>
              <w:jc w:val="center"/>
              <w:rPr>
                <w:lang w:eastAsia="ar-SA"/>
              </w:rPr>
            </w:pPr>
          </w:p>
        </w:tc>
        <w:tc>
          <w:tcPr>
            <w:tcW w:w="3260" w:type="dxa"/>
            <w:gridSpan w:val="2"/>
            <w:vMerge/>
          </w:tcPr>
          <w:p w:rsidR="00C26502" w:rsidRPr="008B3BC0" w:rsidRDefault="00C26502" w:rsidP="00C26502">
            <w:pPr>
              <w:suppressAutoHyphens/>
              <w:jc w:val="center"/>
              <w:rPr>
                <w:lang w:eastAsia="ar-SA"/>
              </w:rPr>
            </w:pPr>
          </w:p>
        </w:tc>
        <w:tc>
          <w:tcPr>
            <w:tcW w:w="1984" w:type="dxa"/>
            <w:vMerge/>
          </w:tcPr>
          <w:p w:rsidR="00C26502" w:rsidRPr="008B3BC0" w:rsidRDefault="00C26502" w:rsidP="00C26502">
            <w:pPr>
              <w:suppressAutoHyphens/>
              <w:jc w:val="center"/>
              <w:rPr>
                <w:lang w:eastAsia="ar-SA"/>
              </w:rPr>
            </w:pPr>
          </w:p>
        </w:tc>
        <w:tc>
          <w:tcPr>
            <w:tcW w:w="851" w:type="dxa"/>
          </w:tcPr>
          <w:p w:rsidR="00C26502" w:rsidRPr="008B3BC0" w:rsidRDefault="00C26502" w:rsidP="00C26502">
            <w:pPr>
              <w:suppressAutoHyphens/>
              <w:jc w:val="center"/>
              <w:rPr>
                <w:lang w:eastAsia="ar-SA"/>
              </w:rPr>
            </w:pPr>
            <w:r w:rsidRPr="008B3BC0">
              <w:rPr>
                <w:lang w:eastAsia="ar-SA"/>
              </w:rPr>
              <w:t>50/70</w:t>
            </w:r>
          </w:p>
        </w:tc>
        <w:tc>
          <w:tcPr>
            <w:tcW w:w="882" w:type="dxa"/>
          </w:tcPr>
          <w:p w:rsidR="00C26502" w:rsidRPr="008B3BC0" w:rsidRDefault="00C26502" w:rsidP="00C26502">
            <w:pPr>
              <w:suppressAutoHyphens/>
              <w:jc w:val="center"/>
              <w:rPr>
                <w:lang w:eastAsia="ar-SA"/>
              </w:rPr>
            </w:pPr>
            <w:r w:rsidRPr="008B3BC0">
              <w:rPr>
                <w:lang w:eastAsia="ar-SA"/>
              </w:rPr>
              <w:t>70/100</w:t>
            </w:r>
          </w:p>
        </w:tc>
      </w:tr>
      <w:tr w:rsidR="00C26502" w:rsidRPr="008B3BC0" w:rsidTr="00C26502">
        <w:trPr>
          <w:jc w:val="center"/>
        </w:trPr>
        <w:tc>
          <w:tcPr>
            <w:tcW w:w="7511" w:type="dxa"/>
            <w:gridSpan w:val="6"/>
          </w:tcPr>
          <w:p w:rsidR="00C26502" w:rsidRPr="008B3BC0" w:rsidRDefault="00C26502" w:rsidP="00C26502">
            <w:pPr>
              <w:suppressAutoHyphens/>
              <w:jc w:val="center"/>
              <w:rPr>
                <w:lang w:eastAsia="ar-SA"/>
              </w:rPr>
            </w:pPr>
            <w:r w:rsidRPr="008B3BC0">
              <w:rPr>
                <w:lang w:eastAsia="ar-SA"/>
              </w:rPr>
              <w:t>WŁAŚCIWOŚCI   OBLIGATORYJNE</w:t>
            </w:r>
          </w:p>
        </w:tc>
      </w:tr>
      <w:tr w:rsidR="00C26502" w:rsidRPr="008B3BC0" w:rsidTr="00C26502">
        <w:trPr>
          <w:jc w:val="center"/>
        </w:trPr>
        <w:tc>
          <w:tcPr>
            <w:tcW w:w="534" w:type="dxa"/>
          </w:tcPr>
          <w:p w:rsidR="00C26502" w:rsidRPr="008B3BC0" w:rsidRDefault="00C26502" w:rsidP="00C26502">
            <w:pPr>
              <w:suppressAutoHyphens/>
              <w:spacing w:before="60" w:after="60"/>
              <w:jc w:val="center"/>
              <w:rPr>
                <w:lang w:eastAsia="ar-SA"/>
              </w:rPr>
            </w:pPr>
            <w:r w:rsidRPr="008B3BC0">
              <w:rPr>
                <w:lang w:eastAsia="ar-SA"/>
              </w:rPr>
              <w:t>1</w:t>
            </w:r>
          </w:p>
        </w:tc>
        <w:tc>
          <w:tcPr>
            <w:tcW w:w="2409" w:type="dxa"/>
          </w:tcPr>
          <w:p w:rsidR="00C26502" w:rsidRPr="008B3BC0" w:rsidRDefault="00C26502" w:rsidP="00C26502">
            <w:pPr>
              <w:suppressAutoHyphens/>
              <w:spacing w:before="60" w:after="60"/>
              <w:rPr>
                <w:lang w:eastAsia="ar-SA"/>
              </w:rPr>
            </w:pPr>
            <w:r w:rsidRPr="008B3BC0">
              <w:rPr>
                <w:lang w:eastAsia="ar-SA"/>
              </w:rPr>
              <w:t xml:space="preserve">Penetracja w </w:t>
            </w:r>
            <w:smartTag w:uri="urn:schemas-microsoft-com:office:smarttags" w:element="metricconverter">
              <w:smartTagPr>
                <w:attr w:name="ProductID" w:val="25ﾰC"/>
              </w:smartTagPr>
              <w:r w:rsidRPr="008B3BC0">
                <w:rPr>
                  <w:lang w:eastAsia="ar-SA"/>
                </w:rPr>
                <w:t>25°C</w:t>
              </w:r>
            </w:smartTag>
          </w:p>
        </w:tc>
        <w:tc>
          <w:tcPr>
            <w:tcW w:w="851" w:type="dxa"/>
          </w:tcPr>
          <w:p w:rsidR="00C26502" w:rsidRPr="008B3BC0" w:rsidRDefault="00C26502" w:rsidP="00C26502">
            <w:pPr>
              <w:suppressAutoHyphens/>
              <w:spacing w:before="60" w:after="60"/>
              <w:jc w:val="center"/>
              <w:rPr>
                <w:lang w:eastAsia="ar-SA"/>
              </w:rPr>
            </w:pPr>
            <w:smartTag w:uri="urn:schemas-microsoft-com:office:smarttags" w:element="metricconverter">
              <w:smartTagPr>
                <w:attr w:name="ProductID" w:val="0,1 mm"/>
              </w:smartTagPr>
              <w:r w:rsidRPr="008B3BC0">
                <w:rPr>
                  <w:lang w:eastAsia="ar-SA"/>
                </w:rPr>
                <w:t>0,1 mm</w:t>
              </w:r>
            </w:smartTag>
          </w:p>
        </w:tc>
        <w:tc>
          <w:tcPr>
            <w:tcW w:w="1984" w:type="dxa"/>
          </w:tcPr>
          <w:p w:rsidR="00C26502" w:rsidRPr="008B3BC0" w:rsidRDefault="00C26502" w:rsidP="00C26502">
            <w:pPr>
              <w:suppressAutoHyphens/>
              <w:spacing w:before="60" w:after="60"/>
              <w:jc w:val="center"/>
              <w:rPr>
                <w:lang w:eastAsia="ar-SA"/>
              </w:rPr>
            </w:pPr>
            <w:r w:rsidRPr="008B3BC0">
              <w:rPr>
                <w:lang w:eastAsia="ar-SA"/>
              </w:rPr>
              <w:t>PN-EN 1426 [21]</w:t>
            </w:r>
          </w:p>
        </w:tc>
        <w:tc>
          <w:tcPr>
            <w:tcW w:w="851" w:type="dxa"/>
          </w:tcPr>
          <w:p w:rsidR="00C26502" w:rsidRPr="008B3BC0" w:rsidRDefault="00C26502" w:rsidP="00C26502">
            <w:pPr>
              <w:suppressAutoHyphens/>
              <w:spacing w:before="60" w:after="60"/>
              <w:jc w:val="center"/>
              <w:rPr>
                <w:lang w:eastAsia="ar-SA"/>
              </w:rPr>
            </w:pPr>
            <w:r w:rsidRPr="008B3BC0">
              <w:rPr>
                <w:lang w:eastAsia="ar-SA"/>
              </w:rPr>
              <w:t>50-70</w:t>
            </w:r>
          </w:p>
        </w:tc>
        <w:tc>
          <w:tcPr>
            <w:tcW w:w="882" w:type="dxa"/>
          </w:tcPr>
          <w:p w:rsidR="00C26502" w:rsidRPr="008B3BC0" w:rsidRDefault="00C26502" w:rsidP="00C26502">
            <w:pPr>
              <w:suppressAutoHyphens/>
              <w:spacing w:before="60" w:after="60"/>
              <w:jc w:val="center"/>
              <w:rPr>
                <w:lang w:eastAsia="ar-SA"/>
              </w:rPr>
            </w:pPr>
            <w:r w:rsidRPr="008B3BC0">
              <w:rPr>
                <w:lang w:eastAsia="ar-SA"/>
              </w:rPr>
              <w:t>70-100</w:t>
            </w:r>
          </w:p>
        </w:tc>
      </w:tr>
      <w:tr w:rsidR="00C26502" w:rsidRPr="008B3BC0" w:rsidTr="00C26502">
        <w:trPr>
          <w:jc w:val="center"/>
        </w:trPr>
        <w:tc>
          <w:tcPr>
            <w:tcW w:w="534" w:type="dxa"/>
          </w:tcPr>
          <w:p w:rsidR="00C26502" w:rsidRPr="008B3BC0" w:rsidRDefault="00C26502" w:rsidP="00C26502">
            <w:pPr>
              <w:suppressAutoHyphens/>
              <w:spacing w:before="60" w:after="60"/>
              <w:jc w:val="center"/>
              <w:rPr>
                <w:lang w:eastAsia="ar-SA"/>
              </w:rPr>
            </w:pPr>
            <w:r w:rsidRPr="008B3BC0">
              <w:rPr>
                <w:lang w:eastAsia="ar-SA"/>
              </w:rPr>
              <w:t>2</w:t>
            </w:r>
          </w:p>
        </w:tc>
        <w:tc>
          <w:tcPr>
            <w:tcW w:w="2409" w:type="dxa"/>
          </w:tcPr>
          <w:p w:rsidR="00C26502" w:rsidRPr="008B3BC0" w:rsidRDefault="00C26502" w:rsidP="00C26502">
            <w:pPr>
              <w:suppressAutoHyphens/>
              <w:spacing w:before="60" w:after="60"/>
              <w:rPr>
                <w:lang w:eastAsia="ar-SA"/>
              </w:rPr>
            </w:pPr>
            <w:r w:rsidRPr="008B3BC0">
              <w:rPr>
                <w:lang w:eastAsia="ar-SA"/>
              </w:rPr>
              <w:t>Temperatura mięknienia</w:t>
            </w:r>
          </w:p>
        </w:tc>
        <w:tc>
          <w:tcPr>
            <w:tcW w:w="851" w:type="dxa"/>
          </w:tcPr>
          <w:p w:rsidR="00C26502" w:rsidRPr="008B3BC0" w:rsidRDefault="00C26502" w:rsidP="00C26502">
            <w:pPr>
              <w:suppressAutoHyphens/>
              <w:spacing w:before="60" w:after="60"/>
              <w:jc w:val="center"/>
              <w:rPr>
                <w:lang w:eastAsia="ar-SA"/>
              </w:rPr>
            </w:pPr>
            <w:r w:rsidRPr="008B3BC0">
              <w:rPr>
                <w:lang w:eastAsia="ar-SA"/>
              </w:rPr>
              <w:t>°C</w:t>
            </w:r>
          </w:p>
        </w:tc>
        <w:tc>
          <w:tcPr>
            <w:tcW w:w="1984" w:type="dxa"/>
          </w:tcPr>
          <w:p w:rsidR="00C26502" w:rsidRPr="008B3BC0" w:rsidRDefault="00C26502" w:rsidP="00C26502">
            <w:pPr>
              <w:suppressAutoHyphens/>
              <w:spacing w:before="60" w:after="60"/>
              <w:jc w:val="center"/>
              <w:rPr>
                <w:lang w:eastAsia="ar-SA"/>
              </w:rPr>
            </w:pPr>
            <w:r w:rsidRPr="008B3BC0">
              <w:rPr>
                <w:lang w:eastAsia="ar-SA"/>
              </w:rPr>
              <w:t>PN-EN 1427 [22]</w:t>
            </w:r>
          </w:p>
        </w:tc>
        <w:tc>
          <w:tcPr>
            <w:tcW w:w="851" w:type="dxa"/>
          </w:tcPr>
          <w:p w:rsidR="00C26502" w:rsidRPr="008B3BC0" w:rsidRDefault="00C26502" w:rsidP="00C26502">
            <w:pPr>
              <w:suppressAutoHyphens/>
              <w:spacing w:before="60" w:after="60"/>
              <w:jc w:val="center"/>
              <w:rPr>
                <w:lang w:eastAsia="ar-SA"/>
              </w:rPr>
            </w:pPr>
            <w:r w:rsidRPr="008B3BC0">
              <w:rPr>
                <w:lang w:eastAsia="ar-SA"/>
              </w:rPr>
              <w:t>46-54</w:t>
            </w:r>
          </w:p>
        </w:tc>
        <w:tc>
          <w:tcPr>
            <w:tcW w:w="882" w:type="dxa"/>
          </w:tcPr>
          <w:p w:rsidR="00C26502" w:rsidRPr="008B3BC0" w:rsidRDefault="00C26502" w:rsidP="00C26502">
            <w:pPr>
              <w:suppressAutoHyphens/>
              <w:spacing w:before="60" w:after="60"/>
              <w:jc w:val="center"/>
              <w:rPr>
                <w:lang w:eastAsia="ar-SA"/>
              </w:rPr>
            </w:pPr>
            <w:r w:rsidRPr="008B3BC0">
              <w:rPr>
                <w:lang w:eastAsia="ar-SA"/>
              </w:rPr>
              <w:t>43-51</w:t>
            </w:r>
          </w:p>
        </w:tc>
      </w:tr>
      <w:tr w:rsidR="00C26502" w:rsidRPr="008B3BC0" w:rsidTr="00C26502">
        <w:trPr>
          <w:jc w:val="center"/>
        </w:trPr>
        <w:tc>
          <w:tcPr>
            <w:tcW w:w="534" w:type="dxa"/>
          </w:tcPr>
          <w:p w:rsidR="00C26502" w:rsidRPr="008B3BC0" w:rsidRDefault="00C26502" w:rsidP="00C26502">
            <w:pPr>
              <w:suppressAutoHyphens/>
              <w:jc w:val="center"/>
              <w:rPr>
                <w:lang w:eastAsia="ar-SA"/>
              </w:rPr>
            </w:pPr>
            <w:r w:rsidRPr="008B3BC0">
              <w:rPr>
                <w:lang w:eastAsia="ar-SA"/>
              </w:rPr>
              <w:t>3</w:t>
            </w:r>
          </w:p>
        </w:tc>
        <w:tc>
          <w:tcPr>
            <w:tcW w:w="2409" w:type="dxa"/>
          </w:tcPr>
          <w:p w:rsidR="00C26502" w:rsidRPr="008B3BC0" w:rsidRDefault="00C26502" w:rsidP="00C26502">
            <w:pPr>
              <w:suppressAutoHyphens/>
              <w:rPr>
                <w:lang w:eastAsia="ar-SA"/>
              </w:rPr>
            </w:pPr>
            <w:r w:rsidRPr="008B3BC0">
              <w:rPr>
                <w:lang w:eastAsia="ar-SA"/>
              </w:rPr>
              <w:t xml:space="preserve">Temperatura zapłonu, </w:t>
            </w:r>
          </w:p>
          <w:p w:rsidR="00C26502" w:rsidRPr="008B3BC0" w:rsidRDefault="00C26502" w:rsidP="00C26502">
            <w:pPr>
              <w:suppressAutoHyphens/>
              <w:rPr>
                <w:lang w:eastAsia="ar-SA"/>
              </w:rPr>
            </w:pPr>
            <w:r w:rsidRPr="008B3BC0">
              <w:rPr>
                <w:lang w:eastAsia="ar-SA"/>
              </w:rPr>
              <w:t>nie mniej niż</w:t>
            </w:r>
          </w:p>
        </w:tc>
        <w:tc>
          <w:tcPr>
            <w:tcW w:w="851" w:type="dxa"/>
          </w:tcPr>
          <w:p w:rsidR="00C26502" w:rsidRPr="008B3BC0" w:rsidRDefault="00C26502" w:rsidP="00C26502">
            <w:pPr>
              <w:suppressAutoHyphens/>
              <w:spacing w:before="120"/>
              <w:jc w:val="center"/>
              <w:rPr>
                <w:lang w:eastAsia="ar-SA"/>
              </w:rPr>
            </w:pPr>
            <w:r w:rsidRPr="008B3BC0">
              <w:rPr>
                <w:lang w:eastAsia="ar-SA"/>
              </w:rPr>
              <w:t>°C</w:t>
            </w:r>
          </w:p>
        </w:tc>
        <w:tc>
          <w:tcPr>
            <w:tcW w:w="1984" w:type="dxa"/>
          </w:tcPr>
          <w:p w:rsidR="00C26502" w:rsidRPr="008B3BC0" w:rsidRDefault="00C26502" w:rsidP="00C26502">
            <w:pPr>
              <w:suppressAutoHyphens/>
              <w:spacing w:before="120"/>
              <w:jc w:val="center"/>
              <w:rPr>
                <w:lang w:eastAsia="ar-SA"/>
              </w:rPr>
            </w:pPr>
            <w:r w:rsidRPr="008B3BC0">
              <w:rPr>
                <w:lang w:eastAsia="ar-SA"/>
              </w:rPr>
              <w:t>PN-EN 22592 [62]</w:t>
            </w:r>
          </w:p>
        </w:tc>
        <w:tc>
          <w:tcPr>
            <w:tcW w:w="851" w:type="dxa"/>
          </w:tcPr>
          <w:p w:rsidR="00C26502" w:rsidRPr="008B3BC0" w:rsidRDefault="00C26502" w:rsidP="00C26502">
            <w:pPr>
              <w:suppressAutoHyphens/>
              <w:spacing w:before="120"/>
              <w:jc w:val="center"/>
              <w:rPr>
                <w:lang w:eastAsia="ar-SA"/>
              </w:rPr>
            </w:pPr>
            <w:r w:rsidRPr="008B3BC0">
              <w:rPr>
                <w:lang w:eastAsia="ar-SA"/>
              </w:rPr>
              <w:t>230</w:t>
            </w:r>
          </w:p>
        </w:tc>
        <w:tc>
          <w:tcPr>
            <w:tcW w:w="882" w:type="dxa"/>
          </w:tcPr>
          <w:p w:rsidR="00C26502" w:rsidRPr="008B3BC0" w:rsidRDefault="00C26502" w:rsidP="00C26502">
            <w:pPr>
              <w:suppressAutoHyphens/>
              <w:spacing w:before="120"/>
              <w:jc w:val="center"/>
              <w:rPr>
                <w:lang w:eastAsia="ar-SA"/>
              </w:rPr>
            </w:pPr>
            <w:r w:rsidRPr="008B3BC0">
              <w:rPr>
                <w:lang w:eastAsia="ar-SA"/>
              </w:rPr>
              <w:t>230</w:t>
            </w:r>
          </w:p>
        </w:tc>
      </w:tr>
      <w:tr w:rsidR="00C26502" w:rsidRPr="008B3BC0" w:rsidTr="00C26502">
        <w:trPr>
          <w:jc w:val="center"/>
        </w:trPr>
        <w:tc>
          <w:tcPr>
            <w:tcW w:w="534" w:type="dxa"/>
          </w:tcPr>
          <w:p w:rsidR="00C26502" w:rsidRPr="008B3BC0" w:rsidRDefault="00C26502" w:rsidP="00C26502">
            <w:pPr>
              <w:suppressAutoHyphens/>
              <w:jc w:val="center"/>
              <w:rPr>
                <w:lang w:eastAsia="ar-SA"/>
              </w:rPr>
            </w:pPr>
            <w:r w:rsidRPr="008B3BC0">
              <w:rPr>
                <w:lang w:eastAsia="ar-SA"/>
              </w:rPr>
              <w:t>4</w:t>
            </w:r>
          </w:p>
        </w:tc>
        <w:tc>
          <w:tcPr>
            <w:tcW w:w="2409" w:type="dxa"/>
          </w:tcPr>
          <w:p w:rsidR="00C26502" w:rsidRPr="008B3BC0" w:rsidRDefault="00C26502" w:rsidP="00C26502">
            <w:pPr>
              <w:suppressAutoHyphens/>
              <w:rPr>
                <w:lang w:eastAsia="ar-SA"/>
              </w:rPr>
            </w:pPr>
            <w:r w:rsidRPr="008B3BC0">
              <w:rPr>
                <w:lang w:eastAsia="ar-SA"/>
              </w:rPr>
              <w:t xml:space="preserve">Zawartość składników rozpuszczalnych, </w:t>
            </w:r>
          </w:p>
          <w:p w:rsidR="00C26502" w:rsidRPr="008B3BC0" w:rsidRDefault="00C26502" w:rsidP="00C26502">
            <w:pPr>
              <w:suppressAutoHyphens/>
              <w:rPr>
                <w:lang w:eastAsia="ar-SA"/>
              </w:rPr>
            </w:pPr>
            <w:r w:rsidRPr="008B3BC0">
              <w:rPr>
                <w:lang w:eastAsia="ar-SA"/>
              </w:rPr>
              <w:t>nie mniej niż</w:t>
            </w:r>
          </w:p>
        </w:tc>
        <w:tc>
          <w:tcPr>
            <w:tcW w:w="851" w:type="dxa"/>
          </w:tcPr>
          <w:p w:rsidR="00C26502" w:rsidRPr="008B3BC0" w:rsidRDefault="00C26502" w:rsidP="00C26502">
            <w:pPr>
              <w:suppressAutoHyphens/>
              <w:jc w:val="center"/>
              <w:rPr>
                <w:lang w:eastAsia="ar-SA"/>
              </w:rPr>
            </w:pPr>
          </w:p>
          <w:p w:rsidR="00C26502" w:rsidRPr="008B3BC0" w:rsidRDefault="00C26502" w:rsidP="00C26502">
            <w:pPr>
              <w:suppressAutoHyphens/>
              <w:jc w:val="center"/>
              <w:rPr>
                <w:lang w:eastAsia="ar-SA"/>
              </w:rPr>
            </w:pPr>
            <w:r w:rsidRPr="008B3BC0">
              <w:rPr>
                <w:lang w:eastAsia="ar-SA"/>
              </w:rPr>
              <w:t>% m/m</w:t>
            </w:r>
          </w:p>
        </w:tc>
        <w:tc>
          <w:tcPr>
            <w:tcW w:w="1984" w:type="dxa"/>
          </w:tcPr>
          <w:p w:rsidR="00C26502" w:rsidRPr="008B3BC0" w:rsidRDefault="00C26502" w:rsidP="00C26502">
            <w:pPr>
              <w:suppressAutoHyphens/>
              <w:jc w:val="center"/>
              <w:rPr>
                <w:lang w:eastAsia="ar-SA"/>
              </w:rPr>
            </w:pPr>
          </w:p>
          <w:p w:rsidR="00C26502" w:rsidRPr="008B3BC0" w:rsidRDefault="00C26502" w:rsidP="00C26502">
            <w:pPr>
              <w:suppressAutoHyphens/>
              <w:jc w:val="center"/>
              <w:rPr>
                <w:lang w:eastAsia="ar-SA"/>
              </w:rPr>
            </w:pPr>
            <w:r w:rsidRPr="008B3BC0">
              <w:rPr>
                <w:lang w:eastAsia="ar-SA"/>
              </w:rPr>
              <w:t>PN-EN 12592 [28]</w:t>
            </w:r>
          </w:p>
        </w:tc>
        <w:tc>
          <w:tcPr>
            <w:tcW w:w="851" w:type="dxa"/>
          </w:tcPr>
          <w:p w:rsidR="00C26502" w:rsidRPr="008B3BC0" w:rsidRDefault="00C26502" w:rsidP="00C26502">
            <w:pPr>
              <w:suppressAutoHyphens/>
              <w:jc w:val="center"/>
              <w:rPr>
                <w:lang w:eastAsia="ar-SA"/>
              </w:rPr>
            </w:pPr>
          </w:p>
          <w:p w:rsidR="00C26502" w:rsidRPr="008B3BC0" w:rsidRDefault="00C26502" w:rsidP="00C26502">
            <w:pPr>
              <w:suppressAutoHyphens/>
              <w:jc w:val="center"/>
              <w:rPr>
                <w:lang w:eastAsia="ar-SA"/>
              </w:rPr>
            </w:pPr>
            <w:r w:rsidRPr="008B3BC0">
              <w:rPr>
                <w:lang w:eastAsia="ar-SA"/>
              </w:rPr>
              <w:t>99</w:t>
            </w:r>
          </w:p>
        </w:tc>
        <w:tc>
          <w:tcPr>
            <w:tcW w:w="882" w:type="dxa"/>
          </w:tcPr>
          <w:p w:rsidR="00C26502" w:rsidRPr="008B3BC0" w:rsidRDefault="00C26502" w:rsidP="00C26502">
            <w:pPr>
              <w:suppressAutoHyphens/>
              <w:jc w:val="center"/>
              <w:rPr>
                <w:lang w:eastAsia="ar-SA"/>
              </w:rPr>
            </w:pPr>
          </w:p>
          <w:p w:rsidR="00C26502" w:rsidRPr="008B3BC0" w:rsidRDefault="00C26502" w:rsidP="00C26502">
            <w:pPr>
              <w:suppressAutoHyphens/>
              <w:jc w:val="center"/>
              <w:rPr>
                <w:lang w:eastAsia="ar-SA"/>
              </w:rPr>
            </w:pPr>
            <w:r w:rsidRPr="008B3BC0">
              <w:rPr>
                <w:lang w:eastAsia="ar-SA"/>
              </w:rPr>
              <w:t>99</w:t>
            </w:r>
          </w:p>
        </w:tc>
      </w:tr>
      <w:tr w:rsidR="00C26502" w:rsidRPr="008B3BC0" w:rsidTr="00C26502">
        <w:trPr>
          <w:jc w:val="center"/>
        </w:trPr>
        <w:tc>
          <w:tcPr>
            <w:tcW w:w="534" w:type="dxa"/>
          </w:tcPr>
          <w:p w:rsidR="00C26502" w:rsidRPr="008B3BC0" w:rsidRDefault="00C26502" w:rsidP="00C26502">
            <w:pPr>
              <w:suppressAutoHyphens/>
              <w:jc w:val="center"/>
              <w:rPr>
                <w:lang w:eastAsia="ar-SA"/>
              </w:rPr>
            </w:pPr>
            <w:r w:rsidRPr="008B3BC0">
              <w:rPr>
                <w:lang w:eastAsia="ar-SA"/>
              </w:rPr>
              <w:t>5</w:t>
            </w:r>
          </w:p>
        </w:tc>
        <w:tc>
          <w:tcPr>
            <w:tcW w:w="2409" w:type="dxa"/>
          </w:tcPr>
          <w:p w:rsidR="00C26502" w:rsidRPr="008B3BC0" w:rsidRDefault="00C26502" w:rsidP="00C26502">
            <w:pPr>
              <w:suppressAutoHyphens/>
              <w:rPr>
                <w:lang w:eastAsia="ar-SA"/>
              </w:rPr>
            </w:pPr>
            <w:r w:rsidRPr="008B3BC0">
              <w:rPr>
                <w:lang w:eastAsia="ar-SA"/>
              </w:rPr>
              <w:t xml:space="preserve">Zmiana masy po starzeniu (ubytek lub przyrost), </w:t>
            </w:r>
          </w:p>
          <w:p w:rsidR="00C26502" w:rsidRPr="008B3BC0" w:rsidRDefault="00C26502" w:rsidP="00C26502">
            <w:pPr>
              <w:suppressAutoHyphens/>
              <w:rPr>
                <w:lang w:eastAsia="ar-SA"/>
              </w:rPr>
            </w:pPr>
            <w:r w:rsidRPr="008B3BC0">
              <w:rPr>
                <w:lang w:eastAsia="ar-SA"/>
              </w:rPr>
              <w:t>nie więcej niż</w:t>
            </w:r>
          </w:p>
        </w:tc>
        <w:tc>
          <w:tcPr>
            <w:tcW w:w="851" w:type="dxa"/>
          </w:tcPr>
          <w:p w:rsidR="00C26502" w:rsidRPr="008B3BC0" w:rsidRDefault="00C26502" w:rsidP="00C26502">
            <w:pPr>
              <w:suppressAutoHyphens/>
              <w:jc w:val="center"/>
              <w:rPr>
                <w:lang w:eastAsia="ar-SA"/>
              </w:rPr>
            </w:pPr>
          </w:p>
          <w:p w:rsidR="00C26502" w:rsidRPr="008B3BC0" w:rsidRDefault="00C26502" w:rsidP="00C26502">
            <w:pPr>
              <w:suppressAutoHyphens/>
              <w:jc w:val="center"/>
              <w:rPr>
                <w:lang w:eastAsia="ar-SA"/>
              </w:rPr>
            </w:pPr>
            <w:r w:rsidRPr="008B3BC0">
              <w:rPr>
                <w:lang w:eastAsia="ar-SA"/>
              </w:rPr>
              <w:t>% m/m</w:t>
            </w:r>
          </w:p>
        </w:tc>
        <w:tc>
          <w:tcPr>
            <w:tcW w:w="1984" w:type="dxa"/>
          </w:tcPr>
          <w:p w:rsidR="00C26502" w:rsidRPr="008B3BC0" w:rsidRDefault="00C26502" w:rsidP="00C26502">
            <w:pPr>
              <w:suppressAutoHyphens/>
              <w:jc w:val="center"/>
              <w:rPr>
                <w:lang w:eastAsia="ar-SA"/>
              </w:rPr>
            </w:pPr>
          </w:p>
          <w:p w:rsidR="00C26502" w:rsidRPr="008B3BC0" w:rsidRDefault="00C26502" w:rsidP="00C26502">
            <w:pPr>
              <w:suppressAutoHyphens/>
              <w:jc w:val="center"/>
              <w:rPr>
                <w:lang w:eastAsia="ar-SA"/>
              </w:rPr>
            </w:pPr>
            <w:r w:rsidRPr="008B3BC0">
              <w:rPr>
                <w:lang w:eastAsia="ar-SA"/>
              </w:rPr>
              <w:t>PN-EN 12607-1 [31]</w:t>
            </w:r>
          </w:p>
        </w:tc>
        <w:tc>
          <w:tcPr>
            <w:tcW w:w="851" w:type="dxa"/>
          </w:tcPr>
          <w:p w:rsidR="00C26502" w:rsidRPr="008B3BC0" w:rsidRDefault="00C26502" w:rsidP="00C26502">
            <w:pPr>
              <w:suppressAutoHyphens/>
              <w:jc w:val="center"/>
              <w:rPr>
                <w:lang w:eastAsia="ar-SA"/>
              </w:rPr>
            </w:pPr>
          </w:p>
          <w:p w:rsidR="00C26502" w:rsidRPr="008B3BC0" w:rsidRDefault="00C26502" w:rsidP="00C26502">
            <w:pPr>
              <w:suppressAutoHyphens/>
              <w:jc w:val="center"/>
              <w:rPr>
                <w:lang w:eastAsia="ar-SA"/>
              </w:rPr>
            </w:pPr>
            <w:r w:rsidRPr="008B3BC0">
              <w:rPr>
                <w:lang w:eastAsia="ar-SA"/>
              </w:rPr>
              <w:t>0,5</w:t>
            </w:r>
          </w:p>
        </w:tc>
        <w:tc>
          <w:tcPr>
            <w:tcW w:w="882" w:type="dxa"/>
          </w:tcPr>
          <w:p w:rsidR="00C26502" w:rsidRPr="008B3BC0" w:rsidRDefault="00C26502" w:rsidP="00C26502">
            <w:pPr>
              <w:suppressAutoHyphens/>
              <w:jc w:val="center"/>
              <w:rPr>
                <w:lang w:eastAsia="ar-SA"/>
              </w:rPr>
            </w:pPr>
          </w:p>
          <w:p w:rsidR="00C26502" w:rsidRPr="008B3BC0" w:rsidRDefault="00C26502" w:rsidP="00C26502">
            <w:pPr>
              <w:suppressAutoHyphens/>
              <w:jc w:val="center"/>
              <w:rPr>
                <w:lang w:eastAsia="ar-SA"/>
              </w:rPr>
            </w:pPr>
            <w:r w:rsidRPr="008B3BC0">
              <w:rPr>
                <w:lang w:eastAsia="ar-SA"/>
              </w:rPr>
              <w:t>0,8</w:t>
            </w:r>
          </w:p>
        </w:tc>
      </w:tr>
      <w:tr w:rsidR="00C26502" w:rsidRPr="008B3BC0" w:rsidTr="00C26502">
        <w:trPr>
          <w:jc w:val="center"/>
        </w:trPr>
        <w:tc>
          <w:tcPr>
            <w:tcW w:w="534" w:type="dxa"/>
          </w:tcPr>
          <w:p w:rsidR="00C26502" w:rsidRPr="008B3BC0" w:rsidRDefault="00C26502" w:rsidP="00C26502">
            <w:pPr>
              <w:suppressAutoHyphens/>
              <w:jc w:val="center"/>
              <w:rPr>
                <w:lang w:eastAsia="ar-SA"/>
              </w:rPr>
            </w:pPr>
            <w:r w:rsidRPr="008B3BC0">
              <w:rPr>
                <w:lang w:eastAsia="ar-SA"/>
              </w:rPr>
              <w:t>6</w:t>
            </w:r>
          </w:p>
        </w:tc>
        <w:tc>
          <w:tcPr>
            <w:tcW w:w="2409" w:type="dxa"/>
          </w:tcPr>
          <w:p w:rsidR="00C26502" w:rsidRPr="008B3BC0" w:rsidRDefault="00C26502" w:rsidP="00C26502">
            <w:pPr>
              <w:suppressAutoHyphens/>
              <w:rPr>
                <w:lang w:eastAsia="ar-SA"/>
              </w:rPr>
            </w:pPr>
            <w:r w:rsidRPr="008B3BC0">
              <w:rPr>
                <w:lang w:eastAsia="ar-SA"/>
              </w:rPr>
              <w:t>Pozostała penetracja po starzeniu, nie mniej niż</w:t>
            </w:r>
          </w:p>
        </w:tc>
        <w:tc>
          <w:tcPr>
            <w:tcW w:w="851" w:type="dxa"/>
          </w:tcPr>
          <w:p w:rsidR="00C26502" w:rsidRPr="008B3BC0" w:rsidRDefault="00C26502" w:rsidP="00C26502">
            <w:pPr>
              <w:suppressAutoHyphens/>
              <w:spacing w:before="120"/>
              <w:jc w:val="center"/>
              <w:rPr>
                <w:lang w:eastAsia="ar-SA"/>
              </w:rPr>
            </w:pPr>
            <w:r w:rsidRPr="008B3BC0">
              <w:rPr>
                <w:lang w:eastAsia="ar-SA"/>
              </w:rPr>
              <w:t>%</w:t>
            </w:r>
          </w:p>
        </w:tc>
        <w:tc>
          <w:tcPr>
            <w:tcW w:w="1984" w:type="dxa"/>
          </w:tcPr>
          <w:p w:rsidR="00C26502" w:rsidRPr="008B3BC0" w:rsidRDefault="00C26502" w:rsidP="00C26502">
            <w:pPr>
              <w:suppressAutoHyphens/>
              <w:spacing w:before="120"/>
              <w:jc w:val="center"/>
              <w:rPr>
                <w:lang w:eastAsia="ar-SA"/>
              </w:rPr>
            </w:pPr>
            <w:r w:rsidRPr="008B3BC0">
              <w:rPr>
                <w:lang w:eastAsia="ar-SA"/>
              </w:rPr>
              <w:t>PN-EN 1426 [21]</w:t>
            </w:r>
          </w:p>
        </w:tc>
        <w:tc>
          <w:tcPr>
            <w:tcW w:w="851" w:type="dxa"/>
          </w:tcPr>
          <w:p w:rsidR="00C26502" w:rsidRPr="008B3BC0" w:rsidRDefault="00C26502" w:rsidP="00C26502">
            <w:pPr>
              <w:suppressAutoHyphens/>
              <w:spacing w:before="120"/>
              <w:jc w:val="center"/>
              <w:rPr>
                <w:lang w:eastAsia="ar-SA"/>
              </w:rPr>
            </w:pPr>
            <w:r w:rsidRPr="008B3BC0">
              <w:rPr>
                <w:lang w:eastAsia="ar-SA"/>
              </w:rPr>
              <w:t>50</w:t>
            </w:r>
          </w:p>
        </w:tc>
        <w:tc>
          <w:tcPr>
            <w:tcW w:w="882" w:type="dxa"/>
          </w:tcPr>
          <w:p w:rsidR="00C26502" w:rsidRPr="008B3BC0" w:rsidRDefault="00C26502" w:rsidP="00C26502">
            <w:pPr>
              <w:suppressAutoHyphens/>
              <w:spacing w:before="120"/>
              <w:jc w:val="center"/>
              <w:rPr>
                <w:lang w:eastAsia="ar-SA"/>
              </w:rPr>
            </w:pPr>
            <w:r w:rsidRPr="008B3BC0">
              <w:rPr>
                <w:lang w:eastAsia="ar-SA"/>
              </w:rPr>
              <w:t>46</w:t>
            </w:r>
          </w:p>
        </w:tc>
      </w:tr>
      <w:tr w:rsidR="00C26502" w:rsidRPr="008B3BC0" w:rsidTr="00C26502">
        <w:trPr>
          <w:jc w:val="center"/>
        </w:trPr>
        <w:tc>
          <w:tcPr>
            <w:tcW w:w="534" w:type="dxa"/>
          </w:tcPr>
          <w:p w:rsidR="00C26502" w:rsidRPr="008B3BC0" w:rsidRDefault="00C26502" w:rsidP="00C26502">
            <w:pPr>
              <w:suppressAutoHyphens/>
              <w:jc w:val="center"/>
              <w:rPr>
                <w:lang w:eastAsia="ar-SA"/>
              </w:rPr>
            </w:pPr>
            <w:r w:rsidRPr="008B3BC0">
              <w:rPr>
                <w:lang w:eastAsia="ar-SA"/>
              </w:rPr>
              <w:t>7</w:t>
            </w:r>
          </w:p>
        </w:tc>
        <w:tc>
          <w:tcPr>
            <w:tcW w:w="2409" w:type="dxa"/>
          </w:tcPr>
          <w:p w:rsidR="00C26502" w:rsidRPr="008B3BC0" w:rsidRDefault="00C26502" w:rsidP="00C26502">
            <w:pPr>
              <w:suppressAutoHyphens/>
              <w:rPr>
                <w:lang w:eastAsia="ar-SA"/>
              </w:rPr>
            </w:pPr>
            <w:r w:rsidRPr="008B3BC0">
              <w:rPr>
                <w:lang w:eastAsia="ar-SA"/>
              </w:rPr>
              <w:t>Temperatura mięknienia po starzeniu, nie mniej niż</w:t>
            </w:r>
          </w:p>
        </w:tc>
        <w:tc>
          <w:tcPr>
            <w:tcW w:w="851" w:type="dxa"/>
          </w:tcPr>
          <w:p w:rsidR="00C26502" w:rsidRPr="008B3BC0" w:rsidRDefault="00C26502" w:rsidP="00C26502">
            <w:pPr>
              <w:suppressAutoHyphens/>
              <w:spacing w:before="120"/>
              <w:jc w:val="center"/>
              <w:rPr>
                <w:lang w:eastAsia="ar-SA"/>
              </w:rPr>
            </w:pPr>
            <w:r w:rsidRPr="008B3BC0">
              <w:rPr>
                <w:lang w:eastAsia="ar-SA"/>
              </w:rPr>
              <w:t>°C</w:t>
            </w:r>
          </w:p>
        </w:tc>
        <w:tc>
          <w:tcPr>
            <w:tcW w:w="1984" w:type="dxa"/>
          </w:tcPr>
          <w:p w:rsidR="00C26502" w:rsidRPr="008B3BC0" w:rsidRDefault="00C26502" w:rsidP="00C26502">
            <w:pPr>
              <w:suppressAutoHyphens/>
              <w:spacing w:before="120"/>
              <w:jc w:val="center"/>
              <w:rPr>
                <w:lang w:eastAsia="ar-SA"/>
              </w:rPr>
            </w:pPr>
            <w:r w:rsidRPr="008B3BC0">
              <w:rPr>
                <w:lang w:eastAsia="ar-SA"/>
              </w:rPr>
              <w:t>PN-EN 1427 [22]</w:t>
            </w:r>
          </w:p>
        </w:tc>
        <w:tc>
          <w:tcPr>
            <w:tcW w:w="851" w:type="dxa"/>
          </w:tcPr>
          <w:p w:rsidR="00C26502" w:rsidRPr="008B3BC0" w:rsidRDefault="00C26502" w:rsidP="00C26502">
            <w:pPr>
              <w:suppressAutoHyphens/>
              <w:spacing w:before="120"/>
              <w:jc w:val="center"/>
              <w:rPr>
                <w:lang w:eastAsia="ar-SA"/>
              </w:rPr>
            </w:pPr>
            <w:r w:rsidRPr="008B3BC0">
              <w:rPr>
                <w:lang w:eastAsia="ar-SA"/>
              </w:rPr>
              <w:t>48</w:t>
            </w:r>
          </w:p>
        </w:tc>
        <w:tc>
          <w:tcPr>
            <w:tcW w:w="882" w:type="dxa"/>
          </w:tcPr>
          <w:p w:rsidR="00C26502" w:rsidRPr="008B3BC0" w:rsidRDefault="00C26502" w:rsidP="00C26502">
            <w:pPr>
              <w:suppressAutoHyphens/>
              <w:spacing w:before="120"/>
              <w:jc w:val="center"/>
              <w:rPr>
                <w:lang w:eastAsia="ar-SA"/>
              </w:rPr>
            </w:pPr>
            <w:r w:rsidRPr="008B3BC0">
              <w:rPr>
                <w:lang w:eastAsia="ar-SA"/>
              </w:rPr>
              <w:t>45</w:t>
            </w:r>
          </w:p>
        </w:tc>
      </w:tr>
      <w:tr w:rsidR="00C26502" w:rsidRPr="008B3BC0" w:rsidTr="00C26502">
        <w:trPr>
          <w:jc w:val="center"/>
        </w:trPr>
        <w:tc>
          <w:tcPr>
            <w:tcW w:w="7511" w:type="dxa"/>
            <w:gridSpan w:val="6"/>
          </w:tcPr>
          <w:p w:rsidR="00C26502" w:rsidRPr="008B3BC0" w:rsidRDefault="00C26502" w:rsidP="00C26502">
            <w:pPr>
              <w:suppressAutoHyphens/>
              <w:jc w:val="center"/>
              <w:rPr>
                <w:lang w:eastAsia="ar-SA"/>
              </w:rPr>
            </w:pPr>
            <w:r w:rsidRPr="008B3BC0">
              <w:rPr>
                <w:lang w:eastAsia="ar-SA"/>
              </w:rPr>
              <w:t>WŁAŚCIWOŚCI   SPECJALNE   KRAJOWE</w:t>
            </w:r>
          </w:p>
        </w:tc>
      </w:tr>
      <w:tr w:rsidR="00C26502" w:rsidRPr="008B3BC0" w:rsidTr="00C26502">
        <w:trPr>
          <w:jc w:val="center"/>
        </w:trPr>
        <w:tc>
          <w:tcPr>
            <w:tcW w:w="534" w:type="dxa"/>
          </w:tcPr>
          <w:p w:rsidR="00C26502" w:rsidRPr="008B3BC0" w:rsidRDefault="00C26502" w:rsidP="00C26502">
            <w:pPr>
              <w:suppressAutoHyphens/>
              <w:jc w:val="center"/>
              <w:rPr>
                <w:lang w:eastAsia="ar-SA"/>
              </w:rPr>
            </w:pPr>
            <w:r w:rsidRPr="008B3BC0">
              <w:rPr>
                <w:lang w:eastAsia="ar-SA"/>
              </w:rPr>
              <w:t>8</w:t>
            </w:r>
          </w:p>
        </w:tc>
        <w:tc>
          <w:tcPr>
            <w:tcW w:w="2409" w:type="dxa"/>
          </w:tcPr>
          <w:p w:rsidR="00C26502" w:rsidRPr="008B3BC0" w:rsidRDefault="00C26502" w:rsidP="00C26502">
            <w:pPr>
              <w:suppressAutoHyphens/>
              <w:rPr>
                <w:lang w:eastAsia="ar-SA"/>
              </w:rPr>
            </w:pPr>
            <w:r w:rsidRPr="008B3BC0">
              <w:rPr>
                <w:lang w:eastAsia="ar-SA"/>
              </w:rPr>
              <w:t xml:space="preserve">Zawartość parafiny, </w:t>
            </w:r>
          </w:p>
          <w:p w:rsidR="00C26502" w:rsidRPr="008B3BC0" w:rsidRDefault="00C26502" w:rsidP="00C26502">
            <w:pPr>
              <w:suppressAutoHyphens/>
              <w:rPr>
                <w:lang w:eastAsia="ar-SA"/>
              </w:rPr>
            </w:pPr>
            <w:r w:rsidRPr="008B3BC0">
              <w:rPr>
                <w:lang w:eastAsia="ar-SA"/>
              </w:rPr>
              <w:t>nie więcej niż</w:t>
            </w:r>
          </w:p>
        </w:tc>
        <w:tc>
          <w:tcPr>
            <w:tcW w:w="851" w:type="dxa"/>
          </w:tcPr>
          <w:p w:rsidR="00C26502" w:rsidRPr="008B3BC0" w:rsidRDefault="00C26502" w:rsidP="00C26502">
            <w:pPr>
              <w:suppressAutoHyphens/>
              <w:spacing w:before="120"/>
              <w:jc w:val="center"/>
              <w:rPr>
                <w:lang w:eastAsia="ar-SA"/>
              </w:rPr>
            </w:pPr>
            <w:r w:rsidRPr="008B3BC0">
              <w:rPr>
                <w:lang w:eastAsia="ar-SA"/>
              </w:rPr>
              <w:t>%</w:t>
            </w:r>
          </w:p>
        </w:tc>
        <w:tc>
          <w:tcPr>
            <w:tcW w:w="1984" w:type="dxa"/>
          </w:tcPr>
          <w:p w:rsidR="00C26502" w:rsidRPr="008B3BC0" w:rsidRDefault="00C26502" w:rsidP="00C26502">
            <w:pPr>
              <w:suppressAutoHyphens/>
              <w:spacing w:before="120"/>
              <w:jc w:val="center"/>
              <w:rPr>
                <w:lang w:eastAsia="ar-SA"/>
              </w:rPr>
            </w:pPr>
            <w:r w:rsidRPr="008B3BC0">
              <w:rPr>
                <w:lang w:eastAsia="ar-SA"/>
              </w:rPr>
              <w:t>PN-EN 12606-1 [30]</w:t>
            </w:r>
          </w:p>
        </w:tc>
        <w:tc>
          <w:tcPr>
            <w:tcW w:w="851" w:type="dxa"/>
          </w:tcPr>
          <w:p w:rsidR="00C26502" w:rsidRPr="008B3BC0" w:rsidRDefault="00C26502" w:rsidP="00C26502">
            <w:pPr>
              <w:suppressAutoHyphens/>
              <w:spacing w:before="120"/>
              <w:jc w:val="center"/>
              <w:rPr>
                <w:lang w:eastAsia="ar-SA"/>
              </w:rPr>
            </w:pPr>
            <w:r w:rsidRPr="008B3BC0">
              <w:rPr>
                <w:lang w:eastAsia="ar-SA"/>
              </w:rPr>
              <w:t>2,2</w:t>
            </w:r>
          </w:p>
        </w:tc>
        <w:tc>
          <w:tcPr>
            <w:tcW w:w="882" w:type="dxa"/>
          </w:tcPr>
          <w:p w:rsidR="00C26502" w:rsidRPr="008B3BC0" w:rsidRDefault="00C26502" w:rsidP="00C26502">
            <w:pPr>
              <w:suppressAutoHyphens/>
              <w:spacing w:before="120"/>
              <w:jc w:val="center"/>
              <w:rPr>
                <w:lang w:eastAsia="ar-SA"/>
              </w:rPr>
            </w:pPr>
            <w:r w:rsidRPr="008B3BC0">
              <w:rPr>
                <w:lang w:eastAsia="ar-SA"/>
              </w:rPr>
              <w:t>2,2</w:t>
            </w:r>
          </w:p>
        </w:tc>
      </w:tr>
      <w:tr w:rsidR="00C26502" w:rsidRPr="008B3BC0" w:rsidTr="00C26502">
        <w:trPr>
          <w:jc w:val="center"/>
        </w:trPr>
        <w:tc>
          <w:tcPr>
            <w:tcW w:w="534" w:type="dxa"/>
          </w:tcPr>
          <w:p w:rsidR="00C26502" w:rsidRPr="008B3BC0" w:rsidRDefault="00C26502" w:rsidP="00C26502">
            <w:pPr>
              <w:suppressAutoHyphens/>
              <w:jc w:val="center"/>
              <w:rPr>
                <w:lang w:eastAsia="ar-SA"/>
              </w:rPr>
            </w:pPr>
            <w:r w:rsidRPr="008B3BC0">
              <w:rPr>
                <w:lang w:eastAsia="ar-SA"/>
              </w:rPr>
              <w:t>9</w:t>
            </w:r>
          </w:p>
        </w:tc>
        <w:tc>
          <w:tcPr>
            <w:tcW w:w="2409" w:type="dxa"/>
          </w:tcPr>
          <w:p w:rsidR="00C26502" w:rsidRPr="008B3BC0" w:rsidRDefault="00C26502" w:rsidP="00C26502">
            <w:pPr>
              <w:suppressAutoHyphens/>
              <w:rPr>
                <w:lang w:eastAsia="ar-SA"/>
              </w:rPr>
            </w:pPr>
            <w:r w:rsidRPr="008B3BC0">
              <w:rPr>
                <w:lang w:eastAsia="ar-SA"/>
              </w:rPr>
              <w:t>Wzrost temp. mięknienia po starzeniu, nie więcej niż</w:t>
            </w:r>
          </w:p>
        </w:tc>
        <w:tc>
          <w:tcPr>
            <w:tcW w:w="851" w:type="dxa"/>
          </w:tcPr>
          <w:p w:rsidR="00C26502" w:rsidRPr="008B3BC0" w:rsidRDefault="00C26502" w:rsidP="00C26502">
            <w:pPr>
              <w:suppressAutoHyphens/>
              <w:spacing w:before="120"/>
              <w:jc w:val="center"/>
              <w:rPr>
                <w:lang w:eastAsia="ar-SA"/>
              </w:rPr>
            </w:pPr>
            <w:r w:rsidRPr="008B3BC0">
              <w:rPr>
                <w:lang w:eastAsia="ar-SA"/>
              </w:rPr>
              <w:t>°C</w:t>
            </w:r>
          </w:p>
        </w:tc>
        <w:tc>
          <w:tcPr>
            <w:tcW w:w="1984" w:type="dxa"/>
          </w:tcPr>
          <w:p w:rsidR="00C26502" w:rsidRPr="008B3BC0" w:rsidRDefault="00C26502" w:rsidP="00C26502">
            <w:pPr>
              <w:suppressAutoHyphens/>
              <w:spacing w:before="120"/>
              <w:jc w:val="center"/>
              <w:rPr>
                <w:lang w:eastAsia="ar-SA"/>
              </w:rPr>
            </w:pPr>
            <w:r w:rsidRPr="008B3BC0">
              <w:rPr>
                <w:lang w:eastAsia="ar-SA"/>
              </w:rPr>
              <w:t>PN-EN 1427 [22]</w:t>
            </w:r>
          </w:p>
        </w:tc>
        <w:tc>
          <w:tcPr>
            <w:tcW w:w="851" w:type="dxa"/>
          </w:tcPr>
          <w:p w:rsidR="00C26502" w:rsidRPr="008B3BC0" w:rsidRDefault="00C26502" w:rsidP="00C26502">
            <w:pPr>
              <w:suppressAutoHyphens/>
              <w:spacing w:before="120"/>
              <w:jc w:val="center"/>
              <w:rPr>
                <w:lang w:eastAsia="ar-SA"/>
              </w:rPr>
            </w:pPr>
            <w:r w:rsidRPr="008B3BC0">
              <w:rPr>
                <w:lang w:eastAsia="ar-SA"/>
              </w:rPr>
              <w:t>9</w:t>
            </w:r>
          </w:p>
        </w:tc>
        <w:tc>
          <w:tcPr>
            <w:tcW w:w="882" w:type="dxa"/>
          </w:tcPr>
          <w:p w:rsidR="00C26502" w:rsidRPr="008B3BC0" w:rsidRDefault="00C26502" w:rsidP="00C26502">
            <w:pPr>
              <w:suppressAutoHyphens/>
              <w:spacing w:before="120"/>
              <w:jc w:val="center"/>
              <w:rPr>
                <w:lang w:eastAsia="ar-SA"/>
              </w:rPr>
            </w:pPr>
            <w:r w:rsidRPr="008B3BC0">
              <w:rPr>
                <w:lang w:eastAsia="ar-SA"/>
              </w:rPr>
              <w:t>9</w:t>
            </w:r>
          </w:p>
        </w:tc>
      </w:tr>
      <w:tr w:rsidR="00C26502" w:rsidRPr="008B3BC0" w:rsidTr="00C26502">
        <w:trPr>
          <w:jc w:val="center"/>
        </w:trPr>
        <w:tc>
          <w:tcPr>
            <w:tcW w:w="534" w:type="dxa"/>
          </w:tcPr>
          <w:p w:rsidR="00C26502" w:rsidRPr="008B3BC0" w:rsidRDefault="00C26502" w:rsidP="00C26502">
            <w:pPr>
              <w:suppressAutoHyphens/>
              <w:jc w:val="center"/>
              <w:rPr>
                <w:lang w:eastAsia="ar-SA"/>
              </w:rPr>
            </w:pPr>
            <w:r w:rsidRPr="008B3BC0">
              <w:rPr>
                <w:lang w:eastAsia="ar-SA"/>
              </w:rPr>
              <w:t>10</w:t>
            </w:r>
          </w:p>
        </w:tc>
        <w:tc>
          <w:tcPr>
            <w:tcW w:w="2409" w:type="dxa"/>
          </w:tcPr>
          <w:p w:rsidR="00C26502" w:rsidRPr="008B3BC0" w:rsidRDefault="00C26502" w:rsidP="00C26502">
            <w:pPr>
              <w:suppressAutoHyphens/>
              <w:rPr>
                <w:lang w:eastAsia="ar-SA"/>
              </w:rPr>
            </w:pPr>
            <w:r w:rsidRPr="008B3BC0">
              <w:rPr>
                <w:lang w:eastAsia="ar-SA"/>
              </w:rPr>
              <w:t>Temperatura łamliwości Fraassa, nie więcej niż</w:t>
            </w:r>
          </w:p>
        </w:tc>
        <w:tc>
          <w:tcPr>
            <w:tcW w:w="851" w:type="dxa"/>
          </w:tcPr>
          <w:p w:rsidR="00C26502" w:rsidRPr="008B3BC0" w:rsidRDefault="00C26502" w:rsidP="00C26502">
            <w:pPr>
              <w:suppressAutoHyphens/>
              <w:spacing w:before="120"/>
              <w:jc w:val="center"/>
              <w:rPr>
                <w:lang w:eastAsia="ar-SA"/>
              </w:rPr>
            </w:pPr>
            <w:r w:rsidRPr="008B3BC0">
              <w:rPr>
                <w:lang w:eastAsia="ar-SA"/>
              </w:rPr>
              <w:t>°C</w:t>
            </w:r>
          </w:p>
        </w:tc>
        <w:tc>
          <w:tcPr>
            <w:tcW w:w="1984" w:type="dxa"/>
          </w:tcPr>
          <w:p w:rsidR="00C26502" w:rsidRPr="008B3BC0" w:rsidRDefault="00C26502" w:rsidP="00C26502">
            <w:pPr>
              <w:suppressAutoHyphens/>
              <w:spacing w:before="120"/>
              <w:jc w:val="center"/>
              <w:rPr>
                <w:lang w:eastAsia="ar-SA"/>
              </w:rPr>
            </w:pPr>
            <w:r w:rsidRPr="008B3BC0">
              <w:rPr>
                <w:lang w:eastAsia="ar-SA"/>
              </w:rPr>
              <w:t>PN-EN 12593 [29]</w:t>
            </w:r>
          </w:p>
        </w:tc>
        <w:tc>
          <w:tcPr>
            <w:tcW w:w="851" w:type="dxa"/>
          </w:tcPr>
          <w:p w:rsidR="00C26502" w:rsidRPr="008B3BC0" w:rsidRDefault="00C26502" w:rsidP="00C26502">
            <w:pPr>
              <w:suppressAutoHyphens/>
              <w:spacing w:before="120"/>
              <w:jc w:val="center"/>
              <w:rPr>
                <w:lang w:eastAsia="ar-SA"/>
              </w:rPr>
            </w:pPr>
            <w:r w:rsidRPr="008B3BC0">
              <w:rPr>
                <w:lang w:eastAsia="ar-SA"/>
              </w:rPr>
              <w:t>-8</w:t>
            </w:r>
          </w:p>
        </w:tc>
        <w:tc>
          <w:tcPr>
            <w:tcW w:w="882" w:type="dxa"/>
          </w:tcPr>
          <w:p w:rsidR="00C26502" w:rsidRPr="008B3BC0" w:rsidRDefault="00C26502" w:rsidP="00C26502">
            <w:pPr>
              <w:suppressAutoHyphens/>
              <w:spacing w:before="120"/>
              <w:jc w:val="center"/>
              <w:rPr>
                <w:lang w:eastAsia="ar-SA"/>
              </w:rPr>
            </w:pPr>
            <w:r w:rsidRPr="008B3BC0">
              <w:rPr>
                <w:lang w:eastAsia="ar-SA"/>
              </w:rPr>
              <w:t>-10</w:t>
            </w:r>
          </w:p>
        </w:tc>
      </w:tr>
    </w:tbl>
    <w:p w:rsidR="00C26502" w:rsidRPr="008B3BC0" w:rsidRDefault="00C26502" w:rsidP="00C26502">
      <w:pPr>
        <w:tabs>
          <w:tab w:val="left" w:pos="993"/>
        </w:tabs>
        <w:suppressAutoHyphens/>
        <w:spacing w:after="120"/>
        <w:ind w:left="992" w:hanging="992"/>
        <w:jc w:val="center"/>
        <w:rPr>
          <w:lang w:eastAsia="ar-SA"/>
        </w:rPr>
      </w:pPr>
      <w:r w:rsidRPr="008B3BC0">
        <w:rPr>
          <w:lang w:eastAsia="ar-SA"/>
        </w:rPr>
        <w:t>Tablica 4.Wymagania wobec asfaltów modyfikowanych polimerami (polimeroasfaltów) wg PN-EN 14023 [59]</w:t>
      </w:r>
    </w:p>
    <w:tbl>
      <w:tblPr>
        <w:tblW w:w="74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01"/>
        <w:gridCol w:w="1134"/>
        <w:gridCol w:w="850"/>
        <w:gridCol w:w="803"/>
        <w:gridCol w:w="1080"/>
        <w:gridCol w:w="720"/>
        <w:gridCol w:w="1080"/>
        <w:gridCol w:w="720"/>
      </w:tblGrid>
      <w:tr w:rsidR="00C26502" w:rsidRPr="008B3BC0" w:rsidTr="00C26502">
        <w:trPr>
          <w:jc w:val="center"/>
        </w:trPr>
        <w:tc>
          <w:tcPr>
            <w:tcW w:w="1101" w:type="dxa"/>
            <w:vMerge w:val="restart"/>
            <w:vAlign w:val="center"/>
          </w:tcPr>
          <w:p w:rsidR="00C26502" w:rsidRPr="008B3BC0" w:rsidRDefault="00C26502" w:rsidP="00C26502">
            <w:pPr>
              <w:suppressAutoHyphens/>
              <w:jc w:val="center"/>
              <w:rPr>
                <w:sz w:val="16"/>
                <w:szCs w:val="16"/>
                <w:lang w:eastAsia="ar-SA"/>
              </w:rPr>
            </w:pPr>
          </w:p>
          <w:p w:rsidR="00C26502" w:rsidRPr="008B3BC0" w:rsidRDefault="00C26502" w:rsidP="00C26502">
            <w:pPr>
              <w:suppressAutoHyphens/>
              <w:jc w:val="center"/>
              <w:rPr>
                <w:sz w:val="16"/>
                <w:szCs w:val="16"/>
                <w:lang w:eastAsia="ar-SA"/>
              </w:rPr>
            </w:pPr>
            <w:r w:rsidRPr="008B3BC0">
              <w:rPr>
                <w:sz w:val="16"/>
                <w:szCs w:val="16"/>
                <w:lang w:eastAsia="ar-SA"/>
              </w:rPr>
              <w:t>Wymaganie</w:t>
            </w:r>
          </w:p>
          <w:p w:rsidR="00C26502" w:rsidRPr="008B3BC0" w:rsidRDefault="00C26502" w:rsidP="00C26502">
            <w:pPr>
              <w:suppressAutoHyphens/>
              <w:jc w:val="center"/>
              <w:rPr>
                <w:sz w:val="16"/>
                <w:szCs w:val="16"/>
                <w:lang w:eastAsia="ar-SA"/>
              </w:rPr>
            </w:pPr>
            <w:r w:rsidRPr="008B3BC0">
              <w:rPr>
                <w:sz w:val="16"/>
                <w:szCs w:val="16"/>
                <w:lang w:eastAsia="ar-SA"/>
              </w:rPr>
              <w:t>podstawowe</w:t>
            </w:r>
          </w:p>
        </w:tc>
        <w:tc>
          <w:tcPr>
            <w:tcW w:w="1134" w:type="dxa"/>
            <w:vMerge w:val="restart"/>
            <w:vAlign w:val="center"/>
          </w:tcPr>
          <w:p w:rsidR="00C26502" w:rsidRPr="008B3BC0" w:rsidRDefault="00C26502" w:rsidP="00C26502">
            <w:pPr>
              <w:suppressAutoHyphens/>
              <w:jc w:val="center"/>
              <w:rPr>
                <w:sz w:val="16"/>
                <w:szCs w:val="16"/>
                <w:lang w:eastAsia="ar-SA"/>
              </w:rPr>
            </w:pPr>
          </w:p>
          <w:p w:rsidR="00C26502" w:rsidRPr="008B3BC0" w:rsidRDefault="00C26502" w:rsidP="00C26502">
            <w:pPr>
              <w:suppressAutoHyphens/>
              <w:jc w:val="center"/>
              <w:rPr>
                <w:sz w:val="16"/>
                <w:szCs w:val="16"/>
                <w:lang w:eastAsia="ar-SA"/>
              </w:rPr>
            </w:pPr>
            <w:r w:rsidRPr="008B3BC0">
              <w:rPr>
                <w:sz w:val="16"/>
                <w:szCs w:val="16"/>
                <w:lang w:eastAsia="ar-SA"/>
              </w:rPr>
              <w:t>Właściwość</w:t>
            </w:r>
          </w:p>
        </w:tc>
        <w:tc>
          <w:tcPr>
            <w:tcW w:w="850" w:type="dxa"/>
            <w:vMerge w:val="restart"/>
            <w:vAlign w:val="center"/>
          </w:tcPr>
          <w:p w:rsidR="00C26502" w:rsidRPr="008B3BC0" w:rsidRDefault="00C26502" w:rsidP="00C26502">
            <w:pPr>
              <w:suppressAutoHyphens/>
              <w:jc w:val="center"/>
              <w:rPr>
                <w:sz w:val="16"/>
                <w:szCs w:val="16"/>
                <w:lang w:eastAsia="ar-SA"/>
              </w:rPr>
            </w:pPr>
          </w:p>
          <w:p w:rsidR="00C26502" w:rsidRPr="008B3BC0" w:rsidRDefault="00C26502" w:rsidP="00C26502">
            <w:pPr>
              <w:suppressAutoHyphens/>
              <w:jc w:val="center"/>
              <w:rPr>
                <w:sz w:val="16"/>
                <w:szCs w:val="16"/>
                <w:lang w:eastAsia="ar-SA"/>
              </w:rPr>
            </w:pPr>
            <w:r w:rsidRPr="008B3BC0">
              <w:rPr>
                <w:sz w:val="16"/>
                <w:szCs w:val="16"/>
                <w:lang w:eastAsia="ar-SA"/>
              </w:rPr>
              <w:t>Metoda</w:t>
            </w:r>
          </w:p>
          <w:p w:rsidR="00C26502" w:rsidRPr="008B3BC0" w:rsidRDefault="00C26502" w:rsidP="00C26502">
            <w:pPr>
              <w:suppressAutoHyphens/>
              <w:jc w:val="center"/>
              <w:rPr>
                <w:sz w:val="16"/>
                <w:szCs w:val="16"/>
                <w:lang w:eastAsia="ar-SA"/>
              </w:rPr>
            </w:pPr>
            <w:r w:rsidRPr="008B3BC0">
              <w:rPr>
                <w:sz w:val="16"/>
                <w:szCs w:val="16"/>
                <w:lang w:eastAsia="ar-SA"/>
              </w:rPr>
              <w:t>badania</w:t>
            </w:r>
          </w:p>
        </w:tc>
        <w:tc>
          <w:tcPr>
            <w:tcW w:w="803" w:type="dxa"/>
            <w:vMerge w:val="restart"/>
            <w:vAlign w:val="center"/>
          </w:tcPr>
          <w:p w:rsidR="00C26502" w:rsidRPr="008B3BC0" w:rsidRDefault="00C26502" w:rsidP="00C26502">
            <w:pPr>
              <w:suppressAutoHyphens/>
              <w:jc w:val="center"/>
              <w:rPr>
                <w:sz w:val="16"/>
                <w:szCs w:val="16"/>
                <w:lang w:eastAsia="ar-SA"/>
              </w:rPr>
            </w:pPr>
            <w:r w:rsidRPr="008B3BC0">
              <w:rPr>
                <w:sz w:val="16"/>
                <w:szCs w:val="16"/>
                <w:lang w:eastAsia="ar-SA"/>
              </w:rPr>
              <w:t>Jed-</w:t>
            </w:r>
          </w:p>
          <w:p w:rsidR="00C26502" w:rsidRPr="008B3BC0" w:rsidRDefault="00C26502" w:rsidP="00C26502">
            <w:pPr>
              <w:suppressAutoHyphens/>
              <w:jc w:val="center"/>
              <w:rPr>
                <w:sz w:val="16"/>
                <w:szCs w:val="16"/>
                <w:lang w:eastAsia="ar-SA"/>
              </w:rPr>
            </w:pPr>
            <w:r w:rsidRPr="008B3BC0">
              <w:rPr>
                <w:sz w:val="16"/>
                <w:szCs w:val="16"/>
                <w:lang w:eastAsia="ar-SA"/>
              </w:rPr>
              <w:t>nostka</w:t>
            </w:r>
          </w:p>
        </w:tc>
        <w:tc>
          <w:tcPr>
            <w:tcW w:w="3600" w:type="dxa"/>
            <w:gridSpan w:val="4"/>
          </w:tcPr>
          <w:p w:rsidR="00C26502" w:rsidRPr="008B3BC0" w:rsidRDefault="00C26502" w:rsidP="00C26502">
            <w:pPr>
              <w:suppressAutoHyphens/>
              <w:jc w:val="center"/>
              <w:rPr>
                <w:sz w:val="16"/>
                <w:szCs w:val="16"/>
                <w:lang w:eastAsia="ar-SA"/>
              </w:rPr>
            </w:pPr>
            <w:r w:rsidRPr="008B3BC0">
              <w:rPr>
                <w:sz w:val="16"/>
                <w:szCs w:val="16"/>
                <w:lang w:eastAsia="ar-SA"/>
              </w:rPr>
              <w:t>Gatunki asfaltów modyfikowanych</w:t>
            </w:r>
          </w:p>
          <w:p w:rsidR="00C26502" w:rsidRPr="008B3BC0" w:rsidRDefault="00C26502" w:rsidP="00C26502">
            <w:pPr>
              <w:suppressAutoHyphens/>
              <w:jc w:val="center"/>
              <w:rPr>
                <w:sz w:val="16"/>
                <w:szCs w:val="16"/>
                <w:lang w:eastAsia="ar-SA"/>
              </w:rPr>
            </w:pPr>
            <w:r w:rsidRPr="008B3BC0">
              <w:rPr>
                <w:sz w:val="16"/>
                <w:szCs w:val="16"/>
                <w:lang w:eastAsia="ar-SA"/>
              </w:rPr>
              <w:t>polimerami (PMB)</w:t>
            </w:r>
          </w:p>
        </w:tc>
      </w:tr>
      <w:tr w:rsidR="00C26502" w:rsidRPr="008B3BC0" w:rsidTr="00C26502">
        <w:trPr>
          <w:jc w:val="center"/>
        </w:trPr>
        <w:tc>
          <w:tcPr>
            <w:tcW w:w="1101" w:type="dxa"/>
            <w:vMerge/>
          </w:tcPr>
          <w:p w:rsidR="00C26502" w:rsidRPr="008B3BC0" w:rsidRDefault="00C26502" w:rsidP="00C26502">
            <w:pPr>
              <w:suppressAutoHyphens/>
              <w:jc w:val="center"/>
              <w:rPr>
                <w:sz w:val="16"/>
                <w:szCs w:val="16"/>
                <w:lang w:eastAsia="ar-SA"/>
              </w:rPr>
            </w:pPr>
          </w:p>
        </w:tc>
        <w:tc>
          <w:tcPr>
            <w:tcW w:w="1134" w:type="dxa"/>
            <w:vMerge/>
          </w:tcPr>
          <w:p w:rsidR="00C26502" w:rsidRPr="008B3BC0" w:rsidRDefault="00C26502" w:rsidP="00C26502">
            <w:pPr>
              <w:suppressAutoHyphens/>
              <w:jc w:val="center"/>
              <w:rPr>
                <w:sz w:val="16"/>
                <w:szCs w:val="16"/>
                <w:lang w:eastAsia="ar-SA"/>
              </w:rPr>
            </w:pPr>
          </w:p>
        </w:tc>
        <w:tc>
          <w:tcPr>
            <w:tcW w:w="850" w:type="dxa"/>
            <w:vMerge/>
          </w:tcPr>
          <w:p w:rsidR="00C26502" w:rsidRPr="008B3BC0" w:rsidRDefault="00C26502" w:rsidP="00C26502">
            <w:pPr>
              <w:suppressAutoHyphens/>
              <w:jc w:val="center"/>
              <w:rPr>
                <w:sz w:val="16"/>
                <w:szCs w:val="16"/>
                <w:lang w:eastAsia="ar-SA"/>
              </w:rPr>
            </w:pPr>
          </w:p>
        </w:tc>
        <w:tc>
          <w:tcPr>
            <w:tcW w:w="803" w:type="dxa"/>
            <w:vMerge/>
          </w:tcPr>
          <w:p w:rsidR="00C26502" w:rsidRPr="008B3BC0" w:rsidRDefault="00C26502" w:rsidP="00C26502">
            <w:pPr>
              <w:suppressAutoHyphens/>
              <w:jc w:val="center"/>
              <w:rPr>
                <w:sz w:val="16"/>
                <w:szCs w:val="16"/>
                <w:lang w:eastAsia="ar-SA"/>
              </w:rPr>
            </w:pPr>
          </w:p>
        </w:tc>
        <w:tc>
          <w:tcPr>
            <w:tcW w:w="1800" w:type="dxa"/>
            <w:gridSpan w:val="2"/>
          </w:tcPr>
          <w:p w:rsidR="00C26502" w:rsidRPr="008B3BC0" w:rsidRDefault="00C26502" w:rsidP="00C26502">
            <w:pPr>
              <w:suppressAutoHyphens/>
              <w:jc w:val="center"/>
              <w:rPr>
                <w:sz w:val="16"/>
                <w:szCs w:val="16"/>
                <w:lang w:eastAsia="ar-SA"/>
              </w:rPr>
            </w:pPr>
            <w:r w:rsidRPr="008B3BC0">
              <w:rPr>
                <w:sz w:val="16"/>
                <w:szCs w:val="16"/>
                <w:lang w:eastAsia="ar-SA"/>
              </w:rPr>
              <w:t>45/80 – 55</w:t>
            </w:r>
          </w:p>
        </w:tc>
        <w:tc>
          <w:tcPr>
            <w:tcW w:w="1800" w:type="dxa"/>
            <w:gridSpan w:val="2"/>
          </w:tcPr>
          <w:p w:rsidR="00C26502" w:rsidRPr="008B3BC0" w:rsidRDefault="00C26502" w:rsidP="00C26502">
            <w:pPr>
              <w:suppressAutoHyphens/>
              <w:jc w:val="center"/>
              <w:rPr>
                <w:sz w:val="16"/>
                <w:szCs w:val="16"/>
                <w:lang w:eastAsia="ar-SA"/>
              </w:rPr>
            </w:pPr>
            <w:r w:rsidRPr="008B3BC0">
              <w:rPr>
                <w:sz w:val="16"/>
                <w:szCs w:val="16"/>
                <w:lang w:eastAsia="ar-SA"/>
              </w:rPr>
              <w:t>45/80 – 65</w:t>
            </w:r>
          </w:p>
        </w:tc>
      </w:tr>
      <w:tr w:rsidR="00C26502" w:rsidRPr="008B3BC0" w:rsidTr="00C26502">
        <w:trPr>
          <w:jc w:val="center"/>
        </w:trPr>
        <w:tc>
          <w:tcPr>
            <w:tcW w:w="1101" w:type="dxa"/>
            <w:vMerge/>
          </w:tcPr>
          <w:p w:rsidR="00C26502" w:rsidRPr="008B3BC0" w:rsidRDefault="00C26502" w:rsidP="00C26502">
            <w:pPr>
              <w:suppressAutoHyphens/>
              <w:jc w:val="center"/>
              <w:rPr>
                <w:sz w:val="16"/>
                <w:szCs w:val="16"/>
                <w:lang w:eastAsia="ar-SA"/>
              </w:rPr>
            </w:pPr>
          </w:p>
        </w:tc>
        <w:tc>
          <w:tcPr>
            <w:tcW w:w="1134" w:type="dxa"/>
            <w:vMerge/>
          </w:tcPr>
          <w:p w:rsidR="00C26502" w:rsidRPr="008B3BC0" w:rsidRDefault="00C26502" w:rsidP="00C26502">
            <w:pPr>
              <w:suppressAutoHyphens/>
              <w:jc w:val="center"/>
              <w:rPr>
                <w:sz w:val="16"/>
                <w:szCs w:val="16"/>
                <w:lang w:eastAsia="ar-SA"/>
              </w:rPr>
            </w:pPr>
          </w:p>
        </w:tc>
        <w:tc>
          <w:tcPr>
            <w:tcW w:w="850" w:type="dxa"/>
            <w:vMerge/>
          </w:tcPr>
          <w:p w:rsidR="00C26502" w:rsidRPr="008B3BC0" w:rsidRDefault="00C26502" w:rsidP="00C26502">
            <w:pPr>
              <w:suppressAutoHyphens/>
              <w:jc w:val="center"/>
              <w:rPr>
                <w:sz w:val="16"/>
                <w:szCs w:val="16"/>
                <w:lang w:eastAsia="ar-SA"/>
              </w:rPr>
            </w:pPr>
          </w:p>
        </w:tc>
        <w:tc>
          <w:tcPr>
            <w:tcW w:w="803" w:type="dxa"/>
            <w:vMerge/>
          </w:tcPr>
          <w:p w:rsidR="00C26502" w:rsidRPr="008B3BC0" w:rsidRDefault="00C26502" w:rsidP="00C26502">
            <w:pPr>
              <w:suppressAutoHyphens/>
              <w:jc w:val="center"/>
              <w:rPr>
                <w:sz w:val="16"/>
                <w:szCs w:val="16"/>
                <w:lang w:eastAsia="ar-SA"/>
              </w:rPr>
            </w:pPr>
          </w:p>
        </w:tc>
        <w:tc>
          <w:tcPr>
            <w:tcW w:w="1080" w:type="dxa"/>
          </w:tcPr>
          <w:p w:rsidR="00C26502" w:rsidRPr="008B3BC0" w:rsidRDefault="00C26502" w:rsidP="00C26502">
            <w:pPr>
              <w:suppressAutoHyphens/>
              <w:spacing w:after="60"/>
              <w:jc w:val="center"/>
              <w:rPr>
                <w:sz w:val="16"/>
                <w:szCs w:val="16"/>
                <w:lang w:eastAsia="ar-SA"/>
              </w:rPr>
            </w:pPr>
            <w:r w:rsidRPr="008B3BC0">
              <w:rPr>
                <w:sz w:val="16"/>
                <w:szCs w:val="16"/>
                <w:lang w:eastAsia="ar-SA"/>
              </w:rPr>
              <w:t>wymaganie</w:t>
            </w:r>
          </w:p>
        </w:tc>
        <w:tc>
          <w:tcPr>
            <w:tcW w:w="720" w:type="dxa"/>
          </w:tcPr>
          <w:p w:rsidR="00C26502" w:rsidRPr="008B3BC0" w:rsidRDefault="00C26502" w:rsidP="00C26502">
            <w:pPr>
              <w:suppressAutoHyphens/>
              <w:jc w:val="center"/>
              <w:rPr>
                <w:sz w:val="16"/>
                <w:szCs w:val="16"/>
                <w:lang w:eastAsia="ar-SA"/>
              </w:rPr>
            </w:pPr>
            <w:r w:rsidRPr="008B3BC0">
              <w:rPr>
                <w:sz w:val="16"/>
                <w:szCs w:val="16"/>
                <w:lang w:eastAsia="ar-SA"/>
              </w:rPr>
              <w:t>klasa</w:t>
            </w:r>
          </w:p>
        </w:tc>
        <w:tc>
          <w:tcPr>
            <w:tcW w:w="1080" w:type="dxa"/>
          </w:tcPr>
          <w:p w:rsidR="00C26502" w:rsidRPr="008B3BC0" w:rsidRDefault="00C26502" w:rsidP="00C26502">
            <w:pPr>
              <w:suppressAutoHyphens/>
              <w:jc w:val="center"/>
              <w:rPr>
                <w:sz w:val="16"/>
                <w:szCs w:val="16"/>
                <w:lang w:eastAsia="ar-SA"/>
              </w:rPr>
            </w:pPr>
            <w:r w:rsidRPr="008B3BC0">
              <w:rPr>
                <w:sz w:val="16"/>
                <w:szCs w:val="16"/>
                <w:lang w:eastAsia="ar-SA"/>
              </w:rPr>
              <w:t>wymaganie</w:t>
            </w:r>
          </w:p>
        </w:tc>
        <w:tc>
          <w:tcPr>
            <w:tcW w:w="720" w:type="dxa"/>
          </w:tcPr>
          <w:p w:rsidR="00C26502" w:rsidRPr="008B3BC0" w:rsidRDefault="00C26502" w:rsidP="00C26502">
            <w:pPr>
              <w:suppressAutoHyphens/>
              <w:jc w:val="center"/>
              <w:rPr>
                <w:sz w:val="16"/>
                <w:szCs w:val="16"/>
                <w:lang w:eastAsia="ar-SA"/>
              </w:rPr>
            </w:pPr>
            <w:r w:rsidRPr="008B3BC0">
              <w:rPr>
                <w:sz w:val="16"/>
                <w:szCs w:val="16"/>
                <w:lang w:eastAsia="ar-SA"/>
              </w:rPr>
              <w:t>klasa</w:t>
            </w:r>
          </w:p>
        </w:tc>
      </w:tr>
      <w:tr w:rsidR="00C26502" w:rsidRPr="008B3BC0" w:rsidTr="00C26502">
        <w:trPr>
          <w:jc w:val="center"/>
        </w:trPr>
        <w:tc>
          <w:tcPr>
            <w:tcW w:w="1101" w:type="dxa"/>
          </w:tcPr>
          <w:p w:rsidR="00C26502" w:rsidRPr="008B3BC0" w:rsidRDefault="00C26502" w:rsidP="00C26502">
            <w:pPr>
              <w:suppressAutoHyphens/>
              <w:rPr>
                <w:sz w:val="16"/>
                <w:szCs w:val="16"/>
                <w:lang w:eastAsia="ar-SA"/>
              </w:rPr>
            </w:pPr>
            <w:r w:rsidRPr="008B3BC0">
              <w:rPr>
                <w:sz w:val="16"/>
                <w:szCs w:val="16"/>
                <w:lang w:eastAsia="ar-SA"/>
              </w:rPr>
              <w:t>Konsystencja w pośrednich temperatu-racheksploa-tacyjnych</w:t>
            </w:r>
          </w:p>
        </w:tc>
        <w:tc>
          <w:tcPr>
            <w:tcW w:w="1134" w:type="dxa"/>
            <w:vAlign w:val="center"/>
          </w:tcPr>
          <w:p w:rsidR="00C26502" w:rsidRPr="008B3BC0" w:rsidRDefault="00C26502" w:rsidP="00C26502">
            <w:pPr>
              <w:suppressAutoHyphens/>
              <w:rPr>
                <w:sz w:val="16"/>
                <w:szCs w:val="16"/>
                <w:lang w:eastAsia="ar-SA"/>
              </w:rPr>
            </w:pPr>
            <w:r w:rsidRPr="008B3BC0">
              <w:rPr>
                <w:sz w:val="16"/>
                <w:szCs w:val="16"/>
                <w:lang w:eastAsia="ar-SA"/>
              </w:rPr>
              <w:t xml:space="preserve">Penetracja </w:t>
            </w:r>
          </w:p>
          <w:p w:rsidR="00C26502" w:rsidRPr="008B3BC0" w:rsidRDefault="00C26502" w:rsidP="00C26502">
            <w:pPr>
              <w:suppressAutoHyphens/>
              <w:rPr>
                <w:sz w:val="16"/>
                <w:szCs w:val="16"/>
                <w:lang w:eastAsia="ar-SA"/>
              </w:rPr>
            </w:pPr>
            <w:r w:rsidRPr="008B3BC0">
              <w:rPr>
                <w:sz w:val="16"/>
                <w:szCs w:val="16"/>
                <w:lang w:eastAsia="ar-SA"/>
              </w:rPr>
              <w:t xml:space="preserve">w </w:t>
            </w:r>
            <w:smartTag w:uri="urn:schemas-microsoft-com:office:smarttags" w:element="metricconverter">
              <w:smartTagPr>
                <w:attr w:name="ProductID" w:val="25ﾰC"/>
              </w:smartTagPr>
              <w:r w:rsidRPr="008B3BC0">
                <w:rPr>
                  <w:sz w:val="16"/>
                  <w:szCs w:val="16"/>
                  <w:lang w:eastAsia="ar-SA"/>
                </w:rPr>
                <w:t>25°C</w:t>
              </w:r>
            </w:smartTag>
          </w:p>
        </w:tc>
        <w:tc>
          <w:tcPr>
            <w:tcW w:w="850" w:type="dxa"/>
            <w:vAlign w:val="center"/>
          </w:tcPr>
          <w:p w:rsidR="00C26502" w:rsidRPr="008B3BC0" w:rsidRDefault="00C26502" w:rsidP="00C26502">
            <w:pPr>
              <w:tabs>
                <w:tab w:val="left" w:pos="285"/>
              </w:tabs>
              <w:suppressAutoHyphens/>
              <w:jc w:val="center"/>
              <w:rPr>
                <w:sz w:val="16"/>
                <w:szCs w:val="16"/>
                <w:lang w:eastAsia="ar-SA"/>
              </w:rPr>
            </w:pPr>
            <w:r w:rsidRPr="008B3BC0">
              <w:rPr>
                <w:sz w:val="16"/>
                <w:szCs w:val="16"/>
                <w:lang w:eastAsia="ar-SA"/>
              </w:rPr>
              <w:t>PN-EN 1426 [21]</w:t>
            </w:r>
          </w:p>
        </w:tc>
        <w:tc>
          <w:tcPr>
            <w:tcW w:w="803" w:type="dxa"/>
            <w:vAlign w:val="center"/>
          </w:tcPr>
          <w:p w:rsidR="00C26502" w:rsidRPr="008B3BC0" w:rsidRDefault="00C26502" w:rsidP="00C26502">
            <w:pPr>
              <w:suppressAutoHyphens/>
              <w:jc w:val="center"/>
              <w:rPr>
                <w:sz w:val="16"/>
                <w:szCs w:val="16"/>
                <w:lang w:eastAsia="ar-SA"/>
              </w:rPr>
            </w:pPr>
            <w:smartTag w:uri="urn:schemas-microsoft-com:office:smarttags" w:element="metricconverter">
              <w:smartTagPr>
                <w:attr w:name="ProductID" w:val="0,1 mm"/>
              </w:smartTagPr>
              <w:r w:rsidRPr="008B3BC0">
                <w:rPr>
                  <w:sz w:val="16"/>
                  <w:szCs w:val="16"/>
                  <w:lang w:eastAsia="ar-SA"/>
                </w:rPr>
                <w:t>0,1 mm</w:t>
              </w:r>
            </w:smartTag>
          </w:p>
        </w:tc>
        <w:tc>
          <w:tcPr>
            <w:tcW w:w="1080" w:type="dxa"/>
            <w:vAlign w:val="center"/>
          </w:tcPr>
          <w:p w:rsidR="00C26502" w:rsidRPr="008B3BC0" w:rsidRDefault="00C26502" w:rsidP="00C26502">
            <w:pPr>
              <w:suppressAutoHyphens/>
              <w:jc w:val="center"/>
              <w:rPr>
                <w:sz w:val="16"/>
                <w:szCs w:val="16"/>
                <w:lang w:eastAsia="ar-SA"/>
              </w:rPr>
            </w:pPr>
            <w:r w:rsidRPr="008B3BC0">
              <w:rPr>
                <w:sz w:val="16"/>
                <w:szCs w:val="16"/>
                <w:lang w:eastAsia="ar-SA"/>
              </w:rPr>
              <w:t>45-80</w:t>
            </w:r>
          </w:p>
        </w:tc>
        <w:tc>
          <w:tcPr>
            <w:tcW w:w="720" w:type="dxa"/>
            <w:vAlign w:val="center"/>
          </w:tcPr>
          <w:p w:rsidR="00C26502" w:rsidRPr="008B3BC0" w:rsidRDefault="00C26502" w:rsidP="00C26502">
            <w:pPr>
              <w:suppressAutoHyphens/>
              <w:jc w:val="center"/>
              <w:rPr>
                <w:sz w:val="16"/>
                <w:szCs w:val="16"/>
                <w:lang w:eastAsia="ar-SA"/>
              </w:rPr>
            </w:pPr>
            <w:r w:rsidRPr="008B3BC0">
              <w:rPr>
                <w:sz w:val="16"/>
                <w:szCs w:val="16"/>
                <w:lang w:eastAsia="ar-SA"/>
              </w:rPr>
              <w:t>4</w:t>
            </w:r>
          </w:p>
        </w:tc>
        <w:tc>
          <w:tcPr>
            <w:tcW w:w="1080" w:type="dxa"/>
            <w:vAlign w:val="center"/>
          </w:tcPr>
          <w:p w:rsidR="00C26502" w:rsidRPr="008B3BC0" w:rsidRDefault="00C26502" w:rsidP="00C26502">
            <w:pPr>
              <w:suppressAutoHyphens/>
              <w:jc w:val="center"/>
              <w:rPr>
                <w:sz w:val="16"/>
                <w:szCs w:val="16"/>
                <w:lang w:eastAsia="ar-SA"/>
              </w:rPr>
            </w:pPr>
            <w:r w:rsidRPr="008B3BC0">
              <w:rPr>
                <w:sz w:val="16"/>
                <w:szCs w:val="16"/>
                <w:lang w:eastAsia="ar-SA"/>
              </w:rPr>
              <w:t>45-80</w:t>
            </w:r>
          </w:p>
        </w:tc>
        <w:tc>
          <w:tcPr>
            <w:tcW w:w="720" w:type="dxa"/>
            <w:vAlign w:val="center"/>
          </w:tcPr>
          <w:p w:rsidR="00C26502" w:rsidRPr="008B3BC0" w:rsidRDefault="00C26502" w:rsidP="00C26502">
            <w:pPr>
              <w:suppressAutoHyphens/>
              <w:jc w:val="center"/>
              <w:rPr>
                <w:sz w:val="16"/>
                <w:szCs w:val="16"/>
                <w:lang w:eastAsia="ar-SA"/>
              </w:rPr>
            </w:pPr>
            <w:r w:rsidRPr="008B3BC0">
              <w:rPr>
                <w:sz w:val="16"/>
                <w:szCs w:val="16"/>
                <w:lang w:eastAsia="ar-SA"/>
              </w:rPr>
              <w:t>4</w:t>
            </w:r>
          </w:p>
        </w:tc>
      </w:tr>
      <w:tr w:rsidR="00C26502" w:rsidRPr="008B3BC0" w:rsidTr="00C26502">
        <w:trPr>
          <w:jc w:val="center"/>
        </w:trPr>
        <w:tc>
          <w:tcPr>
            <w:tcW w:w="1101" w:type="dxa"/>
          </w:tcPr>
          <w:p w:rsidR="00C26502" w:rsidRPr="008B3BC0" w:rsidRDefault="00C26502" w:rsidP="00C26502">
            <w:pPr>
              <w:suppressAutoHyphens/>
              <w:rPr>
                <w:sz w:val="16"/>
                <w:szCs w:val="16"/>
                <w:lang w:eastAsia="ar-SA"/>
              </w:rPr>
            </w:pPr>
            <w:r w:rsidRPr="008B3BC0">
              <w:rPr>
                <w:sz w:val="16"/>
                <w:szCs w:val="16"/>
                <w:lang w:eastAsia="ar-SA"/>
              </w:rPr>
              <w:t>Konsystencja  w wysokich  temperatu-  racheksploa-tacyjnych</w:t>
            </w:r>
          </w:p>
        </w:tc>
        <w:tc>
          <w:tcPr>
            <w:tcW w:w="1134" w:type="dxa"/>
            <w:vAlign w:val="center"/>
          </w:tcPr>
          <w:p w:rsidR="00C26502" w:rsidRPr="008B3BC0" w:rsidRDefault="00C26502" w:rsidP="00C26502">
            <w:pPr>
              <w:suppressAutoHyphens/>
              <w:rPr>
                <w:sz w:val="16"/>
                <w:szCs w:val="16"/>
                <w:lang w:eastAsia="ar-SA"/>
              </w:rPr>
            </w:pPr>
            <w:r w:rsidRPr="008B3BC0">
              <w:rPr>
                <w:sz w:val="16"/>
                <w:szCs w:val="16"/>
                <w:lang w:eastAsia="ar-SA"/>
              </w:rPr>
              <w:t>Temperatura mięknienia</w:t>
            </w:r>
          </w:p>
        </w:tc>
        <w:tc>
          <w:tcPr>
            <w:tcW w:w="850" w:type="dxa"/>
            <w:vAlign w:val="center"/>
          </w:tcPr>
          <w:p w:rsidR="00C26502" w:rsidRPr="008B3BC0" w:rsidRDefault="00C26502" w:rsidP="00C26502">
            <w:pPr>
              <w:suppressAutoHyphens/>
              <w:jc w:val="center"/>
              <w:rPr>
                <w:sz w:val="16"/>
                <w:szCs w:val="16"/>
                <w:lang w:eastAsia="ar-SA"/>
              </w:rPr>
            </w:pPr>
            <w:r w:rsidRPr="008B3BC0">
              <w:rPr>
                <w:sz w:val="16"/>
                <w:szCs w:val="16"/>
                <w:lang w:eastAsia="ar-SA"/>
              </w:rPr>
              <w:t>PN-EN 1427 [22]</w:t>
            </w:r>
          </w:p>
        </w:tc>
        <w:tc>
          <w:tcPr>
            <w:tcW w:w="803" w:type="dxa"/>
            <w:vAlign w:val="center"/>
          </w:tcPr>
          <w:p w:rsidR="00C26502" w:rsidRPr="008B3BC0" w:rsidRDefault="00C26502" w:rsidP="00C26502">
            <w:pPr>
              <w:suppressAutoHyphens/>
              <w:jc w:val="center"/>
              <w:rPr>
                <w:sz w:val="16"/>
                <w:szCs w:val="16"/>
                <w:lang w:eastAsia="ar-SA"/>
              </w:rPr>
            </w:pPr>
            <w:r w:rsidRPr="008B3BC0">
              <w:rPr>
                <w:sz w:val="16"/>
                <w:szCs w:val="16"/>
                <w:lang w:eastAsia="ar-SA"/>
              </w:rPr>
              <w:t>°C</w:t>
            </w:r>
          </w:p>
        </w:tc>
        <w:tc>
          <w:tcPr>
            <w:tcW w:w="1080" w:type="dxa"/>
            <w:vAlign w:val="center"/>
          </w:tcPr>
          <w:p w:rsidR="00C26502" w:rsidRPr="008B3BC0" w:rsidRDefault="00C26502" w:rsidP="00C26502">
            <w:pPr>
              <w:suppressAutoHyphens/>
              <w:jc w:val="center"/>
              <w:rPr>
                <w:sz w:val="16"/>
                <w:szCs w:val="16"/>
                <w:lang w:eastAsia="ar-SA"/>
              </w:rPr>
            </w:pPr>
            <w:r w:rsidRPr="008B3BC0">
              <w:rPr>
                <w:sz w:val="16"/>
                <w:szCs w:val="16"/>
                <w:lang w:eastAsia="ar-SA"/>
              </w:rPr>
              <w:t>≥ 55</w:t>
            </w:r>
          </w:p>
        </w:tc>
        <w:tc>
          <w:tcPr>
            <w:tcW w:w="720" w:type="dxa"/>
            <w:vAlign w:val="center"/>
          </w:tcPr>
          <w:p w:rsidR="00C26502" w:rsidRPr="008B3BC0" w:rsidRDefault="00C26502" w:rsidP="00C26502">
            <w:pPr>
              <w:suppressAutoHyphens/>
              <w:jc w:val="center"/>
              <w:rPr>
                <w:sz w:val="16"/>
                <w:szCs w:val="16"/>
                <w:lang w:eastAsia="ar-SA"/>
              </w:rPr>
            </w:pPr>
            <w:r w:rsidRPr="008B3BC0">
              <w:rPr>
                <w:sz w:val="16"/>
                <w:szCs w:val="16"/>
                <w:lang w:eastAsia="ar-SA"/>
              </w:rPr>
              <w:t>7</w:t>
            </w:r>
          </w:p>
        </w:tc>
        <w:tc>
          <w:tcPr>
            <w:tcW w:w="1080" w:type="dxa"/>
            <w:vAlign w:val="center"/>
          </w:tcPr>
          <w:p w:rsidR="00C26502" w:rsidRPr="008B3BC0" w:rsidRDefault="00C26502" w:rsidP="00C26502">
            <w:pPr>
              <w:suppressAutoHyphens/>
              <w:jc w:val="center"/>
              <w:rPr>
                <w:sz w:val="16"/>
                <w:szCs w:val="16"/>
                <w:lang w:eastAsia="ar-SA"/>
              </w:rPr>
            </w:pPr>
            <w:r w:rsidRPr="008B3BC0">
              <w:rPr>
                <w:sz w:val="16"/>
                <w:szCs w:val="16"/>
                <w:lang w:eastAsia="ar-SA"/>
              </w:rPr>
              <w:t>≥ 65</w:t>
            </w:r>
          </w:p>
        </w:tc>
        <w:tc>
          <w:tcPr>
            <w:tcW w:w="720" w:type="dxa"/>
            <w:vAlign w:val="center"/>
          </w:tcPr>
          <w:p w:rsidR="00C26502" w:rsidRPr="008B3BC0" w:rsidRDefault="00C26502" w:rsidP="00C26502">
            <w:pPr>
              <w:suppressAutoHyphens/>
              <w:jc w:val="center"/>
              <w:rPr>
                <w:sz w:val="16"/>
                <w:szCs w:val="16"/>
                <w:lang w:eastAsia="ar-SA"/>
              </w:rPr>
            </w:pPr>
            <w:r w:rsidRPr="008B3BC0">
              <w:rPr>
                <w:sz w:val="16"/>
                <w:szCs w:val="16"/>
                <w:lang w:eastAsia="ar-SA"/>
              </w:rPr>
              <w:t>5</w:t>
            </w:r>
          </w:p>
        </w:tc>
      </w:tr>
      <w:tr w:rsidR="00C26502" w:rsidRPr="008B3BC0" w:rsidTr="00C26502">
        <w:trPr>
          <w:jc w:val="center"/>
        </w:trPr>
        <w:tc>
          <w:tcPr>
            <w:tcW w:w="1101" w:type="dxa"/>
            <w:vMerge w:val="restart"/>
            <w:vAlign w:val="center"/>
          </w:tcPr>
          <w:p w:rsidR="00C26502" w:rsidRPr="008B3BC0" w:rsidRDefault="00C26502" w:rsidP="00C26502">
            <w:pPr>
              <w:suppressAutoHyphens/>
              <w:rPr>
                <w:sz w:val="16"/>
                <w:szCs w:val="16"/>
                <w:lang w:eastAsia="ar-SA"/>
              </w:rPr>
            </w:pPr>
            <w:r w:rsidRPr="008B3BC0">
              <w:rPr>
                <w:sz w:val="16"/>
                <w:szCs w:val="16"/>
                <w:lang w:eastAsia="ar-SA"/>
              </w:rPr>
              <w:t>Kohezja</w:t>
            </w:r>
          </w:p>
        </w:tc>
        <w:tc>
          <w:tcPr>
            <w:tcW w:w="1134" w:type="dxa"/>
            <w:vAlign w:val="center"/>
          </w:tcPr>
          <w:p w:rsidR="00C26502" w:rsidRPr="008B3BC0" w:rsidRDefault="00C26502" w:rsidP="00C26502">
            <w:pPr>
              <w:suppressAutoHyphens/>
              <w:rPr>
                <w:sz w:val="16"/>
                <w:szCs w:val="16"/>
                <w:lang w:eastAsia="ar-SA"/>
              </w:rPr>
            </w:pPr>
            <w:r w:rsidRPr="008B3BC0">
              <w:rPr>
                <w:sz w:val="16"/>
                <w:szCs w:val="16"/>
                <w:lang w:eastAsia="ar-SA"/>
              </w:rPr>
              <w:t>Siła rozciągania (mała prędkość rozciągania)</w:t>
            </w:r>
          </w:p>
        </w:tc>
        <w:tc>
          <w:tcPr>
            <w:tcW w:w="850" w:type="dxa"/>
            <w:vAlign w:val="center"/>
          </w:tcPr>
          <w:p w:rsidR="00C26502" w:rsidRPr="008B3BC0" w:rsidRDefault="00C26502" w:rsidP="00C26502">
            <w:pPr>
              <w:suppressAutoHyphens/>
              <w:jc w:val="center"/>
              <w:rPr>
                <w:sz w:val="16"/>
                <w:szCs w:val="16"/>
                <w:lang w:eastAsia="ar-SA"/>
              </w:rPr>
            </w:pPr>
            <w:r w:rsidRPr="008B3BC0">
              <w:rPr>
                <w:sz w:val="16"/>
                <w:szCs w:val="16"/>
                <w:lang w:eastAsia="ar-SA"/>
              </w:rPr>
              <w:t>PN-EN 13589 [55]</w:t>
            </w:r>
          </w:p>
          <w:p w:rsidR="00C26502" w:rsidRPr="008B3BC0" w:rsidRDefault="00C26502" w:rsidP="00C26502">
            <w:pPr>
              <w:suppressAutoHyphens/>
              <w:jc w:val="center"/>
              <w:rPr>
                <w:sz w:val="16"/>
                <w:szCs w:val="16"/>
                <w:lang w:eastAsia="ar-SA"/>
              </w:rPr>
            </w:pPr>
            <w:r w:rsidRPr="008B3BC0">
              <w:rPr>
                <w:sz w:val="16"/>
                <w:szCs w:val="16"/>
                <w:lang w:eastAsia="ar-SA"/>
              </w:rPr>
              <w:t>PN-EN 13703 [57]</w:t>
            </w:r>
          </w:p>
        </w:tc>
        <w:tc>
          <w:tcPr>
            <w:tcW w:w="803" w:type="dxa"/>
            <w:vAlign w:val="center"/>
          </w:tcPr>
          <w:p w:rsidR="00C26502" w:rsidRPr="008B3BC0" w:rsidRDefault="00C26502" w:rsidP="00C26502">
            <w:pPr>
              <w:suppressAutoHyphens/>
              <w:jc w:val="center"/>
              <w:rPr>
                <w:sz w:val="16"/>
                <w:szCs w:val="16"/>
                <w:lang w:eastAsia="ar-SA"/>
              </w:rPr>
            </w:pPr>
            <w:r w:rsidRPr="008B3BC0">
              <w:rPr>
                <w:sz w:val="16"/>
                <w:szCs w:val="16"/>
                <w:lang w:eastAsia="ar-SA"/>
              </w:rPr>
              <w:t>J/cm</w:t>
            </w:r>
            <w:r w:rsidRPr="008B3BC0">
              <w:rPr>
                <w:sz w:val="16"/>
                <w:szCs w:val="16"/>
                <w:vertAlign w:val="superscript"/>
                <w:lang w:eastAsia="ar-SA"/>
              </w:rPr>
              <w:t>2</w:t>
            </w:r>
          </w:p>
        </w:tc>
        <w:tc>
          <w:tcPr>
            <w:tcW w:w="1080" w:type="dxa"/>
            <w:vAlign w:val="center"/>
          </w:tcPr>
          <w:p w:rsidR="00C26502" w:rsidRPr="008B3BC0" w:rsidRDefault="00C26502" w:rsidP="00C26502">
            <w:pPr>
              <w:suppressAutoHyphens/>
              <w:jc w:val="center"/>
              <w:rPr>
                <w:sz w:val="16"/>
                <w:szCs w:val="16"/>
                <w:lang w:eastAsia="ar-SA"/>
              </w:rPr>
            </w:pPr>
            <w:r w:rsidRPr="008B3BC0">
              <w:rPr>
                <w:sz w:val="16"/>
                <w:szCs w:val="16"/>
                <w:lang w:eastAsia="ar-SA"/>
              </w:rPr>
              <w:t xml:space="preserve">≥ 1 w </w:t>
            </w:r>
            <w:smartTag w:uri="urn:schemas-microsoft-com:office:smarttags" w:element="metricconverter">
              <w:smartTagPr>
                <w:attr w:name="ProductID" w:val="5ﾰC"/>
              </w:smartTagPr>
              <w:r w:rsidRPr="008B3BC0">
                <w:rPr>
                  <w:sz w:val="16"/>
                  <w:szCs w:val="16"/>
                  <w:lang w:eastAsia="ar-SA"/>
                </w:rPr>
                <w:t>5°C</w:t>
              </w:r>
            </w:smartTag>
          </w:p>
        </w:tc>
        <w:tc>
          <w:tcPr>
            <w:tcW w:w="720" w:type="dxa"/>
            <w:vAlign w:val="center"/>
          </w:tcPr>
          <w:p w:rsidR="00C26502" w:rsidRPr="008B3BC0" w:rsidRDefault="00C26502" w:rsidP="00C26502">
            <w:pPr>
              <w:suppressAutoHyphens/>
              <w:jc w:val="center"/>
              <w:rPr>
                <w:sz w:val="16"/>
                <w:szCs w:val="16"/>
                <w:lang w:eastAsia="ar-SA"/>
              </w:rPr>
            </w:pPr>
            <w:r w:rsidRPr="008B3BC0">
              <w:rPr>
                <w:sz w:val="16"/>
                <w:szCs w:val="16"/>
                <w:lang w:eastAsia="ar-SA"/>
              </w:rPr>
              <w:t>4</w:t>
            </w:r>
          </w:p>
        </w:tc>
        <w:tc>
          <w:tcPr>
            <w:tcW w:w="1080" w:type="dxa"/>
            <w:vAlign w:val="center"/>
          </w:tcPr>
          <w:p w:rsidR="00C26502" w:rsidRPr="008B3BC0" w:rsidRDefault="00C26502" w:rsidP="00C26502">
            <w:pPr>
              <w:suppressAutoHyphens/>
              <w:jc w:val="center"/>
              <w:rPr>
                <w:sz w:val="16"/>
                <w:szCs w:val="16"/>
                <w:lang w:eastAsia="ar-SA"/>
              </w:rPr>
            </w:pPr>
            <w:r w:rsidRPr="008B3BC0">
              <w:rPr>
                <w:sz w:val="16"/>
                <w:szCs w:val="16"/>
                <w:lang w:eastAsia="ar-SA"/>
              </w:rPr>
              <w:t xml:space="preserve">≥2 w </w:t>
            </w:r>
            <w:smartTag w:uri="urn:schemas-microsoft-com:office:smarttags" w:element="metricconverter">
              <w:smartTagPr>
                <w:attr w:name="ProductID" w:val="5ﾰC"/>
              </w:smartTagPr>
              <w:r w:rsidRPr="008B3BC0">
                <w:rPr>
                  <w:sz w:val="16"/>
                  <w:szCs w:val="16"/>
                  <w:lang w:eastAsia="ar-SA"/>
                </w:rPr>
                <w:t>5°C</w:t>
              </w:r>
            </w:smartTag>
          </w:p>
        </w:tc>
        <w:tc>
          <w:tcPr>
            <w:tcW w:w="720" w:type="dxa"/>
            <w:tcBorders>
              <w:right w:val="single" w:sz="4" w:space="0" w:color="auto"/>
            </w:tcBorders>
            <w:vAlign w:val="center"/>
          </w:tcPr>
          <w:p w:rsidR="00C26502" w:rsidRPr="008B3BC0" w:rsidRDefault="00C26502" w:rsidP="00C26502">
            <w:pPr>
              <w:suppressAutoHyphens/>
              <w:jc w:val="center"/>
              <w:rPr>
                <w:sz w:val="16"/>
                <w:szCs w:val="16"/>
                <w:lang w:eastAsia="ar-SA"/>
              </w:rPr>
            </w:pPr>
            <w:r w:rsidRPr="008B3BC0">
              <w:rPr>
                <w:sz w:val="16"/>
                <w:szCs w:val="16"/>
                <w:lang w:eastAsia="ar-SA"/>
              </w:rPr>
              <w:t>3</w:t>
            </w:r>
          </w:p>
        </w:tc>
      </w:tr>
      <w:tr w:rsidR="00C26502" w:rsidRPr="008B3BC0" w:rsidTr="00C26502">
        <w:trPr>
          <w:jc w:val="center"/>
        </w:trPr>
        <w:tc>
          <w:tcPr>
            <w:tcW w:w="1101" w:type="dxa"/>
            <w:vMerge/>
          </w:tcPr>
          <w:p w:rsidR="00C26502" w:rsidRPr="008B3BC0" w:rsidRDefault="00C26502" w:rsidP="00C26502">
            <w:pPr>
              <w:suppressAutoHyphens/>
              <w:rPr>
                <w:sz w:val="16"/>
                <w:szCs w:val="16"/>
                <w:lang w:eastAsia="ar-SA"/>
              </w:rPr>
            </w:pPr>
          </w:p>
        </w:tc>
        <w:tc>
          <w:tcPr>
            <w:tcW w:w="1134" w:type="dxa"/>
            <w:vAlign w:val="center"/>
          </w:tcPr>
          <w:p w:rsidR="00C26502" w:rsidRPr="008B3BC0" w:rsidRDefault="00C26502" w:rsidP="00C26502">
            <w:pPr>
              <w:suppressAutoHyphens/>
              <w:rPr>
                <w:sz w:val="16"/>
                <w:szCs w:val="16"/>
                <w:lang w:eastAsia="ar-SA"/>
              </w:rPr>
            </w:pPr>
            <w:r w:rsidRPr="008B3BC0">
              <w:rPr>
                <w:sz w:val="16"/>
                <w:szCs w:val="16"/>
                <w:lang w:eastAsia="ar-SA"/>
              </w:rPr>
              <w:t>Siła rozciągania w 5°C (duża prędkość rozciągania)</w:t>
            </w:r>
          </w:p>
        </w:tc>
        <w:tc>
          <w:tcPr>
            <w:tcW w:w="850" w:type="dxa"/>
            <w:vAlign w:val="center"/>
          </w:tcPr>
          <w:p w:rsidR="00C26502" w:rsidRPr="008B3BC0" w:rsidRDefault="00C26502" w:rsidP="00C26502">
            <w:pPr>
              <w:suppressAutoHyphens/>
              <w:jc w:val="center"/>
              <w:rPr>
                <w:sz w:val="16"/>
                <w:szCs w:val="16"/>
                <w:lang w:eastAsia="ar-SA"/>
              </w:rPr>
            </w:pPr>
            <w:r w:rsidRPr="008B3BC0">
              <w:rPr>
                <w:sz w:val="16"/>
                <w:szCs w:val="16"/>
                <w:lang w:eastAsia="ar-SA"/>
              </w:rPr>
              <w:t>PN-EN 13587 [53]</w:t>
            </w:r>
          </w:p>
          <w:p w:rsidR="00C26502" w:rsidRPr="008B3BC0" w:rsidRDefault="00C26502" w:rsidP="00C26502">
            <w:pPr>
              <w:suppressAutoHyphens/>
              <w:jc w:val="center"/>
              <w:rPr>
                <w:sz w:val="16"/>
                <w:szCs w:val="16"/>
                <w:lang w:eastAsia="ar-SA"/>
              </w:rPr>
            </w:pPr>
            <w:r w:rsidRPr="008B3BC0">
              <w:rPr>
                <w:sz w:val="16"/>
                <w:szCs w:val="16"/>
                <w:lang w:eastAsia="ar-SA"/>
              </w:rPr>
              <w:t>PN-EN 13703 [57]</w:t>
            </w:r>
          </w:p>
        </w:tc>
        <w:tc>
          <w:tcPr>
            <w:tcW w:w="803" w:type="dxa"/>
            <w:vAlign w:val="center"/>
          </w:tcPr>
          <w:p w:rsidR="00C26502" w:rsidRPr="008B3BC0" w:rsidRDefault="00C26502" w:rsidP="00C26502">
            <w:pPr>
              <w:suppressAutoHyphens/>
              <w:jc w:val="center"/>
              <w:rPr>
                <w:sz w:val="16"/>
                <w:szCs w:val="16"/>
                <w:lang w:eastAsia="ar-SA"/>
              </w:rPr>
            </w:pPr>
            <w:r w:rsidRPr="008B3BC0">
              <w:rPr>
                <w:sz w:val="16"/>
                <w:szCs w:val="16"/>
                <w:lang w:eastAsia="ar-SA"/>
              </w:rPr>
              <w:t>J/cm</w:t>
            </w:r>
            <w:r w:rsidRPr="008B3BC0">
              <w:rPr>
                <w:sz w:val="16"/>
                <w:szCs w:val="16"/>
                <w:vertAlign w:val="superscript"/>
                <w:lang w:eastAsia="ar-SA"/>
              </w:rPr>
              <w:t>2</w:t>
            </w:r>
          </w:p>
        </w:tc>
        <w:tc>
          <w:tcPr>
            <w:tcW w:w="1080" w:type="dxa"/>
            <w:vAlign w:val="center"/>
          </w:tcPr>
          <w:p w:rsidR="00C26502" w:rsidRPr="008B3BC0" w:rsidRDefault="00C26502" w:rsidP="00C26502">
            <w:pPr>
              <w:suppressAutoHyphens/>
              <w:jc w:val="center"/>
              <w:rPr>
                <w:sz w:val="16"/>
                <w:szCs w:val="16"/>
                <w:vertAlign w:val="superscript"/>
                <w:lang w:eastAsia="ar-SA"/>
              </w:rPr>
            </w:pPr>
            <w:r w:rsidRPr="008B3BC0">
              <w:rPr>
                <w:sz w:val="16"/>
                <w:szCs w:val="16"/>
                <w:lang w:eastAsia="ar-SA"/>
              </w:rPr>
              <w:t>NPD</w:t>
            </w:r>
            <w:r w:rsidRPr="008B3BC0">
              <w:rPr>
                <w:sz w:val="16"/>
                <w:szCs w:val="16"/>
                <w:vertAlign w:val="superscript"/>
                <w:lang w:eastAsia="ar-SA"/>
              </w:rPr>
              <w:t>a</w:t>
            </w:r>
          </w:p>
        </w:tc>
        <w:tc>
          <w:tcPr>
            <w:tcW w:w="720" w:type="dxa"/>
            <w:vAlign w:val="center"/>
          </w:tcPr>
          <w:p w:rsidR="00C26502" w:rsidRPr="008B3BC0" w:rsidRDefault="00C26502" w:rsidP="00C26502">
            <w:pPr>
              <w:suppressAutoHyphens/>
              <w:jc w:val="center"/>
              <w:rPr>
                <w:sz w:val="16"/>
                <w:szCs w:val="16"/>
                <w:lang w:eastAsia="ar-SA"/>
              </w:rPr>
            </w:pPr>
            <w:r w:rsidRPr="008B3BC0">
              <w:rPr>
                <w:sz w:val="16"/>
                <w:szCs w:val="16"/>
                <w:lang w:eastAsia="ar-SA"/>
              </w:rPr>
              <w:t>0</w:t>
            </w:r>
          </w:p>
        </w:tc>
        <w:tc>
          <w:tcPr>
            <w:tcW w:w="1080" w:type="dxa"/>
            <w:vAlign w:val="center"/>
          </w:tcPr>
          <w:p w:rsidR="00C26502" w:rsidRPr="008B3BC0" w:rsidRDefault="00C26502" w:rsidP="00C26502">
            <w:pPr>
              <w:suppressAutoHyphens/>
              <w:jc w:val="center"/>
              <w:rPr>
                <w:sz w:val="16"/>
                <w:szCs w:val="16"/>
                <w:lang w:eastAsia="ar-SA"/>
              </w:rPr>
            </w:pPr>
            <w:r w:rsidRPr="008B3BC0">
              <w:rPr>
                <w:sz w:val="16"/>
                <w:szCs w:val="16"/>
                <w:lang w:eastAsia="ar-SA"/>
              </w:rPr>
              <w:t>NPD</w:t>
            </w:r>
            <w:r w:rsidRPr="008B3BC0">
              <w:rPr>
                <w:sz w:val="16"/>
                <w:szCs w:val="16"/>
                <w:vertAlign w:val="superscript"/>
                <w:lang w:eastAsia="ar-SA"/>
              </w:rPr>
              <w:t>a</w:t>
            </w:r>
          </w:p>
        </w:tc>
        <w:tc>
          <w:tcPr>
            <w:tcW w:w="720" w:type="dxa"/>
            <w:vAlign w:val="center"/>
          </w:tcPr>
          <w:p w:rsidR="00C26502" w:rsidRPr="008B3BC0" w:rsidRDefault="00C26502" w:rsidP="00C26502">
            <w:pPr>
              <w:suppressAutoHyphens/>
              <w:jc w:val="center"/>
              <w:rPr>
                <w:sz w:val="16"/>
                <w:szCs w:val="16"/>
                <w:lang w:eastAsia="ar-SA"/>
              </w:rPr>
            </w:pPr>
            <w:r w:rsidRPr="008B3BC0">
              <w:rPr>
                <w:sz w:val="16"/>
                <w:szCs w:val="16"/>
                <w:lang w:eastAsia="ar-SA"/>
              </w:rPr>
              <w:t>0</w:t>
            </w:r>
          </w:p>
        </w:tc>
      </w:tr>
      <w:tr w:rsidR="00C26502" w:rsidRPr="008B3BC0" w:rsidTr="00C26502">
        <w:trPr>
          <w:jc w:val="center"/>
        </w:trPr>
        <w:tc>
          <w:tcPr>
            <w:tcW w:w="1101" w:type="dxa"/>
            <w:vMerge/>
          </w:tcPr>
          <w:p w:rsidR="00C26502" w:rsidRPr="008B3BC0" w:rsidRDefault="00C26502" w:rsidP="00C26502">
            <w:pPr>
              <w:suppressAutoHyphens/>
              <w:rPr>
                <w:sz w:val="16"/>
                <w:szCs w:val="16"/>
                <w:lang w:eastAsia="ar-SA"/>
              </w:rPr>
            </w:pPr>
          </w:p>
        </w:tc>
        <w:tc>
          <w:tcPr>
            <w:tcW w:w="1134" w:type="dxa"/>
            <w:vAlign w:val="center"/>
          </w:tcPr>
          <w:p w:rsidR="00C26502" w:rsidRPr="008B3BC0" w:rsidRDefault="00C26502" w:rsidP="00C26502">
            <w:pPr>
              <w:suppressAutoHyphens/>
              <w:rPr>
                <w:sz w:val="16"/>
                <w:szCs w:val="16"/>
                <w:lang w:eastAsia="ar-SA"/>
              </w:rPr>
            </w:pPr>
            <w:r w:rsidRPr="008B3BC0">
              <w:rPr>
                <w:sz w:val="16"/>
                <w:szCs w:val="16"/>
                <w:lang w:eastAsia="ar-SA"/>
              </w:rPr>
              <w:t>Wahadło Vialit (meto-da uderzenia)</w:t>
            </w:r>
          </w:p>
        </w:tc>
        <w:tc>
          <w:tcPr>
            <w:tcW w:w="850" w:type="dxa"/>
            <w:vAlign w:val="center"/>
          </w:tcPr>
          <w:p w:rsidR="00C26502" w:rsidRPr="008B3BC0" w:rsidRDefault="00C26502" w:rsidP="00C26502">
            <w:pPr>
              <w:suppressAutoHyphens/>
              <w:jc w:val="center"/>
              <w:rPr>
                <w:sz w:val="16"/>
                <w:szCs w:val="16"/>
                <w:lang w:eastAsia="ar-SA"/>
              </w:rPr>
            </w:pPr>
            <w:r w:rsidRPr="008B3BC0">
              <w:rPr>
                <w:sz w:val="16"/>
                <w:szCs w:val="16"/>
                <w:lang w:eastAsia="ar-SA"/>
              </w:rPr>
              <w:t>PN-EN 13588 [54]</w:t>
            </w:r>
          </w:p>
        </w:tc>
        <w:tc>
          <w:tcPr>
            <w:tcW w:w="803" w:type="dxa"/>
            <w:vAlign w:val="center"/>
          </w:tcPr>
          <w:p w:rsidR="00C26502" w:rsidRPr="008B3BC0" w:rsidRDefault="00C26502" w:rsidP="00C26502">
            <w:pPr>
              <w:suppressAutoHyphens/>
              <w:jc w:val="center"/>
              <w:rPr>
                <w:sz w:val="16"/>
                <w:szCs w:val="16"/>
                <w:lang w:eastAsia="ar-SA"/>
              </w:rPr>
            </w:pPr>
            <w:r w:rsidRPr="008B3BC0">
              <w:rPr>
                <w:sz w:val="16"/>
                <w:szCs w:val="16"/>
                <w:lang w:eastAsia="ar-SA"/>
              </w:rPr>
              <w:t>J/cm</w:t>
            </w:r>
            <w:r w:rsidRPr="008B3BC0">
              <w:rPr>
                <w:sz w:val="16"/>
                <w:szCs w:val="16"/>
                <w:vertAlign w:val="superscript"/>
                <w:lang w:eastAsia="ar-SA"/>
              </w:rPr>
              <w:t>2</w:t>
            </w:r>
          </w:p>
        </w:tc>
        <w:tc>
          <w:tcPr>
            <w:tcW w:w="1080" w:type="dxa"/>
            <w:vAlign w:val="center"/>
          </w:tcPr>
          <w:p w:rsidR="00C26502" w:rsidRPr="008B3BC0" w:rsidRDefault="00C26502" w:rsidP="00C26502">
            <w:pPr>
              <w:suppressAutoHyphens/>
              <w:jc w:val="center"/>
              <w:rPr>
                <w:sz w:val="16"/>
                <w:szCs w:val="16"/>
                <w:vertAlign w:val="superscript"/>
                <w:lang w:eastAsia="ar-SA"/>
              </w:rPr>
            </w:pPr>
            <w:r w:rsidRPr="008B3BC0">
              <w:rPr>
                <w:sz w:val="16"/>
                <w:szCs w:val="16"/>
                <w:lang w:eastAsia="ar-SA"/>
              </w:rPr>
              <w:t>NPD</w:t>
            </w:r>
            <w:r w:rsidRPr="008B3BC0">
              <w:rPr>
                <w:sz w:val="16"/>
                <w:szCs w:val="16"/>
                <w:vertAlign w:val="superscript"/>
                <w:lang w:eastAsia="ar-SA"/>
              </w:rPr>
              <w:t>a</w:t>
            </w:r>
          </w:p>
        </w:tc>
        <w:tc>
          <w:tcPr>
            <w:tcW w:w="720" w:type="dxa"/>
            <w:vAlign w:val="center"/>
          </w:tcPr>
          <w:p w:rsidR="00C26502" w:rsidRPr="008B3BC0" w:rsidRDefault="00C26502" w:rsidP="00C26502">
            <w:pPr>
              <w:suppressAutoHyphens/>
              <w:jc w:val="center"/>
              <w:rPr>
                <w:sz w:val="16"/>
                <w:szCs w:val="16"/>
                <w:lang w:eastAsia="ar-SA"/>
              </w:rPr>
            </w:pPr>
            <w:r w:rsidRPr="008B3BC0">
              <w:rPr>
                <w:sz w:val="16"/>
                <w:szCs w:val="16"/>
                <w:lang w:eastAsia="ar-SA"/>
              </w:rPr>
              <w:t>0</w:t>
            </w:r>
          </w:p>
        </w:tc>
        <w:tc>
          <w:tcPr>
            <w:tcW w:w="1080" w:type="dxa"/>
            <w:vAlign w:val="center"/>
          </w:tcPr>
          <w:p w:rsidR="00C26502" w:rsidRPr="008B3BC0" w:rsidRDefault="00C26502" w:rsidP="00C26502">
            <w:pPr>
              <w:suppressAutoHyphens/>
              <w:jc w:val="center"/>
              <w:rPr>
                <w:sz w:val="16"/>
                <w:szCs w:val="16"/>
                <w:lang w:eastAsia="ar-SA"/>
              </w:rPr>
            </w:pPr>
            <w:r w:rsidRPr="008B3BC0">
              <w:rPr>
                <w:sz w:val="16"/>
                <w:szCs w:val="16"/>
                <w:lang w:eastAsia="ar-SA"/>
              </w:rPr>
              <w:t>NPD</w:t>
            </w:r>
            <w:r w:rsidRPr="008B3BC0">
              <w:rPr>
                <w:sz w:val="16"/>
                <w:szCs w:val="16"/>
                <w:vertAlign w:val="superscript"/>
                <w:lang w:eastAsia="ar-SA"/>
              </w:rPr>
              <w:t>a</w:t>
            </w:r>
          </w:p>
        </w:tc>
        <w:tc>
          <w:tcPr>
            <w:tcW w:w="720" w:type="dxa"/>
            <w:vAlign w:val="center"/>
          </w:tcPr>
          <w:p w:rsidR="00C26502" w:rsidRPr="008B3BC0" w:rsidRDefault="00C26502" w:rsidP="00C26502">
            <w:pPr>
              <w:suppressAutoHyphens/>
              <w:jc w:val="center"/>
              <w:rPr>
                <w:sz w:val="16"/>
                <w:szCs w:val="16"/>
                <w:lang w:eastAsia="ar-SA"/>
              </w:rPr>
            </w:pPr>
            <w:r w:rsidRPr="008B3BC0">
              <w:rPr>
                <w:sz w:val="16"/>
                <w:szCs w:val="16"/>
                <w:lang w:eastAsia="ar-SA"/>
              </w:rPr>
              <w:t>0</w:t>
            </w:r>
          </w:p>
        </w:tc>
      </w:tr>
      <w:tr w:rsidR="00C26502" w:rsidRPr="008B3BC0" w:rsidTr="00C26502">
        <w:trPr>
          <w:jc w:val="center"/>
        </w:trPr>
        <w:tc>
          <w:tcPr>
            <w:tcW w:w="1101" w:type="dxa"/>
            <w:tcBorders>
              <w:bottom w:val="nil"/>
            </w:tcBorders>
          </w:tcPr>
          <w:p w:rsidR="00C26502" w:rsidRPr="008B3BC0" w:rsidRDefault="00C26502" w:rsidP="00C26502">
            <w:pPr>
              <w:suppressAutoHyphens/>
              <w:rPr>
                <w:sz w:val="16"/>
                <w:szCs w:val="16"/>
                <w:lang w:eastAsia="ar-SA"/>
              </w:rPr>
            </w:pPr>
            <w:r w:rsidRPr="008B3BC0">
              <w:rPr>
                <w:sz w:val="16"/>
                <w:szCs w:val="16"/>
                <w:lang w:eastAsia="ar-SA"/>
              </w:rPr>
              <w:t>Stałość kon-</w:t>
            </w:r>
          </w:p>
        </w:tc>
        <w:tc>
          <w:tcPr>
            <w:tcW w:w="1134" w:type="dxa"/>
            <w:vAlign w:val="center"/>
          </w:tcPr>
          <w:p w:rsidR="00C26502" w:rsidRPr="008B3BC0" w:rsidRDefault="00C26502" w:rsidP="00C26502">
            <w:pPr>
              <w:suppressAutoHyphens/>
              <w:rPr>
                <w:sz w:val="16"/>
                <w:szCs w:val="16"/>
                <w:lang w:eastAsia="ar-SA"/>
              </w:rPr>
            </w:pPr>
            <w:r w:rsidRPr="008B3BC0">
              <w:rPr>
                <w:sz w:val="16"/>
                <w:szCs w:val="16"/>
                <w:lang w:eastAsia="ar-SA"/>
              </w:rPr>
              <w:t>Zmiana masy</w:t>
            </w:r>
          </w:p>
        </w:tc>
        <w:tc>
          <w:tcPr>
            <w:tcW w:w="850" w:type="dxa"/>
            <w:vAlign w:val="center"/>
          </w:tcPr>
          <w:p w:rsidR="00C26502" w:rsidRPr="008B3BC0" w:rsidRDefault="00C26502" w:rsidP="00C26502">
            <w:pPr>
              <w:suppressAutoHyphens/>
              <w:jc w:val="center"/>
              <w:rPr>
                <w:sz w:val="16"/>
                <w:szCs w:val="16"/>
                <w:lang w:eastAsia="ar-SA"/>
              </w:rPr>
            </w:pPr>
          </w:p>
        </w:tc>
        <w:tc>
          <w:tcPr>
            <w:tcW w:w="803" w:type="dxa"/>
            <w:vAlign w:val="center"/>
          </w:tcPr>
          <w:p w:rsidR="00C26502" w:rsidRPr="008B3BC0" w:rsidRDefault="00C26502" w:rsidP="00C26502">
            <w:pPr>
              <w:suppressAutoHyphens/>
              <w:jc w:val="center"/>
              <w:rPr>
                <w:sz w:val="16"/>
                <w:szCs w:val="16"/>
                <w:lang w:eastAsia="ar-SA"/>
              </w:rPr>
            </w:pPr>
            <w:r w:rsidRPr="008B3BC0">
              <w:rPr>
                <w:sz w:val="16"/>
                <w:szCs w:val="16"/>
                <w:lang w:eastAsia="ar-SA"/>
              </w:rPr>
              <w:t>%</w:t>
            </w:r>
          </w:p>
        </w:tc>
        <w:tc>
          <w:tcPr>
            <w:tcW w:w="1080" w:type="dxa"/>
            <w:vAlign w:val="center"/>
          </w:tcPr>
          <w:p w:rsidR="00C26502" w:rsidRPr="008B3BC0" w:rsidRDefault="00C26502" w:rsidP="00C26502">
            <w:pPr>
              <w:suppressAutoHyphens/>
              <w:jc w:val="center"/>
              <w:rPr>
                <w:sz w:val="16"/>
                <w:szCs w:val="16"/>
                <w:lang w:eastAsia="ar-SA"/>
              </w:rPr>
            </w:pPr>
            <w:r w:rsidRPr="008B3BC0">
              <w:rPr>
                <w:sz w:val="16"/>
                <w:szCs w:val="16"/>
                <w:lang w:eastAsia="ar-SA"/>
              </w:rPr>
              <w:t>≥ 0,5</w:t>
            </w:r>
          </w:p>
        </w:tc>
        <w:tc>
          <w:tcPr>
            <w:tcW w:w="720" w:type="dxa"/>
            <w:vAlign w:val="center"/>
          </w:tcPr>
          <w:p w:rsidR="00C26502" w:rsidRPr="008B3BC0" w:rsidRDefault="00C26502" w:rsidP="00C26502">
            <w:pPr>
              <w:suppressAutoHyphens/>
              <w:jc w:val="center"/>
              <w:rPr>
                <w:sz w:val="16"/>
                <w:szCs w:val="16"/>
                <w:lang w:eastAsia="ar-SA"/>
              </w:rPr>
            </w:pPr>
            <w:r w:rsidRPr="008B3BC0">
              <w:rPr>
                <w:sz w:val="16"/>
                <w:szCs w:val="16"/>
                <w:lang w:eastAsia="ar-SA"/>
              </w:rPr>
              <w:t>3</w:t>
            </w:r>
          </w:p>
        </w:tc>
        <w:tc>
          <w:tcPr>
            <w:tcW w:w="1080" w:type="dxa"/>
            <w:vAlign w:val="center"/>
          </w:tcPr>
          <w:p w:rsidR="00C26502" w:rsidRPr="008B3BC0" w:rsidRDefault="00C26502" w:rsidP="00C26502">
            <w:pPr>
              <w:suppressAutoHyphens/>
              <w:jc w:val="center"/>
              <w:rPr>
                <w:sz w:val="16"/>
                <w:szCs w:val="16"/>
                <w:lang w:eastAsia="ar-SA"/>
              </w:rPr>
            </w:pPr>
            <w:r w:rsidRPr="008B3BC0">
              <w:rPr>
                <w:sz w:val="16"/>
                <w:szCs w:val="16"/>
                <w:lang w:eastAsia="ar-SA"/>
              </w:rPr>
              <w:t>≥ 0,5</w:t>
            </w:r>
          </w:p>
        </w:tc>
        <w:tc>
          <w:tcPr>
            <w:tcW w:w="720" w:type="dxa"/>
            <w:vAlign w:val="center"/>
          </w:tcPr>
          <w:p w:rsidR="00C26502" w:rsidRPr="008B3BC0" w:rsidRDefault="00C26502" w:rsidP="00C26502">
            <w:pPr>
              <w:suppressAutoHyphens/>
              <w:jc w:val="center"/>
              <w:rPr>
                <w:sz w:val="16"/>
                <w:szCs w:val="16"/>
                <w:lang w:eastAsia="ar-SA"/>
              </w:rPr>
            </w:pPr>
            <w:r w:rsidRPr="008B3BC0">
              <w:rPr>
                <w:sz w:val="16"/>
                <w:szCs w:val="16"/>
                <w:lang w:eastAsia="ar-SA"/>
              </w:rPr>
              <w:t>3</w:t>
            </w:r>
          </w:p>
        </w:tc>
      </w:tr>
      <w:tr w:rsidR="00C26502" w:rsidRPr="008B3BC0" w:rsidTr="00C26502">
        <w:trPr>
          <w:jc w:val="center"/>
        </w:trPr>
        <w:tc>
          <w:tcPr>
            <w:tcW w:w="1101" w:type="dxa"/>
            <w:tcBorders>
              <w:top w:val="nil"/>
              <w:bottom w:val="nil"/>
            </w:tcBorders>
          </w:tcPr>
          <w:p w:rsidR="00C26502" w:rsidRPr="008B3BC0" w:rsidRDefault="00C26502" w:rsidP="00C26502">
            <w:pPr>
              <w:suppressAutoHyphens/>
              <w:rPr>
                <w:sz w:val="16"/>
                <w:szCs w:val="16"/>
                <w:lang w:eastAsia="ar-SA"/>
              </w:rPr>
            </w:pPr>
            <w:r w:rsidRPr="008B3BC0">
              <w:rPr>
                <w:sz w:val="16"/>
                <w:szCs w:val="16"/>
                <w:lang w:eastAsia="ar-SA"/>
              </w:rPr>
              <w:t xml:space="preserve">systencji (Odporność </w:t>
            </w:r>
          </w:p>
        </w:tc>
        <w:tc>
          <w:tcPr>
            <w:tcW w:w="1134" w:type="dxa"/>
            <w:vAlign w:val="center"/>
          </w:tcPr>
          <w:p w:rsidR="00C26502" w:rsidRPr="008B3BC0" w:rsidRDefault="00C26502" w:rsidP="00C26502">
            <w:pPr>
              <w:suppressAutoHyphens/>
              <w:rPr>
                <w:sz w:val="16"/>
                <w:szCs w:val="16"/>
                <w:lang w:eastAsia="ar-SA"/>
              </w:rPr>
            </w:pPr>
            <w:r w:rsidRPr="008B3BC0">
              <w:rPr>
                <w:sz w:val="16"/>
                <w:szCs w:val="16"/>
                <w:lang w:eastAsia="ar-SA"/>
              </w:rPr>
              <w:t>Pozostała penetracja</w:t>
            </w:r>
          </w:p>
        </w:tc>
        <w:tc>
          <w:tcPr>
            <w:tcW w:w="850" w:type="dxa"/>
            <w:vAlign w:val="center"/>
          </w:tcPr>
          <w:p w:rsidR="00C26502" w:rsidRPr="008B3BC0" w:rsidRDefault="00C26502" w:rsidP="00C26502">
            <w:pPr>
              <w:suppressAutoHyphens/>
              <w:jc w:val="center"/>
              <w:rPr>
                <w:sz w:val="16"/>
                <w:szCs w:val="16"/>
                <w:lang w:eastAsia="ar-SA"/>
              </w:rPr>
            </w:pPr>
            <w:r w:rsidRPr="008B3BC0">
              <w:rPr>
                <w:sz w:val="16"/>
                <w:szCs w:val="16"/>
                <w:lang w:eastAsia="ar-SA"/>
              </w:rPr>
              <w:t>PN-EN 1426 [21]</w:t>
            </w:r>
          </w:p>
        </w:tc>
        <w:tc>
          <w:tcPr>
            <w:tcW w:w="803" w:type="dxa"/>
            <w:vAlign w:val="center"/>
          </w:tcPr>
          <w:p w:rsidR="00C26502" w:rsidRPr="008B3BC0" w:rsidRDefault="00C26502" w:rsidP="00C26502">
            <w:pPr>
              <w:suppressAutoHyphens/>
              <w:spacing w:before="120"/>
              <w:jc w:val="center"/>
              <w:rPr>
                <w:sz w:val="16"/>
                <w:szCs w:val="16"/>
                <w:lang w:eastAsia="ar-SA"/>
              </w:rPr>
            </w:pPr>
            <w:r w:rsidRPr="008B3BC0">
              <w:rPr>
                <w:sz w:val="16"/>
                <w:szCs w:val="16"/>
                <w:lang w:eastAsia="ar-SA"/>
              </w:rPr>
              <w:t>%</w:t>
            </w:r>
          </w:p>
        </w:tc>
        <w:tc>
          <w:tcPr>
            <w:tcW w:w="1080" w:type="dxa"/>
            <w:vAlign w:val="center"/>
          </w:tcPr>
          <w:p w:rsidR="00C26502" w:rsidRPr="008B3BC0" w:rsidRDefault="00C26502" w:rsidP="00C26502">
            <w:pPr>
              <w:suppressAutoHyphens/>
              <w:spacing w:before="120"/>
              <w:jc w:val="center"/>
              <w:rPr>
                <w:sz w:val="16"/>
                <w:szCs w:val="16"/>
                <w:lang w:eastAsia="ar-SA"/>
              </w:rPr>
            </w:pPr>
            <w:r w:rsidRPr="008B3BC0">
              <w:rPr>
                <w:sz w:val="16"/>
                <w:szCs w:val="16"/>
                <w:lang w:eastAsia="ar-SA"/>
              </w:rPr>
              <w:t>≥ 60</w:t>
            </w:r>
          </w:p>
        </w:tc>
        <w:tc>
          <w:tcPr>
            <w:tcW w:w="720" w:type="dxa"/>
            <w:vAlign w:val="center"/>
          </w:tcPr>
          <w:p w:rsidR="00C26502" w:rsidRPr="008B3BC0" w:rsidRDefault="00C26502" w:rsidP="00C26502">
            <w:pPr>
              <w:suppressAutoHyphens/>
              <w:spacing w:before="120"/>
              <w:jc w:val="center"/>
              <w:rPr>
                <w:sz w:val="16"/>
                <w:szCs w:val="16"/>
                <w:lang w:eastAsia="ar-SA"/>
              </w:rPr>
            </w:pPr>
            <w:r w:rsidRPr="008B3BC0">
              <w:rPr>
                <w:sz w:val="16"/>
                <w:szCs w:val="16"/>
                <w:lang w:eastAsia="ar-SA"/>
              </w:rPr>
              <w:t>7</w:t>
            </w:r>
          </w:p>
        </w:tc>
        <w:tc>
          <w:tcPr>
            <w:tcW w:w="1080" w:type="dxa"/>
            <w:vAlign w:val="center"/>
          </w:tcPr>
          <w:p w:rsidR="00C26502" w:rsidRPr="008B3BC0" w:rsidRDefault="00C26502" w:rsidP="00C26502">
            <w:pPr>
              <w:suppressAutoHyphens/>
              <w:spacing w:before="120"/>
              <w:jc w:val="center"/>
              <w:rPr>
                <w:sz w:val="16"/>
                <w:szCs w:val="16"/>
                <w:lang w:eastAsia="ar-SA"/>
              </w:rPr>
            </w:pPr>
            <w:r w:rsidRPr="008B3BC0">
              <w:rPr>
                <w:sz w:val="16"/>
                <w:szCs w:val="16"/>
                <w:lang w:eastAsia="ar-SA"/>
              </w:rPr>
              <w:t>≥ 60</w:t>
            </w:r>
          </w:p>
        </w:tc>
        <w:tc>
          <w:tcPr>
            <w:tcW w:w="720" w:type="dxa"/>
            <w:vAlign w:val="center"/>
          </w:tcPr>
          <w:p w:rsidR="00C26502" w:rsidRPr="008B3BC0" w:rsidRDefault="00C26502" w:rsidP="00C26502">
            <w:pPr>
              <w:suppressAutoHyphens/>
              <w:spacing w:before="120"/>
              <w:jc w:val="center"/>
              <w:rPr>
                <w:sz w:val="16"/>
                <w:szCs w:val="16"/>
                <w:lang w:eastAsia="ar-SA"/>
              </w:rPr>
            </w:pPr>
            <w:r w:rsidRPr="008B3BC0">
              <w:rPr>
                <w:sz w:val="16"/>
                <w:szCs w:val="16"/>
                <w:lang w:eastAsia="ar-SA"/>
              </w:rPr>
              <w:t>7</w:t>
            </w:r>
          </w:p>
        </w:tc>
      </w:tr>
      <w:tr w:rsidR="00C26502" w:rsidRPr="008B3BC0" w:rsidTr="00C26502">
        <w:trPr>
          <w:jc w:val="center"/>
        </w:trPr>
        <w:tc>
          <w:tcPr>
            <w:tcW w:w="1101" w:type="dxa"/>
            <w:tcBorders>
              <w:top w:val="nil"/>
            </w:tcBorders>
          </w:tcPr>
          <w:p w:rsidR="00C26502" w:rsidRPr="008B3BC0" w:rsidRDefault="00C26502" w:rsidP="00C26502">
            <w:pPr>
              <w:suppressAutoHyphens/>
              <w:rPr>
                <w:sz w:val="16"/>
                <w:szCs w:val="16"/>
                <w:lang w:eastAsia="ar-SA"/>
              </w:rPr>
            </w:pPr>
            <w:r w:rsidRPr="008B3BC0">
              <w:rPr>
                <w:sz w:val="16"/>
                <w:szCs w:val="16"/>
                <w:lang w:eastAsia="ar-SA"/>
              </w:rPr>
              <w:t>na starzenie wg PN-EN 12607-1 lub  -3 [31]</w:t>
            </w:r>
          </w:p>
        </w:tc>
        <w:tc>
          <w:tcPr>
            <w:tcW w:w="1134" w:type="dxa"/>
            <w:vAlign w:val="center"/>
          </w:tcPr>
          <w:p w:rsidR="00C26502" w:rsidRPr="008B3BC0" w:rsidRDefault="00C26502" w:rsidP="00C26502">
            <w:pPr>
              <w:suppressAutoHyphens/>
              <w:rPr>
                <w:sz w:val="16"/>
                <w:szCs w:val="16"/>
                <w:lang w:eastAsia="ar-SA"/>
              </w:rPr>
            </w:pPr>
            <w:r w:rsidRPr="008B3BC0">
              <w:rPr>
                <w:sz w:val="16"/>
                <w:szCs w:val="16"/>
                <w:lang w:eastAsia="ar-SA"/>
              </w:rPr>
              <w:t>Wzrost temperatury mięknienia</w:t>
            </w:r>
          </w:p>
        </w:tc>
        <w:tc>
          <w:tcPr>
            <w:tcW w:w="850" w:type="dxa"/>
            <w:vAlign w:val="center"/>
          </w:tcPr>
          <w:p w:rsidR="00C26502" w:rsidRPr="008B3BC0" w:rsidRDefault="00C26502" w:rsidP="00C26502">
            <w:pPr>
              <w:suppressAutoHyphens/>
              <w:jc w:val="center"/>
              <w:rPr>
                <w:sz w:val="16"/>
                <w:szCs w:val="16"/>
                <w:lang w:eastAsia="ar-SA"/>
              </w:rPr>
            </w:pPr>
            <w:r w:rsidRPr="008B3BC0">
              <w:rPr>
                <w:sz w:val="16"/>
                <w:szCs w:val="16"/>
                <w:lang w:eastAsia="ar-SA"/>
              </w:rPr>
              <w:t>PN-EN 1427 [22]</w:t>
            </w:r>
          </w:p>
        </w:tc>
        <w:tc>
          <w:tcPr>
            <w:tcW w:w="803" w:type="dxa"/>
            <w:vAlign w:val="center"/>
          </w:tcPr>
          <w:p w:rsidR="00C26502" w:rsidRPr="008B3BC0" w:rsidRDefault="00C26502" w:rsidP="00C26502">
            <w:pPr>
              <w:suppressAutoHyphens/>
              <w:spacing w:before="120"/>
              <w:jc w:val="center"/>
              <w:rPr>
                <w:sz w:val="16"/>
                <w:szCs w:val="16"/>
                <w:lang w:eastAsia="ar-SA"/>
              </w:rPr>
            </w:pPr>
            <w:r w:rsidRPr="008B3BC0">
              <w:rPr>
                <w:sz w:val="16"/>
                <w:szCs w:val="16"/>
                <w:lang w:eastAsia="ar-SA"/>
              </w:rPr>
              <w:t>°C</w:t>
            </w:r>
          </w:p>
        </w:tc>
        <w:tc>
          <w:tcPr>
            <w:tcW w:w="1080" w:type="dxa"/>
            <w:vAlign w:val="center"/>
          </w:tcPr>
          <w:p w:rsidR="00C26502" w:rsidRPr="008B3BC0" w:rsidRDefault="00C26502" w:rsidP="00C26502">
            <w:pPr>
              <w:suppressAutoHyphens/>
              <w:spacing w:before="120"/>
              <w:jc w:val="center"/>
              <w:rPr>
                <w:sz w:val="16"/>
                <w:szCs w:val="16"/>
                <w:lang w:eastAsia="ar-SA"/>
              </w:rPr>
            </w:pPr>
            <w:r w:rsidRPr="008B3BC0">
              <w:rPr>
                <w:sz w:val="16"/>
                <w:szCs w:val="16"/>
                <w:lang w:eastAsia="ar-SA"/>
              </w:rPr>
              <w:t>≤ 8</w:t>
            </w:r>
          </w:p>
        </w:tc>
        <w:tc>
          <w:tcPr>
            <w:tcW w:w="720" w:type="dxa"/>
            <w:vAlign w:val="center"/>
          </w:tcPr>
          <w:p w:rsidR="00C26502" w:rsidRPr="008B3BC0" w:rsidRDefault="00C26502" w:rsidP="00C26502">
            <w:pPr>
              <w:suppressAutoHyphens/>
              <w:spacing w:before="120"/>
              <w:jc w:val="center"/>
              <w:rPr>
                <w:sz w:val="16"/>
                <w:szCs w:val="16"/>
                <w:lang w:eastAsia="ar-SA"/>
              </w:rPr>
            </w:pPr>
            <w:r w:rsidRPr="008B3BC0">
              <w:rPr>
                <w:sz w:val="16"/>
                <w:szCs w:val="16"/>
                <w:lang w:eastAsia="ar-SA"/>
              </w:rPr>
              <w:t>2</w:t>
            </w:r>
          </w:p>
        </w:tc>
        <w:tc>
          <w:tcPr>
            <w:tcW w:w="1080" w:type="dxa"/>
            <w:vAlign w:val="center"/>
          </w:tcPr>
          <w:p w:rsidR="00C26502" w:rsidRPr="008B3BC0" w:rsidRDefault="00C26502" w:rsidP="00C26502">
            <w:pPr>
              <w:suppressAutoHyphens/>
              <w:spacing w:before="120"/>
              <w:jc w:val="center"/>
              <w:rPr>
                <w:sz w:val="16"/>
                <w:szCs w:val="16"/>
                <w:lang w:eastAsia="ar-SA"/>
              </w:rPr>
            </w:pPr>
            <w:r w:rsidRPr="008B3BC0">
              <w:rPr>
                <w:sz w:val="16"/>
                <w:szCs w:val="16"/>
                <w:lang w:eastAsia="ar-SA"/>
              </w:rPr>
              <w:t>≤ 8</w:t>
            </w:r>
          </w:p>
        </w:tc>
        <w:tc>
          <w:tcPr>
            <w:tcW w:w="720" w:type="dxa"/>
            <w:vAlign w:val="center"/>
          </w:tcPr>
          <w:p w:rsidR="00C26502" w:rsidRPr="008B3BC0" w:rsidRDefault="00C26502" w:rsidP="00C26502">
            <w:pPr>
              <w:suppressAutoHyphens/>
              <w:spacing w:before="120"/>
              <w:jc w:val="center"/>
              <w:rPr>
                <w:sz w:val="16"/>
                <w:szCs w:val="16"/>
                <w:lang w:eastAsia="ar-SA"/>
              </w:rPr>
            </w:pPr>
            <w:r w:rsidRPr="008B3BC0">
              <w:rPr>
                <w:sz w:val="16"/>
                <w:szCs w:val="16"/>
                <w:lang w:eastAsia="ar-SA"/>
              </w:rPr>
              <w:t>2</w:t>
            </w:r>
          </w:p>
        </w:tc>
      </w:tr>
      <w:tr w:rsidR="00C26502" w:rsidRPr="008B3BC0" w:rsidTr="00C26502">
        <w:trPr>
          <w:jc w:val="center"/>
        </w:trPr>
        <w:tc>
          <w:tcPr>
            <w:tcW w:w="1101" w:type="dxa"/>
            <w:vAlign w:val="center"/>
          </w:tcPr>
          <w:p w:rsidR="00C26502" w:rsidRPr="008B3BC0" w:rsidRDefault="00C26502" w:rsidP="00C26502">
            <w:pPr>
              <w:suppressAutoHyphens/>
              <w:rPr>
                <w:sz w:val="16"/>
                <w:szCs w:val="16"/>
                <w:lang w:eastAsia="ar-SA"/>
              </w:rPr>
            </w:pPr>
            <w:r w:rsidRPr="008B3BC0">
              <w:rPr>
                <w:sz w:val="16"/>
                <w:szCs w:val="16"/>
                <w:lang w:eastAsia="ar-SA"/>
              </w:rPr>
              <w:t>Inne właściwości</w:t>
            </w:r>
          </w:p>
        </w:tc>
        <w:tc>
          <w:tcPr>
            <w:tcW w:w="1134" w:type="dxa"/>
            <w:vAlign w:val="center"/>
          </w:tcPr>
          <w:p w:rsidR="00C26502" w:rsidRPr="008B3BC0" w:rsidRDefault="00C26502" w:rsidP="00C26502">
            <w:pPr>
              <w:suppressAutoHyphens/>
              <w:rPr>
                <w:sz w:val="16"/>
                <w:szCs w:val="16"/>
                <w:lang w:eastAsia="ar-SA"/>
              </w:rPr>
            </w:pPr>
            <w:r w:rsidRPr="008B3BC0">
              <w:rPr>
                <w:sz w:val="16"/>
                <w:szCs w:val="16"/>
                <w:lang w:eastAsia="ar-SA"/>
              </w:rPr>
              <w:t>Temperatura zapłonu</w:t>
            </w:r>
          </w:p>
        </w:tc>
        <w:tc>
          <w:tcPr>
            <w:tcW w:w="850" w:type="dxa"/>
            <w:vAlign w:val="center"/>
          </w:tcPr>
          <w:p w:rsidR="00C26502" w:rsidRPr="008B3BC0" w:rsidRDefault="00C26502" w:rsidP="00C26502">
            <w:pPr>
              <w:suppressAutoHyphens/>
              <w:jc w:val="center"/>
              <w:rPr>
                <w:sz w:val="16"/>
                <w:szCs w:val="16"/>
                <w:lang w:eastAsia="ar-SA"/>
              </w:rPr>
            </w:pPr>
            <w:r w:rsidRPr="008B3BC0">
              <w:rPr>
                <w:sz w:val="16"/>
                <w:szCs w:val="16"/>
                <w:lang w:eastAsia="ar-SA"/>
              </w:rPr>
              <w:t>PN-EN ISO 2592 [63]</w:t>
            </w:r>
          </w:p>
        </w:tc>
        <w:tc>
          <w:tcPr>
            <w:tcW w:w="803" w:type="dxa"/>
            <w:vAlign w:val="center"/>
          </w:tcPr>
          <w:p w:rsidR="00C26502" w:rsidRPr="008B3BC0" w:rsidRDefault="00C26502" w:rsidP="00C26502">
            <w:pPr>
              <w:suppressAutoHyphens/>
              <w:jc w:val="center"/>
              <w:rPr>
                <w:sz w:val="16"/>
                <w:szCs w:val="16"/>
                <w:lang w:eastAsia="ar-SA"/>
              </w:rPr>
            </w:pPr>
            <w:r w:rsidRPr="008B3BC0">
              <w:rPr>
                <w:sz w:val="16"/>
                <w:szCs w:val="16"/>
                <w:lang w:eastAsia="ar-SA"/>
              </w:rPr>
              <w:t>°C</w:t>
            </w:r>
          </w:p>
        </w:tc>
        <w:tc>
          <w:tcPr>
            <w:tcW w:w="1080" w:type="dxa"/>
            <w:vAlign w:val="center"/>
          </w:tcPr>
          <w:p w:rsidR="00C26502" w:rsidRPr="008B3BC0" w:rsidRDefault="00C26502" w:rsidP="00C26502">
            <w:pPr>
              <w:suppressAutoHyphens/>
              <w:jc w:val="center"/>
              <w:rPr>
                <w:sz w:val="16"/>
                <w:szCs w:val="16"/>
                <w:lang w:eastAsia="ar-SA"/>
              </w:rPr>
            </w:pPr>
            <w:r w:rsidRPr="008B3BC0">
              <w:rPr>
                <w:sz w:val="16"/>
                <w:szCs w:val="16"/>
                <w:lang w:eastAsia="ar-SA"/>
              </w:rPr>
              <w:t>≥ 235</w:t>
            </w:r>
          </w:p>
        </w:tc>
        <w:tc>
          <w:tcPr>
            <w:tcW w:w="720" w:type="dxa"/>
            <w:vAlign w:val="center"/>
          </w:tcPr>
          <w:p w:rsidR="00C26502" w:rsidRPr="008B3BC0" w:rsidRDefault="00C26502" w:rsidP="00C26502">
            <w:pPr>
              <w:suppressAutoHyphens/>
              <w:jc w:val="center"/>
              <w:rPr>
                <w:sz w:val="16"/>
                <w:szCs w:val="16"/>
                <w:lang w:eastAsia="ar-SA"/>
              </w:rPr>
            </w:pPr>
            <w:r w:rsidRPr="008B3BC0">
              <w:rPr>
                <w:sz w:val="16"/>
                <w:szCs w:val="16"/>
                <w:lang w:eastAsia="ar-SA"/>
              </w:rPr>
              <w:t>3</w:t>
            </w:r>
          </w:p>
        </w:tc>
        <w:tc>
          <w:tcPr>
            <w:tcW w:w="1080" w:type="dxa"/>
            <w:vAlign w:val="center"/>
          </w:tcPr>
          <w:p w:rsidR="00C26502" w:rsidRPr="008B3BC0" w:rsidRDefault="00C26502" w:rsidP="00C26502">
            <w:pPr>
              <w:suppressAutoHyphens/>
              <w:jc w:val="center"/>
              <w:rPr>
                <w:sz w:val="16"/>
                <w:szCs w:val="16"/>
                <w:lang w:eastAsia="ar-SA"/>
              </w:rPr>
            </w:pPr>
            <w:r w:rsidRPr="008B3BC0">
              <w:rPr>
                <w:sz w:val="16"/>
                <w:szCs w:val="16"/>
                <w:lang w:eastAsia="ar-SA"/>
              </w:rPr>
              <w:t>≥ 235</w:t>
            </w:r>
          </w:p>
        </w:tc>
        <w:tc>
          <w:tcPr>
            <w:tcW w:w="720" w:type="dxa"/>
            <w:vAlign w:val="center"/>
          </w:tcPr>
          <w:p w:rsidR="00C26502" w:rsidRPr="008B3BC0" w:rsidRDefault="00C26502" w:rsidP="00C26502">
            <w:pPr>
              <w:suppressAutoHyphens/>
              <w:jc w:val="center"/>
              <w:rPr>
                <w:sz w:val="16"/>
                <w:szCs w:val="16"/>
                <w:lang w:eastAsia="ar-SA"/>
              </w:rPr>
            </w:pPr>
            <w:r w:rsidRPr="008B3BC0">
              <w:rPr>
                <w:sz w:val="16"/>
                <w:szCs w:val="16"/>
                <w:lang w:eastAsia="ar-SA"/>
              </w:rPr>
              <w:t>3</w:t>
            </w:r>
          </w:p>
        </w:tc>
      </w:tr>
      <w:tr w:rsidR="00C26502" w:rsidRPr="008B3BC0" w:rsidTr="00C26502">
        <w:trPr>
          <w:jc w:val="center"/>
        </w:trPr>
        <w:tc>
          <w:tcPr>
            <w:tcW w:w="1101" w:type="dxa"/>
            <w:vMerge w:val="restart"/>
            <w:vAlign w:val="center"/>
          </w:tcPr>
          <w:p w:rsidR="00C26502" w:rsidRPr="008B3BC0" w:rsidRDefault="00C26502" w:rsidP="00C26502">
            <w:pPr>
              <w:suppressAutoHyphens/>
              <w:rPr>
                <w:sz w:val="16"/>
                <w:szCs w:val="16"/>
                <w:lang w:eastAsia="ar-SA"/>
              </w:rPr>
            </w:pPr>
            <w:r w:rsidRPr="008B3BC0">
              <w:rPr>
                <w:sz w:val="16"/>
                <w:szCs w:val="16"/>
                <w:lang w:eastAsia="ar-SA"/>
              </w:rPr>
              <w:t>Wymagania</w:t>
            </w:r>
          </w:p>
          <w:p w:rsidR="00C26502" w:rsidRPr="008B3BC0" w:rsidRDefault="00C26502" w:rsidP="00C26502">
            <w:pPr>
              <w:suppressAutoHyphens/>
              <w:rPr>
                <w:sz w:val="16"/>
                <w:szCs w:val="16"/>
                <w:lang w:eastAsia="ar-SA"/>
              </w:rPr>
            </w:pPr>
            <w:r w:rsidRPr="008B3BC0">
              <w:rPr>
                <w:sz w:val="16"/>
                <w:szCs w:val="16"/>
                <w:lang w:eastAsia="ar-SA"/>
              </w:rPr>
              <w:t>dodatkowe</w:t>
            </w:r>
          </w:p>
        </w:tc>
        <w:tc>
          <w:tcPr>
            <w:tcW w:w="1134" w:type="dxa"/>
            <w:vAlign w:val="center"/>
          </w:tcPr>
          <w:p w:rsidR="00C26502" w:rsidRPr="008B3BC0" w:rsidRDefault="00C26502" w:rsidP="00C26502">
            <w:pPr>
              <w:suppressAutoHyphens/>
              <w:rPr>
                <w:sz w:val="16"/>
                <w:szCs w:val="16"/>
                <w:lang w:eastAsia="ar-SA"/>
              </w:rPr>
            </w:pPr>
            <w:r w:rsidRPr="008B3BC0">
              <w:rPr>
                <w:sz w:val="16"/>
                <w:szCs w:val="16"/>
                <w:lang w:eastAsia="ar-SA"/>
              </w:rPr>
              <w:t>Temperatura łamliwości</w:t>
            </w:r>
          </w:p>
        </w:tc>
        <w:tc>
          <w:tcPr>
            <w:tcW w:w="850" w:type="dxa"/>
            <w:tcBorders>
              <w:bottom w:val="single" w:sz="4" w:space="0" w:color="auto"/>
            </w:tcBorders>
            <w:vAlign w:val="center"/>
          </w:tcPr>
          <w:p w:rsidR="00C26502" w:rsidRPr="008B3BC0" w:rsidRDefault="00C26502" w:rsidP="00C26502">
            <w:pPr>
              <w:suppressAutoHyphens/>
              <w:jc w:val="center"/>
              <w:rPr>
                <w:sz w:val="16"/>
                <w:szCs w:val="16"/>
                <w:lang w:eastAsia="ar-SA"/>
              </w:rPr>
            </w:pPr>
            <w:r w:rsidRPr="008B3BC0">
              <w:rPr>
                <w:sz w:val="16"/>
                <w:szCs w:val="16"/>
                <w:lang w:eastAsia="ar-SA"/>
              </w:rPr>
              <w:t>PN-EN 12593 [29]</w:t>
            </w:r>
          </w:p>
        </w:tc>
        <w:tc>
          <w:tcPr>
            <w:tcW w:w="803" w:type="dxa"/>
            <w:tcBorders>
              <w:bottom w:val="single" w:sz="4" w:space="0" w:color="auto"/>
            </w:tcBorders>
            <w:vAlign w:val="center"/>
          </w:tcPr>
          <w:p w:rsidR="00C26502" w:rsidRPr="008B3BC0" w:rsidRDefault="00C26502" w:rsidP="00C26502">
            <w:pPr>
              <w:suppressAutoHyphens/>
              <w:jc w:val="center"/>
              <w:rPr>
                <w:sz w:val="16"/>
                <w:szCs w:val="16"/>
                <w:lang w:eastAsia="ar-SA"/>
              </w:rPr>
            </w:pPr>
            <w:r w:rsidRPr="008B3BC0">
              <w:rPr>
                <w:sz w:val="16"/>
                <w:szCs w:val="16"/>
                <w:lang w:eastAsia="ar-SA"/>
              </w:rPr>
              <w:t>°C</w:t>
            </w:r>
          </w:p>
        </w:tc>
        <w:tc>
          <w:tcPr>
            <w:tcW w:w="1080" w:type="dxa"/>
            <w:vAlign w:val="center"/>
          </w:tcPr>
          <w:p w:rsidR="00C26502" w:rsidRPr="008B3BC0" w:rsidRDefault="00C26502" w:rsidP="00C26502">
            <w:pPr>
              <w:suppressAutoHyphens/>
              <w:jc w:val="center"/>
              <w:rPr>
                <w:sz w:val="16"/>
                <w:szCs w:val="16"/>
                <w:lang w:eastAsia="ar-SA"/>
              </w:rPr>
            </w:pPr>
            <w:r w:rsidRPr="008B3BC0">
              <w:rPr>
                <w:sz w:val="16"/>
                <w:szCs w:val="16"/>
                <w:lang w:eastAsia="ar-SA"/>
              </w:rPr>
              <w:t>≤ -12</w:t>
            </w:r>
          </w:p>
        </w:tc>
        <w:tc>
          <w:tcPr>
            <w:tcW w:w="720" w:type="dxa"/>
            <w:vAlign w:val="center"/>
          </w:tcPr>
          <w:p w:rsidR="00C26502" w:rsidRPr="008B3BC0" w:rsidRDefault="00C26502" w:rsidP="00C26502">
            <w:pPr>
              <w:suppressAutoHyphens/>
              <w:jc w:val="center"/>
              <w:rPr>
                <w:sz w:val="16"/>
                <w:szCs w:val="16"/>
                <w:lang w:eastAsia="ar-SA"/>
              </w:rPr>
            </w:pPr>
            <w:r w:rsidRPr="008B3BC0">
              <w:rPr>
                <w:sz w:val="16"/>
                <w:szCs w:val="16"/>
                <w:lang w:eastAsia="ar-SA"/>
              </w:rPr>
              <w:t>6</w:t>
            </w:r>
          </w:p>
        </w:tc>
        <w:tc>
          <w:tcPr>
            <w:tcW w:w="1080" w:type="dxa"/>
            <w:vAlign w:val="center"/>
          </w:tcPr>
          <w:p w:rsidR="00C26502" w:rsidRPr="008B3BC0" w:rsidRDefault="00C26502" w:rsidP="00C26502">
            <w:pPr>
              <w:suppressAutoHyphens/>
              <w:jc w:val="center"/>
              <w:rPr>
                <w:sz w:val="16"/>
                <w:szCs w:val="16"/>
                <w:lang w:eastAsia="ar-SA"/>
              </w:rPr>
            </w:pPr>
            <w:r w:rsidRPr="008B3BC0">
              <w:rPr>
                <w:sz w:val="16"/>
                <w:szCs w:val="16"/>
                <w:lang w:eastAsia="ar-SA"/>
              </w:rPr>
              <w:t>≤ -15</w:t>
            </w:r>
          </w:p>
        </w:tc>
        <w:tc>
          <w:tcPr>
            <w:tcW w:w="720" w:type="dxa"/>
            <w:vAlign w:val="center"/>
          </w:tcPr>
          <w:p w:rsidR="00C26502" w:rsidRPr="008B3BC0" w:rsidRDefault="00C26502" w:rsidP="00C26502">
            <w:pPr>
              <w:suppressAutoHyphens/>
              <w:jc w:val="center"/>
              <w:rPr>
                <w:sz w:val="16"/>
                <w:szCs w:val="16"/>
                <w:lang w:eastAsia="ar-SA"/>
              </w:rPr>
            </w:pPr>
            <w:r w:rsidRPr="008B3BC0">
              <w:rPr>
                <w:sz w:val="16"/>
                <w:szCs w:val="16"/>
                <w:lang w:eastAsia="ar-SA"/>
              </w:rPr>
              <w:t>7</w:t>
            </w:r>
          </w:p>
        </w:tc>
      </w:tr>
      <w:tr w:rsidR="00C26502" w:rsidRPr="008B3BC0" w:rsidTr="00C26502">
        <w:trPr>
          <w:jc w:val="center"/>
        </w:trPr>
        <w:tc>
          <w:tcPr>
            <w:tcW w:w="1101" w:type="dxa"/>
            <w:vMerge/>
          </w:tcPr>
          <w:p w:rsidR="00C26502" w:rsidRPr="008B3BC0" w:rsidRDefault="00C26502" w:rsidP="00C26502">
            <w:pPr>
              <w:suppressAutoHyphens/>
              <w:rPr>
                <w:sz w:val="16"/>
                <w:szCs w:val="16"/>
                <w:lang w:eastAsia="ar-SA"/>
              </w:rPr>
            </w:pPr>
          </w:p>
        </w:tc>
        <w:tc>
          <w:tcPr>
            <w:tcW w:w="1134" w:type="dxa"/>
            <w:vAlign w:val="center"/>
          </w:tcPr>
          <w:p w:rsidR="00C26502" w:rsidRPr="008B3BC0" w:rsidRDefault="00C26502" w:rsidP="00C26502">
            <w:pPr>
              <w:suppressAutoHyphens/>
              <w:rPr>
                <w:sz w:val="16"/>
                <w:szCs w:val="16"/>
                <w:lang w:eastAsia="ar-SA"/>
              </w:rPr>
            </w:pPr>
            <w:r w:rsidRPr="008B3BC0">
              <w:rPr>
                <w:sz w:val="16"/>
                <w:szCs w:val="16"/>
                <w:lang w:eastAsia="ar-SA"/>
              </w:rPr>
              <w:t>Nawrót sprężysty w 25°C</w:t>
            </w:r>
          </w:p>
        </w:tc>
        <w:tc>
          <w:tcPr>
            <w:tcW w:w="850" w:type="dxa"/>
            <w:vMerge w:val="restart"/>
            <w:vAlign w:val="center"/>
          </w:tcPr>
          <w:p w:rsidR="00C26502" w:rsidRPr="008B3BC0" w:rsidRDefault="00C26502" w:rsidP="00C26502">
            <w:pPr>
              <w:suppressAutoHyphens/>
              <w:jc w:val="center"/>
              <w:rPr>
                <w:sz w:val="16"/>
                <w:szCs w:val="16"/>
                <w:lang w:eastAsia="ar-SA"/>
              </w:rPr>
            </w:pPr>
            <w:r w:rsidRPr="008B3BC0">
              <w:rPr>
                <w:sz w:val="16"/>
                <w:szCs w:val="16"/>
                <w:lang w:eastAsia="ar-SA"/>
              </w:rPr>
              <w:t>PN-EN 13398</w:t>
            </w:r>
          </w:p>
          <w:p w:rsidR="00C26502" w:rsidRPr="008B3BC0" w:rsidRDefault="00C26502" w:rsidP="00C26502">
            <w:pPr>
              <w:suppressAutoHyphens/>
              <w:jc w:val="center"/>
              <w:rPr>
                <w:sz w:val="16"/>
                <w:szCs w:val="16"/>
                <w:lang w:eastAsia="ar-SA"/>
              </w:rPr>
            </w:pPr>
            <w:r w:rsidRPr="008B3BC0">
              <w:rPr>
                <w:sz w:val="16"/>
                <w:szCs w:val="16"/>
                <w:lang w:eastAsia="ar-SA"/>
              </w:rPr>
              <w:t>[51]</w:t>
            </w:r>
          </w:p>
        </w:tc>
        <w:tc>
          <w:tcPr>
            <w:tcW w:w="803" w:type="dxa"/>
            <w:vMerge w:val="restart"/>
            <w:vAlign w:val="center"/>
          </w:tcPr>
          <w:p w:rsidR="00C26502" w:rsidRPr="008B3BC0" w:rsidRDefault="00C26502" w:rsidP="00C26502">
            <w:pPr>
              <w:suppressAutoHyphens/>
              <w:jc w:val="center"/>
              <w:rPr>
                <w:sz w:val="16"/>
                <w:szCs w:val="16"/>
                <w:lang w:eastAsia="ar-SA"/>
              </w:rPr>
            </w:pPr>
            <w:r w:rsidRPr="008B3BC0">
              <w:rPr>
                <w:sz w:val="16"/>
                <w:szCs w:val="16"/>
                <w:lang w:eastAsia="ar-SA"/>
              </w:rPr>
              <w:t>%</w:t>
            </w:r>
          </w:p>
        </w:tc>
        <w:tc>
          <w:tcPr>
            <w:tcW w:w="1080" w:type="dxa"/>
            <w:vAlign w:val="center"/>
          </w:tcPr>
          <w:p w:rsidR="00C26502" w:rsidRPr="008B3BC0" w:rsidRDefault="00C26502" w:rsidP="00C26502">
            <w:pPr>
              <w:suppressAutoHyphens/>
              <w:jc w:val="center"/>
              <w:rPr>
                <w:sz w:val="16"/>
                <w:szCs w:val="16"/>
                <w:lang w:eastAsia="ar-SA"/>
              </w:rPr>
            </w:pPr>
            <w:r w:rsidRPr="008B3BC0">
              <w:rPr>
                <w:sz w:val="16"/>
                <w:szCs w:val="16"/>
                <w:lang w:eastAsia="ar-SA"/>
              </w:rPr>
              <w:t>≥ 50</w:t>
            </w:r>
          </w:p>
        </w:tc>
        <w:tc>
          <w:tcPr>
            <w:tcW w:w="720" w:type="dxa"/>
            <w:vAlign w:val="center"/>
          </w:tcPr>
          <w:p w:rsidR="00C26502" w:rsidRPr="008B3BC0" w:rsidRDefault="00C26502" w:rsidP="00C26502">
            <w:pPr>
              <w:suppressAutoHyphens/>
              <w:jc w:val="center"/>
              <w:rPr>
                <w:sz w:val="16"/>
                <w:szCs w:val="16"/>
                <w:lang w:eastAsia="ar-SA"/>
              </w:rPr>
            </w:pPr>
            <w:r w:rsidRPr="008B3BC0">
              <w:rPr>
                <w:sz w:val="16"/>
                <w:szCs w:val="16"/>
                <w:lang w:eastAsia="ar-SA"/>
              </w:rPr>
              <w:t>5</w:t>
            </w:r>
          </w:p>
        </w:tc>
        <w:tc>
          <w:tcPr>
            <w:tcW w:w="1080" w:type="dxa"/>
            <w:vAlign w:val="center"/>
          </w:tcPr>
          <w:p w:rsidR="00C26502" w:rsidRPr="008B3BC0" w:rsidRDefault="00C26502" w:rsidP="00C26502">
            <w:pPr>
              <w:suppressAutoHyphens/>
              <w:jc w:val="center"/>
              <w:rPr>
                <w:sz w:val="16"/>
                <w:szCs w:val="16"/>
                <w:lang w:eastAsia="ar-SA"/>
              </w:rPr>
            </w:pPr>
            <w:r w:rsidRPr="008B3BC0">
              <w:rPr>
                <w:sz w:val="16"/>
                <w:szCs w:val="16"/>
                <w:lang w:eastAsia="ar-SA"/>
              </w:rPr>
              <w:t>≥ 70</w:t>
            </w:r>
          </w:p>
        </w:tc>
        <w:tc>
          <w:tcPr>
            <w:tcW w:w="720" w:type="dxa"/>
            <w:vAlign w:val="center"/>
          </w:tcPr>
          <w:p w:rsidR="00C26502" w:rsidRPr="008B3BC0" w:rsidRDefault="00C26502" w:rsidP="00C26502">
            <w:pPr>
              <w:suppressAutoHyphens/>
              <w:jc w:val="center"/>
              <w:rPr>
                <w:sz w:val="16"/>
                <w:szCs w:val="16"/>
                <w:lang w:eastAsia="ar-SA"/>
              </w:rPr>
            </w:pPr>
            <w:r w:rsidRPr="008B3BC0">
              <w:rPr>
                <w:sz w:val="16"/>
                <w:szCs w:val="16"/>
                <w:lang w:eastAsia="ar-SA"/>
              </w:rPr>
              <w:t>3</w:t>
            </w:r>
          </w:p>
        </w:tc>
      </w:tr>
      <w:tr w:rsidR="00C26502" w:rsidRPr="008B3BC0" w:rsidTr="00C26502">
        <w:trPr>
          <w:jc w:val="center"/>
        </w:trPr>
        <w:tc>
          <w:tcPr>
            <w:tcW w:w="1101" w:type="dxa"/>
            <w:vMerge/>
          </w:tcPr>
          <w:p w:rsidR="00C26502" w:rsidRPr="008B3BC0" w:rsidRDefault="00C26502" w:rsidP="00C26502">
            <w:pPr>
              <w:suppressAutoHyphens/>
              <w:rPr>
                <w:sz w:val="16"/>
                <w:szCs w:val="16"/>
                <w:lang w:eastAsia="ar-SA"/>
              </w:rPr>
            </w:pPr>
          </w:p>
        </w:tc>
        <w:tc>
          <w:tcPr>
            <w:tcW w:w="1134" w:type="dxa"/>
            <w:vAlign w:val="center"/>
          </w:tcPr>
          <w:p w:rsidR="00C26502" w:rsidRPr="008B3BC0" w:rsidRDefault="00C26502" w:rsidP="00C26502">
            <w:pPr>
              <w:suppressAutoHyphens/>
              <w:rPr>
                <w:sz w:val="16"/>
                <w:szCs w:val="16"/>
                <w:lang w:eastAsia="ar-SA"/>
              </w:rPr>
            </w:pPr>
            <w:r w:rsidRPr="008B3BC0">
              <w:rPr>
                <w:sz w:val="16"/>
                <w:szCs w:val="16"/>
                <w:lang w:eastAsia="ar-SA"/>
              </w:rPr>
              <w:t>Nawrót sprężysty w 10°C</w:t>
            </w:r>
          </w:p>
        </w:tc>
        <w:tc>
          <w:tcPr>
            <w:tcW w:w="850" w:type="dxa"/>
            <w:vMerge/>
            <w:vAlign w:val="center"/>
          </w:tcPr>
          <w:p w:rsidR="00C26502" w:rsidRPr="008B3BC0" w:rsidRDefault="00C26502" w:rsidP="00C26502">
            <w:pPr>
              <w:suppressAutoHyphens/>
              <w:jc w:val="center"/>
              <w:rPr>
                <w:sz w:val="16"/>
                <w:szCs w:val="16"/>
                <w:lang w:eastAsia="ar-SA"/>
              </w:rPr>
            </w:pPr>
          </w:p>
        </w:tc>
        <w:tc>
          <w:tcPr>
            <w:tcW w:w="803" w:type="dxa"/>
            <w:vMerge/>
            <w:vAlign w:val="center"/>
          </w:tcPr>
          <w:p w:rsidR="00C26502" w:rsidRPr="008B3BC0" w:rsidRDefault="00C26502" w:rsidP="00C26502">
            <w:pPr>
              <w:suppressAutoHyphens/>
              <w:jc w:val="center"/>
              <w:rPr>
                <w:sz w:val="16"/>
                <w:szCs w:val="16"/>
                <w:lang w:eastAsia="ar-SA"/>
              </w:rPr>
            </w:pPr>
          </w:p>
        </w:tc>
        <w:tc>
          <w:tcPr>
            <w:tcW w:w="1080" w:type="dxa"/>
            <w:vAlign w:val="center"/>
          </w:tcPr>
          <w:p w:rsidR="00C26502" w:rsidRPr="008B3BC0" w:rsidRDefault="00C26502" w:rsidP="00C26502">
            <w:pPr>
              <w:suppressAutoHyphens/>
              <w:jc w:val="center"/>
              <w:rPr>
                <w:sz w:val="16"/>
                <w:szCs w:val="16"/>
                <w:lang w:eastAsia="ar-SA"/>
              </w:rPr>
            </w:pPr>
            <w:r w:rsidRPr="008B3BC0">
              <w:rPr>
                <w:sz w:val="16"/>
                <w:szCs w:val="16"/>
                <w:lang w:eastAsia="ar-SA"/>
              </w:rPr>
              <w:t>NPD</w:t>
            </w:r>
            <w:r w:rsidRPr="008B3BC0">
              <w:rPr>
                <w:sz w:val="16"/>
                <w:szCs w:val="16"/>
                <w:vertAlign w:val="superscript"/>
                <w:lang w:eastAsia="ar-SA"/>
              </w:rPr>
              <w:t>a</w:t>
            </w:r>
          </w:p>
        </w:tc>
        <w:tc>
          <w:tcPr>
            <w:tcW w:w="720" w:type="dxa"/>
            <w:vAlign w:val="center"/>
          </w:tcPr>
          <w:p w:rsidR="00C26502" w:rsidRPr="008B3BC0" w:rsidRDefault="00C26502" w:rsidP="00C26502">
            <w:pPr>
              <w:suppressAutoHyphens/>
              <w:jc w:val="center"/>
              <w:rPr>
                <w:sz w:val="16"/>
                <w:szCs w:val="16"/>
                <w:lang w:eastAsia="ar-SA"/>
              </w:rPr>
            </w:pPr>
            <w:r w:rsidRPr="008B3BC0">
              <w:rPr>
                <w:sz w:val="16"/>
                <w:szCs w:val="16"/>
                <w:lang w:eastAsia="ar-SA"/>
              </w:rPr>
              <w:t>0</w:t>
            </w:r>
          </w:p>
        </w:tc>
        <w:tc>
          <w:tcPr>
            <w:tcW w:w="1080" w:type="dxa"/>
            <w:vAlign w:val="center"/>
          </w:tcPr>
          <w:p w:rsidR="00C26502" w:rsidRPr="008B3BC0" w:rsidRDefault="00C26502" w:rsidP="00C26502">
            <w:pPr>
              <w:suppressAutoHyphens/>
              <w:jc w:val="center"/>
              <w:rPr>
                <w:sz w:val="16"/>
                <w:szCs w:val="16"/>
                <w:lang w:eastAsia="ar-SA"/>
              </w:rPr>
            </w:pPr>
            <w:r w:rsidRPr="008B3BC0">
              <w:rPr>
                <w:sz w:val="16"/>
                <w:szCs w:val="16"/>
                <w:lang w:eastAsia="ar-SA"/>
              </w:rPr>
              <w:t>NPD</w:t>
            </w:r>
            <w:r w:rsidRPr="008B3BC0">
              <w:rPr>
                <w:sz w:val="16"/>
                <w:szCs w:val="16"/>
                <w:vertAlign w:val="superscript"/>
                <w:lang w:eastAsia="ar-SA"/>
              </w:rPr>
              <w:t>a</w:t>
            </w:r>
          </w:p>
        </w:tc>
        <w:tc>
          <w:tcPr>
            <w:tcW w:w="720" w:type="dxa"/>
            <w:vAlign w:val="center"/>
          </w:tcPr>
          <w:p w:rsidR="00C26502" w:rsidRPr="008B3BC0" w:rsidRDefault="00C26502" w:rsidP="00C26502">
            <w:pPr>
              <w:suppressAutoHyphens/>
              <w:jc w:val="center"/>
              <w:rPr>
                <w:sz w:val="16"/>
                <w:szCs w:val="16"/>
                <w:lang w:eastAsia="ar-SA"/>
              </w:rPr>
            </w:pPr>
            <w:r w:rsidRPr="008B3BC0">
              <w:rPr>
                <w:sz w:val="16"/>
                <w:szCs w:val="16"/>
                <w:lang w:eastAsia="ar-SA"/>
              </w:rPr>
              <w:t>0</w:t>
            </w:r>
          </w:p>
        </w:tc>
      </w:tr>
      <w:tr w:rsidR="00C26502" w:rsidRPr="008B3BC0" w:rsidTr="00C26502">
        <w:trPr>
          <w:jc w:val="center"/>
        </w:trPr>
        <w:tc>
          <w:tcPr>
            <w:tcW w:w="1101" w:type="dxa"/>
            <w:vMerge/>
            <w:tcBorders>
              <w:bottom w:val="single" w:sz="4" w:space="0" w:color="auto"/>
            </w:tcBorders>
          </w:tcPr>
          <w:p w:rsidR="00C26502" w:rsidRPr="008B3BC0" w:rsidRDefault="00C26502" w:rsidP="00C26502">
            <w:pPr>
              <w:suppressAutoHyphens/>
              <w:rPr>
                <w:sz w:val="16"/>
                <w:szCs w:val="16"/>
                <w:lang w:eastAsia="ar-SA"/>
              </w:rPr>
            </w:pPr>
          </w:p>
        </w:tc>
        <w:tc>
          <w:tcPr>
            <w:tcW w:w="1134" w:type="dxa"/>
            <w:vAlign w:val="center"/>
          </w:tcPr>
          <w:p w:rsidR="00C26502" w:rsidRPr="008B3BC0" w:rsidRDefault="00C26502" w:rsidP="00C26502">
            <w:pPr>
              <w:suppressAutoHyphens/>
              <w:rPr>
                <w:sz w:val="16"/>
                <w:szCs w:val="16"/>
                <w:lang w:eastAsia="ar-SA"/>
              </w:rPr>
            </w:pPr>
            <w:r w:rsidRPr="008B3BC0">
              <w:rPr>
                <w:sz w:val="16"/>
                <w:szCs w:val="16"/>
                <w:lang w:eastAsia="ar-SA"/>
              </w:rPr>
              <w:t>Zakres plastyczności</w:t>
            </w:r>
          </w:p>
        </w:tc>
        <w:tc>
          <w:tcPr>
            <w:tcW w:w="850" w:type="dxa"/>
            <w:vAlign w:val="center"/>
          </w:tcPr>
          <w:p w:rsidR="00C26502" w:rsidRPr="008B3BC0" w:rsidRDefault="00C26502" w:rsidP="00C26502">
            <w:pPr>
              <w:suppressAutoHyphens/>
              <w:jc w:val="center"/>
              <w:rPr>
                <w:sz w:val="16"/>
                <w:szCs w:val="16"/>
                <w:lang w:eastAsia="ar-SA"/>
              </w:rPr>
            </w:pPr>
            <w:r w:rsidRPr="008B3BC0">
              <w:rPr>
                <w:sz w:val="16"/>
                <w:szCs w:val="16"/>
                <w:lang w:eastAsia="ar-SA"/>
              </w:rPr>
              <w:t>PN-EN 14023 [59] Punkt 5.1.9</w:t>
            </w:r>
          </w:p>
        </w:tc>
        <w:tc>
          <w:tcPr>
            <w:tcW w:w="803" w:type="dxa"/>
            <w:vAlign w:val="center"/>
          </w:tcPr>
          <w:p w:rsidR="00C26502" w:rsidRPr="008B3BC0" w:rsidRDefault="00C26502" w:rsidP="00C26502">
            <w:pPr>
              <w:suppressAutoHyphens/>
              <w:jc w:val="center"/>
              <w:rPr>
                <w:sz w:val="16"/>
                <w:szCs w:val="16"/>
                <w:lang w:eastAsia="ar-SA"/>
              </w:rPr>
            </w:pPr>
            <w:r w:rsidRPr="008B3BC0">
              <w:rPr>
                <w:sz w:val="16"/>
                <w:szCs w:val="16"/>
                <w:lang w:eastAsia="ar-SA"/>
              </w:rPr>
              <w:t>°C</w:t>
            </w:r>
          </w:p>
        </w:tc>
        <w:tc>
          <w:tcPr>
            <w:tcW w:w="1080" w:type="dxa"/>
            <w:vAlign w:val="center"/>
          </w:tcPr>
          <w:p w:rsidR="00C26502" w:rsidRPr="008B3BC0" w:rsidRDefault="00C26502" w:rsidP="00C26502">
            <w:pPr>
              <w:suppressAutoHyphens/>
              <w:jc w:val="center"/>
              <w:rPr>
                <w:sz w:val="16"/>
                <w:szCs w:val="16"/>
                <w:vertAlign w:val="superscript"/>
                <w:lang w:eastAsia="ar-SA"/>
              </w:rPr>
            </w:pPr>
            <w:r w:rsidRPr="008B3BC0">
              <w:rPr>
                <w:sz w:val="16"/>
                <w:szCs w:val="16"/>
                <w:lang w:eastAsia="ar-SA"/>
              </w:rPr>
              <w:t>TBR</w:t>
            </w:r>
            <w:r w:rsidRPr="008B3BC0">
              <w:rPr>
                <w:sz w:val="16"/>
                <w:szCs w:val="16"/>
                <w:vertAlign w:val="superscript"/>
                <w:lang w:eastAsia="ar-SA"/>
              </w:rPr>
              <w:t>b</w:t>
            </w:r>
          </w:p>
        </w:tc>
        <w:tc>
          <w:tcPr>
            <w:tcW w:w="720" w:type="dxa"/>
            <w:vAlign w:val="center"/>
          </w:tcPr>
          <w:p w:rsidR="00C26502" w:rsidRPr="008B3BC0" w:rsidRDefault="00C26502" w:rsidP="00C26502">
            <w:pPr>
              <w:suppressAutoHyphens/>
              <w:jc w:val="center"/>
              <w:rPr>
                <w:sz w:val="16"/>
                <w:szCs w:val="16"/>
                <w:lang w:eastAsia="ar-SA"/>
              </w:rPr>
            </w:pPr>
            <w:r w:rsidRPr="008B3BC0">
              <w:rPr>
                <w:sz w:val="16"/>
                <w:szCs w:val="16"/>
                <w:lang w:eastAsia="ar-SA"/>
              </w:rPr>
              <w:t>1</w:t>
            </w:r>
          </w:p>
        </w:tc>
        <w:tc>
          <w:tcPr>
            <w:tcW w:w="1080" w:type="dxa"/>
            <w:vAlign w:val="center"/>
          </w:tcPr>
          <w:p w:rsidR="00C26502" w:rsidRPr="008B3BC0" w:rsidRDefault="00C26502" w:rsidP="00C26502">
            <w:pPr>
              <w:suppressAutoHyphens/>
              <w:jc w:val="center"/>
              <w:rPr>
                <w:sz w:val="16"/>
                <w:szCs w:val="16"/>
                <w:lang w:eastAsia="ar-SA"/>
              </w:rPr>
            </w:pPr>
            <w:r w:rsidRPr="008B3BC0">
              <w:rPr>
                <w:sz w:val="16"/>
                <w:szCs w:val="16"/>
                <w:lang w:eastAsia="ar-SA"/>
              </w:rPr>
              <w:t>TBR</w:t>
            </w:r>
            <w:r w:rsidRPr="008B3BC0">
              <w:rPr>
                <w:sz w:val="16"/>
                <w:szCs w:val="16"/>
                <w:vertAlign w:val="superscript"/>
                <w:lang w:eastAsia="ar-SA"/>
              </w:rPr>
              <w:t>b</w:t>
            </w:r>
          </w:p>
        </w:tc>
        <w:tc>
          <w:tcPr>
            <w:tcW w:w="720" w:type="dxa"/>
            <w:vAlign w:val="center"/>
          </w:tcPr>
          <w:p w:rsidR="00C26502" w:rsidRPr="008B3BC0" w:rsidRDefault="00C26502" w:rsidP="00C26502">
            <w:pPr>
              <w:suppressAutoHyphens/>
              <w:jc w:val="center"/>
              <w:rPr>
                <w:sz w:val="16"/>
                <w:szCs w:val="16"/>
                <w:lang w:eastAsia="ar-SA"/>
              </w:rPr>
            </w:pPr>
            <w:r w:rsidRPr="008B3BC0">
              <w:rPr>
                <w:sz w:val="16"/>
                <w:szCs w:val="16"/>
                <w:lang w:eastAsia="ar-SA"/>
              </w:rPr>
              <w:t>1</w:t>
            </w:r>
          </w:p>
        </w:tc>
      </w:tr>
      <w:tr w:rsidR="00C26502" w:rsidRPr="008B3BC0" w:rsidTr="00C26502">
        <w:trPr>
          <w:jc w:val="center"/>
        </w:trPr>
        <w:tc>
          <w:tcPr>
            <w:tcW w:w="1101" w:type="dxa"/>
            <w:vMerge w:val="restart"/>
            <w:tcBorders>
              <w:top w:val="single" w:sz="4" w:space="0" w:color="auto"/>
              <w:left w:val="single" w:sz="4" w:space="0" w:color="auto"/>
              <w:right w:val="single" w:sz="4" w:space="0" w:color="auto"/>
            </w:tcBorders>
            <w:vAlign w:val="center"/>
          </w:tcPr>
          <w:p w:rsidR="00C26502" w:rsidRPr="008B3BC0" w:rsidRDefault="00C26502" w:rsidP="00C26502">
            <w:pPr>
              <w:suppressAutoHyphens/>
              <w:rPr>
                <w:sz w:val="16"/>
                <w:szCs w:val="16"/>
                <w:lang w:eastAsia="ar-SA"/>
              </w:rPr>
            </w:pPr>
            <w:r w:rsidRPr="008B3BC0">
              <w:rPr>
                <w:sz w:val="16"/>
                <w:szCs w:val="16"/>
                <w:lang w:eastAsia="ar-SA"/>
              </w:rPr>
              <w:t>Wymagania</w:t>
            </w:r>
          </w:p>
          <w:p w:rsidR="00C26502" w:rsidRPr="008B3BC0" w:rsidRDefault="00C26502" w:rsidP="00C26502">
            <w:pPr>
              <w:suppressAutoHyphens/>
              <w:rPr>
                <w:sz w:val="16"/>
                <w:szCs w:val="16"/>
                <w:lang w:eastAsia="ar-SA"/>
              </w:rPr>
            </w:pPr>
            <w:r w:rsidRPr="008B3BC0">
              <w:rPr>
                <w:sz w:val="16"/>
                <w:szCs w:val="16"/>
                <w:lang w:eastAsia="ar-SA"/>
              </w:rPr>
              <w:t>dodatkowe</w:t>
            </w:r>
          </w:p>
        </w:tc>
        <w:tc>
          <w:tcPr>
            <w:tcW w:w="1134" w:type="dxa"/>
            <w:tcBorders>
              <w:left w:val="single" w:sz="4" w:space="0" w:color="auto"/>
            </w:tcBorders>
            <w:vAlign w:val="center"/>
          </w:tcPr>
          <w:p w:rsidR="00C26502" w:rsidRPr="008B3BC0" w:rsidRDefault="00C26502" w:rsidP="00C26502">
            <w:pPr>
              <w:suppressAutoHyphens/>
              <w:rPr>
                <w:sz w:val="16"/>
                <w:szCs w:val="16"/>
                <w:lang w:eastAsia="ar-SA"/>
              </w:rPr>
            </w:pPr>
            <w:r w:rsidRPr="008B3BC0">
              <w:rPr>
                <w:sz w:val="16"/>
                <w:szCs w:val="16"/>
                <w:lang w:eastAsia="ar-SA"/>
              </w:rPr>
              <w:t>Stabilność magazynowa-nia. Różnica temperatur mięknienia</w:t>
            </w:r>
          </w:p>
        </w:tc>
        <w:tc>
          <w:tcPr>
            <w:tcW w:w="850" w:type="dxa"/>
            <w:vAlign w:val="center"/>
          </w:tcPr>
          <w:p w:rsidR="00C26502" w:rsidRPr="008B3BC0" w:rsidRDefault="00C26502" w:rsidP="00C26502">
            <w:pPr>
              <w:suppressAutoHyphens/>
              <w:jc w:val="center"/>
              <w:rPr>
                <w:sz w:val="16"/>
                <w:szCs w:val="16"/>
                <w:lang w:eastAsia="ar-SA"/>
              </w:rPr>
            </w:pPr>
            <w:r w:rsidRPr="008B3BC0">
              <w:rPr>
                <w:sz w:val="16"/>
                <w:szCs w:val="16"/>
                <w:lang w:eastAsia="ar-SA"/>
              </w:rPr>
              <w:t>PN-EN 13399 [52]</w:t>
            </w:r>
          </w:p>
          <w:p w:rsidR="00C26502" w:rsidRPr="008B3BC0" w:rsidRDefault="00C26502" w:rsidP="00C26502">
            <w:pPr>
              <w:suppressAutoHyphens/>
              <w:jc w:val="center"/>
              <w:rPr>
                <w:sz w:val="16"/>
                <w:szCs w:val="16"/>
                <w:lang w:eastAsia="ar-SA"/>
              </w:rPr>
            </w:pPr>
            <w:r w:rsidRPr="008B3BC0">
              <w:rPr>
                <w:sz w:val="16"/>
                <w:szCs w:val="16"/>
                <w:lang w:eastAsia="ar-SA"/>
              </w:rPr>
              <w:t>PN-EN 1427 [22]</w:t>
            </w:r>
          </w:p>
        </w:tc>
        <w:tc>
          <w:tcPr>
            <w:tcW w:w="803" w:type="dxa"/>
            <w:vAlign w:val="center"/>
          </w:tcPr>
          <w:p w:rsidR="00C26502" w:rsidRPr="008B3BC0" w:rsidRDefault="00C26502" w:rsidP="00C26502">
            <w:pPr>
              <w:suppressAutoHyphens/>
              <w:jc w:val="center"/>
              <w:rPr>
                <w:sz w:val="16"/>
                <w:szCs w:val="16"/>
                <w:lang w:eastAsia="ar-SA"/>
              </w:rPr>
            </w:pPr>
            <w:r w:rsidRPr="008B3BC0">
              <w:rPr>
                <w:sz w:val="16"/>
                <w:szCs w:val="16"/>
                <w:lang w:eastAsia="ar-SA"/>
              </w:rPr>
              <w:t>°C</w:t>
            </w:r>
          </w:p>
        </w:tc>
        <w:tc>
          <w:tcPr>
            <w:tcW w:w="1080" w:type="dxa"/>
            <w:vAlign w:val="center"/>
          </w:tcPr>
          <w:p w:rsidR="00C26502" w:rsidRPr="008B3BC0" w:rsidRDefault="00C26502" w:rsidP="00C26502">
            <w:pPr>
              <w:suppressAutoHyphens/>
              <w:jc w:val="center"/>
              <w:rPr>
                <w:sz w:val="16"/>
                <w:szCs w:val="16"/>
                <w:lang w:eastAsia="ar-SA"/>
              </w:rPr>
            </w:pPr>
            <w:r w:rsidRPr="008B3BC0">
              <w:rPr>
                <w:sz w:val="16"/>
                <w:szCs w:val="16"/>
                <w:lang w:eastAsia="ar-SA"/>
              </w:rPr>
              <w:t>≤ 5</w:t>
            </w:r>
          </w:p>
        </w:tc>
        <w:tc>
          <w:tcPr>
            <w:tcW w:w="720" w:type="dxa"/>
            <w:vAlign w:val="center"/>
          </w:tcPr>
          <w:p w:rsidR="00C26502" w:rsidRPr="008B3BC0" w:rsidRDefault="00C26502" w:rsidP="00C26502">
            <w:pPr>
              <w:suppressAutoHyphens/>
              <w:jc w:val="center"/>
              <w:rPr>
                <w:sz w:val="16"/>
                <w:szCs w:val="16"/>
                <w:lang w:eastAsia="ar-SA"/>
              </w:rPr>
            </w:pPr>
            <w:r w:rsidRPr="008B3BC0">
              <w:rPr>
                <w:sz w:val="16"/>
                <w:szCs w:val="16"/>
                <w:lang w:eastAsia="ar-SA"/>
              </w:rPr>
              <w:t>2</w:t>
            </w:r>
          </w:p>
        </w:tc>
        <w:tc>
          <w:tcPr>
            <w:tcW w:w="1080" w:type="dxa"/>
            <w:vAlign w:val="center"/>
          </w:tcPr>
          <w:p w:rsidR="00C26502" w:rsidRPr="008B3BC0" w:rsidRDefault="00C26502" w:rsidP="00C26502">
            <w:pPr>
              <w:suppressAutoHyphens/>
              <w:jc w:val="center"/>
              <w:rPr>
                <w:sz w:val="16"/>
                <w:szCs w:val="16"/>
                <w:lang w:eastAsia="ar-SA"/>
              </w:rPr>
            </w:pPr>
            <w:r w:rsidRPr="008B3BC0">
              <w:rPr>
                <w:sz w:val="16"/>
                <w:szCs w:val="16"/>
                <w:lang w:eastAsia="ar-SA"/>
              </w:rPr>
              <w:t>≤ 5</w:t>
            </w:r>
          </w:p>
        </w:tc>
        <w:tc>
          <w:tcPr>
            <w:tcW w:w="720" w:type="dxa"/>
            <w:vAlign w:val="center"/>
          </w:tcPr>
          <w:p w:rsidR="00C26502" w:rsidRPr="008B3BC0" w:rsidRDefault="00C26502" w:rsidP="00C26502">
            <w:pPr>
              <w:suppressAutoHyphens/>
              <w:jc w:val="center"/>
              <w:rPr>
                <w:sz w:val="16"/>
                <w:szCs w:val="16"/>
                <w:lang w:eastAsia="ar-SA"/>
              </w:rPr>
            </w:pPr>
            <w:r w:rsidRPr="008B3BC0">
              <w:rPr>
                <w:sz w:val="16"/>
                <w:szCs w:val="16"/>
                <w:lang w:eastAsia="ar-SA"/>
              </w:rPr>
              <w:t>2</w:t>
            </w:r>
          </w:p>
        </w:tc>
      </w:tr>
      <w:tr w:rsidR="00C26502" w:rsidRPr="008B3BC0" w:rsidTr="00C26502">
        <w:trPr>
          <w:jc w:val="center"/>
        </w:trPr>
        <w:tc>
          <w:tcPr>
            <w:tcW w:w="1101" w:type="dxa"/>
            <w:vMerge/>
            <w:tcBorders>
              <w:left w:val="single" w:sz="4" w:space="0" w:color="auto"/>
              <w:right w:val="single" w:sz="4" w:space="0" w:color="auto"/>
            </w:tcBorders>
          </w:tcPr>
          <w:p w:rsidR="00C26502" w:rsidRPr="008B3BC0" w:rsidRDefault="00C26502" w:rsidP="00C26502">
            <w:pPr>
              <w:suppressAutoHyphens/>
              <w:rPr>
                <w:sz w:val="16"/>
                <w:szCs w:val="16"/>
                <w:lang w:eastAsia="ar-SA"/>
              </w:rPr>
            </w:pPr>
          </w:p>
        </w:tc>
        <w:tc>
          <w:tcPr>
            <w:tcW w:w="1134" w:type="dxa"/>
            <w:tcBorders>
              <w:left w:val="single" w:sz="4" w:space="0" w:color="auto"/>
            </w:tcBorders>
            <w:vAlign w:val="center"/>
          </w:tcPr>
          <w:p w:rsidR="00C26502" w:rsidRPr="008B3BC0" w:rsidRDefault="00C26502" w:rsidP="00C26502">
            <w:pPr>
              <w:suppressAutoHyphens/>
              <w:rPr>
                <w:sz w:val="16"/>
                <w:szCs w:val="16"/>
                <w:lang w:eastAsia="ar-SA"/>
              </w:rPr>
            </w:pPr>
            <w:r w:rsidRPr="008B3BC0">
              <w:rPr>
                <w:sz w:val="16"/>
                <w:szCs w:val="16"/>
                <w:lang w:eastAsia="ar-SA"/>
              </w:rPr>
              <w:t>Stabilność magazynowa-nia. Różnica penetracji</w:t>
            </w:r>
          </w:p>
        </w:tc>
        <w:tc>
          <w:tcPr>
            <w:tcW w:w="850" w:type="dxa"/>
            <w:vAlign w:val="center"/>
          </w:tcPr>
          <w:p w:rsidR="00C26502" w:rsidRPr="008B3BC0" w:rsidRDefault="00C26502" w:rsidP="00C26502">
            <w:pPr>
              <w:suppressAutoHyphens/>
              <w:jc w:val="center"/>
              <w:rPr>
                <w:sz w:val="16"/>
                <w:szCs w:val="16"/>
                <w:lang w:eastAsia="ar-SA"/>
              </w:rPr>
            </w:pPr>
            <w:r w:rsidRPr="008B3BC0">
              <w:rPr>
                <w:sz w:val="16"/>
                <w:szCs w:val="16"/>
                <w:lang w:eastAsia="ar-SA"/>
              </w:rPr>
              <w:t>PN-EN 13399 [52]</w:t>
            </w:r>
          </w:p>
          <w:p w:rsidR="00C26502" w:rsidRPr="008B3BC0" w:rsidRDefault="00C26502" w:rsidP="00C26502">
            <w:pPr>
              <w:suppressAutoHyphens/>
              <w:jc w:val="center"/>
              <w:rPr>
                <w:sz w:val="16"/>
                <w:szCs w:val="16"/>
                <w:lang w:eastAsia="ar-SA"/>
              </w:rPr>
            </w:pPr>
            <w:r w:rsidRPr="008B3BC0">
              <w:rPr>
                <w:sz w:val="16"/>
                <w:szCs w:val="16"/>
                <w:lang w:eastAsia="ar-SA"/>
              </w:rPr>
              <w:t>PN-EN 1426 [21]</w:t>
            </w:r>
          </w:p>
        </w:tc>
        <w:tc>
          <w:tcPr>
            <w:tcW w:w="803" w:type="dxa"/>
            <w:vAlign w:val="center"/>
          </w:tcPr>
          <w:p w:rsidR="00C26502" w:rsidRPr="008B3BC0" w:rsidRDefault="00C26502" w:rsidP="00C26502">
            <w:pPr>
              <w:suppressAutoHyphens/>
              <w:jc w:val="center"/>
              <w:rPr>
                <w:sz w:val="16"/>
                <w:szCs w:val="16"/>
                <w:lang w:eastAsia="ar-SA"/>
              </w:rPr>
            </w:pPr>
            <w:smartTag w:uri="urn:schemas-microsoft-com:office:smarttags" w:element="metricconverter">
              <w:smartTagPr>
                <w:attr w:name="ProductID" w:val="0,1 mm"/>
              </w:smartTagPr>
              <w:r w:rsidRPr="008B3BC0">
                <w:rPr>
                  <w:sz w:val="16"/>
                  <w:szCs w:val="16"/>
                  <w:lang w:eastAsia="ar-SA"/>
                </w:rPr>
                <w:t>0,1 mm</w:t>
              </w:r>
            </w:smartTag>
          </w:p>
        </w:tc>
        <w:tc>
          <w:tcPr>
            <w:tcW w:w="1080" w:type="dxa"/>
            <w:vAlign w:val="center"/>
          </w:tcPr>
          <w:p w:rsidR="00C26502" w:rsidRPr="008B3BC0" w:rsidRDefault="00C26502" w:rsidP="00C26502">
            <w:pPr>
              <w:suppressAutoHyphens/>
              <w:jc w:val="center"/>
              <w:rPr>
                <w:sz w:val="16"/>
                <w:szCs w:val="16"/>
                <w:lang w:eastAsia="ar-SA"/>
              </w:rPr>
            </w:pPr>
            <w:r w:rsidRPr="008B3BC0">
              <w:rPr>
                <w:sz w:val="16"/>
                <w:szCs w:val="16"/>
                <w:lang w:eastAsia="ar-SA"/>
              </w:rPr>
              <w:t>NPD</w:t>
            </w:r>
            <w:r w:rsidRPr="008B3BC0">
              <w:rPr>
                <w:sz w:val="16"/>
                <w:szCs w:val="16"/>
                <w:vertAlign w:val="superscript"/>
                <w:lang w:eastAsia="ar-SA"/>
              </w:rPr>
              <w:t>a</w:t>
            </w:r>
          </w:p>
        </w:tc>
        <w:tc>
          <w:tcPr>
            <w:tcW w:w="720" w:type="dxa"/>
            <w:vAlign w:val="center"/>
          </w:tcPr>
          <w:p w:rsidR="00C26502" w:rsidRPr="008B3BC0" w:rsidRDefault="00C26502" w:rsidP="00C26502">
            <w:pPr>
              <w:suppressAutoHyphens/>
              <w:jc w:val="center"/>
              <w:rPr>
                <w:sz w:val="16"/>
                <w:szCs w:val="16"/>
                <w:lang w:eastAsia="ar-SA"/>
              </w:rPr>
            </w:pPr>
            <w:r w:rsidRPr="008B3BC0">
              <w:rPr>
                <w:sz w:val="16"/>
                <w:szCs w:val="16"/>
                <w:lang w:eastAsia="ar-SA"/>
              </w:rPr>
              <w:t>0</w:t>
            </w:r>
          </w:p>
        </w:tc>
        <w:tc>
          <w:tcPr>
            <w:tcW w:w="1080" w:type="dxa"/>
            <w:vAlign w:val="center"/>
          </w:tcPr>
          <w:p w:rsidR="00C26502" w:rsidRPr="008B3BC0" w:rsidRDefault="00C26502" w:rsidP="00C26502">
            <w:pPr>
              <w:suppressAutoHyphens/>
              <w:jc w:val="center"/>
              <w:rPr>
                <w:sz w:val="16"/>
                <w:szCs w:val="16"/>
                <w:lang w:eastAsia="ar-SA"/>
              </w:rPr>
            </w:pPr>
            <w:r w:rsidRPr="008B3BC0">
              <w:rPr>
                <w:sz w:val="16"/>
                <w:szCs w:val="16"/>
                <w:lang w:eastAsia="ar-SA"/>
              </w:rPr>
              <w:t>NPD</w:t>
            </w:r>
            <w:r w:rsidRPr="008B3BC0">
              <w:rPr>
                <w:sz w:val="16"/>
                <w:szCs w:val="16"/>
                <w:vertAlign w:val="superscript"/>
                <w:lang w:eastAsia="ar-SA"/>
              </w:rPr>
              <w:t>a</w:t>
            </w:r>
          </w:p>
        </w:tc>
        <w:tc>
          <w:tcPr>
            <w:tcW w:w="720" w:type="dxa"/>
            <w:vAlign w:val="center"/>
          </w:tcPr>
          <w:p w:rsidR="00C26502" w:rsidRPr="008B3BC0" w:rsidRDefault="00C26502" w:rsidP="00C26502">
            <w:pPr>
              <w:suppressAutoHyphens/>
              <w:jc w:val="center"/>
              <w:rPr>
                <w:sz w:val="16"/>
                <w:szCs w:val="16"/>
                <w:lang w:eastAsia="ar-SA"/>
              </w:rPr>
            </w:pPr>
            <w:r w:rsidRPr="008B3BC0">
              <w:rPr>
                <w:sz w:val="16"/>
                <w:szCs w:val="16"/>
                <w:lang w:eastAsia="ar-SA"/>
              </w:rPr>
              <w:t>0</w:t>
            </w:r>
          </w:p>
        </w:tc>
      </w:tr>
      <w:tr w:rsidR="00C26502" w:rsidRPr="008B3BC0" w:rsidTr="00C26502">
        <w:trPr>
          <w:jc w:val="center"/>
        </w:trPr>
        <w:tc>
          <w:tcPr>
            <w:tcW w:w="1101" w:type="dxa"/>
            <w:vMerge/>
            <w:tcBorders>
              <w:left w:val="single" w:sz="4" w:space="0" w:color="auto"/>
              <w:right w:val="single" w:sz="4" w:space="0" w:color="auto"/>
            </w:tcBorders>
          </w:tcPr>
          <w:p w:rsidR="00C26502" w:rsidRPr="008B3BC0" w:rsidRDefault="00C26502" w:rsidP="00C26502">
            <w:pPr>
              <w:suppressAutoHyphens/>
              <w:rPr>
                <w:sz w:val="16"/>
                <w:szCs w:val="16"/>
                <w:lang w:eastAsia="ar-SA"/>
              </w:rPr>
            </w:pPr>
          </w:p>
        </w:tc>
        <w:tc>
          <w:tcPr>
            <w:tcW w:w="1134" w:type="dxa"/>
            <w:tcBorders>
              <w:left w:val="single" w:sz="4" w:space="0" w:color="auto"/>
            </w:tcBorders>
            <w:vAlign w:val="center"/>
          </w:tcPr>
          <w:p w:rsidR="00C26502" w:rsidRPr="008B3BC0" w:rsidRDefault="00C26502" w:rsidP="00C26502">
            <w:pPr>
              <w:suppressAutoHyphens/>
              <w:rPr>
                <w:sz w:val="16"/>
                <w:szCs w:val="16"/>
                <w:lang w:eastAsia="ar-SA"/>
              </w:rPr>
            </w:pPr>
            <w:r w:rsidRPr="008B3BC0">
              <w:rPr>
                <w:sz w:val="16"/>
                <w:szCs w:val="16"/>
                <w:lang w:eastAsia="ar-SA"/>
              </w:rPr>
              <w:t>Spadek tem-  peratury mię-knienia po starzeniu wg PN-EN 12607</w:t>
            </w:r>
          </w:p>
          <w:p w:rsidR="00C26502" w:rsidRPr="008B3BC0" w:rsidRDefault="00C26502" w:rsidP="00C26502">
            <w:pPr>
              <w:suppressAutoHyphens/>
              <w:rPr>
                <w:sz w:val="16"/>
                <w:szCs w:val="16"/>
                <w:lang w:eastAsia="ar-SA"/>
              </w:rPr>
            </w:pPr>
            <w:r w:rsidRPr="008B3BC0">
              <w:rPr>
                <w:sz w:val="16"/>
                <w:szCs w:val="16"/>
                <w:lang w:eastAsia="ar-SA"/>
              </w:rPr>
              <w:t>-1 lub -3 [31]</w:t>
            </w:r>
          </w:p>
        </w:tc>
        <w:tc>
          <w:tcPr>
            <w:tcW w:w="850" w:type="dxa"/>
            <w:tcBorders>
              <w:bottom w:val="single" w:sz="4" w:space="0" w:color="auto"/>
            </w:tcBorders>
            <w:vAlign w:val="center"/>
          </w:tcPr>
          <w:p w:rsidR="00C26502" w:rsidRPr="008B3BC0" w:rsidRDefault="00C26502" w:rsidP="00C26502">
            <w:pPr>
              <w:suppressAutoHyphens/>
              <w:jc w:val="center"/>
              <w:rPr>
                <w:sz w:val="16"/>
                <w:szCs w:val="16"/>
                <w:lang w:eastAsia="ar-SA"/>
              </w:rPr>
            </w:pPr>
            <w:r w:rsidRPr="008B3BC0">
              <w:rPr>
                <w:sz w:val="16"/>
                <w:szCs w:val="16"/>
                <w:lang w:eastAsia="ar-SA"/>
              </w:rPr>
              <w:t>PN-EN 12607-1 [31]</w:t>
            </w:r>
          </w:p>
          <w:p w:rsidR="00C26502" w:rsidRPr="008B3BC0" w:rsidRDefault="00C26502" w:rsidP="00C26502">
            <w:pPr>
              <w:suppressAutoHyphens/>
              <w:jc w:val="center"/>
              <w:rPr>
                <w:sz w:val="16"/>
                <w:szCs w:val="16"/>
                <w:lang w:eastAsia="ar-SA"/>
              </w:rPr>
            </w:pPr>
            <w:r w:rsidRPr="008B3BC0">
              <w:rPr>
                <w:sz w:val="16"/>
                <w:szCs w:val="16"/>
                <w:lang w:eastAsia="ar-SA"/>
              </w:rPr>
              <w:t>PN-EN 1427 [22]</w:t>
            </w:r>
          </w:p>
        </w:tc>
        <w:tc>
          <w:tcPr>
            <w:tcW w:w="803" w:type="dxa"/>
            <w:tcBorders>
              <w:bottom w:val="single" w:sz="4" w:space="0" w:color="auto"/>
            </w:tcBorders>
            <w:vAlign w:val="center"/>
          </w:tcPr>
          <w:p w:rsidR="00C26502" w:rsidRPr="008B3BC0" w:rsidRDefault="00C26502" w:rsidP="00C26502">
            <w:pPr>
              <w:suppressAutoHyphens/>
              <w:jc w:val="center"/>
              <w:rPr>
                <w:sz w:val="16"/>
                <w:szCs w:val="16"/>
                <w:lang w:eastAsia="ar-SA"/>
              </w:rPr>
            </w:pPr>
            <w:r w:rsidRPr="008B3BC0">
              <w:rPr>
                <w:sz w:val="16"/>
                <w:szCs w:val="16"/>
                <w:lang w:eastAsia="ar-SA"/>
              </w:rPr>
              <w:t>°C</w:t>
            </w:r>
          </w:p>
        </w:tc>
        <w:tc>
          <w:tcPr>
            <w:tcW w:w="1080" w:type="dxa"/>
            <w:vAlign w:val="center"/>
          </w:tcPr>
          <w:p w:rsidR="00C26502" w:rsidRPr="008B3BC0" w:rsidRDefault="00C26502" w:rsidP="00C26502">
            <w:pPr>
              <w:suppressAutoHyphens/>
              <w:jc w:val="center"/>
              <w:rPr>
                <w:sz w:val="16"/>
                <w:szCs w:val="16"/>
                <w:lang w:eastAsia="ar-SA"/>
              </w:rPr>
            </w:pPr>
            <w:r w:rsidRPr="008B3BC0">
              <w:rPr>
                <w:sz w:val="16"/>
                <w:szCs w:val="16"/>
                <w:lang w:eastAsia="ar-SA"/>
              </w:rPr>
              <w:t>TBR</w:t>
            </w:r>
            <w:r w:rsidRPr="008B3BC0">
              <w:rPr>
                <w:sz w:val="16"/>
                <w:szCs w:val="16"/>
                <w:vertAlign w:val="superscript"/>
                <w:lang w:eastAsia="ar-SA"/>
              </w:rPr>
              <w:t>b</w:t>
            </w:r>
          </w:p>
        </w:tc>
        <w:tc>
          <w:tcPr>
            <w:tcW w:w="720" w:type="dxa"/>
            <w:vAlign w:val="center"/>
          </w:tcPr>
          <w:p w:rsidR="00C26502" w:rsidRPr="008B3BC0" w:rsidRDefault="00C26502" w:rsidP="00C26502">
            <w:pPr>
              <w:suppressAutoHyphens/>
              <w:jc w:val="center"/>
              <w:rPr>
                <w:sz w:val="16"/>
                <w:szCs w:val="16"/>
                <w:lang w:eastAsia="ar-SA"/>
              </w:rPr>
            </w:pPr>
            <w:r w:rsidRPr="008B3BC0">
              <w:rPr>
                <w:sz w:val="16"/>
                <w:szCs w:val="16"/>
                <w:lang w:eastAsia="ar-SA"/>
              </w:rPr>
              <w:t>1</w:t>
            </w:r>
          </w:p>
        </w:tc>
        <w:tc>
          <w:tcPr>
            <w:tcW w:w="1080" w:type="dxa"/>
            <w:vAlign w:val="center"/>
          </w:tcPr>
          <w:p w:rsidR="00C26502" w:rsidRPr="008B3BC0" w:rsidRDefault="00C26502" w:rsidP="00C26502">
            <w:pPr>
              <w:suppressAutoHyphens/>
              <w:jc w:val="center"/>
              <w:rPr>
                <w:sz w:val="16"/>
                <w:szCs w:val="16"/>
                <w:lang w:eastAsia="ar-SA"/>
              </w:rPr>
            </w:pPr>
            <w:r w:rsidRPr="008B3BC0">
              <w:rPr>
                <w:sz w:val="16"/>
                <w:szCs w:val="16"/>
                <w:lang w:eastAsia="ar-SA"/>
              </w:rPr>
              <w:t>TBR</w:t>
            </w:r>
            <w:r w:rsidRPr="008B3BC0">
              <w:rPr>
                <w:sz w:val="16"/>
                <w:szCs w:val="16"/>
                <w:vertAlign w:val="superscript"/>
                <w:lang w:eastAsia="ar-SA"/>
              </w:rPr>
              <w:t>b</w:t>
            </w:r>
          </w:p>
        </w:tc>
        <w:tc>
          <w:tcPr>
            <w:tcW w:w="720" w:type="dxa"/>
            <w:vAlign w:val="center"/>
          </w:tcPr>
          <w:p w:rsidR="00C26502" w:rsidRPr="008B3BC0" w:rsidRDefault="00C26502" w:rsidP="00C26502">
            <w:pPr>
              <w:suppressAutoHyphens/>
              <w:jc w:val="center"/>
              <w:rPr>
                <w:sz w:val="16"/>
                <w:szCs w:val="16"/>
                <w:lang w:eastAsia="ar-SA"/>
              </w:rPr>
            </w:pPr>
            <w:r w:rsidRPr="008B3BC0">
              <w:rPr>
                <w:sz w:val="16"/>
                <w:szCs w:val="16"/>
                <w:lang w:eastAsia="ar-SA"/>
              </w:rPr>
              <w:t>1</w:t>
            </w:r>
          </w:p>
        </w:tc>
      </w:tr>
      <w:tr w:rsidR="00C26502" w:rsidRPr="008B3BC0" w:rsidTr="00C26502">
        <w:trPr>
          <w:jc w:val="center"/>
        </w:trPr>
        <w:tc>
          <w:tcPr>
            <w:tcW w:w="1101" w:type="dxa"/>
            <w:vMerge/>
            <w:tcBorders>
              <w:left w:val="single" w:sz="4" w:space="0" w:color="auto"/>
              <w:right w:val="single" w:sz="4" w:space="0" w:color="auto"/>
            </w:tcBorders>
          </w:tcPr>
          <w:p w:rsidR="00C26502" w:rsidRPr="008B3BC0" w:rsidRDefault="00C26502" w:rsidP="00C26502">
            <w:pPr>
              <w:suppressAutoHyphens/>
              <w:rPr>
                <w:sz w:val="16"/>
                <w:szCs w:val="16"/>
                <w:lang w:eastAsia="ar-SA"/>
              </w:rPr>
            </w:pPr>
          </w:p>
        </w:tc>
        <w:tc>
          <w:tcPr>
            <w:tcW w:w="1134" w:type="dxa"/>
            <w:tcBorders>
              <w:left w:val="single" w:sz="4" w:space="0" w:color="auto"/>
            </w:tcBorders>
            <w:vAlign w:val="center"/>
          </w:tcPr>
          <w:p w:rsidR="00C26502" w:rsidRPr="008B3BC0" w:rsidRDefault="00C26502" w:rsidP="00C26502">
            <w:pPr>
              <w:suppressAutoHyphens/>
              <w:rPr>
                <w:sz w:val="16"/>
                <w:szCs w:val="16"/>
                <w:lang w:eastAsia="ar-SA"/>
              </w:rPr>
            </w:pPr>
            <w:r w:rsidRPr="008B3BC0">
              <w:rPr>
                <w:sz w:val="16"/>
                <w:szCs w:val="16"/>
                <w:lang w:eastAsia="ar-SA"/>
              </w:rPr>
              <w:t>Nawrót sprę-żysty w 25</w:t>
            </w:r>
            <w:r w:rsidRPr="008B3BC0">
              <w:rPr>
                <w:sz w:val="16"/>
                <w:szCs w:val="16"/>
                <w:vertAlign w:val="superscript"/>
                <w:lang w:eastAsia="ar-SA"/>
              </w:rPr>
              <w:t>o</w:t>
            </w:r>
            <w:r w:rsidRPr="008B3BC0">
              <w:rPr>
                <w:sz w:val="16"/>
                <w:szCs w:val="16"/>
                <w:lang w:eastAsia="ar-SA"/>
              </w:rPr>
              <w:t>C po starzeniu wg PN-EN 12607-1 lub   -3 [31]</w:t>
            </w:r>
          </w:p>
        </w:tc>
        <w:tc>
          <w:tcPr>
            <w:tcW w:w="850" w:type="dxa"/>
            <w:vMerge w:val="restart"/>
            <w:vAlign w:val="center"/>
          </w:tcPr>
          <w:p w:rsidR="00C26502" w:rsidRPr="008B3BC0" w:rsidRDefault="00C26502" w:rsidP="00C26502">
            <w:pPr>
              <w:suppressAutoHyphens/>
              <w:jc w:val="center"/>
              <w:rPr>
                <w:sz w:val="16"/>
                <w:szCs w:val="16"/>
                <w:lang w:eastAsia="ar-SA"/>
              </w:rPr>
            </w:pPr>
            <w:r w:rsidRPr="008B3BC0">
              <w:rPr>
                <w:sz w:val="16"/>
                <w:szCs w:val="16"/>
                <w:lang w:eastAsia="ar-SA"/>
              </w:rPr>
              <w:t>PN-EN 12607-1 [31]</w:t>
            </w:r>
          </w:p>
          <w:p w:rsidR="00C26502" w:rsidRPr="008B3BC0" w:rsidRDefault="00C26502" w:rsidP="00C26502">
            <w:pPr>
              <w:suppressAutoHyphens/>
              <w:jc w:val="center"/>
              <w:rPr>
                <w:sz w:val="16"/>
                <w:szCs w:val="16"/>
                <w:lang w:eastAsia="ar-SA"/>
              </w:rPr>
            </w:pPr>
            <w:r w:rsidRPr="008B3BC0">
              <w:rPr>
                <w:sz w:val="16"/>
                <w:szCs w:val="16"/>
                <w:lang w:eastAsia="ar-SA"/>
              </w:rPr>
              <w:t>PN-EN 13398 [51]</w:t>
            </w:r>
          </w:p>
        </w:tc>
        <w:tc>
          <w:tcPr>
            <w:tcW w:w="803" w:type="dxa"/>
            <w:vMerge w:val="restart"/>
            <w:vAlign w:val="center"/>
          </w:tcPr>
          <w:p w:rsidR="00C26502" w:rsidRPr="008B3BC0" w:rsidRDefault="00C26502" w:rsidP="00C26502">
            <w:pPr>
              <w:suppressAutoHyphens/>
              <w:jc w:val="center"/>
              <w:rPr>
                <w:sz w:val="16"/>
                <w:szCs w:val="16"/>
                <w:lang w:eastAsia="ar-SA"/>
              </w:rPr>
            </w:pPr>
            <w:r w:rsidRPr="008B3BC0">
              <w:rPr>
                <w:sz w:val="16"/>
                <w:szCs w:val="16"/>
                <w:lang w:eastAsia="ar-SA"/>
              </w:rPr>
              <w:t>%</w:t>
            </w:r>
          </w:p>
        </w:tc>
        <w:tc>
          <w:tcPr>
            <w:tcW w:w="1080" w:type="dxa"/>
            <w:vAlign w:val="center"/>
          </w:tcPr>
          <w:p w:rsidR="00C26502" w:rsidRPr="008B3BC0" w:rsidRDefault="00C26502" w:rsidP="00C26502">
            <w:pPr>
              <w:suppressAutoHyphens/>
              <w:jc w:val="center"/>
              <w:rPr>
                <w:sz w:val="16"/>
                <w:szCs w:val="16"/>
                <w:lang w:eastAsia="ar-SA"/>
              </w:rPr>
            </w:pPr>
            <w:r w:rsidRPr="008B3BC0">
              <w:rPr>
                <w:sz w:val="16"/>
                <w:szCs w:val="16"/>
                <w:lang w:eastAsia="ar-SA"/>
              </w:rPr>
              <w:t>≥ 50</w:t>
            </w:r>
          </w:p>
        </w:tc>
        <w:tc>
          <w:tcPr>
            <w:tcW w:w="720" w:type="dxa"/>
            <w:vAlign w:val="center"/>
          </w:tcPr>
          <w:p w:rsidR="00C26502" w:rsidRPr="008B3BC0" w:rsidRDefault="00C26502" w:rsidP="00C26502">
            <w:pPr>
              <w:suppressAutoHyphens/>
              <w:jc w:val="center"/>
              <w:rPr>
                <w:sz w:val="16"/>
                <w:szCs w:val="16"/>
                <w:lang w:eastAsia="ar-SA"/>
              </w:rPr>
            </w:pPr>
            <w:r w:rsidRPr="008B3BC0">
              <w:rPr>
                <w:sz w:val="16"/>
                <w:szCs w:val="16"/>
                <w:lang w:eastAsia="ar-SA"/>
              </w:rPr>
              <w:t>4</w:t>
            </w:r>
          </w:p>
        </w:tc>
        <w:tc>
          <w:tcPr>
            <w:tcW w:w="1080" w:type="dxa"/>
            <w:vAlign w:val="center"/>
          </w:tcPr>
          <w:p w:rsidR="00C26502" w:rsidRPr="008B3BC0" w:rsidRDefault="00C26502" w:rsidP="00C26502">
            <w:pPr>
              <w:suppressAutoHyphens/>
              <w:jc w:val="center"/>
              <w:rPr>
                <w:sz w:val="16"/>
                <w:szCs w:val="16"/>
                <w:lang w:eastAsia="ar-SA"/>
              </w:rPr>
            </w:pPr>
            <w:r w:rsidRPr="008B3BC0">
              <w:rPr>
                <w:sz w:val="16"/>
                <w:szCs w:val="16"/>
                <w:lang w:eastAsia="ar-SA"/>
              </w:rPr>
              <w:t>≥ 60</w:t>
            </w:r>
          </w:p>
        </w:tc>
        <w:tc>
          <w:tcPr>
            <w:tcW w:w="720" w:type="dxa"/>
            <w:vAlign w:val="center"/>
          </w:tcPr>
          <w:p w:rsidR="00C26502" w:rsidRPr="008B3BC0" w:rsidRDefault="00C26502" w:rsidP="00C26502">
            <w:pPr>
              <w:suppressAutoHyphens/>
              <w:jc w:val="center"/>
              <w:rPr>
                <w:sz w:val="16"/>
                <w:szCs w:val="16"/>
                <w:lang w:eastAsia="ar-SA"/>
              </w:rPr>
            </w:pPr>
            <w:r w:rsidRPr="008B3BC0">
              <w:rPr>
                <w:sz w:val="16"/>
                <w:szCs w:val="16"/>
                <w:lang w:eastAsia="ar-SA"/>
              </w:rPr>
              <w:t>3</w:t>
            </w:r>
          </w:p>
        </w:tc>
      </w:tr>
      <w:tr w:rsidR="00C26502" w:rsidRPr="008B3BC0" w:rsidTr="00C26502">
        <w:trPr>
          <w:jc w:val="center"/>
        </w:trPr>
        <w:tc>
          <w:tcPr>
            <w:tcW w:w="1101" w:type="dxa"/>
            <w:vMerge/>
            <w:tcBorders>
              <w:left w:val="single" w:sz="4" w:space="0" w:color="auto"/>
              <w:right w:val="single" w:sz="4" w:space="0" w:color="auto"/>
            </w:tcBorders>
          </w:tcPr>
          <w:p w:rsidR="00C26502" w:rsidRPr="008B3BC0" w:rsidRDefault="00C26502" w:rsidP="00C26502">
            <w:pPr>
              <w:suppressAutoHyphens/>
              <w:rPr>
                <w:sz w:val="16"/>
                <w:szCs w:val="16"/>
                <w:lang w:eastAsia="ar-SA"/>
              </w:rPr>
            </w:pPr>
          </w:p>
        </w:tc>
        <w:tc>
          <w:tcPr>
            <w:tcW w:w="1134" w:type="dxa"/>
            <w:tcBorders>
              <w:left w:val="single" w:sz="4" w:space="0" w:color="auto"/>
            </w:tcBorders>
            <w:vAlign w:val="center"/>
          </w:tcPr>
          <w:p w:rsidR="00C26502" w:rsidRPr="008B3BC0" w:rsidRDefault="00C26502" w:rsidP="00C26502">
            <w:pPr>
              <w:suppressAutoHyphens/>
              <w:rPr>
                <w:sz w:val="16"/>
                <w:szCs w:val="16"/>
                <w:lang w:eastAsia="ar-SA"/>
              </w:rPr>
            </w:pPr>
            <w:r w:rsidRPr="008B3BC0">
              <w:rPr>
                <w:sz w:val="16"/>
                <w:szCs w:val="16"/>
                <w:lang w:eastAsia="ar-SA"/>
              </w:rPr>
              <w:t xml:space="preserve">Nawrót sprę-żysty w </w:t>
            </w:r>
            <w:smartTag w:uri="urn:schemas-microsoft-com:office:smarttags" w:element="metricconverter">
              <w:smartTagPr>
                <w:attr w:name="ProductID" w:val="10ﾰC"/>
              </w:smartTagPr>
              <w:r w:rsidRPr="008B3BC0">
                <w:rPr>
                  <w:sz w:val="16"/>
                  <w:szCs w:val="16"/>
                  <w:lang w:eastAsia="ar-SA"/>
                </w:rPr>
                <w:t>10°C</w:t>
              </w:r>
            </w:smartTag>
            <w:r w:rsidRPr="008B3BC0">
              <w:rPr>
                <w:sz w:val="16"/>
                <w:szCs w:val="16"/>
                <w:lang w:eastAsia="ar-SA"/>
              </w:rPr>
              <w:t xml:space="preserve"> po starzeniu wg PN-EN 12607-1 lub   -3 [31]</w:t>
            </w:r>
          </w:p>
        </w:tc>
        <w:tc>
          <w:tcPr>
            <w:tcW w:w="850" w:type="dxa"/>
            <w:vMerge/>
            <w:vAlign w:val="center"/>
          </w:tcPr>
          <w:p w:rsidR="00C26502" w:rsidRPr="008B3BC0" w:rsidRDefault="00C26502" w:rsidP="00C26502">
            <w:pPr>
              <w:suppressAutoHyphens/>
              <w:jc w:val="center"/>
              <w:rPr>
                <w:sz w:val="16"/>
                <w:szCs w:val="16"/>
                <w:lang w:eastAsia="ar-SA"/>
              </w:rPr>
            </w:pPr>
          </w:p>
        </w:tc>
        <w:tc>
          <w:tcPr>
            <w:tcW w:w="803" w:type="dxa"/>
            <w:vMerge/>
            <w:vAlign w:val="center"/>
          </w:tcPr>
          <w:p w:rsidR="00C26502" w:rsidRPr="008B3BC0" w:rsidRDefault="00C26502" w:rsidP="00C26502">
            <w:pPr>
              <w:suppressAutoHyphens/>
              <w:jc w:val="center"/>
              <w:rPr>
                <w:sz w:val="16"/>
                <w:szCs w:val="16"/>
                <w:lang w:eastAsia="ar-SA"/>
              </w:rPr>
            </w:pPr>
          </w:p>
        </w:tc>
        <w:tc>
          <w:tcPr>
            <w:tcW w:w="1080" w:type="dxa"/>
            <w:vAlign w:val="center"/>
          </w:tcPr>
          <w:p w:rsidR="00C26502" w:rsidRPr="008B3BC0" w:rsidRDefault="00C26502" w:rsidP="00C26502">
            <w:pPr>
              <w:suppressAutoHyphens/>
              <w:jc w:val="center"/>
              <w:rPr>
                <w:sz w:val="16"/>
                <w:szCs w:val="16"/>
                <w:lang w:eastAsia="ar-SA"/>
              </w:rPr>
            </w:pPr>
            <w:r w:rsidRPr="008B3BC0">
              <w:rPr>
                <w:sz w:val="16"/>
                <w:szCs w:val="16"/>
                <w:lang w:eastAsia="ar-SA"/>
              </w:rPr>
              <w:t>NPD</w:t>
            </w:r>
            <w:r w:rsidRPr="008B3BC0">
              <w:rPr>
                <w:sz w:val="16"/>
                <w:szCs w:val="16"/>
                <w:vertAlign w:val="superscript"/>
                <w:lang w:eastAsia="ar-SA"/>
              </w:rPr>
              <w:t>a</w:t>
            </w:r>
          </w:p>
        </w:tc>
        <w:tc>
          <w:tcPr>
            <w:tcW w:w="720" w:type="dxa"/>
            <w:vAlign w:val="center"/>
          </w:tcPr>
          <w:p w:rsidR="00C26502" w:rsidRPr="008B3BC0" w:rsidRDefault="00C26502" w:rsidP="00C26502">
            <w:pPr>
              <w:suppressAutoHyphens/>
              <w:jc w:val="center"/>
              <w:rPr>
                <w:sz w:val="16"/>
                <w:szCs w:val="16"/>
                <w:lang w:eastAsia="ar-SA"/>
              </w:rPr>
            </w:pPr>
            <w:r w:rsidRPr="008B3BC0">
              <w:rPr>
                <w:sz w:val="16"/>
                <w:szCs w:val="16"/>
                <w:lang w:eastAsia="ar-SA"/>
              </w:rPr>
              <w:t>0</w:t>
            </w:r>
          </w:p>
        </w:tc>
        <w:tc>
          <w:tcPr>
            <w:tcW w:w="1080" w:type="dxa"/>
            <w:vAlign w:val="center"/>
          </w:tcPr>
          <w:p w:rsidR="00C26502" w:rsidRPr="008B3BC0" w:rsidRDefault="00C26502" w:rsidP="00C26502">
            <w:pPr>
              <w:suppressAutoHyphens/>
              <w:jc w:val="center"/>
              <w:rPr>
                <w:sz w:val="16"/>
                <w:szCs w:val="16"/>
                <w:lang w:eastAsia="ar-SA"/>
              </w:rPr>
            </w:pPr>
            <w:r w:rsidRPr="008B3BC0">
              <w:rPr>
                <w:sz w:val="16"/>
                <w:szCs w:val="16"/>
                <w:lang w:eastAsia="ar-SA"/>
              </w:rPr>
              <w:t>NPD</w:t>
            </w:r>
            <w:r w:rsidRPr="008B3BC0">
              <w:rPr>
                <w:sz w:val="16"/>
                <w:szCs w:val="16"/>
                <w:vertAlign w:val="superscript"/>
                <w:lang w:eastAsia="ar-SA"/>
              </w:rPr>
              <w:t>a</w:t>
            </w:r>
          </w:p>
        </w:tc>
        <w:tc>
          <w:tcPr>
            <w:tcW w:w="720" w:type="dxa"/>
            <w:vAlign w:val="center"/>
          </w:tcPr>
          <w:p w:rsidR="00C26502" w:rsidRPr="008B3BC0" w:rsidRDefault="00C26502" w:rsidP="00C26502">
            <w:pPr>
              <w:suppressAutoHyphens/>
              <w:jc w:val="center"/>
              <w:rPr>
                <w:sz w:val="16"/>
                <w:szCs w:val="16"/>
                <w:lang w:eastAsia="ar-SA"/>
              </w:rPr>
            </w:pPr>
            <w:r w:rsidRPr="008B3BC0">
              <w:rPr>
                <w:sz w:val="16"/>
                <w:szCs w:val="16"/>
                <w:lang w:eastAsia="ar-SA"/>
              </w:rPr>
              <w:t>0</w:t>
            </w:r>
          </w:p>
        </w:tc>
      </w:tr>
      <w:tr w:rsidR="00C26502" w:rsidRPr="008B3BC0" w:rsidTr="00C26502">
        <w:trPr>
          <w:jc w:val="center"/>
        </w:trPr>
        <w:tc>
          <w:tcPr>
            <w:tcW w:w="7488" w:type="dxa"/>
            <w:gridSpan w:val="8"/>
          </w:tcPr>
          <w:p w:rsidR="00C26502" w:rsidRPr="008B3BC0" w:rsidRDefault="00C26502" w:rsidP="00C26502">
            <w:pPr>
              <w:suppressAutoHyphens/>
              <w:rPr>
                <w:sz w:val="16"/>
                <w:szCs w:val="16"/>
                <w:lang w:eastAsia="ar-SA"/>
              </w:rPr>
            </w:pPr>
            <w:r w:rsidRPr="008B3BC0">
              <w:rPr>
                <w:sz w:val="16"/>
                <w:szCs w:val="16"/>
                <w:vertAlign w:val="superscript"/>
                <w:lang w:eastAsia="ar-SA"/>
              </w:rPr>
              <w:t>a</w:t>
            </w:r>
            <w:r w:rsidRPr="008B3BC0">
              <w:rPr>
                <w:sz w:val="16"/>
                <w:szCs w:val="16"/>
                <w:lang w:eastAsia="ar-SA"/>
              </w:rPr>
              <w:t xml:space="preserve"> NPD – No Performance Determined (właściwość użytkowa nie określana)</w:t>
            </w:r>
          </w:p>
          <w:p w:rsidR="00C26502" w:rsidRPr="008B3BC0" w:rsidRDefault="00C26502" w:rsidP="00C26502">
            <w:pPr>
              <w:suppressAutoHyphens/>
              <w:rPr>
                <w:sz w:val="16"/>
                <w:szCs w:val="16"/>
                <w:lang w:eastAsia="ar-SA"/>
              </w:rPr>
            </w:pPr>
            <w:r w:rsidRPr="008B3BC0">
              <w:rPr>
                <w:sz w:val="16"/>
                <w:szCs w:val="16"/>
                <w:vertAlign w:val="superscript"/>
                <w:lang w:eastAsia="ar-SA"/>
              </w:rPr>
              <w:t>b</w:t>
            </w:r>
            <w:r w:rsidRPr="008B3BC0">
              <w:rPr>
                <w:sz w:val="16"/>
                <w:szCs w:val="16"/>
                <w:lang w:eastAsia="ar-SA"/>
              </w:rPr>
              <w:t xml:space="preserve"> TBR – To Be Reported (do zadeklarowania)</w:t>
            </w:r>
          </w:p>
        </w:tc>
      </w:tr>
    </w:tbl>
    <w:p w:rsidR="00C26502" w:rsidRPr="008B3BC0" w:rsidRDefault="00C26502" w:rsidP="00C26502">
      <w:pPr>
        <w:suppressAutoHyphens/>
        <w:rPr>
          <w:lang w:eastAsia="ar-SA"/>
        </w:rPr>
      </w:pPr>
    </w:p>
    <w:p w:rsidR="00C26502" w:rsidRPr="008B3BC0" w:rsidRDefault="00C26502" w:rsidP="00C26502">
      <w:pPr>
        <w:suppressAutoHyphens/>
        <w:jc w:val="both"/>
        <w:rPr>
          <w:lang w:eastAsia="ar-SA"/>
        </w:rPr>
      </w:pPr>
      <w:r w:rsidRPr="008B3BC0">
        <w:rPr>
          <w:lang w:eastAsia="ar-SA"/>
        </w:rPr>
        <w:tab/>
        <w:t xml:space="preserve">Składowanie asfaltu drogowego powinno się odbywać w zbiornikach, wykluczających zanieczyszczenie asfaltu i wyposażonych w system grzewczy pośredni (bez kontaktu asfaltu z przewodami grzewczymi). Zbiornik roboczy otaczarki powinien być izolowany termicznie, posiadać automatyczny system grzewczy z tolerancją ± </w:t>
      </w:r>
      <w:smartTag w:uri="urn:schemas-microsoft-com:office:smarttags" w:element="metricconverter">
        <w:smartTagPr>
          <w:attr w:name="ProductID" w:val="5ﾰC"/>
        </w:smartTagPr>
        <w:r w:rsidRPr="008B3BC0">
          <w:rPr>
            <w:lang w:eastAsia="ar-SA"/>
          </w:rPr>
          <w:t>5°C</w:t>
        </w:r>
      </w:smartTag>
      <w:r w:rsidRPr="008B3BC0">
        <w:rPr>
          <w:lang w:eastAsia="ar-SA"/>
        </w:rPr>
        <w:t xml:space="preserve"> oraz układ cyrkulacji asfaltu.</w:t>
      </w:r>
    </w:p>
    <w:p w:rsidR="00C26502" w:rsidRPr="008B3BC0" w:rsidRDefault="00C26502" w:rsidP="00C26502">
      <w:pPr>
        <w:suppressAutoHyphens/>
        <w:jc w:val="both"/>
        <w:rPr>
          <w:lang w:eastAsia="ar-SA"/>
        </w:rPr>
      </w:pPr>
      <w:r w:rsidRPr="008B3BC0">
        <w:rPr>
          <w:lang w:eastAsia="ar-SA"/>
        </w:rPr>
        <w:tab/>
        <w:t xml:space="preserve">Polimeroasfalt powinien być magazynowany w zbiorniku wyposażonym w system grzewczy pośredni z termostatem kontrolującym temperaturę z dokładnością  ± </w:t>
      </w:r>
      <w:smartTag w:uri="urn:schemas-microsoft-com:office:smarttags" w:element="metricconverter">
        <w:smartTagPr>
          <w:attr w:name="ProductID" w:val="5ﾰC"/>
        </w:smartTagPr>
        <w:r w:rsidRPr="008B3BC0">
          <w:rPr>
            <w:lang w:eastAsia="ar-SA"/>
          </w:rPr>
          <w:t>5°C</w:t>
        </w:r>
      </w:smartTag>
      <w:r w:rsidRPr="008B3BC0">
        <w:rPr>
          <w:lang w:eastAsia="ar-SA"/>
        </w:rPr>
        <w:t>. Zaleca się wyposażenie zbiornika w mieszadło. Zaleca się bezpośrednie zużycie polimeroasfaltu po dostarczeniu. Należy unikać wielokrotnego rozgrzewania i chłodzenia polimeroasfaltu w okresie jego stosowania oraz unikać niekontrolowanego mieszania polimeroasfaltów różnego rodzaju i klasy oraz z asfaltem zwykłym.</w:t>
      </w:r>
    </w:p>
    <w:p w:rsidR="00C26502" w:rsidRPr="008B3BC0" w:rsidRDefault="00C26502" w:rsidP="00C26502">
      <w:pPr>
        <w:suppressAutoHyphens/>
        <w:jc w:val="both"/>
        <w:rPr>
          <w:b/>
          <w:lang w:eastAsia="ar-SA"/>
        </w:rPr>
      </w:pPr>
      <w:r w:rsidRPr="008B3BC0">
        <w:rPr>
          <w:b/>
          <w:lang w:eastAsia="ar-SA"/>
        </w:rPr>
        <w:t xml:space="preserve">2.3. Kruszywo </w:t>
      </w:r>
    </w:p>
    <w:p w:rsidR="00C26502" w:rsidRPr="008B3BC0" w:rsidRDefault="00C26502" w:rsidP="00C26502">
      <w:pPr>
        <w:suppressAutoHyphens/>
        <w:jc w:val="both"/>
        <w:rPr>
          <w:lang w:eastAsia="ar-SA"/>
        </w:rPr>
      </w:pPr>
      <w:r w:rsidRPr="008B3BC0">
        <w:rPr>
          <w:lang w:eastAsia="ar-SA"/>
        </w:rPr>
        <w:tab/>
        <w:t xml:space="preserve">Do warstwy ścieralnej z betonu asfaltowego należy stosować kruszywo według PN-EN 13043 [44] i WT-1 Kruszywa 2010 [64], obejmujące kruszywo grube , kruszywo drobne  i wypełniacz. Kruszywa powinny spełniać wymagania podane w WT-1 Kruszywa 2010 </w:t>
      </w:r>
    </w:p>
    <w:p w:rsidR="00C26502" w:rsidRPr="008B3BC0" w:rsidRDefault="00C26502" w:rsidP="00C26502">
      <w:pPr>
        <w:suppressAutoHyphens/>
        <w:jc w:val="both"/>
        <w:rPr>
          <w:lang w:eastAsia="ar-SA"/>
        </w:rPr>
      </w:pPr>
      <w:r w:rsidRPr="008B3BC0">
        <w:rPr>
          <w:lang w:eastAsia="ar-SA"/>
        </w:rPr>
        <w:tab/>
        <w:t>Składowanie kruszywa powinno się odbywać w warunkach zabezpieczających je przed zanieczyszczeniem i zmieszaniem z kruszywem o innym wymiarze lub pochodzeniu. Podłoże składowiska musi być równe, utwardzone i odwodnione. Składowanie wypełniacza powinno się odbywać w silosach wyposażonych w urządzenia do aeracji.</w:t>
      </w:r>
    </w:p>
    <w:p w:rsidR="00C26502" w:rsidRPr="008B3BC0" w:rsidRDefault="00C26502" w:rsidP="00C26502">
      <w:pPr>
        <w:suppressAutoHyphens/>
        <w:jc w:val="both"/>
        <w:rPr>
          <w:b/>
          <w:lang w:eastAsia="ar-SA"/>
        </w:rPr>
      </w:pPr>
      <w:r w:rsidRPr="008B3BC0">
        <w:rPr>
          <w:b/>
          <w:lang w:eastAsia="ar-SA"/>
        </w:rPr>
        <w:t>2.4. Środek adhezyjny</w:t>
      </w:r>
    </w:p>
    <w:p w:rsidR="00C26502" w:rsidRPr="008B3BC0" w:rsidRDefault="00C26502" w:rsidP="00C26502">
      <w:pPr>
        <w:suppressAutoHyphens/>
        <w:jc w:val="both"/>
        <w:rPr>
          <w:lang w:eastAsia="ar-SA"/>
        </w:rPr>
      </w:pPr>
      <w:r w:rsidRPr="008B3BC0">
        <w:rPr>
          <w:lang w:eastAsia="ar-SA"/>
        </w:rPr>
        <w:tab/>
        <w:t>W celu poprawy powinowactwa fizykochemicznego lepiszcza asfaltowego i kruszywa, gwarantującego odpowiednią przyczepność (adhezję) lepiszcza do kruszywa i odporność mieszanki mineralno-asfaltowej na działanie wody, należy dobrać i zastosować środek adhezyjny, tak aby dla konkretnej pary kruszywo-lepiszcze wartość przyczepności określona według PN-EN 12697-11, metoda C [34] wynosiła co najmniej 80%.</w:t>
      </w:r>
    </w:p>
    <w:p w:rsidR="00C26502" w:rsidRPr="008B3BC0" w:rsidRDefault="00C26502" w:rsidP="00C26502">
      <w:pPr>
        <w:suppressAutoHyphens/>
        <w:jc w:val="both"/>
        <w:rPr>
          <w:lang w:eastAsia="ar-SA"/>
        </w:rPr>
      </w:pPr>
      <w:r w:rsidRPr="008B3BC0">
        <w:rPr>
          <w:lang w:eastAsia="ar-SA"/>
        </w:rPr>
        <w:tab/>
        <w:t>Środek adhezyjny powinien odpowiadać wymaganiom określonym przez producenta.</w:t>
      </w:r>
    </w:p>
    <w:p w:rsidR="00C26502" w:rsidRPr="008B3BC0" w:rsidRDefault="00C26502" w:rsidP="00C26502">
      <w:pPr>
        <w:suppressAutoHyphens/>
        <w:jc w:val="both"/>
        <w:rPr>
          <w:lang w:eastAsia="ar-SA"/>
        </w:rPr>
      </w:pPr>
      <w:r w:rsidRPr="008B3BC0">
        <w:rPr>
          <w:lang w:eastAsia="ar-SA"/>
        </w:rPr>
        <w:tab/>
        <w:t>Składowanie środka adhezyjnego jest dozwolone tylko w oryginalnych opakowaniach, w warunkach określonych przez producenta.</w:t>
      </w:r>
    </w:p>
    <w:p w:rsidR="00C26502" w:rsidRPr="008B3BC0" w:rsidRDefault="00C26502" w:rsidP="00C26502">
      <w:pPr>
        <w:suppressAutoHyphens/>
        <w:jc w:val="both"/>
        <w:rPr>
          <w:b/>
          <w:lang w:eastAsia="ar-SA"/>
        </w:rPr>
      </w:pPr>
      <w:r w:rsidRPr="008B3BC0">
        <w:rPr>
          <w:b/>
          <w:lang w:eastAsia="ar-SA"/>
        </w:rPr>
        <w:t>2.5. Materiały do uszczelnienia połączeń i krawędzi</w:t>
      </w:r>
    </w:p>
    <w:p w:rsidR="00C26502" w:rsidRPr="008B3BC0" w:rsidRDefault="00C26502" w:rsidP="00C26502">
      <w:pPr>
        <w:suppressAutoHyphens/>
        <w:jc w:val="both"/>
        <w:rPr>
          <w:lang w:eastAsia="ar-SA"/>
        </w:rPr>
      </w:pPr>
      <w:r w:rsidRPr="008B3BC0">
        <w:rPr>
          <w:lang w:eastAsia="ar-SA"/>
        </w:rPr>
        <w:tab/>
        <w:t>Do uszczelnienia połączeń technologicznych (tj. złączy podłużnych i poprzecznych z tego samego materiału wykonywanego w różnym czasie oraz spoin stanowiących połączenia różnych materiałów lub połączenie warstwy asfaltowej z urządzeniami obcymi w nawierzchni lub ją ograniczającymi, należy stosować:</w:t>
      </w:r>
    </w:p>
    <w:p w:rsidR="00C26502" w:rsidRPr="008B3BC0" w:rsidRDefault="00C26502" w:rsidP="0097494B">
      <w:pPr>
        <w:numPr>
          <w:ilvl w:val="0"/>
          <w:numId w:val="72"/>
        </w:numPr>
        <w:tabs>
          <w:tab w:val="num" w:pos="284"/>
        </w:tabs>
        <w:suppressAutoHyphens/>
        <w:overflowPunct w:val="0"/>
        <w:autoSpaceDE w:val="0"/>
        <w:autoSpaceDN w:val="0"/>
        <w:adjustRightInd w:val="0"/>
        <w:ind w:left="284" w:hanging="284"/>
        <w:jc w:val="both"/>
        <w:textAlignment w:val="baseline"/>
        <w:rPr>
          <w:lang w:eastAsia="ar-SA"/>
        </w:rPr>
      </w:pPr>
      <w:r w:rsidRPr="008B3BC0">
        <w:rPr>
          <w:lang w:eastAsia="ar-SA"/>
        </w:rPr>
        <w:t>materiały termoplastyczne, jak taśmy asfaltowe, pasty itp. według norm lub aprobat technicznych,</w:t>
      </w:r>
    </w:p>
    <w:p w:rsidR="00C26502" w:rsidRPr="008B3BC0" w:rsidRDefault="00C26502" w:rsidP="0097494B">
      <w:pPr>
        <w:numPr>
          <w:ilvl w:val="0"/>
          <w:numId w:val="72"/>
        </w:numPr>
        <w:tabs>
          <w:tab w:val="num" w:pos="284"/>
        </w:tabs>
        <w:suppressAutoHyphens/>
        <w:overflowPunct w:val="0"/>
        <w:autoSpaceDE w:val="0"/>
        <w:autoSpaceDN w:val="0"/>
        <w:adjustRightInd w:val="0"/>
        <w:ind w:left="284" w:hanging="284"/>
        <w:jc w:val="both"/>
        <w:textAlignment w:val="baseline"/>
        <w:rPr>
          <w:lang w:eastAsia="ar-SA"/>
        </w:rPr>
      </w:pPr>
      <w:r w:rsidRPr="008B3BC0">
        <w:rPr>
          <w:lang w:eastAsia="ar-SA"/>
        </w:rPr>
        <w:t xml:space="preserve">emulsję asfaltową według PN-EN 13808 [58] lub inne lepiszcza według norm lub aprobat technicznych  </w:t>
      </w:r>
    </w:p>
    <w:p w:rsidR="00C26502" w:rsidRPr="008B3BC0" w:rsidRDefault="00C26502" w:rsidP="00C26502">
      <w:pPr>
        <w:suppressAutoHyphens/>
        <w:ind w:left="709"/>
        <w:jc w:val="both"/>
        <w:rPr>
          <w:lang w:eastAsia="ar-SA"/>
        </w:rPr>
      </w:pPr>
      <w:r w:rsidRPr="008B3BC0">
        <w:rPr>
          <w:lang w:eastAsia="ar-SA"/>
        </w:rPr>
        <w:t>Grubość materiału termoplastycznego do spoiny powinna wynosić:</w:t>
      </w:r>
    </w:p>
    <w:p w:rsidR="00C26502" w:rsidRPr="008B3BC0" w:rsidRDefault="00C26502" w:rsidP="0097494B">
      <w:pPr>
        <w:numPr>
          <w:ilvl w:val="1"/>
          <w:numId w:val="72"/>
        </w:numPr>
        <w:tabs>
          <w:tab w:val="num" w:pos="284"/>
        </w:tabs>
        <w:suppressAutoHyphens/>
        <w:overflowPunct w:val="0"/>
        <w:autoSpaceDE w:val="0"/>
        <w:autoSpaceDN w:val="0"/>
        <w:adjustRightInd w:val="0"/>
        <w:ind w:left="284" w:hanging="284"/>
        <w:jc w:val="both"/>
        <w:textAlignment w:val="baseline"/>
        <w:rPr>
          <w:lang w:eastAsia="ar-SA"/>
        </w:rPr>
      </w:pPr>
      <w:r w:rsidRPr="008B3BC0">
        <w:rPr>
          <w:lang w:eastAsia="ar-SA"/>
        </w:rPr>
        <w:t xml:space="preserve">nie mniej niż </w:t>
      </w:r>
      <w:smartTag w:uri="urn:schemas-microsoft-com:office:smarttags" w:element="metricconverter">
        <w:smartTagPr>
          <w:attr w:name="ProductID" w:val="10 mm"/>
        </w:smartTagPr>
        <w:r w:rsidRPr="008B3BC0">
          <w:rPr>
            <w:lang w:eastAsia="ar-SA"/>
          </w:rPr>
          <w:t>10 mm</w:t>
        </w:r>
      </w:smartTag>
      <w:r w:rsidRPr="008B3BC0">
        <w:rPr>
          <w:lang w:eastAsia="ar-SA"/>
        </w:rPr>
        <w:t xml:space="preserve"> przy grubości warstwy technologicznej do </w:t>
      </w:r>
      <w:smartTag w:uri="urn:schemas-microsoft-com:office:smarttags" w:element="metricconverter">
        <w:smartTagPr>
          <w:attr w:name="ProductID" w:val="2,5 cm"/>
        </w:smartTagPr>
        <w:r w:rsidRPr="008B3BC0">
          <w:rPr>
            <w:lang w:eastAsia="ar-SA"/>
          </w:rPr>
          <w:t>2,5 cm</w:t>
        </w:r>
      </w:smartTag>
      <w:r w:rsidRPr="008B3BC0">
        <w:rPr>
          <w:lang w:eastAsia="ar-SA"/>
        </w:rPr>
        <w:t>,</w:t>
      </w:r>
    </w:p>
    <w:p w:rsidR="00C26502" w:rsidRPr="008B3BC0" w:rsidRDefault="00C26502" w:rsidP="0097494B">
      <w:pPr>
        <w:numPr>
          <w:ilvl w:val="1"/>
          <w:numId w:val="72"/>
        </w:numPr>
        <w:tabs>
          <w:tab w:val="num" w:pos="284"/>
        </w:tabs>
        <w:suppressAutoHyphens/>
        <w:overflowPunct w:val="0"/>
        <w:autoSpaceDE w:val="0"/>
        <w:autoSpaceDN w:val="0"/>
        <w:adjustRightInd w:val="0"/>
        <w:ind w:left="284" w:hanging="284"/>
        <w:jc w:val="both"/>
        <w:textAlignment w:val="baseline"/>
        <w:rPr>
          <w:lang w:eastAsia="ar-SA"/>
        </w:rPr>
      </w:pPr>
      <w:r w:rsidRPr="008B3BC0">
        <w:rPr>
          <w:lang w:eastAsia="ar-SA"/>
        </w:rPr>
        <w:t xml:space="preserve">nie mniej niż </w:t>
      </w:r>
      <w:smartTag w:uri="urn:schemas-microsoft-com:office:smarttags" w:element="metricconverter">
        <w:smartTagPr>
          <w:attr w:name="ProductID" w:val="15 mm"/>
        </w:smartTagPr>
        <w:r w:rsidRPr="008B3BC0">
          <w:rPr>
            <w:lang w:eastAsia="ar-SA"/>
          </w:rPr>
          <w:t>15 mm</w:t>
        </w:r>
      </w:smartTag>
      <w:r w:rsidRPr="008B3BC0">
        <w:rPr>
          <w:lang w:eastAsia="ar-SA"/>
        </w:rPr>
        <w:t xml:space="preserve"> przy grubości warstwy technologicznej większej niż </w:t>
      </w:r>
      <w:smartTag w:uri="urn:schemas-microsoft-com:office:smarttags" w:element="metricconverter">
        <w:smartTagPr>
          <w:attr w:name="ProductID" w:val="2,5 cm"/>
        </w:smartTagPr>
        <w:r w:rsidRPr="008B3BC0">
          <w:rPr>
            <w:lang w:eastAsia="ar-SA"/>
          </w:rPr>
          <w:t>2,5 cm</w:t>
        </w:r>
      </w:smartTag>
      <w:r w:rsidRPr="008B3BC0">
        <w:rPr>
          <w:lang w:eastAsia="ar-SA"/>
        </w:rPr>
        <w:t>.</w:t>
      </w:r>
    </w:p>
    <w:p w:rsidR="00C26502" w:rsidRPr="008B3BC0" w:rsidRDefault="00C26502" w:rsidP="00C26502">
      <w:pPr>
        <w:suppressAutoHyphens/>
        <w:ind w:firstLine="709"/>
        <w:jc w:val="both"/>
        <w:rPr>
          <w:lang w:eastAsia="ar-SA"/>
        </w:rPr>
      </w:pPr>
      <w:r w:rsidRPr="008B3BC0">
        <w:rPr>
          <w:lang w:eastAsia="ar-SA"/>
        </w:rPr>
        <w:t>Składowanie materiałów termoplastycznych jest dozwolone tylko w oryginalnych opakowaniach producenta, w warunkach określonych w aprobacie technicznej.</w:t>
      </w:r>
    </w:p>
    <w:p w:rsidR="00C26502" w:rsidRPr="008B3BC0" w:rsidRDefault="00C26502" w:rsidP="00C26502">
      <w:pPr>
        <w:suppressAutoHyphens/>
        <w:ind w:firstLine="709"/>
        <w:jc w:val="both"/>
        <w:rPr>
          <w:lang w:eastAsia="ar-SA"/>
        </w:rPr>
      </w:pPr>
      <w:r w:rsidRPr="008B3BC0">
        <w:rPr>
          <w:lang w:eastAsia="ar-SA"/>
        </w:rPr>
        <w:t>Do uszczelnienia krawędzi należy stosować asfalt drogowy wg PN-EN 12591 [27], asfalt modyfikowany polimerami wg PN-EN 14023 [59] „metoda na gorąco”. Dopuszcza się inne rodzaje lepiszcza wg norm lub aprobat technicznych.</w:t>
      </w:r>
    </w:p>
    <w:p w:rsidR="00C26502" w:rsidRPr="008B3BC0" w:rsidRDefault="00C26502" w:rsidP="00C26502">
      <w:pPr>
        <w:suppressAutoHyphens/>
        <w:jc w:val="both"/>
        <w:rPr>
          <w:b/>
          <w:lang w:eastAsia="ar-SA"/>
        </w:rPr>
      </w:pPr>
      <w:r w:rsidRPr="008B3BC0">
        <w:rPr>
          <w:b/>
          <w:lang w:eastAsia="ar-SA"/>
        </w:rPr>
        <w:t>2.6. Materiały do złączenia warstw konstrukcji</w:t>
      </w:r>
    </w:p>
    <w:p w:rsidR="00C26502" w:rsidRPr="008B3BC0" w:rsidRDefault="00C26502" w:rsidP="00C26502">
      <w:pPr>
        <w:suppressAutoHyphens/>
        <w:jc w:val="both"/>
        <w:rPr>
          <w:lang w:eastAsia="ar-SA"/>
        </w:rPr>
      </w:pPr>
      <w:r w:rsidRPr="008B3BC0">
        <w:rPr>
          <w:lang w:eastAsia="ar-SA"/>
        </w:rPr>
        <w:tab/>
        <w:t>Do złączania warstw konstrukcji nawierzchni (warstwa wiążąca z warstwą ścieralną) należy stosować  kationowe emulsje asfaltowe lub kationowe emulsje modyfikowane polimerami według PN-EN 13808 [58] i WT-3 Emulsje asfaltowe 2009 punkt 5.1 tablica 2 i tablica 3 [66].</w:t>
      </w:r>
    </w:p>
    <w:p w:rsidR="00C26502" w:rsidRPr="008B3BC0" w:rsidRDefault="00C26502" w:rsidP="00C26502">
      <w:pPr>
        <w:suppressAutoHyphens/>
        <w:ind w:firstLine="709"/>
        <w:jc w:val="both"/>
        <w:rPr>
          <w:lang w:eastAsia="ar-SA"/>
        </w:rPr>
      </w:pPr>
      <w:r w:rsidRPr="008B3BC0">
        <w:rPr>
          <w:lang w:eastAsia="ar-SA"/>
        </w:rPr>
        <w:t>Kationowe emulsje asfaltowe modyfikowane polimerami (asfalt 70/100 modyfikowany polimerem lub lateksem butadienowo-styrenowym SBR) stosuje się tylko pod cienkie warstwy asfaltowe na gorąco.</w:t>
      </w:r>
    </w:p>
    <w:p w:rsidR="00C26502" w:rsidRPr="008B3BC0" w:rsidRDefault="00C26502" w:rsidP="00C26502">
      <w:pPr>
        <w:suppressAutoHyphens/>
        <w:jc w:val="both"/>
        <w:rPr>
          <w:lang w:eastAsia="ar-SA"/>
        </w:rPr>
      </w:pPr>
      <w:r w:rsidRPr="008B3BC0">
        <w:rPr>
          <w:lang w:eastAsia="ar-SA"/>
        </w:rPr>
        <w:tab/>
        <w:t xml:space="preserve">Emulsję asfaltową można składować w opakowaniach transportowych lub w stacjonarnych zbiornikach pionowych z nalewaniem od dna. Nie należy nalewać emulsji do opakowań i zbiorników zanieczyszczonych materiałami mineralnymi. </w:t>
      </w:r>
    </w:p>
    <w:p w:rsidR="00C26502" w:rsidRPr="008B3BC0" w:rsidRDefault="00C26502" w:rsidP="00C26502">
      <w:pPr>
        <w:suppressAutoHyphens/>
        <w:jc w:val="both"/>
        <w:rPr>
          <w:b/>
          <w:u w:val="single"/>
          <w:lang w:eastAsia="ar-SA"/>
        </w:rPr>
      </w:pPr>
      <w:bookmarkStart w:id="46" w:name="_Toc124213275"/>
    </w:p>
    <w:p w:rsidR="00C26502" w:rsidRPr="008B3BC0" w:rsidRDefault="00C26502" w:rsidP="00C26502">
      <w:pPr>
        <w:suppressAutoHyphens/>
        <w:jc w:val="both"/>
        <w:rPr>
          <w:b/>
          <w:u w:val="single"/>
          <w:lang w:eastAsia="ar-SA"/>
        </w:rPr>
      </w:pPr>
    </w:p>
    <w:p w:rsidR="00C26502" w:rsidRPr="008B3BC0" w:rsidRDefault="00C26502" w:rsidP="00C26502">
      <w:pPr>
        <w:suppressAutoHyphens/>
        <w:jc w:val="both"/>
        <w:rPr>
          <w:b/>
          <w:u w:val="single"/>
          <w:lang w:eastAsia="ar-SA"/>
        </w:rPr>
      </w:pPr>
      <w:r w:rsidRPr="008B3BC0">
        <w:rPr>
          <w:b/>
          <w:u w:val="single"/>
          <w:lang w:eastAsia="ar-SA"/>
        </w:rPr>
        <w:t xml:space="preserve">3. </w:t>
      </w:r>
      <w:bookmarkEnd w:id="46"/>
      <w:r w:rsidRPr="008B3BC0">
        <w:rPr>
          <w:b/>
          <w:u w:val="single"/>
          <w:lang w:eastAsia="ar-SA"/>
        </w:rPr>
        <w:t>SPRZĘT</w:t>
      </w:r>
    </w:p>
    <w:p w:rsidR="00C26502" w:rsidRPr="008B3BC0" w:rsidRDefault="00C26502" w:rsidP="00C26502">
      <w:pPr>
        <w:suppressAutoHyphens/>
        <w:jc w:val="both"/>
        <w:rPr>
          <w:b/>
          <w:lang w:eastAsia="ar-SA"/>
        </w:rPr>
      </w:pPr>
      <w:r w:rsidRPr="008B3BC0">
        <w:rPr>
          <w:b/>
          <w:lang w:eastAsia="ar-SA"/>
        </w:rPr>
        <w:t>3.1. Ogólne wymagania dotyczące sprzętu</w:t>
      </w:r>
    </w:p>
    <w:p w:rsidR="00C26502" w:rsidRPr="008B3BC0" w:rsidRDefault="00C26502" w:rsidP="00C26502">
      <w:pPr>
        <w:numPr>
          <w:ilvl w:val="12"/>
          <w:numId w:val="0"/>
        </w:numPr>
        <w:suppressAutoHyphens/>
        <w:jc w:val="both"/>
        <w:rPr>
          <w:lang w:eastAsia="ar-SA"/>
        </w:rPr>
      </w:pPr>
      <w:r w:rsidRPr="008B3BC0">
        <w:rPr>
          <w:lang w:eastAsia="ar-SA"/>
        </w:rPr>
        <w:tab/>
        <w:t>Ogólne wymagania dotyczące sprzętu podano w ST  D-M-00.00.00 „Wymagania ogólne” [1] pkt 3.</w:t>
      </w:r>
    </w:p>
    <w:p w:rsidR="00C26502" w:rsidRPr="008B3BC0" w:rsidRDefault="00C26502" w:rsidP="00C26502">
      <w:pPr>
        <w:suppressAutoHyphens/>
        <w:jc w:val="both"/>
        <w:rPr>
          <w:b/>
          <w:lang w:eastAsia="ar-SA"/>
        </w:rPr>
      </w:pPr>
      <w:r w:rsidRPr="008B3BC0">
        <w:rPr>
          <w:b/>
          <w:lang w:eastAsia="ar-SA"/>
        </w:rPr>
        <w:t>3.2. Sprzęt stosowany do wykonania robót</w:t>
      </w:r>
    </w:p>
    <w:p w:rsidR="00C26502" w:rsidRPr="008B3BC0" w:rsidRDefault="00C26502" w:rsidP="00C26502">
      <w:pPr>
        <w:suppressAutoHyphens/>
        <w:jc w:val="both"/>
        <w:rPr>
          <w:lang w:eastAsia="ar-SA"/>
        </w:rPr>
      </w:pPr>
      <w:r w:rsidRPr="008B3BC0">
        <w:rPr>
          <w:lang w:eastAsia="ar-SA"/>
        </w:rPr>
        <w:tab/>
        <w:t>Przy wykonywaniu robót Wykonawca w zależności od potrzeb, powinien wykazać się możliwością korzystania ze sprzętu dostosowanego do przyjętej metody robót, jak:</w:t>
      </w:r>
    </w:p>
    <w:p w:rsidR="00C26502" w:rsidRPr="008B3BC0" w:rsidRDefault="00C26502" w:rsidP="0097494B">
      <w:pPr>
        <w:numPr>
          <w:ilvl w:val="0"/>
          <w:numId w:val="73"/>
        </w:numPr>
        <w:suppressAutoHyphens/>
        <w:overflowPunct w:val="0"/>
        <w:autoSpaceDE w:val="0"/>
        <w:autoSpaceDN w:val="0"/>
        <w:adjustRightInd w:val="0"/>
        <w:jc w:val="both"/>
        <w:textAlignment w:val="baseline"/>
        <w:rPr>
          <w:lang w:eastAsia="ar-SA"/>
        </w:rPr>
      </w:pPr>
      <w:r w:rsidRPr="008B3BC0">
        <w:rPr>
          <w:lang w:eastAsia="ar-SA"/>
        </w:rPr>
        <w:t xml:space="preserve">wytwórnia (otaczarka) o mieszaniu cyklicznym lub ciągłym, z automatycznym komputerowym sterowaniem produkcji, do wytwarzania mieszanek mineralno-asfaltowych, </w:t>
      </w:r>
    </w:p>
    <w:p w:rsidR="00C26502" w:rsidRDefault="00C26502" w:rsidP="0097494B">
      <w:pPr>
        <w:numPr>
          <w:ilvl w:val="0"/>
          <w:numId w:val="73"/>
        </w:numPr>
        <w:suppressAutoHyphens/>
        <w:overflowPunct w:val="0"/>
        <w:autoSpaceDE w:val="0"/>
        <w:autoSpaceDN w:val="0"/>
        <w:adjustRightInd w:val="0"/>
        <w:jc w:val="both"/>
        <w:textAlignment w:val="baseline"/>
        <w:rPr>
          <w:lang w:eastAsia="ar-SA"/>
        </w:rPr>
      </w:pPr>
      <w:r w:rsidRPr="008B3BC0">
        <w:rPr>
          <w:lang w:eastAsia="ar-SA"/>
        </w:rPr>
        <w:t>układarka gąsienicowa, z elektronicznym sterowaniem równości układanej warstwy,</w:t>
      </w:r>
    </w:p>
    <w:p w:rsidR="00C26502" w:rsidRPr="008B3BC0" w:rsidRDefault="00C26502" w:rsidP="0097494B">
      <w:pPr>
        <w:numPr>
          <w:ilvl w:val="0"/>
          <w:numId w:val="73"/>
        </w:numPr>
        <w:suppressAutoHyphens/>
        <w:overflowPunct w:val="0"/>
        <w:autoSpaceDE w:val="0"/>
        <w:autoSpaceDN w:val="0"/>
        <w:adjustRightInd w:val="0"/>
        <w:jc w:val="both"/>
        <w:textAlignment w:val="baseline"/>
        <w:rPr>
          <w:lang w:eastAsia="ar-SA"/>
        </w:rPr>
      </w:pPr>
      <w:r>
        <w:rPr>
          <w:lang w:eastAsia="ar-SA"/>
        </w:rPr>
        <w:t>układarka dostosowana do wykonania nawierzchni o szerokości zgodnej z dokumentacją projektową</w:t>
      </w:r>
    </w:p>
    <w:p w:rsidR="00C26502" w:rsidRPr="008B3BC0" w:rsidRDefault="00C26502" w:rsidP="0097494B">
      <w:pPr>
        <w:numPr>
          <w:ilvl w:val="0"/>
          <w:numId w:val="73"/>
        </w:numPr>
        <w:suppressAutoHyphens/>
        <w:overflowPunct w:val="0"/>
        <w:autoSpaceDE w:val="0"/>
        <w:autoSpaceDN w:val="0"/>
        <w:adjustRightInd w:val="0"/>
        <w:jc w:val="both"/>
        <w:textAlignment w:val="baseline"/>
        <w:rPr>
          <w:lang w:eastAsia="ar-SA"/>
        </w:rPr>
      </w:pPr>
      <w:r w:rsidRPr="008B3BC0">
        <w:rPr>
          <w:lang w:eastAsia="ar-SA"/>
        </w:rPr>
        <w:t>skrapiarka,</w:t>
      </w:r>
    </w:p>
    <w:p w:rsidR="00C26502" w:rsidRPr="008B3BC0" w:rsidRDefault="00C26502" w:rsidP="0097494B">
      <w:pPr>
        <w:numPr>
          <w:ilvl w:val="0"/>
          <w:numId w:val="73"/>
        </w:numPr>
        <w:suppressAutoHyphens/>
        <w:overflowPunct w:val="0"/>
        <w:autoSpaceDE w:val="0"/>
        <w:autoSpaceDN w:val="0"/>
        <w:adjustRightInd w:val="0"/>
        <w:jc w:val="both"/>
        <w:textAlignment w:val="baseline"/>
        <w:rPr>
          <w:lang w:eastAsia="ar-SA"/>
        </w:rPr>
      </w:pPr>
      <w:r w:rsidRPr="008B3BC0">
        <w:rPr>
          <w:lang w:eastAsia="ar-SA"/>
        </w:rPr>
        <w:t xml:space="preserve">walce stalowe gładkie, </w:t>
      </w:r>
    </w:p>
    <w:p w:rsidR="00C26502" w:rsidRPr="008B3BC0" w:rsidRDefault="00C26502" w:rsidP="0097494B">
      <w:pPr>
        <w:numPr>
          <w:ilvl w:val="0"/>
          <w:numId w:val="73"/>
        </w:numPr>
        <w:suppressAutoHyphens/>
        <w:overflowPunct w:val="0"/>
        <w:autoSpaceDE w:val="0"/>
        <w:autoSpaceDN w:val="0"/>
        <w:adjustRightInd w:val="0"/>
        <w:jc w:val="both"/>
        <w:textAlignment w:val="baseline"/>
        <w:rPr>
          <w:lang w:eastAsia="ar-SA"/>
        </w:rPr>
      </w:pPr>
      <w:r w:rsidRPr="008B3BC0">
        <w:rPr>
          <w:lang w:eastAsia="ar-SA"/>
        </w:rPr>
        <w:t>lekka rozsypywarka kruszywa,</w:t>
      </w:r>
    </w:p>
    <w:p w:rsidR="00C26502" w:rsidRPr="008B3BC0" w:rsidRDefault="00C26502" w:rsidP="0097494B">
      <w:pPr>
        <w:numPr>
          <w:ilvl w:val="0"/>
          <w:numId w:val="73"/>
        </w:numPr>
        <w:suppressAutoHyphens/>
        <w:overflowPunct w:val="0"/>
        <w:autoSpaceDE w:val="0"/>
        <w:autoSpaceDN w:val="0"/>
        <w:adjustRightInd w:val="0"/>
        <w:jc w:val="both"/>
        <w:textAlignment w:val="baseline"/>
        <w:rPr>
          <w:lang w:eastAsia="ar-SA"/>
        </w:rPr>
      </w:pPr>
      <w:r w:rsidRPr="008B3BC0">
        <w:rPr>
          <w:lang w:eastAsia="ar-SA"/>
        </w:rPr>
        <w:t>szczotki mechaniczne i/lub inne urządzenia czyszczące,</w:t>
      </w:r>
    </w:p>
    <w:p w:rsidR="00C26502" w:rsidRPr="008B3BC0" w:rsidRDefault="00C26502" w:rsidP="0097494B">
      <w:pPr>
        <w:numPr>
          <w:ilvl w:val="0"/>
          <w:numId w:val="73"/>
        </w:numPr>
        <w:suppressAutoHyphens/>
        <w:overflowPunct w:val="0"/>
        <w:autoSpaceDE w:val="0"/>
        <w:autoSpaceDN w:val="0"/>
        <w:adjustRightInd w:val="0"/>
        <w:jc w:val="both"/>
        <w:textAlignment w:val="baseline"/>
        <w:rPr>
          <w:lang w:eastAsia="ar-SA"/>
        </w:rPr>
      </w:pPr>
      <w:r w:rsidRPr="008B3BC0">
        <w:rPr>
          <w:lang w:eastAsia="ar-SA"/>
        </w:rPr>
        <w:t>samochody samowyładowcze z przykryciem brezentowym lub termosami,</w:t>
      </w:r>
    </w:p>
    <w:p w:rsidR="00C26502" w:rsidRPr="008B3BC0" w:rsidRDefault="00C26502" w:rsidP="0097494B">
      <w:pPr>
        <w:numPr>
          <w:ilvl w:val="0"/>
          <w:numId w:val="73"/>
        </w:numPr>
        <w:suppressAutoHyphens/>
        <w:overflowPunct w:val="0"/>
        <w:autoSpaceDE w:val="0"/>
        <w:autoSpaceDN w:val="0"/>
        <w:adjustRightInd w:val="0"/>
        <w:jc w:val="both"/>
        <w:textAlignment w:val="baseline"/>
        <w:rPr>
          <w:lang w:eastAsia="ar-SA"/>
        </w:rPr>
      </w:pPr>
      <w:r w:rsidRPr="008B3BC0">
        <w:rPr>
          <w:lang w:eastAsia="ar-SA"/>
        </w:rPr>
        <w:t>sprzęt drobny.</w:t>
      </w:r>
    </w:p>
    <w:p w:rsidR="00C26502" w:rsidRPr="008B3BC0" w:rsidRDefault="00C26502" w:rsidP="00C26502">
      <w:pPr>
        <w:widowControl w:val="0"/>
        <w:suppressAutoHyphens/>
        <w:spacing w:before="120" w:after="120"/>
        <w:ind w:right="6878"/>
        <w:jc w:val="both"/>
        <w:rPr>
          <w:b/>
          <w:u w:val="single"/>
          <w:lang w:eastAsia="ar-SA"/>
        </w:rPr>
      </w:pPr>
      <w:bookmarkStart w:id="47" w:name="_Toc33319442"/>
      <w:bookmarkStart w:id="48" w:name="_Toc33320734"/>
      <w:bookmarkStart w:id="49" w:name="_Toc38338023"/>
      <w:bookmarkStart w:id="50" w:name="_Toc68660264"/>
      <w:bookmarkStart w:id="51" w:name="_Toc68921159"/>
      <w:bookmarkStart w:id="52" w:name="_Toc68929546"/>
      <w:bookmarkStart w:id="53" w:name="_Toc70745914"/>
      <w:bookmarkStart w:id="54" w:name="_Toc113338100"/>
      <w:bookmarkStart w:id="55" w:name="_Toc124213276"/>
      <w:r w:rsidRPr="008B3BC0">
        <w:rPr>
          <w:b/>
          <w:u w:val="single"/>
          <w:lang w:eastAsia="ar-SA"/>
        </w:rPr>
        <w:t xml:space="preserve">4. </w:t>
      </w:r>
      <w:bookmarkEnd w:id="47"/>
      <w:bookmarkEnd w:id="48"/>
      <w:bookmarkEnd w:id="49"/>
      <w:bookmarkEnd w:id="50"/>
      <w:bookmarkEnd w:id="51"/>
      <w:bookmarkEnd w:id="52"/>
      <w:bookmarkEnd w:id="53"/>
      <w:bookmarkEnd w:id="54"/>
      <w:bookmarkEnd w:id="55"/>
      <w:r w:rsidRPr="008B3BC0">
        <w:rPr>
          <w:b/>
          <w:u w:val="single"/>
          <w:lang w:eastAsia="ar-SA"/>
        </w:rPr>
        <w:t>TRANSPORT</w:t>
      </w:r>
    </w:p>
    <w:p w:rsidR="00C26502" w:rsidRPr="008B3BC0" w:rsidRDefault="00C26502" w:rsidP="00C26502">
      <w:pPr>
        <w:suppressAutoHyphens/>
        <w:jc w:val="both"/>
        <w:rPr>
          <w:b/>
          <w:lang w:eastAsia="ar-SA"/>
        </w:rPr>
      </w:pPr>
      <w:r w:rsidRPr="008B3BC0">
        <w:rPr>
          <w:b/>
          <w:lang w:eastAsia="ar-SA"/>
        </w:rPr>
        <w:t>4.1. Ogólne wymagania dotyczące transportu</w:t>
      </w:r>
    </w:p>
    <w:p w:rsidR="00C26502" w:rsidRPr="008B3BC0" w:rsidRDefault="00C26502" w:rsidP="00C26502">
      <w:pPr>
        <w:suppressAutoHyphens/>
        <w:rPr>
          <w:lang w:eastAsia="ar-SA"/>
        </w:rPr>
      </w:pPr>
      <w:r w:rsidRPr="008B3BC0">
        <w:rPr>
          <w:lang w:eastAsia="ar-SA"/>
        </w:rPr>
        <w:tab/>
        <w:t>Ogólne wymagania dotyczące transportu podano w ST D-M-00.00.00 „Wymagania ogólne” [1] pkt 4.</w:t>
      </w:r>
    </w:p>
    <w:p w:rsidR="00C26502" w:rsidRPr="008B3BC0" w:rsidRDefault="00C26502" w:rsidP="00C26502">
      <w:pPr>
        <w:suppressAutoHyphens/>
        <w:jc w:val="both"/>
        <w:rPr>
          <w:b/>
          <w:lang w:eastAsia="ar-SA"/>
        </w:rPr>
      </w:pPr>
      <w:r w:rsidRPr="008B3BC0">
        <w:rPr>
          <w:b/>
          <w:lang w:eastAsia="ar-SA"/>
        </w:rPr>
        <w:t xml:space="preserve">4.2. Transport materiałów </w:t>
      </w:r>
    </w:p>
    <w:p w:rsidR="00C26502" w:rsidRPr="008B3BC0" w:rsidRDefault="00C26502" w:rsidP="00C26502">
      <w:pPr>
        <w:suppressAutoHyphens/>
        <w:jc w:val="both"/>
        <w:rPr>
          <w:lang w:eastAsia="ar-SA"/>
        </w:rPr>
      </w:pPr>
      <w:r w:rsidRPr="008B3BC0">
        <w:rPr>
          <w:lang w:eastAsia="ar-SA"/>
        </w:rPr>
        <w:tab/>
        <w:t>Asfalt i polimeroasfalt należy przewozić w cysternach kolejowych lub samochodach izolowanych i zaopatrzonych w urządzenia umożliwiające pośrednie ogrzewanie oraz w zawory spustowe.</w:t>
      </w:r>
    </w:p>
    <w:p w:rsidR="00C26502" w:rsidRPr="008B3BC0" w:rsidRDefault="00C26502" w:rsidP="00C26502">
      <w:pPr>
        <w:suppressAutoHyphens/>
        <w:ind w:firstLine="709"/>
        <w:jc w:val="both"/>
        <w:rPr>
          <w:lang w:eastAsia="ar-SA"/>
        </w:rPr>
      </w:pPr>
      <w:r w:rsidRPr="008B3BC0">
        <w:rPr>
          <w:lang w:eastAsia="ar-SA"/>
        </w:rPr>
        <w:t>Kruszywa można przewozić dowolnymi środkami transportu, w warunkach zabezpieczających je przed zanieczyszczeniem, zmieszaniem z innymi materiałami i nadmiernym zawilgoceniem.</w:t>
      </w:r>
    </w:p>
    <w:p w:rsidR="00C26502" w:rsidRPr="008B3BC0" w:rsidRDefault="00C26502" w:rsidP="00C26502">
      <w:pPr>
        <w:suppressAutoHyphens/>
        <w:ind w:firstLine="709"/>
        <w:jc w:val="both"/>
        <w:rPr>
          <w:lang w:eastAsia="ar-SA"/>
        </w:rPr>
      </w:pPr>
      <w:r w:rsidRPr="008B3BC0">
        <w:rPr>
          <w:lang w:eastAsia="ar-SA"/>
        </w:rPr>
        <w:t>Wypełniacz należy przewozić w sposób chroniący go przed zawilgoceniem, zbryleniem i zanieczyszczeniem. Wypełniacz luzem powinien być przewożony w odpowiednich cysternach przystosowanych do przewozu materiałów sypkich, umożliwiających rozładunek pneumatyczny.</w:t>
      </w:r>
    </w:p>
    <w:p w:rsidR="00C26502" w:rsidRPr="008B3BC0" w:rsidRDefault="00C26502" w:rsidP="00C26502">
      <w:pPr>
        <w:suppressAutoHyphens/>
        <w:ind w:firstLine="709"/>
        <w:jc w:val="both"/>
        <w:rPr>
          <w:lang w:eastAsia="ar-SA"/>
        </w:rPr>
      </w:pPr>
      <w:r w:rsidRPr="008B3BC0">
        <w:rPr>
          <w:lang w:eastAsia="ar-SA"/>
        </w:rPr>
        <w:t>Emulsja asfaltowa może być transportowana w zamkniętych cysternach, autocysternach, beczkach i innych opakowaniach pod warunkiem, że nie będą korodowały pod wpływem emulsji i nie będą powodowały jej rozpadu. Cysterny powinny być wyposażone w przegrody. Nie należy używać do transportu opakowań z metali lekkich (może zachodzić wydzielanie wodoru i groźba wybuchu przy emulsjach o pH ≤ 4).</w:t>
      </w:r>
    </w:p>
    <w:p w:rsidR="00C26502" w:rsidRPr="008B3BC0" w:rsidRDefault="00C26502" w:rsidP="00C26502">
      <w:pPr>
        <w:suppressAutoHyphens/>
        <w:ind w:firstLine="709"/>
        <w:jc w:val="both"/>
        <w:rPr>
          <w:lang w:eastAsia="ar-SA"/>
        </w:rPr>
      </w:pPr>
      <w:r w:rsidRPr="008B3BC0">
        <w:rPr>
          <w:lang w:eastAsia="ar-SA"/>
        </w:rPr>
        <w:t>Mieszankę mineralno-asfaltową należy  dowozić na budowę pojazdami samowyładowczymi w zależności od postępu robót. Podczas transportu i postoju przed wbudowaniem mieszanka powinna być zabezpieczona przed ostygnięciem i dopływem powietrza (przez przykrycie, pojemniki termoizolacyjne lub ogrzewane itp.). Warunki i czas transportu mieszanki, od produkcji do wbudowania, powinna zapewniać utrzymanie temperatury w wymaganym przedziale. Powierzchnie pojemników używanych do transportu mieszanki powinny być czyste, a do zwilżania tych powierzchni można używać tylko środki antyadhezyjne niewpływające szkodliwie na mieszankę.</w:t>
      </w:r>
    </w:p>
    <w:p w:rsidR="00C26502" w:rsidRPr="008B3BC0" w:rsidRDefault="00C26502" w:rsidP="00C26502">
      <w:pPr>
        <w:widowControl w:val="0"/>
        <w:suppressAutoHyphens/>
        <w:spacing w:before="120" w:after="120"/>
        <w:ind w:right="6878"/>
        <w:jc w:val="both"/>
        <w:rPr>
          <w:b/>
          <w:u w:val="single"/>
          <w:lang w:eastAsia="ar-SA"/>
        </w:rPr>
      </w:pPr>
      <w:bookmarkStart w:id="56" w:name="_Toc421940500"/>
      <w:bookmarkStart w:id="57" w:name="_Toc18217006"/>
      <w:bookmarkStart w:id="58" w:name="_Toc30219220"/>
      <w:bookmarkStart w:id="59" w:name="_Toc33319443"/>
      <w:bookmarkStart w:id="60" w:name="_Toc33320735"/>
      <w:bookmarkStart w:id="61" w:name="_Toc38338024"/>
      <w:bookmarkStart w:id="62" w:name="_Toc68660265"/>
      <w:bookmarkStart w:id="63" w:name="_Toc68921160"/>
      <w:bookmarkStart w:id="64" w:name="_Toc68929547"/>
      <w:bookmarkStart w:id="65" w:name="_Toc70745915"/>
      <w:bookmarkStart w:id="66" w:name="_Toc113338101"/>
      <w:bookmarkStart w:id="67" w:name="_Toc124213277"/>
      <w:r w:rsidRPr="008B3BC0">
        <w:rPr>
          <w:b/>
          <w:u w:val="single"/>
          <w:lang w:eastAsia="ar-SA"/>
        </w:rPr>
        <w:t>5.</w:t>
      </w:r>
      <w:bookmarkEnd w:id="56"/>
      <w:bookmarkEnd w:id="57"/>
      <w:bookmarkEnd w:id="58"/>
      <w:bookmarkEnd w:id="59"/>
      <w:bookmarkEnd w:id="60"/>
      <w:bookmarkEnd w:id="61"/>
      <w:bookmarkEnd w:id="62"/>
      <w:bookmarkEnd w:id="63"/>
      <w:bookmarkEnd w:id="64"/>
      <w:bookmarkEnd w:id="65"/>
      <w:bookmarkEnd w:id="66"/>
      <w:bookmarkEnd w:id="67"/>
      <w:r w:rsidRPr="008B3BC0">
        <w:rPr>
          <w:b/>
          <w:u w:val="single"/>
          <w:lang w:eastAsia="ar-SA"/>
        </w:rPr>
        <w:t xml:space="preserve"> WYKONANIE ROBÓT</w:t>
      </w:r>
    </w:p>
    <w:p w:rsidR="00C26502" w:rsidRPr="008B3BC0" w:rsidRDefault="00C26502" w:rsidP="00C26502">
      <w:pPr>
        <w:suppressAutoHyphens/>
        <w:jc w:val="both"/>
        <w:rPr>
          <w:b/>
          <w:lang w:eastAsia="ar-SA"/>
        </w:rPr>
      </w:pPr>
      <w:r w:rsidRPr="008B3BC0">
        <w:rPr>
          <w:b/>
          <w:lang w:eastAsia="ar-SA"/>
        </w:rPr>
        <w:t>5.1. Ogólne zasady wykonania robót</w:t>
      </w:r>
    </w:p>
    <w:p w:rsidR="00C26502" w:rsidRPr="008B3BC0" w:rsidRDefault="00C26502" w:rsidP="00C26502">
      <w:pPr>
        <w:numPr>
          <w:ilvl w:val="12"/>
          <w:numId w:val="0"/>
        </w:numPr>
        <w:suppressAutoHyphens/>
        <w:rPr>
          <w:lang w:eastAsia="ar-SA"/>
        </w:rPr>
      </w:pPr>
      <w:r w:rsidRPr="008B3BC0">
        <w:rPr>
          <w:lang w:eastAsia="ar-SA"/>
        </w:rPr>
        <w:tab/>
        <w:t>Ogólne zasady wykonania robót podano w ST D-M-00.00.00 „Wymagania ogólne” [1] pkt 5.</w:t>
      </w:r>
    </w:p>
    <w:p w:rsidR="00C26502" w:rsidRPr="008B3BC0" w:rsidRDefault="00C26502" w:rsidP="00C26502">
      <w:pPr>
        <w:suppressAutoHyphens/>
        <w:jc w:val="both"/>
        <w:rPr>
          <w:b/>
          <w:lang w:eastAsia="ar-SA"/>
        </w:rPr>
      </w:pPr>
      <w:r w:rsidRPr="008B3BC0">
        <w:rPr>
          <w:b/>
          <w:lang w:eastAsia="ar-SA"/>
        </w:rPr>
        <w:t>5.2. Projektowanie mieszanki mineralno-asfaltowej</w:t>
      </w:r>
    </w:p>
    <w:p w:rsidR="00C26502" w:rsidRPr="008B3BC0" w:rsidRDefault="00C26502" w:rsidP="00C26502">
      <w:pPr>
        <w:suppressAutoHyphens/>
        <w:rPr>
          <w:lang w:eastAsia="ar-SA"/>
        </w:rPr>
      </w:pPr>
      <w:r w:rsidRPr="008B3BC0">
        <w:rPr>
          <w:lang w:eastAsia="ar-SA"/>
        </w:rPr>
        <w:tab/>
        <w:t>Przed przystąpieniem do robót Wykonawca dostarczy Inżynierowi do akceptacji projekt składu mieszanki mineralno-asfaltowej (AC5S, AC8S, AC11S).</w:t>
      </w:r>
    </w:p>
    <w:p w:rsidR="00C26502" w:rsidRPr="008B3BC0" w:rsidRDefault="00C26502" w:rsidP="00C26502">
      <w:pPr>
        <w:suppressAutoHyphens/>
        <w:rPr>
          <w:lang w:eastAsia="ar-SA"/>
        </w:rPr>
      </w:pPr>
      <w:r w:rsidRPr="008B3BC0">
        <w:rPr>
          <w:lang w:eastAsia="ar-SA"/>
        </w:rPr>
        <w:tab/>
        <w:t>Uziarnienie mieszanki mineralnej oraz minimalna zawartość lepiszcza podane są w tablicach 6 .</w:t>
      </w:r>
    </w:p>
    <w:p w:rsidR="00C26502" w:rsidRPr="008B3BC0" w:rsidRDefault="00C26502" w:rsidP="00C26502">
      <w:pPr>
        <w:suppressAutoHyphens/>
        <w:rPr>
          <w:lang w:eastAsia="ar-SA"/>
        </w:rPr>
      </w:pPr>
      <w:r w:rsidRPr="008B3BC0">
        <w:rPr>
          <w:lang w:eastAsia="ar-SA"/>
        </w:rPr>
        <w:tab/>
        <w:t>Wymagane właściwości mieszanki mineralno-asfaltowej podane są w tablicach 7.</w:t>
      </w:r>
    </w:p>
    <w:p w:rsidR="00C26502" w:rsidRPr="008B3BC0" w:rsidRDefault="00C26502" w:rsidP="00C26502">
      <w:pPr>
        <w:suppressAutoHyphens/>
        <w:jc w:val="center"/>
        <w:rPr>
          <w:lang w:eastAsia="ar-SA"/>
        </w:rPr>
      </w:pPr>
      <w:r w:rsidRPr="008B3BC0">
        <w:rPr>
          <w:lang w:eastAsia="ar-SA"/>
        </w:rPr>
        <w:t>Tablica 6. Uziarnienie mieszanki mineralnej oraz zawartość lepiszcza do betonu asfaltowego do warstwy ścieralnej dla KR1-KR2 [65]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992"/>
        <w:gridCol w:w="850"/>
        <w:gridCol w:w="851"/>
        <w:gridCol w:w="850"/>
        <w:gridCol w:w="851"/>
        <w:gridCol w:w="882"/>
      </w:tblGrid>
      <w:tr w:rsidR="00C26502" w:rsidRPr="008B3BC0" w:rsidTr="00C26502">
        <w:trPr>
          <w:jc w:val="center"/>
        </w:trPr>
        <w:tc>
          <w:tcPr>
            <w:tcW w:w="2235" w:type="dxa"/>
            <w:vMerge w:val="restart"/>
            <w:vAlign w:val="center"/>
          </w:tcPr>
          <w:p w:rsidR="00C26502" w:rsidRPr="008B3BC0" w:rsidRDefault="00C26502" w:rsidP="00C26502">
            <w:pPr>
              <w:suppressAutoHyphens/>
              <w:jc w:val="center"/>
              <w:rPr>
                <w:lang w:eastAsia="ar-SA"/>
              </w:rPr>
            </w:pPr>
            <w:r w:rsidRPr="008B3BC0">
              <w:rPr>
                <w:lang w:eastAsia="ar-SA"/>
              </w:rPr>
              <w:t>Właściwość</w:t>
            </w:r>
          </w:p>
        </w:tc>
        <w:tc>
          <w:tcPr>
            <w:tcW w:w="5276" w:type="dxa"/>
            <w:gridSpan w:val="6"/>
          </w:tcPr>
          <w:p w:rsidR="00C26502" w:rsidRPr="008B3BC0" w:rsidRDefault="00C26502" w:rsidP="00C26502">
            <w:pPr>
              <w:suppressAutoHyphens/>
              <w:jc w:val="center"/>
              <w:rPr>
                <w:lang w:eastAsia="ar-SA"/>
              </w:rPr>
            </w:pPr>
            <w:r w:rsidRPr="008B3BC0">
              <w:rPr>
                <w:lang w:eastAsia="ar-SA"/>
              </w:rPr>
              <w:t>Przesiew,   [% (m/m)]</w:t>
            </w:r>
          </w:p>
        </w:tc>
      </w:tr>
      <w:tr w:rsidR="00C26502" w:rsidRPr="008B3BC0" w:rsidTr="00C26502">
        <w:trPr>
          <w:jc w:val="center"/>
        </w:trPr>
        <w:tc>
          <w:tcPr>
            <w:tcW w:w="2235" w:type="dxa"/>
            <w:vMerge/>
          </w:tcPr>
          <w:p w:rsidR="00C26502" w:rsidRPr="008B3BC0" w:rsidRDefault="00C26502" w:rsidP="00C26502">
            <w:pPr>
              <w:suppressAutoHyphens/>
              <w:jc w:val="center"/>
              <w:rPr>
                <w:lang w:eastAsia="ar-SA"/>
              </w:rPr>
            </w:pPr>
          </w:p>
        </w:tc>
        <w:tc>
          <w:tcPr>
            <w:tcW w:w="1842" w:type="dxa"/>
            <w:gridSpan w:val="2"/>
          </w:tcPr>
          <w:p w:rsidR="00C26502" w:rsidRPr="008B3BC0" w:rsidRDefault="00C26502" w:rsidP="00C26502">
            <w:pPr>
              <w:suppressAutoHyphens/>
              <w:jc w:val="center"/>
              <w:rPr>
                <w:lang w:eastAsia="ar-SA"/>
              </w:rPr>
            </w:pPr>
            <w:r w:rsidRPr="008B3BC0">
              <w:rPr>
                <w:lang w:eastAsia="ar-SA"/>
              </w:rPr>
              <w:t>AC5S</w:t>
            </w:r>
          </w:p>
        </w:tc>
        <w:tc>
          <w:tcPr>
            <w:tcW w:w="1701" w:type="dxa"/>
            <w:gridSpan w:val="2"/>
          </w:tcPr>
          <w:p w:rsidR="00C26502" w:rsidRPr="008B3BC0" w:rsidRDefault="00C26502" w:rsidP="00C26502">
            <w:pPr>
              <w:suppressAutoHyphens/>
              <w:jc w:val="center"/>
              <w:rPr>
                <w:lang w:eastAsia="ar-SA"/>
              </w:rPr>
            </w:pPr>
            <w:r w:rsidRPr="008B3BC0">
              <w:rPr>
                <w:lang w:eastAsia="ar-SA"/>
              </w:rPr>
              <w:t>AC8S</w:t>
            </w:r>
          </w:p>
        </w:tc>
        <w:tc>
          <w:tcPr>
            <w:tcW w:w="1733" w:type="dxa"/>
            <w:gridSpan w:val="2"/>
          </w:tcPr>
          <w:p w:rsidR="00C26502" w:rsidRPr="008B3BC0" w:rsidRDefault="00C26502" w:rsidP="00C26502">
            <w:pPr>
              <w:suppressAutoHyphens/>
              <w:jc w:val="center"/>
              <w:rPr>
                <w:lang w:eastAsia="ar-SA"/>
              </w:rPr>
            </w:pPr>
            <w:r w:rsidRPr="008B3BC0">
              <w:rPr>
                <w:lang w:eastAsia="ar-SA"/>
              </w:rPr>
              <w:t>AC11S</w:t>
            </w:r>
          </w:p>
        </w:tc>
      </w:tr>
      <w:tr w:rsidR="00C26502" w:rsidRPr="008B3BC0" w:rsidTr="00C26502">
        <w:trPr>
          <w:jc w:val="center"/>
        </w:trPr>
        <w:tc>
          <w:tcPr>
            <w:tcW w:w="2235" w:type="dxa"/>
          </w:tcPr>
          <w:p w:rsidR="00C26502" w:rsidRPr="008B3BC0" w:rsidRDefault="00C26502" w:rsidP="00C26502">
            <w:pPr>
              <w:suppressAutoHyphens/>
              <w:jc w:val="center"/>
              <w:rPr>
                <w:lang w:eastAsia="ar-SA"/>
              </w:rPr>
            </w:pPr>
            <w:r w:rsidRPr="008B3BC0">
              <w:rPr>
                <w:lang w:eastAsia="ar-SA"/>
              </w:rPr>
              <w:t>Wymiar sita #, [mm]</w:t>
            </w:r>
          </w:p>
        </w:tc>
        <w:tc>
          <w:tcPr>
            <w:tcW w:w="992" w:type="dxa"/>
          </w:tcPr>
          <w:p w:rsidR="00C26502" w:rsidRPr="008B3BC0" w:rsidRDefault="00C26502" w:rsidP="00C26502">
            <w:pPr>
              <w:suppressAutoHyphens/>
              <w:jc w:val="center"/>
              <w:rPr>
                <w:lang w:eastAsia="ar-SA"/>
              </w:rPr>
            </w:pPr>
            <w:r w:rsidRPr="008B3BC0">
              <w:rPr>
                <w:lang w:eastAsia="ar-SA"/>
              </w:rPr>
              <w:t>od</w:t>
            </w:r>
          </w:p>
        </w:tc>
        <w:tc>
          <w:tcPr>
            <w:tcW w:w="850" w:type="dxa"/>
          </w:tcPr>
          <w:p w:rsidR="00C26502" w:rsidRPr="008B3BC0" w:rsidRDefault="00C26502" w:rsidP="00C26502">
            <w:pPr>
              <w:suppressAutoHyphens/>
              <w:jc w:val="center"/>
              <w:rPr>
                <w:lang w:eastAsia="ar-SA"/>
              </w:rPr>
            </w:pPr>
            <w:r w:rsidRPr="008B3BC0">
              <w:rPr>
                <w:lang w:eastAsia="ar-SA"/>
              </w:rPr>
              <w:t>do</w:t>
            </w:r>
          </w:p>
        </w:tc>
        <w:tc>
          <w:tcPr>
            <w:tcW w:w="851" w:type="dxa"/>
          </w:tcPr>
          <w:p w:rsidR="00C26502" w:rsidRPr="008B3BC0" w:rsidRDefault="00C26502" w:rsidP="00C26502">
            <w:pPr>
              <w:suppressAutoHyphens/>
              <w:jc w:val="center"/>
              <w:rPr>
                <w:lang w:eastAsia="ar-SA"/>
              </w:rPr>
            </w:pPr>
            <w:r w:rsidRPr="008B3BC0">
              <w:rPr>
                <w:lang w:eastAsia="ar-SA"/>
              </w:rPr>
              <w:t>od</w:t>
            </w:r>
          </w:p>
        </w:tc>
        <w:tc>
          <w:tcPr>
            <w:tcW w:w="850" w:type="dxa"/>
          </w:tcPr>
          <w:p w:rsidR="00C26502" w:rsidRPr="008B3BC0" w:rsidRDefault="00C26502" w:rsidP="00C26502">
            <w:pPr>
              <w:suppressAutoHyphens/>
              <w:jc w:val="center"/>
              <w:rPr>
                <w:lang w:eastAsia="ar-SA"/>
              </w:rPr>
            </w:pPr>
            <w:r w:rsidRPr="008B3BC0">
              <w:rPr>
                <w:lang w:eastAsia="ar-SA"/>
              </w:rPr>
              <w:t>do</w:t>
            </w:r>
          </w:p>
        </w:tc>
        <w:tc>
          <w:tcPr>
            <w:tcW w:w="851" w:type="dxa"/>
          </w:tcPr>
          <w:p w:rsidR="00C26502" w:rsidRPr="008B3BC0" w:rsidRDefault="00C26502" w:rsidP="00C26502">
            <w:pPr>
              <w:suppressAutoHyphens/>
              <w:jc w:val="center"/>
              <w:rPr>
                <w:lang w:eastAsia="ar-SA"/>
              </w:rPr>
            </w:pPr>
            <w:r w:rsidRPr="008B3BC0">
              <w:rPr>
                <w:lang w:eastAsia="ar-SA"/>
              </w:rPr>
              <w:t>od</w:t>
            </w:r>
          </w:p>
        </w:tc>
        <w:tc>
          <w:tcPr>
            <w:tcW w:w="882" w:type="dxa"/>
          </w:tcPr>
          <w:p w:rsidR="00C26502" w:rsidRPr="008B3BC0" w:rsidRDefault="00C26502" w:rsidP="00C26502">
            <w:pPr>
              <w:suppressAutoHyphens/>
              <w:jc w:val="center"/>
              <w:rPr>
                <w:lang w:eastAsia="ar-SA"/>
              </w:rPr>
            </w:pPr>
            <w:r w:rsidRPr="008B3BC0">
              <w:rPr>
                <w:lang w:eastAsia="ar-SA"/>
              </w:rPr>
              <w:t>do</w:t>
            </w:r>
          </w:p>
        </w:tc>
      </w:tr>
      <w:tr w:rsidR="00C26502" w:rsidRPr="008B3BC0" w:rsidTr="00C26502">
        <w:trPr>
          <w:jc w:val="center"/>
        </w:trPr>
        <w:tc>
          <w:tcPr>
            <w:tcW w:w="2235" w:type="dxa"/>
          </w:tcPr>
          <w:p w:rsidR="00C26502" w:rsidRPr="008B3BC0" w:rsidRDefault="00C26502" w:rsidP="00C26502">
            <w:pPr>
              <w:suppressAutoHyphens/>
              <w:jc w:val="center"/>
              <w:rPr>
                <w:lang w:eastAsia="ar-SA"/>
              </w:rPr>
            </w:pPr>
            <w:r w:rsidRPr="008B3BC0">
              <w:rPr>
                <w:lang w:eastAsia="ar-SA"/>
              </w:rPr>
              <w:t>16</w:t>
            </w:r>
          </w:p>
        </w:tc>
        <w:tc>
          <w:tcPr>
            <w:tcW w:w="992" w:type="dxa"/>
          </w:tcPr>
          <w:p w:rsidR="00C26502" w:rsidRPr="008B3BC0" w:rsidRDefault="00C26502" w:rsidP="00C26502">
            <w:pPr>
              <w:suppressAutoHyphens/>
              <w:jc w:val="center"/>
              <w:rPr>
                <w:lang w:eastAsia="ar-SA"/>
              </w:rPr>
            </w:pPr>
            <w:r w:rsidRPr="008B3BC0">
              <w:rPr>
                <w:lang w:eastAsia="ar-SA"/>
              </w:rPr>
              <w:t>-</w:t>
            </w:r>
          </w:p>
        </w:tc>
        <w:tc>
          <w:tcPr>
            <w:tcW w:w="850" w:type="dxa"/>
          </w:tcPr>
          <w:p w:rsidR="00C26502" w:rsidRPr="008B3BC0" w:rsidRDefault="00C26502" w:rsidP="00C26502">
            <w:pPr>
              <w:suppressAutoHyphens/>
              <w:jc w:val="center"/>
              <w:rPr>
                <w:lang w:eastAsia="ar-SA"/>
              </w:rPr>
            </w:pPr>
            <w:r w:rsidRPr="008B3BC0">
              <w:rPr>
                <w:lang w:eastAsia="ar-SA"/>
              </w:rPr>
              <w:t>-</w:t>
            </w:r>
          </w:p>
        </w:tc>
        <w:tc>
          <w:tcPr>
            <w:tcW w:w="851" w:type="dxa"/>
          </w:tcPr>
          <w:p w:rsidR="00C26502" w:rsidRPr="008B3BC0" w:rsidRDefault="00C26502" w:rsidP="00C26502">
            <w:pPr>
              <w:suppressAutoHyphens/>
              <w:jc w:val="center"/>
              <w:rPr>
                <w:lang w:eastAsia="ar-SA"/>
              </w:rPr>
            </w:pPr>
            <w:r w:rsidRPr="008B3BC0">
              <w:rPr>
                <w:lang w:eastAsia="ar-SA"/>
              </w:rPr>
              <w:t>-</w:t>
            </w:r>
          </w:p>
        </w:tc>
        <w:tc>
          <w:tcPr>
            <w:tcW w:w="850" w:type="dxa"/>
          </w:tcPr>
          <w:p w:rsidR="00C26502" w:rsidRPr="008B3BC0" w:rsidRDefault="00C26502" w:rsidP="00C26502">
            <w:pPr>
              <w:suppressAutoHyphens/>
              <w:jc w:val="center"/>
              <w:rPr>
                <w:lang w:eastAsia="ar-SA"/>
              </w:rPr>
            </w:pPr>
            <w:r w:rsidRPr="008B3BC0">
              <w:rPr>
                <w:lang w:eastAsia="ar-SA"/>
              </w:rPr>
              <w:t>-</w:t>
            </w:r>
          </w:p>
        </w:tc>
        <w:tc>
          <w:tcPr>
            <w:tcW w:w="851" w:type="dxa"/>
          </w:tcPr>
          <w:p w:rsidR="00C26502" w:rsidRPr="008B3BC0" w:rsidRDefault="00C26502" w:rsidP="00C26502">
            <w:pPr>
              <w:suppressAutoHyphens/>
              <w:jc w:val="center"/>
              <w:rPr>
                <w:lang w:eastAsia="ar-SA"/>
              </w:rPr>
            </w:pPr>
            <w:r w:rsidRPr="008B3BC0">
              <w:rPr>
                <w:lang w:eastAsia="ar-SA"/>
              </w:rPr>
              <w:t>100</w:t>
            </w:r>
          </w:p>
        </w:tc>
        <w:tc>
          <w:tcPr>
            <w:tcW w:w="882" w:type="dxa"/>
          </w:tcPr>
          <w:p w:rsidR="00C26502" w:rsidRPr="008B3BC0" w:rsidRDefault="00C26502" w:rsidP="00C26502">
            <w:pPr>
              <w:suppressAutoHyphens/>
              <w:jc w:val="center"/>
              <w:rPr>
                <w:lang w:eastAsia="ar-SA"/>
              </w:rPr>
            </w:pPr>
            <w:r w:rsidRPr="008B3BC0">
              <w:rPr>
                <w:lang w:eastAsia="ar-SA"/>
              </w:rPr>
              <w:t>-</w:t>
            </w:r>
          </w:p>
        </w:tc>
      </w:tr>
      <w:tr w:rsidR="00C26502" w:rsidRPr="008B3BC0" w:rsidTr="00C26502">
        <w:trPr>
          <w:jc w:val="center"/>
        </w:trPr>
        <w:tc>
          <w:tcPr>
            <w:tcW w:w="2235" w:type="dxa"/>
          </w:tcPr>
          <w:p w:rsidR="00C26502" w:rsidRPr="008B3BC0" w:rsidRDefault="00C26502" w:rsidP="00C26502">
            <w:pPr>
              <w:suppressAutoHyphens/>
              <w:jc w:val="center"/>
              <w:rPr>
                <w:lang w:eastAsia="ar-SA"/>
              </w:rPr>
            </w:pPr>
            <w:r w:rsidRPr="008B3BC0">
              <w:rPr>
                <w:lang w:eastAsia="ar-SA"/>
              </w:rPr>
              <w:t>11,2</w:t>
            </w:r>
          </w:p>
        </w:tc>
        <w:tc>
          <w:tcPr>
            <w:tcW w:w="992" w:type="dxa"/>
          </w:tcPr>
          <w:p w:rsidR="00C26502" w:rsidRPr="008B3BC0" w:rsidRDefault="00C26502" w:rsidP="00C26502">
            <w:pPr>
              <w:suppressAutoHyphens/>
              <w:jc w:val="center"/>
              <w:rPr>
                <w:lang w:eastAsia="ar-SA"/>
              </w:rPr>
            </w:pPr>
            <w:r w:rsidRPr="008B3BC0">
              <w:rPr>
                <w:lang w:eastAsia="ar-SA"/>
              </w:rPr>
              <w:t>-</w:t>
            </w:r>
          </w:p>
        </w:tc>
        <w:tc>
          <w:tcPr>
            <w:tcW w:w="850" w:type="dxa"/>
          </w:tcPr>
          <w:p w:rsidR="00C26502" w:rsidRPr="008B3BC0" w:rsidRDefault="00C26502" w:rsidP="00C26502">
            <w:pPr>
              <w:suppressAutoHyphens/>
              <w:jc w:val="center"/>
              <w:rPr>
                <w:lang w:eastAsia="ar-SA"/>
              </w:rPr>
            </w:pPr>
            <w:r w:rsidRPr="008B3BC0">
              <w:rPr>
                <w:lang w:eastAsia="ar-SA"/>
              </w:rPr>
              <w:t>-</w:t>
            </w:r>
          </w:p>
        </w:tc>
        <w:tc>
          <w:tcPr>
            <w:tcW w:w="851" w:type="dxa"/>
          </w:tcPr>
          <w:p w:rsidR="00C26502" w:rsidRPr="008B3BC0" w:rsidRDefault="00C26502" w:rsidP="00C26502">
            <w:pPr>
              <w:suppressAutoHyphens/>
              <w:jc w:val="center"/>
              <w:rPr>
                <w:lang w:eastAsia="ar-SA"/>
              </w:rPr>
            </w:pPr>
            <w:r w:rsidRPr="008B3BC0">
              <w:rPr>
                <w:lang w:eastAsia="ar-SA"/>
              </w:rPr>
              <w:t>100</w:t>
            </w:r>
          </w:p>
        </w:tc>
        <w:tc>
          <w:tcPr>
            <w:tcW w:w="850" w:type="dxa"/>
          </w:tcPr>
          <w:p w:rsidR="00C26502" w:rsidRPr="008B3BC0" w:rsidRDefault="00C26502" w:rsidP="00C26502">
            <w:pPr>
              <w:suppressAutoHyphens/>
              <w:jc w:val="center"/>
              <w:rPr>
                <w:lang w:eastAsia="ar-SA"/>
              </w:rPr>
            </w:pPr>
            <w:r w:rsidRPr="008B3BC0">
              <w:rPr>
                <w:lang w:eastAsia="ar-SA"/>
              </w:rPr>
              <w:t>-</w:t>
            </w:r>
          </w:p>
        </w:tc>
        <w:tc>
          <w:tcPr>
            <w:tcW w:w="851" w:type="dxa"/>
          </w:tcPr>
          <w:p w:rsidR="00C26502" w:rsidRPr="008B3BC0" w:rsidRDefault="00C26502" w:rsidP="00C26502">
            <w:pPr>
              <w:suppressAutoHyphens/>
              <w:jc w:val="center"/>
              <w:rPr>
                <w:lang w:eastAsia="ar-SA"/>
              </w:rPr>
            </w:pPr>
            <w:r w:rsidRPr="008B3BC0">
              <w:rPr>
                <w:lang w:eastAsia="ar-SA"/>
              </w:rPr>
              <w:t>90</w:t>
            </w:r>
          </w:p>
        </w:tc>
        <w:tc>
          <w:tcPr>
            <w:tcW w:w="882" w:type="dxa"/>
          </w:tcPr>
          <w:p w:rsidR="00C26502" w:rsidRPr="008B3BC0" w:rsidRDefault="00C26502" w:rsidP="00C26502">
            <w:pPr>
              <w:suppressAutoHyphens/>
              <w:jc w:val="center"/>
              <w:rPr>
                <w:lang w:eastAsia="ar-SA"/>
              </w:rPr>
            </w:pPr>
            <w:r w:rsidRPr="008B3BC0">
              <w:rPr>
                <w:lang w:eastAsia="ar-SA"/>
              </w:rPr>
              <w:t>100</w:t>
            </w:r>
          </w:p>
        </w:tc>
      </w:tr>
      <w:tr w:rsidR="00C26502" w:rsidRPr="008B3BC0" w:rsidTr="00C26502">
        <w:trPr>
          <w:jc w:val="center"/>
        </w:trPr>
        <w:tc>
          <w:tcPr>
            <w:tcW w:w="2235" w:type="dxa"/>
          </w:tcPr>
          <w:p w:rsidR="00C26502" w:rsidRPr="008B3BC0" w:rsidRDefault="00C26502" w:rsidP="00C26502">
            <w:pPr>
              <w:suppressAutoHyphens/>
              <w:jc w:val="center"/>
              <w:rPr>
                <w:lang w:eastAsia="ar-SA"/>
              </w:rPr>
            </w:pPr>
            <w:r w:rsidRPr="008B3BC0">
              <w:rPr>
                <w:lang w:eastAsia="ar-SA"/>
              </w:rPr>
              <w:t>8</w:t>
            </w:r>
          </w:p>
        </w:tc>
        <w:tc>
          <w:tcPr>
            <w:tcW w:w="992" w:type="dxa"/>
          </w:tcPr>
          <w:p w:rsidR="00C26502" w:rsidRPr="008B3BC0" w:rsidRDefault="00C26502" w:rsidP="00C26502">
            <w:pPr>
              <w:suppressAutoHyphens/>
              <w:jc w:val="center"/>
              <w:rPr>
                <w:lang w:eastAsia="ar-SA"/>
              </w:rPr>
            </w:pPr>
            <w:r w:rsidRPr="008B3BC0">
              <w:rPr>
                <w:lang w:eastAsia="ar-SA"/>
              </w:rPr>
              <w:t>100</w:t>
            </w:r>
          </w:p>
        </w:tc>
        <w:tc>
          <w:tcPr>
            <w:tcW w:w="850" w:type="dxa"/>
          </w:tcPr>
          <w:p w:rsidR="00C26502" w:rsidRPr="008B3BC0" w:rsidRDefault="00C26502" w:rsidP="00C26502">
            <w:pPr>
              <w:suppressAutoHyphens/>
              <w:jc w:val="center"/>
              <w:rPr>
                <w:lang w:eastAsia="ar-SA"/>
              </w:rPr>
            </w:pPr>
            <w:r w:rsidRPr="008B3BC0">
              <w:rPr>
                <w:lang w:eastAsia="ar-SA"/>
              </w:rPr>
              <w:t>-</w:t>
            </w:r>
          </w:p>
        </w:tc>
        <w:tc>
          <w:tcPr>
            <w:tcW w:w="851" w:type="dxa"/>
          </w:tcPr>
          <w:p w:rsidR="00C26502" w:rsidRPr="008B3BC0" w:rsidRDefault="00C26502" w:rsidP="00C26502">
            <w:pPr>
              <w:suppressAutoHyphens/>
              <w:jc w:val="center"/>
              <w:rPr>
                <w:lang w:eastAsia="ar-SA"/>
              </w:rPr>
            </w:pPr>
            <w:r w:rsidRPr="008B3BC0">
              <w:rPr>
                <w:lang w:eastAsia="ar-SA"/>
              </w:rPr>
              <w:t>90</w:t>
            </w:r>
          </w:p>
        </w:tc>
        <w:tc>
          <w:tcPr>
            <w:tcW w:w="850" w:type="dxa"/>
          </w:tcPr>
          <w:p w:rsidR="00C26502" w:rsidRPr="008B3BC0" w:rsidRDefault="00C26502" w:rsidP="00C26502">
            <w:pPr>
              <w:suppressAutoHyphens/>
              <w:jc w:val="center"/>
              <w:rPr>
                <w:lang w:eastAsia="ar-SA"/>
              </w:rPr>
            </w:pPr>
            <w:r w:rsidRPr="008B3BC0">
              <w:rPr>
                <w:lang w:eastAsia="ar-SA"/>
              </w:rPr>
              <w:t>100</w:t>
            </w:r>
          </w:p>
        </w:tc>
        <w:tc>
          <w:tcPr>
            <w:tcW w:w="851" w:type="dxa"/>
          </w:tcPr>
          <w:p w:rsidR="00C26502" w:rsidRPr="008B3BC0" w:rsidRDefault="00C26502" w:rsidP="00C26502">
            <w:pPr>
              <w:suppressAutoHyphens/>
              <w:jc w:val="center"/>
              <w:rPr>
                <w:lang w:eastAsia="ar-SA"/>
              </w:rPr>
            </w:pPr>
            <w:r w:rsidRPr="008B3BC0">
              <w:rPr>
                <w:lang w:eastAsia="ar-SA"/>
              </w:rPr>
              <w:t>70</w:t>
            </w:r>
          </w:p>
        </w:tc>
        <w:tc>
          <w:tcPr>
            <w:tcW w:w="882" w:type="dxa"/>
          </w:tcPr>
          <w:p w:rsidR="00C26502" w:rsidRPr="008B3BC0" w:rsidRDefault="00C26502" w:rsidP="00C26502">
            <w:pPr>
              <w:suppressAutoHyphens/>
              <w:jc w:val="center"/>
              <w:rPr>
                <w:lang w:eastAsia="ar-SA"/>
              </w:rPr>
            </w:pPr>
            <w:r w:rsidRPr="008B3BC0">
              <w:rPr>
                <w:lang w:eastAsia="ar-SA"/>
              </w:rPr>
              <w:t>90</w:t>
            </w:r>
          </w:p>
        </w:tc>
      </w:tr>
      <w:tr w:rsidR="00C26502" w:rsidRPr="008B3BC0" w:rsidTr="00C26502">
        <w:trPr>
          <w:jc w:val="center"/>
        </w:trPr>
        <w:tc>
          <w:tcPr>
            <w:tcW w:w="2235" w:type="dxa"/>
          </w:tcPr>
          <w:p w:rsidR="00C26502" w:rsidRPr="008B3BC0" w:rsidRDefault="00C26502" w:rsidP="00C26502">
            <w:pPr>
              <w:suppressAutoHyphens/>
              <w:jc w:val="center"/>
              <w:rPr>
                <w:lang w:eastAsia="ar-SA"/>
              </w:rPr>
            </w:pPr>
            <w:r w:rsidRPr="008B3BC0">
              <w:rPr>
                <w:lang w:eastAsia="ar-SA"/>
              </w:rPr>
              <w:t>5,6</w:t>
            </w:r>
          </w:p>
        </w:tc>
        <w:tc>
          <w:tcPr>
            <w:tcW w:w="992" w:type="dxa"/>
          </w:tcPr>
          <w:p w:rsidR="00C26502" w:rsidRPr="008B3BC0" w:rsidRDefault="00C26502" w:rsidP="00C26502">
            <w:pPr>
              <w:suppressAutoHyphens/>
              <w:jc w:val="center"/>
              <w:rPr>
                <w:lang w:eastAsia="ar-SA"/>
              </w:rPr>
            </w:pPr>
            <w:r w:rsidRPr="008B3BC0">
              <w:rPr>
                <w:lang w:eastAsia="ar-SA"/>
              </w:rPr>
              <w:t>90</w:t>
            </w:r>
          </w:p>
        </w:tc>
        <w:tc>
          <w:tcPr>
            <w:tcW w:w="850" w:type="dxa"/>
          </w:tcPr>
          <w:p w:rsidR="00C26502" w:rsidRPr="008B3BC0" w:rsidRDefault="00C26502" w:rsidP="00C26502">
            <w:pPr>
              <w:suppressAutoHyphens/>
              <w:jc w:val="center"/>
              <w:rPr>
                <w:lang w:eastAsia="ar-SA"/>
              </w:rPr>
            </w:pPr>
            <w:r w:rsidRPr="008B3BC0">
              <w:rPr>
                <w:lang w:eastAsia="ar-SA"/>
              </w:rPr>
              <w:t>100</w:t>
            </w:r>
          </w:p>
        </w:tc>
        <w:tc>
          <w:tcPr>
            <w:tcW w:w="851" w:type="dxa"/>
          </w:tcPr>
          <w:p w:rsidR="00C26502" w:rsidRPr="008B3BC0" w:rsidRDefault="00C26502" w:rsidP="00C26502">
            <w:pPr>
              <w:suppressAutoHyphens/>
              <w:jc w:val="center"/>
              <w:rPr>
                <w:lang w:eastAsia="ar-SA"/>
              </w:rPr>
            </w:pPr>
            <w:r w:rsidRPr="008B3BC0">
              <w:rPr>
                <w:lang w:eastAsia="ar-SA"/>
              </w:rPr>
              <w:t>70</w:t>
            </w:r>
          </w:p>
        </w:tc>
        <w:tc>
          <w:tcPr>
            <w:tcW w:w="850" w:type="dxa"/>
          </w:tcPr>
          <w:p w:rsidR="00C26502" w:rsidRPr="008B3BC0" w:rsidRDefault="00C26502" w:rsidP="00C26502">
            <w:pPr>
              <w:suppressAutoHyphens/>
              <w:jc w:val="center"/>
              <w:rPr>
                <w:lang w:eastAsia="ar-SA"/>
              </w:rPr>
            </w:pPr>
            <w:r w:rsidRPr="008B3BC0">
              <w:rPr>
                <w:lang w:eastAsia="ar-SA"/>
              </w:rPr>
              <w:t>90</w:t>
            </w:r>
          </w:p>
        </w:tc>
        <w:tc>
          <w:tcPr>
            <w:tcW w:w="851" w:type="dxa"/>
          </w:tcPr>
          <w:p w:rsidR="00C26502" w:rsidRPr="008B3BC0" w:rsidRDefault="00C26502" w:rsidP="00C26502">
            <w:pPr>
              <w:suppressAutoHyphens/>
              <w:jc w:val="center"/>
              <w:rPr>
                <w:lang w:eastAsia="ar-SA"/>
              </w:rPr>
            </w:pPr>
          </w:p>
        </w:tc>
        <w:tc>
          <w:tcPr>
            <w:tcW w:w="882" w:type="dxa"/>
          </w:tcPr>
          <w:p w:rsidR="00C26502" w:rsidRPr="008B3BC0" w:rsidRDefault="00C26502" w:rsidP="00C26502">
            <w:pPr>
              <w:suppressAutoHyphens/>
              <w:jc w:val="center"/>
              <w:rPr>
                <w:lang w:eastAsia="ar-SA"/>
              </w:rPr>
            </w:pPr>
          </w:p>
        </w:tc>
      </w:tr>
      <w:tr w:rsidR="00C26502" w:rsidRPr="008B3BC0" w:rsidTr="00C26502">
        <w:trPr>
          <w:jc w:val="center"/>
        </w:trPr>
        <w:tc>
          <w:tcPr>
            <w:tcW w:w="2235" w:type="dxa"/>
          </w:tcPr>
          <w:p w:rsidR="00C26502" w:rsidRPr="008B3BC0" w:rsidRDefault="00C26502" w:rsidP="00C26502">
            <w:pPr>
              <w:suppressAutoHyphens/>
              <w:jc w:val="center"/>
              <w:rPr>
                <w:lang w:eastAsia="ar-SA"/>
              </w:rPr>
            </w:pPr>
            <w:r w:rsidRPr="008B3BC0">
              <w:rPr>
                <w:lang w:eastAsia="ar-SA"/>
              </w:rPr>
              <w:t>2</w:t>
            </w:r>
          </w:p>
        </w:tc>
        <w:tc>
          <w:tcPr>
            <w:tcW w:w="992" w:type="dxa"/>
          </w:tcPr>
          <w:p w:rsidR="00C26502" w:rsidRPr="008B3BC0" w:rsidRDefault="00C26502" w:rsidP="00C26502">
            <w:pPr>
              <w:suppressAutoHyphens/>
              <w:jc w:val="center"/>
              <w:rPr>
                <w:lang w:eastAsia="ar-SA"/>
              </w:rPr>
            </w:pPr>
            <w:r w:rsidRPr="008B3BC0">
              <w:rPr>
                <w:lang w:eastAsia="ar-SA"/>
              </w:rPr>
              <w:t>50</w:t>
            </w:r>
          </w:p>
        </w:tc>
        <w:tc>
          <w:tcPr>
            <w:tcW w:w="850" w:type="dxa"/>
          </w:tcPr>
          <w:p w:rsidR="00C26502" w:rsidRPr="008B3BC0" w:rsidRDefault="00C26502" w:rsidP="00C26502">
            <w:pPr>
              <w:suppressAutoHyphens/>
              <w:jc w:val="center"/>
              <w:rPr>
                <w:lang w:eastAsia="ar-SA"/>
              </w:rPr>
            </w:pPr>
            <w:r w:rsidRPr="008B3BC0">
              <w:rPr>
                <w:lang w:eastAsia="ar-SA"/>
              </w:rPr>
              <w:t>70</w:t>
            </w:r>
          </w:p>
        </w:tc>
        <w:tc>
          <w:tcPr>
            <w:tcW w:w="851" w:type="dxa"/>
          </w:tcPr>
          <w:p w:rsidR="00C26502" w:rsidRPr="008B3BC0" w:rsidRDefault="00C26502" w:rsidP="00C26502">
            <w:pPr>
              <w:suppressAutoHyphens/>
              <w:jc w:val="center"/>
              <w:rPr>
                <w:lang w:eastAsia="ar-SA"/>
              </w:rPr>
            </w:pPr>
            <w:r w:rsidRPr="008B3BC0">
              <w:rPr>
                <w:lang w:eastAsia="ar-SA"/>
              </w:rPr>
              <w:t>45</w:t>
            </w:r>
          </w:p>
        </w:tc>
        <w:tc>
          <w:tcPr>
            <w:tcW w:w="850" w:type="dxa"/>
          </w:tcPr>
          <w:p w:rsidR="00C26502" w:rsidRPr="008B3BC0" w:rsidRDefault="00C26502" w:rsidP="00C26502">
            <w:pPr>
              <w:suppressAutoHyphens/>
              <w:jc w:val="center"/>
              <w:rPr>
                <w:lang w:eastAsia="ar-SA"/>
              </w:rPr>
            </w:pPr>
            <w:r w:rsidRPr="008B3BC0">
              <w:rPr>
                <w:lang w:eastAsia="ar-SA"/>
              </w:rPr>
              <w:t>65</w:t>
            </w:r>
          </w:p>
        </w:tc>
        <w:tc>
          <w:tcPr>
            <w:tcW w:w="851" w:type="dxa"/>
          </w:tcPr>
          <w:p w:rsidR="00C26502" w:rsidRPr="008B3BC0" w:rsidRDefault="00C26502" w:rsidP="00C26502">
            <w:pPr>
              <w:suppressAutoHyphens/>
              <w:jc w:val="center"/>
              <w:rPr>
                <w:lang w:eastAsia="ar-SA"/>
              </w:rPr>
            </w:pPr>
            <w:r w:rsidRPr="008B3BC0">
              <w:rPr>
                <w:lang w:eastAsia="ar-SA"/>
              </w:rPr>
              <w:t>45</w:t>
            </w:r>
          </w:p>
        </w:tc>
        <w:tc>
          <w:tcPr>
            <w:tcW w:w="882" w:type="dxa"/>
          </w:tcPr>
          <w:p w:rsidR="00C26502" w:rsidRPr="008B3BC0" w:rsidRDefault="00C26502" w:rsidP="00C26502">
            <w:pPr>
              <w:suppressAutoHyphens/>
              <w:jc w:val="center"/>
              <w:rPr>
                <w:lang w:eastAsia="ar-SA"/>
              </w:rPr>
            </w:pPr>
            <w:r w:rsidRPr="008B3BC0">
              <w:rPr>
                <w:lang w:eastAsia="ar-SA"/>
              </w:rPr>
              <w:t>60</w:t>
            </w:r>
          </w:p>
        </w:tc>
      </w:tr>
      <w:tr w:rsidR="00C26502" w:rsidRPr="008B3BC0" w:rsidTr="00C26502">
        <w:trPr>
          <w:jc w:val="center"/>
        </w:trPr>
        <w:tc>
          <w:tcPr>
            <w:tcW w:w="2235" w:type="dxa"/>
          </w:tcPr>
          <w:p w:rsidR="00C26502" w:rsidRPr="008B3BC0" w:rsidRDefault="00C26502" w:rsidP="00C26502">
            <w:pPr>
              <w:suppressAutoHyphens/>
              <w:jc w:val="center"/>
              <w:rPr>
                <w:lang w:eastAsia="ar-SA"/>
              </w:rPr>
            </w:pPr>
            <w:r w:rsidRPr="008B3BC0">
              <w:rPr>
                <w:lang w:eastAsia="ar-SA"/>
              </w:rPr>
              <w:t>0,125</w:t>
            </w:r>
          </w:p>
        </w:tc>
        <w:tc>
          <w:tcPr>
            <w:tcW w:w="992" w:type="dxa"/>
          </w:tcPr>
          <w:p w:rsidR="00C26502" w:rsidRPr="008B3BC0" w:rsidRDefault="00C26502" w:rsidP="00C26502">
            <w:pPr>
              <w:suppressAutoHyphens/>
              <w:jc w:val="center"/>
              <w:rPr>
                <w:lang w:eastAsia="ar-SA"/>
              </w:rPr>
            </w:pPr>
            <w:r w:rsidRPr="008B3BC0">
              <w:rPr>
                <w:lang w:eastAsia="ar-SA"/>
              </w:rPr>
              <w:t>9</w:t>
            </w:r>
          </w:p>
        </w:tc>
        <w:tc>
          <w:tcPr>
            <w:tcW w:w="850" w:type="dxa"/>
          </w:tcPr>
          <w:p w:rsidR="00C26502" w:rsidRPr="008B3BC0" w:rsidRDefault="00C26502" w:rsidP="00C26502">
            <w:pPr>
              <w:suppressAutoHyphens/>
              <w:jc w:val="center"/>
              <w:rPr>
                <w:lang w:eastAsia="ar-SA"/>
              </w:rPr>
            </w:pPr>
            <w:r w:rsidRPr="008B3BC0">
              <w:rPr>
                <w:lang w:eastAsia="ar-SA"/>
              </w:rPr>
              <w:t>24</w:t>
            </w:r>
          </w:p>
        </w:tc>
        <w:tc>
          <w:tcPr>
            <w:tcW w:w="851" w:type="dxa"/>
          </w:tcPr>
          <w:p w:rsidR="00C26502" w:rsidRPr="008B3BC0" w:rsidRDefault="00C26502" w:rsidP="00C26502">
            <w:pPr>
              <w:suppressAutoHyphens/>
              <w:jc w:val="center"/>
              <w:rPr>
                <w:lang w:eastAsia="ar-SA"/>
              </w:rPr>
            </w:pPr>
            <w:r w:rsidRPr="008B3BC0">
              <w:rPr>
                <w:lang w:eastAsia="ar-SA"/>
              </w:rPr>
              <w:t>8</w:t>
            </w:r>
          </w:p>
        </w:tc>
        <w:tc>
          <w:tcPr>
            <w:tcW w:w="850" w:type="dxa"/>
          </w:tcPr>
          <w:p w:rsidR="00C26502" w:rsidRPr="008B3BC0" w:rsidRDefault="00C26502" w:rsidP="00C26502">
            <w:pPr>
              <w:suppressAutoHyphens/>
              <w:jc w:val="center"/>
              <w:rPr>
                <w:lang w:eastAsia="ar-SA"/>
              </w:rPr>
            </w:pPr>
            <w:r w:rsidRPr="008B3BC0">
              <w:rPr>
                <w:lang w:eastAsia="ar-SA"/>
              </w:rPr>
              <w:t>20</w:t>
            </w:r>
          </w:p>
        </w:tc>
        <w:tc>
          <w:tcPr>
            <w:tcW w:w="851" w:type="dxa"/>
          </w:tcPr>
          <w:p w:rsidR="00C26502" w:rsidRPr="008B3BC0" w:rsidRDefault="00C26502" w:rsidP="00C26502">
            <w:pPr>
              <w:suppressAutoHyphens/>
              <w:jc w:val="center"/>
              <w:rPr>
                <w:lang w:eastAsia="ar-SA"/>
              </w:rPr>
            </w:pPr>
            <w:r w:rsidRPr="008B3BC0">
              <w:rPr>
                <w:lang w:eastAsia="ar-SA"/>
              </w:rPr>
              <w:t>8</w:t>
            </w:r>
          </w:p>
        </w:tc>
        <w:tc>
          <w:tcPr>
            <w:tcW w:w="882" w:type="dxa"/>
          </w:tcPr>
          <w:p w:rsidR="00C26502" w:rsidRPr="008B3BC0" w:rsidRDefault="00C26502" w:rsidP="00C26502">
            <w:pPr>
              <w:suppressAutoHyphens/>
              <w:jc w:val="center"/>
              <w:rPr>
                <w:lang w:eastAsia="ar-SA"/>
              </w:rPr>
            </w:pPr>
            <w:r w:rsidRPr="008B3BC0">
              <w:rPr>
                <w:lang w:eastAsia="ar-SA"/>
              </w:rPr>
              <w:t>22</w:t>
            </w:r>
          </w:p>
        </w:tc>
      </w:tr>
      <w:tr w:rsidR="00C26502" w:rsidRPr="008B3BC0" w:rsidTr="00C26502">
        <w:trPr>
          <w:jc w:val="center"/>
        </w:trPr>
        <w:tc>
          <w:tcPr>
            <w:tcW w:w="2235" w:type="dxa"/>
          </w:tcPr>
          <w:p w:rsidR="00C26502" w:rsidRPr="008B3BC0" w:rsidRDefault="00C26502" w:rsidP="00C26502">
            <w:pPr>
              <w:suppressAutoHyphens/>
              <w:jc w:val="center"/>
              <w:rPr>
                <w:lang w:eastAsia="ar-SA"/>
              </w:rPr>
            </w:pPr>
            <w:r w:rsidRPr="008B3BC0">
              <w:rPr>
                <w:lang w:eastAsia="ar-SA"/>
              </w:rPr>
              <w:t>0,063</w:t>
            </w:r>
          </w:p>
        </w:tc>
        <w:tc>
          <w:tcPr>
            <w:tcW w:w="992" w:type="dxa"/>
          </w:tcPr>
          <w:p w:rsidR="00C26502" w:rsidRPr="008B3BC0" w:rsidRDefault="00C26502" w:rsidP="00C26502">
            <w:pPr>
              <w:suppressAutoHyphens/>
              <w:jc w:val="center"/>
              <w:rPr>
                <w:lang w:eastAsia="ar-SA"/>
              </w:rPr>
            </w:pPr>
            <w:r w:rsidRPr="008B3BC0">
              <w:rPr>
                <w:lang w:eastAsia="ar-SA"/>
              </w:rPr>
              <w:t>7,0</w:t>
            </w:r>
          </w:p>
        </w:tc>
        <w:tc>
          <w:tcPr>
            <w:tcW w:w="850" w:type="dxa"/>
          </w:tcPr>
          <w:p w:rsidR="00C26502" w:rsidRPr="008B3BC0" w:rsidRDefault="00C26502" w:rsidP="00C26502">
            <w:pPr>
              <w:suppressAutoHyphens/>
              <w:jc w:val="center"/>
              <w:rPr>
                <w:lang w:eastAsia="ar-SA"/>
              </w:rPr>
            </w:pPr>
            <w:r w:rsidRPr="008B3BC0">
              <w:rPr>
                <w:lang w:eastAsia="ar-SA"/>
              </w:rPr>
              <w:t>14</w:t>
            </w:r>
          </w:p>
        </w:tc>
        <w:tc>
          <w:tcPr>
            <w:tcW w:w="851" w:type="dxa"/>
          </w:tcPr>
          <w:p w:rsidR="00C26502" w:rsidRPr="008B3BC0" w:rsidRDefault="00C26502" w:rsidP="00C26502">
            <w:pPr>
              <w:suppressAutoHyphens/>
              <w:jc w:val="center"/>
              <w:rPr>
                <w:lang w:eastAsia="ar-SA"/>
              </w:rPr>
            </w:pPr>
            <w:r w:rsidRPr="008B3BC0">
              <w:rPr>
                <w:lang w:eastAsia="ar-SA"/>
              </w:rPr>
              <w:t>6</w:t>
            </w:r>
          </w:p>
        </w:tc>
        <w:tc>
          <w:tcPr>
            <w:tcW w:w="850" w:type="dxa"/>
          </w:tcPr>
          <w:p w:rsidR="00C26502" w:rsidRPr="008B3BC0" w:rsidRDefault="00C26502" w:rsidP="00C26502">
            <w:pPr>
              <w:suppressAutoHyphens/>
              <w:jc w:val="center"/>
              <w:rPr>
                <w:lang w:eastAsia="ar-SA"/>
              </w:rPr>
            </w:pPr>
            <w:r w:rsidRPr="008B3BC0">
              <w:rPr>
                <w:lang w:eastAsia="ar-SA"/>
              </w:rPr>
              <w:t>12,0</w:t>
            </w:r>
          </w:p>
        </w:tc>
        <w:tc>
          <w:tcPr>
            <w:tcW w:w="851" w:type="dxa"/>
          </w:tcPr>
          <w:p w:rsidR="00C26502" w:rsidRPr="008B3BC0" w:rsidRDefault="00C26502" w:rsidP="00C26502">
            <w:pPr>
              <w:suppressAutoHyphens/>
              <w:jc w:val="center"/>
              <w:rPr>
                <w:lang w:eastAsia="ar-SA"/>
              </w:rPr>
            </w:pPr>
            <w:r w:rsidRPr="008B3BC0">
              <w:rPr>
                <w:lang w:eastAsia="ar-SA"/>
              </w:rPr>
              <w:t>6</w:t>
            </w:r>
          </w:p>
        </w:tc>
        <w:tc>
          <w:tcPr>
            <w:tcW w:w="882" w:type="dxa"/>
          </w:tcPr>
          <w:p w:rsidR="00C26502" w:rsidRPr="008B3BC0" w:rsidRDefault="00C26502" w:rsidP="00C26502">
            <w:pPr>
              <w:suppressAutoHyphens/>
              <w:jc w:val="center"/>
              <w:rPr>
                <w:lang w:eastAsia="ar-SA"/>
              </w:rPr>
            </w:pPr>
            <w:r w:rsidRPr="008B3BC0">
              <w:rPr>
                <w:lang w:eastAsia="ar-SA"/>
              </w:rPr>
              <w:t>12,0</w:t>
            </w:r>
          </w:p>
        </w:tc>
      </w:tr>
      <w:tr w:rsidR="00C26502" w:rsidRPr="008B3BC0" w:rsidTr="00C26502">
        <w:trPr>
          <w:jc w:val="center"/>
        </w:trPr>
        <w:tc>
          <w:tcPr>
            <w:tcW w:w="2235" w:type="dxa"/>
          </w:tcPr>
          <w:p w:rsidR="00C26502" w:rsidRPr="008B3BC0" w:rsidRDefault="00C26502" w:rsidP="00C26502">
            <w:pPr>
              <w:suppressAutoHyphens/>
              <w:rPr>
                <w:vertAlign w:val="superscript"/>
                <w:lang w:eastAsia="ar-SA"/>
              </w:rPr>
            </w:pPr>
            <w:r w:rsidRPr="008B3BC0">
              <w:rPr>
                <w:lang w:eastAsia="ar-SA"/>
              </w:rPr>
              <w:t>Zawartość lepiszcza, minimum</w:t>
            </w:r>
            <w:r w:rsidRPr="008B3BC0">
              <w:rPr>
                <w:vertAlign w:val="superscript"/>
                <w:lang w:eastAsia="ar-SA"/>
              </w:rPr>
              <w:t>*)</w:t>
            </w:r>
          </w:p>
        </w:tc>
        <w:tc>
          <w:tcPr>
            <w:tcW w:w="1842" w:type="dxa"/>
            <w:gridSpan w:val="2"/>
          </w:tcPr>
          <w:p w:rsidR="00C26502" w:rsidRPr="008B3BC0" w:rsidRDefault="00C26502" w:rsidP="00C26502">
            <w:pPr>
              <w:suppressAutoHyphens/>
              <w:spacing w:before="120"/>
              <w:jc w:val="center"/>
              <w:rPr>
                <w:lang w:eastAsia="ar-SA"/>
              </w:rPr>
            </w:pPr>
            <w:r w:rsidRPr="008B3BC0">
              <w:rPr>
                <w:lang w:eastAsia="ar-SA"/>
              </w:rPr>
              <w:t>B</w:t>
            </w:r>
            <w:r w:rsidRPr="008B3BC0">
              <w:rPr>
                <w:vertAlign w:val="subscript"/>
                <w:lang w:eastAsia="ar-SA"/>
              </w:rPr>
              <w:t>min7,0</w:t>
            </w:r>
          </w:p>
        </w:tc>
        <w:tc>
          <w:tcPr>
            <w:tcW w:w="1701" w:type="dxa"/>
            <w:gridSpan w:val="2"/>
          </w:tcPr>
          <w:p w:rsidR="00C26502" w:rsidRPr="008B3BC0" w:rsidRDefault="00C26502" w:rsidP="00C26502">
            <w:pPr>
              <w:suppressAutoHyphens/>
              <w:spacing w:before="120"/>
              <w:jc w:val="center"/>
              <w:rPr>
                <w:lang w:eastAsia="ar-SA"/>
              </w:rPr>
            </w:pPr>
            <w:r w:rsidRPr="008B3BC0">
              <w:rPr>
                <w:lang w:eastAsia="ar-SA"/>
              </w:rPr>
              <w:t>B</w:t>
            </w:r>
            <w:r w:rsidRPr="008B3BC0">
              <w:rPr>
                <w:vertAlign w:val="subscript"/>
                <w:lang w:eastAsia="ar-SA"/>
              </w:rPr>
              <w:t>min6,6</w:t>
            </w:r>
          </w:p>
        </w:tc>
        <w:tc>
          <w:tcPr>
            <w:tcW w:w="1733" w:type="dxa"/>
            <w:gridSpan w:val="2"/>
          </w:tcPr>
          <w:p w:rsidR="00C26502" w:rsidRPr="008B3BC0" w:rsidRDefault="00C26502" w:rsidP="00C26502">
            <w:pPr>
              <w:suppressAutoHyphens/>
              <w:spacing w:before="120"/>
              <w:jc w:val="center"/>
              <w:rPr>
                <w:lang w:eastAsia="ar-SA"/>
              </w:rPr>
            </w:pPr>
            <w:r w:rsidRPr="008B3BC0">
              <w:rPr>
                <w:lang w:eastAsia="ar-SA"/>
              </w:rPr>
              <w:t>B</w:t>
            </w:r>
            <w:r w:rsidRPr="008B3BC0">
              <w:rPr>
                <w:vertAlign w:val="subscript"/>
                <w:lang w:eastAsia="ar-SA"/>
              </w:rPr>
              <w:t xml:space="preserve">min6,4 </w:t>
            </w:r>
          </w:p>
        </w:tc>
      </w:tr>
    </w:tbl>
    <w:p w:rsidR="00C26502" w:rsidRPr="008B3BC0" w:rsidRDefault="00C26502" w:rsidP="00C26502">
      <w:pPr>
        <w:tabs>
          <w:tab w:val="left" w:pos="993"/>
        </w:tabs>
        <w:suppressAutoHyphens/>
        <w:spacing w:before="120" w:after="120"/>
        <w:ind w:left="992" w:hanging="992"/>
        <w:rPr>
          <w:lang w:eastAsia="ar-SA"/>
        </w:rPr>
      </w:pPr>
      <w:r w:rsidRPr="008B3BC0">
        <w:rPr>
          <w:lang w:eastAsia="ar-SA"/>
        </w:rPr>
        <w:t>Tablica 7.</w:t>
      </w:r>
      <w:r w:rsidRPr="008B3BC0">
        <w:rPr>
          <w:lang w:eastAsia="ar-SA"/>
        </w:rPr>
        <w:tab/>
        <w:t>Wymagane właściwości mieszanki mineralno-asfaltowej do warstwy ścieralnej, przy ruchu KR1 ÷ KR2 [65]</w:t>
      </w:r>
    </w:p>
    <w:tbl>
      <w:tblPr>
        <w:tblW w:w="77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84"/>
        <w:gridCol w:w="1276"/>
        <w:gridCol w:w="1984"/>
        <w:gridCol w:w="1134"/>
        <w:gridCol w:w="993"/>
        <w:gridCol w:w="992"/>
      </w:tblGrid>
      <w:tr w:rsidR="00C26502" w:rsidRPr="008B3BC0" w:rsidTr="00C26502">
        <w:trPr>
          <w:jc w:val="center"/>
        </w:trPr>
        <w:tc>
          <w:tcPr>
            <w:tcW w:w="1384" w:type="dxa"/>
          </w:tcPr>
          <w:p w:rsidR="00C26502" w:rsidRPr="008B3BC0" w:rsidRDefault="00C26502" w:rsidP="00C26502">
            <w:pPr>
              <w:suppressAutoHyphens/>
              <w:jc w:val="center"/>
              <w:rPr>
                <w:sz w:val="18"/>
                <w:szCs w:val="18"/>
                <w:lang w:eastAsia="ar-SA"/>
              </w:rPr>
            </w:pPr>
          </w:p>
          <w:p w:rsidR="00C26502" w:rsidRPr="008B3BC0" w:rsidRDefault="00C26502" w:rsidP="00C26502">
            <w:pPr>
              <w:suppressAutoHyphens/>
              <w:jc w:val="center"/>
              <w:rPr>
                <w:sz w:val="18"/>
                <w:szCs w:val="18"/>
                <w:lang w:eastAsia="ar-SA"/>
              </w:rPr>
            </w:pPr>
            <w:r w:rsidRPr="008B3BC0">
              <w:rPr>
                <w:sz w:val="18"/>
                <w:szCs w:val="18"/>
                <w:lang w:eastAsia="ar-SA"/>
              </w:rPr>
              <w:t>Właściwość</w:t>
            </w:r>
          </w:p>
        </w:tc>
        <w:tc>
          <w:tcPr>
            <w:tcW w:w="1276" w:type="dxa"/>
          </w:tcPr>
          <w:p w:rsidR="00C26502" w:rsidRPr="008B3BC0" w:rsidRDefault="00C26502" w:rsidP="00C26502">
            <w:pPr>
              <w:suppressAutoHyphens/>
              <w:jc w:val="center"/>
              <w:rPr>
                <w:sz w:val="18"/>
                <w:szCs w:val="18"/>
                <w:lang w:eastAsia="ar-SA"/>
              </w:rPr>
            </w:pPr>
            <w:r w:rsidRPr="008B3BC0">
              <w:rPr>
                <w:sz w:val="18"/>
                <w:szCs w:val="18"/>
                <w:lang w:eastAsia="ar-SA"/>
              </w:rPr>
              <w:t xml:space="preserve">Warunki zagęszczania wg PN-EN </w:t>
            </w:r>
          </w:p>
          <w:p w:rsidR="00C26502" w:rsidRPr="008B3BC0" w:rsidRDefault="00C26502" w:rsidP="00C26502">
            <w:pPr>
              <w:suppressAutoHyphens/>
              <w:jc w:val="center"/>
              <w:rPr>
                <w:sz w:val="18"/>
                <w:szCs w:val="18"/>
                <w:lang w:eastAsia="ar-SA"/>
              </w:rPr>
            </w:pPr>
            <w:r w:rsidRPr="008B3BC0">
              <w:rPr>
                <w:sz w:val="18"/>
                <w:szCs w:val="18"/>
                <w:lang w:eastAsia="ar-SA"/>
              </w:rPr>
              <w:t>13108-20 [48]</w:t>
            </w:r>
          </w:p>
        </w:tc>
        <w:tc>
          <w:tcPr>
            <w:tcW w:w="1984" w:type="dxa"/>
          </w:tcPr>
          <w:p w:rsidR="00C26502" w:rsidRPr="008B3BC0" w:rsidRDefault="00C26502" w:rsidP="00C26502">
            <w:pPr>
              <w:suppressAutoHyphens/>
              <w:jc w:val="center"/>
              <w:rPr>
                <w:sz w:val="18"/>
                <w:szCs w:val="18"/>
                <w:lang w:eastAsia="ar-SA"/>
              </w:rPr>
            </w:pPr>
          </w:p>
          <w:p w:rsidR="00C26502" w:rsidRPr="008B3BC0" w:rsidRDefault="00C26502" w:rsidP="00C26502">
            <w:pPr>
              <w:suppressAutoHyphens/>
              <w:jc w:val="center"/>
              <w:rPr>
                <w:sz w:val="18"/>
                <w:szCs w:val="18"/>
                <w:lang w:eastAsia="ar-SA"/>
              </w:rPr>
            </w:pPr>
            <w:r w:rsidRPr="008B3BC0">
              <w:rPr>
                <w:sz w:val="18"/>
                <w:szCs w:val="18"/>
                <w:lang w:eastAsia="ar-SA"/>
              </w:rPr>
              <w:t>Metoda i warunki badania</w:t>
            </w:r>
          </w:p>
        </w:tc>
        <w:tc>
          <w:tcPr>
            <w:tcW w:w="1134" w:type="dxa"/>
            <w:shd w:val="clear" w:color="auto" w:fill="auto"/>
          </w:tcPr>
          <w:p w:rsidR="00C26502" w:rsidRPr="008B3BC0" w:rsidRDefault="00C26502" w:rsidP="00C26502">
            <w:pPr>
              <w:suppressAutoHyphens/>
              <w:jc w:val="center"/>
              <w:rPr>
                <w:lang w:eastAsia="ar-SA"/>
              </w:rPr>
            </w:pPr>
          </w:p>
          <w:p w:rsidR="00C26502" w:rsidRPr="008B3BC0" w:rsidRDefault="00C26502" w:rsidP="00C26502">
            <w:pPr>
              <w:suppressAutoHyphens/>
              <w:jc w:val="center"/>
              <w:rPr>
                <w:lang w:eastAsia="ar-SA"/>
              </w:rPr>
            </w:pPr>
            <w:r w:rsidRPr="008B3BC0">
              <w:rPr>
                <w:lang w:eastAsia="ar-SA"/>
              </w:rPr>
              <w:t>AC5S</w:t>
            </w:r>
          </w:p>
        </w:tc>
        <w:tc>
          <w:tcPr>
            <w:tcW w:w="993" w:type="dxa"/>
            <w:shd w:val="clear" w:color="auto" w:fill="auto"/>
          </w:tcPr>
          <w:p w:rsidR="00C26502" w:rsidRPr="008B3BC0" w:rsidRDefault="00C26502" w:rsidP="00C26502">
            <w:pPr>
              <w:suppressAutoHyphens/>
              <w:jc w:val="center"/>
              <w:rPr>
                <w:lang w:eastAsia="ar-SA"/>
              </w:rPr>
            </w:pPr>
          </w:p>
          <w:p w:rsidR="00C26502" w:rsidRPr="008B3BC0" w:rsidRDefault="00C26502" w:rsidP="00C26502">
            <w:pPr>
              <w:suppressAutoHyphens/>
              <w:jc w:val="center"/>
              <w:rPr>
                <w:lang w:eastAsia="ar-SA"/>
              </w:rPr>
            </w:pPr>
            <w:r w:rsidRPr="008B3BC0">
              <w:rPr>
                <w:lang w:eastAsia="ar-SA"/>
              </w:rPr>
              <w:t>AC8S</w:t>
            </w:r>
          </w:p>
        </w:tc>
        <w:tc>
          <w:tcPr>
            <w:tcW w:w="992" w:type="dxa"/>
          </w:tcPr>
          <w:p w:rsidR="00C26502" w:rsidRPr="008B3BC0" w:rsidRDefault="00C26502" w:rsidP="00C26502">
            <w:pPr>
              <w:suppressAutoHyphens/>
              <w:jc w:val="center"/>
              <w:rPr>
                <w:lang w:eastAsia="ar-SA"/>
              </w:rPr>
            </w:pPr>
          </w:p>
          <w:p w:rsidR="00C26502" w:rsidRPr="008B3BC0" w:rsidRDefault="00C26502" w:rsidP="00C26502">
            <w:pPr>
              <w:suppressAutoHyphens/>
              <w:jc w:val="center"/>
              <w:rPr>
                <w:lang w:eastAsia="ar-SA"/>
              </w:rPr>
            </w:pPr>
            <w:r w:rsidRPr="008B3BC0">
              <w:rPr>
                <w:lang w:eastAsia="ar-SA"/>
              </w:rPr>
              <w:t>AC11S</w:t>
            </w:r>
          </w:p>
        </w:tc>
      </w:tr>
      <w:tr w:rsidR="00C26502" w:rsidRPr="008B3BC0" w:rsidTr="00C26502">
        <w:trPr>
          <w:jc w:val="center"/>
        </w:trPr>
        <w:tc>
          <w:tcPr>
            <w:tcW w:w="1384" w:type="dxa"/>
          </w:tcPr>
          <w:p w:rsidR="00C26502" w:rsidRPr="008B3BC0" w:rsidRDefault="00C26502" w:rsidP="00C26502">
            <w:pPr>
              <w:suppressAutoHyphens/>
              <w:rPr>
                <w:sz w:val="18"/>
                <w:szCs w:val="18"/>
                <w:lang w:eastAsia="ar-SA"/>
              </w:rPr>
            </w:pPr>
            <w:r w:rsidRPr="008B3BC0">
              <w:rPr>
                <w:sz w:val="18"/>
                <w:szCs w:val="18"/>
                <w:lang w:eastAsia="ar-SA"/>
              </w:rPr>
              <w:t>Zawartość wolnych przestrzeni</w:t>
            </w:r>
          </w:p>
        </w:tc>
        <w:tc>
          <w:tcPr>
            <w:tcW w:w="1276" w:type="dxa"/>
            <w:vAlign w:val="center"/>
          </w:tcPr>
          <w:p w:rsidR="00C26502" w:rsidRPr="008B3BC0" w:rsidRDefault="00C26502" w:rsidP="00C26502">
            <w:pPr>
              <w:suppressAutoHyphens/>
              <w:rPr>
                <w:sz w:val="18"/>
                <w:szCs w:val="18"/>
                <w:lang w:eastAsia="ar-SA"/>
              </w:rPr>
            </w:pPr>
            <w:r w:rsidRPr="008B3BC0">
              <w:rPr>
                <w:sz w:val="18"/>
                <w:szCs w:val="18"/>
                <w:lang w:eastAsia="ar-SA"/>
              </w:rPr>
              <w:t>C.1.2,ubijanie, 2×50 uderzeń</w:t>
            </w:r>
          </w:p>
        </w:tc>
        <w:tc>
          <w:tcPr>
            <w:tcW w:w="1984" w:type="dxa"/>
            <w:vAlign w:val="center"/>
          </w:tcPr>
          <w:p w:rsidR="00C26502" w:rsidRPr="008B3BC0" w:rsidRDefault="00C26502" w:rsidP="00C26502">
            <w:pPr>
              <w:suppressAutoHyphens/>
              <w:spacing w:before="120"/>
              <w:jc w:val="center"/>
              <w:rPr>
                <w:sz w:val="18"/>
                <w:szCs w:val="18"/>
                <w:lang w:eastAsia="ar-SA"/>
              </w:rPr>
            </w:pPr>
            <w:r w:rsidRPr="008B3BC0">
              <w:rPr>
                <w:sz w:val="18"/>
                <w:szCs w:val="18"/>
                <w:lang w:eastAsia="ar-SA"/>
              </w:rPr>
              <w:t xml:space="preserve">PN-EN 12697-8 [33], </w:t>
            </w:r>
          </w:p>
          <w:p w:rsidR="00C26502" w:rsidRPr="008B3BC0" w:rsidRDefault="00C26502" w:rsidP="00C26502">
            <w:pPr>
              <w:suppressAutoHyphens/>
              <w:jc w:val="center"/>
              <w:rPr>
                <w:sz w:val="18"/>
                <w:szCs w:val="18"/>
                <w:lang w:eastAsia="ar-SA"/>
              </w:rPr>
            </w:pPr>
            <w:r w:rsidRPr="008B3BC0">
              <w:rPr>
                <w:sz w:val="18"/>
                <w:szCs w:val="18"/>
                <w:lang w:eastAsia="ar-SA"/>
              </w:rPr>
              <w:t>p. 4</w:t>
            </w:r>
          </w:p>
        </w:tc>
        <w:tc>
          <w:tcPr>
            <w:tcW w:w="1134" w:type="dxa"/>
            <w:shd w:val="clear" w:color="auto" w:fill="auto"/>
            <w:vAlign w:val="center"/>
          </w:tcPr>
          <w:p w:rsidR="00C26502" w:rsidRPr="008B3BC0" w:rsidRDefault="00C26502" w:rsidP="00C26502">
            <w:pPr>
              <w:suppressAutoHyphens/>
              <w:jc w:val="center"/>
              <w:rPr>
                <w:sz w:val="18"/>
                <w:szCs w:val="18"/>
                <w:lang w:eastAsia="ar-SA"/>
              </w:rPr>
            </w:pPr>
            <w:r w:rsidRPr="008B3BC0">
              <w:rPr>
                <w:i/>
                <w:sz w:val="18"/>
                <w:szCs w:val="18"/>
                <w:lang w:eastAsia="ar-SA"/>
              </w:rPr>
              <w:t>V</w:t>
            </w:r>
            <w:r w:rsidRPr="008B3BC0">
              <w:rPr>
                <w:sz w:val="18"/>
                <w:szCs w:val="18"/>
                <w:vertAlign w:val="subscript"/>
                <w:lang w:eastAsia="ar-SA"/>
              </w:rPr>
              <w:t>min1,0</w:t>
            </w:r>
          </w:p>
          <w:p w:rsidR="00C26502" w:rsidRPr="008B3BC0" w:rsidRDefault="00C26502" w:rsidP="00C26502">
            <w:pPr>
              <w:suppressAutoHyphens/>
              <w:jc w:val="center"/>
              <w:rPr>
                <w:sz w:val="18"/>
                <w:szCs w:val="18"/>
                <w:lang w:eastAsia="ar-SA"/>
              </w:rPr>
            </w:pPr>
            <w:r w:rsidRPr="008B3BC0">
              <w:rPr>
                <w:i/>
                <w:sz w:val="18"/>
                <w:szCs w:val="18"/>
                <w:lang w:eastAsia="ar-SA"/>
              </w:rPr>
              <w:t>V</w:t>
            </w:r>
            <w:r w:rsidRPr="008B3BC0">
              <w:rPr>
                <w:sz w:val="18"/>
                <w:szCs w:val="18"/>
                <w:vertAlign w:val="subscript"/>
                <w:lang w:eastAsia="ar-SA"/>
              </w:rPr>
              <w:t>max3,0</w:t>
            </w:r>
          </w:p>
        </w:tc>
        <w:tc>
          <w:tcPr>
            <w:tcW w:w="993" w:type="dxa"/>
            <w:shd w:val="clear" w:color="auto" w:fill="auto"/>
            <w:vAlign w:val="center"/>
          </w:tcPr>
          <w:p w:rsidR="00C26502" w:rsidRPr="008B3BC0" w:rsidRDefault="00C26502" w:rsidP="00C26502">
            <w:pPr>
              <w:suppressAutoHyphens/>
              <w:jc w:val="center"/>
              <w:rPr>
                <w:sz w:val="18"/>
                <w:szCs w:val="18"/>
                <w:lang w:eastAsia="ar-SA"/>
              </w:rPr>
            </w:pPr>
            <w:r w:rsidRPr="008B3BC0">
              <w:rPr>
                <w:i/>
                <w:sz w:val="18"/>
                <w:szCs w:val="18"/>
                <w:lang w:eastAsia="ar-SA"/>
              </w:rPr>
              <w:t>V</w:t>
            </w:r>
            <w:r w:rsidRPr="008B3BC0">
              <w:rPr>
                <w:sz w:val="18"/>
                <w:szCs w:val="18"/>
                <w:vertAlign w:val="subscript"/>
                <w:lang w:eastAsia="ar-SA"/>
              </w:rPr>
              <w:t>min1,0</w:t>
            </w:r>
          </w:p>
          <w:p w:rsidR="00C26502" w:rsidRPr="008B3BC0" w:rsidRDefault="00C26502" w:rsidP="00C26502">
            <w:pPr>
              <w:suppressAutoHyphens/>
              <w:jc w:val="center"/>
              <w:rPr>
                <w:sz w:val="18"/>
                <w:szCs w:val="18"/>
                <w:lang w:eastAsia="ar-SA"/>
              </w:rPr>
            </w:pPr>
            <w:r w:rsidRPr="008B3BC0">
              <w:rPr>
                <w:i/>
                <w:sz w:val="18"/>
                <w:szCs w:val="18"/>
                <w:lang w:eastAsia="ar-SA"/>
              </w:rPr>
              <w:t>V</w:t>
            </w:r>
            <w:r w:rsidRPr="008B3BC0">
              <w:rPr>
                <w:sz w:val="18"/>
                <w:szCs w:val="18"/>
                <w:vertAlign w:val="subscript"/>
                <w:lang w:eastAsia="ar-SA"/>
              </w:rPr>
              <w:t>max3,0</w:t>
            </w:r>
          </w:p>
        </w:tc>
        <w:tc>
          <w:tcPr>
            <w:tcW w:w="992" w:type="dxa"/>
            <w:vAlign w:val="center"/>
          </w:tcPr>
          <w:p w:rsidR="00C26502" w:rsidRPr="008B3BC0" w:rsidRDefault="00C26502" w:rsidP="00C26502">
            <w:pPr>
              <w:suppressAutoHyphens/>
              <w:jc w:val="center"/>
              <w:rPr>
                <w:sz w:val="18"/>
                <w:szCs w:val="18"/>
                <w:lang w:eastAsia="ar-SA"/>
              </w:rPr>
            </w:pPr>
            <w:r w:rsidRPr="008B3BC0">
              <w:rPr>
                <w:i/>
                <w:sz w:val="18"/>
                <w:szCs w:val="18"/>
                <w:lang w:eastAsia="ar-SA"/>
              </w:rPr>
              <w:t>V</w:t>
            </w:r>
            <w:r w:rsidRPr="008B3BC0">
              <w:rPr>
                <w:sz w:val="18"/>
                <w:szCs w:val="18"/>
                <w:vertAlign w:val="subscript"/>
                <w:lang w:eastAsia="ar-SA"/>
              </w:rPr>
              <w:t>min1,0</w:t>
            </w:r>
          </w:p>
          <w:p w:rsidR="00C26502" w:rsidRPr="008B3BC0" w:rsidRDefault="00C26502" w:rsidP="00C26502">
            <w:pPr>
              <w:suppressAutoHyphens/>
              <w:jc w:val="center"/>
              <w:rPr>
                <w:sz w:val="18"/>
                <w:szCs w:val="18"/>
                <w:lang w:eastAsia="ar-SA"/>
              </w:rPr>
            </w:pPr>
            <w:r w:rsidRPr="008B3BC0">
              <w:rPr>
                <w:i/>
                <w:sz w:val="18"/>
                <w:szCs w:val="18"/>
                <w:lang w:eastAsia="ar-SA"/>
              </w:rPr>
              <w:t>V</w:t>
            </w:r>
            <w:r w:rsidRPr="008B3BC0">
              <w:rPr>
                <w:sz w:val="18"/>
                <w:szCs w:val="18"/>
                <w:vertAlign w:val="subscript"/>
                <w:lang w:eastAsia="ar-SA"/>
              </w:rPr>
              <w:t>max3,0</w:t>
            </w:r>
          </w:p>
        </w:tc>
      </w:tr>
      <w:tr w:rsidR="00C26502" w:rsidRPr="008B3BC0" w:rsidTr="00C26502">
        <w:trPr>
          <w:jc w:val="center"/>
        </w:trPr>
        <w:tc>
          <w:tcPr>
            <w:tcW w:w="1384" w:type="dxa"/>
          </w:tcPr>
          <w:p w:rsidR="00C26502" w:rsidRPr="008B3BC0" w:rsidRDefault="00C26502" w:rsidP="00C26502">
            <w:pPr>
              <w:suppressAutoHyphens/>
              <w:rPr>
                <w:sz w:val="18"/>
                <w:szCs w:val="18"/>
                <w:lang w:eastAsia="ar-SA"/>
              </w:rPr>
            </w:pPr>
            <w:r w:rsidRPr="008B3BC0">
              <w:rPr>
                <w:sz w:val="18"/>
                <w:szCs w:val="18"/>
                <w:lang w:eastAsia="ar-SA"/>
              </w:rPr>
              <w:t>Wolne przestrzenie wypełnione lepiszczem</w:t>
            </w:r>
          </w:p>
        </w:tc>
        <w:tc>
          <w:tcPr>
            <w:tcW w:w="1276" w:type="dxa"/>
            <w:vAlign w:val="center"/>
          </w:tcPr>
          <w:p w:rsidR="00C26502" w:rsidRPr="008B3BC0" w:rsidRDefault="00C26502" w:rsidP="00C26502">
            <w:pPr>
              <w:suppressAutoHyphens/>
              <w:rPr>
                <w:sz w:val="18"/>
                <w:szCs w:val="18"/>
                <w:lang w:eastAsia="ar-SA"/>
              </w:rPr>
            </w:pPr>
            <w:r w:rsidRPr="008B3BC0">
              <w:rPr>
                <w:sz w:val="18"/>
                <w:szCs w:val="18"/>
                <w:lang w:eastAsia="ar-SA"/>
              </w:rPr>
              <w:t>C.1.2,ubijanie, 2×50 uderzeń</w:t>
            </w:r>
          </w:p>
        </w:tc>
        <w:tc>
          <w:tcPr>
            <w:tcW w:w="1984" w:type="dxa"/>
            <w:vAlign w:val="center"/>
          </w:tcPr>
          <w:p w:rsidR="00C26502" w:rsidRPr="008B3BC0" w:rsidRDefault="00C26502" w:rsidP="00C26502">
            <w:pPr>
              <w:suppressAutoHyphens/>
              <w:spacing w:before="120"/>
              <w:jc w:val="center"/>
              <w:rPr>
                <w:sz w:val="18"/>
                <w:szCs w:val="18"/>
                <w:lang w:eastAsia="ar-SA"/>
              </w:rPr>
            </w:pPr>
            <w:r w:rsidRPr="008B3BC0">
              <w:rPr>
                <w:sz w:val="18"/>
                <w:szCs w:val="18"/>
                <w:lang w:eastAsia="ar-SA"/>
              </w:rPr>
              <w:t xml:space="preserve">PN-EN 12697-8 [33], </w:t>
            </w:r>
          </w:p>
          <w:p w:rsidR="00C26502" w:rsidRPr="008B3BC0" w:rsidRDefault="00C26502" w:rsidP="00C26502">
            <w:pPr>
              <w:suppressAutoHyphens/>
              <w:jc w:val="center"/>
              <w:rPr>
                <w:sz w:val="18"/>
                <w:szCs w:val="18"/>
                <w:lang w:eastAsia="ar-SA"/>
              </w:rPr>
            </w:pPr>
            <w:r w:rsidRPr="008B3BC0">
              <w:rPr>
                <w:sz w:val="18"/>
                <w:szCs w:val="18"/>
                <w:lang w:eastAsia="ar-SA"/>
              </w:rPr>
              <w:t>p. 5</w:t>
            </w:r>
          </w:p>
        </w:tc>
        <w:tc>
          <w:tcPr>
            <w:tcW w:w="1134" w:type="dxa"/>
            <w:shd w:val="clear" w:color="auto" w:fill="auto"/>
            <w:vAlign w:val="center"/>
          </w:tcPr>
          <w:p w:rsidR="00C26502" w:rsidRPr="008B3BC0" w:rsidRDefault="00C26502" w:rsidP="00C26502">
            <w:pPr>
              <w:suppressAutoHyphens/>
              <w:jc w:val="center"/>
              <w:rPr>
                <w:i/>
                <w:sz w:val="16"/>
                <w:szCs w:val="16"/>
                <w:vertAlign w:val="subscript"/>
                <w:lang w:eastAsia="ar-SA"/>
              </w:rPr>
            </w:pPr>
            <w:r w:rsidRPr="008B3BC0">
              <w:rPr>
                <w:i/>
                <w:sz w:val="16"/>
                <w:szCs w:val="16"/>
                <w:lang w:eastAsia="ar-SA"/>
              </w:rPr>
              <w:t>VFB</w:t>
            </w:r>
            <w:r w:rsidRPr="008B3BC0">
              <w:rPr>
                <w:i/>
                <w:sz w:val="16"/>
                <w:szCs w:val="16"/>
                <w:vertAlign w:val="subscript"/>
                <w:lang w:eastAsia="ar-SA"/>
              </w:rPr>
              <w:t>min78</w:t>
            </w:r>
          </w:p>
          <w:p w:rsidR="00C26502" w:rsidRPr="008B3BC0" w:rsidRDefault="00C26502" w:rsidP="00C26502">
            <w:pPr>
              <w:suppressAutoHyphens/>
              <w:jc w:val="center"/>
              <w:rPr>
                <w:i/>
                <w:sz w:val="16"/>
                <w:szCs w:val="16"/>
                <w:vertAlign w:val="subscript"/>
                <w:lang w:eastAsia="ar-SA"/>
              </w:rPr>
            </w:pPr>
            <w:r w:rsidRPr="008B3BC0">
              <w:rPr>
                <w:i/>
                <w:sz w:val="16"/>
                <w:szCs w:val="16"/>
                <w:lang w:eastAsia="ar-SA"/>
              </w:rPr>
              <w:t>VFB</w:t>
            </w:r>
            <w:r w:rsidRPr="008B3BC0">
              <w:rPr>
                <w:i/>
                <w:sz w:val="16"/>
                <w:szCs w:val="16"/>
                <w:vertAlign w:val="subscript"/>
                <w:lang w:eastAsia="ar-SA"/>
              </w:rPr>
              <w:t>min89</w:t>
            </w:r>
          </w:p>
        </w:tc>
        <w:tc>
          <w:tcPr>
            <w:tcW w:w="993" w:type="dxa"/>
            <w:shd w:val="clear" w:color="auto" w:fill="auto"/>
            <w:vAlign w:val="center"/>
          </w:tcPr>
          <w:p w:rsidR="00C26502" w:rsidRPr="008B3BC0" w:rsidRDefault="00C26502" w:rsidP="00C26502">
            <w:pPr>
              <w:suppressAutoHyphens/>
              <w:jc w:val="center"/>
              <w:rPr>
                <w:i/>
                <w:sz w:val="16"/>
                <w:szCs w:val="16"/>
                <w:vertAlign w:val="subscript"/>
                <w:lang w:eastAsia="ar-SA"/>
              </w:rPr>
            </w:pPr>
            <w:r w:rsidRPr="008B3BC0">
              <w:rPr>
                <w:i/>
                <w:sz w:val="16"/>
                <w:szCs w:val="16"/>
                <w:lang w:eastAsia="ar-SA"/>
              </w:rPr>
              <w:t>VFB</w:t>
            </w:r>
            <w:r w:rsidRPr="008B3BC0">
              <w:rPr>
                <w:i/>
                <w:sz w:val="16"/>
                <w:szCs w:val="16"/>
                <w:vertAlign w:val="subscript"/>
                <w:lang w:eastAsia="ar-SA"/>
              </w:rPr>
              <w:t>min78</w:t>
            </w:r>
          </w:p>
          <w:p w:rsidR="00C26502" w:rsidRPr="008B3BC0" w:rsidRDefault="00C26502" w:rsidP="00C26502">
            <w:pPr>
              <w:suppressAutoHyphens/>
              <w:jc w:val="center"/>
              <w:rPr>
                <w:sz w:val="16"/>
                <w:szCs w:val="16"/>
                <w:lang w:eastAsia="ar-SA"/>
              </w:rPr>
            </w:pPr>
            <w:r w:rsidRPr="008B3BC0">
              <w:rPr>
                <w:i/>
                <w:sz w:val="16"/>
                <w:szCs w:val="16"/>
                <w:lang w:eastAsia="ar-SA"/>
              </w:rPr>
              <w:t>VFB</w:t>
            </w:r>
            <w:r w:rsidRPr="008B3BC0">
              <w:rPr>
                <w:i/>
                <w:sz w:val="16"/>
                <w:szCs w:val="16"/>
                <w:vertAlign w:val="subscript"/>
                <w:lang w:eastAsia="ar-SA"/>
              </w:rPr>
              <w:t>min89</w:t>
            </w:r>
          </w:p>
        </w:tc>
        <w:tc>
          <w:tcPr>
            <w:tcW w:w="992" w:type="dxa"/>
            <w:vAlign w:val="center"/>
          </w:tcPr>
          <w:p w:rsidR="00C26502" w:rsidRPr="008B3BC0" w:rsidRDefault="00C26502" w:rsidP="00C26502">
            <w:pPr>
              <w:suppressAutoHyphens/>
              <w:jc w:val="center"/>
              <w:rPr>
                <w:i/>
                <w:sz w:val="16"/>
                <w:szCs w:val="16"/>
                <w:vertAlign w:val="subscript"/>
                <w:lang w:eastAsia="ar-SA"/>
              </w:rPr>
            </w:pPr>
            <w:r w:rsidRPr="008B3BC0">
              <w:rPr>
                <w:i/>
                <w:sz w:val="16"/>
                <w:szCs w:val="16"/>
                <w:lang w:eastAsia="ar-SA"/>
              </w:rPr>
              <w:t>VFB</w:t>
            </w:r>
            <w:r w:rsidRPr="008B3BC0">
              <w:rPr>
                <w:i/>
                <w:sz w:val="16"/>
                <w:szCs w:val="16"/>
                <w:vertAlign w:val="subscript"/>
                <w:lang w:eastAsia="ar-SA"/>
              </w:rPr>
              <w:t>min75</w:t>
            </w:r>
          </w:p>
          <w:p w:rsidR="00C26502" w:rsidRPr="008B3BC0" w:rsidRDefault="00C26502" w:rsidP="00C26502">
            <w:pPr>
              <w:suppressAutoHyphens/>
              <w:jc w:val="center"/>
              <w:rPr>
                <w:sz w:val="16"/>
                <w:szCs w:val="16"/>
                <w:lang w:eastAsia="ar-SA"/>
              </w:rPr>
            </w:pPr>
            <w:r w:rsidRPr="008B3BC0">
              <w:rPr>
                <w:i/>
                <w:sz w:val="16"/>
                <w:szCs w:val="16"/>
                <w:lang w:eastAsia="ar-SA"/>
              </w:rPr>
              <w:t>VFB</w:t>
            </w:r>
            <w:r w:rsidRPr="008B3BC0">
              <w:rPr>
                <w:i/>
                <w:sz w:val="16"/>
                <w:szCs w:val="16"/>
                <w:vertAlign w:val="subscript"/>
                <w:lang w:eastAsia="ar-SA"/>
              </w:rPr>
              <w:t>min89</w:t>
            </w:r>
          </w:p>
        </w:tc>
      </w:tr>
      <w:tr w:rsidR="00C26502" w:rsidRPr="008B3BC0" w:rsidTr="00C26502">
        <w:trPr>
          <w:jc w:val="center"/>
        </w:trPr>
        <w:tc>
          <w:tcPr>
            <w:tcW w:w="1384" w:type="dxa"/>
          </w:tcPr>
          <w:p w:rsidR="00C26502" w:rsidRPr="008B3BC0" w:rsidRDefault="00C26502" w:rsidP="00C26502">
            <w:pPr>
              <w:suppressAutoHyphens/>
              <w:rPr>
                <w:sz w:val="18"/>
                <w:szCs w:val="18"/>
                <w:lang w:eastAsia="ar-SA"/>
              </w:rPr>
            </w:pPr>
            <w:r w:rsidRPr="008B3BC0">
              <w:rPr>
                <w:sz w:val="18"/>
                <w:szCs w:val="18"/>
                <w:lang w:eastAsia="ar-SA"/>
              </w:rPr>
              <w:t>Zawartość wolnych przestrzeni w mieszance mineralnej</w:t>
            </w:r>
          </w:p>
        </w:tc>
        <w:tc>
          <w:tcPr>
            <w:tcW w:w="1276" w:type="dxa"/>
            <w:vAlign w:val="center"/>
          </w:tcPr>
          <w:p w:rsidR="00C26502" w:rsidRPr="008B3BC0" w:rsidRDefault="00C26502" w:rsidP="00C26502">
            <w:pPr>
              <w:suppressAutoHyphens/>
              <w:rPr>
                <w:sz w:val="18"/>
                <w:szCs w:val="18"/>
                <w:lang w:eastAsia="ar-SA"/>
              </w:rPr>
            </w:pPr>
            <w:r w:rsidRPr="008B3BC0">
              <w:rPr>
                <w:sz w:val="18"/>
                <w:szCs w:val="18"/>
                <w:lang w:eastAsia="ar-SA"/>
              </w:rPr>
              <w:t>C.1.2,ubijanie, 2×50 uderzeń</w:t>
            </w:r>
          </w:p>
        </w:tc>
        <w:tc>
          <w:tcPr>
            <w:tcW w:w="1984" w:type="dxa"/>
            <w:vAlign w:val="center"/>
          </w:tcPr>
          <w:p w:rsidR="00C26502" w:rsidRPr="008B3BC0" w:rsidRDefault="00C26502" w:rsidP="00C26502">
            <w:pPr>
              <w:suppressAutoHyphens/>
              <w:spacing w:before="120"/>
              <w:jc w:val="center"/>
              <w:rPr>
                <w:sz w:val="18"/>
                <w:szCs w:val="18"/>
                <w:lang w:eastAsia="ar-SA"/>
              </w:rPr>
            </w:pPr>
            <w:r w:rsidRPr="008B3BC0">
              <w:rPr>
                <w:sz w:val="18"/>
                <w:szCs w:val="18"/>
                <w:lang w:eastAsia="ar-SA"/>
              </w:rPr>
              <w:t xml:space="preserve">PN-EN 12697-8 [33], </w:t>
            </w:r>
          </w:p>
          <w:p w:rsidR="00C26502" w:rsidRPr="008B3BC0" w:rsidRDefault="00C26502" w:rsidP="00C26502">
            <w:pPr>
              <w:suppressAutoHyphens/>
              <w:jc w:val="center"/>
              <w:rPr>
                <w:sz w:val="18"/>
                <w:szCs w:val="18"/>
                <w:lang w:eastAsia="ar-SA"/>
              </w:rPr>
            </w:pPr>
            <w:r w:rsidRPr="008B3BC0">
              <w:rPr>
                <w:sz w:val="18"/>
                <w:szCs w:val="18"/>
                <w:lang w:eastAsia="ar-SA"/>
              </w:rPr>
              <w:t>p. 5</w:t>
            </w:r>
          </w:p>
        </w:tc>
        <w:tc>
          <w:tcPr>
            <w:tcW w:w="1134" w:type="dxa"/>
            <w:shd w:val="clear" w:color="auto" w:fill="auto"/>
            <w:vAlign w:val="center"/>
          </w:tcPr>
          <w:p w:rsidR="00C26502" w:rsidRPr="008B3BC0" w:rsidRDefault="00C26502" w:rsidP="00C26502">
            <w:pPr>
              <w:suppressAutoHyphens/>
              <w:jc w:val="center"/>
              <w:rPr>
                <w:i/>
                <w:sz w:val="16"/>
                <w:szCs w:val="16"/>
                <w:vertAlign w:val="subscript"/>
                <w:lang w:eastAsia="ar-SA"/>
              </w:rPr>
            </w:pPr>
            <w:r w:rsidRPr="008B3BC0">
              <w:rPr>
                <w:i/>
                <w:sz w:val="16"/>
                <w:szCs w:val="16"/>
                <w:lang w:eastAsia="ar-SA"/>
              </w:rPr>
              <w:t>VMA</w:t>
            </w:r>
            <w:r w:rsidRPr="008B3BC0">
              <w:rPr>
                <w:i/>
                <w:sz w:val="16"/>
                <w:szCs w:val="16"/>
                <w:vertAlign w:val="subscript"/>
                <w:lang w:eastAsia="ar-SA"/>
              </w:rPr>
              <w:t>min16</w:t>
            </w:r>
          </w:p>
        </w:tc>
        <w:tc>
          <w:tcPr>
            <w:tcW w:w="993" w:type="dxa"/>
            <w:shd w:val="clear" w:color="auto" w:fill="auto"/>
            <w:vAlign w:val="center"/>
          </w:tcPr>
          <w:p w:rsidR="00C26502" w:rsidRPr="008B3BC0" w:rsidRDefault="00C26502" w:rsidP="00C26502">
            <w:pPr>
              <w:suppressAutoHyphens/>
              <w:jc w:val="center"/>
              <w:rPr>
                <w:i/>
                <w:sz w:val="16"/>
                <w:szCs w:val="16"/>
                <w:lang w:eastAsia="ar-SA"/>
              </w:rPr>
            </w:pPr>
            <w:r w:rsidRPr="008B3BC0">
              <w:rPr>
                <w:i/>
                <w:sz w:val="16"/>
                <w:szCs w:val="16"/>
                <w:lang w:eastAsia="ar-SA"/>
              </w:rPr>
              <w:t>VMA</w:t>
            </w:r>
            <w:r w:rsidRPr="008B3BC0">
              <w:rPr>
                <w:i/>
                <w:sz w:val="16"/>
                <w:szCs w:val="16"/>
                <w:vertAlign w:val="subscript"/>
                <w:lang w:eastAsia="ar-SA"/>
              </w:rPr>
              <w:t>min16</w:t>
            </w:r>
          </w:p>
        </w:tc>
        <w:tc>
          <w:tcPr>
            <w:tcW w:w="992" w:type="dxa"/>
            <w:vAlign w:val="center"/>
          </w:tcPr>
          <w:p w:rsidR="00C26502" w:rsidRPr="008B3BC0" w:rsidRDefault="00C26502" w:rsidP="00C26502">
            <w:pPr>
              <w:suppressAutoHyphens/>
              <w:jc w:val="center"/>
              <w:rPr>
                <w:i/>
                <w:sz w:val="16"/>
                <w:szCs w:val="16"/>
                <w:lang w:eastAsia="ar-SA"/>
              </w:rPr>
            </w:pPr>
            <w:r w:rsidRPr="008B3BC0">
              <w:rPr>
                <w:i/>
                <w:sz w:val="16"/>
                <w:szCs w:val="16"/>
                <w:lang w:eastAsia="ar-SA"/>
              </w:rPr>
              <w:t>VMA</w:t>
            </w:r>
            <w:r w:rsidRPr="008B3BC0">
              <w:rPr>
                <w:i/>
                <w:sz w:val="16"/>
                <w:szCs w:val="16"/>
                <w:vertAlign w:val="subscript"/>
                <w:lang w:eastAsia="ar-SA"/>
              </w:rPr>
              <w:t>min16</w:t>
            </w:r>
          </w:p>
        </w:tc>
      </w:tr>
      <w:tr w:rsidR="00C26502" w:rsidRPr="008B3BC0" w:rsidTr="00C26502">
        <w:trPr>
          <w:jc w:val="center"/>
        </w:trPr>
        <w:tc>
          <w:tcPr>
            <w:tcW w:w="1384" w:type="dxa"/>
            <w:vAlign w:val="center"/>
          </w:tcPr>
          <w:p w:rsidR="00C26502" w:rsidRPr="008B3BC0" w:rsidRDefault="00C26502" w:rsidP="00C26502">
            <w:pPr>
              <w:suppressAutoHyphens/>
              <w:rPr>
                <w:sz w:val="18"/>
                <w:szCs w:val="18"/>
                <w:lang w:eastAsia="ar-SA"/>
              </w:rPr>
            </w:pPr>
            <w:r w:rsidRPr="008B3BC0">
              <w:rPr>
                <w:sz w:val="18"/>
                <w:szCs w:val="18"/>
                <w:lang w:eastAsia="ar-SA"/>
              </w:rPr>
              <w:t>Odporność na działanie wody</w:t>
            </w:r>
          </w:p>
        </w:tc>
        <w:tc>
          <w:tcPr>
            <w:tcW w:w="1276" w:type="dxa"/>
            <w:vAlign w:val="center"/>
          </w:tcPr>
          <w:p w:rsidR="00C26502" w:rsidRPr="008B3BC0" w:rsidRDefault="00C26502" w:rsidP="00C26502">
            <w:pPr>
              <w:suppressAutoHyphens/>
              <w:rPr>
                <w:sz w:val="18"/>
                <w:szCs w:val="18"/>
                <w:lang w:eastAsia="ar-SA"/>
              </w:rPr>
            </w:pPr>
            <w:r w:rsidRPr="008B3BC0">
              <w:rPr>
                <w:sz w:val="18"/>
                <w:szCs w:val="18"/>
                <w:lang w:eastAsia="ar-SA"/>
              </w:rPr>
              <w:t>C.1.1,ubijanie, 2×25 uderzeń</w:t>
            </w:r>
          </w:p>
        </w:tc>
        <w:tc>
          <w:tcPr>
            <w:tcW w:w="1984" w:type="dxa"/>
            <w:vAlign w:val="center"/>
          </w:tcPr>
          <w:p w:rsidR="00C26502" w:rsidRPr="008B3BC0" w:rsidRDefault="00C26502" w:rsidP="00C26502">
            <w:pPr>
              <w:suppressAutoHyphens/>
              <w:jc w:val="center"/>
              <w:rPr>
                <w:sz w:val="18"/>
                <w:szCs w:val="18"/>
                <w:lang w:eastAsia="ar-SA"/>
              </w:rPr>
            </w:pPr>
            <w:r w:rsidRPr="008B3BC0">
              <w:rPr>
                <w:sz w:val="18"/>
                <w:szCs w:val="18"/>
                <w:lang w:eastAsia="ar-SA"/>
              </w:rPr>
              <w:t xml:space="preserve">PN-EN 12697-12 [35], przechowywanie w </w:t>
            </w:r>
            <w:smartTag w:uri="urn:schemas-microsoft-com:office:smarttags" w:element="metricconverter">
              <w:smartTagPr>
                <w:attr w:name="ProductID" w:val="40ﾰC"/>
              </w:smartTagPr>
              <w:r w:rsidRPr="008B3BC0">
                <w:rPr>
                  <w:sz w:val="18"/>
                  <w:szCs w:val="18"/>
                  <w:lang w:eastAsia="ar-SA"/>
                </w:rPr>
                <w:t>40°C</w:t>
              </w:r>
            </w:smartTag>
            <w:r w:rsidRPr="008B3BC0">
              <w:rPr>
                <w:sz w:val="18"/>
                <w:szCs w:val="18"/>
                <w:lang w:eastAsia="ar-SA"/>
              </w:rPr>
              <w:t xml:space="preserve"> z jednym cyklem zamrażania, </w:t>
            </w:r>
          </w:p>
          <w:p w:rsidR="00C26502" w:rsidRPr="008B3BC0" w:rsidRDefault="00C26502" w:rsidP="00C26502">
            <w:pPr>
              <w:suppressAutoHyphens/>
              <w:jc w:val="center"/>
              <w:rPr>
                <w:sz w:val="18"/>
                <w:szCs w:val="18"/>
                <w:lang w:eastAsia="ar-SA"/>
              </w:rPr>
            </w:pPr>
            <w:r w:rsidRPr="008B3BC0">
              <w:rPr>
                <w:sz w:val="18"/>
                <w:szCs w:val="18"/>
                <w:lang w:eastAsia="ar-SA"/>
              </w:rPr>
              <w:t xml:space="preserve">badanie w </w:t>
            </w:r>
            <w:smartTag w:uri="urn:schemas-microsoft-com:office:smarttags" w:element="metricconverter">
              <w:smartTagPr>
                <w:attr w:name="ProductID" w:val="15ﾰC"/>
              </w:smartTagPr>
              <w:r w:rsidRPr="008B3BC0">
                <w:rPr>
                  <w:sz w:val="18"/>
                  <w:szCs w:val="18"/>
                  <w:lang w:eastAsia="ar-SA"/>
                </w:rPr>
                <w:t>15°C</w:t>
              </w:r>
            </w:smartTag>
          </w:p>
        </w:tc>
        <w:tc>
          <w:tcPr>
            <w:tcW w:w="1134" w:type="dxa"/>
            <w:shd w:val="clear" w:color="auto" w:fill="auto"/>
            <w:vAlign w:val="center"/>
          </w:tcPr>
          <w:p w:rsidR="00C26502" w:rsidRPr="008B3BC0" w:rsidRDefault="00C26502" w:rsidP="00C26502">
            <w:pPr>
              <w:suppressAutoHyphens/>
              <w:spacing w:before="120"/>
              <w:jc w:val="center"/>
              <w:rPr>
                <w:sz w:val="18"/>
                <w:szCs w:val="18"/>
                <w:lang w:eastAsia="ar-SA"/>
              </w:rPr>
            </w:pPr>
            <w:r w:rsidRPr="008B3BC0">
              <w:rPr>
                <w:i/>
                <w:sz w:val="18"/>
                <w:szCs w:val="18"/>
                <w:lang w:eastAsia="ar-SA"/>
              </w:rPr>
              <w:t>ITSR</w:t>
            </w:r>
            <w:r w:rsidRPr="008B3BC0">
              <w:rPr>
                <w:sz w:val="18"/>
                <w:szCs w:val="18"/>
                <w:vertAlign w:val="subscript"/>
                <w:lang w:eastAsia="ar-SA"/>
              </w:rPr>
              <w:t>90</w:t>
            </w:r>
          </w:p>
        </w:tc>
        <w:tc>
          <w:tcPr>
            <w:tcW w:w="993" w:type="dxa"/>
            <w:shd w:val="clear" w:color="auto" w:fill="auto"/>
            <w:vAlign w:val="center"/>
          </w:tcPr>
          <w:p w:rsidR="00C26502" w:rsidRPr="008B3BC0" w:rsidRDefault="00C26502" w:rsidP="00C26502">
            <w:pPr>
              <w:suppressAutoHyphens/>
              <w:spacing w:before="120"/>
              <w:jc w:val="center"/>
              <w:rPr>
                <w:sz w:val="18"/>
                <w:szCs w:val="18"/>
                <w:lang w:eastAsia="ar-SA"/>
              </w:rPr>
            </w:pPr>
            <w:r w:rsidRPr="008B3BC0">
              <w:rPr>
                <w:i/>
                <w:sz w:val="18"/>
                <w:szCs w:val="18"/>
                <w:lang w:eastAsia="ar-SA"/>
              </w:rPr>
              <w:t>ITSR</w:t>
            </w:r>
            <w:r w:rsidRPr="008B3BC0">
              <w:rPr>
                <w:sz w:val="18"/>
                <w:szCs w:val="18"/>
                <w:vertAlign w:val="subscript"/>
                <w:lang w:eastAsia="ar-SA"/>
              </w:rPr>
              <w:t>90</w:t>
            </w:r>
          </w:p>
        </w:tc>
        <w:tc>
          <w:tcPr>
            <w:tcW w:w="992" w:type="dxa"/>
            <w:vAlign w:val="center"/>
          </w:tcPr>
          <w:p w:rsidR="00C26502" w:rsidRPr="008B3BC0" w:rsidRDefault="00C26502" w:rsidP="00C26502">
            <w:pPr>
              <w:suppressAutoHyphens/>
              <w:jc w:val="center"/>
              <w:rPr>
                <w:sz w:val="18"/>
                <w:szCs w:val="18"/>
                <w:lang w:eastAsia="ar-SA"/>
              </w:rPr>
            </w:pPr>
            <w:r w:rsidRPr="008B3BC0">
              <w:rPr>
                <w:i/>
                <w:sz w:val="18"/>
                <w:szCs w:val="18"/>
                <w:lang w:eastAsia="ar-SA"/>
              </w:rPr>
              <w:t>ITSR</w:t>
            </w:r>
            <w:r w:rsidRPr="008B3BC0">
              <w:rPr>
                <w:sz w:val="18"/>
                <w:szCs w:val="18"/>
                <w:vertAlign w:val="subscript"/>
                <w:lang w:eastAsia="ar-SA"/>
              </w:rPr>
              <w:t>90</w:t>
            </w:r>
          </w:p>
        </w:tc>
      </w:tr>
    </w:tbl>
    <w:p w:rsidR="00C26502" w:rsidRPr="008B3BC0" w:rsidRDefault="00C26502" w:rsidP="00C26502">
      <w:pPr>
        <w:suppressAutoHyphens/>
        <w:jc w:val="both"/>
        <w:rPr>
          <w:b/>
          <w:lang w:eastAsia="ar-SA"/>
        </w:rPr>
      </w:pPr>
      <w:r w:rsidRPr="008B3BC0">
        <w:rPr>
          <w:b/>
          <w:lang w:eastAsia="ar-SA"/>
        </w:rPr>
        <w:t>5.3. Wytwarzanie mieszanki mineralno-asfaltowej</w:t>
      </w:r>
    </w:p>
    <w:p w:rsidR="00C26502" w:rsidRPr="008B3BC0" w:rsidRDefault="00C26502" w:rsidP="00C26502">
      <w:pPr>
        <w:suppressAutoHyphens/>
        <w:jc w:val="both"/>
        <w:rPr>
          <w:lang w:eastAsia="ar-SA"/>
        </w:rPr>
      </w:pPr>
      <w:r w:rsidRPr="008B3BC0">
        <w:rPr>
          <w:lang w:eastAsia="ar-SA"/>
        </w:rPr>
        <w:tab/>
        <w:t>Mieszankę mineralno-asfaltową należy wytwarzać na gorąco w otaczarce (zespole maszyn i urządzeń dozowania, podgrzewania i mieszania składników oraz przechowywania gotowej mieszanki).</w:t>
      </w:r>
    </w:p>
    <w:p w:rsidR="00C26502" w:rsidRPr="008B3BC0" w:rsidRDefault="00C26502" w:rsidP="00C26502">
      <w:pPr>
        <w:suppressAutoHyphens/>
        <w:jc w:val="both"/>
        <w:rPr>
          <w:lang w:eastAsia="ar-SA"/>
        </w:rPr>
      </w:pPr>
      <w:r w:rsidRPr="008B3BC0">
        <w:rPr>
          <w:lang w:eastAsia="ar-SA"/>
        </w:rPr>
        <w:tab/>
        <w:t>Dozowanie składników mieszanki mineralno-asfaltowej w otaczarkach, w tym także wstępne, powinno być zautomatyzowane i zgodne z receptą roboczą, a urządzenia do dozowania składników oraz pomiaru temperatury powinny być okresowo sprawdzane. Kruszywo o różnym uziarnieniu lub pochodzeniu należy dodawać odmierzone oddzielnie.</w:t>
      </w:r>
    </w:p>
    <w:p w:rsidR="00C26502" w:rsidRPr="008B3BC0" w:rsidRDefault="00C26502" w:rsidP="00C26502">
      <w:pPr>
        <w:suppressAutoHyphens/>
        <w:jc w:val="both"/>
        <w:rPr>
          <w:lang w:eastAsia="ar-SA"/>
        </w:rPr>
      </w:pPr>
      <w:r w:rsidRPr="008B3BC0">
        <w:rPr>
          <w:lang w:eastAsia="ar-SA"/>
        </w:rPr>
        <w:tab/>
        <w:t xml:space="preserve">Lepiszcze asfaltowe należy przechowywać w zbiorniku z pośrednim systemem ogrzewania, z układem termostatowania zapewniającym utrzymanie żądanej temperatury z dokładnością ± </w:t>
      </w:r>
      <w:smartTag w:uri="urn:schemas-microsoft-com:office:smarttags" w:element="metricconverter">
        <w:smartTagPr>
          <w:attr w:name="ProductID" w:val="5ﾰC"/>
        </w:smartTagPr>
        <w:r w:rsidRPr="008B3BC0">
          <w:rPr>
            <w:lang w:eastAsia="ar-SA"/>
          </w:rPr>
          <w:t>5°C</w:t>
        </w:r>
      </w:smartTag>
      <w:r w:rsidRPr="008B3BC0">
        <w:rPr>
          <w:lang w:eastAsia="ar-SA"/>
        </w:rPr>
        <w:t xml:space="preserve">. Temperatura lepiszcza asfaltowego w zbiorniku magazynowym (roboczym) nie może przekraczać </w:t>
      </w:r>
      <w:smartTag w:uri="urn:schemas-microsoft-com:office:smarttags" w:element="metricconverter">
        <w:smartTagPr>
          <w:attr w:name="ProductID" w:val="180ﾰC"/>
        </w:smartTagPr>
        <w:r w:rsidRPr="008B3BC0">
          <w:rPr>
            <w:lang w:eastAsia="ar-SA"/>
          </w:rPr>
          <w:t>180°C</w:t>
        </w:r>
      </w:smartTag>
      <w:r w:rsidRPr="008B3BC0">
        <w:rPr>
          <w:lang w:eastAsia="ar-SA"/>
        </w:rPr>
        <w:t xml:space="preserve"> dla asfaltu drogowego 50/70 i 70/100 i polimeroasfaltu drogowego 45/80-55 i 45/80-65.</w:t>
      </w:r>
      <w:r w:rsidRPr="008B3BC0">
        <w:rPr>
          <w:lang w:eastAsia="ar-SA"/>
        </w:rPr>
        <w:tab/>
      </w:r>
    </w:p>
    <w:p w:rsidR="00C26502" w:rsidRPr="008B3BC0" w:rsidRDefault="00C26502" w:rsidP="00C26502">
      <w:pPr>
        <w:suppressAutoHyphens/>
        <w:ind w:firstLine="708"/>
        <w:jc w:val="both"/>
        <w:rPr>
          <w:lang w:eastAsia="ar-SA"/>
        </w:rPr>
      </w:pPr>
      <w:r w:rsidRPr="008B3BC0">
        <w:rPr>
          <w:lang w:eastAsia="ar-SA"/>
        </w:rPr>
        <w:t>Kruszywo (ewentualnie z wypełniaczem) powinno być wysuszone i podgrzane tak, aby mieszanka mineralna uzyskała temperaturę właściwą do otoczenia lepiszczem asfaltowym. Temperatura mieszanki mineralnej nie powinna być wyższa o więcej niż 30</w:t>
      </w:r>
      <w:r w:rsidRPr="008B3BC0">
        <w:rPr>
          <w:vertAlign w:val="superscript"/>
          <w:lang w:eastAsia="ar-SA"/>
        </w:rPr>
        <w:t>o</w:t>
      </w:r>
      <w:r w:rsidRPr="008B3BC0">
        <w:rPr>
          <w:lang w:eastAsia="ar-SA"/>
        </w:rPr>
        <w:t>C od najwyższej temperatury mieszanki mineralno-asfaltowej podanej w tablicy 8. W tej tablicy najniższa temperatura dotyczy mieszanki mineralno-asfaltowej dostarczonej na miejsce wbudowania, a najwyższa temperatura dotyczy mieszanki mineralno-asfaltowej bezpośrednio po wytworzeniu w wytwórni.</w:t>
      </w:r>
    </w:p>
    <w:p w:rsidR="00C26502" w:rsidRPr="008B3BC0" w:rsidRDefault="00C26502" w:rsidP="00C26502">
      <w:pPr>
        <w:suppressAutoHyphens/>
        <w:jc w:val="center"/>
        <w:rPr>
          <w:lang w:eastAsia="ar-SA"/>
        </w:rPr>
      </w:pPr>
      <w:r w:rsidRPr="008B3BC0">
        <w:rPr>
          <w:lang w:eastAsia="ar-SA"/>
        </w:rPr>
        <w:t>Tablica 8. Najwyższa i najniższa temperatura mieszanki AC [65]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1"/>
        <w:gridCol w:w="2590"/>
      </w:tblGrid>
      <w:tr w:rsidR="00C26502" w:rsidRPr="008B3BC0" w:rsidTr="00C26502">
        <w:trPr>
          <w:jc w:val="center"/>
        </w:trPr>
        <w:tc>
          <w:tcPr>
            <w:tcW w:w="2371" w:type="dxa"/>
          </w:tcPr>
          <w:p w:rsidR="00C26502" w:rsidRPr="008B3BC0" w:rsidRDefault="00C26502" w:rsidP="00C26502">
            <w:pPr>
              <w:suppressAutoHyphens/>
              <w:spacing w:before="60" w:after="60"/>
              <w:jc w:val="center"/>
              <w:rPr>
                <w:lang w:eastAsia="ar-SA"/>
              </w:rPr>
            </w:pPr>
            <w:r w:rsidRPr="008B3BC0">
              <w:rPr>
                <w:lang w:eastAsia="ar-SA"/>
              </w:rPr>
              <w:t>Lepiszcze asfaltowe</w:t>
            </w:r>
          </w:p>
        </w:tc>
        <w:tc>
          <w:tcPr>
            <w:tcW w:w="2590" w:type="dxa"/>
          </w:tcPr>
          <w:p w:rsidR="00C26502" w:rsidRPr="008B3BC0" w:rsidRDefault="00C26502" w:rsidP="00C26502">
            <w:pPr>
              <w:suppressAutoHyphens/>
              <w:spacing w:before="60" w:after="60"/>
              <w:jc w:val="center"/>
              <w:rPr>
                <w:lang w:eastAsia="ar-SA"/>
              </w:rPr>
            </w:pPr>
            <w:r w:rsidRPr="008B3BC0">
              <w:rPr>
                <w:lang w:eastAsia="ar-SA"/>
              </w:rPr>
              <w:t>Temperatura mieszanki [°C]</w:t>
            </w:r>
          </w:p>
        </w:tc>
      </w:tr>
      <w:tr w:rsidR="00C26502" w:rsidRPr="008B3BC0" w:rsidTr="00C26502">
        <w:trPr>
          <w:jc w:val="center"/>
        </w:trPr>
        <w:tc>
          <w:tcPr>
            <w:tcW w:w="2371" w:type="dxa"/>
          </w:tcPr>
          <w:p w:rsidR="00C26502" w:rsidRPr="008B3BC0" w:rsidRDefault="00C26502" w:rsidP="00C26502">
            <w:pPr>
              <w:suppressAutoHyphens/>
              <w:spacing w:before="60"/>
              <w:rPr>
                <w:lang w:val="en-US" w:eastAsia="ar-SA"/>
              </w:rPr>
            </w:pPr>
            <w:r w:rsidRPr="008B3BC0">
              <w:rPr>
                <w:lang w:val="en-US" w:eastAsia="ar-SA"/>
              </w:rPr>
              <w:t>Asfalt 50/70</w:t>
            </w:r>
          </w:p>
          <w:p w:rsidR="00C26502" w:rsidRPr="008B3BC0" w:rsidRDefault="00C26502" w:rsidP="00C26502">
            <w:pPr>
              <w:suppressAutoHyphens/>
              <w:spacing w:before="60"/>
              <w:rPr>
                <w:lang w:val="en-US" w:eastAsia="ar-SA"/>
              </w:rPr>
            </w:pPr>
            <w:r w:rsidRPr="008B3BC0">
              <w:rPr>
                <w:lang w:val="en-US" w:eastAsia="ar-SA"/>
              </w:rPr>
              <w:t>Asfalt 70/100</w:t>
            </w:r>
          </w:p>
          <w:p w:rsidR="00C26502" w:rsidRPr="008B3BC0" w:rsidRDefault="00C26502" w:rsidP="00C26502">
            <w:pPr>
              <w:suppressAutoHyphens/>
              <w:spacing w:before="60"/>
              <w:rPr>
                <w:lang w:val="en-US" w:eastAsia="ar-SA"/>
              </w:rPr>
            </w:pPr>
            <w:r w:rsidRPr="008B3BC0">
              <w:rPr>
                <w:lang w:val="en-US" w:eastAsia="ar-SA"/>
              </w:rPr>
              <w:t>PMB 45/80-55</w:t>
            </w:r>
          </w:p>
          <w:p w:rsidR="00C26502" w:rsidRPr="008B3BC0" w:rsidRDefault="00C26502" w:rsidP="00C26502">
            <w:pPr>
              <w:suppressAutoHyphens/>
              <w:spacing w:before="60"/>
              <w:rPr>
                <w:lang w:val="en-US" w:eastAsia="ar-SA"/>
              </w:rPr>
            </w:pPr>
            <w:r w:rsidRPr="008B3BC0">
              <w:rPr>
                <w:lang w:val="en-US" w:eastAsia="ar-SA"/>
              </w:rPr>
              <w:t>PMB 45/80-65</w:t>
            </w:r>
          </w:p>
        </w:tc>
        <w:tc>
          <w:tcPr>
            <w:tcW w:w="2590" w:type="dxa"/>
          </w:tcPr>
          <w:p w:rsidR="00C26502" w:rsidRPr="008B3BC0" w:rsidRDefault="00C26502" w:rsidP="00C26502">
            <w:pPr>
              <w:suppressAutoHyphens/>
              <w:spacing w:before="60"/>
              <w:jc w:val="center"/>
              <w:rPr>
                <w:lang w:eastAsia="ar-SA"/>
              </w:rPr>
            </w:pPr>
            <w:r w:rsidRPr="008B3BC0">
              <w:rPr>
                <w:lang w:eastAsia="ar-SA"/>
              </w:rPr>
              <w:t>od 140 do 180</w:t>
            </w:r>
          </w:p>
          <w:p w:rsidR="00C26502" w:rsidRPr="008B3BC0" w:rsidRDefault="00C26502" w:rsidP="00C26502">
            <w:pPr>
              <w:suppressAutoHyphens/>
              <w:spacing w:before="60"/>
              <w:jc w:val="center"/>
              <w:rPr>
                <w:lang w:eastAsia="ar-SA"/>
              </w:rPr>
            </w:pPr>
            <w:r w:rsidRPr="008B3BC0">
              <w:rPr>
                <w:lang w:eastAsia="ar-SA"/>
              </w:rPr>
              <w:t>od 140 do 180</w:t>
            </w:r>
          </w:p>
          <w:p w:rsidR="00C26502" w:rsidRPr="008B3BC0" w:rsidRDefault="00C26502" w:rsidP="00C26502">
            <w:pPr>
              <w:suppressAutoHyphens/>
              <w:spacing w:before="60"/>
              <w:jc w:val="center"/>
              <w:rPr>
                <w:lang w:eastAsia="ar-SA"/>
              </w:rPr>
            </w:pPr>
            <w:r w:rsidRPr="008B3BC0">
              <w:rPr>
                <w:lang w:eastAsia="ar-SA"/>
              </w:rPr>
              <w:t>od 130 do 180</w:t>
            </w:r>
          </w:p>
          <w:p w:rsidR="00C26502" w:rsidRPr="008B3BC0" w:rsidRDefault="00C26502" w:rsidP="00C26502">
            <w:pPr>
              <w:suppressAutoHyphens/>
              <w:spacing w:before="60"/>
              <w:jc w:val="center"/>
              <w:rPr>
                <w:lang w:eastAsia="ar-SA"/>
              </w:rPr>
            </w:pPr>
            <w:r w:rsidRPr="008B3BC0">
              <w:rPr>
                <w:lang w:eastAsia="ar-SA"/>
              </w:rPr>
              <w:t>od 130 do 180</w:t>
            </w:r>
          </w:p>
        </w:tc>
      </w:tr>
    </w:tbl>
    <w:p w:rsidR="00C26502" w:rsidRPr="008B3BC0" w:rsidRDefault="00C26502" w:rsidP="00C26502">
      <w:pPr>
        <w:suppressAutoHyphens/>
        <w:jc w:val="both"/>
        <w:rPr>
          <w:lang w:eastAsia="ar-SA"/>
        </w:rPr>
      </w:pPr>
      <w:r w:rsidRPr="008B3BC0">
        <w:rPr>
          <w:lang w:eastAsia="ar-SA"/>
        </w:rPr>
        <w:tab/>
        <w:t>Sposób i czas mieszania składników mieszanki mineralno-asfaltowej powinny zapewnić równomierne otoczenie kruszywa lepiszczem asfaltowym.</w:t>
      </w:r>
    </w:p>
    <w:p w:rsidR="00C26502" w:rsidRPr="008B3BC0" w:rsidRDefault="00C26502" w:rsidP="00C26502">
      <w:pPr>
        <w:suppressAutoHyphens/>
        <w:jc w:val="both"/>
        <w:rPr>
          <w:lang w:eastAsia="ar-SA"/>
        </w:rPr>
      </w:pPr>
      <w:r w:rsidRPr="008B3BC0">
        <w:rPr>
          <w:lang w:eastAsia="ar-SA"/>
        </w:rPr>
        <w:tab/>
        <w:t>Dopuszcza się dostawy mieszanek mineralno-asfaltowych z kilku wytwórni, pod warunkiem skoordynowania między sobą deklarowanych przydatności mieszanek (m.in.: typ, rodzaj składników, właściwości objętościowe) z zachowaniem braku różnic w ich właściwościach.</w:t>
      </w:r>
    </w:p>
    <w:p w:rsidR="00C26502" w:rsidRPr="008B3BC0" w:rsidRDefault="00C26502" w:rsidP="00C26502">
      <w:pPr>
        <w:suppressAutoHyphens/>
        <w:jc w:val="both"/>
        <w:rPr>
          <w:b/>
          <w:lang w:eastAsia="ar-SA"/>
        </w:rPr>
      </w:pPr>
      <w:r w:rsidRPr="008B3BC0">
        <w:rPr>
          <w:b/>
          <w:lang w:eastAsia="ar-SA"/>
        </w:rPr>
        <w:t>5.4. Przygotowanie podłoża</w:t>
      </w:r>
    </w:p>
    <w:p w:rsidR="00C26502" w:rsidRPr="008B3BC0" w:rsidRDefault="00C26502" w:rsidP="00C26502">
      <w:pPr>
        <w:suppressAutoHyphens/>
        <w:rPr>
          <w:lang w:eastAsia="ar-SA"/>
        </w:rPr>
      </w:pPr>
      <w:r w:rsidRPr="008B3BC0">
        <w:rPr>
          <w:lang w:eastAsia="ar-SA"/>
        </w:rPr>
        <w:tab/>
        <w:t>Podłoże (warstwa wyrównawcza, warstwa wiążąca lub stara warstwa ścieralna) pod warstwę ścieralną z betonu asfaltowego powinno być na całej powierzchni:</w:t>
      </w:r>
    </w:p>
    <w:p w:rsidR="00C26502" w:rsidRPr="008B3BC0" w:rsidRDefault="00C26502" w:rsidP="0097494B">
      <w:pPr>
        <w:numPr>
          <w:ilvl w:val="0"/>
          <w:numId w:val="74"/>
        </w:numPr>
        <w:suppressAutoHyphens/>
        <w:overflowPunct w:val="0"/>
        <w:autoSpaceDE w:val="0"/>
        <w:autoSpaceDN w:val="0"/>
        <w:adjustRightInd w:val="0"/>
        <w:jc w:val="both"/>
        <w:textAlignment w:val="baseline"/>
        <w:rPr>
          <w:lang w:eastAsia="ar-SA"/>
        </w:rPr>
      </w:pPr>
      <w:r w:rsidRPr="008B3BC0">
        <w:rPr>
          <w:lang w:eastAsia="ar-SA"/>
        </w:rPr>
        <w:t>ustabilizowane i nośne,</w:t>
      </w:r>
    </w:p>
    <w:p w:rsidR="00C26502" w:rsidRPr="008B3BC0" w:rsidRDefault="00C26502" w:rsidP="0097494B">
      <w:pPr>
        <w:numPr>
          <w:ilvl w:val="0"/>
          <w:numId w:val="74"/>
        </w:numPr>
        <w:suppressAutoHyphens/>
        <w:overflowPunct w:val="0"/>
        <w:autoSpaceDE w:val="0"/>
        <w:autoSpaceDN w:val="0"/>
        <w:adjustRightInd w:val="0"/>
        <w:jc w:val="both"/>
        <w:textAlignment w:val="baseline"/>
        <w:rPr>
          <w:lang w:eastAsia="ar-SA"/>
        </w:rPr>
      </w:pPr>
      <w:r w:rsidRPr="008B3BC0">
        <w:rPr>
          <w:lang w:eastAsia="ar-SA"/>
        </w:rPr>
        <w:t>czyste, bez zanieczyszczenia lub pozostałości luźnego kruszywa,</w:t>
      </w:r>
    </w:p>
    <w:p w:rsidR="00C26502" w:rsidRPr="008B3BC0" w:rsidRDefault="00C26502" w:rsidP="0097494B">
      <w:pPr>
        <w:numPr>
          <w:ilvl w:val="0"/>
          <w:numId w:val="74"/>
        </w:numPr>
        <w:suppressAutoHyphens/>
        <w:overflowPunct w:val="0"/>
        <w:autoSpaceDE w:val="0"/>
        <w:autoSpaceDN w:val="0"/>
        <w:adjustRightInd w:val="0"/>
        <w:jc w:val="both"/>
        <w:textAlignment w:val="baseline"/>
        <w:rPr>
          <w:lang w:eastAsia="ar-SA"/>
        </w:rPr>
      </w:pPr>
      <w:r w:rsidRPr="008B3BC0">
        <w:rPr>
          <w:lang w:eastAsia="ar-SA"/>
        </w:rPr>
        <w:t>wyprofilowane, równe i bez kolein.</w:t>
      </w:r>
    </w:p>
    <w:p w:rsidR="00C26502" w:rsidRPr="008B3BC0" w:rsidRDefault="00C26502" w:rsidP="00C26502">
      <w:pPr>
        <w:suppressAutoHyphens/>
        <w:ind w:firstLine="709"/>
        <w:rPr>
          <w:lang w:eastAsia="ar-SA"/>
        </w:rPr>
      </w:pPr>
      <w:r w:rsidRPr="008B3BC0">
        <w:rPr>
          <w:lang w:eastAsia="ar-SA"/>
        </w:rPr>
        <w:t>W wypadku podłoża z nowo wykonanej warstwy asfaltowej, do oceny nierówności należy przyjąć dane z pomiaru równości tej warstwy, zgodnie z WT-2 Nawierzchnie asfaltowe 2010.</w:t>
      </w:r>
    </w:p>
    <w:p w:rsidR="00C26502" w:rsidRPr="008B3BC0" w:rsidRDefault="00C26502" w:rsidP="00C26502">
      <w:pPr>
        <w:suppressAutoHyphens/>
        <w:ind w:firstLine="709"/>
        <w:rPr>
          <w:lang w:eastAsia="ar-SA"/>
        </w:rPr>
      </w:pPr>
      <w:r w:rsidRPr="008B3BC0">
        <w:rPr>
          <w:lang w:eastAsia="ar-SA"/>
        </w:rPr>
        <w:t>Wymagana równość podłużna jest określona w rozporządzeniu dotyczącym warunków technicznych, jakim powinny odpowiadać drogi publiczne [67]. W wypadku podłoża z warstwy starej nawierzchni, nierówności nie powinny przekraczać wartości podanych w tablicy 9.</w:t>
      </w:r>
    </w:p>
    <w:p w:rsidR="00C26502" w:rsidRPr="008B3BC0" w:rsidRDefault="00C26502" w:rsidP="00C26502">
      <w:pPr>
        <w:suppressAutoHyphens/>
        <w:spacing w:after="120"/>
        <w:ind w:left="992" w:hanging="992"/>
        <w:rPr>
          <w:lang w:eastAsia="ar-SA"/>
        </w:rPr>
      </w:pPr>
      <w:r w:rsidRPr="008B3BC0">
        <w:rPr>
          <w:lang w:eastAsia="ar-SA"/>
        </w:rPr>
        <w:t>Tablica 9. Maksymalne nierówności podłoża z warstwy starej nawierzchni pod warstwy asfaltowe (pomiar łatą 4-metrową lub równoważną metodą) [65]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3969"/>
        <w:gridCol w:w="2300"/>
      </w:tblGrid>
      <w:tr w:rsidR="00C26502" w:rsidRPr="008B3BC0" w:rsidTr="00C26502">
        <w:trPr>
          <w:jc w:val="center"/>
        </w:trPr>
        <w:tc>
          <w:tcPr>
            <w:tcW w:w="1242" w:type="dxa"/>
          </w:tcPr>
          <w:p w:rsidR="00C26502" w:rsidRPr="008B3BC0" w:rsidRDefault="00C26502" w:rsidP="00C26502">
            <w:pPr>
              <w:suppressAutoHyphens/>
              <w:jc w:val="center"/>
              <w:rPr>
                <w:lang w:eastAsia="ar-SA"/>
              </w:rPr>
            </w:pPr>
          </w:p>
          <w:p w:rsidR="00C26502" w:rsidRPr="008B3BC0" w:rsidRDefault="00C26502" w:rsidP="00C26502">
            <w:pPr>
              <w:suppressAutoHyphens/>
              <w:jc w:val="center"/>
              <w:rPr>
                <w:lang w:eastAsia="ar-SA"/>
              </w:rPr>
            </w:pPr>
            <w:r w:rsidRPr="008B3BC0">
              <w:rPr>
                <w:lang w:eastAsia="ar-SA"/>
              </w:rPr>
              <w:t>Klasa drogi</w:t>
            </w:r>
          </w:p>
        </w:tc>
        <w:tc>
          <w:tcPr>
            <w:tcW w:w="3969" w:type="dxa"/>
          </w:tcPr>
          <w:p w:rsidR="00C26502" w:rsidRPr="008B3BC0" w:rsidRDefault="00C26502" w:rsidP="00C26502">
            <w:pPr>
              <w:suppressAutoHyphens/>
              <w:jc w:val="center"/>
              <w:rPr>
                <w:lang w:eastAsia="ar-SA"/>
              </w:rPr>
            </w:pPr>
          </w:p>
          <w:p w:rsidR="00C26502" w:rsidRPr="008B3BC0" w:rsidRDefault="00C26502" w:rsidP="00C26502">
            <w:pPr>
              <w:suppressAutoHyphens/>
              <w:jc w:val="center"/>
              <w:rPr>
                <w:lang w:eastAsia="ar-SA"/>
              </w:rPr>
            </w:pPr>
            <w:r w:rsidRPr="008B3BC0">
              <w:rPr>
                <w:lang w:eastAsia="ar-SA"/>
              </w:rPr>
              <w:t>Element nawierzchni</w:t>
            </w:r>
          </w:p>
        </w:tc>
        <w:tc>
          <w:tcPr>
            <w:tcW w:w="2300" w:type="dxa"/>
          </w:tcPr>
          <w:p w:rsidR="00C26502" w:rsidRPr="008B3BC0" w:rsidRDefault="00C26502" w:rsidP="00C26502">
            <w:pPr>
              <w:suppressAutoHyphens/>
              <w:jc w:val="center"/>
              <w:rPr>
                <w:lang w:eastAsia="ar-SA"/>
              </w:rPr>
            </w:pPr>
            <w:r w:rsidRPr="008B3BC0">
              <w:rPr>
                <w:lang w:eastAsia="ar-SA"/>
              </w:rPr>
              <w:t>Maksymalna nierówność podłoża pod warstwę ścieralną [mm]</w:t>
            </w:r>
          </w:p>
        </w:tc>
      </w:tr>
      <w:tr w:rsidR="00C26502" w:rsidRPr="008B3BC0" w:rsidTr="00C26502">
        <w:trPr>
          <w:jc w:val="center"/>
        </w:trPr>
        <w:tc>
          <w:tcPr>
            <w:tcW w:w="1242" w:type="dxa"/>
          </w:tcPr>
          <w:p w:rsidR="00C26502" w:rsidRPr="008B3BC0" w:rsidRDefault="00C26502" w:rsidP="00C26502">
            <w:pPr>
              <w:suppressAutoHyphens/>
              <w:spacing w:before="60" w:after="60"/>
              <w:jc w:val="center"/>
              <w:rPr>
                <w:lang w:eastAsia="ar-SA"/>
              </w:rPr>
            </w:pPr>
            <w:r>
              <w:rPr>
                <w:lang w:eastAsia="ar-SA"/>
              </w:rPr>
              <w:t>Z-G</w:t>
            </w:r>
          </w:p>
        </w:tc>
        <w:tc>
          <w:tcPr>
            <w:tcW w:w="3969" w:type="dxa"/>
          </w:tcPr>
          <w:p w:rsidR="00C26502" w:rsidRPr="008B3BC0" w:rsidRDefault="00C26502" w:rsidP="00C26502">
            <w:pPr>
              <w:suppressAutoHyphens/>
              <w:spacing w:before="60" w:after="60"/>
              <w:rPr>
                <w:lang w:eastAsia="ar-SA"/>
              </w:rPr>
            </w:pPr>
            <w:r w:rsidRPr="008B3BC0">
              <w:rPr>
                <w:lang w:eastAsia="ar-SA"/>
              </w:rPr>
              <w:t>Pasy ruchu</w:t>
            </w:r>
          </w:p>
        </w:tc>
        <w:tc>
          <w:tcPr>
            <w:tcW w:w="2300" w:type="dxa"/>
          </w:tcPr>
          <w:p w:rsidR="00C26502" w:rsidRPr="008B3BC0" w:rsidRDefault="00C26502" w:rsidP="00C26502">
            <w:pPr>
              <w:suppressAutoHyphens/>
              <w:spacing w:before="60" w:after="60"/>
              <w:jc w:val="center"/>
              <w:rPr>
                <w:lang w:eastAsia="ar-SA"/>
              </w:rPr>
            </w:pPr>
            <w:r w:rsidRPr="008B3BC0">
              <w:rPr>
                <w:lang w:eastAsia="ar-SA"/>
              </w:rPr>
              <w:t>9</w:t>
            </w:r>
          </w:p>
        </w:tc>
      </w:tr>
    </w:tbl>
    <w:p w:rsidR="00C26502" w:rsidRPr="008B3BC0" w:rsidRDefault="00C26502" w:rsidP="00C26502">
      <w:pPr>
        <w:suppressAutoHyphens/>
        <w:jc w:val="both"/>
        <w:rPr>
          <w:lang w:eastAsia="ar-SA"/>
        </w:rPr>
      </w:pPr>
      <w:r w:rsidRPr="008B3BC0">
        <w:rPr>
          <w:lang w:eastAsia="ar-SA"/>
        </w:rPr>
        <w:tab/>
        <w:t>Jeżeli nierówności  są większe niż dopuszczalne, to należy wyrównać podłoże.</w:t>
      </w:r>
    </w:p>
    <w:p w:rsidR="00C26502" w:rsidRPr="008B3BC0" w:rsidRDefault="00C26502" w:rsidP="00C26502">
      <w:pPr>
        <w:suppressAutoHyphens/>
        <w:jc w:val="both"/>
        <w:rPr>
          <w:lang w:eastAsia="ar-SA"/>
        </w:rPr>
      </w:pPr>
      <w:r w:rsidRPr="008B3BC0">
        <w:rPr>
          <w:lang w:eastAsia="ar-SA"/>
        </w:rPr>
        <w:tab/>
        <w:t>Rzędne wysokościowe podłoża oraz urządzeń usytuowanych w nawierzchni lub ją ograniczających powinny być zgodne z dokumentacją projektową. Z podłoża powinien być zapewniony odpływ wody.</w:t>
      </w:r>
    </w:p>
    <w:p w:rsidR="00C26502" w:rsidRPr="008B3BC0" w:rsidRDefault="00C26502" w:rsidP="00C26502">
      <w:pPr>
        <w:suppressAutoHyphens/>
        <w:jc w:val="both"/>
        <w:rPr>
          <w:lang w:eastAsia="ar-SA"/>
        </w:rPr>
      </w:pPr>
      <w:r w:rsidRPr="008B3BC0">
        <w:rPr>
          <w:lang w:eastAsia="ar-SA"/>
        </w:rPr>
        <w:tab/>
        <w:t>Oznakowanie poziome na warstwie podłoża należy usunąć. Dopuszcza się pozostawienie oznakowania poziomego z materiałów termoplastycznych przy spełnieniu warunku sczepności warstw wg punktu 5.7.</w:t>
      </w:r>
    </w:p>
    <w:p w:rsidR="00C26502" w:rsidRPr="008B3BC0" w:rsidRDefault="00C26502" w:rsidP="00C26502">
      <w:pPr>
        <w:suppressAutoHyphens/>
        <w:jc w:val="both"/>
        <w:rPr>
          <w:lang w:eastAsia="ar-SA"/>
        </w:rPr>
      </w:pPr>
      <w:r w:rsidRPr="008B3BC0">
        <w:rPr>
          <w:lang w:eastAsia="ar-SA"/>
        </w:rPr>
        <w:tab/>
        <w:t>Nierówności podłoża (w tym powierzchnię istniejącej warstwy ścieralnej) należy wyrównać poprzez frezowanie lub wykonanie warstwy wyrównawczej.</w:t>
      </w:r>
    </w:p>
    <w:p w:rsidR="00C26502" w:rsidRPr="008B3BC0" w:rsidRDefault="00C26502" w:rsidP="00C26502">
      <w:pPr>
        <w:suppressAutoHyphens/>
        <w:jc w:val="both"/>
        <w:rPr>
          <w:lang w:eastAsia="ar-SA"/>
        </w:rPr>
      </w:pPr>
      <w:r w:rsidRPr="008B3BC0">
        <w:rPr>
          <w:lang w:eastAsia="ar-SA"/>
        </w:rPr>
        <w:tab/>
        <w:t>Wykonane w podłożu łaty z materiału o mniejszej sztywności (np. łaty z asfaltu lanego w betonie asfaltowym) należy usunąć, a powstałe w ten sposób ubytki wypełnić materiałem o właściwościach zbliżonych do materiału podstawowego (np. wypełnić betonem asfaltowym).</w:t>
      </w:r>
    </w:p>
    <w:p w:rsidR="00C26502" w:rsidRPr="008B3BC0" w:rsidRDefault="00C26502" w:rsidP="00C26502">
      <w:pPr>
        <w:suppressAutoHyphens/>
        <w:jc w:val="both"/>
        <w:rPr>
          <w:lang w:eastAsia="ar-SA"/>
        </w:rPr>
      </w:pPr>
      <w:r w:rsidRPr="008B3BC0">
        <w:rPr>
          <w:lang w:eastAsia="ar-SA"/>
        </w:rPr>
        <w:tab/>
        <w:t>W celu polepszenia połączenia między warstwami technologicznymi nawierzchni powierzchnia podłoża powinna być w ocenie wizualnej chropowata.</w:t>
      </w:r>
    </w:p>
    <w:p w:rsidR="00C26502" w:rsidRPr="008B3BC0" w:rsidRDefault="00C26502" w:rsidP="00C26502">
      <w:pPr>
        <w:suppressAutoHyphens/>
        <w:jc w:val="both"/>
        <w:rPr>
          <w:lang w:eastAsia="ar-SA"/>
        </w:rPr>
      </w:pPr>
      <w:r w:rsidRPr="008B3BC0">
        <w:rPr>
          <w:lang w:eastAsia="ar-SA"/>
        </w:rPr>
        <w:tab/>
        <w:t>Jeżeli podłoże jest nieodpowiednie, to należy ustalić, jakie specjalne środki należy podjąć przed wykonaniem warstwy asfaltowej.</w:t>
      </w:r>
    </w:p>
    <w:p w:rsidR="00C26502" w:rsidRPr="008B3BC0" w:rsidRDefault="00C26502" w:rsidP="00C26502">
      <w:pPr>
        <w:suppressAutoHyphens/>
        <w:jc w:val="both"/>
        <w:rPr>
          <w:lang w:eastAsia="ar-SA"/>
        </w:rPr>
      </w:pPr>
      <w:r w:rsidRPr="008B3BC0">
        <w:rPr>
          <w:lang w:eastAsia="ar-SA"/>
        </w:rPr>
        <w:tab/>
        <w:t>Szerokie szczeliny w podłożu należy wypełnić odpowiednim materiałem, np. zalewami drogowymi według PN-EN 14188-1 [60] lub PN-EN 14188-2 [61] albo innymi materiałami według norm lub aprobat technicznych.</w:t>
      </w:r>
    </w:p>
    <w:p w:rsidR="00C26502" w:rsidRPr="008B3BC0" w:rsidRDefault="00C26502" w:rsidP="00C26502">
      <w:pPr>
        <w:suppressAutoHyphens/>
        <w:jc w:val="both"/>
        <w:rPr>
          <w:lang w:eastAsia="ar-SA"/>
        </w:rPr>
      </w:pPr>
      <w:r w:rsidRPr="008B3BC0">
        <w:rPr>
          <w:lang w:eastAsia="ar-SA"/>
        </w:rPr>
        <w:tab/>
        <w:t>Na podłożu wykazującym zniszczenia w postaci siatki spękań zmęczeniowych lub spękań poprzecznych zaleca się stosowanie membrany przeciwspękaniowej, np. mieszanki mineralno-asfaltowej, warstwy SAMI lub z geosyntetyków według norm lub aprobat technicznych.</w:t>
      </w:r>
    </w:p>
    <w:p w:rsidR="00C26502" w:rsidRPr="008B3BC0" w:rsidRDefault="00C26502" w:rsidP="00C26502">
      <w:pPr>
        <w:suppressAutoHyphens/>
        <w:jc w:val="both"/>
        <w:rPr>
          <w:b/>
          <w:lang w:eastAsia="ar-SA"/>
        </w:rPr>
      </w:pPr>
      <w:r w:rsidRPr="008B3BC0">
        <w:rPr>
          <w:b/>
          <w:lang w:eastAsia="ar-SA"/>
        </w:rPr>
        <w:t>5.5. Próba technologiczna</w:t>
      </w:r>
    </w:p>
    <w:p w:rsidR="00C26502" w:rsidRPr="008B3BC0" w:rsidRDefault="00C26502" w:rsidP="00C26502">
      <w:pPr>
        <w:suppressAutoHyphens/>
        <w:jc w:val="both"/>
        <w:rPr>
          <w:lang w:eastAsia="ar-SA"/>
        </w:rPr>
      </w:pPr>
      <w:r w:rsidRPr="008B3BC0">
        <w:rPr>
          <w:lang w:eastAsia="ar-SA"/>
        </w:rPr>
        <w:tab/>
        <w:t>Wykonawca przed przystąpieniem do produkcji mieszanki jest zobowiązany do przeprowadzenia w obecności Inżyniera próby technologicznej, która ma na celu sprawdzenie zgodności właściwości wyprodukowanej mieszanki z receptą. W tym celu należy zaprogramować otaczarkę zgodnie z receptą roboczą i w cyklu automatycznym produkować mieszankę. Do badań należy pobrać mieszankę wyprodukowaną po ustabilizowaniu się pracy otaczarki.</w:t>
      </w:r>
    </w:p>
    <w:p w:rsidR="00C26502" w:rsidRPr="008B3BC0" w:rsidRDefault="00C26502" w:rsidP="00C26502">
      <w:pPr>
        <w:suppressAutoHyphens/>
        <w:jc w:val="both"/>
        <w:rPr>
          <w:lang w:eastAsia="ar-SA"/>
        </w:rPr>
      </w:pPr>
      <w:r w:rsidRPr="008B3BC0">
        <w:rPr>
          <w:lang w:eastAsia="ar-SA"/>
        </w:rPr>
        <w:tab/>
        <w:t>Nie dopuszcza się oceniania dokładności pracy otaczarki oraz prawidłowości składu mieszanki mineralnej na podstawie tzw. suchego zarobu, z uwagi na możliwą segregację kruszywa.</w:t>
      </w:r>
    </w:p>
    <w:p w:rsidR="00C26502" w:rsidRPr="008B3BC0" w:rsidRDefault="00C26502" w:rsidP="00C26502">
      <w:pPr>
        <w:suppressAutoHyphens/>
        <w:jc w:val="both"/>
        <w:rPr>
          <w:lang w:eastAsia="ar-SA"/>
        </w:rPr>
      </w:pPr>
      <w:r w:rsidRPr="008B3BC0">
        <w:rPr>
          <w:lang w:eastAsia="ar-SA"/>
        </w:rPr>
        <w:tab/>
        <w:t>Mieszankę wyprodukowaną po ustabilizowaniu się pracy otaczarki należy zgromadzić w silosie lub załadować na samochód. Próbki do badań należy pobierać ze skrzyni samochodu zgodnie z metodą określoną w PN-EN 12697-27 [39].</w:t>
      </w:r>
    </w:p>
    <w:p w:rsidR="00C26502" w:rsidRPr="008B3BC0" w:rsidRDefault="00C26502" w:rsidP="00C26502">
      <w:pPr>
        <w:suppressAutoHyphens/>
        <w:jc w:val="both"/>
        <w:rPr>
          <w:lang w:eastAsia="ar-SA"/>
        </w:rPr>
      </w:pPr>
      <w:r w:rsidRPr="008B3BC0">
        <w:rPr>
          <w:lang w:eastAsia="ar-SA"/>
        </w:rPr>
        <w:tab/>
        <w:t>Na podstawie uzyskanych wyników Inżynier podejmuje decyzję o wykonaniu odcinka próbnego.</w:t>
      </w:r>
    </w:p>
    <w:p w:rsidR="00C26502" w:rsidRPr="008B3BC0" w:rsidRDefault="00C26502" w:rsidP="00C26502">
      <w:pPr>
        <w:suppressAutoHyphens/>
        <w:jc w:val="both"/>
        <w:rPr>
          <w:b/>
          <w:lang w:eastAsia="ar-SA"/>
        </w:rPr>
      </w:pPr>
      <w:r w:rsidRPr="008B3BC0">
        <w:rPr>
          <w:b/>
          <w:lang w:eastAsia="ar-SA"/>
        </w:rPr>
        <w:t>5.</w:t>
      </w:r>
      <w:r>
        <w:rPr>
          <w:b/>
          <w:lang w:eastAsia="ar-SA"/>
        </w:rPr>
        <w:t>6</w:t>
      </w:r>
      <w:r w:rsidRPr="008B3BC0">
        <w:rPr>
          <w:b/>
          <w:lang w:eastAsia="ar-SA"/>
        </w:rPr>
        <w:t>. Połączenie międzywarstwowe</w:t>
      </w:r>
    </w:p>
    <w:p w:rsidR="00C26502" w:rsidRPr="008B3BC0" w:rsidRDefault="00C26502" w:rsidP="00C26502">
      <w:pPr>
        <w:suppressAutoHyphens/>
        <w:jc w:val="both"/>
        <w:rPr>
          <w:lang w:eastAsia="ar-SA"/>
        </w:rPr>
      </w:pPr>
      <w:r w:rsidRPr="008B3BC0">
        <w:rPr>
          <w:lang w:eastAsia="ar-SA"/>
        </w:rPr>
        <w:tab/>
        <w:t>Uzyskanie wymaganej trwałości nawierzchni jest uzależnione od zapewnienia połączenia między warstwami i ich współpracy w przenoszeniu obciążenia nawierzchni ruchem.</w:t>
      </w:r>
    </w:p>
    <w:p w:rsidR="00C26502" w:rsidRPr="008B3BC0" w:rsidRDefault="00C26502" w:rsidP="00C26502">
      <w:pPr>
        <w:suppressAutoHyphens/>
        <w:jc w:val="both"/>
        <w:rPr>
          <w:lang w:eastAsia="ar-SA"/>
        </w:rPr>
      </w:pPr>
      <w:r w:rsidRPr="008B3BC0">
        <w:rPr>
          <w:lang w:eastAsia="ar-SA"/>
        </w:rPr>
        <w:tab/>
        <w:t>Podłoże powinno być skropione lepiszczem. Ma to na celu zwiększenie połączenia między warstwami konstrukcyjnymi oraz zabezpieczenie przed wnikaniem i zaleganiem wody między warstwami.</w:t>
      </w:r>
    </w:p>
    <w:p w:rsidR="00C26502" w:rsidRPr="008B3BC0" w:rsidRDefault="00C26502" w:rsidP="00C26502">
      <w:pPr>
        <w:suppressAutoHyphens/>
        <w:jc w:val="both"/>
        <w:rPr>
          <w:lang w:eastAsia="ar-SA"/>
        </w:rPr>
      </w:pPr>
      <w:r w:rsidRPr="008B3BC0">
        <w:rPr>
          <w:lang w:eastAsia="ar-SA"/>
        </w:rPr>
        <w:tab/>
        <w:t>Skropienie lepiszczem podłoża (np. z warstwy wiążącej asfaltowej), przed ułożeniem warstwy ścieralnej z betonu asfaltowego powinno być wykonane w ilości podanej w przeliczeniu na pozostałe lepiszcze, tj. 0,1 ÷ 0,3 kg/m</w:t>
      </w:r>
      <w:r w:rsidRPr="008B3BC0">
        <w:rPr>
          <w:vertAlign w:val="superscript"/>
          <w:lang w:eastAsia="ar-SA"/>
        </w:rPr>
        <w:t>2</w:t>
      </w:r>
      <w:r w:rsidRPr="008B3BC0">
        <w:rPr>
          <w:lang w:eastAsia="ar-SA"/>
        </w:rPr>
        <w:t>, przy czym:</w:t>
      </w:r>
    </w:p>
    <w:p w:rsidR="00C26502" w:rsidRPr="008B3BC0" w:rsidRDefault="00C26502" w:rsidP="0097494B">
      <w:pPr>
        <w:numPr>
          <w:ilvl w:val="0"/>
          <w:numId w:val="75"/>
        </w:numPr>
        <w:suppressAutoHyphens/>
        <w:overflowPunct w:val="0"/>
        <w:autoSpaceDE w:val="0"/>
        <w:autoSpaceDN w:val="0"/>
        <w:adjustRightInd w:val="0"/>
        <w:jc w:val="both"/>
        <w:textAlignment w:val="baseline"/>
        <w:rPr>
          <w:lang w:eastAsia="ar-SA"/>
        </w:rPr>
      </w:pPr>
      <w:r w:rsidRPr="008B3BC0">
        <w:rPr>
          <w:lang w:eastAsia="ar-SA"/>
        </w:rPr>
        <w:t>zaleca się stosować emulsję modyfikowaną polimerem,</w:t>
      </w:r>
    </w:p>
    <w:p w:rsidR="00C26502" w:rsidRPr="008B3BC0" w:rsidRDefault="00C26502" w:rsidP="0097494B">
      <w:pPr>
        <w:numPr>
          <w:ilvl w:val="0"/>
          <w:numId w:val="75"/>
        </w:numPr>
        <w:suppressAutoHyphens/>
        <w:overflowPunct w:val="0"/>
        <w:autoSpaceDE w:val="0"/>
        <w:autoSpaceDN w:val="0"/>
        <w:adjustRightInd w:val="0"/>
        <w:jc w:val="both"/>
        <w:textAlignment w:val="baseline"/>
        <w:rPr>
          <w:lang w:eastAsia="ar-SA"/>
        </w:rPr>
      </w:pPr>
      <w:r w:rsidRPr="008B3BC0">
        <w:rPr>
          <w:lang w:eastAsia="ar-SA"/>
        </w:rPr>
        <w:t>ilość emulsji należy dobrać z uwzględnieniem stanu podłoża oraz porowatości mieszanki ; jeśli mieszanka ma większą zawartość wolnych przestrzeni, to należy użyć większą ilość lepiszcza do skropienia, które po ułożeniu warstwy ścieralnej uszczelni ją.</w:t>
      </w:r>
    </w:p>
    <w:p w:rsidR="00C26502" w:rsidRPr="008B3BC0" w:rsidRDefault="00C26502" w:rsidP="00C26502">
      <w:pPr>
        <w:suppressAutoHyphens/>
        <w:ind w:firstLine="709"/>
        <w:jc w:val="both"/>
        <w:rPr>
          <w:lang w:eastAsia="ar-SA"/>
        </w:rPr>
      </w:pPr>
      <w:r w:rsidRPr="008B3BC0">
        <w:rPr>
          <w:lang w:eastAsia="ar-SA"/>
        </w:rPr>
        <w:t>Skrapianie podłoża należy wykonywać równomiernie stosując rampy do skrapiania, np. skrapiarki do lepiszczy asfaltowych. Dopuszcza się skrapianie ręczne lancą w miejscach trudno dostępnych (np. ścieki uliczne) oraz przy urządzeniach usytuowanych w nawierzchni lub ją ograniczających. W razie potrzeby urządzenia te należy zabezpieczyć przed zabrudzeniem. Skropione podłoże należy wyłączyć z ruchu publicznego przez zmianę organizacji ruchu.</w:t>
      </w:r>
    </w:p>
    <w:p w:rsidR="00C26502" w:rsidRPr="008B3BC0" w:rsidRDefault="00C26502" w:rsidP="00C26502">
      <w:pPr>
        <w:suppressAutoHyphens/>
        <w:ind w:firstLine="709"/>
        <w:jc w:val="both"/>
        <w:rPr>
          <w:lang w:eastAsia="ar-SA"/>
        </w:rPr>
      </w:pPr>
      <w:r w:rsidRPr="008B3BC0">
        <w:rPr>
          <w:lang w:eastAsia="ar-SA"/>
        </w:rPr>
        <w:t>W wypadku stosowania emulsji asfaltowej podłoże powinno być skropione 0,5 h przed układaniem warstwy asfaltowej w celu odparowania wody.</w:t>
      </w:r>
    </w:p>
    <w:p w:rsidR="00C26502" w:rsidRPr="008B3BC0" w:rsidRDefault="00C26502" w:rsidP="00C26502">
      <w:pPr>
        <w:suppressAutoHyphens/>
        <w:ind w:firstLine="709"/>
        <w:jc w:val="both"/>
        <w:rPr>
          <w:lang w:eastAsia="ar-SA"/>
        </w:rPr>
      </w:pPr>
      <w:r w:rsidRPr="008B3BC0">
        <w:rPr>
          <w:lang w:eastAsia="ar-SA"/>
        </w:rPr>
        <w:t>Czas ten nie dotyczy skrapiania rampą zamontowaną na rozkładarce.</w:t>
      </w:r>
    </w:p>
    <w:p w:rsidR="00C26502" w:rsidRPr="008B3BC0" w:rsidRDefault="00C26502" w:rsidP="00C26502">
      <w:pPr>
        <w:suppressAutoHyphens/>
        <w:jc w:val="both"/>
        <w:rPr>
          <w:b/>
          <w:lang w:eastAsia="ar-SA"/>
        </w:rPr>
      </w:pPr>
      <w:r w:rsidRPr="008B3BC0">
        <w:rPr>
          <w:b/>
          <w:lang w:eastAsia="ar-SA"/>
        </w:rPr>
        <w:t>5.</w:t>
      </w:r>
      <w:r>
        <w:rPr>
          <w:b/>
          <w:lang w:eastAsia="ar-SA"/>
        </w:rPr>
        <w:t>7</w:t>
      </w:r>
      <w:r w:rsidRPr="008B3BC0">
        <w:rPr>
          <w:b/>
          <w:lang w:eastAsia="ar-SA"/>
        </w:rPr>
        <w:t>. Wbudowanie mieszanki mineralno-asfaltowej</w:t>
      </w:r>
    </w:p>
    <w:p w:rsidR="00C26502" w:rsidRPr="008B3BC0" w:rsidRDefault="00C26502" w:rsidP="00C26502">
      <w:pPr>
        <w:suppressAutoHyphens/>
        <w:jc w:val="both"/>
        <w:rPr>
          <w:lang w:eastAsia="ar-SA"/>
        </w:rPr>
      </w:pPr>
      <w:r w:rsidRPr="008B3BC0">
        <w:rPr>
          <w:lang w:eastAsia="ar-SA"/>
        </w:rPr>
        <w:tab/>
        <w:t>Mieszankę mineralno-asfaltową można wbudowywać na podłożu przygotowanym zgodnie z zapisami w punktach 5.4 i 5.7.</w:t>
      </w:r>
    </w:p>
    <w:p w:rsidR="00C26502" w:rsidRPr="008B3BC0" w:rsidRDefault="00C26502" w:rsidP="00C26502">
      <w:pPr>
        <w:suppressAutoHyphens/>
        <w:jc w:val="both"/>
        <w:rPr>
          <w:lang w:eastAsia="ar-SA"/>
        </w:rPr>
      </w:pPr>
      <w:r w:rsidRPr="008B3BC0">
        <w:rPr>
          <w:lang w:eastAsia="ar-SA"/>
        </w:rPr>
        <w:tab/>
        <w:t>Transport mieszanki mineralno-asfaltowej asfaltowej powinien być zgodny z zaleceniami podanymi w punkcie 4.2.</w:t>
      </w:r>
    </w:p>
    <w:p w:rsidR="00C26502" w:rsidRPr="008B3BC0" w:rsidRDefault="00C26502" w:rsidP="00C26502">
      <w:pPr>
        <w:suppressAutoHyphens/>
        <w:jc w:val="both"/>
        <w:rPr>
          <w:lang w:eastAsia="ar-SA"/>
        </w:rPr>
      </w:pPr>
      <w:r w:rsidRPr="008B3BC0">
        <w:rPr>
          <w:lang w:eastAsia="ar-SA"/>
        </w:rPr>
        <w:tab/>
        <w:t>Mieszankę mineralno-asfaltową asfaltową należy wbudowywać w odpowiednich warunkach atmosferycznych.</w:t>
      </w:r>
    </w:p>
    <w:p w:rsidR="00C26502" w:rsidRPr="008B3BC0" w:rsidRDefault="00C26502" w:rsidP="00C26502">
      <w:pPr>
        <w:suppressAutoHyphens/>
        <w:jc w:val="both"/>
        <w:rPr>
          <w:lang w:eastAsia="ar-SA"/>
        </w:rPr>
      </w:pPr>
      <w:r w:rsidRPr="008B3BC0">
        <w:rPr>
          <w:lang w:eastAsia="ar-SA"/>
        </w:rPr>
        <w:tab/>
        <w:t>Temperatura otoczenia w ciągu doby nie powinna być niższa od temperatury podanej w tablicy 10. Temperatura otoczenia może być niższa w wypadku stosowania ogrzewania podłoża. Nie dopuszcza się układania mieszanki mineralno-asfaltowej asfaltowej podczas silnego wiatru (V &gt; 16 m/s)</w:t>
      </w:r>
    </w:p>
    <w:p w:rsidR="00C26502" w:rsidRPr="008B3BC0" w:rsidRDefault="00C26502" w:rsidP="00C26502">
      <w:pPr>
        <w:suppressAutoHyphens/>
        <w:jc w:val="both"/>
        <w:rPr>
          <w:lang w:eastAsia="ar-SA"/>
        </w:rPr>
      </w:pPr>
      <w:r w:rsidRPr="008B3BC0">
        <w:rPr>
          <w:lang w:eastAsia="ar-SA"/>
        </w:rPr>
        <w:tab/>
        <w:t>W wypadku stosowania mieszanek mineralno-asfaltowych z dodatkiem obniżającym temperaturę mieszania i wbudowania należy indywidualnie określić wymagane warunki otoczenia.</w:t>
      </w:r>
    </w:p>
    <w:p w:rsidR="00C26502" w:rsidRPr="008B3BC0" w:rsidRDefault="00C26502" w:rsidP="00C26502">
      <w:pPr>
        <w:suppressAutoHyphens/>
        <w:jc w:val="center"/>
        <w:rPr>
          <w:lang w:eastAsia="ar-SA"/>
        </w:rPr>
      </w:pPr>
      <w:r w:rsidRPr="008B3BC0">
        <w:rPr>
          <w:lang w:eastAsia="ar-SA"/>
        </w:rPr>
        <w:t>Tablica 10. Minimalna temperatura otoczenia podczas wykonywania warstw asfaltowych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27"/>
        <w:gridCol w:w="2693"/>
        <w:gridCol w:w="1591"/>
      </w:tblGrid>
      <w:tr w:rsidR="00C26502" w:rsidRPr="008B3BC0" w:rsidTr="00C26502">
        <w:trPr>
          <w:jc w:val="center"/>
        </w:trPr>
        <w:tc>
          <w:tcPr>
            <w:tcW w:w="3227" w:type="dxa"/>
            <w:tcBorders>
              <w:bottom w:val="nil"/>
            </w:tcBorders>
          </w:tcPr>
          <w:p w:rsidR="00C26502" w:rsidRPr="008B3BC0" w:rsidRDefault="00C26502" w:rsidP="00C26502">
            <w:pPr>
              <w:suppressAutoHyphens/>
              <w:jc w:val="center"/>
              <w:rPr>
                <w:lang w:eastAsia="ar-SA"/>
              </w:rPr>
            </w:pPr>
            <w:r w:rsidRPr="008B3BC0">
              <w:rPr>
                <w:lang w:eastAsia="ar-SA"/>
              </w:rPr>
              <w:t>Rodzaj robót</w:t>
            </w:r>
          </w:p>
        </w:tc>
        <w:tc>
          <w:tcPr>
            <w:tcW w:w="4284" w:type="dxa"/>
            <w:gridSpan w:val="2"/>
          </w:tcPr>
          <w:p w:rsidR="00C26502" w:rsidRPr="008B3BC0" w:rsidRDefault="00C26502" w:rsidP="00C26502">
            <w:pPr>
              <w:suppressAutoHyphens/>
              <w:jc w:val="center"/>
              <w:rPr>
                <w:lang w:eastAsia="ar-SA"/>
              </w:rPr>
            </w:pPr>
            <w:r w:rsidRPr="008B3BC0">
              <w:rPr>
                <w:lang w:eastAsia="ar-SA"/>
              </w:rPr>
              <w:t>Minimalna temperatura otoczenia  [°C]</w:t>
            </w:r>
          </w:p>
        </w:tc>
      </w:tr>
      <w:tr w:rsidR="00C26502" w:rsidRPr="008B3BC0" w:rsidTr="00C26502">
        <w:trPr>
          <w:jc w:val="center"/>
        </w:trPr>
        <w:tc>
          <w:tcPr>
            <w:tcW w:w="3227" w:type="dxa"/>
            <w:tcBorders>
              <w:top w:val="nil"/>
            </w:tcBorders>
          </w:tcPr>
          <w:p w:rsidR="00C26502" w:rsidRPr="008B3BC0" w:rsidRDefault="00C26502" w:rsidP="00C26502">
            <w:pPr>
              <w:suppressAutoHyphens/>
              <w:rPr>
                <w:lang w:eastAsia="ar-SA"/>
              </w:rPr>
            </w:pPr>
          </w:p>
        </w:tc>
        <w:tc>
          <w:tcPr>
            <w:tcW w:w="2693" w:type="dxa"/>
          </w:tcPr>
          <w:p w:rsidR="00C26502" w:rsidRPr="008B3BC0" w:rsidRDefault="00C26502" w:rsidP="00C26502">
            <w:pPr>
              <w:suppressAutoHyphens/>
              <w:jc w:val="center"/>
              <w:rPr>
                <w:lang w:eastAsia="ar-SA"/>
              </w:rPr>
            </w:pPr>
            <w:r w:rsidRPr="008B3BC0">
              <w:rPr>
                <w:lang w:eastAsia="ar-SA"/>
              </w:rPr>
              <w:t>przed przystąpieniem do robót</w:t>
            </w:r>
          </w:p>
        </w:tc>
        <w:tc>
          <w:tcPr>
            <w:tcW w:w="1591" w:type="dxa"/>
          </w:tcPr>
          <w:p w:rsidR="00C26502" w:rsidRPr="008B3BC0" w:rsidRDefault="00C26502" w:rsidP="00C26502">
            <w:pPr>
              <w:suppressAutoHyphens/>
              <w:jc w:val="center"/>
              <w:rPr>
                <w:lang w:eastAsia="ar-SA"/>
              </w:rPr>
            </w:pPr>
            <w:r w:rsidRPr="008B3BC0">
              <w:rPr>
                <w:lang w:eastAsia="ar-SA"/>
              </w:rPr>
              <w:t>w czasie robót</w:t>
            </w:r>
          </w:p>
        </w:tc>
      </w:tr>
      <w:tr w:rsidR="00C26502" w:rsidRPr="008B3BC0" w:rsidTr="00C26502">
        <w:trPr>
          <w:jc w:val="center"/>
        </w:trPr>
        <w:tc>
          <w:tcPr>
            <w:tcW w:w="3227" w:type="dxa"/>
          </w:tcPr>
          <w:p w:rsidR="00C26502" w:rsidRPr="008B3BC0" w:rsidRDefault="00C26502" w:rsidP="00C26502">
            <w:pPr>
              <w:suppressAutoHyphens/>
              <w:spacing w:before="40" w:after="40"/>
              <w:rPr>
                <w:lang w:eastAsia="ar-SA"/>
              </w:rPr>
            </w:pPr>
            <w:r w:rsidRPr="008B3BC0">
              <w:rPr>
                <w:lang w:eastAsia="ar-SA"/>
              </w:rPr>
              <w:t xml:space="preserve">Warstwa ścieralna o grubości ≥ </w:t>
            </w:r>
            <w:smartTag w:uri="urn:schemas-microsoft-com:office:smarttags" w:element="metricconverter">
              <w:smartTagPr>
                <w:attr w:name="ProductID" w:val="3 cm"/>
              </w:smartTagPr>
              <w:r w:rsidRPr="008B3BC0">
                <w:rPr>
                  <w:lang w:eastAsia="ar-SA"/>
                </w:rPr>
                <w:t>3 cm</w:t>
              </w:r>
            </w:smartTag>
          </w:p>
        </w:tc>
        <w:tc>
          <w:tcPr>
            <w:tcW w:w="2693" w:type="dxa"/>
          </w:tcPr>
          <w:p w:rsidR="00C26502" w:rsidRPr="008B3BC0" w:rsidRDefault="00C26502" w:rsidP="00C26502">
            <w:pPr>
              <w:suppressAutoHyphens/>
              <w:spacing w:before="40" w:after="40"/>
              <w:jc w:val="center"/>
              <w:rPr>
                <w:lang w:eastAsia="ar-SA"/>
              </w:rPr>
            </w:pPr>
            <w:r w:rsidRPr="008B3BC0">
              <w:rPr>
                <w:lang w:eastAsia="ar-SA"/>
              </w:rPr>
              <w:t>0</w:t>
            </w:r>
          </w:p>
        </w:tc>
        <w:tc>
          <w:tcPr>
            <w:tcW w:w="1591" w:type="dxa"/>
          </w:tcPr>
          <w:p w:rsidR="00C26502" w:rsidRPr="008B3BC0" w:rsidRDefault="00C26502" w:rsidP="00C26502">
            <w:pPr>
              <w:suppressAutoHyphens/>
              <w:spacing w:before="40" w:after="40"/>
              <w:jc w:val="center"/>
              <w:rPr>
                <w:lang w:eastAsia="ar-SA"/>
              </w:rPr>
            </w:pPr>
            <w:r w:rsidRPr="008B3BC0">
              <w:rPr>
                <w:lang w:eastAsia="ar-SA"/>
              </w:rPr>
              <w:t>+5</w:t>
            </w:r>
          </w:p>
        </w:tc>
      </w:tr>
      <w:tr w:rsidR="00C26502" w:rsidRPr="008B3BC0" w:rsidTr="00C26502">
        <w:trPr>
          <w:jc w:val="center"/>
        </w:trPr>
        <w:tc>
          <w:tcPr>
            <w:tcW w:w="3227" w:type="dxa"/>
          </w:tcPr>
          <w:p w:rsidR="00C26502" w:rsidRPr="008B3BC0" w:rsidRDefault="00C26502" w:rsidP="00C26502">
            <w:pPr>
              <w:suppressAutoHyphens/>
              <w:spacing w:before="40" w:after="40"/>
              <w:rPr>
                <w:lang w:eastAsia="ar-SA"/>
              </w:rPr>
            </w:pPr>
            <w:r w:rsidRPr="008B3BC0">
              <w:rPr>
                <w:lang w:eastAsia="ar-SA"/>
              </w:rPr>
              <w:t>Warstwa ścieralna o grubości &lt;</w:t>
            </w:r>
            <w:smartTag w:uri="urn:schemas-microsoft-com:office:smarttags" w:element="metricconverter">
              <w:smartTagPr>
                <w:attr w:name="ProductID" w:val="3 cm"/>
              </w:smartTagPr>
              <w:r w:rsidRPr="008B3BC0">
                <w:rPr>
                  <w:lang w:eastAsia="ar-SA"/>
                </w:rPr>
                <w:t>3 cm</w:t>
              </w:r>
            </w:smartTag>
          </w:p>
        </w:tc>
        <w:tc>
          <w:tcPr>
            <w:tcW w:w="2693" w:type="dxa"/>
          </w:tcPr>
          <w:p w:rsidR="00C26502" w:rsidRPr="008B3BC0" w:rsidRDefault="00C26502" w:rsidP="00C26502">
            <w:pPr>
              <w:suppressAutoHyphens/>
              <w:spacing w:before="40" w:after="40"/>
              <w:jc w:val="center"/>
              <w:rPr>
                <w:lang w:eastAsia="ar-SA"/>
              </w:rPr>
            </w:pPr>
            <w:r w:rsidRPr="008B3BC0">
              <w:rPr>
                <w:lang w:eastAsia="ar-SA"/>
              </w:rPr>
              <w:t>+5</w:t>
            </w:r>
          </w:p>
        </w:tc>
        <w:tc>
          <w:tcPr>
            <w:tcW w:w="1591" w:type="dxa"/>
          </w:tcPr>
          <w:p w:rsidR="00C26502" w:rsidRPr="008B3BC0" w:rsidRDefault="00C26502" w:rsidP="00C26502">
            <w:pPr>
              <w:suppressAutoHyphens/>
              <w:spacing w:before="40" w:after="40"/>
              <w:jc w:val="center"/>
              <w:rPr>
                <w:lang w:eastAsia="ar-SA"/>
              </w:rPr>
            </w:pPr>
            <w:r w:rsidRPr="008B3BC0">
              <w:rPr>
                <w:lang w:eastAsia="ar-SA"/>
              </w:rPr>
              <w:t>+10</w:t>
            </w:r>
          </w:p>
        </w:tc>
      </w:tr>
    </w:tbl>
    <w:p w:rsidR="00C26502" w:rsidRPr="008B3BC0" w:rsidRDefault="00C26502" w:rsidP="00C26502">
      <w:pPr>
        <w:suppressAutoHyphens/>
        <w:jc w:val="center"/>
        <w:rPr>
          <w:lang w:eastAsia="ar-SA"/>
        </w:rPr>
      </w:pPr>
      <w:r w:rsidRPr="008B3BC0">
        <w:rPr>
          <w:lang w:eastAsia="ar-SA"/>
        </w:rPr>
        <w:t>Właściwości wykonanej warstwy powinny spełniać warunki podane w tablicy 11.</w:t>
      </w:r>
    </w:p>
    <w:p w:rsidR="00C26502" w:rsidRPr="008B3BC0" w:rsidRDefault="00C26502" w:rsidP="00C26502">
      <w:pPr>
        <w:suppressAutoHyphens/>
        <w:jc w:val="center"/>
        <w:rPr>
          <w:lang w:eastAsia="ar-SA"/>
        </w:rPr>
      </w:pPr>
      <w:r w:rsidRPr="008B3BC0">
        <w:rPr>
          <w:lang w:eastAsia="ar-SA"/>
        </w:rPr>
        <w:t>Tablica 11. Właściwości warstwy AC [65]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77"/>
        <w:gridCol w:w="1878"/>
        <w:gridCol w:w="1878"/>
        <w:gridCol w:w="1878"/>
      </w:tblGrid>
      <w:tr w:rsidR="00C26502" w:rsidRPr="008B3BC0" w:rsidTr="00C26502">
        <w:trPr>
          <w:jc w:val="center"/>
        </w:trPr>
        <w:tc>
          <w:tcPr>
            <w:tcW w:w="1877" w:type="dxa"/>
          </w:tcPr>
          <w:p w:rsidR="00C26502" w:rsidRPr="008B3BC0" w:rsidRDefault="00C26502" w:rsidP="00C26502">
            <w:pPr>
              <w:suppressAutoHyphens/>
              <w:jc w:val="center"/>
              <w:rPr>
                <w:lang w:eastAsia="ar-SA"/>
              </w:rPr>
            </w:pPr>
          </w:p>
          <w:p w:rsidR="00C26502" w:rsidRPr="008B3BC0" w:rsidRDefault="00C26502" w:rsidP="00C26502">
            <w:pPr>
              <w:suppressAutoHyphens/>
              <w:jc w:val="center"/>
              <w:rPr>
                <w:lang w:eastAsia="ar-SA"/>
              </w:rPr>
            </w:pPr>
            <w:r w:rsidRPr="008B3BC0">
              <w:rPr>
                <w:lang w:eastAsia="ar-SA"/>
              </w:rPr>
              <w:t>Typ i wymiar mieszanki</w:t>
            </w:r>
          </w:p>
        </w:tc>
        <w:tc>
          <w:tcPr>
            <w:tcW w:w="1878" w:type="dxa"/>
          </w:tcPr>
          <w:p w:rsidR="00C26502" w:rsidRPr="008B3BC0" w:rsidRDefault="00C26502" w:rsidP="00C26502">
            <w:pPr>
              <w:suppressAutoHyphens/>
              <w:jc w:val="center"/>
              <w:rPr>
                <w:lang w:eastAsia="ar-SA"/>
              </w:rPr>
            </w:pPr>
            <w:r w:rsidRPr="008B3BC0">
              <w:rPr>
                <w:lang w:eastAsia="ar-SA"/>
              </w:rPr>
              <w:t>Projektowana grubość warstwy technologicznej [cm]</w:t>
            </w:r>
          </w:p>
        </w:tc>
        <w:tc>
          <w:tcPr>
            <w:tcW w:w="1878" w:type="dxa"/>
          </w:tcPr>
          <w:p w:rsidR="00C26502" w:rsidRPr="008B3BC0" w:rsidRDefault="00C26502" w:rsidP="00C26502">
            <w:pPr>
              <w:suppressAutoHyphens/>
              <w:spacing w:before="120"/>
              <w:jc w:val="center"/>
              <w:rPr>
                <w:lang w:eastAsia="ar-SA"/>
              </w:rPr>
            </w:pPr>
            <w:r w:rsidRPr="008B3BC0">
              <w:rPr>
                <w:lang w:eastAsia="ar-SA"/>
              </w:rPr>
              <w:t xml:space="preserve">Wskaźnik zagęszczenia </w:t>
            </w:r>
          </w:p>
          <w:p w:rsidR="00C26502" w:rsidRPr="008B3BC0" w:rsidRDefault="00C26502" w:rsidP="00C26502">
            <w:pPr>
              <w:suppressAutoHyphens/>
              <w:jc w:val="center"/>
              <w:rPr>
                <w:lang w:eastAsia="ar-SA"/>
              </w:rPr>
            </w:pPr>
            <w:r w:rsidRPr="008B3BC0">
              <w:rPr>
                <w:lang w:eastAsia="ar-SA"/>
              </w:rPr>
              <w:t>[%]</w:t>
            </w:r>
          </w:p>
        </w:tc>
        <w:tc>
          <w:tcPr>
            <w:tcW w:w="1878" w:type="dxa"/>
          </w:tcPr>
          <w:p w:rsidR="00C26502" w:rsidRPr="008B3BC0" w:rsidRDefault="00C26502" w:rsidP="00C26502">
            <w:pPr>
              <w:suppressAutoHyphens/>
              <w:jc w:val="center"/>
              <w:rPr>
                <w:lang w:eastAsia="ar-SA"/>
              </w:rPr>
            </w:pPr>
            <w:r w:rsidRPr="008B3BC0">
              <w:rPr>
                <w:lang w:eastAsia="ar-SA"/>
              </w:rPr>
              <w:t>Zawartość wolnych przestrzeni w warstwie</w:t>
            </w:r>
          </w:p>
          <w:p w:rsidR="00C26502" w:rsidRPr="008B3BC0" w:rsidRDefault="00C26502" w:rsidP="00C26502">
            <w:pPr>
              <w:suppressAutoHyphens/>
              <w:jc w:val="center"/>
              <w:rPr>
                <w:lang w:eastAsia="ar-SA"/>
              </w:rPr>
            </w:pPr>
            <w:r w:rsidRPr="008B3BC0">
              <w:rPr>
                <w:lang w:eastAsia="ar-SA"/>
              </w:rPr>
              <w:t>[%(v/v)]</w:t>
            </w:r>
          </w:p>
        </w:tc>
      </w:tr>
      <w:tr w:rsidR="00C26502" w:rsidRPr="008B3BC0" w:rsidTr="00C26502">
        <w:trPr>
          <w:jc w:val="center"/>
        </w:trPr>
        <w:tc>
          <w:tcPr>
            <w:tcW w:w="1877" w:type="dxa"/>
          </w:tcPr>
          <w:p w:rsidR="00C26502" w:rsidRPr="008B3BC0" w:rsidRDefault="00C26502" w:rsidP="00C26502">
            <w:pPr>
              <w:suppressAutoHyphens/>
              <w:spacing w:before="40" w:after="40"/>
              <w:rPr>
                <w:lang w:eastAsia="ar-SA"/>
              </w:rPr>
            </w:pPr>
            <w:r w:rsidRPr="008B3BC0">
              <w:rPr>
                <w:lang w:eastAsia="ar-SA"/>
              </w:rPr>
              <w:t>AC5S,     KR1-KR</w:t>
            </w:r>
            <w:r>
              <w:rPr>
                <w:lang w:eastAsia="ar-SA"/>
              </w:rPr>
              <w:t>4</w:t>
            </w:r>
          </w:p>
        </w:tc>
        <w:tc>
          <w:tcPr>
            <w:tcW w:w="1878" w:type="dxa"/>
          </w:tcPr>
          <w:p w:rsidR="00C26502" w:rsidRPr="008B3BC0" w:rsidRDefault="00C26502" w:rsidP="00C26502">
            <w:pPr>
              <w:suppressAutoHyphens/>
              <w:spacing w:before="40" w:after="40"/>
              <w:jc w:val="center"/>
              <w:rPr>
                <w:lang w:eastAsia="ar-SA"/>
              </w:rPr>
            </w:pPr>
            <w:r w:rsidRPr="008B3BC0">
              <w:rPr>
                <w:lang w:eastAsia="ar-SA"/>
              </w:rPr>
              <w:t>2,0 ÷ 4,0</w:t>
            </w:r>
          </w:p>
        </w:tc>
        <w:tc>
          <w:tcPr>
            <w:tcW w:w="1878" w:type="dxa"/>
          </w:tcPr>
          <w:p w:rsidR="00C26502" w:rsidRPr="008B3BC0" w:rsidRDefault="00C26502" w:rsidP="00C26502">
            <w:pPr>
              <w:suppressAutoHyphens/>
              <w:spacing w:before="40" w:after="40"/>
              <w:jc w:val="center"/>
              <w:rPr>
                <w:lang w:eastAsia="ar-SA"/>
              </w:rPr>
            </w:pPr>
            <w:r w:rsidRPr="008B3BC0">
              <w:rPr>
                <w:lang w:eastAsia="ar-SA"/>
              </w:rPr>
              <w:t>≥ 97</w:t>
            </w:r>
          </w:p>
        </w:tc>
        <w:tc>
          <w:tcPr>
            <w:tcW w:w="1878" w:type="dxa"/>
          </w:tcPr>
          <w:p w:rsidR="00C26502" w:rsidRPr="008B3BC0" w:rsidRDefault="00C26502" w:rsidP="00C26502">
            <w:pPr>
              <w:suppressAutoHyphens/>
              <w:spacing w:before="40" w:after="40"/>
              <w:jc w:val="center"/>
              <w:rPr>
                <w:lang w:eastAsia="ar-SA"/>
              </w:rPr>
            </w:pPr>
            <w:r w:rsidRPr="008B3BC0">
              <w:rPr>
                <w:lang w:eastAsia="ar-SA"/>
              </w:rPr>
              <w:t>1,0 ÷ 4,0</w:t>
            </w:r>
          </w:p>
        </w:tc>
      </w:tr>
      <w:tr w:rsidR="00C26502" w:rsidRPr="008B3BC0" w:rsidTr="00C26502">
        <w:trPr>
          <w:jc w:val="center"/>
        </w:trPr>
        <w:tc>
          <w:tcPr>
            <w:tcW w:w="1877" w:type="dxa"/>
          </w:tcPr>
          <w:p w:rsidR="00C26502" w:rsidRPr="008B3BC0" w:rsidRDefault="00C26502" w:rsidP="00C26502">
            <w:pPr>
              <w:suppressAutoHyphens/>
              <w:spacing w:before="40" w:after="40"/>
              <w:rPr>
                <w:lang w:eastAsia="ar-SA"/>
              </w:rPr>
            </w:pPr>
            <w:r w:rsidRPr="008B3BC0">
              <w:rPr>
                <w:lang w:eastAsia="ar-SA"/>
              </w:rPr>
              <w:t>AC8S,     KR1-KR</w:t>
            </w:r>
            <w:r>
              <w:rPr>
                <w:lang w:eastAsia="ar-SA"/>
              </w:rPr>
              <w:t>4</w:t>
            </w:r>
          </w:p>
        </w:tc>
        <w:tc>
          <w:tcPr>
            <w:tcW w:w="1878" w:type="dxa"/>
          </w:tcPr>
          <w:p w:rsidR="00C26502" w:rsidRPr="008B3BC0" w:rsidRDefault="00C26502" w:rsidP="00C26502">
            <w:pPr>
              <w:suppressAutoHyphens/>
              <w:spacing w:before="40" w:after="40"/>
              <w:jc w:val="center"/>
              <w:rPr>
                <w:lang w:eastAsia="ar-SA"/>
              </w:rPr>
            </w:pPr>
            <w:r w:rsidRPr="008B3BC0">
              <w:rPr>
                <w:lang w:eastAsia="ar-SA"/>
              </w:rPr>
              <w:t>2,5 ÷ 5,0</w:t>
            </w:r>
          </w:p>
        </w:tc>
        <w:tc>
          <w:tcPr>
            <w:tcW w:w="1878" w:type="dxa"/>
          </w:tcPr>
          <w:p w:rsidR="00C26502" w:rsidRPr="008B3BC0" w:rsidRDefault="00C26502" w:rsidP="00C26502">
            <w:pPr>
              <w:suppressAutoHyphens/>
              <w:spacing w:before="40" w:after="40"/>
              <w:jc w:val="center"/>
              <w:rPr>
                <w:lang w:eastAsia="ar-SA"/>
              </w:rPr>
            </w:pPr>
            <w:r w:rsidRPr="008B3BC0">
              <w:rPr>
                <w:lang w:eastAsia="ar-SA"/>
              </w:rPr>
              <w:t>≥ 97</w:t>
            </w:r>
          </w:p>
        </w:tc>
        <w:tc>
          <w:tcPr>
            <w:tcW w:w="1878" w:type="dxa"/>
          </w:tcPr>
          <w:p w:rsidR="00C26502" w:rsidRPr="008B3BC0" w:rsidRDefault="00C26502" w:rsidP="00C26502">
            <w:pPr>
              <w:suppressAutoHyphens/>
              <w:spacing w:before="40" w:after="40"/>
              <w:jc w:val="center"/>
              <w:rPr>
                <w:lang w:eastAsia="ar-SA"/>
              </w:rPr>
            </w:pPr>
            <w:r w:rsidRPr="008B3BC0">
              <w:rPr>
                <w:lang w:eastAsia="ar-SA"/>
              </w:rPr>
              <w:t>1,0 ÷ 4,0</w:t>
            </w:r>
          </w:p>
        </w:tc>
      </w:tr>
      <w:tr w:rsidR="00C26502" w:rsidRPr="008B3BC0" w:rsidTr="00C26502">
        <w:trPr>
          <w:jc w:val="center"/>
        </w:trPr>
        <w:tc>
          <w:tcPr>
            <w:tcW w:w="1877" w:type="dxa"/>
          </w:tcPr>
          <w:p w:rsidR="00C26502" w:rsidRPr="008B3BC0" w:rsidRDefault="00C26502" w:rsidP="00C26502">
            <w:pPr>
              <w:suppressAutoHyphens/>
              <w:spacing w:before="40" w:after="40"/>
              <w:rPr>
                <w:lang w:eastAsia="ar-SA"/>
              </w:rPr>
            </w:pPr>
            <w:r w:rsidRPr="008B3BC0">
              <w:rPr>
                <w:lang w:eastAsia="ar-SA"/>
              </w:rPr>
              <w:t>AC11S,   KR1-KR</w:t>
            </w:r>
            <w:r>
              <w:rPr>
                <w:lang w:eastAsia="ar-SA"/>
              </w:rPr>
              <w:t>4</w:t>
            </w:r>
          </w:p>
        </w:tc>
        <w:tc>
          <w:tcPr>
            <w:tcW w:w="1878" w:type="dxa"/>
          </w:tcPr>
          <w:p w:rsidR="00C26502" w:rsidRPr="008B3BC0" w:rsidRDefault="00C26502" w:rsidP="00C26502">
            <w:pPr>
              <w:suppressAutoHyphens/>
              <w:spacing w:before="40" w:after="40"/>
              <w:jc w:val="center"/>
              <w:rPr>
                <w:lang w:eastAsia="ar-SA"/>
              </w:rPr>
            </w:pPr>
            <w:r w:rsidRPr="008B3BC0">
              <w:rPr>
                <w:lang w:eastAsia="ar-SA"/>
              </w:rPr>
              <w:t>3,0 ÷ 5,0</w:t>
            </w:r>
          </w:p>
        </w:tc>
        <w:tc>
          <w:tcPr>
            <w:tcW w:w="1878" w:type="dxa"/>
          </w:tcPr>
          <w:p w:rsidR="00C26502" w:rsidRPr="008B3BC0" w:rsidRDefault="00C26502" w:rsidP="00C26502">
            <w:pPr>
              <w:suppressAutoHyphens/>
              <w:spacing w:before="40" w:after="40"/>
              <w:jc w:val="center"/>
              <w:rPr>
                <w:lang w:eastAsia="ar-SA"/>
              </w:rPr>
            </w:pPr>
            <w:r w:rsidRPr="008B3BC0">
              <w:rPr>
                <w:lang w:eastAsia="ar-SA"/>
              </w:rPr>
              <w:t>≥ 98</w:t>
            </w:r>
          </w:p>
        </w:tc>
        <w:tc>
          <w:tcPr>
            <w:tcW w:w="1878" w:type="dxa"/>
          </w:tcPr>
          <w:p w:rsidR="00C26502" w:rsidRPr="008B3BC0" w:rsidRDefault="00C26502" w:rsidP="00C26502">
            <w:pPr>
              <w:suppressAutoHyphens/>
              <w:spacing w:before="40" w:after="40"/>
              <w:jc w:val="center"/>
              <w:rPr>
                <w:lang w:eastAsia="ar-SA"/>
              </w:rPr>
            </w:pPr>
            <w:r w:rsidRPr="008B3BC0">
              <w:rPr>
                <w:lang w:eastAsia="ar-SA"/>
              </w:rPr>
              <w:t>1,0 ÷ 4,0</w:t>
            </w:r>
          </w:p>
        </w:tc>
      </w:tr>
    </w:tbl>
    <w:p w:rsidR="00C26502" w:rsidRPr="008B3BC0" w:rsidRDefault="00C26502" w:rsidP="00C26502">
      <w:pPr>
        <w:suppressAutoHyphens/>
        <w:rPr>
          <w:lang w:eastAsia="ar-SA"/>
        </w:rPr>
      </w:pPr>
    </w:p>
    <w:p w:rsidR="00C26502" w:rsidRPr="008B3BC0" w:rsidRDefault="00C26502" w:rsidP="00C26502">
      <w:pPr>
        <w:suppressAutoHyphens/>
        <w:rPr>
          <w:lang w:eastAsia="ar-SA"/>
        </w:rPr>
      </w:pPr>
      <w:r w:rsidRPr="008B3BC0">
        <w:rPr>
          <w:lang w:eastAsia="ar-SA"/>
        </w:rPr>
        <w:tab/>
        <w:t>Mieszanka mineralno-asfaltowa powinna być wbudowywana rozkładarką wyposażoną w układ automatycznego sterowania grubości warstwy i utrzymywania niwelety zgodnie z dokumentacją projektową. W miejscach niedostępnych dla sprzętu dopuszcza się wbudowywanie ręczne.</w:t>
      </w:r>
    </w:p>
    <w:p w:rsidR="00C26502" w:rsidRPr="008B3BC0" w:rsidRDefault="00C26502" w:rsidP="00C26502">
      <w:pPr>
        <w:suppressAutoHyphens/>
        <w:rPr>
          <w:lang w:eastAsia="ar-SA"/>
        </w:rPr>
      </w:pPr>
      <w:r w:rsidRPr="008B3BC0">
        <w:rPr>
          <w:lang w:eastAsia="ar-SA"/>
        </w:rPr>
        <w:tab/>
        <w:t xml:space="preserve">Grubość wykonywanej warstwy powinna być sprawdzana co </w:t>
      </w:r>
      <w:smartTag w:uri="urn:schemas-microsoft-com:office:smarttags" w:element="metricconverter">
        <w:smartTagPr>
          <w:attr w:name="ProductID" w:val="25 m"/>
        </w:smartTagPr>
        <w:r w:rsidRPr="008B3BC0">
          <w:rPr>
            <w:lang w:eastAsia="ar-SA"/>
          </w:rPr>
          <w:t>25 m</w:t>
        </w:r>
      </w:smartTag>
      <w:r w:rsidRPr="008B3BC0">
        <w:rPr>
          <w:lang w:eastAsia="ar-SA"/>
        </w:rPr>
        <w:t>, w co najmniej trzech miejscach (w osi i przy brzegach warstwy).</w:t>
      </w:r>
    </w:p>
    <w:p w:rsidR="00C26502" w:rsidRPr="008B3BC0" w:rsidRDefault="00C26502" w:rsidP="00C26502">
      <w:pPr>
        <w:suppressAutoHyphens/>
        <w:rPr>
          <w:lang w:eastAsia="ar-SA"/>
        </w:rPr>
      </w:pPr>
      <w:r w:rsidRPr="008B3BC0">
        <w:rPr>
          <w:lang w:eastAsia="ar-SA"/>
        </w:rPr>
        <w:tab/>
        <w:t xml:space="preserve">Warstwy wałowane powinny być równomiernie zagęszczone ciężkimi walcami drogowymi. Do warstw z betonu asfaltowego należy stosować walce drogowe stalowe gładkie z możliwością wibracji, oscylacji lub walce ogumione. </w:t>
      </w:r>
    </w:p>
    <w:p w:rsidR="00C26502" w:rsidRPr="008B3BC0" w:rsidRDefault="00C26502" w:rsidP="00C26502">
      <w:pPr>
        <w:suppressAutoHyphens/>
        <w:jc w:val="both"/>
        <w:rPr>
          <w:b/>
          <w:lang w:eastAsia="ar-SA"/>
        </w:rPr>
      </w:pPr>
      <w:r w:rsidRPr="008B3BC0">
        <w:rPr>
          <w:b/>
          <w:lang w:eastAsia="ar-SA"/>
        </w:rPr>
        <w:t>5.9. Połączenia technologiczne</w:t>
      </w:r>
    </w:p>
    <w:p w:rsidR="00C26502" w:rsidRPr="008B3BC0" w:rsidRDefault="00C26502" w:rsidP="00C26502">
      <w:pPr>
        <w:suppressAutoHyphens/>
        <w:rPr>
          <w:b/>
          <w:u w:val="single"/>
          <w:lang w:eastAsia="ar-SA"/>
        </w:rPr>
      </w:pPr>
      <w:r w:rsidRPr="008B3BC0">
        <w:rPr>
          <w:lang w:eastAsia="ar-SA"/>
        </w:rPr>
        <w:tab/>
        <w:t xml:space="preserve">Połączenia technologiczne należy wykonać zgodnie z WT-2 Nawierzchnie asfaltowe 2010 </w:t>
      </w:r>
      <w:bookmarkStart w:id="68" w:name="_Toc421940501"/>
      <w:bookmarkStart w:id="69" w:name="_Toc24955913"/>
      <w:bookmarkStart w:id="70" w:name="_Toc25128887"/>
      <w:bookmarkStart w:id="71" w:name="_Toc25373385"/>
      <w:bookmarkStart w:id="72" w:name="_Toc25379401"/>
    </w:p>
    <w:p w:rsidR="00C26502" w:rsidRPr="008B3BC0" w:rsidRDefault="00C26502" w:rsidP="00C26502">
      <w:pPr>
        <w:suppressAutoHyphens/>
        <w:jc w:val="both"/>
        <w:rPr>
          <w:b/>
          <w:u w:val="single"/>
          <w:lang w:eastAsia="ar-SA"/>
        </w:rPr>
      </w:pPr>
    </w:p>
    <w:p w:rsidR="00C26502" w:rsidRPr="008B3BC0" w:rsidRDefault="00C26502" w:rsidP="00C26502">
      <w:pPr>
        <w:suppressAutoHyphens/>
        <w:jc w:val="both"/>
        <w:rPr>
          <w:b/>
          <w:u w:val="single"/>
          <w:lang w:eastAsia="ar-SA"/>
        </w:rPr>
      </w:pPr>
    </w:p>
    <w:p w:rsidR="00C26502" w:rsidRPr="008B3BC0" w:rsidRDefault="00C26502" w:rsidP="00C26502">
      <w:pPr>
        <w:suppressAutoHyphens/>
        <w:jc w:val="both"/>
        <w:rPr>
          <w:b/>
          <w:u w:val="single"/>
          <w:lang w:eastAsia="ar-SA"/>
        </w:rPr>
      </w:pPr>
    </w:p>
    <w:p w:rsidR="00C26502" w:rsidRPr="008B3BC0" w:rsidRDefault="00C26502" w:rsidP="00C26502">
      <w:pPr>
        <w:suppressAutoHyphens/>
        <w:jc w:val="both"/>
        <w:rPr>
          <w:b/>
          <w:u w:val="single"/>
          <w:lang w:eastAsia="ar-SA"/>
        </w:rPr>
      </w:pPr>
    </w:p>
    <w:p w:rsidR="00C26502" w:rsidRPr="008B3BC0" w:rsidRDefault="00C26502" w:rsidP="00C26502">
      <w:pPr>
        <w:suppressAutoHyphens/>
        <w:jc w:val="both"/>
        <w:rPr>
          <w:b/>
          <w:u w:val="single"/>
          <w:lang w:eastAsia="ar-SA"/>
        </w:rPr>
      </w:pPr>
      <w:r w:rsidRPr="008B3BC0">
        <w:rPr>
          <w:b/>
          <w:u w:val="single"/>
          <w:lang w:eastAsia="ar-SA"/>
        </w:rPr>
        <w:t xml:space="preserve">6. </w:t>
      </w:r>
      <w:bookmarkEnd w:id="68"/>
      <w:bookmarkEnd w:id="69"/>
      <w:bookmarkEnd w:id="70"/>
      <w:bookmarkEnd w:id="71"/>
      <w:bookmarkEnd w:id="72"/>
      <w:r w:rsidRPr="008B3BC0">
        <w:rPr>
          <w:b/>
          <w:u w:val="single"/>
          <w:lang w:eastAsia="ar-SA"/>
        </w:rPr>
        <w:t>KONTROLA JAKOŚCI ROBÓT</w:t>
      </w:r>
    </w:p>
    <w:p w:rsidR="00C26502" w:rsidRPr="008B3BC0" w:rsidRDefault="00C26502" w:rsidP="00C26502">
      <w:pPr>
        <w:suppressAutoHyphens/>
        <w:jc w:val="both"/>
        <w:rPr>
          <w:b/>
          <w:lang w:eastAsia="ar-SA"/>
        </w:rPr>
      </w:pPr>
      <w:r w:rsidRPr="008B3BC0">
        <w:rPr>
          <w:b/>
          <w:lang w:eastAsia="ar-SA"/>
        </w:rPr>
        <w:t>6.1. Ogólne zasady kontroli jakości robót</w:t>
      </w:r>
    </w:p>
    <w:p w:rsidR="00C26502" w:rsidRPr="008B3BC0" w:rsidRDefault="00C26502" w:rsidP="00C26502">
      <w:pPr>
        <w:numPr>
          <w:ilvl w:val="12"/>
          <w:numId w:val="0"/>
        </w:numPr>
        <w:suppressAutoHyphens/>
        <w:jc w:val="both"/>
        <w:rPr>
          <w:lang w:eastAsia="ar-SA"/>
        </w:rPr>
      </w:pPr>
      <w:r w:rsidRPr="008B3BC0">
        <w:rPr>
          <w:lang w:eastAsia="ar-SA"/>
        </w:rPr>
        <w:tab/>
        <w:t>Ogólne zasady kontroli jakości robót podano w ST   D-M-00.00.00 „Wymagania ogólne” [1] pkt 6.</w:t>
      </w:r>
    </w:p>
    <w:p w:rsidR="00C26502" w:rsidRPr="008B3BC0" w:rsidRDefault="00C26502" w:rsidP="00C26502">
      <w:pPr>
        <w:suppressAutoHyphens/>
        <w:jc w:val="both"/>
        <w:rPr>
          <w:b/>
          <w:lang w:eastAsia="ar-SA"/>
        </w:rPr>
      </w:pPr>
      <w:r w:rsidRPr="008B3BC0">
        <w:rPr>
          <w:b/>
          <w:lang w:eastAsia="ar-SA"/>
        </w:rPr>
        <w:t>6.2. Badania przed przystąpieniem do robót</w:t>
      </w:r>
    </w:p>
    <w:p w:rsidR="00C26502" w:rsidRPr="008B3BC0" w:rsidRDefault="00C26502" w:rsidP="00C26502">
      <w:pPr>
        <w:numPr>
          <w:ilvl w:val="12"/>
          <w:numId w:val="0"/>
        </w:numPr>
        <w:suppressAutoHyphens/>
        <w:jc w:val="both"/>
        <w:rPr>
          <w:lang w:eastAsia="ar-SA"/>
        </w:rPr>
      </w:pPr>
      <w:r w:rsidRPr="008B3BC0">
        <w:rPr>
          <w:lang w:eastAsia="ar-SA"/>
        </w:rPr>
        <w:tab/>
        <w:t>Przed przystąpieniem do robót Wykonawca powinien:</w:t>
      </w:r>
    </w:p>
    <w:p w:rsidR="00C26502" w:rsidRPr="008B3BC0" w:rsidRDefault="00C26502" w:rsidP="00C26502">
      <w:pPr>
        <w:numPr>
          <w:ilvl w:val="0"/>
          <w:numId w:val="1"/>
        </w:numPr>
        <w:suppressAutoHyphens/>
        <w:overflowPunct w:val="0"/>
        <w:autoSpaceDE w:val="0"/>
        <w:autoSpaceDN w:val="0"/>
        <w:adjustRightInd w:val="0"/>
        <w:jc w:val="both"/>
        <w:textAlignment w:val="baseline"/>
        <w:rPr>
          <w:lang w:eastAsia="ar-SA"/>
        </w:rPr>
      </w:pPr>
      <w:r w:rsidRPr="008B3BC0">
        <w:rPr>
          <w:lang w:eastAsia="ar-SA"/>
        </w:rPr>
        <w:t>uzyskać wymagane dokumenty, dopuszczające wyroby budowlane do obrotu i powszechnego stosowania (np. stwierdzenie o oznakowaniu materiału znakiem CE lub znakiem budowlanym B, certyfikat zgodności, deklarację zgodności, aprobatę techniczną, ew. badania materiałów wykonane przez dostawców itp.),</w:t>
      </w:r>
    </w:p>
    <w:p w:rsidR="00C26502" w:rsidRPr="008B3BC0" w:rsidRDefault="00C26502" w:rsidP="00C26502">
      <w:pPr>
        <w:numPr>
          <w:ilvl w:val="0"/>
          <w:numId w:val="1"/>
        </w:numPr>
        <w:suppressAutoHyphens/>
        <w:overflowPunct w:val="0"/>
        <w:autoSpaceDE w:val="0"/>
        <w:autoSpaceDN w:val="0"/>
        <w:adjustRightInd w:val="0"/>
        <w:jc w:val="both"/>
        <w:textAlignment w:val="baseline"/>
        <w:rPr>
          <w:lang w:eastAsia="ar-SA"/>
        </w:rPr>
      </w:pPr>
      <w:r w:rsidRPr="008B3BC0">
        <w:rPr>
          <w:lang w:eastAsia="ar-SA"/>
        </w:rPr>
        <w:t>ew. wykonać własne badania właściwości materiałów przeznaczonych do wykonania robót, określone przez Inżyniera.</w:t>
      </w:r>
    </w:p>
    <w:p w:rsidR="00C26502" w:rsidRPr="008B3BC0" w:rsidRDefault="00C26502" w:rsidP="00C26502">
      <w:pPr>
        <w:numPr>
          <w:ilvl w:val="12"/>
          <w:numId w:val="0"/>
        </w:numPr>
        <w:suppressAutoHyphens/>
        <w:jc w:val="both"/>
        <w:rPr>
          <w:lang w:eastAsia="ar-SA"/>
        </w:rPr>
      </w:pPr>
      <w:r w:rsidRPr="008B3BC0">
        <w:rPr>
          <w:lang w:eastAsia="ar-SA"/>
        </w:rPr>
        <w:tab/>
        <w:t>Wszystkie dokumenty oraz wyniki badań Wykonawca przedstawia Inżynierowi do akceptacji.</w:t>
      </w:r>
    </w:p>
    <w:p w:rsidR="00C26502" w:rsidRPr="008B3BC0" w:rsidRDefault="00C26502" w:rsidP="00C26502">
      <w:pPr>
        <w:suppressAutoHyphens/>
        <w:jc w:val="both"/>
        <w:rPr>
          <w:b/>
          <w:lang w:eastAsia="ar-SA"/>
        </w:rPr>
      </w:pPr>
      <w:r w:rsidRPr="008B3BC0">
        <w:rPr>
          <w:b/>
          <w:lang w:eastAsia="ar-SA"/>
        </w:rPr>
        <w:t>6.3. Badania w czasie robót</w:t>
      </w:r>
    </w:p>
    <w:p w:rsidR="00C26502" w:rsidRPr="008B3BC0" w:rsidRDefault="00C26502" w:rsidP="00C26502">
      <w:pPr>
        <w:suppressAutoHyphens/>
        <w:spacing w:after="120"/>
        <w:rPr>
          <w:lang w:eastAsia="ar-SA"/>
        </w:rPr>
      </w:pPr>
      <w:r w:rsidRPr="008B3BC0">
        <w:rPr>
          <w:b/>
          <w:lang w:eastAsia="ar-SA"/>
        </w:rPr>
        <w:t xml:space="preserve">6.3.1. </w:t>
      </w:r>
      <w:r w:rsidRPr="008B3BC0">
        <w:rPr>
          <w:lang w:eastAsia="ar-SA"/>
        </w:rPr>
        <w:t>Uwagi ogólne</w:t>
      </w:r>
    </w:p>
    <w:p w:rsidR="00C26502" w:rsidRPr="008B3BC0" w:rsidRDefault="00C26502" w:rsidP="00C26502">
      <w:pPr>
        <w:suppressAutoHyphens/>
        <w:rPr>
          <w:lang w:eastAsia="ar-SA"/>
        </w:rPr>
      </w:pPr>
      <w:r w:rsidRPr="008B3BC0">
        <w:rPr>
          <w:lang w:eastAsia="ar-SA"/>
        </w:rPr>
        <w:tab/>
        <w:t>Badania dzielą się na:</w:t>
      </w:r>
    </w:p>
    <w:p w:rsidR="00C26502" w:rsidRPr="008B3BC0" w:rsidRDefault="00C26502" w:rsidP="0097494B">
      <w:pPr>
        <w:numPr>
          <w:ilvl w:val="0"/>
          <w:numId w:val="81"/>
        </w:numPr>
        <w:suppressAutoHyphens/>
        <w:rPr>
          <w:lang w:eastAsia="ar-SA"/>
        </w:rPr>
      </w:pPr>
      <w:r w:rsidRPr="008B3BC0">
        <w:rPr>
          <w:lang w:eastAsia="ar-SA"/>
        </w:rPr>
        <w:t>badania wykonawcy (w ramach własnego nadzoru),</w:t>
      </w:r>
    </w:p>
    <w:p w:rsidR="00C26502" w:rsidRPr="008B3BC0" w:rsidRDefault="00C26502" w:rsidP="0097494B">
      <w:pPr>
        <w:numPr>
          <w:ilvl w:val="0"/>
          <w:numId w:val="81"/>
        </w:numPr>
        <w:suppressAutoHyphens/>
        <w:rPr>
          <w:lang w:eastAsia="ar-SA"/>
        </w:rPr>
      </w:pPr>
      <w:r w:rsidRPr="008B3BC0">
        <w:rPr>
          <w:lang w:eastAsia="ar-SA"/>
        </w:rPr>
        <w:t>badania kontrolne (w ramach nadzoru zleceniodawcy – Inżyniera).</w:t>
      </w:r>
    </w:p>
    <w:p w:rsidR="00C26502" w:rsidRPr="008B3BC0" w:rsidRDefault="00C26502" w:rsidP="00C26502">
      <w:pPr>
        <w:suppressAutoHyphens/>
        <w:rPr>
          <w:lang w:eastAsia="ar-SA"/>
        </w:rPr>
      </w:pPr>
      <w:r w:rsidRPr="008B3BC0">
        <w:rPr>
          <w:b/>
          <w:lang w:eastAsia="ar-SA"/>
        </w:rPr>
        <w:t xml:space="preserve">6.3.2. </w:t>
      </w:r>
      <w:r w:rsidRPr="008B3BC0">
        <w:rPr>
          <w:lang w:eastAsia="ar-SA"/>
        </w:rPr>
        <w:t>Badania Wykonawcy</w:t>
      </w:r>
    </w:p>
    <w:p w:rsidR="00C26502" w:rsidRPr="008B3BC0" w:rsidRDefault="00C26502" w:rsidP="00C26502">
      <w:pPr>
        <w:suppressAutoHyphens/>
        <w:jc w:val="both"/>
        <w:rPr>
          <w:lang w:eastAsia="ar-SA"/>
        </w:rPr>
      </w:pPr>
      <w:r w:rsidRPr="008B3BC0">
        <w:rPr>
          <w:lang w:eastAsia="ar-SA"/>
        </w:rPr>
        <w:tab/>
        <w:t>Badania Wykonawcy są wykonywane przez Wykonawcę lub jego zleceniobiorców celem sprawdzenia, czy jakość materiałów budowlanych (mieszanek mineralno-asfaltowych i ich składników, lepiszczy i materiałów do uszczelnień itp.) oraz gotowej warstwy (wbudowane warstwy asfaltowe, połączenia itp.) spełniają wymagania określone w kontrakcie.</w:t>
      </w:r>
    </w:p>
    <w:p w:rsidR="00C26502" w:rsidRPr="008B3BC0" w:rsidRDefault="00C26502" w:rsidP="00C26502">
      <w:pPr>
        <w:suppressAutoHyphens/>
        <w:jc w:val="both"/>
        <w:rPr>
          <w:lang w:eastAsia="ar-SA"/>
        </w:rPr>
      </w:pPr>
      <w:r w:rsidRPr="008B3BC0">
        <w:rPr>
          <w:lang w:eastAsia="ar-SA"/>
        </w:rPr>
        <w:tab/>
        <w:t>Wykonawca powinien wykonywać te badania podczas realizacji kontraktu, z niezbędną starannością i w wymaganym zakresie. Wyniki należy zapisywać w protokołach. W razie stwierdzenia uchybień w stosunku do wymagań kontraktu, ich przyczyny należy niezwłocznie usunąć.</w:t>
      </w:r>
    </w:p>
    <w:p w:rsidR="00C26502" w:rsidRPr="008B3BC0" w:rsidRDefault="00C26502" w:rsidP="00C26502">
      <w:pPr>
        <w:suppressAutoHyphens/>
        <w:jc w:val="both"/>
        <w:rPr>
          <w:lang w:eastAsia="ar-SA"/>
        </w:rPr>
      </w:pPr>
      <w:r w:rsidRPr="008B3BC0">
        <w:rPr>
          <w:lang w:eastAsia="ar-SA"/>
        </w:rPr>
        <w:tab/>
        <w:t>Wyniki badań Wykonawcy należy przekazywać zleceniodawcy na jego żądanie. Inżynier może zdecydować o dokonaniu odbioru na podstawie badań Wykonawcy. W razie zastrzeżeń Inżynier może przeprowadzić badania kontrolne według pktu 6.3.3.</w:t>
      </w:r>
    </w:p>
    <w:p w:rsidR="00C26502" w:rsidRPr="008B3BC0" w:rsidRDefault="00C26502" w:rsidP="00C26502">
      <w:pPr>
        <w:suppressAutoHyphens/>
        <w:rPr>
          <w:lang w:eastAsia="ar-SA"/>
        </w:rPr>
      </w:pPr>
      <w:r w:rsidRPr="008B3BC0">
        <w:rPr>
          <w:lang w:eastAsia="ar-SA"/>
        </w:rPr>
        <w:tab/>
        <w:t>Zakres badań Wykonawcy związany z wykonywaniem nawierzchni:</w:t>
      </w:r>
    </w:p>
    <w:p w:rsidR="00C26502" w:rsidRPr="008B3BC0" w:rsidRDefault="00C26502" w:rsidP="0097494B">
      <w:pPr>
        <w:numPr>
          <w:ilvl w:val="0"/>
          <w:numId w:val="76"/>
        </w:numPr>
        <w:suppressAutoHyphens/>
        <w:overflowPunct w:val="0"/>
        <w:autoSpaceDE w:val="0"/>
        <w:autoSpaceDN w:val="0"/>
        <w:adjustRightInd w:val="0"/>
        <w:jc w:val="both"/>
        <w:textAlignment w:val="baseline"/>
        <w:rPr>
          <w:lang w:eastAsia="ar-SA"/>
        </w:rPr>
      </w:pPr>
      <w:r w:rsidRPr="008B3BC0">
        <w:rPr>
          <w:lang w:eastAsia="ar-SA"/>
        </w:rPr>
        <w:t>pomiar temperatury powietrza,</w:t>
      </w:r>
    </w:p>
    <w:p w:rsidR="00C26502" w:rsidRPr="008B3BC0" w:rsidRDefault="00C26502" w:rsidP="0097494B">
      <w:pPr>
        <w:numPr>
          <w:ilvl w:val="0"/>
          <w:numId w:val="76"/>
        </w:numPr>
        <w:suppressAutoHyphens/>
        <w:overflowPunct w:val="0"/>
        <w:autoSpaceDE w:val="0"/>
        <w:autoSpaceDN w:val="0"/>
        <w:adjustRightInd w:val="0"/>
        <w:jc w:val="both"/>
        <w:textAlignment w:val="baseline"/>
        <w:rPr>
          <w:lang w:eastAsia="ar-SA"/>
        </w:rPr>
      </w:pPr>
      <w:r w:rsidRPr="008B3BC0">
        <w:rPr>
          <w:lang w:eastAsia="ar-SA"/>
        </w:rPr>
        <w:t>pomiar temperatury mieszanki mineralno-asfaltowej podczas wykonywania nawierzchni (wg PN-EN 12697-13 [36]),</w:t>
      </w:r>
    </w:p>
    <w:p w:rsidR="00C26502" w:rsidRPr="008B3BC0" w:rsidRDefault="00C26502" w:rsidP="0097494B">
      <w:pPr>
        <w:numPr>
          <w:ilvl w:val="0"/>
          <w:numId w:val="76"/>
        </w:numPr>
        <w:suppressAutoHyphens/>
        <w:overflowPunct w:val="0"/>
        <w:autoSpaceDE w:val="0"/>
        <w:autoSpaceDN w:val="0"/>
        <w:adjustRightInd w:val="0"/>
        <w:jc w:val="both"/>
        <w:textAlignment w:val="baseline"/>
        <w:rPr>
          <w:lang w:eastAsia="ar-SA"/>
        </w:rPr>
      </w:pPr>
      <w:r w:rsidRPr="008B3BC0">
        <w:rPr>
          <w:lang w:eastAsia="ar-SA"/>
        </w:rPr>
        <w:t>ocena wizualna mieszanki mineralno-asfaltowej,</w:t>
      </w:r>
    </w:p>
    <w:p w:rsidR="00C26502" w:rsidRPr="008B3BC0" w:rsidRDefault="00C26502" w:rsidP="0097494B">
      <w:pPr>
        <w:numPr>
          <w:ilvl w:val="0"/>
          <w:numId w:val="76"/>
        </w:numPr>
        <w:suppressAutoHyphens/>
        <w:overflowPunct w:val="0"/>
        <w:autoSpaceDE w:val="0"/>
        <w:autoSpaceDN w:val="0"/>
        <w:adjustRightInd w:val="0"/>
        <w:jc w:val="both"/>
        <w:textAlignment w:val="baseline"/>
        <w:rPr>
          <w:lang w:eastAsia="ar-SA"/>
        </w:rPr>
      </w:pPr>
      <w:r w:rsidRPr="008B3BC0">
        <w:rPr>
          <w:lang w:eastAsia="ar-SA"/>
        </w:rPr>
        <w:t>wykaz ilości materiałów lub grubości wykonanej warstwy,</w:t>
      </w:r>
    </w:p>
    <w:p w:rsidR="00C26502" w:rsidRPr="008B3BC0" w:rsidRDefault="00C26502" w:rsidP="0097494B">
      <w:pPr>
        <w:numPr>
          <w:ilvl w:val="0"/>
          <w:numId w:val="76"/>
        </w:numPr>
        <w:suppressAutoHyphens/>
        <w:overflowPunct w:val="0"/>
        <w:autoSpaceDE w:val="0"/>
        <w:autoSpaceDN w:val="0"/>
        <w:adjustRightInd w:val="0"/>
        <w:jc w:val="both"/>
        <w:textAlignment w:val="baseline"/>
        <w:rPr>
          <w:lang w:eastAsia="ar-SA"/>
        </w:rPr>
      </w:pPr>
      <w:r w:rsidRPr="008B3BC0">
        <w:rPr>
          <w:lang w:eastAsia="ar-SA"/>
        </w:rPr>
        <w:t>pomiar spadku poprzecznego warstwy asfaltowej,</w:t>
      </w:r>
    </w:p>
    <w:p w:rsidR="00C26502" w:rsidRPr="008B3BC0" w:rsidRDefault="00C26502" w:rsidP="0097494B">
      <w:pPr>
        <w:numPr>
          <w:ilvl w:val="0"/>
          <w:numId w:val="76"/>
        </w:numPr>
        <w:suppressAutoHyphens/>
        <w:overflowPunct w:val="0"/>
        <w:autoSpaceDE w:val="0"/>
        <w:autoSpaceDN w:val="0"/>
        <w:adjustRightInd w:val="0"/>
        <w:jc w:val="both"/>
        <w:textAlignment w:val="baseline"/>
        <w:rPr>
          <w:lang w:eastAsia="ar-SA"/>
        </w:rPr>
      </w:pPr>
      <w:r w:rsidRPr="008B3BC0">
        <w:rPr>
          <w:lang w:eastAsia="ar-SA"/>
        </w:rPr>
        <w:t>pomiar równości warstwy asfaltowej (wg pktu 6.4.2.5),</w:t>
      </w:r>
    </w:p>
    <w:p w:rsidR="00C26502" w:rsidRPr="008B3BC0" w:rsidRDefault="00C26502" w:rsidP="0097494B">
      <w:pPr>
        <w:numPr>
          <w:ilvl w:val="0"/>
          <w:numId w:val="76"/>
        </w:numPr>
        <w:suppressAutoHyphens/>
        <w:overflowPunct w:val="0"/>
        <w:autoSpaceDE w:val="0"/>
        <w:autoSpaceDN w:val="0"/>
        <w:adjustRightInd w:val="0"/>
        <w:jc w:val="both"/>
        <w:textAlignment w:val="baseline"/>
        <w:rPr>
          <w:lang w:eastAsia="ar-SA"/>
        </w:rPr>
      </w:pPr>
      <w:r w:rsidRPr="008B3BC0">
        <w:rPr>
          <w:lang w:eastAsia="ar-SA"/>
        </w:rPr>
        <w:t>pomiar parametrów geometrycznych poboczy,</w:t>
      </w:r>
    </w:p>
    <w:p w:rsidR="00C26502" w:rsidRPr="008B3BC0" w:rsidRDefault="00C26502" w:rsidP="0097494B">
      <w:pPr>
        <w:numPr>
          <w:ilvl w:val="0"/>
          <w:numId w:val="76"/>
        </w:numPr>
        <w:suppressAutoHyphens/>
        <w:overflowPunct w:val="0"/>
        <w:autoSpaceDE w:val="0"/>
        <w:autoSpaceDN w:val="0"/>
        <w:adjustRightInd w:val="0"/>
        <w:jc w:val="both"/>
        <w:textAlignment w:val="baseline"/>
        <w:rPr>
          <w:lang w:eastAsia="ar-SA"/>
        </w:rPr>
      </w:pPr>
      <w:r w:rsidRPr="008B3BC0">
        <w:rPr>
          <w:lang w:eastAsia="ar-SA"/>
        </w:rPr>
        <w:t>ocena wizualna jednorodności powierzchni warstwy,</w:t>
      </w:r>
    </w:p>
    <w:p w:rsidR="00C26502" w:rsidRPr="008B3BC0" w:rsidRDefault="00C26502" w:rsidP="0097494B">
      <w:pPr>
        <w:numPr>
          <w:ilvl w:val="0"/>
          <w:numId w:val="76"/>
        </w:numPr>
        <w:suppressAutoHyphens/>
        <w:overflowPunct w:val="0"/>
        <w:autoSpaceDE w:val="0"/>
        <w:autoSpaceDN w:val="0"/>
        <w:adjustRightInd w:val="0"/>
        <w:jc w:val="both"/>
        <w:textAlignment w:val="baseline"/>
        <w:rPr>
          <w:lang w:eastAsia="ar-SA"/>
        </w:rPr>
      </w:pPr>
      <w:r w:rsidRPr="008B3BC0">
        <w:rPr>
          <w:lang w:eastAsia="ar-SA"/>
        </w:rPr>
        <w:t>ocena wizualna jakości wykonania połączeń technologicznych.</w:t>
      </w:r>
    </w:p>
    <w:p w:rsidR="00C26502" w:rsidRPr="008B3BC0" w:rsidRDefault="00C26502" w:rsidP="00C26502">
      <w:pPr>
        <w:suppressAutoHyphens/>
        <w:rPr>
          <w:lang w:eastAsia="ar-SA"/>
        </w:rPr>
      </w:pPr>
      <w:r w:rsidRPr="008B3BC0">
        <w:rPr>
          <w:b/>
          <w:lang w:eastAsia="ar-SA"/>
        </w:rPr>
        <w:t xml:space="preserve">6.3.3. </w:t>
      </w:r>
      <w:r w:rsidRPr="008B3BC0">
        <w:rPr>
          <w:lang w:eastAsia="ar-SA"/>
        </w:rPr>
        <w:t xml:space="preserve">Badania kontrolne </w:t>
      </w:r>
    </w:p>
    <w:p w:rsidR="00C26502" w:rsidRPr="008B3BC0" w:rsidRDefault="00C26502" w:rsidP="00C26502">
      <w:pPr>
        <w:suppressAutoHyphens/>
        <w:jc w:val="both"/>
        <w:rPr>
          <w:lang w:eastAsia="ar-SA"/>
        </w:rPr>
      </w:pPr>
      <w:r w:rsidRPr="008B3BC0">
        <w:rPr>
          <w:lang w:eastAsia="ar-SA"/>
        </w:rPr>
        <w:tab/>
        <w:t>Badania kontrolne są badaniami Inżyniera, których celem jest sprawdzenie, czy jakość materiałów budowlanych (mieszanek mineralno-asfaltowych i ich składników, lepiszczy i materiałów do uszczelnień itp.) oraz gotowej warstwy (wbudowane warstwy asfaltowe, połączenia itp.) spełniają wymagania określone w kontrakcie. Wyniki tych badań są podstawą odbioru. Pobieraniem próbek i wykonaniem badań na miejscu budowy zajmuje się Inżynier w obecności Wykonawcy. Badania odbywają się również wtedy, gdy Wykonawca zostanie w porę powiadomiony o ich terminie, jednak nie będzie przy nich obecny.</w:t>
      </w:r>
    </w:p>
    <w:p w:rsidR="00C26502" w:rsidRPr="008B3BC0" w:rsidRDefault="00C26502" w:rsidP="00C26502">
      <w:pPr>
        <w:suppressAutoHyphens/>
        <w:jc w:val="both"/>
        <w:rPr>
          <w:lang w:eastAsia="ar-SA"/>
        </w:rPr>
      </w:pPr>
      <w:r w:rsidRPr="008B3BC0">
        <w:rPr>
          <w:lang w:eastAsia="ar-SA"/>
        </w:rPr>
        <w:t xml:space="preserve">        Rodzaj badań kontrolnych mieszanki mineralno-asfaltowej i wykonanej z niej warstwy podano w tablicy 12.</w:t>
      </w:r>
    </w:p>
    <w:p w:rsidR="00C26502" w:rsidRPr="008B3BC0" w:rsidRDefault="00C26502" w:rsidP="00C26502">
      <w:pPr>
        <w:suppressAutoHyphens/>
        <w:jc w:val="center"/>
        <w:rPr>
          <w:lang w:eastAsia="ar-SA"/>
        </w:rPr>
      </w:pPr>
      <w:r w:rsidRPr="008B3BC0">
        <w:rPr>
          <w:lang w:eastAsia="ar-SA"/>
        </w:rPr>
        <w:t>Tablica 12. Rodzaj badań kontrolnych [65]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4"/>
        <w:gridCol w:w="6237"/>
      </w:tblGrid>
      <w:tr w:rsidR="00C26502" w:rsidRPr="008B3BC0" w:rsidTr="00C26502">
        <w:trPr>
          <w:jc w:val="center"/>
        </w:trPr>
        <w:tc>
          <w:tcPr>
            <w:tcW w:w="1134" w:type="dxa"/>
          </w:tcPr>
          <w:p w:rsidR="00C26502" w:rsidRPr="008B3BC0" w:rsidRDefault="00C26502" w:rsidP="00C26502">
            <w:pPr>
              <w:suppressAutoHyphens/>
              <w:spacing w:before="40" w:after="40"/>
              <w:jc w:val="center"/>
              <w:rPr>
                <w:lang w:eastAsia="ar-SA"/>
              </w:rPr>
            </w:pPr>
            <w:r w:rsidRPr="008B3BC0">
              <w:rPr>
                <w:lang w:eastAsia="ar-SA"/>
              </w:rPr>
              <w:t>Lp.</w:t>
            </w:r>
          </w:p>
        </w:tc>
        <w:tc>
          <w:tcPr>
            <w:tcW w:w="6237" w:type="dxa"/>
          </w:tcPr>
          <w:p w:rsidR="00C26502" w:rsidRPr="008B3BC0" w:rsidRDefault="00C26502" w:rsidP="00C26502">
            <w:pPr>
              <w:suppressAutoHyphens/>
              <w:spacing w:before="40" w:after="40"/>
              <w:jc w:val="center"/>
              <w:rPr>
                <w:lang w:eastAsia="ar-SA"/>
              </w:rPr>
            </w:pPr>
            <w:r w:rsidRPr="008B3BC0">
              <w:rPr>
                <w:lang w:eastAsia="ar-SA"/>
              </w:rPr>
              <w:t>Rodzaj badań</w:t>
            </w:r>
          </w:p>
        </w:tc>
      </w:tr>
      <w:tr w:rsidR="00C26502" w:rsidRPr="008B3BC0" w:rsidTr="00C26502">
        <w:trPr>
          <w:jc w:val="center"/>
        </w:trPr>
        <w:tc>
          <w:tcPr>
            <w:tcW w:w="1134" w:type="dxa"/>
          </w:tcPr>
          <w:p w:rsidR="00C26502" w:rsidRPr="008B3BC0" w:rsidRDefault="00C26502" w:rsidP="00C26502">
            <w:pPr>
              <w:suppressAutoHyphens/>
              <w:jc w:val="center"/>
              <w:rPr>
                <w:lang w:eastAsia="ar-SA"/>
              </w:rPr>
            </w:pPr>
            <w:r w:rsidRPr="008B3BC0">
              <w:rPr>
                <w:lang w:eastAsia="ar-SA"/>
              </w:rPr>
              <w:t>1</w:t>
            </w:r>
          </w:p>
          <w:p w:rsidR="00C26502" w:rsidRPr="008B3BC0" w:rsidRDefault="00C26502" w:rsidP="00C26502">
            <w:pPr>
              <w:suppressAutoHyphens/>
              <w:jc w:val="center"/>
              <w:rPr>
                <w:lang w:eastAsia="ar-SA"/>
              </w:rPr>
            </w:pPr>
            <w:r w:rsidRPr="008B3BC0">
              <w:rPr>
                <w:lang w:eastAsia="ar-SA"/>
              </w:rPr>
              <w:t>1.1</w:t>
            </w:r>
          </w:p>
          <w:p w:rsidR="00C26502" w:rsidRPr="008B3BC0" w:rsidRDefault="00C26502" w:rsidP="00C26502">
            <w:pPr>
              <w:suppressAutoHyphens/>
              <w:jc w:val="center"/>
              <w:rPr>
                <w:lang w:eastAsia="ar-SA"/>
              </w:rPr>
            </w:pPr>
            <w:r w:rsidRPr="008B3BC0">
              <w:rPr>
                <w:lang w:eastAsia="ar-SA"/>
              </w:rPr>
              <w:t>1.2</w:t>
            </w:r>
          </w:p>
          <w:p w:rsidR="00C26502" w:rsidRPr="008B3BC0" w:rsidRDefault="00C26502" w:rsidP="00C26502">
            <w:pPr>
              <w:suppressAutoHyphens/>
              <w:jc w:val="center"/>
              <w:rPr>
                <w:lang w:eastAsia="ar-SA"/>
              </w:rPr>
            </w:pPr>
            <w:r w:rsidRPr="008B3BC0">
              <w:rPr>
                <w:lang w:eastAsia="ar-SA"/>
              </w:rPr>
              <w:t>1.3</w:t>
            </w:r>
          </w:p>
          <w:p w:rsidR="00C26502" w:rsidRPr="008B3BC0" w:rsidRDefault="00C26502" w:rsidP="00C26502">
            <w:pPr>
              <w:suppressAutoHyphens/>
              <w:jc w:val="center"/>
              <w:rPr>
                <w:lang w:eastAsia="ar-SA"/>
              </w:rPr>
            </w:pPr>
            <w:r w:rsidRPr="008B3BC0">
              <w:rPr>
                <w:lang w:eastAsia="ar-SA"/>
              </w:rPr>
              <w:t>1.4</w:t>
            </w:r>
          </w:p>
          <w:p w:rsidR="00C26502" w:rsidRPr="008B3BC0" w:rsidRDefault="00C26502" w:rsidP="00C26502">
            <w:pPr>
              <w:suppressAutoHyphens/>
              <w:jc w:val="center"/>
              <w:rPr>
                <w:lang w:eastAsia="ar-SA"/>
              </w:rPr>
            </w:pPr>
            <w:r w:rsidRPr="008B3BC0">
              <w:rPr>
                <w:lang w:eastAsia="ar-SA"/>
              </w:rPr>
              <w:t>2</w:t>
            </w:r>
          </w:p>
          <w:p w:rsidR="00C26502" w:rsidRPr="008B3BC0" w:rsidRDefault="00C26502" w:rsidP="00C26502">
            <w:pPr>
              <w:suppressAutoHyphens/>
              <w:jc w:val="center"/>
              <w:rPr>
                <w:lang w:eastAsia="ar-SA"/>
              </w:rPr>
            </w:pPr>
            <w:r w:rsidRPr="008B3BC0">
              <w:rPr>
                <w:lang w:eastAsia="ar-SA"/>
              </w:rPr>
              <w:t>2.1</w:t>
            </w:r>
          </w:p>
          <w:p w:rsidR="00C26502" w:rsidRPr="008B3BC0" w:rsidRDefault="00C26502" w:rsidP="00C26502">
            <w:pPr>
              <w:suppressAutoHyphens/>
              <w:jc w:val="center"/>
              <w:rPr>
                <w:lang w:eastAsia="ar-SA"/>
              </w:rPr>
            </w:pPr>
            <w:r w:rsidRPr="008B3BC0">
              <w:rPr>
                <w:lang w:eastAsia="ar-SA"/>
              </w:rPr>
              <w:t>2.2</w:t>
            </w:r>
          </w:p>
          <w:p w:rsidR="00C26502" w:rsidRPr="008B3BC0" w:rsidRDefault="00C26502" w:rsidP="00C26502">
            <w:pPr>
              <w:suppressAutoHyphens/>
              <w:jc w:val="center"/>
              <w:rPr>
                <w:lang w:eastAsia="ar-SA"/>
              </w:rPr>
            </w:pPr>
            <w:r w:rsidRPr="008B3BC0">
              <w:rPr>
                <w:lang w:eastAsia="ar-SA"/>
              </w:rPr>
              <w:t>2.3</w:t>
            </w:r>
          </w:p>
          <w:p w:rsidR="00C26502" w:rsidRPr="008B3BC0" w:rsidRDefault="00C26502" w:rsidP="00C26502">
            <w:pPr>
              <w:suppressAutoHyphens/>
              <w:jc w:val="center"/>
              <w:rPr>
                <w:lang w:eastAsia="ar-SA"/>
              </w:rPr>
            </w:pPr>
            <w:r w:rsidRPr="008B3BC0">
              <w:rPr>
                <w:lang w:eastAsia="ar-SA"/>
              </w:rPr>
              <w:t>2.4</w:t>
            </w:r>
          </w:p>
          <w:p w:rsidR="00C26502" w:rsidRPr="008B3BC0" w:rsidRDefault="00C26502" w:rsidP="00C26502">
            <w:pPr>
              <w:suppressAutoHyphens/>
              <w:jc w:val="center"/>
              <w:rPr>
                <w:lang w:eastAsia="ar-SA"/>
              </w:rPr>
            </w:pPr>
            <w:r w:rsidRPr="008B3BC0">
              <w:rPr>
                <w:lang w:eastAsia="ar-SA"/>
              </w:rPr>
              <w:t>2.5</w:t>
            </w:r>
          </w:p>
          <w:p w:rsidR="00C26502" w:rsidRPr="008B3BC0" w:rsidRDefault="00C26502" w:rsidP="00C26502">
            <w:pPr>
              <w:suppressAutoHyphens/>
              <w:jc w:val="center"/>
              <w:rPr>
                <w:lang w:eastAsia="ar-SA"/>
              </w:rPr>
            </w:pPr>
            <w:r w:rsidRPr="008B3BC0">
              <w:rPr>
                <w:lang w:eastAsia="ar-SA"/>
              </w:rPr>
              <w:t>2.6</w:t>
            </w:r>
          </w:p>
        </w:tc>
        <w:tc>
          <w:tcPr>
            <w:tcW w:w="6237" w:type="dxa"/>
          </w:tcPr>
          <w:p w:rsidR="00C26502" w:rsidRPr="008B3BC0" w:rsidRDefault="00C26502" w:rsidP="00C26502">
            <w:pPr>
              <w:suppressAutoHyphens/>
              <w:rPr>
                <w:vertAlign w:val="superscript"/>
                <w:lang w:eastAsia="ar-SA"/>
              </w:rPr>
            </w:pPr>
            <w:r w:rsidRPr="008B3BC0">
              <w:rPr>
                <w:lang w:eastAsia="ar-SA"/>
              </w:rPr>
              <w:t xml:space="preserve">Mieszanka mineralno-asfaltowa </w:t>
            </w:r>
            <w:r w:rsidRPr="008B3BC0">
              <w:rPr>
                <w:vertAlign w:val="superscript"/>
                <w:lang w:eastAsia="ar-SA"/>
              </w:rPr>
              <w:t>a), b)</w:t>
            </w:r>
          </w:p>
          <w:p w:rsidR="00C26502" w:rsidRPr="008B3BC0" w:rsidRDefault="00C26502" w:rsidP="00C26502">
            <w:pPr>
              <w:suppressAutoHyphens/>
              <w:rPr>
                <w:lang w:eastAsia="ar-SA"/>
              </w:rPr>
            </w:pPr>
            <w:r w:rsidRPr="008B3BC0">
              <w:rPr>
                <w:lang w:eastAsia="ar-SA"/>
              </w:rPr>
              <w:t>Uziarnienie</w:t>
            </w:r>
          </w:p>
          <w:p w:rsidR="00C26502" w:rsidRPr="008B3BC0" w:rsidRDefault="00C26502" w:rsidP="00C26502">
            <w:pPr>
              <w:suppressAutoHyphens/>
              <w:rPr>
                <w:lang w:eastAsia="ar-SA"/>
              </w:rPr>
            </w:pPr>
            <w:r w:rsidRPr="008B3BC0">
              <w:rPr>
                <w:lang w:eastAsia="ar-SA"/>
              </w:rPr>
              <w:t>Zawartość lepiszcza</w:t>
            </w:r>
          </w:p>
          <w:p w:rsidR="00C26502" w:rsidRPr="008B3BC0" w:rsidRDefault="00C26502" w:rsidP="00C26502">
            <w:pPr>
              <w:suppressAutoHyphens/>
              <w:rPr>
                <w:lang w:eastAsia="ar-SA"/>
              </w:rPr>
            </w:pPr>
            <w:r w:rsidRPr="008B3BC0">
              <w:rPr>
                <w:lang w:eastAsia="ar-SA"/>
              </w:rPr>
              <w:t>Temperatura mięknienia lepiszcza odzyskanego</w:t>
            </w:r>
          </w:p>
          <w:p w:rsidR="00C26502" w:rsidRPr="008B3BC0" w:rsidRDefault="00C26502" w:rsidP="00C26502">
            <w:pPr>
              <w:suppressAutoHyphens/>
              <w:rPr>
                <w:lang w:eastAsia="ar-SA"/>
              </w:rPr>
            </w:pPr>
            <w:r w:rsidRPr="008B3BC0">
              <w:rPr>
                <w:lang w:eastAsia="ar-SA"/>
              </w:rPr>
              <w:t>Gęstość i zawartość wolnych przestrzeni próbki</w:t>
            </w:r>
          </w:p>
          <w:p w:rsidR="00C26502" w:rsidRPr="008B3BC0" w:rsidRDefault="00C26502" w:rsidP="00C26502">
            <w:pPr>
              <w:suppressAutoHyphens/>
              <w:rPr>
                <w:lang w:eastAsia="ar-SA"/>
              </w:rPr>
            </w:pPr>
            <w:r w:rsidRPr="008B3BC0">
              <w:rPr>
                <w:lang w:eastAsia="ar-SA"/>
              </w:rPr>
              <w:t>Warstwa asfaltowa</w:t>
            </w:r>
          </w:p>
          <w:p w:rsidR="00C26502" w:rsidRPr="008B3BC0" w:rsidRDefault="00C26502" w:rsidP="00C26502">
            <w:pPr>
              <w:suppressAutoHyphens/>
              <w:rPr>
                <w:lang w:eastAsia="ar-SA"/>
              </w:rPr>
            </w:pPr>
            <w:r w:rsidRPr="008B3BC0">
              <w:rPr>
                <w:lang w:eastAsia="ar-SA"/>
              </w:rPr>
              <w:t xml:space="preserve">Wskaźnik zagęszczenia </w:t>
            </w:r>
            <w:r w:rsidRPr="008B3BC0">
              <w:rPr>
                <w:vertAlign w:val="superscript"/>
                <w:lang w:eastAsia="ar-SA"/>
              </w:rPr>
              <w:t>a)</w:t>
            </w:r>
          </w:p>
          <w:p w:rsidR="00C26502" w:rsidRPr="008B3BC0" w:rsidRDefault="00C26502" w:rsidP="00C26502">
            <w:pPr>
              <w:suppressAutoHyphens/>
              <w:rPr>
                <w:lang w:eastAsia="ar-SA"/>
              </w:rPr>
            </w:pPr>
            <w:r w:rsidRPr="008B3BC0">
              <w:rPr>
                <w:lang w:eastAsia="ar-SA"/>
              </w:rPr>
              <w:t>Spadki poprzeczne</w:t>
            </w:r>
          </w:p>
          <w:p w:rsidR="00C26502" w:rsidRPr="008B3BC0" w:rsidRDefault="00C26502" w:rsidP="00C26502">
            <w:pPr>
              <w:suppressAutoHyphens/>
              <w:rPr>
                <w:lang w:eastAsia="ar-SA"/>
              </w:rPr>
            </w:pPr>
            <w:r w:rsidRPr="008B3BC0">
              <w:rPr>
                <w:lang w:eastAsia="ar-SA"/>
              </w:rPr>
              <w:t>Równość</w:t>
            </w:r>
          </w:p>
          <w:p w:rsidR="00C26502" w:rsidRPr="008B3BC0" w:rsidRDefault="00C26502" w:rsidP="00C26502">
            <w:pPr>
              <w:suppressAutoHyphens/>
              <w:rPr>
                <w:lang w:eastAsia="ar-SA"/>
              </w:rPr>
            </w:pPr>
            <w:r w:rsidRPr="008B3BC0">
              <w:rPr>
                <w:lang w:eastAsia="ar-SA"/>
              </w:rPr>
              <w:t>Grubość lub ilość materiału</w:t>
            </w:r>
          </w:p>
          <w:p w:rsidR="00C26502" w:rsidRPr="008B3BC0" w:rsidRDefault="00C26502" w:rsidP="00C26502">
            <w:pPr>
              <w:suppressAutoHyphens/>
              <w:rPr>
                <w:lang w:eastAsia="ar-SA"/>
              </w:rPr>
            </w:pPr>
            <w:r w:rsidRPr="008B3BC0">
              <w:rPr>
                <w:lang w:eastAsia="ar-SA"/>
              </w:rPr>
              <w:t xml:space="preserve">Zawartość wolnych przestrzeni </w:t>
            </w:r>
            <w:r w:rsidRPr="008B3BC0">
              <w:rPr>
                <w:vertAlign w:val="superscript"/>
                <w:lang w:eastAsia="ar-SA"/>
              </w:rPr>
              <w:t>a)</w:t>
            </w:r>
          </w:p>
          <w:p w:rsidR="00C26502" w:rsidRPr="008B3BC0" w:rsidRDefault="00C26502" w:rsidP="00C26502">
            <w:pPr>
              <w:suppressAutoHyphens/>
              <w:rPr>
                <w:lang w:eastAsia="ar-SA"/>
              </w:rPr>
            </w:pPr>
            <w:r w:rsidRPr="008B3BC0">
              <w:rPr>
                <w:lang w:eastAsia="ar-SA"/>
              </w:rPr>
              <w:t>Właściwości przeciwpoślizgowe</w:t>
            </w:r>
          </w:p>
        </w:tc>
      </w:tr>
      <w:tr w:rsidR="00C26502" w:rsidRPr="008B3BC0" w:rsidTr="00C26502">
        <w:trPr>
          <w:jc w:val="center"/>
        </w:trPr>
        <w:tc>
          <w:tcPr>
            <w:tcW w:w="7371" w:type="dxa"/>
            <w:gridSpan w:val="2"/>
          </w:tcPr>
          <w:p w:rsidR="00C26502" w:rsidRPr="008B3BC0" w:rsidRDefault="00C26502" w:rsidP="00C26502">
            <w:pPr>
              <w:suppressAutoHyphens/>
              <w:ind w:left="284" w:hanging="284"/>
              <w:rPr>
                <w:lang w:eastAsia="ar-SA"/>
              </w:rPr>
            </w:pPr>
            <w:r w:rsidRPr="008B3BC0">
              <w:rPr>
                <w:vertAlign w:val="superscript"/>
                <w:lang w:eastAsia="ar-SA"/>
              </w:rPr>
              <w:t>a)</w:t>
            </w:r>
            <w:r w:rsidRPr="008B3BC0">
              <w:rPr>
                <w:lang w:eastAsia="ar-SA"/>
              </w:rPr>
              <w:t xml:space="preserve">  do każdej warstwy i na każde rozpoczęte </w:t>
            </w:r>
            <w:smartTag w:uri="urn:schemas-microsoft-com:office:smarttags" w:element="metricconverter">
              <w:smartTagPr>
                <w:attr w:name="ProductID" w:val="6ﾠ000 m2"/>
              </w:smartTagPr>
              <w:r w:rsidRPr="008B3BC0">
                <w:rPr>
                  <w:lang w:eastAsia="ar-SA"/>
                </w:rPr>
                <w:t>6 000 m</w:t>
              </w:r>
              <w:r w:rsidRPr="008B3BC0">
                <w:rPr>
                  <w:vertAlign w:val="superscript"/>
                  <w:lang w:eastAsia="ar-SA"/>
                </w:rPr>
                <w:t>2</w:t>
              </w:r>
            </w:smartTag>
            <w:r w:rsidRPr="008B3BC0">
              <w:rPr>
                <w:lang w:eastAsia="ar-SA"/>
              </w:rPr>
              <w:t xml:space="preserve"> nawierzchni jedna próbka; w razie potrzeby liczba próbek może zostać zwiększona (np. nawierzchnie dróg w terenie zabudowy)</w:t>
            </w:r>
          </w:p>
          <w:p w:rsidR="00C26502" w:rsidRPr="008B3BC0" w:rsidRDefault="00C26502" w:rsidP="00C26502">
            <w:pPr>
              <w:suppressAutoHyphens/>
              <w:rPr>
                <w:lang w:eastAsia="ar-SA"/>
              </w:rPr>
            </w:pPr>
            <w:r w:rsidRPr="008B3BC0">
              <w:rPr>
                <w:vertAlign w:val="superscript"/>
                <w:lang w:eastAsia="ar-SA"/>
              </w:rPr>
              <w:t>b)</w:t>
            </w:r>
            <w:r w:rsidRPr="008B3BC0">
              <w:rPr>
                <w:lang w:eastAsia="ar-SA"/>
              </w:rPr>
              <w:t xml:space="preserve">  w razie potrzeby specjalne kruszywa i dodatki</w:t>
            </w:r>
          </w:p>
        </w:tc>
      </w:tr>
    </w:tbl>
    <w:p w:rsidR="00C26502" w:rsidRPr="008B3BC0" w:rsidRDefault="00C26502" w:rsidP="00C26502">
      <w:pPr>
        <w:suppressAutoHyphens/>
        <w:rPr>
          <w:lang w:eastAsia="ar-SA"/>
        </w:rPr>
      </w:pPr>
      <w:r w:rsidRPr="008B3BC0">
        <w:rPr>
          <w:b/>
          <w:lang w:eastAsia="ar-SA"/>
        </w:rPr>
        <w:t xml:space="preserve">6.3.4. </w:t>
      </w:r>
      <w:r w:rsidRPr="008B3BC0">
        <w:rPr>
          <w:lang w:eastAsia="ar-SA"/>
        </w:rPr>
        <w:t>Badania kontrolne dodatkowe</w:t>
      </w:r>
    </w:p>
    <w:p w:rsidR="00C26502" w:rsidRPr="008B3BC0" w:rsidRDefault="00C26502" w:rsidP="00C26502">
      <w:pPr>
        <w:suppressAutoHyphens/>
        <w:jc w:val="both"/>
        <w:rPr>
          <w:lang w:eastAsia="ar-SA"/>
        </w:rPr>
      </w:pPr>
      <w:r w:rsidRPr="008B3BC0">
        <w:rPr>
          <w:lang w:eastAsia="ar-SA"/>
        </w:rPr>
        <w:tab/>
        <w:t>W wypadku uznania, że jeden z wyników badań kontrolnych nie jest reprezentatywny dla ocenianego odcinka budowy, Wykonawca ma prawo żądać przeprowadzenia badań kontrolnych dodatkowych.</w:t>
      </w:r>
    </w:p>
    <w:p w:rsidR="00C26502" w:rsidRPr="008B3BC0" w:rsidRDefault="00C26502" w:rsidP="00C26502">
      <w:pPr>
        <w:suppressAutoHyphens/>
        <w:jc w:val="both"/>
        <w:rPr>
          <w:lang w:eastAsia="ar-SA"/>
        </w:rPr>
      </w:pPr>
      <w:r w:rsidRPr="008B3BC0">
        <w:rPr>
          <w:lang w:eastAsia="ar-SA"/>
        </w:rPr>
        <w:tab/>
        <w:t>Inżynier i Wykonawca decydują wspólnie o miejscach pobierania próbek i wyznaczeniu odcinków częściowych ocenianego odcinka budowy. Jeżeli odcinek częściowy przyporządkowany do badań kontrolnych nie może być jednoznacznie i zgodnie wyznaczony, to odcinek ten nie powinien być mniejszy niż 20% ocenianego odcinka budowy.</w:t>
      </w:r>
    </w:p>
    <w:p w:rsidR="00C26502" w:rsidRPr="008B3BC0" w:rsidRDefault="00C26502" w:rsidP="00C26502">
      <w:pPr>
        <w:suppressAutoHyphens/>
        <w:jc w:val="both"/>
        <w:rPr>
          <w:lang w:eastAsia="ar-SA"/>
        </w:rPr>
      </w:pPr>
      <w:r w:rsidRPr="008B3BC0">
        <w:rPr>
          <w:lang w:eastAsia="ar-SA"/>
        </w:rPr>
        <w:tab/>
        <w:t>Do odbioru uwzględniane są wyniki badań kontrolnych i badań kontrolnych dodatkowych do wyznaczonych odcinków częściowych.</w:t>
      </w:r>
    </w:p>
    <w:p w:rsidR="00C26502" w:rsidRPr="008B3BC0" w:rsidRDefault="00C26502" w:rsidP="00C26502">
      <w:pPr>
        <w:suppressAutoHyphens/>
        <w:jc w:val="both"/>
        <w:rPr>
          <w:lang w:eastAsia="ar-SA"/>
        </w:rPr>
      </w:pPr>
      <w:r w:rsidRPr="008B3BC0">
        <w:rPr>
          <w:lang w:eastAsia="ar-SA"/>
        </w:rPr>
        <w:tab/>
        <w:t>Koszty badań kontrolnych dodatkowych zażądanych przez Wykonawcę ponosi Wykonawca.</w:t>
      </w:r>
    </w:p>
    <w:p w:rsidR="00C26502" w:rsidRPr="008B3BC0" w:rsidRDefault="00C26502" w:rsidP="00C26502">
      <w:pPr>
        <w:suppressAutoHyphens/>
        <w:rPr>
          <w:lang w:eastAsia="ar-SA"/>
        </w:rPr>
      </w:pPr>
      <w:r w:rsidRPr="008B3BC0">
        <w:rPr>
          <w:b/>
          <w:lang w:eastAsia="ar-SA"/>
        </w:rPr>
        <w:t xml:space="preserve">6.3.5. </w:t>
      </w:r>
      <w:r w:rsidRPr="008B3BC0">
        <w:rPr>
          <w:lang w:eastAsia="ar-SA"/>
        </w:rPr>
        <w:t>Badania arbitrażowe</w:t>
      </w:r>
    </w:p>
    <w:p w:rsidR="00C26502" w:rsidRPr="008B3BC0" w:rsidRDefault="00C26502" w:rsidP="00C26502">
      <w:pPr>
        <w:suppressAutoHyphens/>
        <w:jc w:val="both"/>
        <w:rPr>
          <w:lang w:eastAsia="ar-SA"/>
        </w:rPr>
      </w:pPr>
      <w:r w:rsidRPr="008B3BC0">
        <w:rPr>
          <w:lang w:eastAsia="ar-SA"/>
        </w:rPr>
        <w:tab/>
        <w:t>Badania arbitrażowe są powtórzeniem badań kontrolnych, co do których istnieją uzasadnione wątpliwości ze strony Inżyniera lub Wykonawcy (np. na podstawie własnych badań).</w:t>
      </w:r>
    </w:p>
    <w:p w:rsidR="00C26502" w:rsidRPr="008B3BC0" w:rsidRDefault="00C26502" w:rsidP="00C26502">
      <w:pPr>
        <w:suppressAutoHyphens/>
        <w:jc w:val="both"/>
        <w:rPr>
          <w:lang w:eastAsia="ar-SA"/>
        </w:rPr>
      </w:pPr>
      <w:r w:rsidRPr="008B3BC0">
        <w:rPr>
          <w:lang w:eastAsia="ar-SA"/>
        </w:rPr>
        <w:tab/>
        <w:t>Badania arbitrażowe wykonuje na wniosek strony kontraktu niezależne laboratorium, które nie wykonywało badań kontrolnych.</w:t>
      </w:r>
    </w:p>
    <w:p w:rsidR="00C26502" w:rsidRPr="008B3BC0" w:rsidRDefault="00C26502" w:rsidP="00C26502">
      <w:pPr>
        <w:suppressAutoHyphens/>
        <w:jc w:val="both"/>
        <w:rPr>
          <w:lang w:eastAsia="ar-SA"/>
        </w:rPr>
      </w:pPr>
      <w:r w:rsidRPr="008B3BC0">
        <w:rPr>
          <w:lang w:eastAsia="ar-SA"/>
        </w:rPr>
        <w:tab/>
        <w:t>Koszty badań arbitrażowych wraz ze wszystkimi kosztami ubocznymi ponosi strona, na której niekorzyść przemawia wynik badania.</w:t>
      </w:r>
    </w:p>
    <w:p w:rsidR="00C26502" w:rsidRPr="008B3BC0" w:rsidRDefault="00C26502" w:rsidP="00C26502">
      <w:pPr>
        <w:suppressAutoHyphens/>
        <w:jc w:val="both"/>
        <w:rPr>
          <w:lang w:eastAsia="ar-SA"/>
        </w:rPr>
      </w:pPr>
      <w:r w:rsidRPr="008B3BC0">
        <w:rPr>
          <w:lang w:eastAsia="ar-SA"/>
        </w:rPr>
        <w:tab/>
        <w:t>Wniosek o przeprowadzenie badań arbitrażowych dotyczących zawartości wolnych przestrzeni lub wskaźnika zagęszczenia należy złożyć w ciągu 2 miesięcy od wpływu reklamacji ze strony Zamawiającego.</w:t>
      </w:r>
    </w:p>
    <w:p w:rsidR="00C26502" w:rsidRPr="008B3BC0" w:rsidRDefault="00C26502" w:rsidP="00C26502">
      <w:pPr>
        <w:suppressAutoHyphens/>
        <w:jc w:val="both"/>
        <w:rPr>
          <w:b/>
          <w:lang w:eastAsia="ar-SA"/>
        </w:rPr>
      </w:pPr>
      <w:r w:rsidRPr="008B3BC0">
        <w:rPr>
          <w:b/>
          <w:lang w:eastAsia="ar-SA"/>
        </w:rPr>
        <w:t>6.4. Właściwości warstwy i nawierzchni oraz dopuszczalne odchyłki</w:t>
      </w:r>
    </w:p>
    <w:p w:rsidR="00C26502" w:rsidRPr="008B3BC0" w:rsidRDefault="00C26502" w:rsidP="00C26502">
      <w:pPr>
        <w:suppressAutoHyphens/>
        <w:jc w:val="both"/>
        <w:rPr>
          <w:lang w:eastAsia="ar-SA"/>
        </w:rPr>
      </w:pPr>
      <w:r w:rsidRPr="008B3BC0">
        <w:rPr>
          <w:b/>
          <w:lang w:eastAsia="ar-SA"/>
        </w:rPr>
        <w:t>6.4.1.</w:t>
      </w:r>
      <w:r w:rsidRPr="008B3BC0">
        <w:rPr>
          <w:lang w:eastAsia="ar-SA"/>
        </w:rPr>
        <w:t xml:space="preserve"> Mieszanka mineralno-asfaltowa</w:t>
      </w:r>
    </w:p>
    <w:p w:rsidR="00C26502" w:rsidRPr="008B3BC0" w:rsidRDefault="00C26502" w:rsidP="00C26502">
      <w:pPr>
        <w:suppressAutoHyphens/>
        <w:jc w:val="both"/>
        <w:rPr>
          <w:lang w:eastAsia="ar-SA"/>
        </w:rPr>
      </w:pPr>
      <w:r w:rsidRPr="008B3BC0">
        <w:rPr>
          <w:lang w:eastAsia="ar-SA"/>
        </w:rPr>
        <w:t>Dopuszczalne wartości odchyłek i tolerancje zawarte są w WT-2 Nawierzchnie asfaltowe 2010.</w:t>
      </w:r>
    </w:p>
    <w:p w:rsidR="00C26502" w:rsidRPr="008B3BC0" w:rsidRDefault="00C26502" w:rsidP="00C26502">
      <w:pPr>
        <w:suppressAutoHyphens/>
        <w:jc w:val="both"/>
        <w:rPr>
          <w:lang w:eastAsia="ar-SA"/>
        </w:rPr>
      </w:pPr>
      <w:r w:rsidRPr="008B3BC0">
        <w:rPr>
          <w:lang w:eastAsia="ar-SA"/>
        </w:rPr>
        <w:tab/>
        <w:t>Na etapie oceny jakości wbudowanej mieszanki mineralno-asfaltowej podaje się wartości dopuszczalne i tolerancje, w których uwzględnia się: rozrzut występujący przy pobieraniu próbek, dokładność metod badań oraz odstępstwa uwarunkowane metodą pracy.</w:t>
      </w:r>
    </w:p>
    <w:p w:rsidR="00C26502" w:rsidRPr="008B3BC0" w:rsidRDefault="00C26502" w:rsidP="00C26502">
      <w:pPr>
        <w:suppressAutoHyphens/>
        <w:jc w:val="both"/>
        <w:rPr>
          <w:lang w:eastAsia="ar-SA"/>
        </w:rPr>
      </w:pPr>
      <w:r w:rsidRPr="008B3BC0">
        <w:rPr>
          <w:lang w:eastAsia="ar-SA"/>
        </w:rPr>
        <w:tab/>
        <w:t>Właściwości materiałów należy oceniać na podstawie badań pobranych próbek mieszanki mineralno-asfaltowej przed wbudowaniem (wbudowanie oznacza wykonanie warstwy asfaltowej). Wyjątkowo dopuszcza się badania próbek pobranych z wykonanej warstwy asfaltowej.</w:t>
      </w:r>
    </w:p>
    <w:p w:rsidR="00C26502" w:rsidRPr="008B3BC0" w:rsidRDefault="00C26502" w:rsidP="00C26502">
      <w:pPr>
        <w:suppressAutoHyphens/>
        <w:jc w:val="both"/>
        <w:rPr>
          <w:lang w:eastAsia="ar-SA"/>
        </w:rPr>
      </w:pPr>
      <w:r w:rsidRPr="008B3BC0">
        <w:rPr>
          <w:b/>
          <w:lang w:eastAsia="ar-SA"/>
        </w:rPr>
        <w:t xml:space="preserve">6.4.2. </w:t>
      </w:r>
      <w:r w:rsidRPr="008B3BC0">
        <w:rPr>
          <w:lang w:eastAsia="ar-SA"/>
        </w:rPr>
        <w:t>Warstwa asfaltowa</w:t>
      </w:r>
    </w:p>
    <w:p w:rsidR="00C26502" w:rsidRPr="008B3BC0" w:rsidRDefault="00C26502" w:rsidP="00C26502">
      <w:pPr>
        <w:suppressAutoHyphens/>
        <w:jc w:val="both"/>
        <w:rPr>
          <w:lang w:eastAsia="ar-SA"/>
        </w:rPr>
      </w:pPr>
      <w:r w:rsidRPr="008B3BC0">
        <w:rPr>
          <w:lang w:eastAsia="ar-SA"/>
        </w:rPr>
        <w:t>6.4.2.1. Grubość warstwy oraz ilość materiału</w:t>
      </w:r>
    </w:p>
    <w:p w:rsidR="00C26502" w:rsidRPr="008B3BC0" w:rsidRDefault="00C26502" w:rsidP="00C26502">
      <w:pPr>
        <w:suppressAutoHyphens/>
        <w:jc w:val="both"/>
        <w:rPr>
          <w:lang w:eastAsia="ar-SA"/>
        </w:rPr>
      </w:pPr>
      <w:r w:rsidRPr="008B3BC0">
        <w:rPr>
          <w:lang w:eastAsia="ar-SA"/>
        </w:rPr>
        <w:tab/>
        <w:t>Grubość wykonanej warstwy oznaczana według PN-EN 12697-36 [40] oraz ilość wbudowanego materiału na określoną powierzchnię (dotyczy przede wszystkim cienkich warstw) mogą odbiegać od projektu o wartości podane w tablicy 13.</w:t>
      </w:r>
    </w:p>
    <w:p w:rsidR="00C26502" w:rsidRPr="008B3BC0" w:rsidRDefault="00C26502" w:rsidP="00C26502">
      <w:pPr>
        <w:suppressAutoHyphens/>
        <w:jc w:val="both"/>
        <w:rPr>
          <w:lang w:eastAsia="ar-SA"/>
        </w:rPr>
      </w:pPr>
      <w:r w:rsidRPr="008B3BC0">
        <w:rPr>
          <w:lang w:eastAsia="ar-SA"/>
        </w:rPr>
        <w:tab/>
        <w:t>W wypadku określania ilości materiału na powierzchnię i średniej wartości grubości warstwy z reguły należy przyjąć za podstawę cały odcinek budowy. Inżynier ma prawo sprawdzać odcinki częściowe. Odcinek częściowy powinien zawierać co najmniej jedną dzienną działkę roboczą. Do odcinka częściowego obowiązują te same wymagania jak do odcinka budowy.</w:t>
      </w:r>
    </w:p>
    <w:p w:rsidR="00C26502" w:rsidRPr="008B3BC0" w:rsidRDefault="00C26502" w:rsidP="00C26502">
      <w:pPr>
        <w:suppressAutoHyphens/>
        <w:jc w:val="both"/>
        <w:rPr>
          <w:lang w:eastAsia="ar-SA"/>
        </w:rPr>
      </w:pPr>
      <w:r w:rsidRPr="008B3BC0">
        <w:rPr>
          <w:lang w:eastAsia="ar-SA"/>
        </w:rPr>
        <w:tab/>
        <w:t>Za grubość warstwy lub warstw przyjmuje się średnią arytmetyczną wszystkich pojedynczych oznaczeń grubości warstwy na całym odcinku budowy lub odcinku częściowym.</w:t>
      </w:r>
    </w:p>
    <w:p w:rsidR="00C26502" w:rsidRPr="008B3BC0" w:rsidRDefault="00C26502" w:rsidP="00C26502">
      <w:pPr>
        <w:suppressAutoHyphens/>
        <w:rPr>
          <w:lang w:eastAsia="ar-SA"/>
        </w:rPr>
      </w:pPr>
      <w:r w:rsidRPr="008B3BC0">
        <w:rPr>
          <w:lang w:eastAsia="ar-SA"/>
        </w:rPr>
        <w:t>Tablica 13. Dopuszczalne odchyłki grubości warstwy oraz ilości materiału na określonej powierzchni, [%] [65]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6"/>
        <w:gridCol w:w="2725"/>
      </w:tblGrid>
      <w:tr w:rsidR="00C26502" w:rsidRPr="008B3BC0" w:rsidTr="00C26502">
        <w:trPr>
          <w:jc w:val="center"/>
        </w:trPr>
        <w:tc>
          <w:tcPr>
            <w:tcW w:w="4786" w:type="dxa"/>
          </w:tcPr>
          <w:p w:rsidR="00C26502" w:rsidRPr="008B3BC0" w:rsidRDefault="00C26502" w:rsidP="00C26502">
            <w:pPr>
              <w:suppressAutoHyphens/>
              <w:spacing w:before="60" w:after="60"/>
              <w:jc w:val="center"/>
              <w:rPr>
                <w:lang w:eastAsia="ar-SA"/>
              </w:rPr>
            </w:pPr>
            <w:r w:rsidRPr="008B3BC0">
              <w:rPr>
                <w:lang w:eastAsia="ar-SA"/>
              </w:rPr>
              <w:t>Warunki oceny</w:t>
            </w:r>
          </w:p>
        </w:tc>
        <w:tc>
          <w:tcPr>
            <w:tcW w:w="2725" w:type="dxa"/>
          </w:tcPr>
          <w:p w:rsidR="00C26502" w:rsidRPr="008B3BC0" w:rsidRDefault="00C26502" w:rsidP="00C26502">
            <w:pPr>
              <w:suppressAutoHyphens/>
              <w:spacing w:before="60" w:after="60"/>
              <w:jc w:val="center"/>
              <w:rPr>
                <w:lang w:eastAsia="ar-SA"/>
              </w:rPr>
            </w:pPr>
            <w:r w:rsidRPr="008B3BC0">
              <w:rPr>
                <w:lang w:eastAsia="ar-SA"/>
              </w:rPr>
              <w:t>Warstwa asfaltowa AC</w:t>
            </w:r>
            <w:r w:rsidRPr="008B3BC0">
              <w:rPr>
                <w:vertAlign w:val="superscript"/>
                <w:lang w:eastAsia="ar-SA"/>
              </w:rPr>
              <w:t>a)</w:t>
            </w:r>
          </w:p>
        </w:tc>
      </w:tr>
      <w:tr w:rsidR="00C26502" w:rsidRPr="008B3BC0" w:rsidTr="00C26502">
        <w:trPr>
          <w:jc w:val="center"/>
        </w:trPr>
        <w:tc>
          <w:tcPr>
            <w:tcW w:w="4786" w:type="dxa"/>
          </w:tcPr>
          <w:p w:rsidR="00C26502" w:rsidRPr="008B3BC0" w:rsidRDefault="00C26502" w:rsidP="00C26502">
            <w:pPr>
              <w:suppressAutoHyphens/>
              <w:rPr>
                <w:lang w:eastAsia="ar-SA"/>
              </w:rPr>
            </w:pPr>
            <w:r w:rsidRPr="008B3BC0">
              <w:rPr>
                <w:lang w:eastAsia="ar-SA"/>
              </w:rPr>
              <w:t>A – Średnia z wielu oznaczeń grubości oraz ilości</w:t>
            </w:r>
          </w:p>
          <w:p w:rsidR="00C26502" w:rsidRPr="008B3BC0" w:rsidRDefault="00C26502" w:rsidP="00C26502">
            <w:pPr>
              <w:suppressAutoHyphens/>
              <w:ind w:left="426" w:hanging="426"/>
              <w:rPr>
                <w:lang w:eastAsia="ar-SA"/>
              </w:rPr>
            </w:pPr>
            <w:r w:rsidRPr="008B3BC0">
              <w:rPr>
                <w:lang w:eastAsia="ar-SA"/>
              </w:rPr>
              <w:t xml:space="preserve">1. – duży odcinek budowy, powierzchnia większa niż </w:t>
            </w:r>
            <w:smartTag w:uri="urn:schemas-microsoft-com:office:smarttags" w:element="metricconverter">
              <w:smartTagPr>
                <w:attr w:name="ProductID" w:val="6000 m2"/>
              </w:smartTagPr>
              <w:r w:rsidRPr="008B3BC0">
                <w:rPr>
                  <w:lang w:eastAsia="ar-SA"/>
                </w:rPr>
                <w:t>6000 m</w:t>
              </w:r>
              <w:r w:rsidRPr="008B3BC0">
                <w:rPr>
                  <w:vertAlign w:val="superscript"/>
                  <w:lang w:eastAsia="ar-SA"/>
                </w:rPr>
                <w:t>2</w:t>
              </w:r>
            </w:smartTag>
            <w:r w:rsidRPr="008B3BC0">
              <w:rPr>
                <w:lang w:eastAsia="ar-SA"/>
              </w:rPr>
              <w:t xml:space="preserve"> lub</w:t>
            </w:r>
          </w:p>
          <w:p w:rsidR="00C26502" w:rsidRPr="008B3BC0" w:rsidRDefault="00C26502" w:rsidP="00C26502">
            <w:pPr>
              <w:suppressAutoHyphens/>
              <w:ind w:left="426" w:hanging="426"/>
              <w:rPr>
                <w:lang w:eastAsia="ar-SA"/>
              </w:rPr>
            </w:pPr>
            <w:r w:rsidRPr="008B3BC0">
              <w:rPr>
                <w:lang w:eastAsia="ar-SA"/>
              </w:rPr>
              <w:t xml:space="preserve">     – droga ograniczona krawężnikami, powierzchnia większa niż </w:t>
            </w:r>
            <w:smartTag w:uri="urn:schemas-microsoft-com:office:smarttags" w:element="metricconverter">
              <w:smartTagPr>
                <w:attr w:name="ProductID" w:val="1000 m2"/>
              </w:smartTagPr>
              <w:r w:rsidRPr="008B3BC0">
                <w:rPr>
                  <w:lang w:eastAsia="ar-SA"/>
                </w:rPr>
                <w:t>1000 m</w:t>
              </w:r>
              <w:r w:rsidRPr="008B3BC0">
                <w:rPr>
                  <w:vertAlign w:val="superscript"/>
                  <w:lang w:eastAsia="ar-SA"/>
                </w:rPr>
                <w:t>2</w:t>
              </w:r>
            </w:smartTag>
            <w:r w:rsidRPr="008B3BC0">
              <w:rPr>
                <w:lang w:eastAsia="ar-SA"/>
              </w:rPr>
              <w:t xml:space="preserve"> lub</w:t>
            </w:r>
          </w:p>
          <w:p w:rsidR="00C26502" w:rsidRPr="008B3BC0" w:rsidRDefault="00C26502" w:rsidP="00C26502">
            <w:pPr>
              <w:suppressAutoHyphens/>
              <w:ind w:left="426" w:hanging="426"/>
              <w:rPr>
                <w:lang w:eastAsia="ar-SA"/>
              </w:rPr>
            </w:pPr>
            <w:r w:rsidRPr="008B3BC0">
              <w:rPr>
                <w:lang w:eastAsia="ar-SA"/>
              </w:rPr>
              <w:t xml:space="preserve">     –  warstwa ścieralna, ilość większa niż 50 kg/m</w:t>
            </w:r>
            <w:r w:rsidRPr="008B3BC0">
              <w:rPr>
                <w:vertAlign w:val="superscript"/>
                <w:lang w:eastAsia="ar-SA"/>
              </w:rPr>
              <w:t>2</w:t>
            </w:r>
          </w:p>
          <w:p w:rsidR="00C26502" w:rsidRPr="008B3BC0" w:rsidRDefault="00C26502" w:rsidP="00C26502">
            <w:pPr>
              <w:suppressAutoHyphens/>
              <w:ind w:left="426" w:hanging="426"/>
              <w:rPr>
                <w:lang w:eastAsia="ar-SA"/>
              </w:rPr>
            </w:pPr>
            <w:r w:rsidRPr="008B3BC0">
              <w:rPr>
                <w:lang w:eastAsia="ar-SA"/>
              </w:rPr>
              <w:t>2.  –  mały odcinek budowy lub</w:t>
            </w:r>
          </w:p>
          <w:p w:rsidR="00C26502" w:rsidRPr="008B3BC0" w:rsidRDefault="00C26502" w:rsidP="00C26502">
            <w:pPr>
              <w:suppressAutoHyphens/>
              <w:ind w:left="426" w:hanging="426"/>
              <w:rPr>
                <w:lang w:eastAsia="ar-SA"/>
              </w:rPr>
            </w:pPr>
            <w:r w:rsidRPr="008B3BC0">
              <w:rPr>
                <w:lang w:eastAsia="ar-SA"/>
              </w:rPr>
              <w:t xml:space="preserve">     –  warstwa ścieralna, ilość większa niż 50 kg/m</w:t>
            </w:r>
            <w:r w:rsidRPr="008B3BC0">
              <w:rPr>
                <w:vertAlign w:val="superscript"/>
                <w:lang w:eastAsia="ar-SA"/>
              </w:rPr>
              <w:t>2</w:t>
            </w:r>
          </w:p>
        </w:tc>
        <w:tc>
          <w:tcPr>
            <w:tcW w:w="2725" w:type="dxa"/>
          </w:tcPr>
          <w:p w:rsidR="00C26502" w:rsidRPr="008B3BC0" w:rsidRDefault="00C26502" w:rsidP="00C26502">
            <w:pPr>
              <w:suppressAutoHyphens/>
              <w:jc w:val="center"/>
              <w:rPr>
                <w:lang w:eastAsia="ar-SA"/>
              </w:rPr>
            </w:pPr>
          </w:p>
          <w:p w:rsidR="00C26502" w:rsidRPr="008B3BC0" w:rsidRDefault="00C26502" w:rsidP="00C26502">
            <w:pPr>
              <w:suppressAutoHyphens/>
              <w:jc w:val="center"/>
              <w:rPr>
                <w:lang w:eastAsia="ar-SA"/>
              </w:rPr>
            </w:pPr>
          </w:p>
          <w:p w:rsidR="00C26502" w:rsidRPr="008B3BC0" w:rsidRDefault="00C26502" w:rsidP="00C26502">
            <w:pPr>
              <w:suppressAutoHyphens/>
              <w:jc w:val="center"/>
              <w:rPr>
                <w:lang w:eastAsia="ar-SA"/>
              </w:rPr>
            </w:pPr>
          </w:p>
          <w:p w:rsidR="00C26502" w:rsidRPr="008B3BC0" w:rsidRDefault="00C26502" w:rsidP="00C26502">
            <w:pPr>
              <w:suppressAutoHyphens/>
              <w:jc w:val="center"/>
              <w:rPr>
                <w:lang w:eastAsia="ar-SA"/>
              </w:rPr>
            </w:pPr>
            <w:r w:rsidRPr="008B3BC0">
              <w:rPr>
                <w:lang w:eastAsia="ar-SA"/>
              </w:rPr>
              <w:t>≤ 10</w:t>
            </w:r>
          </w:p>
          <w:p w:rsidR="00C26502" w:rsidRPr="008B3BC0" w:rsidRDefault="00C26502" w:rsidP="00C26502">
            <w:pPr>
              <w:suppressAutoHyphens/>
              <w:jc w:val="center"/>
              <w:rPr>
                <w:lang w:eastAsia="ar-SA"/>
              </w:rPr>
            </w:pPr>
          </w:p>
          <w:p w:rsidR="00C26502" w:rsidRPr="008B3BC0" w:rsidRDefault="00C26502" w:rsidP="00C26502">
            <w:pPr>
              <w:suppressAutoHyphens/>
              <w:jc w:val="center"/>
              <w:rPr>
                <w:lang w:eastAsia="ar-SA"/>
              </w:rPr>
            </w:pPr>
          </w:p>
          <w:p w:rsidR="00C26502" w:rsidRPr="008B3BC0" w:rsidRDefault="00C26502" w:rsidP="00C26502">
            <w:pPr>
              <w:suppressAutoHyphens/>
              <w:spacing w:before="120"/>
              <w:jc w:val="center"/>
              <w:rPr>
                <w:lang w:eastAsia="ar-SA"/>
              </w:rPr>
            </w:pPr>
            <w:r w:rsidRPr="008B3BC0">
              <w:rPr>
                <w:lang w:eastAsia="ar-SA"/>
              </w:rPr>
              <w:t>≤ 15</w:t>
            </w:r>
          </w:p>
        </w:tc>
      </w:tr>
      <w:tr w:rsidR="00C26502" w:rsidRPr="008B3BC0" w:rsidTr="00C26502">
        <w:trPr>
          <w:jc w:val="center"/>
        </w:trPr>
        <w:tc>
          <w:tcPr>
            <w:tcW w:w="4786" w:type="dxa"/>
          </w:tcPr>
          <w:p w:rsidR="00C26502" w:rsidRPr="008B3BC0" w:rsidRDefault="00C26502" w:rsidP="00C26502">
            <w:pPr>
              <w:suppressAutoHyphens/>
              <w:spacing w:before="60" w:after="60"/>
              <w:rPr>
                <w:lang w:eastAsia="ar-SA"/>
              </w:rPr>
            </w:pPr>
            <w:r w:rsidRPr="008B3BC0">
              <w:rPr>
                <w:lang w:eastAsia="ar-SA"/>
              </w:rPr>
              <w:t>B – Pojedyncze oznaczenie grubości</w:t>
            </w:r>
          </w:p>
        </w:tc>
        <w:tc>
          <w:tcPr>
            <w:tcW w:w="2725" w:type="dxa"/>
          </w:tcPr>
          <w:p w:rsidR="00C26502" w:rsidRPr="008B3BC0" w:rsidRDefault="00C26502" w:rsidP="00C26502">
            <w:pPr>
              <w:suppressAutoHyphens/>
              <w:spacing w:before="60" w:after="60"/>
              <w:jc w:val="center"/>
              <w:rPr>
                <w:lang w:eastAsia="ar-SA"/>
              </w:rPr>
            </w:pPr>
            <w:r w:rsidRPr="008B3BC0">
              <w:rPr>
                <w:lang w:eastAsia="ar-SA"/>
              </w:rPr>
              <w:t>≤ 25</w:t>
            </w:r>
          </w:p>
        </w:tc>
      </w:tr>
      <w:tr w:rsidR="00C26502" w:rsidRPr="008B3BC0" w:rsidTr="00C26502">
        <w:trPr>
          <w:jc w:val="center"/>
        </w:trPr>
        <w:tc>
          <w:tcPr>
            <w:tcW w:w="7511" w:type="dxa"/>
            <w:gridSpan w:val="2"/>
          </w:tcPr>
          <w:p w:rsidR="00C26502" w:rsidRPr="008B3BC0" w:rsidRDefault="00C26502" w:rsidP="00C26502">
            <w:pPr>
              <w:suppressAutoHyphens/>
              <w:ind w:left="284" w:hanging="284"/>
              <w:rPr>
                <w:lang w:eastAsia="ar-SA"/>
              </w:rPr>
            </w:pPr>
            <w:r w:rsidRPr="008B3BC0">
              <w:rPr>
                <w:vertAlign w:val="superscript"/>
                <w:lang w:eastAsia="ar-SA"/>
              </w:rPr>
              <w:t>a)</w:t>
            </w:r>
            <w:r w:rsidRPr="008B3BC0">
              <w:rPr>
                <w:lang w:eastAsia="ar-SA"/>
              </w:rPr>
              <w:t xml:space="preserve"> w wypadku budowy dwuetapowej, tzn. gdy warstwa ścieralna jest układana z opóźnieniem, wartość z wiersza B odpowiednio obowiązuje; w pierwszym etapie budowy do górnej warstwy nawierzchni obowiązuje wartość 25%, a do łącznej grubości warstw etapu 1 ÷ 15%</w:t>
            </w:r>
          </w:p>
        </w:tc>
      </w:tr>
    </w:tbl>
    <w:p w:rsidR="00C26502" w:rsidRPr="008B3BC0" w:rsidRDefault="00C26502" w:rsidP="00C26502">
      <w:pPr>
        <w:suppressAutoHyphens/>
        <w:jc w:val="both"/>
        <w:rPr>
          <w:lang w:eastAsia="ar-SA"/>
        </w:rPr>
      </w:pPr>
      <w:r w:rsidRPr="008B3BC0">
        <w:rPr>
          <w:lang w:eastAsia="ar-SA"/>
        </w:rPr>
        <w:t>6.4.2.2. Wskaźnik zagęszczenia warstwy</w:t>
      </w:r>
    </w:p>
    <w:p w:rsidR="00C26502" w:rsidRPr="008B3BC0" w:rsidRDefault="00C26502" w:rsidP="00C26502">
      <w:pPr>
        <w:suppressAutoHyphens/>
        <w:jc w:val="both"/>
        <w:rPr>
          <w:lang w:eastAsia="ar-SA"/>
        </w:rPr>
      </w:pPr>
      <w:r w:rsidRPr="008B3BC0">
        <w:rPr>
          <w:lang w:eastAsia="ar-SA"/>
        </w:rPr>
        <w:tab/>
        <w:t>Zagęszczenie wykonanej warstwy, wyrażone wskaźnikiem zagęszczenia oraz zawartością wolnych przestrzeni, nie może przekroczyć wartości dopuszczalnych podanych w tablicy 11. Dotyczy to każdego pojedynczego oznaczenia danej właściwości.</w:t>
      </w:r>
    </w:p>
    <w:p w:rsidR="00C26502" w:rsidRPr="008B3BC0" w:rsidRDefault="00C26502" w:rsidP="00C26502">
      <w:pPr>
        <w:suppressAutoHyphens/>
        <w:jc w:val="both"/>
        <w:rPr>
          <w:lang w:eastAsia="ar-SA"/>
        </w:rPr>
      </w:pPr>
      <w:r w:rsidRPr="008B3BC0">
        <w:rPr>
          <w:lang w:eastAsia="ar-SA"/>
        </w:rPr>
        <w:tab/>
        <w:t>Określenie gęstości objętościowej należy wykonywać według PN-EN 12697-6 [32].</w:t>
      </w:r>
    </w:p>
    <w:p w:rsidR="00C26502" w:rsidRPr="008B3BC0" w:rsidRDefault="00C26502" w:rsidP="00C26502">
      <w:pPr>
        <w:suppressAutoHyphens/>
        <w:jc w:val="both"/>
        <w:rPr>
          <w:lang w:eastAsia="ar-SA"/>
        </w:rPr>
      </w:pPr>
      <w:r w:rsidRPr="008B3BC0">
        <w:rPr>
          <w:lang w:eastAsia="ar-SA"/>
        </w:rPr>
        <w:t>6.4.2.3. Zawartość wolnych przestrzeni w nawierzchni</w:t>
      </w:r>
    </w:p>
    <w:p w:rsidR="00C26502" w:rsidRPr="008B3BC0" w:rsidRDefault="00C26502" w:rsidP="00C26502">
      <w:pPr>
        <w:suppressAutoHyphens/>
        <w:jc w:val="both"/>
        <w:rPr>
          <w:lang w:eastAsia="ar-SA"/>
        </w:rPr>
      </w:pPr>
      <w:r w:rsidRPr="008B3BC0">
        <w:rPr>
          <w:lang w:eastAsia="ar-SA"/>
        </w:rPr>
        <w:tab/>
        <w:t>Zawartość wolnych przestrzeni w próbce pobranej z nawierzchni, określona w tablicy 11, nie może wykroczyć poza wartości dopuszczalne więcej niż 1,5 %(v/v)</w:t>
      </w:r>
    </w:p>
    <w:p w:rsidR="00C26502" w:rsidRPr="008B3BC0" w:rsidRDefault="00C26502" w:rsidP="00C26502">
      <w:pPr>
        <w:suppressAutoHyphens/>
        <w:jc w:val="both"/>
        <w:rPr>
          <w:lang w:eastAsia="ar-SA"/>
        </w:rPr>
      </w:pPr>
      <w:r w:rsidRPr="008B3BC0">
        <w:rPr>
          <w:lang w:eastAsia="ar-SA"/>
        </w:rPr>
        <w:t>6.4.2.4. Spadki poprzeczne</w:t>
      </w:r>
    </w:p>
    <w:p w:rsidR="00C26502" w:rsidRPr="008B3BC0" w:rsidRDefault="00C26502" w:rsidP="00C26502">
      <w:pPr>
        <w:suppressAutoHyphens/>
        <w:jc w:val="both"/>
        <w:rPr>
          <w:lang w:eastAsia="ar-SA"/>
        </w:rPr>
      </w:pPr>
      <w:r w:rsidRPr="008B3BC0">
        <w:rPr>
          <w:lang w:eastAsia="ar-SA"/>
        </w:rPr>
        <w:tab/>
        <w:t xml:space="preserve">Spadki poprzeczne nawierzchni należy badać nie rzadziej niż co </w:t>
      </w:r>
      <w:smartTag w:uri="urn:schemas-microsoft-com:office:smarttags" w:element="metricconverter">
        <w:smartTagPr>
          <w:attr w:name="ProductID" w:val="20 m"/>
        </w:smartTagPr>
        <w:r w:rsidRPr="008B3BC0">
          <w:rPr>
            <w:lang w:eastAsia="ar-SA"/>
          </w:rPr>
          <w:t>20 m</w:t>
        </w:r>
      </w:smartTag>
      <w:r w:rsidRPr="008B3BC0">
        <w:rPr>
          <w:lang w:eastAsia="ar-SA"/>
        </w:rPr>
        <w:t xml:space="preserve"> oraz w punktach głównych łuków poziomych.</w:t>
      </w:r>
    </w:p>
    <w:p w:rsidR="00C26502" w:rsidRPr="008B3BC0" w:rsidRDefault="00C26502" w:rsidP="00C26502">
      <w:pPr>
        <w:suppressAutoHyphens/>
        <w:jc w:val="both"/>
        <w:rPr>
          <w:lang w:eastAsia="ar-SA"/>
        </w:rPr>
      </w:pPr>
      <w:r w:rsidRPr="008B3BC0">
        <w:rPr>
          <w:lang w:eastAsia="ar-SA"/>
        </w:rPr>
        <w:tab/>
        <w:t>Spadki poprzeczne powinny być zgodne z dokumentacją projektową, z tolerancją ± 0,5%.</w:t>
      </w:r>
    </w:p>
    <w:p w:rsidR="00C26502" w:rsidRPr="008B3BC0" w:rsidRDefault="00C26502" w:rsidP="00C26502">
      <w:pPr>
        <w:suppressAutoHyphens/>
        <w:jc w:val="both"/>
        <w:rPr>
          <w:lang w:eastAsia="ar-SA"/>
        </w:rPr>
      </w:pPr>
      <w:r w:rsidRPr="008B3BC0">
        <w:rPr>
          <w:lang w:eastAsia="ar-SA"/>
        </w:rPr>
        <w:t>6.4.2.5. Równość podłużna i poprzeczna</w:t>
      </w:r>
    </w:p>
    <w:p w:rsidR="00C26502" w:rsidRPr="008B3BC0" w:rsidRDefault="00C26502" w:rsidP="00C26502">
      <w:pPr>
        <w:suppressAutoHyphens/>
        <w:jc w:val="both"/>
        <w:rPr>
          <w:lang w:eastAsia="ar-SA"/>
        </w:rPr>
      </w:pPr>
      <w:r w:rsidRPr="008B3BC0">
        <w:rPr>
          <w:lang w:eastAsia="ar-SA"/>
        </w:rPr>
        <w:tab/>
        <w:t>Pomiary równości podłużnej należy wykonywać w środku każdego ocenianego pasa ruchu.</w:t>
      </w:r>
    </w:p>
    <w:p w:rsidR="00C26502" w:rsidRPr="008B3BC0" w:rsidRDefault="00C26502" w:rsidP="00C26502">
      <w:pPr>
        <w:suppressAutoHyphens/>
        <w:jc w:val="both"/>
        <w:rPr>
          <w:lang w:eastAsia="ar-SA"/>
        </w:rPr>
      </w:pPr>
      <w:r w:rsidRPr="008B3BC0">
        <w:rPr>
          <w:lang w:eastAsia="ar-SA"/>
        </w:rPr>
        <w:tab/>
        <w:t xml:space="preserve">Do oceny równości podłużnej warstwy ścieralnej nawierzchni drogi klasy Z, L i D oraz placów i parkingów należy stosować metodę z wykorzystaniem łaty 4-metrowej i klina lub metody równoważnej, mierząc wysokość prześwitu w połowie długości łaty. Pomiar wykonuje się nie rzadziej niż co </w:t>
      </w:r>
      <w:smartTag w:uri="urn:schemas-microsoft-com:office:smarttags" w:element="metricconverter">
        <w:smartTagPr>
          <w:attr w:name="ProductID" w:val="10 m"/>
        </w:smartTagPr>
        <w:r w:rsidRPr="008B3BC0">
          <w:rPr>
            <w:lang w:eastAsia="ar-SA"/>
          </w:rPr>
          <w:t>10 m</w:t>
        </w:r>
      </w:smartTag>
      <w:r w:rsidRPr="008B3BC0">
        <w:rPr>
          <w:lang w:eastAsia="ar-SA"/>
        </w:rPr>
        <w:t xml:space="preserve">. Wymagana równość podłużna jest określona przez wartość odchylenia równości (prześwitu), które nie mogą przekroczyć </w:t>
      </w:r>
      <w:smartTag w:uri="urn:schemas-microsoft-com:office:smarttags" w:element="metricconverter">
        <w:smartTagPr>
          <w:attr w:name="ProductID" w:val="6 mm"/>
        </w:smartTagPr>
        <w:r w:rsidRPr="008B3BC0">
          <w:rPr>
            <w:lang w:eastAsia="ar-SA"/>
          </w:rPr>
          <w:t>6 mm</w:t>
        </w:r>
      </w:smartTag>
      <w:r w:rsidRPr="008B3BC0">
        <w:rPr>
          <w:lang w:eastAsia="ar-SA"/>
        </w:rPr>
        <w:t>. Przez odchylenie równości rozumie się największą odległość między łatą a mierzoną powierzchnią.</w:t>
      </w:r>
    </w:p>
    <w:p w:rsidR="00C26502" w:rsidRPr="008B3BC0" w:rsidRDefault="00C26502" w:rsidP="00C26502">
      <w:pPr>
        <w:suppressAutoHyphens/>
        <w:rPr>
          <w:lang w:eastAsia="ar-SA"/>
        </w:rPr>
      </w:pPr>
      <w:r w:rsidRPr="008B3BC0">
        <w:rPr>
          <w:lang w:eastAsia="ar-SA"/>
        </w:rPr>
        <w:tab/>
        <w:t xml:space="preserve">Przed upływem okresu gwarancyjnego wartość odchylenia równości podłużnej warstwy ścieralnej nawierzchni dróg klasy Z i L nie powinna być większa niż </w:t>
      </w:r>
      <w:smartTag w:uri="urn:schemas-microsoft-com:office:smarttags" w:element="metricconverter">
        <w:smartTagPr>
          <w:attr w:name="ProductID" w:val="8 mm"/>
        </w:smartTagPr>
        <w:r w:rsidRPr="008B3BC0">
          <w:rPr>
            <w:lang w:eastAsia="ar-SA"/>
          </w:rPr>
          <w:t>8 mm</w:t>
        </w:r>
      </w:smartTag>
      <w:r w:rsidRPr="008B3BC0">
        <w:rPr>
          <w:lang w:eastAsia="ar-SA"/>
        </w:rPr>
        <w:t>. Badanie wykonuje się według procedury jak podczas odbioru nawierzchni.</w:t>
      </w:r>
    </w:p>
    <w:p w:rsidR="00C26502" w:rsidRPr="008B3BC0" w:rsidRDefault="00C26502" w:rsidP="00C26502">
      <w:pPr>
        <w:suppressAutoHyphens/>
        <w:rPr>
          <w:lang w:eastAsia="ar-SA"/>
        </w:rPr>
      </w:pPr>
      <w:r w:rsidRPr="008B3BC0">
        <w:rPr>
          <w:lang w:eastAsia="ar-SA"/>
        </w:rPr>
        <w:tab/>
        <w:t xml:space="preserve">Do oceny równości poprzecznej warstw nawierzchni dróg wszystkich klas technicznych należy stosować metodę z wykorzystaniem łaty 4-metrowej i klina lub metody równoważnej użyciu łaty i klina. Pomiar należy wykonywać w kierunku prostopadłym do osi jezdni, na każdym ocenianym pasie ruchu, nie rzadziej niż co </w:t>
      </w:r>
      <w:smartTag w:uri="urn:schemas-microsoft-com:office:smarttags" w:element="metricconverter">
        <w:smartTagPr>
          <w:attr w:name="ProductID" w:val="10 m"/>
        </w:smartTagPr>
        <w:r w:rsidRPr="008B3BC0">
          <w:rPr>
            <w:lang w:eastAsia="ar-SA"/>
          </w:rPr>
          <w:t>10 m</w:t>
        </w:r>
      </w:smartTag>
      <w:r w:rsidRPr="008B3BC0">
        <w:rPr>
          <w:lang w:eastAsia="ar-SA"/>
        </w:rPr>
        <w:t>. Wymagana równość poprzeczna jest określona w rozporządzeniu dotyczącym warunków technicznych, jakim powinny odpowiadać drogi publiczne [67].</w:t>
      </w:r>
    </w:p>
    <w:p w:rsidR="00C26502" w:rsidRPr="008B3BC0" w:rsidRDefault="00C26502" w:rsidP="00C26502">
      <w:pPr>
        <w:suppressAutoHyphens/>
        <w:rPr>
          <w:lang w:eastAsia="ar-SA"/>
        </w:rPr>
      </w:pPr>
      <w:r w:rsidRPr="008B3BC0">
        <w:rPr>
          <w:lang w:eastAsia="ar-SA"/>
        </w:rPr>
        <w:tab/>
        <w:t>Przed upływem okresu gwarancyjnego wartość odchylenia równości poprzecznej warstwy ścieralnej nawierzchni dróg wszystkich klas technicznych nie powinna być większa niż podana w tablicy 14. Badanie wykonuje się według procedury jak podczas odbioru nawierzchni.</w:t>
      </w:r>
    </w:p>
    <w:p w:rsidR="00C26502" w:rsidRPr="008B3BC0" w:rsidRDefault="00C26502" w:rsidP="00C26502">
      <w:pPr>
        <w:suppressAutoHyphens/>
        <w:jc w:val="center"/>
        <w:rPr>
          <w:lang w:eastAsia="ar-SA"/>
        </w:rPr>
      </w:pPr>
      <w:r w:rsidRPr="008B3BC0">
        <w:rPr>
          <w:lang w:eastAsia="ar-SA"/>
        </w:rPr>
        <w:t>Tablica 14. Dopuszczalne wartości odchyleń równości poprzecznej warstwy ścieralnej wymagane przed upływem okresu gwarancyjnego [65]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60"/>
        <w:gridCol w:w="3685"/>
        <w:gridCol w:w="2158"/>
      </w:tblGrid>
      <w:tr w:rsidR="00C26502" w:rsidRPr="008B3BC0" w:rsidTr="00C26502">
        <w:trPr>
          <w:jc w:val="center"/>
        </w:trPr>
        <w:tc>
          <w:tcPr>
            <w:tcW w:w="1560" w:type="dxa"/>
            <w:tcBorders>
              <w:bottom w:val="single" w:sz="4" w:space="0" w:color="auto"/>
            </w:tcBorders>
          </w:tcPr>
          <w:p w:rsidR="00C26502" w:rsidRPr="008B3BC0" w:rsidRDefault="00C26502" w:rsidP="00C26502">
            <w:pPr>
              <w:suppressAutoHyphens/>
              <w:jc w:val="center"/>
              <w:rPr>
                <w:lang w:eastAsia="ar-SA"/>
              </w:rPr>
            </w:pPr>
          </w:p>
          <w:p w:rsidR="00C26502" w:rsidRPr="008B3BC0" w:rsidRDefault="00C26502" w:rsidP="00C26502">
            <w:pPr>
              <w:suppressAutoHyphens/>
              <w:jc w:val="center"/>
              <w:rPr>
                <w:lang w:eastAsia="ar-SA"/>
              </w:rPr>
            </w:pPr>
            <w:r w:rsidRPr="008B3BC0">
              <w:rPr>
                <w:lang w:eastAsia="ar-SA"/>
              </w:rPr>
              <w:t>Klasa drogi</w:t>
            </w:r>
          </w:p>
        </w:tc>
        <w:tc>
          <w:tcPr>
            <w:tcW w:w="3685" w:type="dxa"/>
          </w:tcPr>
          <w:p w:rsidR="00C26502" w:rsidRPr="008B3BC0" w:rsidRDefault="00C26502" w:rsidP="00C26502">
            <w:pPr>
              <w:suppressAutoHyphens/>
              <w:jc w:val="center"/>
              <w:rPr>
                <w:lang w:eastAsia="ar-SA"/>
              </w:rPr>
            </w:pPr>
          </w:p>
          <w:p w:rsidR="00C26502" w:rsidRPr="008B3BC0" w:rsidRDefault="00C26502" w:rsidP="00C26502">
            <w:pPr>
              <w:suppressAutoHyphens/>
              <w:jc w:val="center"/>
              <w:rPr>
                <w:lang w:eastAsia="ar-SA"/>
              </w:rPr>
            </w:pPr>
            <w:r w:rsidRPr="008B3BC0">
              <w:rPr>
                <w:lang w:eastAsia="ar-SA"/>
              </w:rPr>
              <w:t>Element nawierzchni</w:t>
            </w:r>
          </w:p>
        </w:tc>
        <w:tc>
          <w:tcPr>
            <w:tcW w:w="2158" w:type="dxa"/>
          </w:tcPr>
          <w:p w:rsidR="00C26502" w:rsidRPr="008B3BC0" w:rsidRDefault="00C26502" w:rsidP="00C26502">
            <w:pPr>
              <w:suppressAutoHyphens/>
              <w:jc w:val="center"/>
              <w:rPr>
                <w:lang w:eastAsia="ar-SA"/>
              </w:rPr>
            </w:pPr>
            <w:r w:rsidRPr="008B3BC0">
              <w:rPr>
                <w:lang w:eastAsia="ar-SA"/>
              </w:rPr>
              <w:t>Wartości odchyleń równości poprzecznej [mm]</w:t>
            </w:r>
          </w:p>
        </w:tc>
      </w:tr>
      <w:tr w:rsidR="00C26502" w:rsidRPr="008B3BC0" w:rsidTr="00C26502">
        <w:trPr>
          <w:jc w:val="center"/>
        </w:trPr>
        <w:tc>
          <w:tcPr>
            <w:tcW w:w="1560" w:type="dxa"/>
          </w:tcPr>
          <w:p w:rsidR="00C26502" w:rsidRPr="008B3BC0" w:rsidRDefault="00C26502" w:rsidP="00C26502">
            <w:pPr>
              <w:suppressAutoHyphens/>
              <w:spacing w:before="60" w:after="60"/>
              <w:jc w:val="center"/>
              <w:rPr>
                <w:lang w:eastAsia="ar-SA"/>
              </w:rPr>
            </w:pPr>
            <w:r w:rsidRPr="008B3BC0">
              <w:rPr>
                <w:lang w:eastAsia="ar-SA"/>
              </w:rPr>
              <w:t xml:space="preserve">Z, </w:t>
            </w:r>
            <w:r>
              <w:rPr>
                <w:lang w:eastAsia="ar-SA"/>
              </w:rPr>
              <w:t>G</w:t>
            </w:r>
          </w:p>
        </w:tc>
        <w:tc>
          <w:tcPr>
            <w:tcW w:w="3685" w:type="dxa"/>
          </w:tcPr>
          <w:p w:rsidR="00C26502" w:rsidRPr="008B3BC0" w:rsidRDefault="00C26502" w:rsidP="00C26502">
            <w:pPr>
              <w:suppressAutoHyphens/>
              <w:spacing w:before="60" w:after="60"/>
              <w:rPr>
                <w:lang w:eastAsia="ar-SA"/>
              </w:rPr>
            </w:pPr>
            <w:r w:rsidRPr="008B3BC0">
              <w:rPr>
                <w:lang w:eastAsia="ar-SA"/>
              </w:rPr>
              <w:t>Pasy ruchu</w:t>
            </w:r>
          </w:p>
        </w:tc>
        <w:tc>
          <w:tcPr>
            <w:tcW w:w="2158" w:type="dxa"/>
          </w:tcPr>
          <w:p w:rsidR="00C26502" w:rsidRPr="008B3BC0" w:rsidRDefault="00C26502" w:rsidP="00C26502">
            <w:pPr>
              <w:suppressAutoHyphens/>
              <w:spacing w:before="60" w:after="60"/>
              <w:jc w:val="center"/>
              <w:rPr>
                <w:lang w:eastAsia="ar-SA"/>
              </w:rPr>
            </w:pPr>
            <w:r w:rsidRPr="008B3BC0">
              <w:rPr>
                <w:lang w:eastAsia="ar-SA"/>
              </w:rPr>
              <w:t>≤ 9</w:t>
            </w:r>
          </w:p>
        </w:tc>
      </w:tr>
    </w:tbl>
    <w:p w:rsidR="00C26502" w:rsidRPr="008B3BC0" w:rsidRDefault="00C26502" w:rsidP="00C26502">
      <w:pPr>
        <w:suppressAutoHyphens/>
        <w:rPr>
          <w:lang w:eastAsia="ar-SA"/>
        </w:rPr>
      </w:pPr>
    </w:p>
    <w:p w:rsidR="00C26502" w:rsidRPr="008B3BC0" w:rsidRDefault="00C26502" w:rsidP="00C26502">
      <w:pPr>
        <w:suppressAutoHyphens/>
        <w:rPr>
          <w:lang w:eastAsia="ar-SA"/>
        </w:rPr>
      </w:pPr>
      <w:r w:rsidRPr="008B3BC0">
        <w:rPr>
          <w:lang w:eastAsia="ar-SA"/>
        </w:rPr>
        <w:t>6.4.2.6. Właściwości przeciwpoślizgowe</w:t>
      </w:r>
    </w:p>
    <w:p w:rsidR="00C26502" w:rsidRPr="008B3BC0" w:rsidRDefault="00C26502" w:rsidP="00C26502">
      <w:pPr>
        <w:suppressAutoHyphens/>
        <w:jc w:val="both"/>
        <w:rPr>
          <w:lang w:eastAsia="ar-SA"/>
        </w:rPr>
      </w:pPr>
      <w:r w:rsidRPr="008B3BC0">
        <w:rPr>
          <w:lang w:eastAsia="ar-SA"/>
        </w:rPr>
        <w:tab/>
        <w:t>Przy ocenie właściwości przeciwpoślizgowych nawierzchni drogi klasy Z i dróg wyższych klas powinien być określony współczynnik tarcia na mokrej nawierzchni przy całkowitym poślizgu opony testowej.</w:t>
      </w:r>
    </w:p>
    <w:p w:rsidR="00C26502" w:rsidRPr="008B3BC0" w:rsidRDefault="00C26502" w:rsidP="00C26502">
      <w:pPr>
        <w:suppressAutoHyphens/>
        <w:jc w:val="both"/>
        <w:rPr>
          <w:lang w:eastAsia="ar-SA"/>
        </w:rPr>
      </w:pPr>
      <w:r w:rsidRPr="008B3BC0">
        <w:rPr>
          <w:lang w:eastAsia="ar-SA"/>
        </w:rPr>
        <w:tab/>
        <w:t xml:space="preserve">Pomiar wykonuje się przy temperaturze otoczenia od 5 do </w:t>
      </w:r>
      <w:smartTag w:uri="urn:schemas-microsoft-com:office:smarttags" w:element="metricconverter">
        <w:smartTagPr>
          <w:attr w:name="ProductID" w:val="30ﾰC"/>
        </w:smartTagPr>
        <w:r w:rsidRPr="008B3BC0">
          <w:rPr>
            <w:lang w:eastAsia="ar-SA"/>
          </w:rPr>
          <w:t>30°C</w:t>
        </w:r>
      </w:smartTag>
      <w:r w:rsidRPr="008B3BC0">
        <w:rPr>
          <w:lang w:eastAsia="ar-SA"/>
        </w:rPr>
        <w:t xml:space="preserve">, nie rzadziej niż co </w:t>
      </w:r>
      <w:smartTag w:uri="urn:schemas-microsoft-com:office:smarttags" w:element="metricconverter">
        <w:smartTagPr>
          <w:attr w:name="ProductID" w:val="50 m"/>
        </w:smartTagPr>
        <w:r w:rsidRPr="008B3BC0">
          <w:rPr>
            <w:lang w:eastAsia="ar-SA"/>
          </w:rPr>
          <w:t>50 m</w:t>
        </w:r>
      </w:smartTag>
      <w:r w:rsidRPr="008B3BC0">
        <w:rPr>
          <w:lang w:eastAsia="ar-SA"/>
        </w:rPr>
        <w:t xml:space="preserve"> na nawierzchni zwilżanej wodą w ilości 0,5 l/m</w:t>
      </w:r>
      <w:r w:rsidRPr="008B3BC0">
        <w:rPr>
          <w:vertAlign w:val="superscript"/>
          <w:lang w:eastAsia="ar-SA"/>
        </w:rPr>
        <w:t>2</w:t>
      </w:r>
      <w:r w:rsidRPr="008B3BC0">
        <w:rPr>
          <w:lang w:eastAsia="ar-SA"/>
        </w:rPr>
        <w:t xml:space="preserve">, a wynik pomiaru powinien być przeliczany na wartość przy 100% poślizgu opony testowej o rozmiarze 185/70 R14. Miarą właściwości przeciwpoślizgowych jest miarodajny współczynnik tarcia. Za miarodajny współczynnik tarcia przyjmuje się różnicę wartości średniej E(μ) i odchylenia standardowego D: E(μ) – D. Długość odcinka podlegającego odbiorowi nie powinna być większa niż </w:t>
      </w:r>
      <w:smartTag w:uri="urn:schemas-microsoft-com:office:smarttags" w:element="metricconverter">
        <w:smartTagPr>
          <w:attr w:name="ProductID" w:val="1000 m"/>
        </w:smartTagPr>
        <w:r w:rsidRPr="008B3BC0">
          <w:rPr>
            <w:lang w:eastAsia="ar-SA"/>
          </w:rPr>
          <w:t>1000 m</w:t>
        </w:r>
      </w:smartTag>
      <w:r w:rsidRPr="008B3BC0">
        <w:rPr>
          <w:lang w:eastAsia="ar-SA"/>
        </w:rPr>
        <w:t xml:space="preserve">. Liczba pomiarów na ocenianym odcinku nie powinna być mniejsza niż 10. W wypadku odbioru krótkich odcinków nawierzchni, na których nie można wykonać pomiarów z prędkością 60 lub </w:t>
      </w:r>
      <w:smartTag w:uri="urn:schemas-microsoft-com:office:smarttags" w:element="metricconverter">
        <w:smartTagPr>
          <w:attr w:name="ProductID" w:val="90 km/h"/>
        </w:smartTagPr>
        <w:r w:rsidRPr="008B3BC0">
          <w:rPr>
            <w:lang w:eastAsia="ar-SA"/>
          </w:rPr>
          <w:t>90 km/h</w:t>
        </w:r>
      </w:smartTag>
      <w:r w:rsidRPr="008B3BC0">
        <w:rPr>
          <w:lang w:eastAsia="ar-SA"/>
        </w:rPr>
        <w:t xml:space="preserve"> (np. rondo, dojazd do skrzyżowania, niektóre łącznice), poszczególne wyniki pomiarów współczynnika tarcia nie powinny być niższe niż 0,47, przy prędkości pomiarowej </w:t>
      </w:r>
      <w:smartTag w:uri="urn:schemas-microsoft-com:office:smarttags" w:element="metricconverter">
        <w:smartTagPr>
          <w:attr w:name="ProductID" w:val="30 km/h"/>
        </w:smartTagPr>
        <w:r w:rsidRPr="008B3BC0">
          <w:rPr>
            <w:lang w:eastAsia="ar-SA"/>
          </w:rPr>
          <w:t>30 km/h</w:t>
        </w:r>
      </w:smartTag>
      <w:r w:rsidRPr="008B3BC0">
        <w:rPr>
          <w:lang w:eastAsia="ar-SA"/>
        </w:rPr>
        <w:t>.</w:t>
      </w:r>
    </w:p>
    <w:p w:rsidR="00C26502" w:rsidRPr="008B3BC0" w:rsidRDefault="00C26502" w:rsidP="00C26502">
      <w:pPr>
        <w:suppressAutoHyphens/>
        <w:jc w:val="both"/>
        <w:rPr>
          <w:lang w:eastAsia="ar-SA"/>
        </w:rPr>
      </w:pPr>
      <w:r w:rsidRPr="008B3BC0">
        <w:rPr>
          <w:lang w:eastAsia="ar-SA"/>
        </w:rPr>
        <w:tab/>
        <w:t>Dopuszczalne wartości miarodajnego współczynnika tarcia nawierzchni wymagane w okresie od 4 do 8 tygodni po oddaniu warstwy do eksploatacji są określone w rozporządzeniu dotyczącym warunków technicznych, jakim powinny odpowiadać drogi publiczne [67].</w:t>
      </w:r>
    </w:p>
    <w:p w:rsidR="00C26502" w:rsidRPr="008B3BC0" w:rsidRDefault="00C26502" w:rsidP="00C26502">
      <w:pPr>
        <w:suppressAutoHyphens/>
        <w:jc w:val="both"/>
        <w:rPr>
          <w:lang w:eastAsia="ar-SA"/>
        </w:rPr>
      </w:pPr>
      <w:r w:rsidRPr="008B3BC0">
        <w:rPr>
          <w:lang w:eastAsia="ar-SA"/>
        </w:rPr>
        <w:tab/>
        <w:t>Jeżeli warunki atmosferyczne uniemożliwiają wykonanie pomiaru w wymienionym terminie, powinien być on zrealizowany z najmniejszym możliwym opóźnieniem.</w:t>
      </w:r>
    </w:p>
    <w:p w:rsidR="00C26502" w:rsidRPr="008B3BC0" w:rsidRDefault="00C26502" w:rsidP="00C26502">
      <w:pPr>
        <w:suppressAutoHyphens/>
        <w:jc w:val="both"/>
        <w:rPr>
          <w:lang w:eastAsia="ar-SA"/>
        </w:rPr>
      </w:pPr>
      <w:r w:rsidRPr="008B3BC0">
        <w:rPr>
          <w:lang w:eastAsia="ar-SA"/>
        </w:rPr>
        <w:tab/>
        <w:t xml:space="preserve">Przed upływem okresu gwarancyjnego wartości miarodajnego współczynnika tarcia nie powinny być mniejsze niż podane w tablicy 15. W wypadku badań na krótkich odcinkach nawierzchni, rondach lub na dojazdach do skrzyżowań poszczególne wyniki pomiarów współczynnika tarcia nie powinny być niższe niż 0,44, przy prędkości pomiarowej </w:t>
      </w:r>
      <w:smartTag w:uri="urn:schemas-microsoft-com:office:smarttags" w:element="metricconverter">
        <w:smartTagPr>
          <w:attr w:name="ProductID" w:val="30 km/h"/>
        </w:smartTagPr>
        <w:r w:rsidRPr="008B3BC0">
          <w:rPr>
            <w:lang w:eastAsia="ar-SA"/>
          </w:rPr>
          <w:t>30 km/h</w:t>
        </w:r>
      </w:smartTag>
      <w:r w:rsidRPr="008B3BC0">
        <w:rPr>
          <w:lang w:eastAsia="ar-SA"/>
        </w:rPr>
        <w:t>.</w:t>
      </w:r>
    </w:p>
    <w:p w:rsidR="00C26502" w:rsidRPr="008B3BC0" w:rsidRDefault="00C26502" w:rsidP="00C26502">
      <w:pPr>
        <w:suppressAutoHyphens/>
        <w:jc w:val="center"/>
        <w:rPr>
          <w:lang w:eastAsia="ar-SA"/>
        </w:rPr>
      </w:pPr>
      <w:r w:rsidRPr="008B3BC0">
        <w:rPr>
          <w:lang w:eastAsia="ar-SA"/>
        </w:rPr>
        <w:t>Tablica 15. Dopuszczalne wartości miarodajnego współczynnika tarcia wymagane przed upływem okresu gwarancyjnego [65]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60"/>
        <w:gridCol w:w="3260"/>
        <w:gridCol w:w="1504"/>
        <w:gridCol w:w="1079"/>
      </w:tblGrid>
      <w:tr w:rsidR="00C26502" w:rsidRPr="008B3BC0" w:rsidTr="00C26502">
        <w:trPr>
          <w:jc w:val="center"/>
        </w:trPr>
        <w:tc>
          <w:tcPr>
            <w:tcW w:w="1560" w:type="dxa"/>
            <w:vMerge w:val="restart"/>
            <w:vAlign w:val="center"/>
          </w:tcPr>
          <w:p w:rsidR="00C26502" w:rsidRPr="008B3BC0" w:rsidRDefault="00C26502" w:rsidP="00C26502">
            <w:pPr>
              <w:suppressAutoHyphens/>
              <w:jc w:val="center"/>
              <w:rPr>
                <w:lang w:eastAsia="ar-SA"/>
              </w:rPr>
            </w:pPr>
            <w:r w:rsidRPr="008B3BC0">
              <w:rPr>
                <w:lang w:eastAsia="ar-SA"/>
              </w:rPr>
              <w:t>Klasa drogi</w:t>
            </w:r>
          </w:p>
        </w:tc>
        <w:tc>
          <w:tcPr>
            <w:tcW w:w="3260" w:type="dxa"/>
            <w:vMerge w:val="restart"/>
            <w:vAlign w:val="center"/>
          </w:tcPr>
          <w:p w:rsidR="00C26502" w:rsidRPr="008B3BC0" w:rsidRDefault="00C26502" w:rsidP="00C26502">
            <w:pPr>
              <w:suppressAutoHyphens/>
              <w:jc w:val="center"/>
              <w:rPr>
                <w:lang w:eastAsia="ar-SA"/>
              </w:rPr>
            </w:pPr>
            <w:r w:rsidRPr="008B3BC0">
              <w:rPr>
                <w:lang w:eastAsia="ar-SA"/>
              </w:rPr>
              <w:t>Element nawierzchni</w:t>
            </w:r>
          </w:p>
        </w:tc>
        <w:tc>
          <w:tcPr>
            <w:tcW w:w="2583" w:type="dxa"/>
            <w:gridSpan w:val="2"/>
          </w:tcPr>
          <w:p w:rsidR="00C26502" w:rsidRPr="008B3BC0" w:rsidRDefault="00C26502" w:rsidP="00C26502">
            <w:pPr>
              <w:suppressAutoHyphens/>
              <w:jc w:val="center"/>
              <w:rPr>
                <w:sz w:val="18"/>
                <w:szCs w:val="18"/>
                <w:lang w:eastAsia="ar-SA"/>
              </w:rPr>
            </w:pPr>
            <w:r w:rsidRPr="008B3BC0">
              <w:rPr>
                <w:sz w:val="18"/>
                <w:szCs w:val="18"/>
                <w:lang w:eastAsia="ar-SA"/>
              </w:rPr>
              <w:t>Miarodajny współczynnik tarcia przy prędkości zablokowanej opony względem nawierzchni</w:t>
            </w:r>
          </w:p>
        </w:tc>
      </w:tr>
      <w:tr w:rsidR="00C26502" w:rsidRPr="008B3BC0" w:rsidTr="00C26502">
        <w:trPr>
          <w:jc w:val="center"/>
        </w:trPr>
        <w:tc>
          <w:tcPr>
            <w:tcW w:w="1560" w:type="dxa"/>
            <w:vMerge/>
            <w:tcBorders>
              <w:bottom w:val="single" w:sz="4" w:space="0" w:color="auto"/>
            </w:tcBorders>
          </w:tcPr>
          <w:p w:rsidR="00C26502" w:rsidRPr="008B3BC0" w:rsidRDefault="00C26502" w:rsidP="00C26502">
            <w:pPr>
              <w:suppressAutoHyphens/>
              <w:jc w:val="center"/>
              <w:rPr>
                <w:lang w:eastAsia="ar-SA"/>
              </w:rPr>
            </w:pPr>
          </w:p>
        </w:tc>
        <w:tc>
          <w:tcPr>
            <w:tcW w:w="3260" w:type="dxa"/>
            <w:vMerge/>
          </w:tcPr>
          <w:p w:rsidR="00C26502" w:rsidRPr="008B3BC0" w:rsidRDefault="00C26502" w:rsidP="00C26502">
            <w:pPr>
              <w:suppressAutoHyphens/>
              <w:jc w:val="center"/>
              <w:rPr>
                <w:lang w:eastAsia="ar-SA"/>
              </w:rPr>
            </w:pPr>
          </w:p>
        </w:tc>
        <w:tc>
          <w:tcPr>
            <w:tcW w:w="1504" w:type="dxa"/>
          </w:tcPr>
          <w:p w:rsidR="00C26502" w:rsidRPr="008B3BC0" w:rsidRDefault="00C26502" w:rsidP="00C26502">
            <w:pPr>
              <w:suppressAutoHyphens/>
              <w:jc w:val="center"/>
              <w:rPr>
                <w:lang w:eastAsia="ar-SA"/>
              </w:rPr>
            </w:pPr>
            <w:smartTag w:uri="urn:schemas-microsoft-com:office:smarttags" w:element="metricconverter">
              <w:smartTagPr>
                <w:attr w:name="ProductID" w:val="60 km/h"/>
              </w:smartTagPr>
              <w:r w:rsidRPr="008B3BC0">
                <w:rPr>
                  <w:lang w:eastAsia="ar-SA"/>
                </w:rPr>
                <w:t>60 km/h</w:t>
              </w:r>
            </w:smartTag>
          </w:p>
        </w:tc>
        <w:tc>
          <w:tcPr>
            <w:tcW w:w="1079" w:type="dxa"/>
          </w:tcPr>
          <w:p w:rsidR="00C26502" w:rsidRPr="008B3BC0" w:rsidRDefault="00C26502" w:rsidP="00C26502">
            <w:pPr>
              <w:suppressAutoHyphens/>
              <w:jc w:val="center"/>
              <w:rPr>
                <w:lang w:eastAsia="ar-SA"/>
              </w:rPr>
            </w:pPr>
            <w:smartTag w:uri="urn:schemas-microsoft-com:office:smarttags" w:element="metricconverter">
              <w:smartTagPr>
                <w:attr w:name="ProductID" w:val="90 km/h"/>
              </w:smartTagPr>
              <w:r w:rsidRPr="008B3BC0">
                <w:rPr>
                  <w:lang w:eastAsia="ar-SA"/>
                </w:rPr>
                <w:t>90 km/h</w:t>
              </w:r>
            </w:smartTag>
          </w:p>
        </w:tc>
      </w:tr>
      <w:tr w:rsidR="00C26502" w:rsidRPr="008B3BC0" w:rsidTr="00C26502">
        <w:trPr>
          <w:jc w:val="center"/>
        </w:trPr>
        <w:tc>
          <w:tcPr>
            <w:tcW w:w="1560" w:type="dxa"/>
            <w:vAlign w:val="center"/>
          </w:tcPr>
          <w:p w:rsidR="00C26502" w:rsidRPr="008B3BC0" w:rsidRDefault="00C26502" w:rsidP="00C26502">
            <w:pPr>
              <w:suppressAutoHyphens/>
              <w:jc w:val="center"/>
              <w:rPr>
                <w:lang w:eastAsia="ar-SA"/>
              </w:rPr>
            </w:pPr>
            <w:r w:rsidRPr="008B3BC0">
              <w:rPr>
                <w:lang w:eastAsia="ar-SA"/>
              </w:rPr>
              <w:t>G, Z</w:t>
            </w:r>
          </w:p>
        </w:tc>
        <w:tc>
          <w:tcPr>
            <w:tcW w:w="3260" w:type="dxa"/>
          </w:tcPr>
          <w:p w:rsidR="00C26502" w:rsidRPr="008B3BC0" w:rsidRDefault="00C26502" w:rsidP="00C26502">
            <w:pPr>
              <w:suppressAutoHyphens/>
              <w:rPr>
                <w:lang w:eastAsia="ar-SA"/>
              </w:rPr>
            </w:pPr>
            <w:r w:rsidRPr="008B3BC0">
              <w:rPr>
                <w:lang w:eastAsia="ar-SA"/>
              </w:rPr>
              <w:t>Pasy: ruchu, dodatkowe, utwardzone pobocza</w:t>
            </w:r>
          </w:p>
        </w:tc>
        <w:tc>
          <w:tcPr>
            <w:tcW w:w="1504" w:type="dxa"/>
            <w:shd w:val="clear" w:color="auto" w:fill="auto"/>
          </w:tcPr>
          <w:p w:rsidR="00C26502" w:rsidRPr="008B3BC0" w:rsidRDefault="00C26502" w:rsidP="00C26502">
            <w:pPr>
              <w:suppressAutoHyphens/>
              <w:spacing w:before="120"/>
              <w:jc w:val="center"/>
              <w:rPr>
                <w:lang w:eastAsia="ar-SA"/>
              </w:rPr>
            </w:pPr>
            <w:r w:rsidRPr="008B3BC0">
              <w:rPr>
                <w:lang w:eastAsia="ar-SA"/>
              </w:rPr>
              <w:t>≥ 0,36</w:t>
            </w:r>
          </w:p>
        </w:tc>
        <w:tc>
          <w:tcPr>
            <w:tcW w:w="1079" w:type="dxa"/>
            <w:shd w:val="clear" w:color="auto" w:fill="auto"/>
          </w:tcPr>
          <w:p w:rsidR="00C26502" w:rsidRPr="008B3BC0" w:rsidRDefault="00C26502" w:rsidP="00C26502">
            <w:pPr>
              <w:suppressAutoHyphens/>
              <w:spacing w:before="120"/>
              <w:jc w:val="center"/>
              <w:rPr>
                <w:lang w:eastAsia="ar-SA"/>
              </w:rPr>
            </w:pPr>
            <w:r w:rsidRPr="008B3BC0">
              <w:rPr>
                <w:lang w:eastAsia="ar-SA"/>
              </w:rPr>
              <w:t>-</w:t>
            </w:r>
          </w:p>
        </w:tc>
      </w:tr>
    </w:tbl>
    <w:p w:rsidR="00C26502" w:rsidRPr="008B3BC0" w:rsidRDefault="00C26502" w:rsidP="00C26502">
      <w:pPr>
        <w:suppressAutoHyphens/>
        <w:jc w:val="both"/>
        <w:rPr>
          <w:lang w:eastAsia="ar-SA"/>
        </w:rPr>
      </w:pPr>
      <w:r w:rsidRPr="008B3BC0">
        <w:rPr>
          <w:lang w:eastAsia="ar-SA"/>
        </w:rPr>
        <w:t>6.4.2.7. Pozostałe właściwości warstwy asfaltowej</w:t>
      </w:r>
    </w:p>
    <w:p w:rsidR="00C26502" w:rsidRPr="008B3BC0" w:rsidRDefault="00C26502" w:rsidP="00C26502">
      <w:pPr>
        <w:suppressAutoHyphens/>
        <w:jc w:val="both"/>
        <w:rPr>
          <w:lang w:eastAsia="ar-SA"/>
        </w:rPr>
      </w:pPr>
      <w:r w:rsidRPr="008B3BC0">
        <w:rPr>
          <w:lang w:eastAsia="ar-SA"/>
        </w:rPr>
        <w:tab/>
        <w:t xml:space="preserve">Szerokość warstwy, mierzona 10 razy na </w:t>
      </w:r>
      <w:smartTag w:uri="urn:schemas-microsoft-com:office:smarttags" w:element="metricconverter">
        <w:smartTagPr>
          <w:attr w:name="ProductID" w:val="1 km"/>
        </w:smartTagPr>
        <w:r w:rsidRPr="008B3BC0">
          <w:rPr>
            <w:lang w:eastAsia="ar-SA"/>
          </w:rPr>
          <w:t>1 km</w:t>
        </w:r>
      </w:smartTag>
      <w:r w:rsidRPr="008B3BC0">
        <w:rPr>
          <w:lang w:eastAsia="ar-SA"/>
        </w:rPr>
        <w:t xml:space="preserve"> każdej jezdni, nie może się różnić od szerokości projektowanej o więcej niż ± </w:t>
      </w:r>
      <w:smartTag w:uri="urn:schemas-microsoft-com:office:smarttags" w:element="metricconverter">
        <w:smartTagPr>
          <w:attr w:name="ProductID" w:val="5 cm"/>
        </w:smartTagPr>
        <w:r w:rsidRPr="008B3BC0">
          <w:rPr>
            <w:lang w:eastAsia="ar-SA"/>
          </w:rPr>
          <w:t>5 cm</w:t>
        </w:r>
      </w:smartTag>
      <w:r w:rsidRPr="008B3BC0">
        <w:rPr>
          <w:lang w:eastAsia="ar-SA"/>
        </w:rPr>
        <w:t>.</w:t>
      </w:r>
    </w:p>
    <w:p w:rsidR="00C26502" w:rsidRPr="008B3BC0" w:rsidRDefault="00C26502" w:rsidP="00C26502">
      <w:pPr>
        <w:suppressAutoHyphens/>
        <w:jc w:val="both"/>
        <w:rPr>
          <w:lang w:eastAsia="ar-SA"/>
        </w:rPr>
      </w:pPr>
      <w:r w:rsidRPr="008B3BC0">
        <w:rPr>
          <w:lang w:eastAsia="ar-SA"/>
        </w:rPr>
        <w:tab/>
        <w:t xml:space="preserve">Rzędne wysokościowe, mierzone co </w:t>
      </w:r>
      <w:smartTag w:uri="urn:schemas-microsoft-com:office:smarttags" w:element="metricconverter">
        <w:smartTagPr>
          <w:attr w:name="ProductID" w:val="10 m"/>
        </w:smartTagPr>
        <w:r w:rsidRPr="008B3BC0">
          <w:rPr>
            <w:lang w:eastAsia="ar-SA"/>
          </w:rPr>
          <w:t>10 m</w:t>
        </w:r>
      </w:smartTag>
      <w:r w:rsidRPr="008B3BC0">
        <w:rPr>
          <w:lang w:eastAsia="ar-SA"/>
        </w:rPr>
        <w:t xml:space="preserve"> na prostych i co </w:t>
      </w:r>
      <w:smartTag w:uri="urn:schemas-microsoft-com:office:smarttags" w:element="metricconverter">
        <w:smartTagPr>
          <w:attr w:name="ProductID" w:val="10 m"/>
        </w:smartTagPr>
        <w:r w:rsidRPr="008B3BC0">
          <w:rPr>
            <w:lang w:eastAsia="ar-SA"/>
          </w:rPr>
          <w:t>10 m</w:t>
        </w:r>
      </w:smartTag>
      <w:r w:rsidRPr="008B3BC0">
        <w:rPr>
          <w:lang w:eastAsia="ar-SA"/>
        </w:rPr>
        <w:t xml:space="preserve"> na osi podłużnej i krawędziach, powinny być zgodne z dokumentacją projektową z dopuszczalną tolerancją ± </w:t>
      </w:r>
      <w:smartTag w:uri="urn:schemas-microsoft-com:office:smarttags" w:element="metricconverter">
        <w:smartTagPr>
          <w:attr w:name="ProductID" w:val="1 cm"/>
        </w:smartTagPr>
        <w:r w:rsidRPr="008B3BC0">
          <w:rPr>
            <w:lang w:eastAsia="ar-SA"/>
          </w:rPr>
          <w:t>1 cm</w:t>
        </w:r>
      </w:smartTag>
      <w:r w:rsidRPr="008B3BC0">
        <w:rPr>
          <w:lang w:eastAsia="ar-SA"/>
        </w:rPr>
        <w:t>, przy czym co najmniej 95% wykonanych pomiarów nie może przekraczać przedziału dopuszczalnych odchyleń.</w:t>
      </w:r>
    </w:p>
    <w:p w:rsidR="00C26502" w:rsidRPr="008B3BC0" w:rsidRDefault="00C26502" w:rsidP="00C26502">
      <w:pPr>
        <w:suppressAutoHyphens/>
        <w:jc w:val="both"/>
        <w:rPr>
          <w:lang w:eastAsia="ar-SA"/>
        </w:rPr>
      </w:pPr>
      <w:r w:rsidRPr="008B3BC0">
        <w:rPr>
          <w:lang w:eastAsia="ar-SA"/>
        </w:rPr>
        <w:tab/>
        <w:t xml:space="preserve">Ukształtowanie osi w planie, mierzone co </w:t>
      </w:r>
      <w:smartTag w:uri="urn:schemas-microsoft-com:office:smarttags" w:element="metricconverter">
        <w:smartTagPr>
          <w:attr w:name="ProductID" w:val="100 m"/>
        </w:smartTagPr>
        <w:r w:rsidRPr="008B3BC0">
          <w:rPr>
            <w:lang w:eastAsia="ar-SA"/>
          </w:rPr>
          <w:t>100 m</w:t>
        </w:r>
      </w:smartTag>
      <w:r w:rsidRPr="008B3BC0">
        <w:rPr>
          <w:lang w:eastAsia="ar-SA"/>
        </w:rPr>
        <w:t xml:space="preserve">, nie powinno różnić się od dokumentacji projektowej o ± </w:t>
      </w:r>
      <w:smartTag w:uri="urn:schemas-microsoft-com:office:smarttags" w:element="metricconverter">
        <w:smartTagPr>
          <w:attr w:name="ProductID" w:val="5 cm"/>
        </w:smartTagPr>
        <w:r w:rsidRPr="008B3BC0">
          <w:rPr>
            <w:lang w:eastAsia="ar-SA"/>
          </w:rPr>
          <w:t>5 cm</w:t>
        </w:r>
      </w:smartTag>
      <w:r w:rsidRPr="008B3BC0">
        <w:rPr>
          <w:lang w:eastAsia="ar-SA"/>
        </w:rPr>
        <w:t>.</w:t>
      </w:r>
    </w:p>
    <w:p w:rsidR="00C26502" w:rsidRPr="008B3BC0" w:rsidRDefault="00C26502" w:rsidP="00C26502">
      <w:pPr>
        <w:suppressAutoHyphens/>
        <w:jc w:val="both"/>
        <w:rPr>
          <w:lang w:eastAsia="ar-SA"/>
        </w:rPr>
      </w:pPr>
      <w:r w:rsidRPr="008B3BC0">
        <w:rPr>
          <w:lang w:eastAsia="ar-SA"/>
        </w:rPr>
        <w:tab/>
        <w:t>Złącza podłużne i poprzeczne, sprawdzone wizualnie, powinny być równe i związane, wykonane w linii prostej, równolegle lub prostopadle do osi drogi. Przylegające warstwy powinny być w jednym poziomie.</w:t>
      </w:r>
    </w:p>
    <w:p w:rsidR="00C26502" w:rsidRPr="008B3BC0" w:rsidRDefault="00C26502" w:rsidP="00C26502">
      <w:pPr>
        <w:suppressAutoHyphens/>
        <w:jc w:val="both"/>
        <w:rPr>
          <w:lang w:eastAsia="ar-SA"/>
        </w:rPr>
      </w:pPr>
      <w:r w:rsidRPr="008B3BC0">
        <w:rPr>
          <w:lang w:eastAsia="ar-SA"/>
        </w:rPr>
        <w:tab/>
        <w:t>Wygląd zewnętrzny warstwy, sprawdzony wizualnie, powinien być jednorodny, bez spękań, deformacji, plam i wykruszeń.</w:t>
      </w:r>
    </w:p>
    <w:p w:rsidR="00C26502" w:rsidRPr="008B3BC0" w:rsidRDefault="00C26502" w:rsidP="00C26502">
      <w:pPr>
        <w:widowControl w:val="0"/>
        <w:suppressAutoHyphens/>
        <w:spacing w:before="120" w:after="120"/>
        <w:ind w:right="6878"/>
        <w:jc w:val="both"/>
        <w:rPr>
          <w:b/>
          <w:u w:val="single"/>
          <w:lang w:eastAsia="ar-SA"/>
        </w:rPr>
      </w:pPr>
      <w:bookmarkStart w:id="73" w:name="_Toc421940502"/>
      <w:bookmarkStart w:id="74" w:name="_Toc24955914"/>
      <w:bookmarkStart w:id="75" w:name="_Toc25128888"/>
      <w:bookmarkStart w:id="76" w:name="_Toc25373386"/>
      <w:bookmarkStart w:id="77" w:name="_Toc25379402"/>
      <w:r w:rsidRPr="008B3BC0">
        <w:rPr>
          <w:b/>
          <w:u w:val="single"/>
          <w:lang w:eastAsia="ar-SA"/>
        </w:rPr>
        <w:t xml:space="preserve">7. </w:t>
      </w:r>
      <w:bookmarkEnd w:id="73"/>
      <w:bookmarkEnd w:id="74"/>
      <w:bookmarkEnd w:id="75"/>
      <w:bookmarkEnd w:id="76"/>
      <w:bookmarkEnd w:id="77"/>
      <w:r w:rsidRPr="008B3BC0">
        <w:rPr>
          <w:b/>
          <w:u w:val="single"/>
          <w:lang w:eastAsia="ar-SA"/>
        </w:rPr>
        <w:t>OBMIAR ROBÓT</w:t>
      </w:r>
    </w:p>
    <w:p w:rsidR="00C26502" w:rsidRPr="008B3BC0" w:rsidRDefault="00C26502" w:rsidP="00C26502">
      <w:pPr>
        <w:suppressAutoHyphens/>
        <w:jc w:val="both"/>
        <w:rPr>
          <w:b/>
          <w:lang w:eastAsia="ar-SA"/>
        </w:rPr>
      </w:pPr>
      <w:r w:rsidRPr="008B3BC0">
        <w:rPr>
          <w:b/>
          <w:lang w:eastAsia="ar-SA"/>
        </w:rPr>
        <w:t>7.1. Ogólne zasady obmiaru robót</w:t>
      </w:r>
    </w:p>
    <w:p w:rsidR="00C26502" w:rsidRPr="008B3BC0" w:rsidRDefault="00C26502" w:rsidP="00C26502">
      <w:pPr>
        <w:numPr>
          <w:ilvl w:val="12"/>
          <w:numId w:val="0"/>
        </w:numPr>
        <w:suppressAutoHyphens/>
        <w:rPr>
          <w:lang w:eastAsia="ar-SA"/>
        </w:rPr>
      </w:pPr>
      <w:r w:rsidRPr="008B3BC0">
        <w:rPr>
          <w:lang w:eastAsia="ar-SA"/>
        </w:rPr>
        <w:tab/>
        <w:t>Ogólne zasady obmiaru robót podano w ST  D-M-00.00.00 „Wymagania ogólne” [1] pkt 7.</w:t>
      </w:r>
    </w:p>
    <w:p w:rsidR="00C26502" w:rsidRPr="008B3BC0" w:rsidRDefault="00C26502" w:rsidP="00C26502">
      <w:pPr>
        <w:suppressAutoHyphens/>
        <w:jc w:val="both"/>
        <w:rPr>
          <w:b/>
          <w:lang w:eastAsia="ar-SA"/>
        </w:rPr>
      </w:pPr>
      <w:r w:rsidRPr="008B3BC0">
        <w:rPr>
          <w:b/>
          <w:lang w:eastAsia="ar-SA"/>
        </w:rPr>
        <w:t>7.2. Jednostka obmiarowa</w:t>
      </w:r>
    </w:p>
    <w:p w:rsidR="00C26502" w:rsidRPr="008B3BC0" w:rsidRDefault="00C26502" w:rsidP="00C26502">
      <w:pPr>
        <w:numPr>
          <w:ilvl w:val="12"/>
          <w:numId w:val="0"/>
        </w:numPr>
        <w:suppressAutoHyphens/>
        <w:rPr>
          <w:lang w:eastAsia="ar-SA"/>
        </w:rPr>
      </w:pPr>
      <w:r w:rsidRPr="008B3BC0">
        <w:rPr>
          <w:lang w:eastAsia="ar-SA"/>
        </w:rPr>
        <w:tab/>
        <w:t>Jednostką obmiarową jest Mg (mega gram) wykonanej warstwy ścieralnej z betonu asfaltowego (AC).</w:t>
      </w:r>
    </w:p>
    <w:p w:rsidR="00C26502" w:rsidRPr="008B3BC0" w:rsidRDefault="00C26502" w:rsidP="00C26502">
      <w:pPr>
        <w:widowControl w:val="0"/>
        <w:suppressAutoHyphens/>
        <w:spacing w:before="120" w:after="120"/>
        <w:ind w:right="6878"/>
        <w:jc w:val="both"/>
        <w:rPr>
          <w:b/>
          <w:u w:val="single"/>
          <w:lang w:eastAsia="ar-SA"/>
        </w:rPr>
      </w:pPr>
      <w:bookmarkStart w:id="78" w:name="_Toc25128889"/>
      <w:bookmarkStart w:id="79" w:name="_Toc25373387"/>
      <w:bookmarkStart w:id="80" w:name="_Toc25379403"/>
      <w:r w:rsidRPr="008B3BC0">
        <w:rPr>
          <w:b/>
          <w:u w:val="single"/>
          <w:lang w:eastAsia="ar-SA"/>
        </w:rPr>
        <w:t xml:space="preserve">8. </w:t>
      </w:r>
      <w:bookmarkEnd w:id="78"/>
      <w:bookmarkEnd w:id="79"/>
      <w:bookmarkEnd w:id="80"/>
      <w:r w:rsidRPr="008B3BC0">
        <w:rPr>
          <w:b/>
          <w:u w:val="single"/>
          <w:lang w:eastAsia="ar-SA"/>
        </w:rPr>
        <w:t>ODBIÓR ROBÓT</w:t>
      </w:r>
    </w:p>
    <w:p w:rsidR="00C26502" w:rsidRPr="008B3BC0" w:rsidRDefault="00C26502" w:rsidP="00C26502">
      <w:pPr>
        <w:numPr>
          <w:ilvl w:val="12"/>
          <w:numId w:val="0"/>
        </w:numPr>
        <w:suppressAutoHyphens/>
        <w:rPr>
          <w:lang w:eastAsia="ar-SA"/>
        </w:rPr>
      </w:pPr>
      <w:r w:rsidRPr="008B3BC0">
        <w:rPr>
          <w:lang w:eastAsia="ar-SA"/>
        </w:rPr>
        <w:tab/>
        <w:t>Ogólne zasady odbioru robót podano w ST  D-M-00.00.00 „Wymagania ogólne” [1] pkt 8.</w:t>
      </w:r>
    </w:p>
    <w:p w:rsidR="00C26502" w:rsidRPr="008B3BC0" w:rsidRDefault="00C26502" w:rsidP="00C26502">
      <w:pPr>
        <w:numPr>
          <w:ilvl w:val="12"/>
          <w:numId w:val="0"/>
        </w:numPr>
        <w:suppressAutoHyphens/>
        <w:jc w:val="both"/>
        <w:rPr>
          <w:lang w:eastAsia="ar-SA"/>
        </w:rPr>
      </w:pPr>
      <w:r w:rsidRPr="008B3BC0">
        <w:rPr>
          <w:lang w:eastAsia="ar-SA"/>
        </w:rPr>
        <w:tab/>
        <w:t>Roboty uznaje się za wykonane zgodnie z dokumentacją projektową, ST i wymaganiami Inżyniera, jeżeli wszystkie pomiary i badania z zachowaniem tolerancji według pktu 6 dały wyniki pozytywne.</w:t>
      </w:r>
    </w:p>
    <w:p w:rsidR="00C26502" w:rsidRPr="008B3BC0" w:rsidRDefault="00C26502" w:rsidP="00C26502">
      <w:pPr>
        <w:numPr>
          <w:ilvl w:val="12"/>
          <w:numId w:val="0"/>
        </w:numPr>
        <w:suppressAutoHyphens/>
        <w:jc w:val="both"/>
        <w:rPr>
          <w:lang w:eastAsia="ar-SA"/>
        </w:rPr>
      </w:pPr>
      <w:r w:rsidRPr="008B3BC0">
        <w:rPr>
          <w:lang w:eastAsia="ar-SA"/>
        </w:rPr>
        <w:tab/>
        <w:t>Jeśli warunki umowy przewidują dokonywanie potrąceń, to Zamawiający może w razie niedotrzymania wartości dopuszczalnych dokonać potrąceń według zasad określonych w WT-2.</w:t>
      </w:r>
    </w:p>
    <w:p w:rsidR="00C26502" w:rsidRPr="008B3BC0" w:rsidRDefault="00C26502" w:rsidP="00C26502">
      <w:pPr>
        <w:widowControl w:val="0"/>
        <w:suppressAutoHyphens/>
        <w:spacing w:before="120" w:after="120"/>
        <w:ind w:right="5015"/>
        <w:jc w:val="both"/>
        <w:rPr>
          <w:b/>
          <w:u w:val="single"/>
          <w:lang w:eastAsia="ar-SA"/>
        </w:rPr>
      </w:pPr>
      <w:bookmarkStart w:id="81" w:name="_Toc25128890"/>
      <w:bookmarkStart w:id="82" w:name="_Toc25373388"/>
      <w:bookmarkStart w:id="83" w:name="_Toc25379404"/>
      <w:r w:rsidRPr="008B3BC0">
        <w:rPr>
          <w:b/>
          <w:u w:val="single"/>
          <w:lang w:eastAsia="ar-SA"/>
        </w:rPr>
        <w:t xml:space="preserve">9. </w:t>
      </w:r>
      <w:bookmarkEnd w:id="81"/>
      <w:bookmarkEnd w:id="82"/>
      <w:bookmarkEnd w:id="83"/>
      <w:r w:rsidRPr="008B3BC0">
        <w:rPr>
          <w:b/>
          <w:u w:val="single"/>
          <w:lang w:eastAsia="ar-SA"/>
        </w:rPr>
        <w:t>PODSTAWA PŁATNOŚCI</w:t>
      </w:r>
    </w:p>
    <w:p w:rsidR="00C26502" w:rsidRPr="008B3BC0" w:rsidRDefault="00C26502" w:rsidP="00C26502">
      <w:pPr>
        <w:suppressAutoHyphens/>
        <w:jc w:val="both"/>
        <w:rPr>
          <w:b/>
          <w:lang w:eastAsia="ar-SA"/>
        </w:rPr>
      </w:pPr>
      <w:r w:rsidRPr="008B3BC0">
        <w:rPr>
          <w:b/>
          <w:lang w:eastAsia="ar-SA"/>
        </w:rPr>
        <w:t>9.1. Ogólne ustalenia dotyczące podstawy płatności</w:t>
      </w:r>
    </w:p>
    <w:p w:rsidR="00C26502" w:rsidRPr="008B3BC0" w:rsidRDefault="00C26502" w:rsidP="00C26502">
      <w:pPr>
        <w:numPr>
          <w:ilvl w:val="12"/>
          <w:numId w:val="0"/>
        </w:numPr>
        <w:suppressAutoHyphens/>
        <w:rPr>
          <w:lang w:eastAsia="ar-SA"/>
        </w:rPr>
      </w:pPr>
      <w:r w:rsidRPr="008B3BC0">
        <w:rPr>
          <w:lang w:eastAsia="ar-SA"/>
        </w:rPr>
        <w:tab/>
        <w:t>Ogólne ustalenia dotyczące podstawy płatności podano w ST D-M-00.00.00 „Wymagania ogólne” [1] pkt 9.</w:t>
      </w:r>
    </w:p>
    <w:p w:rsidR="00C26502" w:rsidRPr="008B3BC0" w:rsidRDefault="00C26502" w:rsidP="00C26502">
      <w:pPr>
        <w:suppressAutoHyphens/>
        <w:jc w:val="both"/>
        <w:rPr>
          <w:b/>
          <w:lang w:eastAsia="ar-SA"/>
        </w:rPr>
      </w:pPr>
      <w:r w:rsidRPr="008B3BC0">
        <w:rPr>
          <w:b/>
          <w:lang w:eastAsia="ar-SA"/>
        </w:rPr>
        <w:t>9.2. Cena jednostki obmiarowej</w:t>
      </w:r>
    </w:p>
    <w:p w:rsidR="00C26502" w:rsidRPr="008B3BC0" w:rsidRDefault="00C26502" w:rsidP="00C26502">
      <w:pPr>
        <w:numPr>
          <w:ilvl w:val="12"/>
          <w:numId w:val="0"/>
        </w:numPr>
        <w:suppressAutoHyphens/>
        <w:rPr>
          <w:lang w:eastAsia="ar-SA"/>
        </w:rPr>
      </w:pPr>
      <w:r w:rsidRPr="008B3BC0">
        <w:rPr>
          <w:lang w:eastAsia="ar-SA"/>
        </w:rPr>
        <w:tab/>
        <w:t>Cena wykonania 1 Mg warstwy ścieralnej z betonu asfaltowego (AC) obejmuje:</w:t>
      </w:r>
    </w:p>
    <w:p w:rsidR="00C26502" w:rsidRPr="008B3BC0" w:rsidRDefault="00C26502" w:rsidP="00C26502">
      <w:pPr>
        <w:numPr>
          <w:ilvl w:val="0"/>
          <w:numId w:val="1"/>
        </w:numPr>
        <w:suppressAutoHyphens/>
        <w:overflowPunct w:val="0"/>
        <w:autoSpaceDE w:val="0"/>
        <w:autoSpaceDN w:val="0"/>
        <w:adjustRightInd w:val="0"/>
        <w:jc w:val="both"/>
        <w:textAlignment w:val="baseline"/>
        <w:rPr>
          <w:lang w:eastAsia="ar-SA"/>
        </w:rPr>
      </w:pPr>
      <w:r w:rsidRPr="008B3BC0">
        <w:rPr>
          <w:lang w:eastAsia="ar-SA"/>
        </w:rPr>
        <w:t>prace pomiarowe i roboty przygotowawcze,</w:t>
      </w:r>
    </w:p>
    <w:p w:rsidR="00C26502" w:rsidRPr="008B3BC0" w:rsidRDefault="00C26502" w:rsidP="00C26502">
      <w:pPr>
        <w:numPr>
          <w:ilvl w:val="0"/>
          <w:numId w:val="1"/>
        </w:numPr>
        <w:suppressAutoHyphens/>
        <w:overflowPunct w:val="0"/>
        <w:autoSpaceDE w:val="0"/>
        <w:autoSpaceDN w:val="0"/>
        <w:adjustRightInd w:val="0"/>
        <w:jc w:val="both"/>
        <w:textAlignment w:val="baseline"/>
        <w:rPr>
          <w:lang w:eastAsia="ar-SA"/>
        </w:rPr>
      </w:pPr>
      <w:r w:rsidRPr="008B3BC0">
        <w:rPr>
          <w:lang w:eastAsia="ar-SA"/>
        </w:rPr>
        <w:t>oznakowanie robót,</w:t>
      </w:r>
    </w:p>
    <w:p w:rsidR="00C26502" w:rsidRPr="008B3BC0" w:rsidRDefault="00C26502" w:rsidP="00C26502">
      <w:pPr>
        <w:numPr>
          <w:ilvl w:val="0"/>
          <w:numId w:val="1"/>
        </w:numPr>
        <w:suppressAutoHyphens/>
        <w:jc w:val="both"/>
        <w:rPr>
          <w:lang w:eastAsia="ar-SA"/>
        </w:rPr>
      </w:pPr>
      <w:r w:rsidRPr="008B3BC0">
        <w:rPr>
          <w:lang w:eastAsia="ar-SA"/>
        </w:rPr>
        <w:t>oczyszczenie i skropienie podłoża emulsją asfaltową 0,5 kg/m2,</w:t>
      </w:r>
    </w:p>
    <w:p w:rsidR="00C26502" w:rsidRPr="008B3BC0" w:rsidRDefault="00C26502" w:rsidP="00C26502">
      <w:pPr>
        <w:numPr>
          <w:ilvl w:val="0"/>
          <w:numId w:val="1"/>
        </w:numPr>
        <w:suppressAutoHyphens/>
        <w:overflowPunct w:val="0"/>
        <w:autoSpaceDE w:val="0"/>
        <w:autoSpaceDN w:val="0"/>
        <w:adjustRightInd w:val="0"/>
        <w:jc w:val="both"/>
        <w:textAlignment w:val="baseline"/>
        <w:rPr>
          <w:lang w:eastAsia="ar-SA"/>
        </w:rPr>
      </w:pPr>
      <w:r w:rsidRPr="008B3BC0">
        <w:rPr>
          <w:lang w:eastAsia="ar-SA"/>
        </w:rPr>
        <w:t>dostarczenie materiałów i sprzętu,</w:t>
      </w:r>
    </w:p>
    <w:p w:rsidR="00C26502" w:rsidRPr="008B3BC0" w:rsidRDefault="00C26502" w:rsidP="00C26502">
      <w:pPr>
        <w:numPr>
          <w:ilvl w:val="0"/>
          <w:numId w:val="1"/>
        </w:numPr>
        <w:suppressAutoHyphens/>
        <w:overflowPunct w:val="0"/>
        <w:autoSpaceDE w:val="0"/>
        <w:autoSpaceDN w:val="0"/>
        <w:adjustRightInd w:val="0"/>
        <w:jc w:val="both"/>
        <w:textAlignment w:val="baseline"/>
        <w:rPr>
          <w:lang w:eastAsia="ar-SA"/>
        </w:rPr>
      </w:pPr>
      <w:r w:rsidRPr="008B3BC0">
        <w:rPr>
          <w:lang w:eastAsia="ar-SA"/>
        </w:rPr>
        <w:t>opracowanie recepty laboratoryjnej,</w:t>
      </w:r>
    </w:p>
    <w:p w:rsidR="00C26502" w:rsidRPr="008B3BC0" w:rsidRDefault="00C26502" w:rsidP="00C26502">
      <w:pPr>
        <w:numPr>
          <w:ilvl w:val="0"/>
          <w:numId w:val="1"/>
        </w:numPr>
        <w:suppressAutoHyphens/>
        <w:overflowPunct w:val="0"/>
        <w:autoSpaceDE w:val="0"/>
        <w:autoSpaceDN w:val="0"/>
        <w:adjustRightInd w:val="0"/>
        <w:jc w:val="both"/>
        <w:textAlignment w:val="baseline"/>
        <w:rPr>
          <w:lang w:eastAsia="ar-SA"/>
        </w:rPr>
      </w:pPr>
      <w:r w:rsidRPr="008B3BC0">
        <w:rPr>
          <w:lang w:eastAsia="ar-SA"/>
        </w:rPr>
        <w:t>wykonanie próby technologicznej i odcinka próbnego,</w:t>
      </w:r>
    </w:p>
    <w:p w:rsidR="00C26502" w:rsidRPr="008B3BC0" w:rsidRDefault="00C26502" w:rsidP="00C26502">
      <w:pPr>
        <w:numPr>
          <w:ilvl w:val="0"/>
          <w:numId w:val="1"/>
        </w:numPr>
        <w:suppressAutoHyphens/>
        <w:overflowPunct w:val="0"/>
        <w:autoSpaceDE w:val="0"/>
        <w:autoSpaceDN w:val="0"/>
        <w:adjustRightInd w:val="0"/>
        <w:jc w:val="both"/>
        <w:textAlignment w:val="baseline"/>
        <w:rPr>
          <w:lang w:eastAsia="ar-SA"/>
        </w:rPr>
      </w:pPr>
      <w:r w:rsidRPr="008B3BC0">
        <w:rPr>
          <w:lang w:eastAsia="ar-SA"/>
        </w:rPr>
        <w:t>wyprodukowanie mieszanki betonu asfaltowego i jej transport na miejsce wbudowania,</w:t>
      </w:r>
    </w:p>
    <w:p w:rsidR="00C26502" w:rsidRPr="008B3BC0" w:rsidRDefault="00C26502" w:rsidP="00C26502">
      <w:pPr>
        <w:numPr>
          <w:ilvl w:val="0"/>
          <w:numId w:val="1"/>
        </w:numPr>
        <w:suppressAutoHyphens/>
        <w:overflowPunct w:val="0"/>
        <w:autoSpaceDE w:val="0"/>
        <w:autoSpaceDN w:val="0"/>
        <w:adjustRightInd w:val="0"/>
        <w:jc w:val="both"/>
        <w:textAlignment w:val="baseline"/>
        <w:rPr>
          <w:lang w:eastAsia="ar-SA"/>
        </w:rPr>
      </w:pPr>
      <w:r w:rsidRPr="008B3BC0">
        <w:rPr>
          <w:lang w:eastAsia="ar-SA"/>
        </w:rPr>
        <w:t>posmarowanie lepiszczem lub pokrycie taśmą asfaltową krawędzi urządzeń obcych i krawężników,</w:t>
      </w:r>
    </w:p>
    <w:p w:rsidR="00C26502" w:rsidRPr="008B3BC0" w:rsidRDefault="00C26502" w:rsidP="00C26502">
      <w:pPr>
        <w:numPr>
          <w:ilvl w:val="0"/>
          <w:numId w:val="1"/>
        </w:numPr>
        <w:suppressAutoHyphens/>
        <w:overflowPunct w:val="0"/>
        <w:autoSpaceDE w:val="0"/>
        <w:autoSpaceDN w:val="0"/>
        <w:adjustRightInd w:val="0"/>
        <w:jc w:val="both"/>
        <w:textAlignment w:val="baseline"/>
        <w:rPr>
          <w:lang w:eastAsia="ar-SA"/>
        </w:rPr>
      </w:pPr>
      <w:r w:rsidRPr="008B3BC0">
        <w:rPr>
          <w:lang w:eastAsia="ar-SA"/>
        </w:rPr>
        <w:t>rozłożenie i zagęszczenie mieszanki betonu asfaltowego,</w:t>
      </w:r>
    </w:p>
    <w:p w:rsidR="00C26502" w:rsidRPr="008B3BC0" w:rsidRDefault="00C26502" w:rsidP="00C26502">
      <w:pPr>
        <w:numPr>
          <w:ilvl w:val="0"/>
          <w:numId w:val="1"/>
        </w:numPr>
        <w:suppressAutoHyphens/>
        <w:overflowPunct w:val="0"/>
        <w:autoSpaceDE w:val="0"/>
        <w:autoSpaceDN w:val="0"/>
        <w:adjustRightInd w:val="0"/>
        <w:jc w:val="both"/>
        <w:textAlignment w:val="baseline"/>
        <w:rPr>
          <w:lang w:eastAsia="ar-SA"/>
        </w:rPr>
      </w:pPr>
      <w:r w:rsidRPr="008B3BC0">
        <w:rPr>
          <w:lang w:eastAsia="ar-SA"/>
        </w:rPr>
        <w:t>obcięcie krawędzi i posmarowanie lepiszczem,</w:t>
      </w:r>
    </w:p>
    <w:p w:rsidR="00C26502" w:rsidRPr="008B3BC0" w:rsidRDefault="00C26502" w:rsidP="00C26502">
      <w:pPr>
        <w:numPr>
          <w:ilvl w:val="0"/>
          <w:numId w:val="1"/>
        </w:numPr>
        <w:suppressAutoHyphens/>
        <w:overflowPunct w:val="0"/>
        <w:autoSpaceDE w:val="0"/>
        <w:autoSpaceDN w:val="0"/>
        <w:adjustRightInd w:val="0"/>
        <w:jc w:val="both"/>
        <w:textAlignment w:val="baseline"/>
        <w:rPr>
          <w:lang w:eastAsia="ar-SA"/>
        </w:rPr>
      </w:pPr>
      <w:r w:rsidRPr="008B3BC0">
        <w:rPr>
          <w:lang w:eastAsia="ar-SA"/>
        </w:rPr>
        <w:t>przeprowadzenie pomiarów i badań  wymaganych w specyfikacji technicznej,</w:t>
      </w:r>
    </w:p>
    <w:p w:rsidR="00C26502" w:rsidRPr="008B3BC0" w:rsidRDefault="00C26502" w:rsidP="00C26502">
      <w:pPr>
        <w:numPr>
          <w:ilvl w:val="0"/>
          <w:numId w:val="1"/>
        </w:numPr>
        <w:suppressAutoHyphens/>
        <w:overflowPunct w:val="0"/>
        <w:autoSpaceDE w:val="0"/>
        <w:autoSpaceDN w:val="0"/>
        <w:adjustRightInd w:val="0"/>
        <w:jc w:val="both"/>
        <w:textAlignment w:val="baseline"/>
        <w:rPr>
          <w:b/>
          <w:lang w:eastAsia="ar-SA"/>
        </w:rPr>
      </w:pPr>
      <w:r w:rsidRPr="008B3BC0">
        <w:rPr>
          <w:lang w:eastAsia="ar-SA"/>
        </w:rPr>
        <w:t>odwiezienie sprzętu.</w:t>
      </w:r>
    </w:p>
    <w:p w:rsidR="00C26502" w:rsidRPr="008B3BC0" w:rsidRDefault="00C26502" w:rsidP="00C26502">
      <w:pPr>
        <w:suppressAutoHyphens/>
        <w:jc w:val="both"/>
        <w:rPr>
          <w:b/>
          <w:lang w:eastAsia="ar-SA"/>
        </w:rPr>
      </w:pPr>
      <w:r w:rsidRPr="008B3BC0">
        <w:rPr>
          <w:b/>
          <w:lang w:eastAsia="ar-SA"/>
        </w:rPr>
        <w:t>9.3. Sposób rozliczenia robót tymczasowych i prac towarzyszących</w:t>
      </w:r>
    </w:p>
    <w:p w:rsidR="00C26502" w:rsidRPr="008B3BC0" w:rsidRDefault="00C26502" w:rsidP="00C26502">
      <w:pPr>
        <w:suppressAutoHyphens/>
        <w:rPr>
          <w:lang w:eastAsia="ar-SA"/>
        </w:rPr>
      </w:pPr>
      <w:r w:rsidRPr="008B3BC0">
        <w:rPr>
          <w:lang w:eastAsia="ar-SA"/>
        </w:rPr>
        <w:tab/>
        <w:t>Cena wykonania robót określonych niniejszą ST obejmuje:</w:t>
      </w:r>
    </w:p>
    <w:p w:rsidR="00C26502" w:rsidRPr="008B3BC0" w:rsidRDefault="00C26502" w:rsidP="00C26502">
      <w:pPr>
        <w:numPr>
          <w:ilvl w:val="0"/>
          <w:numId w:val="1"/>
        </w:numPr>
        <w:suppressAutoHyphens/>
        <w:overflowPunct w:val="0"/>
        <w:autoSpaceDE w:val="0"/>
        <w:autoSpaceDN w:val="0"/>
        <w:adjustRightInd w:val="0"/>
        <w:jc w:val="both"/>
        <w:textAlignment w:val="baseline"/>
        <w:rPr>
          <w:lang w:eastAsia="ar-SA"/>
        </w:rPr>
      </w:pPr>
      <w:r w:rsidRPr="008B3BC0">
        <w:rPr>
          <w:lang w:eastAsia="ar-SA"/>
        </w:rPr>
        <w:t>roboty tymczasowe, które są potrzebne do wykonania robót podstawowych, ale nie są przekazywane Zamawiającemu i są usuwane po wykonaniu robót podstawowych,</w:t>
      </w:r>
    </w:p>
    <w:p w:rsidR="00C26502" w:rsidRPr="00475B43" w:rsidRDefault="00C26502" w:rsidP="00C26502">
      <w:pPr>
        <w:numPr>
          <w:ilvl w:val="0"/>
          <w:numId w:val="1"/>
        </w:numPr>
        <w:suppressAutoHyphens/>
        <w:overflowPunct w:val="0"/>
        <w:autoSpaceDE w:val="0"/>
        <w:autoSpaceDN w:val="0"/>
        <w:adjustRightInd w:val="0"/>
        <w:jc w:val="both"/>
        <w:textAlignment w:val="baseline"/>
        <w:rPr>
          <w:lang w:eastAsia="ar-SA"/>
        </w:rPr>
      </w:pPr>
      <w:r w:rsidRPr="008B3BC0">
        <w:rPr>
          <w:lang w:eastAsia="ar-SA"/>
        </w:rPr>
        <w:t>prace towarzyszące, które są niezbędne do wykonania robót podstawowych, niezaliczane do robót tymczasowych, jak geodezyjne wytyczenie robót itd.</w:t>
      </w:r>
    </w:p>
    <w:p w:rsidR="00C26502" w:rsidRPr="008B3BC0" w:rsidRDefault="00C26502" w:rsidP="00C26502">
      <w:pPr>
        <w:widowControl w:val="0"/>
        <w:suppressAutoHyphens/>
        <w:spacing w:before="120" w:after="120"/>
        <w:ind w:right="4164"/>
        <w:jc w:val="both"/>
        <w:rPr>
          <w:b/>
          <w:u w:val="single"/>
          <w:lang w:eastAsia="ar-SA"/>
        </w:rPr>
      </w:pPr>
      <w:r w:rsidRPr="008B3BC0">
        <w:rPr>
          <w:b/>
          <w:u w:val="single"/>
          <w:lang w:eastAsia="ar-SA"/>
        </w:rPr>
        <w:t>10. PRZEPISY ZWIĄZANE</w:t>
      </w:r>
    </w:p>
    <w:p w:rsidR="00C26502" w:rsidRPr="008B3BC0" w:rsidRDefault="00C26502" w:rsidP="00C26502">
      <w:pPr>
        <w:suppressAutoHyphens/>
        <w:jc w:val="both"/>
        <w:rPr>
          <w:b/>
          <w:lang w:eastAsia="ar-SA"/>
        </w:rPr>
      </w:pPr>
      <w:r w:rsidRPr="008B3BC0">
        <w:rPr>
          <w:b/>
          <w:lang w:eastAsia="ar-SA"/>
        </w:rPr>
        <w:t>10.1. Ogólne specyfikacje techniczne (ST)</w:t>
      </w:r>
    </w:p>
    <w:tbl>
      <w:tblPr>
        <w:tblW w:w="0" w:type="auto"/>
        <w:tblLayout w:type="fixed"/>
        <w:tblCellMar>
          <w:left w:w="70" w:type="dxa"/>
          <w:right w:w="70" w:type="dxa"/>
        </w:tblCellMar>
        <w:tblLook w:val="0000" w:firstRow="0" w:lastRow="0" w:firstColumn="0" w:lastColumn="0" w:noHBand="0" w:noVBand="0"/>
      </w:tblPr>
      <w:tblGrid>
        <w:gridCol w:w="496"/>
        <w:gridCol w:w="1842"/>
        <w:gridCol w:w="5172"/>
      </w:tblGrid>
      <w:tr w:rsidR="00C26502" w:rsidRPr="008B3BC0" w:rsidTr="00C26502">
        <w:tc>
          <w:tcPr>
            <w:tcW w:w="496" w:type="dxa"/>
          </w:tcPr>
          <w:p w:rsidR="00C26502" w:rsidRPr="008B3BC0" w:rsidRDefault="00C26502" w:rsidP="00C26502">
            <w:pPr>
              <w:suppressAutoHyphens/>
              <w:jc w:val="center"/>
              <w:rPr>
                <w:lang w:eastAsia="ar-SA"/>
              </w:rPr>
            </w:pPr>
            <w:r w:rsidRPr="008B3BC0">
              <w:rPr>
                <w:lang w:eastAsia="ar-SA"/>
              </w:rPr>
              <w:t>1.</w:t>
            </w:r>
          </w:p>
        </w:tc>
        <w:tc>
          <w:tcPr>
            <w:tcW w:w="1842" w:type="dxa"/>
          </w:tcPr>
          <w:p w:rsidR="00C26502" w:rsidRPr="008B3BC0" w:rsidRDefault="00C26502" w:rsidP="00C26502">
            <w:pPr>
              <w:suppressAutoHyphens/>
              <w:rPr>
                <w:lang w:eastAsia="ar-SA"/>
              </w:rPr>
            </w:pPr>
            <w:r w:rsidRPr="008B3BC0">
              <w:rPr>
                <w:lang w:eastAsia="ar-SA"/>
              </w:rPr>
              <w:t>D-M-00.00.00</w:t>
            </w:r>
          </w:p>
        </w:tc>
        <w:tc>
          <w:tcPr>
            <w:tcW w:w="5172" w:type="dxa"/>
          </w:tcPr>
          <w:p w:rsidR="00C26502" w:rsidRPr="008B3BC0" w:rsidRDefault="00C26502" w:rsidP="00C26502">
            <w:pPr>
              <w:suppressAutoHyphens/>
              <w:rPr>
                <w:lang w:eastAsia="ar-SA"/>
              </w:rPr>
            </w:pPr>
            <w:r w:rsidRPr="008B3BC0">
              <w:rPr>
                <w:lang w:eastAsia="ar-SA"/>
              </w:rPr>
              <w:t xml:space="preserve"> Wymagania ogólne</w:t>
            </w:r>
          </w:p>
        </w:tc>
      </w:tr>
    </w:tbl>
    <w:p w:rsidR="00C26502" w:rsidRPr="008B3BC0" w:rsidRDefault="00C26502" w:rsidP="00C26502">
      <w:pPr>
        <w:suppressAutoHyphens/>
        <w:jc w:val="both"/>
        <w:rPr>
          <w:b/>
          <w:lang w:eastAsia="ar-SA"/>
        </w:rPr>
      </w:pPr>
    </w:p>
    <w:p w:rsidR="00C26502" w:rsidRPr="008B3BC0" w:rsidRDefault="00C26502" w:rsidP="00C26502">
      <w:pPr>
        <w:suppressAutoHyphens/>
        <w:jc w:val="both"/>
        <w:rPr>
          <w:b/>
          <w:lang w:eastAsia="ar-SA"/>
        </w:rPr>
      </w:pPr>
      <w:r w:rsidRPr="008B3BC0">
        <w:rPr>
          <w:b/>
          <w:lang w:eastAsia="ar-SA"/>
        </w:rPr>
        <w:t>10.3. Wymagania techniczne (rekomendowane przez Ministra Infrastruktury)</w:t>
      </w:r>
    </w:p>
    <w:p w:rsidR="00C26502" w:rsidRPr="008B3BC0" w:rsidRDefault="00C26502" w:rsidP="0097494B">
      <w:pPr>
        <w:numPr>
          <w:ilvl w:val="0"/>
          <w:numId w:val="77"/>
        </w:numPr>
        <w:tabs>
          <w:tab w:val="num" w:pos="426"/>
        </w:tabs>
        <w:suppressAutoHyphens/>
        <w:overflowPunct w:val="0"/>
        <w:autoSpaceDE w:val="0"/>
        <w:autoSpaceDN w:val="0"/>
        <w:adjustRightInd w:val="0"/>
        <w:ind w:left="426" w:hanging="369"/>
        <w:jc w:val="both"/>
        <w:textAlignment w:val="baseline"/>
        <w:rPr>
          <w:lang w:eastAsia="ar-SA"/>
        </w:rPr>
      </w:pPr>
      <w:r w:rsidRPr="008B3BC0">
        <w:rPr>
          <w:lang w:eastAsia="ar-SA"/>
        </w:rPr>
        <w:t xml:space="preserve">WT-1 Kruszywa 2010. </w:t>
      </w:r>
    </w:p>
    <w:p w:rsidR="00C26502" w:rsidRPr="008B3BC0" w:rsidRDefault="00C26502" w:rsidP="0097494B">
      <w:pPr>
        <w:numPr>
          <w:ilvl w:val="0"/>
          <w:numId w:val="77"/>
        </w:numPr>
        <w:tabs>
          <w:tab w:val="num" w:pos="426"/>
        </w:tabs>
        <w:suppressAutoHyphens/>
        <w:overflowPunct w:val="0"/>
        <w:autoSpaceDE w:val="0"/>
        <w:autoSpaceDN w:val="0"/>
        <w:adjustRightInd w:val="0"/>
        <w:ind w:left="426" w:hanging="369"/>
        <w:jc w:val="both"/>
        <w:textAlignment w:val="baseline"/>
        <w:rPr>
          <w:lang w:eastAsia="ar-SA"/>
        </w:rPr>
      </w:pPr>
      <w:r w:rsidRPr="008B3BC0">
        <w:rPr>
          <w:lang w:eastAsia="ar-SA"/>
        </w:rPr>
        <w:t xml:space="preserve">WT-2 Nawierzchnie asfaltowe 2010. </w:t>
      </w:r>
    </w:p>
    <w:p w:rsidR="00C26502" w:rsidRPr="008B3BC0" w:rsidRDefault="00C26502" w:rsidP="0097494B">
      <w:pPr>
        <w:numPr>
          <w:ilvl w:val="0"/>
          <w:numId w:val="77"/>
        </w:numPr>
        <w:tabs>
          <w:tab w:val="num" w:pos="426"/>
        </w:tabs>
        <w:suppressAutoHyphens/>
        <w:overflowPunct w:val="0"/>
        <w:autoSpaceDE w:val="0"/>
        <w:autoSpaceDN w:val="0"/>
        <w:adjustRightInd w:val="0"/>
        <w:ind w:left="426" w:hanging="369"/>
        <w:jc w:val="both"/>
        <w:textAlignment w:val="baseline"/>
        <w:rPr>
          <w:lang w:eastAsia="ar-SA"/>
        </w:rPr>
      </w:pPr>
      <w:r w:rsidRPr="008B3BC0">
        <w:rPr>
          <w:lang w:eastAsia="ar-SA"/>
        </w:rPr>
        <w:t>WT-3 Emulsje asfaltowe 2009. Kationowe emulsje asfaltowe na drogach publicznych</w:t>
      </w:r>
    </w:p>
    <w:p w:rsidR="00C26502" w:rsidRPr="008B3BC0" w:rsidRDefault="00C26502" w:rsidP="00C26502">
      <w:pPr>
        <w:suppressAutoHyphens/>
        <w:jc w:val="both"/>
        <w:rPr>
          <w:b/>
          <w:lang w:eastAsia="ar-SA"/>
        </w:rPr>
      </w:pPr>
      <w:r w:rsidRPr="008B3BC0">
        <w:rPr>
          <w:b/>
          <w:lang w:eastAsia="ar-SA"/>
        </w:rPr>
        <w:t>10.4. Inne dokumenty</w:t>
      </w:r>
    </w:p>
    <w:p w:rsidR="00C26502" w:rsidRPr="008B3BC0" w:rsidRDefault="00C26502" w:rsidP="0097494B">
      <w:pPr>
        <w:numPr>
          <w:ilvl w:val="0"/>
          <w:numId w:val="78"/>
        </w:numPr>
        <w:tabs>
          <w:tab w:val="num" w:pos="426"/>
        </w:tabs>
        <w:suppressAutoHyphens/>
        <w:overflowPunct w:val="0"/>
        <w:autoSpaceDE w:val="0"/>
        <w:autoSpaceDN w:val="0"/>
        <w:adjustRightInd w:val="0"/>
        <w:ind w:left="426" w:hanging="369"/>
        <w:jc w:val="both"/>
        <w:textAlignment w:val="baseline"/>
        <w:rPr>
          <w:lang w:eastAsia="ar-SA"/>
        </w:rPr>
      </w:pPr>
      <w:r w:rsidRPr="008B3BC0">
        <w:rPr>
          <w:lang w:eastAsia="ar-SA"/>
        </w:rPr>
        <w:t>Rozporządzenie Ministra Transportu i Gospodarki Morskiej z dnia 2 marca 1999 r. w sprawie warunków technicznych, jakim powinny odpowiadać drogi publiczne i ich usytuowanie (Dz.U. nr 43, poz. 430)</w:t>
      </w:r>
    </w:p>
    <w:p w:rsidR="00C26502" w:rsidRPr="008B3BC0" w:rsidRDefault="00C26502" w:rsidP="0097494B">
      <w:pPr>
        <w:numPr>
          <w:ilvl w:val="0"/>
          <w:numId w:val="78"/>
        </w:numPr>
        <w:tabs>
          <w:tab w:val="num" w:pos="426"/>
        </w:tabs>
        <w:suppressAutoHyphens/>
        <w:overflowPunct w:val="0"/>
        <w:autoSpaceDE w:val="0"/>
        <w:autoSpaceDN w:val="0"/>
        <w:adjustRightInd w:val="0"/>
        <w:ind w:left="426" w:hanging="369"/>
        <w:jc w:val="both"/>
        <w:textAlignment w:val="baseline"/>
        <w:rPr>
          <w:lang w:eastAsia="ar-SA"/>
        </w:rPr>
      </w:pPr>
      <w:r w:rsidRPr="008B3BC0">
        <w:rPr>
          <w:lang w:eastAsia="ar-SA"/>
        </w:rPr>
        <w:t>Katalog typowych konstrukcji nawierzchni podatnych i półsztywnych. Generalna Dyrekcja Dróg Publicznych – Instytut Badawczy Dróg i Mostów, Warszawa 1997</w:t>
      </w:r>
    </w:p>
    <w:tbl>
      <w:tblPr>
        <w:tblW w:w="0" w:type="auto"/>
        <w:tblLook w:val="01E0" w:firstRow="1" w:lastRow="1" w:firstColumn="1" w:lastColumn="1" w:noHBand="0" w:noVBand="0"/>
      </w:tblPr>
      <w:tblGrid>
        <w:gridCol w:w="534"/>
        <w:gridCol w:w="1841"/>
        <w:gridCol w:w="6836"/>
      </w:tblGrid>
      <w:tr w:rsidR="00C26502" w:rsidRPr="008B3BC0" w:rsidTr="00C26502">
        <w:tc>
          <w:tcPr>
            <w:tcW w:w="534" w:type="dxa"/>
          </w:tcPr>
          <w:p w:rsidR="00C26502" w:rsidRPr="008B3BC0" w:rsidRDefault="00C26502" w:rsidP="00C26502">
            <w:pPr>
              <w:overflowPunct w:val="0"/>
              <w:autoSpaceDE w:val="0"/>
              <w:autoSpaceDN w:val="0"/>
              <w:adjustRightInd w:val="0"/>
              <w:jc w:val="right"/>
            </w:pPr>
            <w:r w:rsidRPr="008B3BC0">
              <w:rPr>
                <w:szCs w:val="26"/>
              </w:rPr>
              <w:br w:type="page"/>
            </w:r>
            <w:r w:rsidRPr="008B3BC0">
              <w:t xml:space="preserve"> 38.</w:t>
            </w:r>
          </w:p>
        </w:tc>
        <w:tc>
          <w:tcPr>
            <w:tcW w:w="1841" w:type="dxa"/>
          </w:tcPr>
          <w:p w:rsidR="00C26502" w:rsidRPr="008B3BC0" w:rsidRDefault="00C26502" w:rsidP="00C26502">
            <w:pPr>
              <w:overflowPunct w:val="0"/>
              <w:autoSpaceDE w:val="0"/>
              <w:autoSpaceDN w:val="0"/>
              <w:adjustRightInd w:val="0"/>
              <w:jc w:val="both"/>
            </w:pPr>
            <w:r w:rsidRPr="008B3BC0">
              <w:t>PN-EN 12697-22</w:t>
            </w:r>
          </w:p>
        </w:tc>
        <w:tc>
          <w:tcPr>
            <w:tcW w:w="6836" w:type="dxa"/>
          </w:tcPr>
          <w:p w:rsidR="00C26502" w:rsidRPr="008B3BC0" w:rsidRDefault="00C26502" w:rsidP="00C26502">
            <w:pPr>
              <w:overflowPunct w:val="0"/>
              <w:autoSpaceDE w:val="0"/>
              <w:autoSpaceDN w:val="0"/>
              <w:adjustRightInd w:val="0"/>
              <w:jc w:val="both"/>
            </w:pPr>
            <w:r w:rsidRPr="008B3BC0">
              <w:t>Mieszanki mineralno-asfaltowe – Metody badań mieszanek mineralno-asfaltowych na gorąco – Część 22: Koleinowanie</w:t>
            </w:r>
          </w:p>
        </w:tc>
      </w:tr>
      <w:tr w:rsidR="00C26502" w:rsidRPr="008B3BC0" w:rsidTr="00C26502">
        <w:tc>
          <w:tcPr>
            <w:tcW w:w="534" w:type="dxa"/>
          </w:tcPr>
          <w:p w:rsidR="00C26502" w:rsidRPr="008B3BC0" w:rsidRDefault="00C26502" w:rsidP="00C26502">
            <w:pPr>
              <w:overflowPunct w:val="0"/>
              <w:autoSpaceDE w:val="0"/>
              <w:autoSpaceDN w:val="0"/>
              <w:adjustRightInd w:val="0"/>
              <w:jc w:val="right"/>
            </w:pPr>
            <w:r w:rsidRPr="008B3BC0">
              <w:t>39.</w:t>
            </w:r>
          </w:p>
        </w:tc>
        <w:tc>
          <w:tcPr>
            <w:tcW w:w="1841" w:type="dxa"/>
          </w:tcPr>
          <w:p w:rsidR="00C26502" w:rsidRPr="008B3BC0" w:rsidRDefault="00C26502" w:rsidP="00C26502">
            <w:pPr>
              <w:overflowPunct w:val="0"/>
              <w:autoSpaceDE w:val="0"/>
              <w:autoSpaceDN w:val="0"/>
              <w:adjustRightInd w:val="0"/>
              <w:jc w:val="both"/>
            </w:pPr>
            <w:r w:rsidRPr="008B3BC0">
              <w:t>PN-EN 12697-27</w:t>
            </w:r>
          </w:p>
        </w:tc>
        <w:tc>
          <w:tcPr>
            <w:tcW w:w="6836" w:type="dxa"/>
          </w:tcPr>
          <w:p w:rsidR="00C26502" w:rsidRPr="008B3BC0" w:rsidRDefault="00C26502" w:rsidP="00C26502">
            <w:pPr>
              <w:overflowPunct w:val="0"/>
              <w:autoSpaceDE w:val="0"/>
              <w:autoSpaceDN w:val="0"/>
              <w:adjustRightInd w:val="0"/>
              <w:jc w:val="both"/>
            </w:pPr>
            <w:r w:rsidRPr="008B3BC0">
              <w:t>Mieszanki mineralno-asfaltowe – Metody badań mieszanek mineralno-asfaltowych na gorąco – Część 27: Pobieranie próbek</w:t>
            </w:r>
          </w:p>
        </w:tc>
      </w:tr>
      <w:tr w:rsidR="00C26502" w:rsidRPr="008B3BC0" w:rsidTr="00C26502">
        <w:tc>
          <w:tcPr>
            <w:tcW w:w="534" w:type="dxa"/>
          </w:tcPr>
          <w:p w:rsidR="00C26502" w:rsidRPr="008B3BC0" w:rsidRDefault="00C26502" w:rsidP="00C26502">
            <w:pPr>
              <w:overflowPunct w:val="0"/>
              <w:autoSpaceDE w:val="0"/>
              <w:autoSpaceDN w:val="0"/>
              <w:adjustRightInd w:val="0"/>
              <w:jc w:val="right"/>
            </w:pPr>
            <w:r w:rsidRPr="008B3BC0">
              <w:t>40.</w:t>
            </w:r>
          </w:p>
        </w:tc>
        <w:tc>
          <w:tcPr>
            <w:tcW w:w="1841" w:type="dxa"/>
          </w:tcPr>
          <w:p w:rsidR="00C26502" w:rsidRPr="008B3BC0" w:rsidRDefault="00C26502" w:rsidP="00C26502">
            <w:pPr>
              <w:overflowPunct w:val="0"/>
              <w:autoSpaceDE w:val="0"/>
              <w:autoSpaceDN w:val="0"/>
              <w:adjustRightInd w:val="0"/>
              <w:jc w:val="both"/>
            </w:pPr>
            <w:r w:rsidRPr="008B3BC0">
              <w:t>PN-EN 12697-36</w:t>
            </w:r>
          </w:p>
        </w:tc>
        <w:tc>
          <w:tcPr>
            <w:tcW w:w="6836" w:type="dxa"/>
          </w:tcPr>
          <w:p w:rsidR="00C26502" w:rsidRPr="008B3BC0" w:rsidRDefault="00C26502" w:rsidP="00C26502">
            <w:pPr>
              <w:overflowPunct w:val="0"/>
              <w:autoSpaceDE w:val="0"/>
              <w:autoSpaceDN w:val="0"/>
              <w:adjustRightInd w:val="0"/>
              <w:jc w:val="both"/>
            </w:pPr>
            <w:r w:rsidRPr="008B3BC0">
              <w:t>Mieszanki mineralno-asfaltowe – Metody badań mieszanek mineralno-asfaltowych na gorąco – Część 36: Oznaczanie grubości nawierzchni asfaltowych</w:t>
            </w:r>
          </w:p>
        </w:tc>
      </w:tr>
      <w:tr w:rsidR="00C26502" w:rsidRPr="008B3BC0" w:rsidTr="00C26502">
        <w:tc>
          <w:tcPr>
            <w:tcW w:w="534" w:type="dxa"/>
          </w:tcPr>
          <w:p w:rsidR="00C26502" w:rsidRPr="008B3BC0" w:rsidRDefault="00C26502" w:rsidP="00C26502">
            <w:pPr>
              <w:overflowPunct w:val="0"/>
              <w:autoSpaceDE w:val="0"/>
              <w:autoSpaceDN w:val="0"/>
              <w:adjustRightInd w:val="0"/>
              <w:jc w:val="right"/>
            </w:pPr>
            <w:r w:rsidRPr="008B3BC0">
              <w:t>41.</w:t>
            </w:r>
          </w:p>
        </w:tc>
        <w:tc>
          <w:tcPr>
            <w:tcW w:w="1841" w:type="dxa"/>
          </w:tcPr>
          <w:p w:rsidR="00C26502" w:rsidRPr="008B3BC0" w:rsidRDefault="00C26502" w:rsidP="00C26502">
            <w:pPr>
              <w:overflowPunct w:val="0"/>
              <w:autoSpaceDE w:val="0"/>
              <w:autoSpaceDN w:val="0"/>
              <w:adjustRightInd w:val="0"/>
              <w:jc w:val="both"/>
            </w:pPr>
            <w:r w:rsidRPr="008B3BC0">
              <w:t>PN-EN 12846</w:t>
            </w:r>
          </w:p>
        </w:tc>
        <w:tc>
          <w:tcPr>
            <w:tcW w:w="6836" w:type="dxa"/>
          </w:tcPr>
          <w:p w:rsidR="00C26502" w:rsidRPr="008B3BC0" w:rsidRDefault="00C26502" w:rsidP="00C26502">
            <w:pPr>
              <w:overflowPunct w:val="0"/>
              <w:autoSpaceDE w:val="0"/>
              <w:autoSpaceDN w:val="0"/>
              <w:adjustRightInd w:val="0"/>
              <w:jc w:val="both"/>
            </w:pPr>
            <w:r w:rsidRPr="008B3BC0">
              <w:t>Asfalty i lepiszcza asfaltowe – Oznaczanie czasu wypływu emulsji asfaltowych lepkościomierzem wypływowym</w:t>
            </w:r>
          </w:p>
        </w:tc>
      </w:tr>
      <w:tr w:rsidR="00C26502" w:rsidRPr="008B3BC0" w:rsidTr="00C26502">
        <w:tc>
          <w:tcPr>
            <w:tcW w:w="534" w:type="dxa"/>
          </w:tcPr>
          <w:p w:rsidR="00C26502" w:rsidRPr="008B3BC0" w:rsidRDefault="00C26502" w:rsidP="00C26502">
            <w:pPr>
              <w:overflowPunct w:val="0"/>
              <w:autoSpaceDE w:val="0"/>
              <w:autoSpaceDN w:val="0"/>
              <w:adjustRightInd w:val="0"/>
              <w:jc w:val="right"/>
            </w:pPr>
            <w:r w:rsidRPr="008B3BC0">
              <w:t>42.</w:t>
            </w:r>
          </w:p>
        </w:tc>
        <w:tc>
          <w:tcPr>
            <w:tcW w:w="1841" w:type="dxa"/>
          </w:tcPr>
          <w:p w:rsidR="00C26502" w:rsidRPr="008B3BC0" w:rsidRDefault="00C26502" w:rsidP="00C26502">
            <w:pPr>
              <w:overflowPunct w:val="0"/>
              <w:autoSpaceDE w:val="0"/>
              <w:autoSpaceDN w:val="0"/>
              <w:adjustRightInd w:val="0"/>
              <w:jc w:val="both"/>
            </w:pPr>
            <w:r w:rsidRPr="008B3BC0">
              <w:t>PN-EN 12847</w:t>
            </w:r>
          </w:p>
        </w:tc>
        <w:tc>
          <w:tcPr>
            <w:tcW w:w="6836" w:type="dxa"/>
          </w:tcPr>
          <w:p w:rsidR="00C26502" w:rsidRPr="008B3BC0" w:rsidRDefault="00C26502" w:rsidP="00C26502">
            <w:pPr>
              <w:overflowPunct w:val="0"/>
              <w:autoSpaceDE w:val="0"/>
              <w:autoSpaceDN w:val="0"/>
              <w:adjustRightInd w:val="0"/>
              <w:jc w:val="both"/>
            </w:pPr>
            <w:r w:rsidRPr="008B3BC0">
              <w:t>Asfalty i lepiszcza asfaltowe – Oznaczanie sedymentacji emulsji asfaltowych</w:t>
            </w:r>
          </w:p>
        </w:tc>
      </w:tr>
      <w:tr w:rsidR="00C26502" w:rsidRPr="008B3BC0" w:rsidTr="00C26502">
        <w:tc>
          <w:tcPr>
            <w:tcW w:w="534" w:type="dxa"/>
          </w:tcPr>
          <w:p w:rsidR="00C26502" w:rsidRPr="008B3BC0" w:rsidRDefault="00C26502" w:rsidP="00C26502">
            <w:pPr>
              <w:overflowPunct w:val="0"/>
              <w:autoSpaceDE w:val="0"/>
              <w:autoSpaceDN w:val="0"/>
              <w:adjustRightInd w:val="0"/>
              <w:jc w:val="right"/>
            </w:pPr>
            <w:r w:rsidRPr="008B3BC0">
              <w:t>43.</w:t>
            </w:r>
          </w:p>
        </w:tc>
        <w:tc>
          <w:tcPr>
            <w:tcW w:w="1841" w:type="dxa"/>
          </w:tcPr>
          <w:p w:rsidR="00C26502" w:rsidRPr="008B3BC0" w:rsidRDefault="00C26502" w:rsidP="00C26502">
            <w:pPr>
              <w:overflowPunct w:val="0"/>
              <w:autoSpaceDE w:val="0"/>
              <w:autoSpaceDN w:val="0"/>
              <w:adjustRightInd w:val="0"/>
              <w:jc w:val="both"/>
            </w:pPr>
            <w:r w:rsidRPr="008B3BC0">
              <w:t>PN-EN 12850</w:t>
            </w:r>
          </w:p>
        </w:tc>
        <w:tc>
          <w:tcPr>
            <w:tcW w:w="6836" w:type="dxa"/>
          </w:tcPr>
          <w:p w:rsidR="00C26502" w:rsidRPr="008B3BC0" w:rsidRDefault="00C26502" w:rsidP="00C26502">
            <w:pPr>
              <w:overflowPunct w:val="0"/>
              <w:autoSpaceDE w:val="0"/>
              <w:autoSpaceDN w:val="0"/>
              <w:adjustRightInd w:val="0"/>
              <w:jc w:val="both"/>
            </w:pPr>
            <w:r w:rsidRPr="008B3BC0">
              <w:t>Asfalty i lepiszcza asfaltowe – Oznaczanie wartości pH emulsji asfaltowych</w:t>
            </w:r>
          </w:p>
        </w:tc>
      </w:tr>
      <w:tr w:rsidR="00C26502" w:rsidRPr="008B3BC0" w:rsidTr="00C26502">
        <w:tc>
          <w:tcPr>
            <w:tcW w:w="534" w:type="dxa"/>
          </w:tcPr>
          <w:p w:rsidR="00C26502" w:rsidRPr="008B3BC0" w:rsidRDefault="00C26502" w:rsidP="00C26502">
            <w:pPr>
              <w:overflowPunct w:val="0"/>
              <w:autoSpaceDE w:val="0"/>
              <w:autoSpaceDN w:val="0"/>
              <w:adjustRightInd w:val="0"/>
              <w:jc w:val="right"/>
            </w:pPr>
            <w:r w:rsidRPr="008B3BC0">
              <w:t>44.</w:t>
            </w:r>
          </w:p>
        </w:tc>
        <w:tc>
          <w:tcPr>
            <w:tcW w:w="1841" w:type="dxa"/>
          </w:tcPr>
          <w:p w:rsidR="00C26502" w:rsidRPr="008B3BC0" w:rsidRDefault="00C26502" w:rsidP="00C26502">
            <w:pPr>
              <w:overflowPunct w:val="0"/>
              <w:autoSpaceDE w:val="0"/>
              <w:autoSpaceDN w:val="0"/>
              <w:adjustRightInd w:val="0"/>
              <w:jc w:val="both"/>
            </w:pPr>
            <w:r w:rsidRPr="008B3BC0">
              <w:t>PN-EN 13043</w:t>
            </w:r>
          </w:p>
        </w:tc>
        <w:tc>
          <w:tcPr>
            <w:tcW w:w="6836" w:type="dxa"/>
          </w:tcPr>
          <w:p w:rsidR="00C26502" w:rsidRPr="008B3BC0" w:rsidRDefault="00C26502" w:rsidP="00C26502">
            <w:pPr>
              <w:overflowPunct w:val="0"/>
              <w:autoSpaceDE w:val="0"/>
              <w:autoSpaceDN w:val="0"/>
              <w:adjustRightInd w:val="0"/>
              <w:jc w:val="both"/>
            </w:pPr>
            <w:r w:rsidRPr="008B3BC0">
              <w:t>Kruszywa do mieszanek bitumicznych i powierzchniowych utrwaleń stosowanych na drogach, lotniskach i innych powierzchniach przeznaczonych do ruchu</w:t>
            </w:r>
          </w:p>
        </w:tc>
      </w:tr>
      <w:tr w:rsidR="00C26502" w:rsidRPr="008B3BC0" w:rsidTr="00C26502">
        <w:tc>
          <w:tcPr>
            <w:tcW w:w="534" w:type="dxa"/>
          </w:tcPr>
          <w:p w:rsidR="00C26502" w:rsidRPr="008B3BC0" w:rsidRDefault="00C26502" w:rsidP="00C26502">
            <w:pPr>
              <w:overflowPunct w:val="0"/>
              <w:autoSpaceDE w:val="0"/>
              <w:autoSpaceDN w:val="0"/>
              <w:adjustRightInd w:val="0"/>
              <w:jc w:val="right"/>
            </w:pPr>
            <w:r w:rsidRPr="008B3BC0">
              <w:t>45.</w:t>
            </w:r>
          </w:p>
        </w:tc>
        <w:tc>
          <w:tcPr>
            <w:tcW w:w="1841" w:type="dxa"/>
          </w:tcPr>
          <w:p w:rsidR="00C26502" w:rsidRPr="008B3BC0" w:rsidRDefault="00C26502" w:rsidP="00C26502">
            <w:pPr>
              <w:overflowPunct w:val="0"/>
              <w:autoSpaceDE w:val="0"/>
              <w:autoSpaceDN w:val="0"/>
              <w:adjustRightInd w:val="0"/>
              <w:jc w:val="both"/>
            </w:pPr>
            <w:r w:rsidRPr="008B3BC0">
              <w:t>PN-EN 13074</w:t>
            </w:r>
          </w:p>
        </w:tc>
        <w:tc>
          <w:tcPr>
            <w:tcW w:w="6836" w:type="dxa"/>
          </w:tcPr>
          <w:p w:rsidR="00C26502" w:rsidRPr="008B3BC0" w:rsidRDefault="00C26502" w:rsidP="00C26502">
            <w:pPr>
              <w:overflowPunct w:val="0"/>
              <w:autoSpaceDE w:val="0"/>
              <w:autoSpaceDN w:val="0"/>
              <w:adjustRightInd w:val="0"/>
              <w:jc w:val="both"/>
            </w:pPr>
            <w:r w:rsidRPr="008B3BC0">
              <w:t>Asfalty i lepiszcza asfaltowe – Oznaczanie lepiszczy z emulsji asfaltowych przez odparowanie</w:t>
            </w:r>
          </w:p>
        </w:tc>
      </w:tr>
      <w:tr w:rsidR="00C26502" w:rsidRPr="008B3BC0" w:rsidTr="00C26502">
        <w:tc>
          <w:tcPr>
            <w:tcW w:w="534" w:type="dxa"/>
          </w:tcPr>
          <w:p w:rsidR="00C26502" w:rsidRPr="008B3BC0" w:rsidRDefault="00C26502" w:rsidP="00C26502">
            <w:pPr>
              <w:overflowPunct w:val="0"/>
              <w:autoSpaceDE w:val="0"/>
              <w:autoSpaceDN w:val="0"/>
              <w:adjustRightInd w:val="0"/>
              <w:jc w:val="right"/>
            </w:pPr>
            <w:r w:rsidRPr="008B3BC0">
              <w:t>46.</w:t>
            </w:r>
          </w:p>
        </w:tc>
        <w:tc>
          <w:tcPr>
            <w:tcW w:w="1841" w:type="dxa"/>
          </w:tcPr>
          <w:p w:rsidR="00C26502" w:rsidRPr="008B3BC0" w:rsidRDefault="00C26502" w:rsidP="00C26502">
            <w:pPr>
              <w:overflowPunct w:val="0"/>
              <w:autoSpaceDE w:val="0"/>
              <w:autoSpaceDN w:val="0"/>
              <w:adjustRightInd w:val="0"/>
              <w:jc w:val="both"/>
            </w:pPr>
            <w:r w:rsidRPr="008B3BC0">
              <w:t>PN-EN 13075-1</w:t>
            </w:r>
          </w:p>
        </w:tc>
        <w:tc>
          <w:tcPr>
            <w:tcW w:w="6836" w:type="dxa"/>
          </w:tcPr>
          <w:p w:rsidR="00C26502" w:rsidRPr="008B3BC0" w:rsidRDefault="00C26502" w:rsidP="00C26502">
            <w:pPr>
              <w:overflowPunct w:val="0"/>
              <w:autoSpaceDE w:val="0"/>
              <w:autoSpaceDN w:val="0"/>
              <w:adjustRightInd w:val="0"/>
              <w:jc w:val="both"/>
            </w:pPr>
            <w:r w:rsidRPr="008B3BC0">
              <w:t>Asfalty i lepiszcza asfaltowe – Badanie rozpadu – Część 1: Oznaczanie indeksu rozpadu kationowych emulsji asfaltowych, metoda z wypełniaczem mineralnym</w:t>
            </w:r>
          </w:p>
        </w:tc>
      </w:tr>
      <w:tr w:rsidR="00C26502" w:rsidRPr="008B3BC0" w:rsidTr="00C26502">
        <w:tc>
          <w:tcPr>
            <w:tcW w:w="534" w:type="dxa"/>
          </w:tcPr>
          <w:p w:rsidR="00C26502" w:rsidRPr="008B3BC0" w:rsidRDefault="00C26502" w:rsidP="00C26502">
            <w:pPr>
              <w:overflowPunct w:val="0"/>
              <w:autoSpaceDE w:val="0"/>
              <w:autoSpaceDN w:val="0"/>
              <w:adjustRightInd w:val="0"/>
              <w:jc w:val="right"/>
            </w:pPr>
            <w:r w:rsidRPr="008B3BC0">
              <w:t>47.</w:t>
            </w:r>
          </w:p>
        </w:tc>
        <w:tc>
          <w:tcPr>
            <w:tcW w:w="1841" w:type="dxa"/>
          </w:tcPr>
          <w:p w:rsidR="00C26502" w:rsidRPr="008B3BC0" w:rsidRDefault="00C26502" w:rsidP="00C26502">
            <w:pPr>
              <w:overflowPunct w:val="0"/>
              <w:autoSpaceDE w:val="0"/>
              <w:autoSpaceDN w:val="0"/>
              <w:adjustRightInd w:val="0"/>
              <w:jc w:val="both"/>
            </w:pPr>
            <w:r w:rsidRPr="008B3BC0">
              <w:t>PN-EN 13108-5</w:t>
            </w:r>
          </w:p>
        </w:tc>
        <w:tc>
          <w:tcPr>
            <w:tcW w:w="6836" w:type="dxa"/>
          </w:tcPr>
          <w:p w:rsidR="00C26502" w:rsidRPr="008B3BC0" w:rsidRDefault="00C26502" w:rsidP="00C26502">
            <w:pPr>
              <w:overflowPunct w:val="0"/>
              <w:autoSpaceDE w:val="0"/>
              <w:autoSpaceDN w:val="0"/>
              <w:adjustRightInd w:val="0"/>
              <w:jc w:val="both"/>
            </w:pPr>
            <w:r w:rsidRPr="008B3BC0">
              <w:t>Mieszanki mineralno-asfaltowe – Wymagania – Część 5: Mieszanka SMA</w:t>
            </w:r>
          </w:p>
        </w:tc>
      </w:tr>
      <w:tr w:rsidR="00C26502" w:rsidRPr="008B3BC0" w:rsidTr="00C26502">
        <w:tc>
          <w:tcPr>
            <w:tcW w:w="534" w:type="dxa"/>
          </w:tcPr>
          <w:p w:rsidR="00C26502" w:rsidRPr="008B3BC0" w:rsidRDefault="00C26502" w:rsidP="00C26502">
            <w:pPr>
              <w:overflowPunct w:val="0"/>
              <w:autoSpaceDE w:val="0"/>
              <w:autoSpaceDN w:val="0"/>
              <w:adjustRightInd w:val="0"/>
              <w:jc w:val="right"/>
            </w:pPr>
            <w:r w:rsidRPr="008B3BC0">
              <w:t>48.</w:t>
            </w:r>
          </w:p>
        </w:tc>
        <w:tc>
          <w:tcPr>
            <w:tcW w:w="1841" w:type="dxa"/>
          </w:tcPr>
          <w:p w:rsidR="00C26502" w:rsidRPr="008B3BC0" w:rsidRDefault="00C26502" w:rsidP="00C26502">
            <w:pPr>
              <w:overflowPunct w:val="0"/>
              <w:autoSpaceDE w:val="0"/>
              <w:autoSpaceDN w:val="0"/>
              <w:adjustRightInd w:val="0"/>
              <w:jc w:val="both"/>
            </w:pPr>
            <w:r w:rsidRPr="008B3BC0">
              <w:t>PN-EN 13108-20</w:t>
            </w:r>
          </w:p>
        </w:tc>
        <w:tc>
          <w:tcPr>
            <w:tcW w:w="6836" w:type="dxa"/>
          </w:tcPr>
          <w:p w:rsidR="00C26502" w:rsidRPr="008B3BC0" w:rsidRDefault="00C26502" w:rsidP="00C26502">
            <w:pPr>
              <w:overflowPunct w:val="0"/>
              <w:autoSpaceDE w:val="0"/>
              <w:autoSpaceDN w:val="0"/>
              <w:adjustRightInd w:val="0"/>
              <w:jc w:val="both"/>
            </w:pPr>
            <w:r w:rsidRPr="008B3BC0">
              <w:t>Mieszanki mineralno-asfaltowe – Wymagania – Część 20: Badanie typu</w:t>
            </w:r>
          </w:p>
        </w:tc>
      </w:tr>
      <w:tr w:rsidR="00C26502" w:rsidRPr="008B3BC0" w:rsidTr="00C26502">
        <w:tc>
          <w:tcPr>
            <w:tcW w:w="534" w:type="dxa"/>
          </w:tcPr>
          <w:p w:rsidR="00C26502" w:rsidRPr="008B3BC0" w:rsidRDefault="00C26502" w:rsidP="00C26502">
            <w:pPr>
              <w:overflowPunct w:val="0"/>
              <w:autoSpaceDE w:val="0"/>
              <w:autoSpaceDN w:val="0"/>
              <w:adjustRightInd w:val="0"/>
              <w:jc w:val="right"/>
            </w:pPr>
            <w:r w:rsidRPr="008B3BC0">
              <w:t>49.</w:t>
            </w:r>
          </w:p>
        </w:tc>
        <w:tc>
          <w:tcPr>
            <w:tcW w:w="1841" w:type="dxa"/>
          </w:tcPr>
          <w:p w:rsidR="00C26502" w:rsidRPr="008B3BC0" w:rsidRDefault="00C26502" w:rsidP="00C26502">
            <w:pPr>
              <w:overflowPunct w:val="0"/>
              <w:autoSpaceDE w:val="0"/>
              <w:autoSpaceDN w:val="0"/>
              <w:adjustRightInd w:val="0"/>
              <w:jc w:val="both"/>
            </w:pPr>
            <w:r w:rsidRPr="008B3BC0">
              <w:t>PN-EN 13179-1</w:t>
            </w:r>
          </w:p>
        </w:tc>
        <w:tc>
          <w:tcPr>
            <w:tcW w:w="6836" w:type="dxa"/>
          </w:tcPr>
          <w:p w:rsidR="00C26502" w:rsidRPr="008B3BC0" w:rsidRDefault="00C26502" w:rsidP="00C26502">
            <w:pPr>
              <w:overflowPunct w:val="0"/>
              <w:autoSpaceDE w:val="0"/>
              <w:autoSpaceDN w:val="0"/>
              <w:adjustRightInd w:val="0"/>
              <w:jc w:val="both"/>
            </w:pPr>
            <w:r w:rsidRPr="008B3BC0">
              <w:t>Badania kruszyw wypełniających stosowanych do mieszanek bitumicznych – Część 1: Badanie metodą Pierścienia i Kuli</w:t>
            </w:r>
          </w:p>
        </w:tc>
      </w:tr>
      <w:tr w:rsidR="00C26502" w:rsidRPr="008B3BC0" w:rsidTr="00C26502">
        <w:tc>
          <w:tcPr>
            <w:tcW w:w="534" w:type="dxa"/>
          </w:tcPr>
          <w:p w:rsidR="00C26502" w:rsidRPr="008B3BC0" w:rsidRDefault="00C26502" w:rsidP="00C26502">
            <w:pPr>
              <w:overflowPunct w:val="0"/>
              <w:autoSpaceDE w:val="0"/>
              <w:autoSpaceDN w:val="0"/>
              <w:adjustRightInd w:val="0"/>
              <w:jc w:val="right"/>
            </w:pPr>
            <w:r w:rsidRPr="008B3BC0">
              <w:t>50.</w:t>
            </w:r>
          </w:p>
        </w:tc>
        <w:tc>
          <w:tcPr>
            <w:tcW w:w="1841" w:type="dxa"/>
          </w:tcPr>
          <w:p w:rsidR="00C26502" w:rsidRPr="008B3BC0" w:rsidRDefault="00C26502" w:rsidP="00C26502">
            <w:pPr>
              <w:overflowPunct w:val="0"/>
              <w:autoSpaceDE w:val="0"/>
              <w:autoSpaceDN w:val="0"/>
              <w:adjustRightInd w:val="0"/>
              <w:jc w:val="both"/>
            </w:pPr>
            <w:r w:rsidRPr="008B3BC0">
              <w:t>PN-EN 13179-2</w:t>
            </w:r>
          </w:p>
        </w:tc>
        <w:tc>
          <w:tcPr>
            <w:tcW w:w="6836" w:type="dxa"/>
          </w:tcPr>
          <w:p w:rsidR="00C26502" w:rsidRPr="008B3BC0" w:rsidRDefault="00C26502" w:rsidP="00C26502">
            <w:pPr>
              <w:overflowPunct w:val="0"/>
              <w:autoSpaceDE w:val="0"/>
              <w:autoSpaceDN w:val="0"/>
              <w:adjustRightInd w:val="0"/>
              <w:jc w:val="both"/>
            </w:pPr>
            <w:r w:rsidRPr="008B3BC0">
              <w:t>Badania kruszyw wypełniających stosowanych do mieszanek bitumicznych – Część 2: Liczba bitumiczna</w:t>
            </w:r>
          </w:p>
        </w:tc>
      </w:tr>
      <w:tr w:rsidR="00C26502" w:rsidRPr="008B3BC0" w:rsidTr="00C26502">
        <w:tc>
          <w:tcPr>
            <w:tcW w:w="534" w:type="dxa"/>
          </w:tcPr>
          <w:p w:rsidR="00C26502" w:rsidRPr="008B3BC0" w:rsidRDefault="00C26502" w:rsidP="00C26502">
            <w:pPr>
              <w:overflowPunct w:val="0"/>
              <w:autoSpaceDE w:val="0"/>
              <w:autoSpaceDN w:val="0"/>
              <w:adjustRightInd w:val="0"/>
              <w:jc w:val="right"/>
            </w:pPr>
            <w:r w:rsidRPr="008B3BC0">
              <w:t>51.</w:t>
            </w:r>
          </w:p>
        </w:tc>
        <w:tc>
          <w:tcPr>
            <w:tcW w:w="1841" w:type="dxa"/>
          </w:tcPr>
          <w:p w:rsidR="00C26502" w:rsidRPr="008B3BC0" w:rsidRDefault="00C26502" w:rsidP="00C26502">
            <w:pPr>
              <w:overflowPunct w:val="0"/>
              <w:autoSpaceDE w:val="0"/>
              <w:autoSpaceDN w:val="0"/>
              <w:adjustRightInd w:val="0"/>
              <w:jc w:val="both"/>
            </w:pPr>
            <w:r w:rsidRPr="008B3BC0">
              <w:t>PN-EN 13398</w:t>
            </w:r>
          </w:p>
        </w:tc>
        <w:tc>
          <w:tcPr>
            <w:tcW w:w="6836" w:type="dxa"/>
          </w:tcPr>
          <w:p w:rsidR="00C26502" w:rsidRPr="008B3BC0" w:rsidRDefault="00C26502" w:rsidP="00C26502">
            <w:pPr>
              <w:overflowPunct w:val="0"/>
              <w:autoSpaceDE w:val="0"/>
              <w:autoSpaceDN w:val="0"/>
              <w:adjustRightInd w:val="0"/>
              <w:jc w:val="both"/>
            </w:pPr>
            <w:r w:rsidRPr="008B3BC0">
              <w:t>Asfalty i lepiszcza asfaltowe – Oznaczanie nawrotu sprężystego asfaltów modyfikowanych</w:t>
            </w:r>
          </w:p>
        </w:tc>
      </w:tr>
      <w:tr w:rsidR="00C26502" w:rsidRPr="008B3BC0" w:rsidTr="00C26502">
        <w:tc>
          <w:tcPr>
            <w:tcW w:w="534" w:type="dxa"/>
          </w:tcPr>
          <w:p w:rsidR="00C26502" w:rsidRPr="008B3BC0" w:rsidRDefault="00C26502" w:rsidP="00C26502">
            <w:pPr>
              <w:overflowPunct w:val="0"/>
              <w:autoSpaceDE w:val="0"/>
              <w:autoSpaceDN w:val="0"/>
              <w:adjustRightInd w:val="0"/>
              <w:jc w:val="right"/>
            </w:pPr>
            <w:r w:rsidRPr="008B3BC0">
              <w:t>52.</w:t>
            </w:r>
          </w:p>
        </w:tc>
        <w:tc>
          <w:tcPr>
            <w:tcW w:w="1841" w:type="dxa"/>
          </w:tcPr>
          <w:p w:rsidR="00C26502" w:rsidRPr="008B3BC0" w:rsidRDefault="00C26502" w:rsidP="00C26502">
            <w:pPr>
              <w:overflowPunct w:val="0"/>
              <w:autoSpaceDE w:val="0"/>
              <w:autoSpaceDN w:val="0"/>
              <w:adjustRightInd w:val="0"/>
              <w:jc w:val="both"/>
            </w:pPr>
            <w:r w:rsidRPr="008B3BC0">
              <w:t>PN-EN 13399</w:t>
            </w:r>
          </w:p>
        </w:tc>
        <w:tc>
          <w:tcPr>
            <w:tcW w:w="6836" w:type="dxa"/>
          </w:tcPr>
          <w:p w:rsidR="00C26502" w:rsidRPr="008B3BC0" w:rsidRDefault="00C26502" w:rsidP="00C26502">
            <w:pPr>
              <w:overflowPunct w:val="0"/>
              <w:autoSpaceDE w:val="0"/>
              <w:autoSpaceDN w:val="0"/>
              <w:adjustRightInd w:val="0"/>
              <w:jc w:val="both"/>
            </w:pPr>
            <w:r w:rsidRPr="008B3BC0">
              <w:t>Asfalty i lepiszcza asfaltowe – Oznaczanie odporności na magazynowanie modyfikowanych asfaltów</w:t>
            </w:r>
          </w:p>
        </w:tc>
      </w:tr>
      <w:tr w:rsidR="00C26502" w:rsidRPr="008B3BC0" w:rsidTr="00C26502">
        <w:tc>
          <w:tcPr>
            <w:tcW w:w="534" w:type="dxa"/>
          </w:tcPr>
          <w:p w:rsidR="00C26502" w:rsidRPr="008B3BC0" w:rsidRDefault="00C26502" w:rsidP="00C26502">
            <w:pPr>
              <w:overflowPunct w:val="0"/>
              <w:autoSpaceDE w:val="0"/>
              <w:autoSpaceDN w:val="0"/>
              <w:adjustRightInd w:val="0"/>
              <w:jc w:val="right"/>
            </w:pPr>
            <w:r w:rsidRPr="008B3BC0">
              <w:t>53.</w:t>
            </w:r>
          </w:p>
        </w:tc>
        <w:tc>
          <w:tcPr>
            <w:tcW w:w="1841" w:type="dxa"/>
          </w:tcPr>
          <w:p w:rsidR="00C26502" w:rsidRPr="008B3BC0" w:rsidRDefault="00C26502" w:rsidP="00C26502">
            <w:pPr>
              <w:overflowPunct w:val="0"/>
              <w:autoSpaceDE w:val="0"/>
              <w:autoSpaceDN w:val="0"/>
              <w:adjustRightInd w:val="0"/>
              <w:jc w:val="both"/>
            </w:pPr>
            <w:r w:rsidRPr="008B3BC0">
              <w:t>PN-EN 13587</w:t>
            </w:r>
          </w:p>
        </w:tc>
        <w:tc>
          <w:tcPr>
            <w:tcW w:w="6836" w:type="dxa"/>
          </w:tcPr>
          <w:p w:rsidR="00C26502" w:rsidRPr="008B3BC0" w:rsidRDefault="00C26502" w:rsidP="00C26502">
            <w:pPr>
              <w:overflowPunct w:val="0"/>
              <w:autoSpaceDE w:val="0"/>
              <w:autoSpaceDN w:val="0"/>
              <w:adjustRightInd w:val="0"/>
              <w:jc w:val="both"/>
            </w:pPr>
            <w:r w:rsidRPr="008B3BC0">
              <w:t>Asfalty i lepiszcza asfaltowe – Oznaczanie ciągliwości lepiszczy asfaltowych metodą pomiaru ciągliwości</w:t>
            </w:r>
          </w:p>
        </w:tc>
      </w:tr>
      <w:tr w:rsidR="00C26502" w:rsidRPr="008B3BC0" w:rsidTr="00C26502">
        <w:tc>
          <w:tcPr>
            <w:tcW w:w="534" w:type="dxa"/>
          </w:tcPr>
          <w:p w:rsidR="00C26502" w:rsidRPr="008B3BC0" w:rsidRDefault="00C26502" w:rsidP="00C26502">
            <w:pPr>
              <w:overflowPunct w:val="0"/>
              <w:autoSpaceDE w:val="0"/>
              <w:autoSpaceDN w:val="0"/>
              <w:adjustRightInd w:val="0"/>
              <w:jc w:val="right"/>
            </w:pPr>
            <w:r w:rsidRPr="008B3BC0">
              <w:t>54.</w:t>
            </w:r>
          </w:p>
        </w:tc>
        <w:tc>
          <w:tcPr>
            <w:tcW w:w="1841" w:type="dxa"/>
          </w:tcPr>
          <w:p w:rsidR="00C26502" w:rsidRPr="008B3BC0" w:rsidRDefault="00C26502" w:rsidP="00C26502">
            <w:pPr>
              <w:overflowPunct w:val="0"/>
              <w:autoSpaceDE w:val="0"/>
              <w:autoSpaceDN w:val="0"/>
              <w:adjustRightInd w:val="0"/>
              <w:jc w:val="both"/>
            </w:pPr>
            <w:r w:rsidRPr="008B3BC0">
              <w:t>PN-EN 13588</w:t>
            </w:r>
          </w:p>
        </w:tc>
        <w:tc>
          <w:tcPr>
            <w:tcW w:w="6836" w:type="dxa"/>
          </w:tcPr>
          <w:p w:rsidR="00C26502" w:rsidRPr="008B3BC0" w:rsidRDefault="00C26502" w:rsidP="00C26502">
            <w:pPr>
              <w:overflowPunct w:val="0"/>
              <w:autoSpaceDE w:val="0"/>
              <w:autoSpaceDN w:val="0"/>
              <w:adjustRightInd w:val="0"/>
              <w:jc w:val="both"/>
            </w:pPr>
            <w:r w:rsidRPr="008B3BC0">
              <w:t>Asfalty i lepiszcza asfaltowe – Oznaczanie kohezji lepiszczy asfaltowych metodą testu wahadłowego</w:t>
            </w:r>
          </w:p>
        </w:tc>
      </w:tr>
      <w:tr w:rsidR="00C26502" w:rsidRPr="008B3BC0" w:rsidTr="00C26502">
        <w:tc>
          <w:tcPr>
            <w:tcW w:w="534" w:type="dxa"/>
          </w:tcPr>
          <w:p w:rsidR="00C26502" w:rsidRPr="008B3BC0" w:rsidRDefault="00C26502" w:rsidP="00C26502">
            <w:pPr>
              <w:overflowPunct w:val="0"/>
              <w:autoSpaceDE w:val="0"/>
              <w:autoSpaceDN w:val="0"/>
              <w:adjustRightInd w:val="0"/>
              <w:jc w:val="right"/>
            </w:pPr>
            <w:r w:rsidRPr="008B3BC0">
              <w:t>55.</w:t>
            </w:r>
          </w:p>
        </w:tc>
        <w:tc>
          <w:tcPr>
            <w:tcW w:w="1841" w:type="dxa"/>
          </w:tcPr>
          <w:p w:rsidR="00C26502" w:rsidRPr="008B3BC0" w:rsidRDefault="00C26502" w:rsidP="00C26502">
            <w:pPr>
              <w:overflowPunct w:val="0"/>
              <w:autoSpaceDE w:val="0"/>
              <w:autoSpaceDN w:val="0"/>
              <w:adjustRightInd w:val="0"/>
              <w:jc w:val="both"/>
            </w:pPr>
            <w:r w:rsidRPr="008B3BC0">
              <w:t>PN-EN 13589</w:t>
            </w:r>
          </w:p>
        </w:tc>
        <w:tc>
          <w:tcPr>
            <w:tcW w:w="6836" w:type="dxa"/>
          </w:tcPr>
          <w:p w:rsidR="00C26502" w:rsidRPr="008B3BC0" w:rsidRDefault="00C26502" w:rsidP="00C26502">
            <w:pPr>
              <w:overflowPunct w:val="0"/>
              <w:autoSpaceDE w:val="0"/>
              <w:autoSpaceDN w:val="0"/>
              <w:adjustRightInd w:val="0"/>
              <w:jc w:val="both"/>
            </w:pPr>
            <w:r w:rsidRPr="008B3BC0">
              <w:t>Asfalty i lepiszcza asfaltowe – Oznaczanie ciągliwości modyfikowanych asfaltów – Metoda z duktylometrem</w:t>
            </w:r>
          </w:p>
        </w:tc>
      </w:tr>
      <w:tr w:rsidR="00C26502" w:rsidRPr="008B3BC0" w:rsidTr="00C26502">
        <w:tc>
          <w:tcPr>
            <w:tcW w:w="534" w:type="dxa"/>
          </w:tcPr>
          <w:p w:rsidR="00C26502" w:rsidRPr="008B3BC0" w:rsidRDefault="00C26502" w:rsidP="00C26502">
            <w:pPr>
              <w:overflowPunct w:val="0"/>
              <w:autoSpaceDE w:val="0"/>
              <w:autoSpaceDN w:val="0"/>
              <w:adjustRightInd w:val="0"/>
              <w:jc w:val="right"/>
            </w:pPr>
            <w:r w:rsidRPr="008B3BC0">
              <w:t>56.</w:t>
            </w:r>
          </w:p>
        </w:tc>
        <w:tc>
          <w:tcPr>
            <w:tcW w:w="1841" w:type="dxa"/>
          </w:tcPr>
          <w:p w:rsidR="00C26502" w:rsidRPr="008B3BC0" w:rsidRDefault="00C26502" w:rsidP="00C26502">
            <w:pPr>
              <w:overflowPunct w:val="0"/>
              <w:autoSpaceDE w:val="0"/>
              <w:autoSpaceDN w:val="0"/>
              <w:adjustRightInd w:val="0"/>
              <w:jc w:val="both"/>
            </w:pPr>
            <w:r w:rsidRPr="008B3BC0">
              <w:t>PN-EN 13614</w:t>
            </w:r>
          </w:p>
        </w:tc>
        <w:tc>
          <w:tcPr>
            <w:tcW w:w="6836" w:type="dxa"/>
          </w:tcPr>
          <w:p w:rsidR="00C26502" w:rsidRPr="008B3BC0" w:rsidRDefault="00C26502" w:rsidP="00C26502">
            <w:pPr>
              <w:overflowPunct w:val="0"/>
              <w:autoSpaceDE w:val="0"/>
              <w:autoSpaceDN w:val="0"/>
              <w:adjustRightInd w:val="0"/>
              <w:jc w:val="both"/>
            </w:pPr>
            <w:r w:rsidRPr="008B3BC0">
              <w:t>Asfalty i lepiszcza asfaltowe – Oznaczanie przyczepności emulsji bitumicznych przez zanurzenie w wodzie – Metoda z kruszywem</w:t>
            </w:r>
          </w:p>
        </w:tc>
      </w:tr>
      <w:tr w:rsidR="00C26502" w:rsidRPr="008B3BC0" w:rsidTr="00C26502">
        <w:tc>
          <w:tcPr>
            <w:tcW w:w="534" w:type="dxa"/>
          </w:tcPr>
          <w:p w:rsidR="00C26502" w:rsidRPr="008B3BC0" w:rsidRDefault="00C26502" w:rsidP="00C26502">
            <w:pPr>
              <w:overflowPunct w:val="0"/>
              <w:autoSpaceDE w:val="0"/>
              <w:autoSpaceDN w:val="0"/>
              <w:adjustRightInd w:val="0"/>
              <w:jc w:val="right"/>
            </w:pPr>
            <w:r w:rsidRPr="008B3BC0">
              <w:t>57.</w:t>
            </w:r>
          </w:p>
        </w:tc>
        <w:tc>
          <w:tcPr>
            <w:tcW w:w="1841" w:type="dxa"/>
          </w:tcPr>
          <w:p w:rsidR="00C26502" w:rsidRPr="008B3BC0" w:rsidRDefault="00C26502" w:rsidP="00C26502">
            <w:pPr>
              <w:overflowPunct w:val="0"/>
              <w:autoSpaceDE w:val="0"/>
              <w:autoSpaceDN w:val="0"/>
              <w:adjustRightInd w:val="0"/>
              <w:jc w:val="both"/>
            </w:pPr>
            <w:r w:rsidRPr="008B3BC0">
              <w:t>PN-EN 13703</w:t>
            </w:r>
          </w:p>
        </w:tc>
        <w:tc>
          <w:tcPr>
            <w:tcW w:w="6836" w:type="dxa"/>
          </w:tcPr>
          <w:p w:rsidR="00C26502" w:rsidRPr="008B3BC0" w:rsidRDefault="00C26502" w:rsidP="00C26502">
            <w:pPr>
              <w:overflowPunct w:val="0"/>
              <w:autoSpaceDE w:val="0"/>
              <w:autoSpaceDN w:val="0"/>
              <w:adjustRightInd w:val="0"/>
              <w:jc w:val="both"/>
            </w:pPr>
            <w:r w:rsidRPr="008B3BC0">
              <w:t>Asfalty i lepiszcza asfaltowe – Oznaczanie energii deformacji</w:t>
            </w:r>
          </w:p>
        </w:tc>
      </w:tr>
      <w:tr w:rsidR="00C26502" w:rsidRPr="008B3BC0" w:rsidTr="00C26502">
        <w:tc>
          <w:tcPr>
            <w:tcW w:w="534" w:type="dxa"/>
          </w:tcPr>
          <w:p w:rsidR="00C26502" w:rsidRPr="008B3BC0" w:rsidRDefault="00C26502" w:rsidP="00C26502">
            <w:pPr>
              <w:overflowPunct w:val="0"/>
              <w:autoSpaceDE w:val="0"/>
              <w:autoSpaceDN w:val="0"/>
              <w:adjustRightInd w:val="0"/>
              <w:jc w:val="right"/>
            </w:pPr>
            <w:r w:rsidRPr="008B3BC0">
              <w:t>58.</w:t>
            </w:r>
          </w:p>
        </w:tc>
        <w:tc>
          <w:tcPr>
            <w:tcW w:w="1841" w:type="dxa"/>
          </w:tcPr>
          <w:p w:rsidR="00C26502" w:rsidRPr="008B3BC0" w:rsidRDefault="00C26502" w:rsidP="00C26502">
            <w:pPr>
              <w:overflowPunct w:val="0"/>
              <w:autoSpaceDE w:val="0"/>
              <w:autoSpaceDN w:val="0"/>
              <w:adjustRightInd w:val="0"/>
              <w:jc w:val="both"/>
            </w:pPr>
            <w:r w:rsidRPr="008B3BC0">
              <w:t>PN-EN 13808</w:t>
            </w:r>
          </w:p>
        </w:tc>
        <w:tc>
          <w:tcPr>
            <w:tcW w:w="6836" w:type="dxa"/>
          </w:tcPr>
          <w:p w:rsidR="00C26502" w:rsidRPr="008B3BC0" w:rsidRDefault="00C26502" w:rsidP="00C26502">
            <w:pPr>
              <w:overflowPunct w:val="0"/>
              <w:autoSpaceDE w:val="0"/>
              <w:autoSpaceDN w:val="0"/>
              <w:adjustRightInd w:val="0"/>
              <w:jc w:val="both"/>
            </w:pPr>
            <w:r w:rsidRPr="008B3BC0">
              <w:t>Asfalty i lepiszcza asfaltowe – Zasady specyfikacji kationowych emulsji asfaltowych</w:t>
            </w:r>
          </w:p>
        </w:tc>
      </w:tr>
      <w:tr w:rsidR="00C26502" w:rsidRPr="008B3BC0" w:rsidTr="00C26502">
        <w:tc>
          <w:tcPr>
            <w:tcW w:w="534" w:type="dxa"/>
          </w:tcPr>
          <w:p w:rsidR="00C26502" w:rsidRPr="008B3BC0" w:rsidRDefault="00C26502" w:rsidP="00C26502">
            <w:pPr>
              <w:overflowPunct w:val="0"/>
              <w:autoSpaceDE w:val="0"/>
              <w:autoSpaceDN w:val="0"/>
              <w:adjustRightInd w:val="0"/>
              <w:jc w:val="right"/>
            </w:pPr>
            <w:r w:rsidRPr="008B3BC0">
              <w:t>59.</w:t>
            </w:r>
          </w:p>
        </w:tc>
        <w:tc>
          <w:tcPr>
            <w:tcW w:w="1841" w:type="dxa"/>
          </w:tcPr>
          <w:p w:rsidR="00C26502" w:rsidRPr="008B3BC0" w:rsidRDefault="00C26502" w:rsidP="00C26502">
            <w:pPr>
              <w:overflowPunct w:val="0"/>
              <w:autoSpaceDE w:val="0"/>
              <w:autoSpaceDN w:val="0"/>
              <w:adjustRightInd w:val="0"/>
              <w:jc w:val="both"/>
            </w:pPr>
            <w:r w:rsidRPr="008B3BC0">
              <w:t>PN-EN 14023</w:t>
            </w:r>
          </w:p>
        </w:tc>
        <w:tc>
          <w:tcPr>
            <w:tcW w:w="6836" w:type="dxa"/>
          </w:tcPr>
          <w:p w:rsidR="00C26502" w:rsidRPr="008B3BC0" w:rsidRDefault="00C26502" w:rsidP="00C26502">
            <w:pPr>
              <w:overflowPunct w:val="0"/>
              <w:autoSpaceDE w:val="0"/>
              <w:autoSpaceDN w:val="0"/>
              <w:adjustRightInd w:val="0"/>
              <w:jc w:val="both"/>
            </w:pPr>
            <w:r w:rsidRPr="008B3BC0">
              <w:t>Asfalty i lepiszcza asfaltowe – Zasady specyfikacji asfaltów modyfikowanych polimerami</w:t>
            </w:r>
          </w:p>
        </w:tc>
      </w:tr>
      <w:tr w:rsidR="00C26502" w:rsidRPr="008B3BC0" w:rsidTr="00C26502">
        <w:tc>
          <w:tcPr>
            <w:tcW w:w="534" w:type="dxa"/>
          </w:tcPr>
          <w:p w:rsidR="00C26502" w:rsidRPr="008B3BC0" w:rsidRDefault="00C26502" w:rsidP="00C26502">
            <w:pPr>
              <w:overflowPunct w:val="0"/>
              <w:autoSpaceDE w:val="0"/>
              <w:autoSpaceDN w:val="0"/>
              <w:adjustRightInd w:val="0"/>
              <w:jc w:val="right"/>
            </w:pPr>
            <w:r w:rsidRPr="008B3BC0">
              <w:t>60.</w:t>
            </w:r>
          </w:p>
        </w:tc>
        <w:tc>
          <w:tcPr>
            <w:tcW w:w="1841" w:type="dxa"/>
          </w:tcPr>
          <w:p w:rsidR="00C26502" w:rsidRPr="008B3BC0" w:rsidRDefault="00C26502" w:rsidP="00C26502">
            <w:pPr>
              <w:overflowPunct w:val="0"/>
              <w:autoSpaceDE w:val="0"/>
              <w:autoSpaceDN w:val="0"/>
              <w:adjustRightInd w:val="0"/>
              <w:jc w:val="both"/>
            </w:pPr>
            <w:r w:rsidRPr="008B3BC0">
              <w:t>PN-EN 14188-1</w:t>
            </w:r>
          </w:p>
        </w:tc>
        <w:tc>
          <w:tcPr>
            <w:tcW w:w="6836" w:type="dxa"/>
          </w:tcPr>
          <w:p w:rsidR="00C26502" w:rsidRPr="008B3BC0" w:rsidRDefault="00C26502" w:rsidP="00C26502">
            <w:pPr>
              <w:overflowPunct w:val="0"/>
              <w:autoSpaceDE w:val="0"/>
              <w:autoSpaceDN w:val="0"/>
              <w:adjustRightInd w:val="0"/>
              <w:jc w:val="both"/>
            </w:pPr>
            <w:r w:rsidRPr="008B3BC0">
              <w:t>Wypełniacze złączy i zalewy – Część 1: Specyfikacja zalew na gorąco</w:t>
            </w:r>
          </w:p>
        </w:tc>
      </w:tr>
      <w:tr w:rsidR="00C26502" w:rsidRPr="008B3BC0" w:rsidTr="00C26502">
        <w:tc>
          <w:tcPr>
            <w:tcW w:w="534" w:type="dxa"/>
          </w:tcPr>
          <w:p w:rsidR="00C26502" w:rsidRPr="008B3BC0" w:rsidRDefault="00C26502" w:rsidP="00C26502">
            <w:pPr>
              <w:overflowPunct w:val="0"/>
              <w:autoSpaceDE w:val="0"/>
              <w:autoSpaceDN w:val="0"/>
              <w:adjustRightInd w:val="0"/>
              <w:jc w:val="right"/>
            </w:pPr>
            <w:r w:rsidRPr="008B3BC0">
              <w:t>61.</w:t>
            </w:r>
          </w:p>
        </w:tc>
        <w:tc>
          <w:tcPr>
            <w:tcW w:w="1841" w:type="dxa"/>
          </w:tcPr>
          <w:p w:rsidR="00C26502" w:rsidRPr="008B3BC0" w:rsidRDefault="00C26502" w:rsidP="00C26502">
            <w:pPr>
              <w:overflowPunct w:val="0"/>
              <w:autoSpaceDE w:val="0"/>
              <w:autoSpaceDN w:val="0"/>
              <w:adjustRightInd w:val="0"/>
              <w:jc w:val="both"/>
            </w:pPr>
            <w:r w:rsidRPr="008B3BC0">
              <w:t>PN-EN 14188-2</w:t>
            </w:r>
          </w:p>
        </w:tc>
        <w:tc>
          <w:tcPr>
            <w:tcW w:w="6836" w:type="dxa"/>
          </w:tcPr>
          <w:p w:rsidR="00C26502" w:rsidRPr="008B3BC0" w:rsidRDefault="00C26502" w:rsidP="00C26502">
            <w:pPr>
              <w:overflowPunct w:val="0"/>
              <w:autoSpaceDE w:val="0"/>
              <w:autoSpaceDN w:val="0"/>
              <w:adjustRightInd w:val="0"/>
              <w:jc w:val="both"/>
            </w:pPr>
            <w:r w:rsidRPr="008B3BC0">
              <w:t>Wypełniacze złączy i zalewy – Część 2: Specyfikacja zalew na zimno</w:t>
            </w:r>
          </w:p>
        </w:tc>
      </w:tr>
      <w:tr w:rsidR="00C26502" w:rsidRPr="008B3BC0" w:rsidTr="00C26502">
        <w:tc>
          <w:tcPr>
            <w:tcW w:w="534" w:type="dxa"/>
          </w:tcPr>
          <w:p w:rsidR="00C26502" w:rsidRPr="008B3BC0" w:rsidRDefault="00C26502" w:rsidP="00C26502">
            <w:pPr>
              <w:overflowPunct w:val="0"/>
              <w:autoSpaceDE w:val="0"/>
              <w:autoSpaceDN w:val="0"/>
              <w:adjustRightInd w:val="0"/>
              <w:jc w:val="right"/>
            </w:pPr>
            <w:r w:rsidRPr="008B3BC0">
              <w:t>62.</w:t>
            </w:r>
          </w:p>
        </w:tc>
        <w:tc>
          <w:tcPr>
            <w:tcW w:w="1841" w:type="dxa"/>
          </w:tcPr>
          <w:p w:rsidR="00C26502" w:rsidRPr="008B3BC0" w:rsidRDefault="00C26502" w:rsidP="00C26502">
            <w:pPr>
              <w:overflowPunct w:val="0"/>
              <w:autoSpaceDE w:val="0"/>
              <w:autoSpaceDN w:val="0"/>
              <w:adjustRightInd w:val="0"/>
              <w:jc w:val="both"/>
            </w:pPr>
            <w:r w:rsidRPr="008B3BC0">
              <w:t>PN-EN 22592</w:t>
            </w:r>
          </w:p>
        </w:tc>
        <w:tc>
          <w:tcPr>
            <w:tcW w:w="6836" w:type="dxa"/>
          </w:tcPr>
          <w:p w:rsidR="00C26502" w:rsidRPr="008B3BC0" w:rsidRDefault="00C26502" w:rsidP="00C26502">
            <w:pPr>
              <w:overflowPunct w:val="0"/>
              <w:autoSpaceDE w:val="0"/>
              <w:autoSpaceDN w:val="0"/>
              <w:adjustRightInd w:val="0"/>
              <w:jc w:val="both"/>
            </w:pPr>
            <w:r w:rsidRPr="008B3BC0">
              <w:t>Przetwory naftowe – Oznaczanie temperatury zapłonu i palenia – Pomiar metodą otwartego tygla Clevelanda</w:t>
            </w:r>
          </w:p>
        </w:tc>
      </w:tr>
      <w:tr w:rsidR="00C26502" w:rsidRPr="008B3BC0" w:rsidTr="00C26502">
        <w:tc>
          <w:tcPr>
            <w:tcW w:w="534" w:type="dxa"/>
          </w:tcPr>
          <w:p w:rsidR="00C26502" w:rsidRPr="008B3BC0" w:rsidRDefault="00C26502" w:rsidP="00C26502">
            <w:pPr>
              <w:overflowPunct w:val="0"/>
              <w:autoSpaceDE w:val="0"/>
              <w:autoSpaceDN w:val="0"/>
              <w:adjustRightInd w:val="0"/>
              <w:jc w:val="right"/>
              <w:rPr>
                <w:lang w:val="de-DE"/>
              </w:rPr>
            </w:pPr>
            <w:r w:rsidRPr="008B3BC0">
              <w:rPr>
                <w:lang w:val="de-DE"/>
              </w:rPr>
              <w:t>63.</w:t>
            </w:r>
          </w:p>
        </w:tc>
        <w:tc>
          <w:tcPr>
            <w:tcW w:w="1841" w:type="dxa"/>
          </w:tcPr>
          <w:p w:rsidR="00C26502" w:rsidRPr="008B3BC0" w:rsidRDefault="00C26502" w:rsidP="00C26502">
            <w:pPr>
              <w:overflowPunct w:val="0"/>
              <w:autoSpaceDE w:val="0"/>
              <w:autoSpaceDN w:val="0"/>
              <w:adjustRightInd w:val="0"/>
              <w:jc w:val="both"/>
              <w:rPr>
                <w:lang w:val="de-DE"/>
              </w:rPr>
            </w:pPr>
            <w:r w:rsidRPr="008B3BC0">
              <w:rPr>
                <w:lang w:val="de-DE"/>
              </w:rPr>
              <w:t>PN-EN ISO 2592</w:t>
            </w:r>
          </w:p>
        </w:tc>
        <w:tc>
          <w:tcPr>
            <w:tcW w:w="6836" w:type="dxa"/>
          </w:tcPr>
          <w:p w:rsidR="00C26502" w:rsidRPr="008B3BC0" w:rsidRDefault="00C26502" w:rsidP="00C26502">
            <w:pPr>
              <w:overflowPunct w:val="0"/>
              <w:autoSpaceDE w:val="0"/>
              <w:autoSpaceDN w:val="0"/>
              <w:adjustRightInd w:val="0"/>
              <w:jc w:val="both"/>
            </w:pPr>
            <w:r w:rsidRPr="008B3BC0">
              <w:t>Oznaczanie temperatury zapłonu i palenia – Metoda otwartego tygla Clevelanda</w:t>
            </w:r>
          </w:p>
        </w:tc>
      </w:tr>
    </w:tbl>
    <w:p w:rsidR="00C26502" w:rsidRPr="008B3BC0" w:rsidRDefault="00C26502" w:rsidP="00C26502">
      <w:pPr>
        <w:keepNext/>
        <w:overflowPunct w:val="0"/>
        <w:autoSpaceDE w:val="0"/>
        <w:autoSpaceDN w:val="0"/>
        <w:adjustRightInd w:val="0"/>
        <w:jc w:val="both"/>
        <w:outlineLvl w:val="1"/>
        <w:rPr>
          <w:b/>
        </w:rPr>
      </w:pPr>
      <w:r w:rsidRPr="008B3BC0">
        <w:rPr>
          <w:b/>
        </w:rPr>
        <w:t>10.3. Wymagania techniczne (rekomendowane przez Ministra Infrastruktury)</w:t>
      </w:r>
    </w:p>
    <w:tbl>
      <w:tblPr>
        <w:tblW w:w="0" w:type="auto"/>
        <w:tblLook w:val="01E0" w:firstRow="1" w:lastRow="1" w:firstColumn="1" w:lastColumn="1" w:noHBand="0" w:noVBand="0"/>
      </w:tblPr>
      <w:tblGrid>
        <w:gridCol w:w="534"/>
        <w:gridCol w:w="8677"/>
      </w:tblGrid>
      <w:tr w:rsidR="00C26502" w:rsidRPr="008B3BC0" w:rsidTr="00C26502">
        <w:tc>
          <w:tcPr>
            <w:tcW w:w="534" w:type="dxa"/>
          </w:tcPr>
          <w:p w:rsidR="00C26502" w:rsidRPr="008B3BC0" w:rsidRDefault="00C26502" w:rsidP="00C26502">
            <w:pPr>
              <w:overflowPunct w:val="0"/>
              <w:autoSpaceDE w:val="0"/>
              <w:autoSpaceDN w:val="0"/>
              <w:adjustRightInd w:val="0"/>
              <w:jc w:val="right"/>
            </w:pPr>
            <w:r w:rsidRPr="008B3BC0">
              <w:t>64.</w:t>
            </w:r>
          </w:p>
        </w:tc>
        <w:tc>
          <w:tcPr>
            <w:tcW w:w="8680" w:type="dxa"/>
          </w:tcPr>
          <w:p w:rsidR="00C26502" w:rsidRPr="008B3BC0" w:rsidRDefault="00C26502" w:rsidP="00C26502">
            <w:pPr>
              <w:overflowPunct w:val="0"/>
              <w:autoSpaceDE w:val="0"/>
              <w:autoSpaceDN w:val="0"/>
              <w:adjustRightInd w:val="0"/>
              <w:jc w:val="both"/>
            </w:pPr>
            <w:r w:rsidRPr="008B3BC0">
              <w:t xml:space="preserve">WT-1 Kruszywa 2010. </w:t>
            </w:r>
          </w:p>
        </w:tc>
      </w:tr>
      <w:tr w:rsidR="00C26502" w:rsidRPr="008B3BC0" w:rsidTr="00C26502">
        <w:tc>
          <w:tcPr>
            <w:tcW w:w="534" w:type="dxa"/>
          </w:tcPr>
          <w:p w:rsidR="00C26502" w:rsidRPr="008B3BC0" w:rsidRDefault="00C26502" w:rsidP="00C26502">
            <w:pPr>
              <w:overflowPunct w:val="0"/>
              <w:autoSpaceDE w:val="0"/>
              <w:autoSpaceDN w:val="0"/>
              <w:adjustRightInd w:val="0"/>
              <w:jc w:val="right"/>
            </w:pPr>
            <w:r w:rsidRPr="008B3BC0">
              <w:t>65.</w:t>
            </w:r>
          </w:p>
        </w:tc>
        <w:tc>
          <w:tcPr>
            <w:tcW w:w="8680" w:type="dxa"/>
          </w:tcPr>
          <w:p w:rsidR="00C26502" w:rsidRPr="008B3BC0" w:rsidRDefault="00C26502" w:rsidP="00C26502">
            <w:pPr>
              <w:overflowPunct w:val="0"/>
              <w:autoSpaceDE w:val="0"/>
              <w:autoSpaceDN w:val="0"/>
              <w:adjustRightInd w:val="0"/>
              <w:jc w:val="both"/>
            </w:pPr>
            <w:r w:rsidRPr="008B3BC0">
              <w:t>WT-2 Nawierzchnie asfaltowe 2010.</w:t>
            </w:r>
          </w:p>
        </w:tc>
      </w:tr>
      <w:tr w:rsidR="00C26502" w:rsidRPr="008B3BC0" w:rsidTr="00C26502">
        <w:tc>
          <w:tcPr>
            <w:tcW w:w="534" w:type="dxa"/>
          </w:tcPr>
          <w:p w:rsidR="00C26502" w:rsidRPr="008B3BC0" w:rsidRDefault="00C26502" w:rsidP="00C26502">
            <w:pPr>
              <w:overflowPunct w:val="0"/>
              <w:autoSpaceDE w:val="0"/>
              <w:autoSpaceDN w:val="0"/>
              <w:adjustRightInd w:val="0"/>
              <w:jc w:val="right"/>
            </w:pPr>
            <w:r w:rsidRPr="008B3BC0">
              <w:t>66.</w:t>
            </w:r>
          </w:p>
        </w:tc>
        <w:tc>
          <w:tcPr>
            <w:tcW w:w="8680" w:type="dxa"/>
          </w:tcPr>
          <w:p w:rsidR="00C26502" w:rsidRPr="008B3BC0" w:rsidRDefault="00C26502" w:rsidP="00C26502">
            <w:pPr>
              <w:overflowPunct w:val="0"/>
              <w:autoSpaceDE w:val="0"/>
              <w:autoSpaceDN w:val="0"/>
              <w:adjustRightInd w:val="0"/>
              <w:jc w:val="both"/>
            </w:pPr>
            <w:r w:rsidRPr="008B3BC0">
              <w:t>WT-3 Emulsje asfaltowe 2009. Kationowe emulsje asfaltowe na drogach publicznych</w:t>
            </w:r>
          </w:p>
        </w:tc>
      </w:tr>
    </w:tbl>
    <w:p w:rsidR="00C26502" w:rsidRPr="008B3BC0" w:rsidRDefault="00C26502" w:rsidP="00C26502">
      <w:pPr>
        <w:overflowPunct w:val="0"/>
        <w:autoSpaceDE w:val="0"/>
        <w:autoSpaceDN w:val="0"/>
        <w:adjustRightInd w:val="0"/>
        <w:jc w:val="both"/>
      </w:pPr>
    </w:p>
    <w:p w:rsidR="00C26502" w:rsidRPr="008B3BC0" w:rsidRDefault="00C26502" w:rsidP="00C26502">
      <w:pPr>
        <w:keepNext/>
        <w:overflowPunct w:val="0"/>
        <w:autoSpaceDE w:val="0"/>
        <w:autoSpaceDN w:val="0"/>
        <w:adjustRightInd w:val="0"/>
        <w:jc w:val="both"/>
        <w:outlineLvl w:val="1"/>
        <w:rPr>
          <w:b/>
        </w:rPr>
      </w:pPr>
      <w:r w:rsidRPr="008B3BC0">
        <w:rPr>
          <w:b/>
        </w:rPr>
        <w:t>10.4. Inne dokumenty</w:t>
      </w:r>
    </w:p>
    <w:tbl>
      <w:tblPr>
        <w:tblW w:w="0" w:type="auto"/>
        <w:tblLook w:val="01E0" w:firstRow="1" w:lastRow="1" w:firstColumn="1" w:lastColumn="1" w:noHBand="0" w:noVBand="0"/>
      </w:tblPr>
      <w:tblGrid>
        <w:gridCol w:w="534"/>
        <w:gridCol w:w="8677"/>
      </w:tblGrid>
      <w:tr w:rsidR="00C26502" w:rsidRPr="008B3BC0" w:rsidTr="00C26502">
        <w:tc>
          <w:tcPr>
            <w:tcW w:w="534" w:type="dxa"/>
          </w:tcPr>
          <w:p w:rsidR="00C26502" w:rsidRPr="008B3BC0" w:rsidRDefault="00C26502" w:rsidP="00C26502">
            <w:pPr>
              <w:overflowPunct w:val="0"/>
              <w:autoSpaceDE w:val="0"/>
              <w:autoSpaceDN w:val="0"/>
              <w:adjustRightInd w:val="0"/>
              <w:jc w:val="right"/>
            </w:pPr>
            <w:r w:rsidRPr="008B3BC0">
              <w:t>67.</w:t>
            </w:r>
          </w:p>
        </w:tc>
        <w:tc>
          <w:tcPr>
            <w:tcW w:w="8680" w:type="dxa"/>
          </w:tcPr>
          <w:p w:rsidR="00C26502" w:rsidRPr="008B3BC0" w:rsidRDefault="00C26502" w:rsidP="00C26502">
            <w:pPr>
              <w:overflowPunct w:val="0"/>
              <w:autoSpaceDE w:val="0"/>
              <w:autoSpaceDN w:val="0"/>
              <w:adjustRightInd w:val="0"/>
              <w:jc w:val="both"/>
            </w:pPr>
            <w:r w:rsidRPr="008B3BC0">
              <w:t>Rozporządzenie Ministra Transportu i Gospodarki Morskiej z dnia 2 marca 1999 r. w sprawie warunków technicznych, jakim powinny odpowiadać drogi publiczne i ich usytuowanie (Dz.U. nr 43, poz. 430)</w:t>
            </w:r>
          </w:p>
        </w:tc>
      </w:tr>
      <w:tr w:rsidR="00C26502" w:rsidRPr="008B3BC0" w:rsidTr="00C26502">
        <w:tc>
          <w:tcPr>
            <w:tcW w:w="534" w:type="dxa"/>
          </w:tcPr>
          <w:p w:rsidR="00C26502" w:rsidRPr="008B3BC0" w:rsidRDefault="00C26502" w:rsidP="00C26502">
            <w:pPr>
              <w:overflowPunct w:val="0"/>
              <w:autoSpaceDE w:val="0"/>
              <w:autoSpaceDN w:val="0"/>
              <w:adjustRightInd w:val="0"/>
              <w:jc w:val="right"/>
            </w:pPr>
            <w:r w:rsidRPr="008B3BC0">
              <w:t>68.</w:t>
            </w:r>
          </w:p>
        </w:tc>
        <w:tc>
          <w:tcPr>
            <w:tcW w:w="8680" w:type="dxa"/>
          </w:tcPr>
          <w:p w:rsidR="00C26502" w:rsidRPr="008B3BC0" w:rsidRDefault="00C26502" w:rsidP="00C26502">
            <w:pPr>
              <w:overflowPunct w:val="0"/>
              <w:autoSpaceDE w:val="0"/>
              <w:autoSpaceDN w:val="0"/>
              <w:adjustRightInd w:val="0"/>
              <w:ind w:left="113"/>
              <w:jc w:val="both"/>
            </w:pPr>
            <w:r w:rsidRPr="008B3BC0">
              <w:t>Katalog typowych konstrukcji nawierzchni podatnych i półsztywnych. Generalna Dyrekcja Dróg Publicznych – Instytut Badawczy Dróg i Mostów, Warszawa 1997</w:t>
            </w:r>
          </w:p>
        </w:tc>
      </w:tr>
    </w:tbl>
    <w:p w:rsidR="00C26502" w:rsidRDefault="00C26502" w:rsidP="00C26502">
      <w:pPr>
        <w:rPr>
          <w:rFonts w:ascii="PL Times New Roman" w:hAnsi="PL Times New Roman"/>
          <w:b/>
          <w:snapToGrid w:val="0"/>
          <w:sz w:val="26"/>
        </w:rPr>
      </w:pPr>
      <w:bookmarkStart w:id="84" w:name="_Toc379961779"/>
      <w:bookmarkStart w:id="85" w:name="_Toc502302612"/>
    </w:p>
    <w:p w:rsidR="00C26502" w:rsidRDefault="00C26502" w:rsidP="00C26502">
      <w:pPr>
        <w:rPr>
          <w:rFonts w:ascii="PL Times New Roman" w:hAnsi="PL Times New Roman"/>
          <w:b/>
          <w:snapToGrid w:val="0"/>
          <w:sz w:val="26"/>
        </w:rPr>
      </w:pPr>
    </w:p>
    <w:p w:rsidR="00C26502" w:rsidRDefault="00C26502" w:rsidP="00C26502">
      <w:pPr>
        <w:rPr>
          <w:rFonts w:ascii="PL Times New Roman" w:hAnsi="PL Times New Roman"/>
          <w:b/>
          <w:snapToGrid w:val="0"/>
          <w:sz w:val="26"/>
        </w:rPr>
      </w:pPr>
    </w:p>
    <w:p w:rsidR="00102B16" w:rsidRDefault="00102B16" w:rsidP="00C26502">
      <w:pPr>
        <w:rPr>
          <w:rFonts w:ascii="PL Times New Roman" w:hAnsi="PL Times New Roman"/>
          <w:b/>
          <w:snapToGrid w:val="0"/>
          <w:sz w:val="26"/>
        </w:rPr>
      </w:pPr>
    </w:p>
    <w:p w:rsidR="00102B16" w:rsidRDefault="00102B16" w:rsidP="00C26502">
      <w:pPr>
        <w:rPr>
          <w:rFonts w:ascii="PL Times New Roman" w:hAnsi="PL Times New Roman"/>
          <w:b/>
          <w:snapToGrid w:val="0"/>
          <w:sz w:val="26"/>
        </w:rPr>
      </w:pPr>
    </w:p>
    <w:p w:rsidR="00102B16" w:rsidRDefault="00102B16" w:rsidP="00C26502">
      <w:pPr>
        <w:rPr>
          <w:rFonts w:ascii="PL Times New Roman" w:hAnsi="PL Times New Roman"/>
          <w:b/>
          <w:snapToGrid w:val="0"/>
          <w:sz w:val="26"/>
        </w:rPr>
      </w:pPr>
    </w:p>
    <w:p w:rsidR="00C26502" w:rsidRPr="00475B43" w:rsidRDefault="00C26502" w:rsidP="00C26502">
      <w:r>
        <w:rPr>
          <w:rFonts w:ascii="PL Times New Roman" w:hAnsi="PL Times New Roman"/>
          <w:b/>
          <w:snapToGrid w:val="0"/>
          <w:sz w:val="26"/>
        </w:rPr>
        <w:t>M</w:t>
      </w:r>
      <w:r w:rsidRPr="004C7EAD">
        <w:rPr>
          <w:rFonts w:ascii="PL Times New Roman" w:hAnsi="PL Times New Roman"/>
          <w:b/>
          <w:snapToGrid w:val="0"/>
          <w:sz w:val="26"/>
        </w:rPr>
        <w:t>.</w:t>
      </w:r>
      <w:r>
        <w:rPr>
          <w:rFonts w:ascii="PL Times New Roman" w:hAnsi="PL Times New Roman"/>
          <w:b/>
          <w:snapToGrid w:val="0"/>
          <w:sz w:val="26"/>
        </w:rPr>
        <w:t>20</w:t>
      </w:r>
      <w:r w:rsidRPr="004C7EAD">
        <w:rPr>
          <w:rFonts w:ascii="PL Times New Roman" w:hAnsi="PL Times New Roman"/>
          <w:b/>
          <w:snapToGrid w:val="0"/>
          <w:sz w:val="26"/>
        </w:rPr>
        <w:t>.0</w:t>
      </w:r>
      <w:r>
        <w:rPr>
          <w:rFonts w:ascii="PL Times New Roman" w:hAnsi="PL Times New Roman"/>
          <w:b/>
          <w:snapToGrid w:val="0"/>
          <w:sz w:val="26"/>
        </w:rPr>
        <w:t>1</w:t>
      </w:r>
      <w:r w:rsidRPr="004C7EAD">
        <w:rPr>
          <w:rFonts w:ascii="PL Times New Roman" w:hAnsi="PL Times New Roman"/>
          <w:b/>
          <w:snapToGrid w:val="0"/>
          <w:sz w:val="26"/>
        </w:rPr>
        <w:t>.</w:t>
      </w:r>
      <w:r>
        <w:rPr>
          <w:rFonts w:ascii="PL Times New Roman" w:hAnsi="PL Times New Roman"/>
          <w:b/>
          <w:snapToGrid w:val="0"/>
          <w:sz w:val="26"/>
        </w:rPr>
        <w:t>14c</w:t>
      </w:r>
      <w:r w:rsidRPr="004C7EAD">
        <w:rPr>
          <w:rFonts w:ascii="PL Times New Roman" w:hAnsi="PL Times New Roman"/>
          <w:b/>
          <w:snapToGrid w:val="0"/>
          <w:sz w:val="26"/>
        </w:rPr>
        <w:tab/>
        <w:t xml:space="preserve"> PODBUDOWA  Z  BETONU ASFALTOWEGO WG PN-EN</w:t>
      </w:r>
      <w:bookmarkEnd w:id="84"/>
      <w:bookmarkEnd w:id="85"/>
    </w:p>
    <w:p w:rsidR="00C26502" w:rsidRPr="004C7EAD" w:rsidRDefault="00C26502" w:rsidP="00C26502">
      <w:pPr>
        <w:widowControl w:val="0"/>
        <w:spacing w:before="120" w:after="120"/>
        <w:jc w:val="both"/>
        <w:rPr>
          <w:b/>
          <w:noProof/>
          <w:snapToGrid w:val="0"/>
          <w:kern w:val="28"/>
          <w:u w:val="single"/>
        </w:rPr>
      </w:pPr>
      <w:r w:rsidRPr="004C7EAD">
        <w:rPr>
          <w:b/>
          <w:noProof/>
          <w:snapToGrid w:val="0"/>
          <w:kern w:val="28"/>
          <w:u w:val="single"/>
        </w:rPr>
        <w:t>1. WSTĘP</w:t>
      </w:r>
    </w:p>
    <w:p w:rsidR="00C26502" w:rsidRPr="004C7EAD" w:rsidRDefault="00C26502" w:rsidP="00C26502">
      <w:pPr>
        <w:keepNext/>
        <w:overflowPunct w:val="0"/>
        <w:autoSpaceDE w:val="0"/>
        <w:autoSpaceDN w:val="0"/>
        <w:adjustRightInd w:val="0"/>
        <w:jc w:val="both"/>
        <w:outlineLvl w:val="1"/>
        <w:rPr>
          <w:b/>
        </w:rPr>
      </w:pPr>
      <w:r w:rsidRPr="004C7EAD">
        <w:rPr>
          <w:b/>
        </w:rPr>
        <w:t>1.1. Przedmiot ST</w:t>
      </w:r>
    </w:p>
    <w:p w:rsidR="00C26502" w:rsidRPr="004C7EAD" w:rsidRDefault="00C26502" w:rsidP="00C26502">
      <w:pPr>
        <w:keepNext/>
        <w:overflowPunct w:val="0"/>
        <w:autoSpaceDE w:val="0"/>
        <w:autoSpaceDN w:val="0"/>
        <w:adjustRightInd w:val="0"/>
        <w:jc w:val="both"/>
        <w:outlineLvl w:val="1"/>
        <w:rPr>
          <w:bCs/>
          <w:snapToGrid w:val="0"/>
        </w:rPr>
      </w:pPr>
      <w:r w:rsidRPr="004C7EAD">
        <w:tab/>
        <w:t xml:space="preserve">Przedmiotem niniejszej specyfikacji technicznej są wymagania dotyczące wykonania i odbioru robót związanych z wykonaniem podbudowy zasadniczej z betonu asfaltowego AC22 P </w:t>
      </w:r>
      <w:r w:rsidRPr="004C7EAD">
        <w:rPr>
          <w:snapToGrid w:val="0"/>
        </w:rPr>
        <w:t xml:space="preserve">w ramach </w:t>
      </w:r>
      <w:r w:rsidRPr="004C7EAD">
        <w:rPr>
          <w:bCs/>
          <w:snapToGrid w:val="0"/>
        </w:rPr>
        <w:t xml:space="preserve">projektu : </w:t>
      </w:r>
      <w:r>
        <w:rPr>
          <w:bCs/>
        </w:rPr>
        <w:t>"Remont przepustu nad rzeką Postomia w ciągu drogi nr 445/k.2922 m. Wędrzyn</w:t>
      </w:r>
    </w:p>
    <w:p w:rsidR="00C26502" w:rsidRPr="004C7EAD" w:rsidRDefault="00C26502" w:rsidP="00C26502">
      <w:pPr>
        <w:keepNext/>
        <w:overflowPunct w:val="0"/>
        <w:autoSpaceDE w:val="0"/>
        <w:autoSpaceDN w:val="0"/>
        <w:adjustRightInd w:val="0"/>
        <w:jc w:val="both"/>
        <w:outlineLvl w:val="1"/>
        <w:rPr>
          <w:b/>
        </w:rPr>
      </w:pPr>
      <w:r w:rsidRPr="004C7EAD">
        <w:rPr>
          <w:b/>
        </w:rPr>
        <w:t>1.2. Zakres stosowania ST</w:t>
      </w:r>
    </w:p>
    <w:p w:rsidR="00C26502" w:rsidRPr="004C7EAD" w:rsidRDefault="00C26502" w:rsidP="00C26502">
      <w:pPr>
        <w:overflowPunct w:val="0"/>
        <w:autoSpaceDE w:val="0"/>
        <w:autoSpaceDN w:val="0"/>
        <w:adjustRightInd w:val="0"/>
        <w:jc w:val="both"/>
      </w:pPr>
      <w:r w:rsidRPr="004C7EAD">
        <w:tab/>
        <w:t>Specyfikacja techniczna stosowana jako dokument przetargowy i kontraktowy przy zlecaniu i realizacji robót jak w punkcie 1.1</w:t>
      </w:r>
    </w:p>
    <w:p w:rsidR="00C26502" w:rsidRPr="004C7EAD" w:rsidRDefault="00C26502" w:rsidP="00C26502">
      <w:pPr>
        <w:keepNext/>
        <w:overflowPunct w:val="0"/>
        <w:autoSpaceDE w:val="0"/>
        <w:autoSpaceDN w:val="0"/>
        <w:adjustRightInd w:val="0"/>
        <w:jc w:val="both"/>
        <w:outlineLvl w:val="1"/>
        <w:rPr>
          <w:b/>
        </w:rPr>
      </w:pPr>
      <w:r w:rsidRPr="004C7EAD">
        <w:rPr>
          <w:b/>
        </w:rPr>
        <w:t>1.3. Zakres robót objętych ST</w:t>
      </w:r>
    </w:p>
    <w:p w:rsidR="00C26502" w:rsidRPr="004C7EAD" w:rsidRDefault="00C26502" w:rsidP="00C26502">
      <w:pPr>
        <w:overflowPunct w:val="0"/>
        <w:autoSpaceDE w:val="0"/>
        <w:autoSpaceDN w:val="0"/>
        <w:adjustRightInd w:val="0"/>
        <w:jc w:val="both"/>
      </w:pPr>
      <w:r w:rsidRPr="004C7EAD">
        <w:tab/>
        <w:t>Ustalenia zawarte w niniejszej specyfikacji dotyczą zasad prowadzenia robót związanych z wykonaniem i odbiorem warstwy podbudowy z betonu asfaltowego wg PN-EN 13108-1 [47] i WT-2 Nawierzchnie asfaltowe 2010 [65] z mieszanki mineralno-asfaltowej dostarczonej od producenta. W przypadku produkcji mieszanki mineralno-asfaltowej przez Wykonawcę dla potrzeb budowy, Wykonawca zobowiązany jest prowadzić Zakładową kontrolę produkcji (ZKP) zgodnie z WT-2 [65] punkt 7.4.1.5 i obejmuje:</w:t>
      </w:r>
    </w:p>
    <w:p w:rsidR="00C26502" w:rsidRDefault="00C26502" w:rsidP="0097494B">
      <w:pPr>
        <w:pStyle w:val="Akapitzlist"/>
        <w:numPr>
          <w:ilvl w:val="0"/>
          <w:numId w:val="55"/>
        </w:numPr>
        <w:autoSpaceDE w:val="0"/>
        <w:autoSpaceDN w:val="0"/>
        <w:adjustRightInd w:val="0"/>
      </w:pPr>
      <w:r>
        <w:t xml:space="preserve">Wykonanie podbudowy zasadniczej z AC22P gr. 13 cm </w:t>
      </w:r>
    </w:p>
    <w:p w:rsidR="00C26502" w:rsidRPr="004C7EAD" w:rsidRDefault="00C26502" w:rsidP="00C26502">
      <w:pPr>
        <w:autoSpaceDE w:val="0"/>
        <w:autoSpaceDN w:val="0"/>
        <w:adjustRightInd w:val="0"/>
      </w:pPr>
      <w:r w:rsidRPr="004C7EAD">
        <w:t>Stosowane mieszanki  betonu asfaltowego o wymiarze D podano w tablicy 1.</w:t>
      </w:r>
    </w:p>
    <w:p w:rsidR="00C26502" w:rsidRPr="004C7EAD" w:rsidRDefault="00C26502" w:rsidP="00C26502">
      <w:pPr>
        <w:overflowPunct w:val="0"/>
        <w:autoSpaceDE w:val="0"/>
        <w:autoSpaceDN w:val="0"/>
        <w:adjustRightInd w:val="0"/>
        <w:jc w:val="both"/>
      </w:pPr>
      <w:r w:rsidRPr="004C7EAD">
        <w:t xml:space="preserve">Tablica 1. Stosowane mieszanki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6"/>
        <w:gridCol w:w="6132"/>
      </w:tblGrid>
      <w:tr w:rsidR="00C26502" w:rsidRPr="004C7EAD" w:rsidTr="00C26502">
        <w:trPr>
          <w:trHeight w:val="585"/>
        </w:trPr>
        <w:tc>
          <w:tcPr>
            <w:tcW w:w="1276" w:type="dxa"/>
            <w:tcBorders>
              <w:top w:val="single" w:sz="4" w:space="0" w:color="auto"/>
              <w:left w:val="single" w:sz="4" w:space="0" w:color="auto"/>
              <w:bottom w:val="single" w:sz="4" w:space="0" w:color="auto"/>
              <w:right w:val="single" w:sz="4" w:space="0" w:color="auto"/>
            </w:tcBorders>
            <w:noWrap/>
          </w:tcPr>
          <w:p w:rsidR="00C26502" w:rsidRPr="004C7EAD" w:rsidRDefault="00C26502" w:rsidP="00C26502">
            <w:pPr>
              <w:overflowPunct w:val="0"/>
              <w:autoSpaceDE w:val="0"/>
              <w:autoSpaceDN w:val="0"/>
              <w:adjustRightInd w:val="0"/>
              <w:jc w:val="center"/>
            </w:pPr>
            <w:r w:rsidRPr="004C7EAD">
              <w:t xml:space="preserve">Kategoria </w:t>
            </w:r>
          </w:p>
          <w:p w:rsidR="00C26502" w:rsidRPr="004C7EAD" w:rsidRDefault="00C26502" w:rsidP="00C26502">
            <w:pPr>
              <w:overflowPunct w:val="0"/>
              <w:autoSpaceDE w:val="0"/>
              <w:autoSpaceDN w:val="0"/>
              <w:adjustRightInd w:val="0"/>
              <w:jc w:val="center"/>
            </w:pPr>
            <w:r w:rsidRPr="004C7EAD">
              <w:t>ruchu</w:t>
            </w:r>
          </w:p>
        </w:tc>
        <w:tc>
          <w:tcPr>
            <w:tcW w:w="6132" w:type="dxa"/>
            <w:tcBorders>
              <w:top w:val="single" w:sz="4" w:space="0" w:color="auto"/>
              <w:left w:val="single" w:sz="4" w:space="0" w:color="auto"/>
              <w:bottom w:val="single" w:sz="4" w:space="0" w:color="auto"/>
              <w:right w:val="single" w:sz="4" w:space="0" w:color="auto"/>
            </w:tcBorders>
            <w:noWrap/>
          </w:tcPr>
          <w:p w:rsidR="00C26502" w:rsidRPr="004C7EAD" w:rsidRDefault="00C26502" w:rsidP="00C26502">
            <w:pPr>
              <w:overflowPunct w:val="0"/>
              <w:autoSpaceDE w:val="0"/>
              <w:autoSpaceDN w:val="0"/>
              <w:adjustRightInd w:val="0"/>
              <w:jc w:val="center"/>
            </w:pPr>
            <w:r w:rsidRPr="004C7EAD">
              <w:t>Mieszanki  o wymiarze D</w:t>
            </w:r>
            <w:r w:rsidRPr="004C7EAD">
              <w:rPr>
                <w:vertAlign w:val="superscript"/>
              </w:rPr>
              <w:t>1)</w:t>
            </w:r>
            <w:r w:rsidRPr="004C7EAD">
              <w:t>,  mm</w:t>
            </w:r>
          </w:p>
        </w:tc>
      </w:tr>
      <w:tr w:rsidR="00C26502" w:rsidRPr="004C7EAD" w:rsidTr="00C26502">
        <w:tc>
          <w:tcPr>
            <w:tcW w:w="1276" w:type="dxa"/>
            <w:tcBorders>
              <w:top w:val="single" w:sz="4" w:space="0" w:color="auto"/>
              <w:left w:val="single" w:sz="4" w:space="0" w:color="auto"/>
              <w:bottom w:val="single" w:sz="4" w:space="0" w:color="auto"/>
              <w:right w:val="single" w:sz="4" w:space="0" w:color="auto"/>
            </w:tcBorders>
            <w:noWrap/>
          </w:tcPr>
          <w:p w:rsidR="00C26502" w:rsidRPr="004C7EAD" w:rsidRDefault="00C26502" w:rsidP="00C26502">
            <w:pPr>
              <w:overflowPunct w:val="0"/>
              <w:autoSpaceDE w:val="0"/>
              <w:autoSpaceDN w:val="0"/>
              <w:adjustRightInd w:val="0"/>
              <w:jc w:val="center"/>
              <w:rPr>
                <w:lang w:val="en-US"/>
              </w:rPr>
            </w:pPr>
            <w:r w:rsidRPr="004C7EAD">
              <w:rPr>
                <w:lang w:val="en-US"/>
              </w:rPr>
              <w:t>KR 1-</w:t>
            </w:r>
            <w:r>
              <w:rPr>
                <w:lang w:val="en-US"/>
              </w:rPr>
              <w:t>4</w:t>
            </w:r>
          </w:p>
        </w:tc>
        <w:tc>
          <w:tcPr>
            <w:tcW w:w="6132" w:type="dxa"/>
            <w:tcBorders>
              <w:top w:val="single" w:sz="4" w:space="0" w:color="auto"/>
              <w:left w:val="single" w:sz="4" w:space="0" w:color="auto"/>
              <w:bottom w:val="single" w:sz="4" w:space="0" w:color="auto"/>
              <w:right w:val="single" w:sz="4" w:space="0" w:color="auto"/>
            </w:tcBorders>
            <w:noWrap/>
          </w:tcPr>
          <w:p w:rsidR="00C26502" w:rsidRPr="004C7EAD" w:rsidRDefault="00C26502" w:rsidP="00C26502">
            <w:pPr>
              <w:overflowPunct w:val="0"/>
              <w:autoSpaceDE w:val="0"/>
              <w:autoSpaceDN w:val="0"/>
              <w:adjustRightInd w:val="0"/>
              <w:jc w:val="center"/>
              <w:rPr>
                <w:lang w:val="en-US"/>
              </w:rPr>
            </w:pPr>
            <w:r w:rsidRPr="004C7EAD">
              <w:rPr>
                <w:lang w:val="en-US"/>
              </w:rPr>
              <w:t>AC16P, AC22P</w:t>
            </w:r>
          </w:p>
        </w:tc>
      </w:tr>
    </w:tbl>
    <w:p w:rsidR="00C26502" w:rsidRPr="004C7EAD" w:rsidRDefault="00C26502" w:rsidP="00C26502">
      <w:pPr>
        <w:overflowPunct w:val="0"/>
        <w:autoSpaceDE w:val="0"/>
        <w:autoSpaceDN w:val="0"/>
        <w:adjustRightInd w:val="0"/>
        <w:jc w:val="both"/>
        <w:rPr>
          <w:lang w:val="en-US"/>
        </w:rPr>
      </w:pPr>
    </w:p>
    <w:p w:rsidR="00C26502" w:rsidRPr="004C7EAD" w:rsidRDefault="00C26502" w:rsidP="0097494B">
      <w:pPr>
        <w:numPr>
          <w:ilvl w:val="0"/>
          <w:numId w:val="49"/>
        </w:numPr>
        <w:tabs>
          <w:tab w:val="num" w:pos="284"/>
        </w:tabs>
        <w:overflowPunct w:val="0"/>
        <w:autoSpaceDE w:val="0"/>
        <w:autoSpaceDN w:val="0"/>
        <w:adjustRightInd w:val="0"/>
        <w:ind w:left="284" w:hanging="284"/>
        <w:jc w:val="both"/>
      </w:pPr>
      <w:r w:rsidRPr="004C7EAD">
        <w:t>Podział ze względu na wymiar największego kruszywa w mieszance.</w:t>
      </w:r>
    </w:p>
    <w:p w:rsidR="00C26502" w:rsidRPr="004C7EAD" w:rsidRDefault="00C26502" w:rsidP="00C26502">
      <w:pPr>
        <w:keepNext/>
        <w:overflowPunct w:val="0"/>
        <w:autoSpaceDE w:val="0"/>
        <w:autoSpaceDN w:val="0"/>
        <w:adjustRightInd w:val="0"/>
        <w:jc w:val="both"/>
        <w:outlineLvl w:val="1"/>
        <w:rPr>
          <w:b/>
        </w:rPr>
      </w:pPr>
      <w:r w:rsidRPr="004C7EAD">
        <w:rPr>
          <w:b/>
        </w:rPr>
        <w:t>1.4. Określenia podstawowe</w:t>
      </w:r>
    </w:p>
    <w:p w:rsidR="00C26502" w:rsidRPr="004C7EAD" w:rsidRDefault="00C26502" w:rsidP="00C26502">
      <w:pPr>
        <w:overflowPunct w:val="0"/>
        <w:autoSpaceDE w:val="0"/>
        <w:autoSpaceDN w:val="0"/>
        <w:adjustRightInd w:val="0"/>
        <w:jc w:val="both"/>
      </w:pPr>
      <w:r w:rsidRPr="004C7EAD">
        <w:t>1.4.1. Nawierzchnia – konstrukcja składająca się z jednej lub kilku warstw służących do przejmowania i rozkładania obciążeń od ruchu pojazdów na podłoże.</w:t>
      </w:r>
    </w:p>
    <w:p w:rsidR="00C26502" w:rsidRPr="004C7EAD" w:rsidRDefault="00C26502" w:rsidP="00C26502">
      <w:pPr>
        <w:overflowPunct w:val="0"/>
        <w:autoSpaceDE w:val="0"/>
        <w:autoSpaceDN w:val="0"/>
        <w:adjustRightInd w:val="0"/>
        <w:jc w:val="both"/>
      </w:pPr>
      <w:r w:rsidRPr="004C7EAD">
        <w:t>1.4.2. Podbudowa – główny element konstrukcyjny nawierzchni, który może być ułożony w jednej lub kilku warstwach.</w:t>
      </w:r>
    </w:p>
    <w:p w:rsidR="00C26502" w:rsidRPr="004C7EAD" w:rsidRDefault="00C26502" w:rsidP="00C26502">
      <w:pPr>
        <w:overflowPunct w:val="0"/>
        <w:autoSpaceDE w:val="0"/>
        <w:autoSpaceDN w:val="0"/>
        <w:adjustRightInd w:val="0"/>
        <w:jc w:val="both"/>
      </w:pPr>
      <w:r w:rsidRPr="004C7EAD">
        <w:t>1.4.3. Mieszanka mineralno-asfaltowa – mieszanka kruszyw i lepiszcza asfaltowego.</w:t>
      </w:r>
    </w:p>
    <w:p w:rsidR="00C26502" w:rsidRPr="004C7EAD" w:rsidRDefault="00C26502" w:rsidP="00C26502">
      <w:pPr>
        <w:overflowPunct w:val="0"/>
        <w:autoSpaceDE w:val="0"/>
        <w:autoSpaceDN w:val="0"/>
        <w:adjustRightInd w:val="0"/>
        <w:jc w:val="both"/>
      </w:pPr>
      <w:r w:rsidRPr="004C7EAD">
        <w:t>1.4.4. Wymiar mieszanki mineralno-asfaltowej – określenie mieszanki mineralno-asfaltowej, wyróżniające tę mieszankę ze zbioru mieszanek tego samego typu ze względu na największy wymiar kruszywa, np. wymiar 16 lub 22.</w:t>
      </w:r>
    </w:p>
    <w:p w:rsidR="00C26502" w:rsidRPr="004C7EAD" w:rsidRDefault="00C26502" w:rsidP="00C26502">
      <w:pPr>
        <w:overflowPunct w:val="0"/>
        <w:autoSpaceDE w:val="0"/>
        <w:autoSpaceDN w:val="0"/>
        <w:adjustRightInd w:val="0"/>
        <w:jc w:val="both"/>
      </w:pPr>
      <w:r w:rsidRPr="004C7EAD">
        <w:t>1.4.5. Beton asfaltowy – mieszanka mineralno-asfaltowa, w której kruszywo o uziarnieniu ciągłym lub nieciągłym tworzy strukturę wzajemnie klinującą się.</w:t>
      </w:r>
    </w:p>
    <w:p w:rsidR="00C26502" w:rsidRPr="004C7EAD" w:rsidRDefault="00C26502" w:rsidP="00C26502">
      <w:pPr>
        <w:overflowPunct w:val="0"/>
        <w:autoSpaceDE w:val="0"/>
        <w:autoSpaceDN w:val="0"/>
        <w:adjustRightInd w:val="0"/>
        <w:jc w:val="both"/>
      </w:pPr>
      <w:r w:rsidRPr="004C7EAD">
        <w:t>1.4.6. Uziarnienie – skład ziarnowy kruszywa, wyrażony w procentach masy ziaren przechodzących przez określony zestaw sit.</w:t>
      </w:r>
    </w:p>
    <w:p w:rsidR="00C26502" w:rsidRPr="004C7EAD" w:rsidRDefault="00C26502" w:rsidP="00C26502">
      <w:pPr>
        <w:overflowPunct w:val="0"/>
        <w:autoSpaceDE w:val="0"/>
        <w:autoSpaceDN w:val="0"/>
        <w:adjustRightInd w:val="0"/>
        <w:jc w:val="both"/>
      </w:pPr>
      <w:r w:rsidRPr="004C7EAD">
        <w:t>1.4.7. Kategoria ruchu – obciążenie drogi ruchem samochodowym, wyrażone w osiach obliczeniowych (100 kN) wg „Katalogu typowych konstrukcji nawierzchni podatnych i półsztywnych” GDDP-IBDiM [68].</w:t>
      </w:r>
    </w:p>
    <w:p w:rsidR="00C26502" w:rsidRPr="004C7EAD" w:rsidRDefault="00C26502" w:rsidP="00C26502">
      <w:pPr>
        <w:overflowPunct w:val="0"/>
        <w:autoSpaceDE w:val="0"/>
        <w:autoSpaceDN w:val="0"/>
        <w:adjustRightInd w:val="0"/>
        <w:jc w:val="both"/>
      </w:pPr>
      <w:r w:rsidRPr="004C7EAD">
        <w:t>1.4.8. Wymiar kruszywa – wielkość ziaren kruszywa, określona przez dolny (d) i górny (D) wymiar sita.</w:t>
      </w:r>
    </w:p>
    <w:p w:rsidR="00C26502" w:rsidRPr="004C7EAD" w:rsidRDefault="00C26502" w:rsidP="00C26502">
      <w:pPr>
        <w:overflowPunct w:val="0"/>
        <w:autoSpaceDE w:val="0"/>
        <w:autoSpaceDN w:val="0"/>
        <w:adjustRightInd w:val="0"/>
        <w:jc w:val="both"/>
      </w:pPr>
      <w:r w:rsidRPr="004C7EAD">
        <w:t xml:space="preserve">1.4.9. Kruszywo grube – kruszywo z ziaren o wymiarze: D ≤ </w:t>
      </w:r>
      <w:smartTag w:uri="urn:schemas-microsoft-com:office:smarttags" w:element="metricconverter">
        <w:smartTagPr>
          <w:attr w:name="ProductID" w:val="45 mm"/>
        </w:smartTagPr>
        <w:r w:rsidRPr="004C7EAD">
          <w:t>45 mm</w:t>
        </w:r>
      </w:smartTag>
      <w:r w:rsidRPr="004C7EAD">
        <w:t xml:space="preserve"> oraz d &gt;</w:t>
      </w:r>
      <w:smartTag w:uri="urn:schemas-microsoft-com:office:smarttags" w:element="metricconverter">
        <w:smartTagPr>
          <w:attr w:name="ProductID" w:val="2 mm"/>
        </w:smartTagPr>
        <w:r w:rsidRPr="004C7EAD">
          <w:t>2 mm</w:t>
        </w:r>
      </w:smartTag>
      <w:r w:rsidRPr="004C7EAD">
        <w:t>.</w:t>
      </w:r>
    </w:p>
    <w:p w:rsidR="00C26502" w:rsidRPr="004C7EAD" w:rsidRDefault="00C26502" w:rsidP="00C26502">
      <w:pPr>
        <w:overflowPunct w:val="0"/>
        <w:autoSpaceDE w:val="0"/>
        <w:autoSpaceDN w:val="0"/>
        <w:adjustRightInd w:val="0"/>
        <w:jc w:val="both"/>
      </w:pPr>
      <w:r w:rsidRPr="004C7EAD">
        <w:t xml:space="preserve">1.4.10. Kruszywo drobne – kruszywo z ziaren o wymiarze: D ≤ </w:t>
      </w:r>
      <w:smartTag w:uri="urn:schemas-microsoft-com:office:smarttags" w:element="metricconverter">
        <w:smartTagPr>
          <w:attr w:name="ProductID" w:val="2 mm"/>
        </w:smartTagPr>
        <w:r w:rsidRPr="004C7EAD">
          <w:t>2 mm</w:t>
        </w:r>
      </w:smartTag>
      <w:r w:rsidRPr="004C7EAD">
        <w:t xml:space="preserve">, którego większa część pozostaje na sicie </w:t>
      </w:r>
      <w:smartTag w:uri="urn:schemas-microsoft-com:office:smarttags" w:element="metricconverter">
        <w:smartTagPr>
          <w:attr w:name="ProductID" w:val="0,063 mm"/>
        </w:smartTagPr>
        <w:r w:rsidRPr="004C7EAD">
          <w:t>0,063 mm</w:t>
        </w:r>
      </w:smartTag>
      <w:r w:rsidRPr="004C7EAD">
        <w:t>.</w:t>
      </w:r>
    </w:p>
    <w:p w:rsidR="00C26502" w:rsidRPr="004C7EAD" w:rsidRDefault="00C26502" w:rsidP="00C26502">
      <w:pPr>
        <w:overflowPunct w:val="0"/>
        <w:autoSpaceDE w:val="0"/>
        <w:autoSpaceDN w:val="0"/>
        <w:adjustRightInd w:val="0"/>
        <w:jc w:val="both"/>
      </w:pPr>
      <w:r w:rsidRPr="004C7EAD">
        <w:t xml:space="preserve">1.4.11. Pył – kruszywo z ziaren przechodzących przez sito </w:t>
      </w:r>
      <w:smartTag w:uri="urn:schemas-microsoft-com:office:smarttags" w:element="metricconverter">
        <w:smartTagPr>
          <w:attr w:name="ProductID" w:val="0,063 mm"/>
        </w:smartTagPr>
        <w:r w:rsidRPr="004C7EAD">
          <w:t>0,063 mm</w:t>
        </w:r>
      </w:smartTag>
      <w:r w:rsidRPr="004C7EAD">
        <w:t>.</w:t>
      </w:r>
    </w:p>
    <w:p w:rsidR="00C26502" w:rsidRPr="004C7EAD" w:rsidRDefault="00C26502" w:rsidP="00C26502">
      <w:pPr>
        <w:overflowPunct w:val="0"/>
        <w:autoSpaceDE w:val="0"/>
        <w:autoSpaceDN w:val="0"/>
        <w:adjustRightInd w:val="0"/>
        <w:jc w:val="both"/>
      </w:pPr>
      <w:r w:rsidRPr="004C7EAD">
        <w:t xml:space="preserve">1.4.12. Wypełniacz – kruszywo, którego większa część przechodzi przez sito </w:t>
      </w:r>
      <w:smartTag w:uri="urn:schemas-microsoft-com:office:smarttags" w:element="metricconverter">
        <w:smartTagPr>
          <w:attr w:name="ProductID" w:val="0,063 mm"/>
        </w:smartTagPr>
        <w:r w:rsidRPr="004C7EAD">
          <w:t>0,063 mm</w:t>
        </w:r>
      </w:smartTag>
      <w:r w:rsidRPr="004C7EAD">
        <w:t>. (Wypełniacz mieszany – kruszywo, które składa się z wypełniacza pochodzenia mineralnego i wodorotlenku wapnia. Wypełniacz dodany – wypełniacz pochodzenia mineralnego, wyprodukowany oddzielnie).</w:t>
      </w:r>
    </w:p>
    <w:p w:rsidR="00C26502" w:rsidRPr="004C7EAD" w:rsidRDefault="00C26502" w:rsidP="00C26502">
      <w:pPr>
        <w:overflowPunct w:val="0"/>
        <w:autoSpaceDE w:val="0"/>
        <w:autoSpaceDN w:val="0"/>
        <w:adjustRightInd w:val="0"/>
        <w:jc w:val="both"/>
      </w:pPr>
      <w:r w:rsidRPr="004C7EAD">
        <w:t>1.4.13. Kationowa emulsja asfaltowa – emulsja, w której emulgator nadaje dodatnie ładunki cząstkom zdyspergowanego asfaltu.</w:t>
      </w:r>
    </w:p>
    <w:p w:rsidR="00C26502" w:rsidRPr="004C7EAD" w:rsidRDefault="00C26502" w:rsidP="00C26502">
      <w:pPr>
        <w:overflowPunct w:val="0"/>
        <w:autoSpaceDE w:val="0"/>
        <w:autoSpaceDN w:val="0"/>
        <w:adjustRightInd w:val="0"/>
        <w:jc w:val="both"/>
      </w:pPr>
      <w:r w:rsidRPr="004C7EAD">
        <w:t>1.4.14. Pozostałe określenia podstawowe są zgodne z obowiązującymi, odpowiednimi polskimi normami i z definicjami podanymi w ST D-M-00.00.00 „Wymagania ogólne”.</w:t>
      </w:r>
    </w:p>
    <w:p w:rsidR="00C26502" w:rsidRPr="004C7EAD" w:rsidRDefault="00C26502" w:rsidP="00C26502">
      <w:pPr>
        <w:overflowPunct w:val="0"/>
        <w:autoSpaceDE w:val="0"/>
        <w:autoSpaceDN w:val="0"/>
        <w:adjustRightInd w:val="0"/>
        <w:jc w:val="both"/>
      </w:pPr>
      <w:r w:rsidRPr="004C7EAD">
        <w:t>1.4.15. Symbole i skróty dodatkowe</w:t>
      </w:r>
    </w:p>
    <w:tbl>
      <w:tblPr>
        <w:tblW w:w="0" w:type="auto"/>
        <w:tblLook w:val="04A0" w:firstRow="1" w:lastRow="0" w:firstColumn="1" w:lastColumn="0" w:noHBand="0" w:noVBand="1"/>
      </w:tblPr>
      <w:tblGrid>
        <w:gridCol w:w="817"/>
        <w:gridCol w:w="6694"/>
      </w:tblGrid>
      <w:tr w:rsidR="00C26502" w:rsidRPr="004C7EAD" w:rsidTr="00C26502">
        <w:tc>
          <w:tcPr>
            <w:tcW w:w="817" w:type="dxa"/>
            <w:noWrap/>
          </w:tcPr>
          <w:p w:rsidR="00C26502" w:rsidRPr="004C7EAD" w:rsidRDefault="00C26502" w:rsidP="00C26502">
            <w:pPr>
              <w:overflowPunct w:val="0"/>
              <w:autoSpaceDE w:val="0"/>
              <w:autoSpaceDN w:val="0"/>
              <w:adjustRightInd w:val="0"/>
              <w:jc w:val="both"/>
            </w:pPr>
            <w:r w:rsidRPr="004C7EAD">
              <w:t xml:space="preserve">ACP   </w:t>
            </w:r>
          </w:p>
        </w:tc>
        <w:tc>
          <w:tcPr>
            <w:tcW w:w="6694" w:type="dxa"/>
            <w:noWrap/>
          </w:tcPr>
          <w:p w:rsidR="00C26502" w:rsidRPr="004C7EAD" w:rsidRDefault="00C26502" w:rsidP="0097494B">
            <w:pPr>
              <w:numPr>
                <w:ilvl w:val="0"/>
                <w:numId w:val="52"/>
              </w:numPr>
              <w:overflowPunct w:val="0"/>
              <w:autoSpaceDE w:val="0"/>
              <w:autoSpaceDN w:val="0"/>
              <w:adjustRightInd w:val="0"/>
              <w:ind w:left="459"/>
              <w:jc w:val="both"/>
            </w:pPr>
            <w:r w:rsidRPr="004C7EAD">
              <w:t>beton asfaltowy do warstwy podbudowy,</w:t>
            </w:r>
          </w:p>
        </w:tc>
      </w:tr>
      <w:tr w:rsidR="00C26502" w:rsidRPr="004C7EAD" w:rsidTr="00C26502">
        <w:tc>
          <w:tcPr>
            <w:tcW w:w="817" w:type="dxa"/>
            <w:noWrap/>
          </w:tcPr>
          <w:p w:rsidR="00C26502" w:rsidRPr="004C7EAD" w:rsidRDefault="00C26502" w:rsidP="00C26502">
            <w:pPr>
              <w:overflowPunct w:val="0"/>
              <w:autoSpaceDE w:val="0"/>
              <w:autoSpaceDN w:val="0"/>
              <w:adjustRightInd w:val="0"/>
              <w:jc w:val="both"/>
              <w:rPr>
                <w:lang w:val="de-DE"/>
              </w:rPr>
            </w:pPr>
            <w:r w:rsidRPr="004C7EAD">
              <w:rPr>
                <w:lang w:val="de-DE"/>
              </w:rPr>
              <w:t xml:space="preserve">PMB   </w:t>
            </w:r>
          </w:p>
        </w:tc>
        <w:tc>
          <w:tcPr>
            <w:tcW w:w="6694" w:type="dxa"/>
            <w:noWrap/>
          </w:tcPr>
          <w:p w:rsidR="00C26502" w:rsidRPr="004C7EAD" w:rsidRDefault="00C26502" w:rsidP="0097494B">
            <w:pPr>
              <w:numPr>
                <w:ilvl w:val="0"/>
                <w:numId w:val="52"/>
              </w:numPr>
              <w:overflowPunct w:val="0"/>
              <w:autoSpaceDE w:val="0"/>
              <w:autoSpaceDN w:val="0"/>
              <w:adjustRightInd w:val="0"/>
              <w:ind w:left="459"/>
              <w:jc w:val="both"/>
              <w:rPr>
                <w:lang w:val="de-DE"/>
              </w:rPr>
            </w:pPr>
            <w:r w:rsidRPr="004C7EAD">
              <w:rPr>
                <w:lang w:val="de-DE"/>
              </w:rPr>
              <w:t>polimeroasfalt,</w:t>
            </w:r>
          </w:p>
        </w:tc>
      </w:tr>
      <w:tr w:rsidR="00C26502" w:rsidRPr="004C7EAD" w:rsidTr="00C26502">
        <w:tc>
          <w:tcPr>
            <w:tcW w:w="817" w:type="dxa"/>
            <w:noWrap/>
          </w:tcPr>
          <w:p w:rsidR="00C26502" w:rsidRPr="004C7EAD" w:rsidRDefault="00C26502" w:rsidP="00C26502">
            <w:pPr>
              <w:overflowPunct w:val="0"/>
              <w:autoSpaceDE w:val="0"/>
              <w:autoSpaceDN w:val="0"/>
              <w:adjustRightInd w:val="0"/>
              <w:jc w:val="both"/>
              <w:rPr>
                <w:lang w:val="de-DE"/>
              </w:rPr>
            </w:pPr>
            <w:r w:rsidRPr="004C7EAD">
              <w:rPr>
                <w:lang w:val="de-DE"/>
              </w:rPr>
              <w:t xml:space="preserve">D         </w:t>
            </w:r>
          </w:p>
        </w:tc>
        <w:tc>
          <w:tcPr>
            <w:tcW w:w="6694" w:type="dxa"/>
            <w:noWrap/>
          </w:tcPr>
          <w:p w:rsidR="00C26502" w:rsidRPr="004C7EAD" w:rsidRDefault="00C26502" w:rsidP="0097494B">
            <w:pPr>
              <w:numPr>
                <w:ilvl w:val="0"/>
                <w:numId w:val="52"/>
              </w:numPr>
              <w:overflowPunct w:val="0"/>
              <w:autoSpaceDE w:val="0"/>
              <w:autoSpaceDN w:val="0"/>
              <w:adjustRightInd w:val="0"/>
              <w:ind w:left="459"/>
              <w:jc w:val="both"/>
            </w:pPr>
            <w:r w:rsidRPr="004C7EAD">
              <w:t>górny wymiar sita (przy określaniu wielkości ziaren kruszywa),</w:t>
            </w:r>
          </w:p>
        </w:tc>
      </w:tr>
      <w:tr w:rsidR="00C26502" w:rsidRPr="004C7EAD" w:rsidTr="00C26502">
        <w:tc>
          <w:tcPr>
            <w:tcW w:w="817" w:type="dxa"/>
            <w:noWrap/>
          </w:tcPr>
          <w:p w:rsidR="00C26502" w:rsidRPr="004C7EAD" w:rsidRDefault="00C26502" w:rsidP="00C26502">
            <w:pPr>
              <w:overflowPunct w:val="0"/>
              <w:autoSpaceDE w:val="0"/>
              <w:autoSpaceDN w:val="0"/>
              <w:adjustRightInd w:val="0"/>
              <w:jc w:val="both"/>
            </w:pPr>
            <w:r w:rsidRPr="004C7EAD">
              <w:t xml:space="preserve">d         </w:t>
            </w:r>
          </w:p>
        </w:tc>
        <w:tc>
          <w:tcPr>
            <w:tcW w:w="6694" w:type="dxa"/>
            <w:noWrap/>
          </w:tcPr>
          <w:p w:rsidR="00C26502" w:rsidRPr="004C7EAD" w:rsidRDefault="00C26502" w:rsidP="0097494B">
            <w:pPr>
              <w:numPr>
                <w:ilvl w:val="0"/>
                <w:numId w:val="52"/>
              </w:numPr>
              <w:overflowPunct w:val="0"/>
              <w:autoSpaceDE w:val="0"/>
              <w:autoSpaceDN w:val="0"/>
              <w:adjustRightInd w:val="0"/>
              <w:ind w:left="459"/>
              <w:jc w:val="both"/>
            </w:pPr>
            <w:r w:rsidRPr="004C7EAD">
              <w:t>dolny wymiar sita (przy określaniu wielkości ziaren kruszywa),</w:t>
            </w:r>
          </w:p>
        </w:tc>
      </w:tr>
      <w:tr w:rsidR="00C26502" w:rsidRPr="004C7EAD" w:rsidTr="00C26502">
        <w:tc>
          <w:tcPr>
            <w:tcW w:w="817" w:type="dxa"/>
            <w:noWrap/>
          </w:tcPr>
          <w:p w:rsidR="00C26502" w:rsidRPr="004C7EAD" w:rsidRDefault="00C26502" w:rsidP="00C26502">
            <w:pPr>
              <w:overflowPunct w:val="0"/>
              <w:autoSpaceDE w:val="0"/>
              <w:autoSpaceDN w:val="0"/>
              <w:adjustRightInd w:val="0"/>
              <w:jc w:val="both"/>
            </w:pPr>
            <w:r w:rsidRPr="004C7EAD">
              <w:t xml:space="preserve">C         </w:t>
            </w:r>
          </w:p>
        </w:tc>
        <w:tc>
          <w:tcPr>
            <w:tcW w:w="6694" w:type="dxa"/>
            <w:noWrap/>
          </w:tcPr>
          <w:p w:rsidR="00C26502" w:rsidRPr="004C7EAD" w:rsidRDefault="00C26502" w:rsidP="0097494B">
            <w:pPr>
              <w:numPr>
                <w:ilvl w:val="0"/>
                <w:numId w:val="52"/>
              </w:numPr>
              <w:overflowPunct w:val="0"/>
              <w:autoSpaceDE w:val="0"/>
              <w:autoSpaceDN w:val="0"/>
              <w:adjustRightInd w:val="0"/>
              <w:ind w:left="459"/>
              <w:jc w:val="both"/>
            </w:pPr>
            <w:r w:rsidRPr="004C7EAD">
              <w:t>kationowa emulsja asfaltowa,</w:t>
            </w:r>
          </w:p>
        </w:tc>
      </w:tr>
      <w:tr w:rsidR="00C26502" w:rsidRPr="004C7EAD" w:rsidTr="00C26502">
        <w:tc>
          <w:tcPr>
            <w:tcW w:w="817" w:type="dxa"/>
            <w:noWrap/>
          </w:tcPr>
          <w:p w:rsidR="00C26502" w:rsidRPr="004C7EAD" w:rsidRDefault="00C26502" w:rsidP="00C26502">
            <w:pPr>
              <w:overflowPunct w:val="0"/>
              <w:autoSpaceDE w:val="0"/>
              <w:autoSpaceDN w:val="0"/>
              <w:adjustRightInd w:val="0"/>
              <w:jc w:val="both"/>
            </w:pPr>
            <w:r w:rsidRPr="004C7EAD">
              <w:t xml:space="preserve">NPD   </w:t>
            </w:r>
          </w:p>
        </w:tc>
        <w:tc>
          <w:tcPr>
            <w:tcW w:w="6694" w:type="dxa"/>
            <w:noWrap/>
          </w:tcPr>
          <w:p w:rsidR="00C26502" w:rsidRPr="004C7EAD" w:rsidRDefault="00C26502" w:rsidP="0097494B">
            <w:pPr>
              <w:numPr>
                <w:ilvl w:val="0"/>
                <w:numId w:val="52"/>
              </w:numPr>
              <w:overflowPunct w:val="0"/>
              <w:autoSpaceDE w:val="0"/>
              <w:autoSpaceDN w:val="0"/>
              <w:adjustRightInd w:val="0"/>
              <w:ind w:left="459"/>
              <w:jc w:val="both"/>
            </w:pPr>
            <w:r w:rsidRPr="004C7EAD">
              <w:t>właściwość użytkowa nie określana (ang. No Performance Determined; producent może jej nie określać),</w:t>
            </w:r>
          </w:p>
        </w:tc>
      </w:tr>
      <w:tr w:rsidR="00C26502" w:rsidRPr="004C7EAD" w:rsidTr="00C26502">
        <w:tc>
          <w:tcPr>
            <w:tcW w:w="817" w:type="dxa"/>
            <w:noWrap/>
          </w:tcPr>
          <w:p w:rsidR="00C26502" w:rsidRPr="004C7EAD" w:rsidRDefault="00C26502" w:rsidP="00C26502">
            <w:pPr>
              <w:overflowPunct w:val="0"/>
              <w:autoSpaceDE w:val="0"/>
              <w:autoSpaceDN w:val="0"/>
              <w:adjustRightInd w:val="0"/>
              <w:jc w:val="both"/>
            </w:pPr>
            <w:r w:rsidRPr="004C7EAD">
              <w:t xml:space="preserve">TBR    </w:t>
            </w:r>
          </w:p>
        </w:tc>
        <w:tc>
          <w:tcPr>
            <w:tcW w:w="6694" w:type="dxa"/>
            <w:noWrap/>
          </w:tcPr>
          <w:p w:rsidR="00C26502" w:rsidRPr="004C7EAD" w:rsidRDefault="00C26502" w:rsidP="0097494B">
            <w:pPr>
              <w:numPr>
                <w:ilvl w:val="0"/>
                <w:numId w:val="52"/>
              </w:numPr>
              <w:overflowPunct w:val="0"/>
              <w:autoSpaceDE w:val="0"/>
              <w:autoSpaceDN w:val="0"/>
              <w:adjustRightInd w:val="0"/>
              <w:ind w:left="459"/>
              <w:jc w:val="both"/>
            </w:pPr>
            <w:r w:rsidRPr="004C7EAD">
              <w:t>do zadeklarowania (ang. To Be Reported; producent może dostarczyć odpowiednie informacje, jednak nie jest do tego zobowiązany),</w:t>
            </w:r>
          </w:p>
        </w:tc>
      </w:tr>
      <w:tr w:rsidR="00C26502" w:rsidRPr="004C7EAD" w:rsidTr="00C26502">
        <w:tc>
          <w:tcPr>
            <w:tcW w:w="817" w:type="dxa"/>
            <w:noWrap/>
          </w:tcPr>
          <w:p w:rsidR="00C26502" w:rsidRPr="004C7EAD" w:rsidRDefault="00C26502" w:rsidP="00C26502">
            <w:pPr>
              <w:overflowPunct w:val="0"/>
              <w:autoSpaceDE w:val="0"/>
              <w:autoSpaceDN w:val="0"/>
              <w:adjustRightInd w:val="0"/>
              <w:jc w:val="both"/>
            </w:pPr>
            <w:r w:rsidRPr="004C7EAD">
              <w:t xml:space="preserve">IRI      </w:t>
            </w:r>
          </w:p>
        </w:tc>
        <w:tc>
          <w:tcPr>
            <w:tcW w:w="6694" w:type="dxa"/>
            <w:noWrap/>
          </w:tcPr>
          <w:p w:rsidR="00C26502" w:rsidRPr="004C7EAD" w:rsidRDefault="00C26502" w:rsidP="0097494B">
            <w:pPr>
              <w:numPr>
                <w:ilvl w:val="0"/>
                <w:numId w:val="52"/>
              </w:numPr>
              <w:overflowPunct w:val="0"/>
              <w:autoSpaceDE w:val="0"/>
              <w:autoSpaceDN w:val="0"/>
              <w:adjustRightInd w:val="0"/>
              <w:ind w:left="459"/>
              <w:jc w:val="both"/>
            </w:pPr>
            <w:r w:rsidRPr="004C7EAD">
              <w:t>(International Roughness Index) międzynarodowy wskaźnik równości,</w:t>
            </w:r>
          </w:p>
        </w:tc>
      </w:tr>
      <w:tr w:rsidR="00C26502" w:rsidRPr="004C7EAD" w:rsidTr="00C26502">
        <w:tc>
          <w:tcPr>
            <w:tcW w:w="817" w:type="dxa"/>
            <w:noWrap/>
          </w:tcPr>
          <w:p w:rsidR="00C26502" w:rsidRPr="004C7EAD" w:rsidRDefault="00C26502" w:rsidP="00C26502">
            <w:pPr>
              <w:overflowPunct w:val="0"/>
              <w:autoSpaceDE w:val="0"/>
              <w:autoSpaceDN w:val="0"/>
              <w:adjustRightInd w:val="0"/>
              <w:jc w:val="both"/>
            </w:pPr>
            <w:r w:rsidRPr="004C7EAD">
              <w:t xml:space="preserve">MOP  </w:t>
            </w:r>
          </w:p>
        </w:tc>
        <w:tc>
          <w:tcPr>
            <w:tcW w:w="6694" w:type="dxa"/>
            <w:noWrap/>
          </w:tcPr>
          <w:p w:rsidR="00C26502" w:rsidRPr="004C7EAD" w:rsidRDefault="00C26502" w:rsidP="0097494B">
            <w:pPr>
              <w:numPr>
                <w:ilvl w:val="0"/>
                <w:numId w:val="52"/>
              </w:numPr>
              <w:overflowPunct w:val="0"/>
              <w:autoSpaceDE w:val="0"/>
              <w:autoSpaceDN w:val="0"/>
              <w:adjustRightInd w:val="0"/>
              <w:ind w:left="459"/>
              <w:jc w:val="both"/>
            </w:pPr>
            <w:r w:rsidRPr="004C7EAD">
              <w:t xml:space="preserve">miejsce obsługi podróżnych. </w:t>
            </w:r>
          </w:p>
        </w:tc>
      </w:tr>
    </w:tbl>
    <w:p w:rsidR="00C26502" w:rsidRPr="004C7EAD" w:rsidRDefault="00C26502" w:rsidP="00C26502">
      <w:pPr>
        <w:keepNext/>
        <w:overflowPunct w:val="0"/>
        <w:autoSpaceDE w:val="0"/>
        <w:autoSpaceDN w:val="0"/>
        <w:adjustRightInd w:val="0"/>
        <w:jc w:val="both"/>
        <w:outlineLvl w:val="1"/>
        <w:rPr>
          <w:b/>
        </w:rPr>
      </w:pPr>
      <w:r w:rsidRPr="004C7EAD">
        <w:rPr>
          <w:b/>
        </w:rPr>
        <w:t>1.5. Ogólne wymagania dotyczące robót</w:t>
      </w:r>
    </w:p>
    <w:p w:rsidR="00C26502" w:rsidRPr="004C7EAD" w:rsidRDefault="00C26502" w:rsidP="00C26502">
      <w:pPr>
        <w:overflowPunct w:val="0"/>
        <w:autoSpaceDE w:val="0"/>
        <w:autoSpaceDN w:val="0"/>
        <w:adjustRightInd w:val="0"/>
        <w:jc w:val="both"/>
      </w:pPr>
      <w:r w:rsidRPr="004C7EAD">
        <w:tab/>
        <w:t>Ogólne wymagania dotyczące robót podano w ST D-M-00.00.00 „Wymagania ogólne”.</w:t>
      </w:r>
    </w:p>
    <w:p w:rsidR="00C26502" w:rsidRPr="004C7EAD" w:rsidRDefault="00C26502" w:rsidP="00C26502">
      <w:pPr>
        <w:widowControl w:val="0"/>
        <w:spacing w:before="120" w:after="120"/>
        <w:jc w:val="both"/>
        <w:rPr>
          <w:b/>
          <w:noProof/>
          <w:snapToGrid w:val="0"/>
          <w:u w:val="single"/>
        </w:rPr>
      </w:pPr>
      <w:r w:rsidRPr="004C7EAD">
        <w:rPr>
          <w:b/>
          <w:noProof/>
          <w:snapToGrid w:val="0"/>
          <w:u w:val="single"/>
        </w:rPr>
        <w:t>2. MATERIAŁY</w:t>
      </w:r>
    </w:p>
    <w:p w:rsidR="00C26502" w:rsidRPr="004C7EAD" w:rsidRDefault="00C26502" w:rsidP="00C26502">
      <w:pPr>
        <w:keepNext/>
        <w:overflowPunct w:val="0"/>
        <w:autoSpaceDE w:val="0"/>
        <w:autoSpaceDN w:val="0"/>
        <w:adjustRightInd w:val="0"/>
        <w:jc w:val="both"/>
        <w:outlineLvl w:val="1"/>
        <w:rPr>
          <w:b/>
        </w:rPr>
      </w:pPr>
      <w:r w:rsidRPr="004C7EAD">
        <w:rPr>
          <w:b/>
        </w:rPr>
        <w:t>2.1. Ogólne wymagania dotyczące materiałów</w:t>
      </w:r>
    </w:p>
    <w:p w:rsidR="00C26502" w:rsidRPr="004C7EAD" w:rsidRDefault="00C26502" w:rsidP="00C26502">
      <w:pPr>
        <w:overflowPunct w:val="0"/>
        <w:autoSpaceDE w:val="0"/>
        <w:autoSpaceDN w:val="0"/>
        <w:adjustRightInd w:val="0"/>
        <w:jc w:val="both"/>
      </w:pPr>
      <w:r w:rsidRPr="004C7EAD">
        <w:tab/>
        <w:t>Ogólne wymagania dotyczące materiałów, ich pozyskiwania i składowania, podano w ST D-M-00.00.00 „Wymagania ogólne”.</w:t>
      </w:r>
    </w:p>
    <w:p w:rsidR="00C26502" w:rsidRPr="004C7EAD" w:rsidRDefault="00C26502" w:rsidP="00C26502">
      <w:pPr>
        <w:overflowPunct w:val="0"/>
        <w:autoSpaceDE w:val="0"/>
        <w:autoSpaceDN w:val="0"/>
        <w:adjustRightInd w:val="0"/>
        <w:jc w:val="both"/>
        <w:rPr>
          <w:b/>
        </w:rPr>
      </w:pPr>
      <w:r w:rsidRPr="004C7EAD">
        <w:rPr>
          <w:b/>
        </w:rPr>
        <w:t>2.2. Lepiszcza asfaltowe</w:t>
      </w:r>
    </w:p>
    <w:p w:rsidR="00C26502" w:rsidRPr="004C7EAD" w:rsidRDefault="00C26502" w:rsidP="00C26502">
      <w:pPr>
        <w:overflowPunct w:val="0"/>
        <w:autoSpaceDE w:val="0"/>
        <w:autoSpaceDN w:val="0"/>
        <w:adjustRightInd w:val="0"/>
        <w:jc w:val="both"/>
      </w:pPr>
      <w:r w:rsidRPr="004C7EAD">
        <w:tab/>
        <w:t>Należy stosować asfalty drogowe wg PN-EN 12591 [27] lub polimeroasfalty wg PN-EN 14023 [59]. Rodzaje stosowanych lepiszcz asfaltowych podano w tablicy 2. Oprócz lepiszcz wymienionych w tablicy 2 można stosować inne lepiszcza nienormowe według aprobat technicznych.</w:t>
      </w:r>
    </w:p>
    <w:p w:rsidR="00C26502" w:rsidRPr="004C7EAD" w:rsidRDefault="00C26502" w:rsidP="00C26502">
      <w:pPr>
        <w:overflowPunct w:val="0"/>
        <w:autoSpaceDE w:val="0"/>
        <w:autoSpaceDN w:val="0"/>
        <w:adjustRightInd w:val="0"/>
        <w:jc w:val="both"/>
      </w:pPr>
      <w:r w:rsidRPr="004C7EAD">
        <w:t>Tablica 2. Zalecane  lepiszcza asfaltowego do warstwy podbudowy z betonu asfaltowego</w:t>
      </w:r>
    </w:p>
    <w:tbl>
      <w:tblPr>
        <w:tblW w:w="7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84"/>
        <w:gridCol w:w="1603"/>
        <w:gridCol w:w="236"/>
        <w:gridCol w:w="1650"/>
        <w:gridCol w:w="2869"/>
      </w:tblGrid>
      <w:tr w:rsidR="00C26502" w:rsidRPr="004C7EAD" w:rsidTr="00C26502">
        <w:trPr>
          <w:jc w:val="center"/>
        </w:trPr>
        <w:tc>
          <w:tcPr>
            <w:tcW w:w="1384" w:type="dxa"/>
            <w:tcBorders>
              <w:top w:val="single" w:sz="4" w:space="0" w:color="auto"/>
              <w:left w:val="single" w:sz="4" w:space="0" w:color="auto"/>
              <w:bottom w:val="nil"/>
              <w:right w:val="single" w:sz="4" w:space="0" w:color="auto"/>
            </w:tcBorders>
            <w:noWrap/>
          </w:tcPr>
          <w:p w:rsidR="00C26502" w:rsidRPr="004C7EAD" w:rsidRDefault="00C26502" w:rsidP="00C26502">
            <w:pPr>
              <w:overflowPunct w:val="0"/>
              <w:autoSpaceDE w:val="0"/>
              <w:autoSpaceDN w:val="0"/>
              <w:adjustRightInd w:val="0"/>
              <w:jc w:val="center"/>
            </w:pPr>
            <w:r w:rsidRPr="004C7EAD">
              <w:t>Kategoria</w:t>
            </w:r>
          </w:p>
        </w:tc>
        <w:tc>
          <w:tcPr>
            <w:tcW w:w="1603" w:type="dxa"/>
            <w:tcBorders>
              <w:top w:val="single" w:sz="4" w:space="0" w:color="auto"/>
              <w:left w:val="single" w:sz="4" w:space="0" w:color="auto"/>
              <w:bottom w:val="nil"/>
              <w:right w:val="single" w:sz="4" w:space="0" w:color="auto"/>
            </w:tcBorders>
            <w:noWrap/>
          </w:tcPr>
          <w:p w:rsidR="00C26502" w:rsidRPr="004C7EAD" w:rsidRDefault="00C26502" w:rsidP="00C26502">
            <w:pPr>
              <w:overflowPunct w:val="0"/>
              <w:autoSpaceDE w:val="0"/>
              <w:autoSpaceDN w:val="0"/>
              <w:adjustRightInd w:val="0"/>
              <w:jc w:val="center"/>
            </w:pPr>
            <w:r w:rsidRPr="004C7EAD">
              <w:t>Mieszanka</w:t>
            </w:r>
          </w:p>
        </w:tc>
        <w:tc>
          <w:tcPr>
            <w:tcW w:w="4755" w:type="dxa"/>
            <w:gridSpan w:val="3"/>
            <w:tcBorders>
              <w:top w:val="single" w:sz="4" w:space="0" w:color="auto"/>
              <w:left w:val="single" w:sz="4" w:space="0" w:color="auto"/>
              <w:bottom w:val="single" w:sz="4" w:space="0" w:color="auto"/>
              <w:right w:val="single" w:sz="4" w:space="0" w:color="auto"/>
            </w:tcBorders>
            <w:noWrap/>
          </w:tcPr>
          <w:p w:rsidR="00C26502" w:rsidRPr="004C7EAD" w:rsidRDefault="00C26502" w:rsidP="00C26502">
            <w:pPr>
              <w:overflowPunct w:val="0"/>
              <w:autoSpaceDE w:val="0"/>
              <w:autoSpaceDN w:val="0"/>
              <w:adjustRightInd w:val="0"/>
              <w:jc w:val="center"/>
            </w:pPr>
            <w:r w:rsidRPr="004C7EAD">
              <w:t xml:space="preserve">Gatunek lepiszcza   </w:t>
            </w:r>
          </w:p>
        </w:tc>
      </w:tr>
      <w:tr w:rsidR="00C26502" w:rsidRPr="004C7EAD" w:rsidTr="00C26502">
        <w:trPr>
          <w:jc w:val="center"/>
        </w:trPr>
        <w:tc>
          <w:tcPr>
            <w:tcW w:w="1384" w:type="dxa"/>
            <w:tcBorders>
              <w:top w:val="nil"/>
              <w:left w:val="single" w:sz="4" w:space="0" w:color="auto"/>
              <w:bottom w:val="single" w:sz="4" w:space="0" w:color="auto"/>
              <w:right w:val="single" w:sz="4" w:space="0" w:color="auto"/>
            </w:tcBorders>
            <w:noWrap/>
          </w:tcPr>
          <w:p w:rsidR="00C26502" w:rsidRPr="004C7EAD" w:rsidRDefault="00C26502" w:rsidP="00C26502">
            <w:pPr>
              <w:overflowPunct w:val="0"/>
              <w:autoSpaceDE w:val="0"/>
              <w:autoSpaceDN w:val="0"/>
              <w:adjustRightInd w:val="0"/>
              <w:jc w:val="center"/>
              <w:rPr>
                <w:lang w:val="de-DE"/>
              </w:rPr>
            </w:pPr>
            <w:r w:rsidRPr="004C7EAD">
              <w:rPr>
                <w:lang w:val="de-DE"/>
              </w:rPr>
              <w:t>ruchu</w:t>
            </w:r>
          </w:p>
        </w:tc>
        <w:tc>
          <w:tcPr>
            <w:tcW w:w="1603" w:type="dxa"/>
            <w:tcBorders>
              <w:top w:val="nil"/>
              <w:left w:val="single" w:sz="4" w:space="0" w:color="auto"/>
              <w:bottom w:val="single" w:sz="4" w:space="0" w:color="auto"/>
              <w:right w:val="single" w:sz="4" w:space="0" w:color="auto"/>
            </w:tcBorders>
            <w:noWrap/>
          </w:tcPr>
          <w:p w:rsidR="00C26502" w:rsidRPr="004C7EAD" w:rsidRDefault="00C26502" w:rsidP="00C26502">
            <w:pPr>
              <w:overflowPunct w:val="0"/>
              <w:autoSpaceDE w:val="0"/>
              <w:autoSpaceDN w:val="0"/>
              <w:adjustRightInd w:val="0"/>
              <w:jc w:val="center"/>
              <w:rPr>
                <w:lang w:val="de-DE"/>
              </w:rPr>
            </w:pPr>
            <w:r w:rsidRPr="004C7EAD">
              <w:rPr>
                <w:lang w:val="de-DE"/>
              </w:rPr>
              <w:t>ACP</w:t>
            </w:r>
          </w:p>
        </w:tc>
        <w:tc>
          <w:tcPr>
            <w:tcW w:w="1886" w:type="dxa"/>
            <w:gridSpan w:val="2"/>
            <w:tcBorders>
              <w:top w:val="single" w:sz="4" w:space="0" w:color="auto"/>
              <w:left w:val="single" w:sz="4" w:space="0" w:color="auto"/>
              <w:bottom w:val="single" w:sz="4" w:space="0" w:color="auto"/>
              <w:right w:val="single" w:sz="4" w:space="0" w:color="auto"/>
            </w:tcBorders>
            <w:noWrap/>
          </w:tcPr>
          <w:p w:rsidR="00C26502" w:rsidRPr="004C7EAD" w:rsidRDefault="00C26502" w:rsidP="00C26502">
            <w:pPr>
              <w:overflowPunct w:val="0"/>
              <w:autoSpaceDE w:val="0"/>
              <w:autoSpaceDN w:val="0"/>
              <w:adjustRightInd w:val="0"/>
              <w:jc w:val="center"/>
              <w:rPr>
                <w:lang w:val="de-DE"/>
              </w:rPr>
            </w:pPr>
            <w:r w:rsidRPr="004C7EAD">
              <w:rPr>
                <w:lang w:val="de-DE"/>
              </w:rPr>
              <w:t>asfaltdrogowy</w:t>
            </w:r>
          </w:p>
        </w:tc>
        <w:tc>
          <w:tcPr>
            <w:tcW w:w="2869" w:type="dxa"/>
            <w:tcBorders>
              <w:top w:val="single" w:sz="4" w:space="0" w:color="auto"/>
              <w:left w:val="single" w:sz="4" w:space="0" w:color="auto"/>
              <w:bottom w:val="single" w:sz="4" w:space="0" w:color="auto"/>
              <w:right w:val="single" w:sz="4" w:space="0" w:color="auto"/>
            </w:tcBorders>
            <w:noWrap/>
          </w:tcPr>
          <w:p w:rsidR="00C26502" w:rsidRPr="004C7EAD" w:rsidRDefault="00C26502" w:rsidP="00C26502">
            <w:pPr>
              <w:overflowPunct w:val="0"/>
              <w:autoSpaceDE w:val="0"/>
              <w:autoSpaceDN w:val="0"/>
              <w:adjustRightInd w:val="0"/>
              <w:jc w:val="center"/>
              <w:rPr>
                <w:lang w:val="de-DE"/>
              </w:rPr>
            </w:pPr>
            <w:r w:rsidRPr="004C7EAD">
              <w:rPr>
                <w:lang w:val="de-DE"/>
              </w:rPr>
              <w:t>polimeroasfalt</w:t>
            </w:r>
          </w:p>
        </w:tc>
      </w:tr>
      <w:tr w:rsidR="00C26502" w:rsidRPr="004C7EAD" w:rsidTr="00C26502">
        <w:trPr>
          <w:jc w:val="center"/>
        </w:trPr>
        <w:tc>
          <w:tcPr>
            <w:tcW w:w="1384" w:type="dxa"/>
            <w:tcBorders>
              <w:top w:val="single" w:sz="4" w:space="0" w:color="auto"/>
              <w:left w:val="single" w:sz="4" w:space="0" w:color="auto"/>
              <w:bottom w:val="single" w:sz="4" w:space="0" w:color="auto"/>
              <w:right w:val="single" w:sz="4" w:space="0" w:color="auto"/>
            </w:tcBorders>
            <w:noWrap/>
          </w:tcPr>
          <w:p w:rsidR="00C26502" w:rsidRPr="004C7EAD" w:rsidRDefault="00C26502" w:rsidP="00C26502">
            <w:pPr>
              <w:jc w:val="center"/>
            </w:pPr>
            <w:r w:rsidRPr="004C7EAD">
              <w:t>KR3 – KR4</w:t>
            </w:r>
          </w:p>
        </w:tc>
        <w:tc>
          <w:tcPr>
            <w:tcW w:w="1839" w:type="dxa"/>
            <w:gridSpan w:val="2"/>
            <w:tcBorders>
              <w:top w:val="single" w:sz="4" w:space="0" w:color="auto"/>
              <w:left w:val="single" w:sz="4" w:space="0" w:color="auto"/>
              <w:bottom w:val="single" w:sz="4" w:space="0" w:color="auto"/>
              <w:right w:val="single" w:sz="4" w:space="0" w:color="auto"/>
            </w:tcBorders>
            <w:noWrap/>
          </w:tcPr>
          <w:p w:rsidR="00C26502" w:rsidRPr="004C7EAD" w:rsidRDefault="00C26502" w:rsidP="00C26502">
            <w:pPr>
              <w:jc w:val="center"/>
            </w:pPr>
            <w:r w:rsidRPr="004C7EAD">
              <w:rPr>
                <w:lang w:val="en-US"/>
              </w:rPr>
              <w:t>AC16P, AC22P</w:t>
            </w:r>
          </w:p>
        </w:tc>
        <w:tc>
          <w:tcPr>
            <w:tcW w:w="1650" w:type="dxa"/>
            <w:tcBorders>
              <w:top w:val="single" w:sz="4" w:space="0" w:color="auto"/>
              <w:left w:val="single" w:sz="4" w:space="0" w:color="auto"/>
              <w:bottom w:val="single" w:sz="4" w:space="0" w:color="auto"/>
              <w:right w:val="single" w:sz="4" w:space="0" w:color="auto"/>
            </w:tcBorders>
            <w:noWrap/>
          </w:tcPr>
          <w:p w:rsidR="00C26502" w:rsidRPr="004C7EAD" w:rsidRDefault="00C26502" w:rsidP="00C26502">
            <w:pPr>
              <w:jc w:val="center"/>
            </w:pPr>
            <w:r w:rsidRPr="004C7EAD">
              <w:t>35/50   50/70</w:t>
            </w:r>
          </w:p>
        </w:tc>
        <w:tc>
          <w:tcPr>
            <w:tcW w:w="2869" w:type="dxa"/>
            <w:tcBorders>
              <w:top w:val="single" w:sz="4" w:space="0" w:color="auto"/>
              <w:left w:val="single" w:sz="4" w:space="0" w:color="auto"/>
              <w:bottom w:val="single" w:sz="4" w:space="0" w:color="auto"/>
              <w:right w:val="single" w:sz="4" w:space="0" w:color="auto"/>
            </w:tcBorders>
            <w:noWrap/>
          </w:tcPr>
          <w:p w:rsidR="00C26502" w:rsidRPr="004C7EAD" w:rsidRDefault="00C26502" w:rsidP="00C26502">
            <w:pPr>
              <w:jc w:val="center"/>
            </w:pPr>
            <w:r w:rsidRPr="004C7EAD">
              <w:t>PMB 25/55-60</w:t>
            </w:r>
          </w:p>
        </w:tc>
      </w:tr>
    </w:tbl>
    <w:p w:rsidR="00C26502" w:rsidRPr="004C7EAD" w:rsidRDefault="00C26502" w:rsidP="00C26502">
      <w:pPr>
        <w:overflowPunct w:val="0"/>
        <w:autoSpaceDE w:val="0"/>
        <w:autoSpaceDN w:val="0"/>
        <w:adjustRightInd w:val="0"/>
        <w:ind w:left="993" w:hanging="993"/>
        <w:jc w:val="both"/>
        <w:rPr>
          <w:lang w:val="en-US"/>
        </w:rPr>
      </w:pPr>
    </w:p>
    <w:p w:rsidR="00C26502" w:rsidRPr="004C7EAD" w:rsidRDefault="00C26502" w:rsidP="00C26502">
      <w:pPr>
        <w:overflowPunct w:val="0"/>
        <w:autoSpaceDE w:val="0"/>
        <w:autoSpaceDN w:val="0"/>
        <w:adjustRightInd w:val="0"/>
        <w:jc w:val="both"/>
      </w:pPr>
      <w:r w:rsidRPr="004C7EAD">
        <w:t xml:space="preserve">Asfalty drogowe powinny spełniać wymagania podane w tablicy 3. </w:t>
      </w:r>
    </w:p>
    <w:p w:rsidR="00C26502" w:rsidRPr="004C7EAD" w:rsidRDefault="00C26502" w:rsidP="00C26502">
      <w:pPr>
        <w:overflowPunct w:val="0"/>
        <w:autoSpaceDE w:val="0"/>
        <w:autoSpaceDN w:val="0"/>
        <w:adjustRightInd w:val="0"/>
        <w:jc w:val="both"/>
      </w:pPr>
      <w:r w:rsidRPr="004C7EAD">
        <w:t>Polimeroasfalty  powinny spełniać wymagania podane  w tablicy 4.</w:t>
      </w:r>
    </w:p>
    <w:p w:rsidR="00C26502" w:rsidRPr="004C7EAD" w:rsidRDefault="00C26502" w:rsidP="00C26502">
      <w:pPr>
        <w:overflowPunct w:val="0"/>
        <w:autoSpaceDE w:val="0"/>
        <w:autoSpaceDN w:val="0"/>
        <w:adjustRightInd w:val="0"/>
        <w:jc w:val="both"/>
      </w:pPr>
      <w:r w:rsidRPr="004C7EAD">
        <w:t>Tablica 3. Wymagania wobec asfaltów drogowych wg PN-EN 12591 [27]</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4"/>
        <w:gridCol w:w="2409"/>
        <w:gridCol w:w="851"/>
        <w:gridCol w:w="1984"/>
        <w:gridCol w:w="851"/>
        <w:gridCol w:w="882"/>
      </w:tblGrid>
      <w:tr w:rsidR="00C26502" w:rsidRPr="004C7EAD" w:rsidTr="00C26502">
        <w:trPr>
          <w:cantSplit/>
          <w:jc w:val="center"/>
        </w:trPr>
        <w:tc>
          <w:tcPr>
            <w:tcW w:w="534" w:type="dxa"/>
            <w:vMerge w:val="restart"/>
            <w:tcBorders>
              <w:top w:val="single" w:sz="4" w:space="0" w:color="auto"/>
              <w:left w:val="single" w:sz="4" w:space="0" w:color="auto"/>
              <w:bottom w:val="single" w:sz="4" w:space="0" w:color="auto"/>
              <w:right w:val="single" w:sz="4" w:space="0" w:color="auto"/>
            </w:tcBorders>
            <w:noWrap/>
            <w:vAlign w:val="center"/>
          </w:tcPr>
          <w:p w:rsidR="00C26502" w:rsidRPr="004C7EAD" w:rsidRDefault="00C26502" w:rsidP="00C26502">
            <w:pPr>
              <w:overflowPunct w:val="0"/>
              <w:autoSpaceDE w:val="0"/>
              <w:autoSpaceDN w:val="0"/>
              <w:adjustRightInd w:val="0"/>
              <w:jc w:val="center"/>
            </w:pPr>
            <w:r w:rsidRPr="004C7EAD">
              <w:t>Lp.</w:t>
            </w:r>
          </w:p>
        </w:tc>
        <w:tc>
          <w:tcPr>
            <w:tcW w:w="3260" w:type="dxa"/>
            <w:gridSpan w:val="2"/>
            <w:vMerge w:val="restart"/>
            <w:tcBorders>
              <w:top w:val="single" w:sz="4" w:space="0" w:color="auto"/>
              <w:left w:val="single" w:sz="4" w:space="0" w:color="auto"/>
              <w:bottom w:val="single" w:sz="4" w:space="0" w:color="auto"/>
              <w:right w:val="single" w:sz="4" w:space="0" w:color="auto"/>
            </w:tcBorders>
            <w:noWrap/>
            <w:vAlign w:val="center"/>
          </w:tcPr>
          <w:p w:rsidR="00C26502" w:rsidRPr="004C7EAD" w:rsidRDefault="00C26502" w:rsidP="00C26502">
            <w:pPr>
              <w:overflowPunct w:val="0"/>
              <w:autoSpaceDE w:val="0"/>
              <w:autoSpaceDN w:val="0"/>
              <w:adjustRightInd w:val="0"/>
              <w:jc w:val="center"/>
            </w:pPr>
            <w:r w:rsidRPr="004C7EAD">
              <w:t>Właściwości</w:t>
            </w:r>
          </w:p>
        </w:tc>
        <w:tc>
          <w:tcPr>
            <w:tcW w:w="1984" w:type="dxa"/>
            <w:vMerge w:val="restart"/>
            <w:tcBorders>
              <w:top w:val="single" w:sz="4" w:space="0" w:color="auto"/>
              <w:left w:val="single" w:sz="4" w:space="0" w:color="auto"/>
              <w:bottom w:val="single" w:sz="4" w:space="0" w:color="auto"/>
              <w:right w:val="single" w:sz="4" w:space="0" w:color="auto"/>
            </w:tcBorders>
            <w:noWrap/>
            <w:vAlign w:val="center"/>
          </w:tcPr>
          <w:p w:rsidR="00C26502" w:rsidRPr="004C7EAD" w:rsidRDefault="00C26502" w:rsidP="00C26502">
            <w:pPr>
              <w:overflowPunct w:val="0"/>
              <w:autoSpaceDE w:val="0"/>
              <w:autoSpaceDN w:val="0"/>
              <w:adjustRightInd w:val="0"/>
              <w:jc w:val="center"/>
            </w:pPr>
            <w:r w:rsidRPr="004C7EAD">
              <w:t>Metoda</w:t>
            </w:r>
          </w:p>
          <w:p w:rsidR="00C26502" w:rsidRPr="004C7EAD" w:rsidRDefault="00C26502" w:rsidP="00C26502">
            <w:pPr>
              <w:overflowPunct w:val="0"/>
              <w:autoSpaceDE w:val="0"/>
              <w:autoSpaceDN w:val="0"/>
              <w:adjustRightInd w:val="0"/>
              <w:jc w:val="center"/>
            </w:pPr>
            <w:r w:rsidRPr="004C7EAD">
              <w:t>badania</w:t>
            </w:r>
          </w:p>
        </w:tc>
        <w:tc>
          <w:tcPr>
            <w:tcW w:w="1733" w:type="dxa"/>
            <w:gridSpan w:val="2"/>
            <w:tcBorders>
              <w:top w:val="single" w:sz="4" w:space="0" w:color="auto"/>
              <w:left w:val="single" w:sz="4" w:space="0" w:color="auto"/>
              <w:bottom w:val="single" w:sz="4" w:space="0" w:color="auto"/>
              <w:right w:val="single" w:sz="4" w:space="0" w:color="auto"/>
            </w:tcBorders>
            <w:noWrap/>
          </w:tcPr>
          <w:p w:rsidR="00C26502" w:rsidRPr="004C7EAD" w:rsidRDefault="00C26502" w:rsidP="00C26502">
            <w:pPr>
              <w:overflowPunct w:val="0"/>
              <w:autoSpaceDE w:val="0"/>
              <w:autoSpaceDN w:val="0"/>
              <w:adjustRightInd w:val="0"/>
              <w:jc w:val="center"/>
            </w:pPr>
            <w:r w:rsidRPr="004C7EAD">
              <w:t>Rodzaj asfaltu</w:t>
            </w:r>
          </w:p>
        </w:tc>
      </w:tr>
      <w:tr w:rsidR="00C26502" w:rsidRPr="004C7EAD" w:rsidTr="00C26502">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C26502" w:rsidRPr="004C7EAD" w:rsidRDefault="00C26502" w:rsidP="00C26502"/>
        </w:tc>
        <w:tc>
          <w:tcPr>
            <w:tcW w:w="0" w:type="auto"/>
            <w:gridSpan w:val="2"/>
            <w:vMerge/>
            <w:tcBorders>
              <w:top w:val="single" w:sz="4" w:space="0" w:color="auto"/>
              <w:left w:val="single" w:sz="4" w:space="0" w:color="auto"/>
              <w:bottom w:val="single" w:sz="4" w:space="0" w:color="auto"/>
              <w:right w:val="single" w:sz="4" w:space="0" w:color="auto"/>
            </w:tcBorders>
            <w:vAlign w:val="center"/>
          </w:tcPr>
          <w:p w:rsidR="00C26502" w:rsidRPr="004C7EAD" w:rsidRDefault="00C26502" w:rsidP="00C26502"/>
        </w:tc>
        <w:tc>
          <w:tcPr>
            <w:tcW w:w="0" w:type="auto"/>
            <w:vMerge/>
            <w:tcBorders>
              <w:top w:val="single" w:sz="4" w:space="0" w:color="auto"/>
              <w:left w:val="single" w:sz="4" w:space="0" w:color="auto"/>
              <w:bottom w:val="single" w:sz="4" w:space="0" w:color="auto"/>
              <w:right w:val="single" w:sz="4" w:space="0" w:color="auto"/>
            </w:tcBorders>
            <w:vAlign w:val="center"/>
          </w:tcPr>
          <w:p w:rsidR="00C26502" w:rsidRPr="004C7EAD" w:rsidRDefault="00C26502" w:rsidP="00C26502"/>
        </w:tc>
        <w:tc>
          <w:tcPr>
            <w:tcW w:w="851" w:type="dxa"/>
            <w:tcBorders>
              <w:top w:val="single" w:sz="4" w:space="0" w:color="auto"/>
              <w:left w:val="single" w:sz="4" w:space="0" w:color="auto"/>
              <w:bottom w:val="single" w:sz="4" w:space="0" w:color="auto"/>
              <w:right w:val="single" w:sz="4" w:space="0" w:color="auto"/>
            </w:tcBorders>
            <w:noWrap/>
          </w:tcPr>
          <w:p w:rsidR="00C26502" w:rsidRPr="004C7EAD" w:rsidRDefault="00C26502" w:rsidP="00C26502">
            <w:pPr>
              <w:overflowPunct w:val="0"/>
              <w:autoSpaceDE w:val="0"/>
              <w:autoSpaceDN w:val="0"/>
              <w:adjustRightInd w:val="0"/>
              <w:jc w:val="center"/>
            </w:pPr>
            <w:r w:rsidRPr="004C7EAD">
              <w:t>50/70</w:t>
            </w:r>
          </w:p>
        </w:tc>
        <w:tc>
          <w:tcPr>
            <w:tcW w:w="882" w:type="dxa"/>
            <w:tcBorders>
              <w:top w:val="single" w:sz="4" w:space="0" w:color="auto"/>
              <w:left w:val="single" w:sz="4" w:space="0" w:color="auto"/>
              <w:bottom w:val="single" w:sz="4" w:space="0" w:color="auto"/>
              <w:right w:val="single" w:sz="4" w:space="0" w:color="auto"/>
            </w:tcBorders>
            <w:noWrap/>
          </w:tcPr>
          <w:p w:rsidR="00C26502" w:rsidRPr="004C7EAD" w:rsidRDefault="00C26502" w:rsidP="00C26502">
            <w:pPr>
              <w:overflowPunct w:val="0"/>
              <w:autoSpaceDE w:val="0"/>
              <w:autoSpaceDN w:val="0"/>
              <w:adjustRightInd w:val="0"/>
              <w:jc w:val="center"/>
            </w:pPr>
            <w:r w:rsidRPr="004C7EAD">
              <w:t>35/50</w:t>
            </w:r>
          </w:p>
        </w:tc>
      </w:tr>
      <w:tr w:rsidR="00C26502" w:rsidRPr="004C7EAD" w:rsidTr="00C26502">
        <w:trPr>
          <w:jc w:val="center"/>
        </w:trPr>
        <w:tc>
          <w:tcPr>
            <w:tcW w:w="7511" w:type="dxa"/>
            <w:gridSpan w:val="6"/>
            <w:tcBorders>
              <w:top w:val="single" w:sz="4" w:space="0" w:color="auto"/>
              <w:left w:val="single" w:sz="4" w:space="0" w:color="auto"/>
              <w:bottom w:val="single" w:sz="4" w:space="0" w:color="auto"/>
              <w:right w:val="single" w:sz="4" w:space="0" w:color="auto"/>
            </w:tcBorders>
            <w:noWrap/>
          </w:tcPr>
          <w:p w:rsidR="00C26502" w:rsidRPr="004C7EAD" w:rsidRDefault="00C26502" w:rsidP="00C26502">
            <w:pPr>
              <w:overflowPunct w:val="0"/>
              <w:autoSpaceDE w:val="0"/>
              <w:autoSpaceDN w:val="0"/>
              <w:adjustRightInd w:val="0"/>
              <w:jc w:val="center"/>
            </w:pPr>
            <w:r w:rsidRPr="004C7EAD">
              <w:t>WŁAŚCIWOŚCI   OBLIGATORYJNE</w:t>
            </w:r>
          </w:p>
        </w:tc>
      </w:tr>
      <w:tr w:rsidR="00C26502" w:rsidRPr="004C7EAD" w:rsidTr="00C26502">
        <w:trPr>
          <w:jc w:val="center"/>
        </w:trPr>
        <w:tc>
          <w:tcPr>
            <w:tcW w:w="534" w:type="dxa"/>
            <w:tcBorders>
              <w:top w:val="single" w:sz="4" w:space="0" w:color="auto"/>
              <w:left w:val="single" w:sz="4" w:space="0" w:color="auto"/>
              <w:bottom w:val="single" w:sz="4" w:space="0" w:color="auto"/>
              <w:right w:val="single" w:sz="4" w:space="0" w:color="auto"/>
            </w:tcBorders>
            <w:noWrap/>
          </w:tcPr>
          <w:p w:rsidR="00C26502" w:rsidRPr="004C7EAD" w:rsidRDefault="00C26502" w:rsidP="00C26502">
            <w:pPr>
              <w:overflowPunct w:val="0"/>
              <w:autoSpaceDE w:val="0"/>
              <w:autoSpaceDN w:val="0"/>
              <w:adjustRightInd w:val="0"/>
              <w:jc w:val="center"/>
            </w:pPr>
            <w:r w:rsidRPr="004C7EAD">
              <w:t>1</w:t>
            </w:r>
          </w:p>
        </w:tc>
        <w:tc>
          <w:tcPr>
            <w:tcW w:w="2409" w:type="dxa"/>
            <w:tcBorders>
              <w:top w:val="single" w:sz="4" w:space="0" w:color="auto"/>
              <w:left w:val="single" w:sz="4" w:space="0" w:color="auto"/>
              <w:bottom w:val="single" w:sz="4" w:space="0" w:color="auto"/>
              <w:right w:val="single" w:sz="4" w:space="0" w:color="auto"/>
            </w:tcBorders>
            <w:noWrap/>
          </w:tcPr>
          <w:p w:rsidR="00C26502" w:rsidRPr="004C7EAD" w:rsidRDefault="00C26502" w:rsidP="00C26502">
            <w:pPr>
              <w:overflowPunct w:val="0"/>
              <w:autoSpaceDE w:val="0"/>
              <w:autoSpaceDN w:val="0"/>
              <w:adjustRightInd w:val="0"/>
              <w:jc w:val="both"/>
            </w:pPr>
            <w:r w:rsidRPr="004C7EAD">
              <w:t xml:space="preserve">Penetracja w </w:t>
            </w:r>
            <w:smartTag w:uri="urn:schemas-microsoft-com:office:smarttags" w:element="metricconverter">
              <w:smartTagPr>
                <w:attr w:name="ProductID" w:val="25ﾰC"/>
              </w:smartTagPr>
              <w:r w:rsidRPr="004C7EAD">
                <w:t>25°C</w:t>
              </w:r>
            </w:smartTag>
          </w:p>
        </w:tc>
        <w:tc>
          <w:tcPr>
            <w:tcW w:w="851" w:type="dxa"/>
            <w:tcBorders>
              <w:top w:val="single" w:sz="4" w:space="0" w:color="auto"/>
              <w:left w:val="single" w:sz="4" w:space="0" w:color="auto"/>
              <w:bottom w:val="single" w:sz="4" w:space="0" w:color="auto"/>
              <w:right w:val="single" w:sz="4" w:space="0" w:color="auto"/>
            </w:tcBorders>
            <w:noWrap/>
          </w:tcPr>
          <w:p w:rsidR="00C26502" w:rsidRPr="004C7EAD" w:rsidRDefault="00C26502" w:rsidP="00C26502">
            <w:pPr>
              <w:overflowPunct w:val="0"/>
              <w:autoSpaceDE w:val="0"/>
              <w:autoSpaceDN w:val="0"/>
              <w:adjustRightInd w:val="0"/>
              <w:jc w:val="center"/>
              <w:rPr>
                <w:lang w:val="de-DE"/>
              </w:rPr>
            </w:pPr>
            <w:smartTag w:uri="urn:schemas-microsoft-com:office:smarttags" w:element="metricconverter">
              <w:smartTagPr>
                <w:attr w:name="ProductID" w:val="0,1 mm"/>
              </w:smartTagPr>
              <w:r w:rsidRPr="004C7EAD">
                <w:rPr>
                  <w:lang w:val="de-DE"/>
                </w:rPr>
                <w:t>0,1 mm</w:t>
              </w:r>
            </w:smartTag>
          </w:p>
        </w:tc>
        <w:tc>
          <w:tcPr>
            <w:tcW w:w="1984" w:type="dxa"/>
            <w:tcBorders>
              <w:top w:val="single" w:sz="4" w:space="0" w:color="auto"/>
              <w:left w:val="single" w:sz="4" w:space="0" w:color="auto"/>
              <w:bottom w:val="single" w:sz="4" w:space="0" w:color="auto"/>
              <w:right w:val="single" w:sz="4" w:space="0" w:color="auto"/>
            </w:tcBorders>
            <w:noWrap/>
          </w:tcPr>
          <w:p w:rsidR="00C26502" w:rsidRPr="004C7EAD" w:rsidRDefault="00C26502" w:rsidP="00C26502">
            <w:pPr>
              <w:overflowPunct w:val="0"/>
              <w:autoSpaceDE w:val="0"/>
              <w:autoSpaceDN w:val="0"/>
              <w:adjustRightInd w:val="0"/>
              <w:jc w:val="both"/>
              <w:rPr>
                <w:lang w:val="de-DE"/>
              </w:rPr>
            </w:pPr>
            <w:r w:rsidRPr="004C7EAD">
              <w:rPr>
                <w:lang w:val="de-DE"/>
              </w:rPr>
              <w:t>PN-EN 1426 [21]</w:t>
            </w:r>
          </w:p>
        </w:tc>
        <w:tc>
          <w:tcPr>
            <w:tcW w:w="851" w:type="dxa"/>
            <w:tcBorders>
              <w:top w:val="single" w:sz="4" w:space="0" w:color="auto"/>
              <w:left w:val="single" w:sz="4" w:space="0" w:color="auto"/>
              <w:bottom w:val="single" w:sz="4" w:space="0" w:color="auto"/>
              <w:right w:val="single" w:sz="4" w:space="0" w:color="auto"/>
            </w:tcBorders>
            <w:noWrap/>
          </w:tcPr>
          <w:p w:rsidR="00C26502" w:rsidRPr="004C7EAD" w:rsidRDefault="00C26502" w:rsidP="00C26502">
            <w:pPr>
              <w:overflowPunct w:val="0"/>
              <w:autoSpaceDE w:val="0"/>
              <w:autoSpaceDN w:val="0"/>
              <w:adjustRightInd w:val="0"/>
              <w:jc w:val="center"/>
            </w:pPr>
            <w:r w:rsidRPr="004C7EAD">
              <w:t>50-70</w:t>
            </w:r>
          </w:p>
        </w:tc>
        <w:tc>
          <w:tcPr>
            <w:tcW w:w="882" w:type="dxa"/>
            <w:tcBorders>
              <w:top w:val="single" w:sz="4" w:space="0" w:color="auto"/>
              <w:left w:val="single" w:sz="4" w:space="0" w:color="auto"/>
              <w:bottom w:val="single" w:sz="4" w:space="0" w:color="auto"/>
              <w:right w:val="single" w:sz="4" w:space="0" w:color="auto"/>
            </w:tcBorders>
            <w:noWrap/>
          </w:tcPr>
          <w:p w:rsidR="00C26502" w:rsidRPr="004C7EAD" w:rsidRDefault="00C26502" w:rsidP="00C26502">
            <w:pPr>
              <w:overflowPunct w:val="0"/>
              <w:autoSpaceDE w:val="0"/>
              <w:autoSpaceDN w:val="0"/>
              <w:adjustRightInd w:val="0"/>
              <w:jc w:val="center"/>
            </w:pPr>
            <w:r w:rsidRPr="004C7EAD">
              <w:t>35-50</w:t>
            </w:r>
          </w:p>
        </w:tc>
      </w:tr>
      <w:tr w:rsidR="00C26502" w:rsidRPr="004C7EAD" w:rsidTr="00C26502">
        <w:trPr>
          <w:jc w:val="center"/>
        </w:trPr>
        <w:tc>
          <w:tcPr>
            <w:tcW w:w="534" w:type="dxa"/>
            <w:tcBorders>
              <w:top w:val="single" w:sz="4" w:space="0" w:color="auto"/>
              <w:left w:val="single" w:sz="4" w:space="0" w:color="auto"/>
              <w:bottom w:val="single" w:sz="4" w:space="0" w:color="auto"/>
              <w:right w:val="single" w:sz="4" w:space="0" w:color="auto"/>
            </w:tcBorders>
            <w:noWrap/>
          </w:tcPr>
          <w:p w:rsidR="00C26502" w:rsidRPr="004C7EAD" w:rsidRDefault="00C26502" w:rsidP="00C26502">
            <w:pPr>
              <w:overflowPunct w:val="0"/>
              <w:autoSpaceDE w:val="0"/>
              <w:autoSpaceDN w:val="0"/>
              <w:adjustRightInd w:val="0"/>
              <w:jc w:val="center"/>
            </w:pPr>
            <w:r w:rsidRPr="004C7EAD">
              <w:t>2</w:t>
            </w:r>
          </w:p>
        </w:tc>
        <w:tc>
          <w:tcPr>
            <w:tcW w:w="2409" w:type="dxa"/>
            <w:tcBorders>
              <w:top w:val="single" w:sz="4" w:space="0" w:color="auto"/>
              <w:left w:val="single" w:sz="4" w:space="0" w:color="auto"/>
              <w:bottom w:val="single" w:sz="4" w:space="0" w:color="auto"/>
              <w:right w:val="single" w:sz="4" w:space="0" w:color="auto"/>
            </w:tcBorders>
            <w:noWrap/>
          </w:tcPr>
          <w:p w:rsidR="00C26502" w:rsidRPr="004C7EAD" w:rsidRDefault="00C26502" w:rsidP="00C26502">
            <w:pPr>
              <w:overflowPunct w:val="0"/>
              <w:autoSpaceDE w:val="0"/>
              <w:autoSpaceDN w:val="0"/>
              <w:adjustRightInd w:val="0"/>
              <w:jc w:val="both"/>
            </w:pPr>
            <w:r w:rsidRPr="004C7EAD">
              <w:t>Temperatura mięknienia</w:t>
            </w:r>
          </w:p>
        </w:tc>
        <w:tc>
          <w:tcPr>
            <w:tcW w:w="851" w:type="dxa"/>
            <w:tcBorders>
              <w:top w:val="single" w:sz="4" w:space="0" w:color="auto"/>
              <w:left w:val="single" w:sz="4" w:space="0" w:color="auto"/>
              <w:bottom w:val="single" w:sz="4" w:space="0" w:color="auto"/>
              <w:right w:val="single" w:sz="4" w:space="0" w:color="auto"/>
            </w:tcBorders>
            <w:noWrap/>
          </w:tcPr>
          <w:p w:rsidR="00C26502" w:rsidRPr="004C7EAD" w:rsidRDefault="00C26502" w:rsidP="00C26502">
            <w:pPr>
              <w:overflowPunct w:val="0"/>
              <w:autoSpaceDE w:val="0"/>
              <w:autoSpaceDN w:val="0"/>
              <w:adjustRightInd w:val="0"/>
              <w:jc w:val="center"/>
            </w:pPr>
            <w:r w:rsidRPr="004C7EAD">
              <w:t>°C</w:t>
            </w:r>
          </w:p>
        </w:tc>
        <w:tc>
          <w:tcPr>
            <w:tcW w:w="1984" w:type="dxa"/>
            <w:tcBorders>
              <w:top w:val="single" w:sz="4" w:space="0" w:color="auto"/>
              <w:left w:val="single" w:sz="4" w:space="0" w:color="auto"/>
              <w:bottom w:val="single" w:sz="4" w:space="0" w:color="auto"/>
              <w:right w:val="single" w:sz="4" w:space="0" w:color="auto"/>
            </w:tcBorders>
            <w:noWrap/>
          </w:tcPr>
          <w:p w:rsidR="00C26502" w:rsidRPr="004C7EAD" w:rsidRDefault="00C26502" w:rsidP="00C26502">
            <w:pPr>
              <w:overflowPunct w:val="0"/>
              <w:autoSpaceDE w:val="0"/>
              <w:autoSpaceDN w:val="0"/>
              <w:adjustRightInd w:val="0"/>
              <w:jc w:val="both"/>
            </w:pPr>
            <w:r w:rsidRPr="004C7EAD">
              <w:t>PN-EN 1427 [22]</w:t>
            </w:r>
          </w:p>
        </w:tc>
        <w:tc>
          <w:tcPr>
            <w:tcW w:w="851" w:type="dxa"/>
            <w:tcBorders>
              <w:top w:val="single" w:sz="4" w:space="0" w:color="auto"/>
              <w:left w:val="single" w:sz="4" w:space="0" w:color="auto"/>
              <w:bottom w:val="single" w:sz="4" w:space="0" w:color="auto"/>
              <w:right w:val="single" w:sz="4" w:space="0" w:color="auto"/>
            </w:tcBorders>
            <w:noWrap/>
          </w:tcPr>
          <w:p w:rsidR="00C26502" w:rsidRPr="004C7EAD" w:rsidRDefault="00C26502" w:rsidP="00C26502">
            <w:pPr>
              <w:overflowPunct w:val="0"/>
              <w:autoSpaceDE w:val="0"/>
              <w:autoSpaceDN w:val="0"/>
              <w:adjustRightInd w:val="0"/>
              <w:jc w:val="center"/>
            </w:pPr>
            <w:r w:rsidRPr="004C7EAD">
              <w:t>46-54</w:t>
            </w:r>
          </w:p>
        </w:tc>
        <w:tc>
          <w:tcPr>
            <w:tcW w:w="882" w:type="dxa"/>
            <w:tcBorders>
              <w:top w:val="single" w:sz="4" w:space="0" w:color="auto"/>
              <w:left w:val="single" w:sz="4" w:space="0" w:color="auto"/>
              <w:bottom w:val="single" w:sz="4" w:space="0" w:color="auto"/>
              <w:right w:val="single" w:sz="4" w:space="0" w:color="auto"/>
            </w:tcBorders>
            <w:noWrap/>
          </w:tcPr>
          <w:p w:rsidR="00C26502" w:rsidRPr="004C7EAD" w:rsidRDefault="00C26502" w:rsidP="00C26502">
            <w:pPr>
              <w:overflowPunct w:val="0"/>
              <w:autoSpaceDE w:val="0"/>
              <w:autoSpaceDN w:val="0"/>
              <w:adjustRightInd w:val="0"/>
              <w:jc w:val="center"/>
            </w:pPr>
            <w:r w:rsidRPr="004C7EAD">
              <w:t>50-58</w:t>
            </w:r>
          </w:p>
        </w:tc>
      </w:tr>
      <w:tr w:rsidR="00C26502" w:rsidRPr="004C7EAD" w:rsidTr="00C26502">
        <w:trPr>
          <w:jc w:val="center"/>
        </w:trPr>
        <w:tc>
          <w:tcPr>
            <w:tcW w:w="534" w:type="dxa"/>
            <w:tcBorders>
              <w:top w:val="single" w:sz="4" w:space="0" w:color="auto"/>
              <w:left w:val="single" w:sz="4" w:space="0" w:color="auto"/>
              <w:bottom w:val="single" w:sz="4" w:space="0" w:color="auto"/>
              <w:right w:val="single" w:sz="4" w:space="0" w:color="auto"/>
            </w:tcBorders>
            <w:noWrap/>
          </w:tcPr>
          <w:p w:rsidR="00C26502" w:rsidRPr="004C7EAD" w:rsidRDefault="00C26502" w:rsidP="00C26502">
            <w:pPr>
              <w:overflowPunct w:val="0"/>
              <w:autoSpaceDE w:val="0"/>
              <w:autoSpaceDN w:val="0"/>
              <w:adjustRightInd w:val="0"/>
              <w:jc w:val="center"/>
            </w:pPr>
            <w:r w:rsidRPr="004C7EAD">
              <w:t>3</w:t>
            </w:r>
          </w:p>
        </w:tc>
        <w:tc>
          <w:tcPr>
            <w:tcW w:w="2409" w:type="dxa"/>
            <w:tcBorders>
              <w:top w:val="single" w:sz="4" w:space="0" w:color="auto"/>
              <w:left w:val="single" w:sz="4" w:space="0" w:color="auto"/>
              <w:bottom w:val="single" w:sz="4" w:space="0" w:color="auto"/>
              <w:right w:val="single" w:sz="4" w:space="0" w:color="auto"/>
            </w:tcBorders>
            <w:noWrap/>
          </w:tcPr>
          <w:p w:rsidR="00C26502" w:rsidRPr="004C7EAD" w:rsidRDefault="00C26502" w:rsidP="00C26502">
            <w:pPr>
              <w:overflowPunct w:val="0"/>
              <w:autoSpaceDE w:val="0"/>
              <w:autoSpaceDN w:val="0"/>
              <w:adjustRightInd w:val="0"/>
              <w:jc w:val="both"/>
            </w:pPr>
            <w:r w:rsidRPr="004C7EAD">
              <w:t xml:space="preserve">Temperatura zapłonu, </w:t>
            </w:r>
          </w:p>
          <w:p w:rsidR="00C26502" w:rsidRPr="004C7EAD" w:rsidRDefault="00C26502" w:rsidP="00C26502">
            <w:pPr>
              <w:overflowPunct w:val="0"/>
              <w:autoSpaceDE w:val="0"/>
              <w:autoSpaceDN w:val="0"/>
              <w:adjustRightInd w:val="0"/>
              <w:jc w:val="both"/>
            </w:pPr>
            <w:r w:rsidRPr="004C7EAD">
              <w:t>nie mniej niż</w:t>
            </w:r>
          </w:p>
        </w:tc>
        <w:tc>
          <w:tcPr>
            <w:tcW w:w="851" w:type="dxa"/>
            <w:tcBorders>
              <w:top w:val="single" w:sz="4" w:space="0" w:color="auto"/>
              <w:left w:val="single" w:sz="4" w:space="0" w:color="auto"/>
              <w:bottom w:val="single" w:sz="4" w:space="0" w:color="auto"/>
              <w:right w:val="single" w:sz="4" w:space="0" w:color="auto"/>
            </w:tcBorders>
            <w:noWrap/>
          </w:tcPr>
          <w:p w:rsidR="00C26502" w:rsidRPr="004C7EAD" w:rsidRDefault="00C26502" w:rsidP="00C26502">
            <w:pPr>
              <w:overflowPunct w:val="0"/>
              <w:autoSpaceDE w:val="0"/>
              <w:autoSpaceDN w:val="0"/>
              <w:adjustRightInd w:val="0"/>
              <w:jc w:val="center"/>
              <w:rPr>
                <w:lang w:val="de-DE"/>
              </w:rPr>
            </w:pPr>
            <w:r w:rsidRPr="004C7EAD">
              <w:rPr>
                <w:lang w:val="de-DE"/>
              </w:rPr>
              <w:t>°C</w:t>
            </w:r>
          </w:p>
        </w:tc>
        <w:tc>
          <w:tcPr>
            <w:tcW w:w="1984" w:type="dxa"/>
            <w:tcBorders>
              <w:top w:val="single" w:sz="4" w:space="0" w:color="auto"/>
              <w:left w:val="single" w:sz="4" w:space="0" w:color="auto"/>
              <w:bottom w:val="single" w:sz="4" w:space="0" w:color="auto"/>
              <w:right w:val="single" w:sz="4" w:space="0" w:color="auto"/>
            </w:tcBorders>
            <w:noWrap/>
          </w:tcPr>
          <w:p w:rsidR="00C26502" w:rsidRPr="004C7EAD" w:rsidRDefault="00C26502" w:rsidP="00C26502">
            <w:pPr>
              <w:overflowPunct w:val="0"/>
              <w:autoSpaceDE w:val="0"/>
              <w:autoSpaceDN w:val="0"/>
              <w:adjustRightInd w:val="0"/>
              <w:jc w:val="both"/>
              <w:rPr>
                <w:lang w:val="de-DE"/>
              </w:rPr>
            </w:pPr>
            <w:r w:rsidRPr="004C7EAD">
              <w:rPr>
                <w:lang w:val="de-DE"/>
              </w:rPr>
              <w:t>PN-EN 22592 [62]</w:t>
            </w:r>
          </w:p>
        </w:tc>
        <w:tc>
          <w:tcPr>
            <w:tcW w:w="851" w:type="dxa"/>
            <w:tcBorders>
              <w:top w:val="single" w:sz="4" w:space="0" w:color="auto"/>
              <w:left w:val="single" w:sz="4" w:space="0" w:color="auto"/>
              <w:bottom w:val="single" w:sz="4" w:space="0" w:color="auto"/>
              <w:right w:val="single" w:sz="4" w:space="0" w:color="auto"/>
            </w:tcBorders>
            <w:noWrap/>
          </w:tcPr>
          <w:p w:rsidR="00C26502" w:rsidRPr="004C7EAD" w:rsidRDefault="00C26502" w:rsidP="00C26502">
            <w:pPr>
              <w:overflowPunct w:val="0"/>
              <w:autoSpaceDE w:val="0"/>
              <w:autoSpaceDN w:val="0"/>
              <w:adjustRightInd w:val="0"/>
              <w:jc w:val="center"/>
            </w:pPr>
            <w:r w:rsidRPr="004C7EAD">
              <w:t>230</w:t>
            </w:r>
          </w:p>
        </w:tc>
        <w:tc>
          <w:tcPr>
            <w:tcW w:w="882" w:type="dxa"/>
            <w:tcBorders>
              <w:top w:val="single" w:sz="4" w:space="0" w:color="auto"/>
              <w:left w:val="single" w:sz="4" w:space="0" w:color="auto"/>
              <w:bottom w:val="single" w:sz="4" w:space="0" w:color="auto"/>
              <w:right w:val="single" w:sz="4" w:space="0" w:color="auto"/>
            </w:tcBorders>
            <w:noWrap/>
          </w:tcPr>
          <w:p w:rsidR="00C26502" w:rsidRPr="004C7EAD" w:rsidRDefault="00C26502" w:rsidP="00C26502">
            <w:pPr>
              <w:overflowPunct w:val="0"/>
              <w:autoSpaceDE w:val="0"/>
              <w:autoSpaceDN w:val="0"/>
              <w:adjustRightInd w:val="0"/>
              <w:jc w:val="center"/>
            </w:pPr>
            <w:r w:rsidRPr="004C7EAD">
              <w:t>240</w:t>
            </w:r>
          </w:p>
        </w:tc>
      </w:tr>
      <w:tr w:rsidR="00C26502" w:rsidRPr="004C7EAD" w:rsidTr="00C26502">
        <w:trPr>
          <w:jc w:val="center"/>
        </w:trPr>
        <w:tc>
          <w:tcPr>
            <w:tcW w:w="534" w:type="dxa"/>
            <w:tcBorders>
              <w:top w:val="single" w:sz="4" w:space="0" w:color="auto"/>
              <w:left w:val="single" w:sz="4" w:space="0" w:color="auto"/>
              <w:bottom w:val="single" w:sz="4" w:space="0" w:color="auto"/>
              <w:right w:val="single" w:sz="4" w:space="0" w:color="auto"/>
            </w:tcBorders>
            <w:noWrap/>
          </w:tcPr>
          <w:p w:rsidR="00C26502" w:rsidRPr="004C7EAD" w:rsidRDefault="00C26502" w:rsidP="00C26502">
            <w:pPr>
              <w:overflowPunct w:val="0"/>
              <w:autoSpaceDE w:val="0"/>
              <w:autoSpaceDN w:val="0"/>
              <w:adjustRightInd w:val="0"/>
              <w:jc w:val="center"/>
            </w:pPr>
            <w:r w:rsidRPr="004C7EAD">
              <w:t>4</w:t>
            </w:r>
          </w:p>
        </w:tc>
        <w:tc>
          <w:tcPr>
            <w:tcW w:w="2409" w:type="dxa"/>
            <w:tcBorders>
              <w:top w:val="single" w:sz="4" w:space="0" w:color="auto"/>
              <w:left w:val="single" w:sz="4" w:space="0" w:color="auto"/>
              <w:bottom w:val="single" w:sz="4" w:space="0" w:color="auto"/>
              <w:right w:val="single" w:sz="4" w:space="0" w:color="auto"/>
            </w:tcBorders>
            <w:noWrap/>
          </w:tcPr>
          <w:p w:rsidR="00C26502" w:rsidRPr="004C7EAD" w:rsidRDefault="00C26502" w:rsidP="00C26502">
            <w:pPr>
              <w:overflowPunct w:val="0"/>
              <w:autoSpaceDE w:val="0"/>
              <w:autoSpaceDN w:val="0"/>
              <w:adjustRightInd w:val="0"/>
            </w:pPr>
            <w:r w:rsidRPr="004C7EAD">
              <w:t xml:space="preserve">Zawartość składników rozpuszczalnych, </w:t>
            </w:r>
          </w:p>
          <w:p w:rsidR="00C26502" w:rsidRPr="004C7EAD" w:rsidRDefault="00C26502" w:rsidP="00C26502">
            <w:pPr>
              <w:overflowPunct w:val="0"/>
              <w:autoSpaceDE w:val="0"/>
              <w:autoSpaceDN w:val="0"/>
              <w:adjustRightInd w:val="0"/>
            </w:pPr>
            <w:r w:rsidRPr="004C7EAD">
              <w:t>nie mniej niż</w:t>
            </w:r>
          </w:p>
        </w:tc>
        <w:tc>
          <w:tcPr>
            <w:tcW w:w="851" w:type="dxa"/>
            <w:tcBorders>
              <w:top w:val="single" w:sz="4" w:space="0" w:color="auto"/>
              <w:left w:val="single" w:sz="4" w:space="0" w:color="auto"/>
              <w:bottom w:val="single" w:sz="4" w:space="0" w:color="auto"/>
              <w:right w:val="single" w:sz="4" w:space="0" w:color="auto"/>
            </w:tcBorders>
            <w:noWrap/>
          </w:tcPr>
          <w:p w:rsidR="00C26502" w:rsidRPr="004C7EAD" w:rsidRDefault="00C26502" w:rsidP="00C26502">
            <w:pPr>
              <w:overflowPunct w:val="0"/>
              <w:autoSpaceDE w:val="0"/>
              <w:autoSpaceDN w:val="0"/>
              <w:adjustRightInd w:val="0"/>
              <w:jc w:val="center"/>
              <w:rPr>
                <w:lang w:val="de-DE"/>
              </w:rPr>
            </w:pPr>
            <w:r w:rsidRPr="004C7EAD">
              <w:rPr>
                <w:lang w:val="de-DE"/>
              </w:rPr>
              <w:t>% m/m</w:t>
            </w:r>
          </w:p>
        </w:tc>
        <w:tc>
          <w:tcPr>
            <w:tcW w:w="1984" w:type="dxa"/>
            <w:tcBorders>
              <w:top w:val="single" w:sz="4" w:space="0" w:color="auto"/>
              <w:left w:val="single" w:sz="4" w:space="0" w:color="auto"/>
              <w:bottom w:val="single" w:sz="4" w:space="0" w:color="auto"/>
              <w:right w:val="single" w:sz="4" w:space="0" w:color="auto"/>
            </w:tcBorders>
            <w:noWrap/>
          </w:tcPr>
          <w:p w:rsidR="00C26502" w:rsidRPr="004C7EAD" w:rsidRDefault="00C26502" w:rsidP="00C26502">
            <w:pPr>
              <w:overflowPunct w:val="0"/>
              <w:autoSpaceDE w:val="0"/>
              <w:autoSpaceDN w:val="0"/>
              <w:adjustRightInd w:val="0"/>
              <w:jc w:val="both"/>
              <w:rPr>
                <w:lang w:val="de-DE"/>
              </w:rPr>
            </w:pPr>
            <w:r w:rsidRPr="004C7EAD">
              <w:rPr>
                <w:lang w:val="de-DE"/>
              </w:rPr>
              <w:t>PN-EN 12592 [28]</w:t>
            </w:r>
          </w:p>
        </w:tc>
        <w:tc>
          <w:tcPr>
            <w:tcW w:w="851" w:type="dxa"/>
            <w:tcBorders>
              <w:top w:val="single" w:sz="4" w:space="0" w:color="auto"/>
              <w:left w:val="single" w:sz="4" w:space="0" w:color="auto"/>
              <w:bottom w:val="single" w:sz="4" w:space="0" w:color="auto"/>
              <w:right w:val="single" w:sz="4" w:space="0" w:color="auto"/>
            </w:tcBorders>
            <w:noWrap/>
          </w:tcPr>
          <w:p w:rsidR="00C26502" w:rsidRPr="004C7EAD" w:rsidRDefault="00C26502" w:rsidP="00C26502">
            <w:pPr>
              <w:overflowPunct w:val="0"/>
              <w:autoSpaceDE w:val="0"/>
              <w:autoSpaceDN w:val="0"/>
              <w:adjustRightInd w:val="0"/>
              <w:jc w:val="center"/>
            </w:pPr>
            <w:r w:rsidRPr="004C7EAD">
              <w:t>99</w:t>
            </w:r>
          </w:p>
        </w:tc>
        <w:tc>
          <w:tcPr>
            <w:tcW w:w="882" w:type="dxa"/>
            <w:tcBorders>
              <w:top w:val="single" w:sz="4" w:space="0" w:color="auto"/>
              <w:left w:val="single" w:sz="4" w:space="0" w:color="auto"/>
              <w:bottom w:val="single" w:sz="4" w:space="0" w:color="auto"/>
              <w:right w:val="single" w:sz="4" w:space="0" w:color="auto"/>
            </w:tcBorders>
            <w:noWrap/>
          </w:tcPr>
          <w:p w:rsidR="00C26502" w:rsidRPr="004C7EAD" w:rsidRDefault="00C26502" w:rsidP="00C26502">
            <w:pPr>
              <w:overflowPunct w:val="0"/>
              <w:autoSpaceDE w:val="0"/>
              <w:autoSpaceDN w:val="0"/>
              <w:adjustRightInd w:val="0"/>
              <w:jc w:val="center"/>
            </w:pPr>
            <w:r w:rsidRPr="004C7EAD">
              <w:t>99</w:t>
            </w:r>
          </w:p>
        </w:tc>
      </w:tr>
      <w:tr w:rsidR="00C26502" w:rsidRPr="004C7EAD" w:rsidTr="00C26502">
        <w:trPr>
          <w:jc w:val="center"/>
        </w:trPr>
        <w:tc>
          <w:tcPr>
            <w:tcW w:w="534" w:type="dxa"/>
            <w:tcBorders>
              <w:top w:val="single" w:sz="4" w:space="0" w:color="auto"/>
              <w:left w:val="single" w:sz="4" w:space="0" w:color="auto"/>
              <w:bottom w:val="single" w:sz="4" w:space="0" w:color="auto"/>
              <w:right w:val="single" w:sz="4" w:space="0" w:color="auto"/>
            </w:tcBorders>
            <w:noWrap/>
          </w:tcPr>
          <w:p w:rsidR="00C26502" w:rsidRPr="004C7EAD" w:rsidRDefault="00C26502" w:rsidP="00C26502">
            <w:pPr>
              <w:overflowPunct w:val="0"/>
              <w:autoSpaceDE w:val="0"/>
              <w:autoSpaceDN w:val="0"/>
              <w:adjustRightInd w:val="0"/>
              <w:jc w:val="center"/>
            </w:pPr>
            <w:r w:rsidRPr="004C7EAD">
              <w:t>5</w:t>
            </w:r>
          </w:p>
        </w:tc>
        <w:tc>
          <w:tcPr>
            <w:tcW w:w="2409" w:type="dxa"/>
            <w:tcBorders>
              <w:top w:val="single" w:sz="4" w:space="0" w:color="auto"/>
              <w:left w:val="single" w:sz="4" w:space="0" w:color="auto"/>
              <w:bottom w:val="single" w:sz="4" w:space="0" w:color="auto"/>
              <w:right w:val="single" w:sz="4" w:space="0" w:color="auto"/>
            </w:tcBorders>
            <w:noWrap/>
          </w:tcPr>
          <w:p w:rsidR="00C26502" w:rsidRPr="004C7EAD" w:rsidRDefault="00C26502" w:rsidP="00C26502">
            <w:pPr>
              <w:overflowPunct w:val="0"/>
              <w:autoSpaceDE w:val="0"/>
              <w:autoSpaceDN w:val="0"/>
              <w:adjustRightInd w:val="0"/>
              <w:jc w:val="both"/>
            </w:pPr>
            <w:r w:rsidRPr="004C7EAD">
              <w:t xml:space="preserve">Zmiana masy po starzeniu (ubytek lub przyrost), </w:t>
            </w:r>
          </w:p>
          <w:p w:rsidR="00C26502" w:rsidRPr="004C7EAD" w:rsidRDefault="00C26502" w:rsidP="00C26502">
            <w:pPr>
              <w:overflowPunct w:val="0"/>
              <w:autoSpaceDE w:val="0"/>
              <w:autoSpaceDN w:val="0"/>
              <w:adjustRightInd w:val="0"/>
              <w:jc w:val="both"/>
            </w:pPr>
            <w:r w:rsidRPr="004C7EAD">
              <w:t>nie więcej niż</w:t>
            </w:r>
          </w:p>
        </w:tc>
        <w:tc>
          <w:tcPr>
            <w:tcW w:w="851" w:type="dxa"/>
            <w:tcBorders>
              <w:top w:val="single" w:sz="4" w:space="0" w:color="auto"/>
              <w:left w:val="single" w:sz="4" w:space="0" w:color="auto"/>
              <w:bottom w:val="single" w:sz="4" w:space="0" w:color="auto"/>
              <w:right w:val="single" w:sz="4" w:space="0" w:color="auto"/>
            </w:tcBorders>
            <w:noWrap/>
          </w:tcPr>
          <w:p w:rsidR="00C26502" w:rsidRPr="004C7EAD" w:rsidRDefault="00C26502" w:rsidP="00C26502">
            <w:pPr>
              <w:overflowPunct w:val="0"/>
              <w:autoSpaceDE w:val="0"/>
              <w:autoSpaceDN w:val="0"/>
              <w:adjustRightInd w:val="0"/>
              <w:jc w:val="center"/>
              <w:rPr>
                <w:lang w:val="de-DE"/>
              </w:rPr>
            </w:pPr>
            <w:r w:rsidRPr="004C7EAD">
              <w:rPr>
                <w:lang w:val="de-DE"/>
              </w:rPr>
              <w:t>% m/m</w:t>
            </w:r>
          </w:p>
        </w:tc>
        <w:tc>
          <w:tcPr>
            <w:tcW w:w="1984" w:type="dxa"/>
            <w:tcBorders>
              <w:top w:val="single" w:sz="4" w:space="0" w:color="auto"/>
              <w:left w:val="single" w:sz="4" w:space="0" w:color="auto"/>
              <w:bottom w:val="single" w:sz="4" w:space="0" w:color="auto"/>
              <w:right w:val="single" w:sz="4" w:space="0" w:color="auto"/>
            </w:tcBorders>
            <w:noWrap/>
          </w:tcPr>
          <w:p w:rsidR="00C26502" w:rsidRPr="004C7EAD" w:rsidRDefault="00C26502" w:rsidP="00C26502">
            <w:pPr>
              <w:overflowPunct w:val="0"/>
              <w:autoSpaceDE w:val="0"/>
              <w:autoSpaceDN w:val="0"/>
              <w:adjustRightInd w:val="0"/>
              <w:jc w:val="both"/>
              <w:rPr>
                <w:lang w:val="de-DE"/>
              </w:rPr>
            </w:pPr>
            <w:r w:rsidRPr="004C7EAD">
              <w:rPr>
                <w:lang w:val="de-DE"/>
              </w:rPr>
              <w:t>PN-EN 12607-1 [31]</w:t>
            </w:r>
          </w:p>
        </w:tc>
        <w:tc>
          <w:tcPr>
            <w:tcW w:w="851" w:type="dxa"/>
            <w:tcBorders>
              <w:top w:val="single" w:sz="4" w:space="0" w:color="auto"/>
              <w:left w:val="single" w:sz="4" w:space="0" w:color="auto"/>
              <w:bottom w:val="single" w:sz="4" w:space="0" w:color="auto"/>
              <w:right w:val="single" w:sz="4" w:space="0" w:color="auto"/>
            </w:tcBorders>
            <w:noWrap/>
          </w:tcPr>
          <w:p w:rsidR="00C26502" w:rsidRPr="004C7EAD" w:rsidRDefault="00C26502" w:rsidP="00C26502">
            <w:pPr>
              <w:overflowPunct w:val="0"/>
              <w:autoSpaceDE w:val="0"/>
              <w:autoSpaceDN w:val="0"/>
              <w:adjustRightInd w:val="0"/>
              <w:jc w:val="center"/>
            </w:pPr>
            <w:r w:rsidRPr="004C7EAD">
              <w:t>0,5</w:t>
            </w:r>
          </w:p>
        </w:tc>
        <w:tc>
          <w:tcPr>
            <w:tcW w:w="882" w:type="dxa"/>
            <w:tcBorders>
              <w:top w:val="single" w:sz="4" w:space="0" w:color="auto"/>
              <w:left w:val="single" w:sz="4" w:space="0" w:color="auto"/>
              <w:bottom w:val="single" w:sz="4" w:space="0" w:color="auto"/>
              <w:right w:val="single" w:sz="4" w:space="0" w:color="auto"/>
            </w:tcBorders>
            <w:noWrap/>
          </w:tcPr>
          <w:p w:rsidR="00C26502" w:rsidRPr="004C7EAD" w:rsidRDefault="00C26502" w:rsidP="00C26502">
            <w:pPr>
              <w:overflowPunct w:val="0"/>
              <w:autoSpaceDE w:val="0"/>
              <w:autoSpaceDN w:val="0"/>
              <w:adjustRightInd w:val="0"/>
              <w:jc w:val="center"/>
            </w:pPr>
            <w:r w:rsidRPr="004C7EAD">
              <w:t>0,5</w:t>
            </w:r>
          </w:p>
        </w:tc>
      </w:tr>
      <w:tr w:rsidR="00C26502" w:rsidRPr="004C7EAD" w:rsidTr="00C26502">
        <w:trPr>
          <w:jc w:val="center"/>
        </w:trPr>
        <w:tc>
          <w:tcPr>
            <w:tcW w:w="534" w:type="dxa"/>
            <w:tcBorders>
              <w:top w:val="single" w:sz="4" w:space="0" w:color="auto"/>
              <w:left w:val="single" w:sz="4" w:space="0" w:color="auto"/>
              <w:bottom w:val="single" w:sz="4" w:space="0" w:color="auto"/>
              <w:right w:val="single" w:sz="4" w:space="0" w:color="auto"/>
            </w:tcBorders>
            <w:noWrap/>
          </w:tcPr>
          <w:p w:rsidR="00C26502" w:rsidRPr="004C7EAD" w:rsidRDefault="00C26502" w:rsidP="00C26502">
            <w:pPr>
              <w:overflowPunct w:val="0"/>
              <w:autoSpaceDE w:val="0"/>
              <w:autoSpaceDN w:val="0"/>
              <w:adjustRightInd w:val="0"/>
              <w:jc w:val="center"/>
            </w:pPr>
            <w:r w:rsidRPr="004C7EAD">
              <w:t>6</w:t>
            </w:r>
          </w:p>
        </w:tc>
        <w:tc>
          <w:tcPr>
            <w:tcW w:w="2409" w:type="dxa"/>
            <w:tcBorders>
              <w:top w:val="single" w:sz="4" w:space="0" w:color="auto"/>
              <w:left w:val="single" w:sz="4" w:space="0" w:color="auto"/>
              <w:bottom w:val="single" w:sz="4" w:space="0" w:color="auto"/>
              <w:right w:val="single" w:sz="4" w:space="0" w:color="auto"/>
            </w:tcBorders>
            <w:noWrap/>
          </w:tcPr>
          <w:p w:rsidR="00C26502" w:rsidRPr="004C7EAD" w:rsidRDefault="00C26502" w:rsidP="00C26502">
            <w:pPr>
              <w:overflowPunct w:val="0"/>
              <w:autoSpaceDE w:val="0"/>
              <w:autoSpaceDN w:val="0"/>
              <w:adjustRightInd w:val="0"/>
              <w:jc w:val="both"/>
            </w:pPr>
            <w:r w:rsidRPr="004C7EAD">
              <w:t>Pozostała penetracja po starzeniu, nie mniej niż</w:t>
            </w:r>
          </w:p>
        </w:tc>
        <w:tc>
          <w:tcPr>
            <w:tcW w:w="851" w:type="dxa"/>
            <w:tcBorders>
              <w:top w:val="single" w:sz="4" w:space="0" w:color="auto"/>
              <w:left w:val="single" w:sz="4" w:space="0" w:color="auto"/>
              <w:bottom w:val="single" w:sz="4" w:space="0" w:color="auto"/>
              <w:right w:val="single" w:sz="4" w:space="0" w:color="auto"/>
            </w:tcBorders>
            <w:noWrap/>
          </w:tcPr>
          <w:p w:rsidR="00C26502" w:rsidRPr="004C7EAD" w:rsidRDefault="00C26502" w:rsidP="00C26502">
            <w:pPr>
              <w:overflowPunct w:val="0"/>
              <w:autoSpaceDE w:val="0"/>
              <w:autoSpaceDN w:val="0"/>
              <w:adjustRightInd w:val="0"/>
              <w:jc w:val="center"/>
            </w:pPr>
            <w:r w:rsidRPr="004C7EAD">
              <w:t>%</w:t>
            </w:r>
          </w:p>
        </w:tc>
        <w:tc>
          <w:tcPr>
            <w:tcW w:w="1984" w:type="dxa"/>
            <w:tcBorders>
              <w:top w:val="single" w:sz="4" w:space="0" w:color="auto"/>
              <w:left w:val="single" w:sz="4" w:space="0" w:color="auto"/>
              <w:bottom w:val="single" w:sz="4" w:space="0" w:color="auto"/>
              <w:right w:val="single" w:sz="4" w:space="0" w:color="auto"/>
            </w:tcBorders>
            <w:noWrap/>
          </w:tcPr>
          <w:p w:rsidR="00C26502" w:rsidRPr="004C7EAD" w:rsidRDefault="00C26502" w:rsidP="00C26502">
            <w:pPr>
              <w:overflowPunct w:val="0"/>
              <w:autoSpaceDE w:val="0"/>
              <w:autoSpaceDN w:val="0"/>
              <w:adjustRightInd w:val="0"/>
              <w:jc w:val="both"/>
            </w:pPr>
            <w:r w:rsidRPr="004C7EAD">
              <w:t>PN-EN 1426 [21]</w:t>
            </w:r>
          </w:p>
        </w:tc>
        <w:tc>
          <w:tcPr>
            <w:tcW w:w="851" w:type="dxa"/>
            <w:tcBorders>
              <w:top w:val="single" w:sz="4" w:space="0" w:color="auto"/>
              <w:left w:val="single" w:sz="4" w:space="0" w:color="auto"/>
              <w:bottom w:val="single" w:sz="4" w:space="0" w:color="auto"/>
              <w:right w:val="single" w:sz="4" w:space="0" w:color="auto"/>
            </w:tcBorders>
            <w:noWrap/>
          </w:tcPr>
          <w:p w:rsidR="00C26502" w:rsidRPr="004C7EAD" w:rsidRDefault="00C26502" w:rsidP="00C26502">
            <w:pPr>
              <w:overflowPunct w:val="0"/>
              <w:autoSpaceDE w:val="0"/>
              <w:autoSpaceDN w:val="0"/>
              <w:adjustRightInd w:val="0"/>
              <w:jc w:val="center"/>
            </w:pPr>
            <w:r w:rsidRPr="004C7EAD">
              <w:t>50</w:t>
            </w:r>
          </w:p>
        </w:tc>
        <w:tc>
          <w:tcPr>
            <w:tcW w:w="882" w:type="dxa"/>
            <w:tcBorders>
              <w:top w:val="single" w:sz="4" w:space="0" w:color="auto"/>
              <w:left w:val="single" w:sz="4" w:space="0" w:color="auto"/>
              <w:bottom w:val="single" w:sz="4" w:space="0" w:color="auto"/>
              <w:right w:val="single" w:sz="4" w:space="0" w:color="auto"/>
            </w:tcBorders>
            <w:noWrap/>
          </w:tcPr>
          <w:p w:rsidR="00C26502" w:rsidRPr="004C7EAD" w:rsidRDefault="00C26502" w:rsidP="00C26502">
            <w:pPr>
              <w:overflowPunct w:val="0"/>
              <w:autoSpaceDE w:val="0"/>
              <w:autoSpaceDN w:val="0"/>
              <w:adjustRightInd w:val="0"/>
              <w:jc w:val="center"/>
            </w:pPr>
            <w:r w:rsidRPr="004C7EAD">
              <w:t>53</w:t>
            </w:r>
          </w:p>
        </w:tc>
      </w:tr>
      <w:tr w:rsidR="00C26502" w:rsidRPr="004C7EAD" w:rsidTr="00C26502">
        <w:trPr>
          <w:jc w:val="center"/>
        </w:trPr>
        <w:tc>
          <w:tcPr>
            <w:tcW w:w="534" w:type="dxa"/>
            <w:tcBorders>
              <w:top w:val="single" w:sz="4" w:space="0" w:color="auto"/>
              <w:left w:val="single" w:sz="4" w:space="0" w:color="auto"/>
              <w:bottom w:val="single" w:sz="4" w:space="0" w:color="auto"/>
              <w:right w:val="single" w:sz="4" w:space="0" w:color="auto"/>
            </w:tcBorders>
            <w:noWrap/>
          </w:tcPr>
          <w:p w:rsidR="00C26502" w:rsidRPr="004C7EAD" w:rsidRDefault="00C26502" w:rsidP="00C26502">
            <w:pPr>
              <w:overflowPunct w:val="0"/>
              <w:autoSpaceDE w:val="0"/>
              <w:autoSpaceDN w:val="0"/>
              <w:adjustRightInd w:val="0"/>
              <w:jc w:val="center"/>
            </w:pPr>
            <w:r w:rsidRPr="004C7EAD">
              <w:t>7</w:t>
            </w:r>
          </w:p>
        </w:tc>
        <w:tc>
          <w:tcPr>
            <w:tcW w:w="2409" w:type="dxa"/>
            <w:tcBorders>
              <w:top w:val="single" w:sz="4" w:space="0" w:color="auto"/>
              <w:left w:val="single" w:sz="4" w:space="0" w:color="auto"/>
              <w:bottom w:val="single" w:sz="4" w:space="0" w:color="auto"/>
              <w:right w:val="single" w:sz="4" w:space="0" w:color="auto"/>
            </w:tcBorders>
            <w:noWrap/>
          </w:tcPr>
          <w:p w:rsidR="00C26502" w:rsidRPr="004C7EAD" w:rsidRDefault="00C26502" w:rsidP="00C26502">
            <w:pPr>
              <w:overflowPunct w:val="0"/>
              <w:autoSpaceDE w:val="0"/>
              <w:autoSpaceDN w:val="0"/>
              <w:adjustRightInd w:val="0"/>
              <w:jc w:val="both"/>
            </w:pPr>
            <w:r w:rsidRPr="004C7EAD">
              <w:t>Temperatura mięknienia po starzeniu, nie mniej niż</w:t>
            </w:r>
          </w:p>
        </w:tc>
        <w:tc>
          <w:tcPr>
            <w:tcW w:w="851" w:type="dxa"/>
            <w:tcBorders>
              <w:top w:val="single" w:sz="4" w:space="0" w:color="auto"/>
              <w:left w:val="single" w:sz="4" w:space="0" w:color="auto"/>
              <w:bottom w:val="single" w:sz="4" w:space="0" w:color="auto"/>
              <w:right w:val="single" w:sz="4" w:space="0" w:color="auto"/>
            </w:tcBorders>
            <w:noWrap/>
          </w:tcPr>
          <w:p w:rsidR="00C26502" w:rsidRPr="004C7EAD" w:rsidRDefault="00C26502" w:rsidP="00C26502">
            <w:pPr>
              <w:overflowPunct w:val="0"/>
              <w:autoSpaceDE w:val="0"/>
              <w:autoSpaceDN w:val="0"/>
              <w:adjustRightInd w:val="0"/>
              <w:jc w:val="center"/>
              <w:rPr>
                <w:lang w:val="de-DE"/>
              </w:rPr>
            </w:pPr>
            <w:r w:rsidRPr="004C7EAD">
              <w:rPr>
                <w:lang w:val="de-DE"/>
              </w:rPr>
              <w:t>°C</w:t>
            </w:r>
          </w:p>
        </w:tc>
        <w:tc>
          <w:tcPr>
            <w:tcW w:w="1984" w:type="dxa"/>
            <w:tcBorders>
              <w:top w:val="single" w:sz="4" w:space="0" w:color="auto"/>
              <w:left w:val="single" w:sz="4" w:space="0" w:color="auto"/>
              <w:bottom w:val="single" w:sz="4" w:space="0" w:color="auto"/>
              <w:right w:val="single" w:sz="4" w:space="0" w:color="auto"/>
            </w:tcBorders>
            <w:noWrap/>
          </w:tcPr>
          <w:p w:rsidR="00C26502" w:rsidRPr="004C7EAD" w:rsidRDefault="00C26502" w:rsidP="00C26502">
            <w:pPr>
              <w:overflowPunct w:val="0"/>
              <w:autoSpaceDE w:val="0"/>
              <w:autoSpaceDN w:val="0"/>
              <w:adjustRightInd w:val="0"/>
              <w:jc w:val="both"/>
              <w:rPr>
                <w:lang w:val="de-DE"/>
              </w:rPr>
            </w:pPr>
            <w:r w:rsidRPr="004C7EAD">
              <w:rPr>
                <w:lang w:val="de-DE"/>
              </w:rPr>
              <w:t>PN-EN 1427 [22]</w:t>
            </w:r>
          </w:p>
        </w:tc>
        <w:tc>
          <w:tcPr>
            <w:tcW w:w="851" w:type="dxa"/>
            <w:tcBorders>
              <w:top w:val="single" w:sz="4" w:space="0" w:color="auto"/>
              <w:left w:val="single" w:sz="4" w:space="0" w:color="auto"/>
              <w:bottom w:val="single" w:sz="4" w:space="0" w:color="auto"/>
              <w:right w:val="single" w:sz="4" w:space="0" w:color="auto"/>
            </w:tcBorders>
            <w:noWrap/>
          </w:tcPr>
          <w:p w:rsidR="00C26502" w:rsidRPr="004C7EAD" w:rsidRDefault="00C26502" w:rsidP="00C26502">
            <w:pPr>
              <w:overflowPunct w:val="0"/>
              <w:autoSpaceDE w:val="0"/>
              <w:autoSpaceDN w:val="0"/>
              <w:adjustRightInd w:val="0"/>
              <w:jc w:val="center"/>
            </w:pPr>
            <w:r w:rsidRPr="004C7EAD">
              <w:t>48</w:t>
            </w:r>
          </w:p>
        </w:tc>
        <w:tc>
          <w:tcPr>
            <w:tcW w:w="882" w:type="dxa"/>
            <w:tcBorders>
              <w:top w:val="single" w:sz="4" w:space="0" w:color="auto"/>
              <w:left w:val="single" w:sz="4" w:space="0" w:color="auto"/>
              <w:bottom w:val="single" w:sz="4" w:space="0" w:color="auto"/>
              <w:right w:val="single" w:sz="4" w:space="0" w:color="auto"/>
            </w:tcBorders>
            <w:noWrap/>
          </w:tcPr>
          <w:p w:rsidR="00C26502" w:rsidRPr="004C7EAD" w:rsidRDefault="00C26502" w:rsidP="00C26502">
            <w:pPr>
              <w:overflowPunct w:val="0"/>
              <w:autoSpaceDE w:val="0"/>
              <w:autoSpaceDN w:val="0"/>
              <w:adjustRightInd w:val="0"/>
              <w:jc w:val="center"/>
            </w:pPr>
            <w:r w:rsidRPr="004C7EAD">
              <w:t>52</w:t>
            </w:r>
          </w:p>
        </w:tc>
      </w:tr>
      <w:tr w:rsidR="00C26502" w:rsidRPr="004C7EAD" w:rsidTr="00C26502">
        <w:trPr>
          <w:jc w:val="center"/>
        </w:trPr>
        <w:tc>
          <w:tcPr>
            <w:tcW w:w="7511" w:type="dxa"/>
            <w:gridSpan w:val="6"/>
            <w:tcBorders>
              <w:top w:val="single" w:sz="4" w:space="0" w:color="auto"/>
              <w:left w:val="single" w:sz="4" w:space="0" w:color="auto"/>
              <w:bottom w:val="single" w:sz="4" w:space="0" w:color="auto"/>
              <w:right w:val="single" w:sz="4" w:space="0" w:color="auto"/>
            </w:tcBorders>
            <w:noWrap/>
          </w:tcPr>
          <w:p w:rsidR="00C26502" w:rsidRPr="004C7EAD" w:rsidRDefault="00C26502" w:rsidP="00C26502">
            <w:pPr>
              <w:overflowPunct w:val="0"/>
              <w:autoSpaceDE w:val="0"/>
              <w:autoSpaceDN w:val="0"/>
              <w:adjustRightInd w:val="0"/>
              <w:jc w:val="center"/>
            </w:pPr>
            <w:r w:rsidRPr="004C7EAD">
              <w:t>WŁAŚCIWOŚCI   SPECJALNE   KRAJOWE</w:t>
            </w:r>
          </w:p>
        </w:tc>
      </w:tr>
      <w:tr w:rsidR="00C26502" w:rsidRPr="004C7EAD" w:rsidTr="00C26502">
        <w:trPr>
          <w:jc w:val="center"/>
        </w:trPr>
        <w:tc>
          <w:tcPr>
            <w:tcW w:w="534" w:type="dxa"/>
            <w:tcBorders>
              <w:top w:val="single" w:sz="4" w:space="0" w:color="auto"/>
              <w:left w:val="single" w:sz="4" w:space="0" w:color="auto"/>
              <w:bottom w:val="single" w:sz="4" w:space="0" w:color="auto"/>
              <w:right w:val="single" w:sz="4" w:space="0" w:color="auto"/>
            </w:tcBorders>
            <w:noWrap/>
          </w:tcPr>
          <w:p w:rsidR="00C26502" w:rsidRPr="004C7EAD" w:rsidRDefault="00C26502" w:rsidP="00C26502">
            <w:pPr>
              <w:overflowPunct w:val="0"/>
              <w:autoSpaceDE w:val="0"/>
              <w:autoSpaceDN w:val="0"/>
              <w:adjustRightInd w:val="0"/>
              <w:jc w:val="center"/>
            </w:pPr>
            <w:r w:rsidRPr="004C7EAD">
              <w:t>8</w:t>
            </w:r>
          </w:p>
        </w:tc>
        <w:tc>
          <w:tcPr>
            <w:tcW w:w="2409" w:type="dxa"/>
            <w:tcBorders>
              <w:top w:val="single" w:sz="4" w:space="0" w:color="auto"/>
              <w:left w:val="single" w:sz="4" w:space="0" w:color="auto"/>
              <w:bottom w:val="single" w:sz="4" w:space="0" w:color="auto"/>
              <w:right w:val="single" w:sz="4" w:space="0" w:color="auto"/>
            </w:tcBorders>
            <w:noWrap/>
          </w:tcPr>
          <w:p w:rsidR="00C26502" w:rsidRPr="004C7EAD" w:rsidRDefault="00C26502" w:rsidP="00C26502">
            <w:pPr>
              <w:overflowPunct w:val="0"/>
              <w:autoSpaceDE w:val="0"/>
              <w:autoSpaceDN w:val="0"/>
              <w:adjustRightInd w:val="0"/>
              <w:jc w:val="both"/>
            </w:pPr>
            <w:r w:rsidRPr="004C7EAD">
              <w:t xml:space="preserve">Zawartość parafiny, </w:t>
            </w:r>
          </w:p>
          <w:p w:rsidR="00C26502" w:rsidRPr="004C7EAD" w:rsidRDefault="00C26502" w:rsidP="00C26502">
            <w:pPr>
              <w:overflowPunct w:val="0"/>
              <w:autoSpaceDE w:val="0"/>
              <w:autoSpaceDN w:val="0"/>
              <w:adjustRightInd w:val="0"/>
              <w:jc w:val="both"/>
            </w:pPr>
            <w:r w:rsidRPr="004C7EAD">
              <w:t>nie więcej niż</w:t>
            </w:r>
          </w:p>
        </w:tc>
        <w:tc>
          <w:tcPr>
            <w:tcW w:w="851" w:type="dxa"/>
            <w:tcBorders>
              <w:top w:val="single" w:sz="4" w:space="0" w:color="auto"/>
              <w:left w:val="single" w:sz="4" w:space="0" w:color="auto"/>
              <w:bottom w:val="single" w:sz="4" w:space="0" w:color="auto"/>
              <w:right w:val="single" w:sz="4" w:space="0" w:color="auto"/>
            </w:tcBorders>
            <w:noWrap/>
          </w:tcPr>
          <w:p w:rsidR="00C26502" w:rsidRPr="004C7EAD" w:rsidRDefault="00C26502" w:rsidP="00C26502">
            <w:pPr>
              <w:overflowPunct w:val="0"/>
              <w:autoSpaceDE w:val="0"/>
              <w:autoSpaceDN w:val="0"/>
              <w:adjustRightInd w:val="0"/>
              <w:jc w:val="center"/>
            </w:pPr>
            <w:r w:rsidRPr="004C7EAD">
              <w:t>%</w:t>
            </w:r>
          </w:p>
        </w:tc>
        <w:tc>
          <w:tcPr>
            <w:tcW w:w="1984" w:type="dxa"/>
            <w:tcBorders>
              <w:top w:val="single" w:sz="4" w:space="0" w:color="auto"/>
              <w:left w:val="single" w:sz="4" w:space="0" w:color="auto"/>
              <w:bottom w:val="single" w:sz="4" w:space="0" w:color="auto"/>
              <w:right w:val="single" w:sz="4" w:space="0" w:color="auto"/>
            </w:tcBorders>
            <w:noWrap/>
          </w:tcPr>
          <w:p w:rsidR="00C26502" w:rsidRPr="004C7EAD" w:rsidRDefault="00C26502" w:rsidP="00C26502">
            <w:pPr>
              <w:overflowPunct w:val="0"/>
              <w:autoSpaceDE w:val="0"/>
              <w:autoSpaceDN w:val="0"/>
              <w:adjustRightInd w:val="0"/>
              <w:jc w:val="both"/>
            </w:pPr>
            <w:r w:rsidRPr="004C7EAD">
              <w:t>PN-EN 12606-1 [30]</w:t>
            </w:r>
          </w:p>
        </w:tc>
        <w:tc>
          <w:tcPr>
            <w:tcW w:w="851" w:type="dxa"/>
            <w:tcBorders>
              <w:top w:val="single" w:sz="4" w:space="0" w:color="auto"/>
              <w:left w:val="single" w:sz="4" w:space="0" w:color="auto"/>
              <w:bottom w:val="single" w:sz="4" w:space="0" w:color="auto"/>
              <w:right w:val="single" w:sz="4" w:space="0" w:color="auto"/>
            </w:tcBorders>
            <w:noWrap/>
          </w:tcPr>
          <w:p w:rsidR="00C26502" w:rsidRPr="004C7EAD" w:rsidRDefault="00C26502" w:rsidP="00C26502">
            <w:pPr>
              <w:overflowPunct w:val="0"/>
              <w:autoSpaceDE w:val="0"/>
              <w:autoSpaceDN w:val="0"/>
              <w:adjustRightInd w:val="0"/>
              <w:jc w:val="center"/>
            </w:pPr>
            <w:r w:rsidRPr="004C7EAD">
              <w:t>2,2</w:t>
            </w:r>
          </w:p>
        </w:tc>
        <w:tc>
          <w:tcPr>
            <w:tcW w:w="882" w:type="dxa"/>
            <w:tcBorders>
              <w:top w:val="single" w:sz="4" w:space="0" w:color="auto"/>
              <w:left w:val="single" w:sz="4" w:space="0" w:color="auto"/>
              <w:bottom w:val="single" w:sz="4" w:space="0" w:color="auto"/>
              <w:right w:val="single" w:sz="4" w:space="0" w:color="auto"/>
            </w:tcBorders>
            <w:noWrap/>
          </w:tcPr>
          <w:p w:rsidR="00C26502" w:rsidRPr="004C7EAD" w:rsidRDefault="00C26502" w:rsidP="00C26502">
            <w:pPr>
              <w:overflowPunct w:val="0"/>
              <w:autoSpaceDE w:val="0"/>
              <w:autoSpaceDN w:val="0"/>
              <w:adjustRightInd w:val="0"/>
              <w:jc w:val="center"/>
            </w:pPr>
            <w:r w:rsidRPr="004C7EAD">
              <w:t>2,2</w:t>
            </w:r>
          </w:p>
        </w:tc>
      </w:tr>
      <w:tr w:rsidR="00C26502" w:rsidRPr="004C7EAD" w:rsidTr="00C26502">
        <w:trPr>
          <w:jc w:val="center"/>
        </w:trPr>
        <w:tc>
          <w:tcPr>
            <w:tcW w:w="534" w:type="dxa"/>
            <w:tcBorders>
              <w:top w:val="single" w:sz="4" w:space="0" w:color="auto"/>
              <w:left w:val="single" w:sz="4" w:space="0" w:color="auto"/>
              <w:bottom w:val="single" w:sz="4" w:space="0" w:color="auto"/>
              <w:right w:val="single" w:sz="4" w:space="0" w:color="auto"/>
            </w:tcBorders>
            <w:noWrap/>
          </w:tcPr>
          <w:p w:rsidR="00C26502" w:rsidRPr="004C7EAD" w:rsidRDefault="00C26502" w:rsidP="00C26502">
            <w:pPr>
              <w:overflowPunct w:val="0"/>
              <w:autoSpaceDE w:val="0"/>
              <w:autoSpaceDN w:val="0"/>
              <w:adjustRightInd w:val="0"/>
              <w:jc w:val="center"/>
            </w:pPr>
            <w:r w:rsidRPr="004C7EAD">
              <w:t>9</w:t>
            </w:r>
          </w:p>
        </w:tc>
        <w:tc>
          <w:tcPr>
            <w:tcW w:w="2409" w:type="dxa"/>
            <w:tcBorders>
              <w:top w:val="single" w:sz="4" w:space="0" w:color="auto"/>
              <w:left w:val="single" w:sz="4" w:space="0" w:color="auto"/>
              <w:bottom w:val="single" w:sz="4" w:space="0" w:color="auto"/>
              <w:right w:val="single" w:sz="4" w:space="0" w:color="auto"/>
            </w:tcBorders>
            <w:noWrap/>
          </w:tcPr>
          <w:p w:rsidR="00C26502" w:rsidRPr="004C7EAD" w:rsidRDefault="00C26502" w:rsidP="00C26502">
            <w:pPr>
              <w:overflowPunct w:val="0"/>
              <w:autoSpaceDE w:val="0"/>
              <w:autoSpaceDN w:val="0"/>
              <w:adjustRightInd w:val="0"/>
              <w:jc w:val="both"/>
            </w:pPr>
            <w:r w:rsidRPr="004C7EAD">
              <w:t>Wzrost temp. mięknienia po starzeniu, nie więcej niż</w:t>
            </w:r>
          </w:p>
        </w:tc>
        <w:tc>
          <w:tcPr>
            <w:tcW w:w="851" w:type="dxa"/>
            <w:tcBorders>
              <w:top w:val="single" w:sz="4" w:space="0" w:color="auto"/>
              <w:left w:val="single" w:sz="4" w:space="0" w:color="auto"/>
              <w:bottom w:val="single" w:sz="4" w:space="0" w:color="auto"/>
              <w:right w:val="single" w:sz="4" w:space="0" w:color="auto"/>
            </w:tcBorders>
            <w:noWrap/>
          </w:tcPr>
          <w:p w:rsidR="00C26502" w:rsidRPr="004C7EAD" w:rsidRDefault="00C26502" w:rsidP="00C26502">
            <w:pPr>
              <w:overflowPunct w:val="0"/>
              <w:autoSpaceDE w:val="0"/>
              <w:autoSpaceDN w:val="0"/>
              <w:adjustRightInd w:val="0"/>
              <w:jc w:val="center"/>
              <w:rPr>
                <w:lang w:val="de-DE"/>
              </w:rPr>
            </w:pPr>
            <w:r w:rsidRPr="004C7EAD">
              <w:rPr>
                <w:lang w:val="de-DE"/>
              </w:rPr>
              <w:t>°C</w:t>
            </w:r>
          </w:p>
        </w:tc>
        <w:tc>
          <w:tcPr>
            <w:tcW w:w="1984" w:type="dxa"/>
            <w:tcBorders>
              <w:top w:val="single" w:sz="4" w:space="0" w:color="auto"/>
              <w:left w:val="single" w:sz="4" w:space="0" w:color="auto"/>
              <w:bottom w:val="single" w:sz="4" w:space="0" w:color="auto"/>
              <w:right w:val="single" w:sz="4" w:space="0" w:color="auto"/>
            </w:tcBorders>
            <w:noWrap/>
          </w:tcPr>
          <w:p w:rsidR="00C26502" w:rsidRPr="004C7EAD" w:rsidRDefault="00C26502" w:rsidP="00C26502">
            <w:pPr>
              <w:overflowPunct w:val="0"/>
              <w:autoSpaceDE w:val="0"/>
              <w:autoSpaceDN w:val="0"/>
              <w:adjustRightInd w:val="0"/>
              <w:jc w:val="both"/>
              <w:rPr>
                <w:lang w:val="de-DE"/>
              </w:rPr>
            </w:pPr>
            <w:r w:rsidRPr="004C7EAD">
              <w:rPr>
                <w:lang w:val="de-DE"/>
              </w:rPr>
              <w:t>PN-EN 1427 [22]</w:t>
            </w:r>
          </w:p>
        </w:tc>
        <w:tc>
          <w:tcPr>
            <w:tcW w:w="851" w:type="dxa"/>
            <w:tcBorders>
              <w:top w:val="single" w:sz="4" w:space="0" w:color="auto"/>
              <w:left w:val="single" w:sz="4" w:space="0" w:color="auto"/>
              <w:bottom w:val="single" w:sz="4" w:space="0" w:color="auto"/>
              <w:right w:val="single" w:sz="4" w:space="0" w:color="auto"/>
            </w:tcBorders>
            <w:noWrap/>
          </w:tcPr>
          <w:p w:rsidR="00C26502" w:rsidRPr="004C7EAD" w:rsidRDefault="00C26502" w:rsidP="00C26502">
            <w:pPr>
              <w:overflowPunct w:val="0"/>
              <w:autoSpaceDE w:val="0"/>
              <w:autoSpaceDN w:val="0"/>
              <w:adjustRightInd w:val="0"/>
              <w:jc w:val="center"/>
            </w:pPr>
            <w:r w:rsidRPr="004C7EAD">
              <w:t>9</w:t>
            </w:r>
          </w:p>
        </w:tc>
        <w:tc>
          <w:tcPr>
            <w:tcW w:w="882" w:type="dxa"/>
            <w:tcBorders>
              <w:top w:val="single" w:sz="4" w:space="0" w:color="auto"/>
              <w:left w:val="single" w:sz="4" w:space="0" w:color="auto"/>
              <w:bottom w:val="single" w:sz="4" w:space="0" w:color="auto"/>
              <w:right w:val="single" w:sz="4" w:space="0" w:color="auto"/>
            </w:tcBorders>
            <w:noWrap/>
          </w:tcPr>
          <w:p w:rsidR="00C26502" w:rsidRPr="004C7EAD" w:rsidRDefault="00C26502" w:rsidP="00C26502">
            <w:pPr>
              <w:overflowPunct w:val="0"/>
              <w:autoSpaceDE w:val="0"/>
              <w:autoSpaceDN w:val="0"/>
              <w:adjustRightInd w:val="0"/>
              <w:jc w:val="center"/>
            </w:pPr>
            <w:r w:rsidRPr="004C7EAD">
              <w:t>8</w:t>
            </w:r>
          </w:p>
        </w:tc>
      </w:tr>
      <w:tr w:rsidR="00C26502" w:rsidRPr="004C7EAD" w:rsidTr="00C26502">
        <w:trPr>
          <w:jc w:val="center"/>
        </w:trPr>
        <w:tc>
          <w:tcPr>
            <w:tcW w:w="534" w:type="dxa"/>
            <w:tcBorders>
              <w:top w:val="single" w:sz="4" w:space="0" w:color="auto"/>
              <w:left w:val="single" w:sz="4" w:space="0" w:color="auto"/>
              <w:bottom w:val="single" w:sz="4" w:space="0" w:color="auto"/>
              <w:right w:val="single" w:sz="4" w:space="0" w:color="auto"/>
            </w:tcBorders>
            <w:noWrap/>
          </w:tcPr>
          <w:p w:rsidR="00C26502" w:rsidRPr="004C7EAD" w:rsidRDefault="00C26502" w:rsidP="00C26502">
            <w:pPr>
              <w:overflowPunct w:val="0"/>
              <w:autoSpaceDE w:val="0"/>
              <w:autoSpaceDN w:val="0"/>
              <w:adjustRightInd w:val="0"/>
              <w:jc w:val="center"/>
            </w:pPr>
            <w:r w:rsidRPr="004C7EAD">
              <w:t>10</w:t>
            </w:r>
          </w:p>
        </w:tc>
        <w:tc>
          <w:tcPr>
            <w:tcW w:w="2409" w:type="dxa"/>
            <w:tcBorders>
              <w:top w:val="single" w:sz="4" w:space="0" w:color="auto"/>
              <w:left w:val="single" w:sz="4" w:space="0" w:color="auto"/>
              <w:bottom w:val="single" w:sz="4" w:space="0" w:color="auto"/>
              <w:right w:val="single" w:sz="4" w:space="0" w:color="auto"/>
            </w:tcBorders>
            <w:noWrap/>
          </w:tcPr>
          <w:p w:rsidR="00C26502" w:rsidRPr="004C7EAD" w:rsidRDefault="00C26502" w:rsidP="00C26502">
            <w:pPr>
              <w:overflowPunct w:val="0"/>
              <w:autoSpaceDE w:val="0"/>
              <w:autoSpaceDN w:val="0"/>
              <w:adjustRightInd w:val="0"/>
              <w:jc w:val="both"/>
            </w:pPr>
            <w:r w:rsidRPr="004C7EAD">
              <w:t>Temperatura łamliwości Fraassa, nie więcej niż</w:t>
            </w:r>
          </w:p>
        </w:tc>
        <w:tc>
          <w:tcPr>
            <w:tcW w:w="851" w:type="dxa"/>
            <w:tcBorders>
              <w:top w:val="single" w:sz="4" w:space="0" w:color="auto"/>
              <w:left w:val="single" w:sz="4" w:space="0" w:color="auto"/>
              <w:bottom w:val="single" w:sz="4" w:space="0" w:color="auto"/>
              <w:right w:val="single" w:sz="4" w:space="0" w:color="auto"/>
            </w:tcBorders>
            <w:noWrap/>
          </w:tcPr>
          <w:p w:rsidR="00C26502" w:rsidRPr="004C7EAD" w:rsidRDefault="00C26502" w:rsidP="00C26502">
            <w:pPr>
              <w:overflowPunct w:val="0"/>
              <w:autoSpaceDE w:val="0"/>
              <w:autoSpaceDN w:val="0"/>
              <w:adjustRightInd w:val="0"/>
              <w:jc w:val="center"/>
              <w:rPr>
                <w:lang w:val="de-DE"/>
              </w:rPr>
            </w:pPr>
            <w:r w:rsidRPr="004C7EAD">
              <w:rPr>
                <w:lang w:val="de-DE"/>
              </w:rPr>
              <w:t>°C</w:t>
            </w:r>
          </w:p>
        </w:tc>
        <w:tc>
          <w:tcPr>
            <w:tcW w:w="1984" w:type="dxa"/>
            <w:tcBorders>
              <w:top w:val="single" w:sz="4" w:space="0" w:color="auto"/>
              <w:left w:val="single" w:sz="4" w:space="0" w:color="auto"/>
              <w:bottom w:val="single" w:sz="4" w:space="0" w:color="auto"/>
              <w:right w:val="single" w:sz="4" w:space="0" w:color="auto"/>
            </w:tcBorders>
            <w:noWrap/>
          </w:tcPr>
          <w:p w:rsidR="00C26502" w:rsidRPr="004C7EAD" w:rsidRDefault="00C26502" w:rsidP="00C26502">
            <w:pPr>
              <w:overflowPunct w:val="0"/>
              <w:autoSpaceDE w:val="0"/>
              <w:autoSpaceDN w:val="0"/>
              <w:adjustRightInd w:val="0"/>
              <w:jc w:val="both"/>
              <w:rPr>
                <w:lang w:val="de-DE"/>
              </w:rPr>
            </w:pPr>
            <w:r w:rsidRPr="004C7EAD">
              <w:rPr>
                <w:lang w:val="de-DE"/>
              </w:rPr>
              <w:t>PN-EN 12593 [29]</w:t>
            </w:r>
          </w:p>
        </w:tc>
        <w:tc>
          <w:tcPr>
            <w:tcW w:w="851" w:type="dxa"/>
            <w:tcBorders>
              <w:top w:val="single" w:sz="4" w:space="0" w:color="auto"/>
              <w:left w:val="single" w:sz="4" w:space="0" w:color="auto"/>
              <w:bottom w:val="single" w:sz="4" w:space="0" w:color="auto"/>
              <w:right w:val="single" w:sz="4" w:space="0" w:color="auto"/>
            </w:tcBorders>
            <w:noWrap/>
          </w:tcPr>
          <w:p w:rsidR="00C26502" w:rsidRPr="004C7EAD" w:rsidRDefault="00C26502" w:rsidP="00C26502">
            <w:pPr>
              <w:overflowPunct w:val="0"/>
              <w:autoSpaceDE w:val="0"/>
              <w:autoSpaceDN w:val="0"/>
              <w:adjustRightInd w:val="0"/>
              <w:jc w:val="center"/>
            </w:pPr>
            <w:r w:rsidRPr="004C7EAD">
              <w:t>-8</w:t>
            </w:r>
          </w:p>
        </w:tc>
        <w:tc>
          <w:tcPr>
            <w:tcW w:w="882" w:type="dxa"/>
            <w:tcBorders>
              <w:top w:val="single" w:sz="4" w:space="0" w:color="auto"/>
              <w:left w:val="single" w:sz="4" w:space="0" w:color="auto"/>
              <w:bottom w:val="single" w:sz="4" w:space="0" w:color="auto"/>
              <w:right w:val="single" w:sz="4" w:space="0" w:color="auto"/>
            </w:tcBorders>
            <w:noWrap/>
          </w:tcPr>
          <w:p w:rsidR="00C26502" w:rsidRPr="004C7EAD" w:rsidRDefault="00C26502" w:rsidP="00C26502">
            <w:pPr>
              <w:overflowPunct w:val="0"/>
              <w:autoSpaceDE w:val="0"/>
              <w:autoSpaceDN w:val="0"/>
              <w:adjustRightInd w:val="0"/>
              <w:jc w:val="center"/>
            </w:pPr>
            <w:r w:rsidRPr="004C7EAD">
              <w:t>-5</w:t>
            </w:r>
          </w:p>
        </w:tc>
      </w:tr>
    </w:tbl>
    <w:p w:rsidR="00C26502" w:rsidRPr="004C7EAD" w:rsidRDefault="00C26502" w:rsidP="00C26502">
      <w:pPr>
        <w:overflowPunct w:val="0"/>
        <w:autoSpaceDE w:val="0"/>
        <w:autoSpaceDN w:val="0"/>
        <w:adjustRightInd w:val="0"/>
        <w:jc w:val="both"/>
      </w:pPr>
    </w:p>
    <w:p w:rsidR="00C26502" w:rsidRPr="004C7EAD" w:rsidRDefault="00C26502" w:rsidP="00C26502">
      <w:pPr>
        <w:overflowPunct w:val="0"/>
        <w:autoSpaceDE w:val="0"/>
        <w:autoSpaceDN w:val="0"/>
        <w:adjustRightInd w:val="0"/>
        <w:ind w:left="992" w:hanging="992"/>
        <w:jc w:val="both"/>
      </w:pPr>
      <w:r w:rsidRPr="004C7EAD">
        <w:t>Tablica 4. Wymagania wobec asfaltów modyfikowanych polimerami (polimeroasfaltów) wg PN-EN 14023 [59]</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93"/>
        <w:gridCol w:w="1985"/>
        <w:gridCol w:w="1843"/>
        <w:gridCol w:w="1134"/>
        <w:gridCol w:w="1193"/>
        <w:gridCol w:w="900"/>
      </w:tblGrid>
      <w:tr w:rsidR="00C26502" w:rsidRPr="004C7EAD" w:rsidTr="00C26502">
        <w:trPr>
          <w:cantSplit/>
          <w:jc w:val="center"/>
        </w:trPr>
        <w:tc>
          <w:tcPr>
            <w:tcW w:w="1693" w:type="dxa"/>
            <w:vMerge w:val="restart"/>
            <w:tcBorders>
              <w:top w:val="single" w:sz="4" w:space="0" w:color="auto"/>
              <w:left w:val="single" w:sz="4" w:space="0" w:color="auto"/>
              <w:bottom w:val="single" w:sz="4" w:space="0" w:color="auto"/>
              <w:right w:val="single" w:sz="4" w:space="0" w:color="auto"/>
            </w:tcBorders>
            <w:noWrap/>
            <w:vAlign w:val="center"/>
          </w:tcPr>
          <w:p w:rsidR="00C26502" w:rsidRPr="004C7EAD" w:rsidRDefault="00C26502" w:rsidP="00C26502">
            <w:pPr>
              <w:overflowPunct w:val="0"/>
              <w:autoSpaceDE w:val="0"/>
              <w:autoSpaceDN w:val="0"/>
              <w:adjustRightInd w:val="0"/>
              <w:jc w:val="center"/>
            </w:pPr>
            <w:r w:rsidRPr="004C7EAD">
              <w:t>Wymaganie</w:t>
            </w:r>
          </w:p>
          <w:p w:rsidR="00C26502" w:rsidRPr="004C7EAD" w:rsidRDefault="00C26502" w:rsidP="00C26502">
            <w:pPr>
              <w:overflowPunct w:val="0"/>
              <w:autoSpaceDE w:val="0"/>
              <w:autoSpaceDN w:val="0"/>
              <w:adjustRightInd w:val="0"/>
              <w:jc w:val="center"/>
            </w:pPr>
            <w:r w:rsidRPr="004C7EAD">
              <w:t>podstawowe</w:t>
            </w:r>
          </w:p>
        </w:tc>
        <w:tc>
          <w:tcPr>
            <w:tcW w:w="1985" w:type="dxa"/>
            <w:vMerge w:val="restart"/>
            <w:tcBorders>
              <w:top w:val="single" w:sz="4" w:space="0" w:color="auto"/>
              <w:left w:val="single" w:sz="4" w:space="0" w:color="auto"/>
              <w:bottom w:val="single" w:sz="4" w:space="0" w:color="auto"/>
              <w:right w:val="single" w:sz="4" w:space="0" w:color="auto"/>
            </w:tcBorders>
            <w:noWrap/>
            <w:vAlign w:val="center"/>
          </w:tcPr>
          <w:p w:rsidR="00C26502" w:rsidRPr="004C7EAD" w:rsidRDefault="00C26502" w:rsidP="00C26502">
            <w:pPr>
              <w:overflowPunct w:val="0"/>
              <w:autoSpaceDE w:val="0"/>
              <w:autoSpaceDN w:val="0"/>
              <w:adjustRightInd w:val="0"/>
              <w:jc w:val="center"/>
            </w:pPr>
            <w:r w:rsidRPr="004C7EAD">
              <w:t>Właściwość</w:t>
            </w:r>
          </w:p>
        </w:tc>
        <w:tc>
          <w:tcPr>
            <w:tcW w:w="1843" w:type="dxa"/>
            <w:vMerge w:val="restart"/>
            <w:tcBorders>
              <w:top w:val="single" w:sz="4" w:space="0" w:color="auto"/>
              <w:left w:val="single" w:sz="4" w:space="0" w:color="auto"/>
              <w:bottom w:val="single" w:sz="4" w:space="0" w:color="auto"/>
              <w:right w:val="single" w:sz="4" w:space="0" w:color="auto"/>
            </w:tcBorders>
            <w:noWrap/>
            <w:vAlign w:val="center"/>
          </w:tcPr>
          <w:p w:rsidR="00C26502" w:rsidRPr="004C7EAD" w:rsidRDefault="00C26502" w:rsidP="00C26502">
            <w:pPr>
              <w:overflowPunct w:val="0"/>
              <w:autoSpaceDE w:val="0"/>
              <w:autoSpaceDN w:val="0"/>
              <w:adjustRightInd w:val="0"/>
              <w:jc w:val="center"/>
            </w:pPr>
            <w:r w:rsidRPr="004C7EAD">
              <w:t>Metoda</w:t>
            </w:r>
          </w:p>
          <w:p w:rsidR="00C26502" w:rsidRPr="004C7EAD" w:rsidRDefault="00C26502" w:rsidP="00C26502">
            <w:pPr>
              <w:overflowPunct w:val="0"/>
              <w:autoSpaceDE w:val="0"/>
              <w:autoSpaceDN w:val="0"/>
              <w:adjustRightInd w:val="0"/>
              <w:jc w:val="center"/>
            </w:pPr>
            <w:r w:rsidRPr="004C7EAD">
              <w:t>badania</w:t>
            </w:r>
          </w:p>
        </w:tc>
        <w:tc>
          <w:tcPr>
            <w:tcW w:w="1134" w:type="dxa"/>
            <w:vMerge w:val="restart"/>
            <w:tcBorders>
              <w:top w:val="single" w:sz="4" w:space="0" w:color="auto"/>
              <w:left w:val="single" w:sz="4" w:space="0" w:color="auto"/>
              <w:bottom w:val="single" w:sz="4" w:space="0" w:color="auto"/>
              <w:right w:val="single" w:sz="4" w:space="0" w:color="auto"/>
            </w:tcBorders>
            <w:noWrap/>
            <w:vAlign w:val="center"/>
          </w:tcPr>
          <w:p w:rsidR="00C26502" w:rsidRPr="004C7EAD" w:rsidRDefault="00C26502" w:rsidP="00C26502">
            <w:pPr>
              <w:overflowPunct w:val="0"/>
              <w:autoSpaceDE w:val="0"/>
              <w:autoSpaceDN w:val="0"/>
              <w:adjustRightInd w:val="0"/>
              <w:jc w:val="center"/>
            </w:pPr>
            <w:r w:rsidRPr="004C7EAD">
              <w:t>Jednostka</w:t>
            </w:r>
          </w:p>
        </w:tc>
        <w:tc>
          <w:tcPr>
            <w:tcW w:w="2093" w:type="dxa"/>
            <w:gridSpan w:val="2"/>
            <w:tcBorders>
              <w:top w:val="single" w:sz="4" w:space="0" w:color="auto"/>
              <w:left w:val="single" w:sz="4" w:space="0" w:color="auto"/>
              <w:bottom w:val="single" w:sz="4" w:space="0" w:color="auto"/>
              <w:right w:val="single" w:sz="4" w:space="0" w:color="auto"/>
            </w:tcBorders>
            <w:noWrap/>
          </w:tcPr>
          <w:p w:rsidR="00C26502" w:rsidRPr="004C7EAD" w:rsidRDefault="00C26502" w:rsidP="00C26502">
            <w:pPr>
              <w:overflowPunct w:val="0"/>
              <w:autoSpaceDE w:val="0"/>
              <w:autoSpaceDN w:val="0"/>
              <w:adjustRightInd w:val="0"/>
              <w:jc w:val="center"/>
            </w:pPr>
            <w:r w:rsidRPr="004C7EAD">
              <w:t>Gatunek asfaltu modyfikowanego</w:t>
            </w:r>
          </w:p>
          <w:p w:rsidR="00C26502" w:rsidRPr="004C7EAD" w:rsidRDefault="00C26502" w:rsidP="00C26502">
            <w:pPr>
              <w:overflowPunct w:val="0"/>
              <w:autoSpaceDE w:val="0"/>
              <w:autoSpaceDN w:val="0"/>
              <w:adjustRightInd w:val="0"/>
              <w:jc w:val="center"/>
            </w:pPr>
            <w:r w:rsidRPr="004C7EAD">
              <w:t>polimerami (PMB)</w:t>
            </w:r>
          </w:p>
        </w:tc>
      </w:tr>
      <w:tr w:rsidR="00C26502" w:rsidRPr="004C7EAD" w:rsidTr="00C26502">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C26502" w:rsidRPr="004C7EAD" w:rsidRDefault="00C26502" w:rsidP="00C26502"/>
        </w:tc>
        <w:tc>
          <w:tcPr>
            <w:tcW w:w="0" w:type="auto"/>
            <w:vMerge/>
            <w:tcBorders>
              <w:top w:val="single" w:sz="4" w:space="0" w:color="auto"/>
              <w:left w:val="single" w:sz="4" w:space="0" w:color="auto"/>
              <w:bottom w:val="single" w:sz="4" w:space="0" w:color="auto"/>
              <w:right w:val="single" w:sz="4" w:space="0" w:color="auto"/>
            </w:tcBorders>
            <w:vAlign w:val="center"/>
          </w:tcPr>
          <w:p w:rsidR="00C26502" w:rsidRPr="004C7EAD" w:rsidRDefault="00C26502" w:rsidP="00C26502"/>
        </w:tc>
        <w:tc>
          <w:tcPr>
            <w:tcW w:w="0" w:type="auto"/>
            <w:vMerge/>
            <w:tcBorders>
              <w:top w:val="single" w:sz="4" w:space="0" w:color="auto"/>
              <w:left w:val="single" w:sz="4" w:space="0" w:color="auto"/>
              <w:bottom w:val="single" w:sz="4" w:space="0" w:color="auto"/>
              <w:right w:val="single" w:sz="4" w:space="0" w:color="auto"/>
            </w:tcBorders>
            <w:vAlign w:val="center"/>
          </w:tcPr>
          <w:p w:rsidR="00C26502" w:rsidRPr="004C7EAD" w:rsidRDefault="00C26502" w:rsidP="00C26502"/>
        </w:tc>
        <w:tc>
          <w:tcPr>
            <w:tcW w:w="0" w:type="auto"/>
            <w:vMerge/>
            <w:tcBorders>
              <w:top w:val="single" w:sz="4" w:space="0" w:color="auto"/>
              <w:left w:val="single" w:sz="4" w:space="0" w:color="auto"/>
              <w:bottom w:val="single" w:sz="4" w:space="0" w:color="auto"/>
              <w:right w:val="single" w:sz="4" w:space="0" w:color="auto"/>
            </w:tcBorders>
            <w:vAlign w:val="center"/>
          </w:tcPr>
          <w:p w:rsidR="00C26502" w:rsidRPr="004C7EAD" w:rsidRDefault="00C26502" w:rsidP="00C26502"/>
        </w:tc>
        <w:tc>
          <w:tcPr>
            <w:tcW w:w="2093" w:type="dxa"/>
            <w:gridSpan w:val="2"/>
            <w:tcBorders>
              <w:top w:val="single" w:sz="4" w:space="0" w:color="auto"/>
              <w:left w:val="single" w:sz="4" w:space="0" w:color="auto"/>
              <w:bottom w:val="single" w:sz="4" w:space="0" w:color="auto"/>
              <w:right w:val="single" w:sz="4" w:space="0" w:color="auto"/>
            </w:tcBorders>
            <w:noWrap/>
          </w:tcPr>
          <w:p w:rsidR="00C26502" w:rsidRPr="004C7EAD" w:rsidRDefault="00C26502" w:rsidP="00C26502">
            <w:pPr>
              <w:overflowPunct w:val="0"/>
              <w:autoSpaceDE w:val="0"/>
              <w:autoSpaceDN w:val="0"/>
              <w:adjustRightInd w:val="0"/>
              <w:jc w:val="center"/>
            </w:pPr>
            <w:r w:rsidRPr="004C7EAD">
              <w:t>25/55 – 60</w:t>
            </w:r>
          </w:p>
        </w:tc>
      </w:tr>
      <w:tr w:rsidR="00C26502" w:rsidRPr="004C7EAD" w:rsidTr="00C26502">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C26502" w:rsidRPr="004C7EAD" w:rsidRDefault="00C26502" w:rsidP="00C26502"/>
        </w:tc>
        <w:tc>
          <w:tcPr>
            <w:tcW w:w="0" w:type="auto"/>
            <w:vMerge/>
            <w:tcBorders>
              <w:top w:val="single" w:sz="4" w:space="0" w:color="auto"/>
              <w:left w:val="single" w:sz="4" w:space="0" w:color="auto"/>
              <w:bottom w:val="single" w:sz="4" w:space="0" w:color="auto"/>
              <w:right w:val="single" w:sz="4" w:space="0" w:color="auto"/>
            </w:tcBorders>
            <w:vAlign w:val="center"/>
          </w:tcPr>
          <w:p w:rsidR="00C26502" w:rsidRPr="004C7EAD" w:rsidRDefault="00C26502" w:rsidP="00C26502"/>
        </w:tc>
        <w:tc>
          <w:tcPr>
            <w:tcW w:w="0" w:type="auto"/>
            <w:vMerge/>
            <w:tcBorders>
              <w:top w:val="single" w:sz="4" w:space="0" w:color="auto"/>
              <w:left w:val="single" w:sz="4" w:space="0" w:color="auto"/>
              <w:bottom w:val="single" w:sz="4" w:space="0" w:color="auto"/>
              <w:right w:val="single" w:sz="4" w:space="0" w:color="auto"/>
            </w:tcBorders>
            <w:vAlign w:val="center"/>
          </w:tcPr>
          <w:p w:rsidR="00C26502" w:rsidRPr="004C7EAD" w:rsidRDefault="00C26502" w:rsidP="00C26502"/>
        </w:tc>
        <w:tc>
          <w:tcPr>
            <w:tcW w:w="0" w:type="auto"/>
            <w:vMerge/>
            <w:tcBorders>
              <w:top w:val="single" w:sz="4" w:space="0" w:color="auto"/>
              <w:left w:val="single" w:sz="4" w:space="0" w:color="auto"/>
              <w:bottom w:val="single" w:sz="4" w:space="0" w:color="auto"/>
              <w:right w:val="single" w:sz="4" w:space="0" w:color="auto"/>
            </w:tcBorders>
            <w:vAlign w:val="center"/>
          </w:tcPr>
          <w:p w:rsidR="00C26502" w:rsidRPr="004C7EAD" w:rsidRDefault="00C26502" w:rsidP="00C26502"/>
        </w:tc>
        <w:tc>
          <w:tcPr>
            <w:tcW w:w="1193" w:type="dxa"/>
            <w:tcBorders>
              <w:top w:val="single" w:sz="4" w:space="0" w:color="auto"/>
              <w:left w:val="single" w:sz="4" w:space="0" w:color="auto"/>
              <w:bottom w:val="single" w:sz="4" w:space="0" w:color="auto"/>
              <w:right w:val="single" w:sz="4" w:space="0" w:color="auto"/>
            </w:tcBorders>
            <w:noWrap/>
          </w:tcPr>
          <w:p w:rsidR="00C26502" w:rsidRPr="004C7EAD" w:rsidRDefault="00C26502" w:rsidP="00C26502">
            <w:pPr>
              <w:overflowPunct w:val="0"/>
              <w:autoSpaceDE w:val="0"/>
              <w:autoSpaceDN w:val="0"/>
              <w:adjustRightInd w:val="0"/>
              <w:jc w:val="center"/>
            </w:pPr>
            <w:r w:rsidRPr="004C7EAD">
              <w:t>wymaganie</w:t>
            </w:r>
          </w:p>
        </w:tc>
        <w:tc>
          <w:tcPr>
            <w:tcW w:w="900" w:type="dxa"/>
            <w:tcBorders>
              <w:top w:val="single" w:sz="4" w:space="0" w:color="auto"/>
              <w:left w:val="single" w:sz="4" w:space="0" w:color="auto"/>
              <w:bottom w:val="single" w:sz="4" w:space="0" w:color="auto"/>
              <w:right w:val="single" w:sz="4" w:space="0" w:color="auto"/>
            </w:tcBorders>
            <w:noWrap/>
          </w:tcPr>
          <w:p w:rsidR="00C26502" w:rsidRPr="004C7EAD" w:rsidRDefault="00C26502" w:rsidP="00C26502">
            <w:pPr>
              <w:overflowPunct w:val="0"/>
              <w:autoSpaceDE w:val="0"/>
              <w:autoSpaceDN w:val="0"/>
              <w:adjustRightInd w:val="0"/>
              <w:jc w:val="center"/>
            </w:pPr>
            <w:r w:rsidRPr="004C7EAD">
              <w:t>klasa</w:t>
            </w:r>
          </w:p>
        </w:tc>
      </w:tr>
      <w:tr w:rsidR="00C26502" w:rsidRPr="004C7EAD" w:rsidTr="00C26502">
        <w:trPr>
          <w:jc w:val="center"/>
        </w:trPr>
        <w:tc>
          <w:tcPr>
            <w:tcW w:w="1693" w:type="dxa"/>
            <w:tcBorders>
              <w:top w:val="nil"/>
              <w:left w:val="single" w:sz="4" w:space="0" w:color="auto"/>
              <w:bottom w:val="single" w:sz="4" w:space="0" w:color="auto"/>
              <w:right w:val="single" w:sz="4" w:space="0" w:color="auto"/>
            </w:tcBorders>
            <w:noWrap/>
          </w:tcPr>
          <w:p w:rsidR="00C26502" w:rsidRPr="004C7EAD" w:rsidRDefault="00C26502" w:rsidP="00C26502">
            <w:pPr>
              <w:overflowPunct w:val="0"/>
              <w:autoSpaceDE w:val="0"/>
              <w:autoSpaceDN w:val="0"/>
              <w:adjustRightInd w:val="0"/>
              <w:jc w:val="center"/>
            </w:pPr>
            <w:r w:rsidRPr="004C7EAD">
              <w:t>1</w:t>
            </w:r>
          </w:p>
        </w:tc>
        <w:tc>
          <w:tcPr>
            <w:tcW w:w="1985" w:type="dxa"/>
            <w:tcBorders>
              <w:top w:val="nil"/>
              <w:left w:val="single" w:sz="4" w:space="0" w:color="auto"/>
              <w:bottom w:val="single" w:sz="4" w:space="0" w:color="auto"/>
              <w:right w:val="single" w:sz="4" w:space="0" w:color="auto"/>
            </w:tcBorders>
            <w:noWrap/>
          </w:tcPr>
          <w:p w:rsidR="00C26502" w:rsidRPr="004C7EAD" w:rsidRDefault="00C26502" w:rsidP="00C26502">
            <w:pPr>
              <w:overflowPunct w:val="0"/>
              <w:autoSpaceDE w:val="0"/>
              <w:autoSpaceDN w:val="0"/>
              <w:adjustRightInd w:val="0"/>
              <w:jc w:val="center"/>
            </w:pPr>
            <w:r w:rsidRPr="004C7EAD">
              <w:t>2</w:t>
            </w:r>
          </w:p>
        </w:tc>
        <w:tc>
          <w:tcPr>
            <w:tcW w:w="1843" w:type="dxa"/>
            <w:tcBorders>
              <w:top w:val="nil"/>
              <w:left w:val="single" w:sz="4" w:space="0" w:color="auto"/>
              <w:bottom w:val="single" w:sz="4" w:space="0" w:color="auto"/>
              <w:right w:val="single" w:sz="4" w:space="0" w:color="auto"/>
            </w:tcBorders>
            <w:noWrap/>
          </w:tcPr>
          <w:p w:rsidR="00C26502" w:rsidRPr="004C7EAD" w:rsidRDefault="00C26502" w:rsidP="00C26502">
            <w:pPr>
              <w:overflowPunct w:val="0"/>
              <w:autoSpaceDE w:val="0"/>
              <w:autoSpaceDN w:val="0"/>
              <w:adjustRightInd w:val="0"/>
              <w:jc w:val="center"/>
            </w:pPr>
            <w:r w:rsidRPr="004C7EAD">
              <w:t>3</w:t>
            </w:r>
          </w:p>
        </w:tc>
        <w:tc>
          <w:tcPr>
            <w:tcW w:w="1134" w:type="dxa"/>
            <w:tcBorders>
              <w:top w:val="nil"/>
              <w:left w:val="single" w:sz="4" w:space="0" w:color="auto"/>
              <w:bottom w:val="single" w:sz="4" w:space="0" w:color="auto"/>
              <w:right w:val="single" w:sz="4" w:space="0" w:color="auto"/>
            </w:tcBorders>
            <w:noWrap/>
          </w:tcPr>
          <w:p w:rsidR="00C26502" w:rsidRPr="004C7EAD" w:rsidRDefault="00C26502" w:rsidP="00C26502">
            <w:pPr>
              <w:overflowPunct w:val="0"/>
              <w:autoSpaceDE w:val="0"/>
              <w:autoSpaceDN w:val="0"/>
              <w:adjustRightInd w:val="0"/>
              <w:jc w:val="center"/>
            </w:pPr>
            <w:r w:rsidRPr="004C7EAD">
              <w:t>4</w:t>
            </w:r>
          </w:p>
        </w:tc>
        <w:tc>
          <w:tcPr>
            <w:tcW w:w="1193" w:type="dxa"/>
            <w:tcBorders>
              <w:top w:val="single" w:sz="4" w:space="0" w:color="auto"/>
              <w:left w:val="single" w:sz="4" w:space="0" w:color="auto"/>
              <w:bottom w:val="single" w:sz="4" w:space="0" w:color="auto"/>
              <w:right w:val="single" w:sz="4" w:space="0" w:color="auto"/>
            </w:tcBorders>
            <w:noWrap/>
          </w:tcPr>
          <w:p w:rsidR="00C26502" w:rsidRPr="004C7EAD" w:rsidRDefault="00C26502" w:rsidP="00C26502">
            <w:pPr>
              <w:overflowPunct w:val="0"/>
              <w:autoSpaceDE w:val="0"/>
              <w:autoSpaceDN w:val="0"/>
              <w:adjustRightInd w:val="0"/>
              <w:jc w:val="center"/>
            </w:pPr>
            <w:r w:rsidRPr="004C7EAD">
              <w:t>5</w:t>
            </w:r>
          </w:p>
        </w:tc>
        <w:tc>
          <w:tcPr>
            <w:tcW w:w="900" w:type="dxa"/>
            <w:tcBorders>
              <w:top w:val="single" w:sz="4" w:space="0" w:color="auto"/>
              <w:left w:val="single" w:sz="4" w:space="0" w:color="auto"/>
              <w:bottom w:val="single" w:sz="4" w:space="0" w:color="auto"/>
              <w:right w:val="single" w:sz="4" w:space="0" w:color="auto"/>
            </w:tcBorders>
            <w:noWrap/>
          </w:tcPr>
          <w:p w:rsidR="00C26502" w:rsidRPr="004C7EAD" w:rsidRDefault="00C26502" w:rsidP="00C26502">
            <w:pPr>
              <w:overflowPunct w:val="0"/>
              <w:autoSpaceDE w:val="0"/>
              <w:autoSpaceDN w:val="0"/>
              <w:adjustRightInd w:val="0"/>
              <w:jc w:val="center"/>
            </w:pPr>
            <w:r w:rsidRPr="004C7EAD">
              <w:t>6</w:t>
            </w:r>
          </w:p>
        </w:tc>
      </w:tr>
      <w:tr w:rsidR="00C26502" w:rsidRPr="004C7EAD" w:rsidTr="00C26502">
        <w:trPr>
          <w:jc w:val="center"/>
        </w:trPr>
        <w:tc>
          <w:tcPr>
            <w:tcW w:w="1693" w:type="dxa"/>
            <w:tcBorders>
              <w:top w:val="single" w:sz="4" w:space="0" w:color="auto"/>
              <w:left w:val="single" w:sz="4" w:space="0" w:color="auto"/>
              <w:bottom w:val="single" w:sz="4" w:space="0" w:color="auto"/>
              <w:right w:val="single" w:sz="4" w:space="0" w:color="auto"/>
            </w:tcBorders>
            <w:noWrap/>
          </w:tcPr>
          <w:p w:rsidR="00C26502" w:rsidRPr="004C7EAD" w:rsidRDefault="00C26502" w:rsidP="00C26502">
            <w:pPr>
              <w:overflowPunct w:val="0"/>
              <w:autoSpaceDE w:val="0"/>
              <w:autoSpaceDN w:val="0"/>
              <w:adjustRightInd w:val="0"/>
              <w:jc w:val="both"/>
            </w:pPr>
            <w:r w:rsidRPr="004C7EAD">
              <w:t>Konsystencja w pośrednich temperaturach eksploatacyjnych</w:t>
            </w:r>
          </w:p>
        </w:tc>
        <w:tc>
          <w:tcPr>
            <w:tcW w:w="1985" w:type="dxa"/>
            <w:tcBorders>
              <w:top w:val="single" w:sz="4" w:space="0" w:color="auto"/>
              <w:left w:val="single" w:sz="4" w:space="0" w:color="auto"/>
              <w:bottom w:val="single" w:sz="4" w:space="0" w:color="auto"/>
              <w:right w:val="single" w:sz="4" w:space="0" w:color="auto"/>
            </w:tcBorders>
            <w:noWrap/>
            <w:vAlign w:val="center"/>
          </w:tcPr>
          <w:p w:rsidR="00C26502" w:rsidRPr="004C7EAD" w:rsidRDefault="00C26502" w:rsidP="00C26502">
            <w:pPr>
              <w:overflowPunct w:val="0"/>
              <w:autoSpaceDE w:val="0"/>
              <w:autoSpaceDN w:val="0"/>
              <w:adjustRightInd w:val="0"/>
              <w:jc w:val="both"/>
            </w:pPr>
            <w:r w:rsidRPr="004C7EAD">
              <w:t xml:space="preserve">Penetracja </w:t>
            </w:r>
          </w:p>
          <w:p w:rsidR="00C26502" w:rsidRPr="004C7EAD" w:rsidRDefault="00C26502" w:rsidP="00C26502">
            <w:pPr>
              <w:overflowPunct w:val="0"/>
              <w:autoSpaceDE w:val="0"/>
              <w:autoSpaceDN w:val="0"/>
              <w:adjustRightInd w:val="0"/>
              <w:jc w:val="both"/>
            </w:pPr>
            <w:r w:rsidRPr="004C7EAD">
              <w:t xml:space="preserve">w </w:t>
            </w:r>
            <w:smartTag w:uri="urn:schemas-microsoft-com:office:smarttags" w:element="metricconverter">
              <w:smartTagPr>
                <w:attr w:name="ProductID" w:val="25ﾰC"/>
              </w:smartTagPr>
              <w:r w:rsidRPr="004C7EAD">
                <w:t>25°C</w:t>
              </w:r>
            </w:smartTag>
          </w:p>
        </w:tc>
        <w:tc>
          <w:tcPr>
            <w:tcW w:w="1843" w:type="dxa"/>
            <w:tcBorders>
              <w:top w:val="single" w:sz="4" w:space="0" w:color="auto"/>
              <w:left w:val="single" w:sz="4" w:space="0" w:color="auto"/>
              <w:bottom w:val="single" w:sz="4" w:space="0" w:color="auto"/>
              <w:right w:val="single" w:sz="4" w:space="0" w:color="auto"/>
            </w:tcBorders>
            <w:noWrap/>
            <w:vAlign w:val="center"/>
          </w:tcPr>
          <w:p w:rsidR="00C26502" w:rsidRPr="004C7EAD" w:rsidRDefault="00C26502" w:rsidP="00C26502">
            <w:pPr>
              <w:tabs>
                <w:tab w:val="left" w:pos="285"/>
              </w:tabs>
              <w:overflowPunct w:val="0"/>
              <w:autoSpaceDE w:val="0"/>
              <w:autoSpaceDN w:val="0"/>
              <w:adjustRightInd w:val="0"/>
              <w:jc w:val="center"/>
              <w:rPr>
                <w:lang w:val="de-DE"/>
              </w:rPr>
            </w:pPr>
            <w:r w:rsidRPr="004C7EAD">
              <w:rPr>
                <w:lang w:val="de-DE"/>
              </w:rPr>
              <w:t>PN-EN 1426 [21]</w:t>
            </w:r>
          </w:p>
        </w:tc>
        <w:tc>
          <w:tcPr>
            <w:tcW w:w="1134" w:type="dxa"/>
            <w:tcBorders>
              <w:top w:val="single" w:sz="4" w:space="0" w:color="auto"/>
              <w:left w:val="single" w:sz="4" w:space="0" w:color="auto"/>
              <w:bottom w:val="single" w:sz="4" w:space="0" w:color="auto"/>
              <w:right w:val="single" w:sz="4" w:space="0" w:color="auto"/>
            </w:tcBorders>
            <w:noWrap/>
            <w:vAlign w:val="center"/>
          </w:tcPr>
          <w:p w:rsidR="00C26502" w:rsidRPr="004C7EAD" w:rsidRDefault="00C26502" w:rsidP="00C26502">
            <w:pPr>
              <w:overflowPunct w:val="0"/>
              <w:autoSpaceDE w:val="0"/>
              <w:autoSpaceDN w:val="0"/>
              <w:adjustRightInd w:val="0"/>
              <w:jc w:val="center"/>
              <w:rPr>
                <w:lang w:val="de-DE"/>
              </w:rPr>
            </w:pPr>
            <w:smartTag w:uri="urn:schemas-microsoft-com:office:smarttags" w:element="metricconverter">
              <w:smartTagPr>
                <w:attr w:name="ProductID" w:val="0,1 mm"/>
              </w:smartTagPr>
              <w:r w:rsidRPr="004C7EAD">
                <w:rPr>
                  <w:lang w:val="de-DE"/>
                </w:rPr>
                <w:t>0,1 mm</w:t>
              </w:r>
            </w:smartTag>
          </w:p>
        </w:tc>
        <w:tc>
          <w:tcPr>
            <w:tcW w:w="1193" w:type="dxa"/>
            <w:tcBorders>
              <w:top w:val="single" w:sz="4" w:space="0" w:color="auto"/>
              <w:left w:val="single" w:sz="4" w:space="0" w:color="auto"/>
              <w:bottom w:val="single" w:sz="4" w:space="0" w:color="auto"/>
              <w:right w:val="single" w:sz="4" w:space="0" w:color="auto"/>
            </w:tcBorders>
            <w:noWrap/>
            <w:vAlign w:val="center"/>
          </w:tcPr>
          <w:p w:rsidR="00C26502" w:rsidRPr="004C7EAD" w:rsidRDefault="00C26502" w:rsidP="00C26502">
            <w:pPr>
              <w:overflowPunct w:val="0"/>
              <w:autoSpaceDE w:val="0"/>
              <w:autoSpaceDN w:val="0"/>
              <w:adjustRightInd w:val="0"/>
              <w:jc w:val="center"/>
            </w:pPr>
            <w:r w:rsidRPr="004C7EAD">
              <w:t>25-55</w:t>
            </w:r>
          </w:p>
        </w:tc>
        <w:tc>
          <w:tcPr>
            <w:tcW w:w="900" w:type="dxa"/>
            <w:tcBorders>
              <w:top w:val="single" w:sz="4" w:space="0" w:color="auto"/>
              <w:left w:val="single" w:sz="4" w:space="0" w:color="auto"/>
              <w:bottom w:val="single" w:sz="4" w:space="0" w:color="auto"/>
              <w:right w:val="single" w:sz="4" w:space="0" w:color="auto"/>
            </w:tcBorders>
            <w:noWrap/>
            <w:vAlign w:val="center"/>
          </w:tcPr>
          <w:p w:rsidR="00C26502" w:rsidRPr="004C7EAD" w:rsidRDefault="00C26502" w:rsidP="00C26502">
            <w:pPr>
              <w:overflowPunct w:val="0"/>
              <w:autoSpaceDE w:val="0"/>
              <w:autoSpaceDN w:val="0"/>
              <w:adjustRightInd w:val="0"/>
              <w:jc w:val="center"/>
            </w:pPr>
            <w:r w:rsidRPr="004C7EAD">
              <w:t>3</w:t>
            </w:r>
          </w:p>
        </w:tc>
      </w:tr>
      <w:tr w:rsidR="00C26502" w:rsidRPr="004C7EAD" w:rsidTr="00C26502">
        <w:trPr>
          <w:jc w:val="center"/>
        </w:trPr>
        <w:tc>
          <w:tcPr>
            <w:tcW w:w="1693" w:type="dxa"/>
            <w:tcBorders>
              <w:top w:val="single" w:sz="4" w:space="0" w:color="auto"/>
              <w:left w:val="single" w:sz="4" w:space="0" w:color="auto"/>
              <w:bottom w:val="single" w:sz="4" w:space="0" w:color="auto"/>
              <w:right w:val="single" w:sz="4" w:space="0" w:color="auto"/>
            </w:tcBorders>
            <w:noWrap/>
          </w:tcPr>
          <w:p w:rsidR="00C26502" w:rsidRPr="004C7EAD" w:rsidRDefault="00C26502" w:rsidP="00C26502">
            <w:pPr>
              <w:overflowPunct w:val="0"/>
              <w:autoSpaceDE w:val="0"/>
              <w:autoSpaceDN w:val="0"/>
              <w:adjustRightInd w:val="0"/>
            </w:pPr>
            <w:r w:rsidRPr="004C7EAD">
              <w:t>Konsystencja  w wysokich  temperaturach eksplo-atacyjnych</w:t>
            </w:r>
          </w:p>
        </w:tc>
        <w:tc>
          <w:tcPr>
            <w:tcW w:w="1985" w:type="dxa"/>
            <w:tcBorders>
              <w:top w:val="single" w:sz="4" w:space="0" w:color="auto"/>
              <w:left w:val="single" w:sz="4" w:space="0" w:color="auto"/>
              <w:bottom w:val="single" w:sz="4" w:space="0" w:color="auto"/>
              <w:right w:val="single" w:sz="4" w:space="0" w:color="auto"/>
            </w:tcBorders>
            <w:noWrap/>
            <w:vAlign w:val="center"/>
          </w:tcPr>
          <w:p w:rsidR="00C26502" w:rsidRPr="004C7EAD" w:rsidRDefault="00C26502" w:rsidP="00C26502">
            <w:pPr>
              <w:overflowPunct w:val="0"/>
              <w:autoSpaceDE w:val="0"/>
              <w:autoSpaceDN w:val="0"/>
              <w:adjustRightInd w:val="0"/>
              <w:jc w:val="both"/>
            </w:pPr>
            <w:r w:rsidRPr="004C7EAD">
              <w:t>Temperatura mięknienia</w:t>
            </w:r>
          </w:p>
        </w:tc>
        <w:tc>
          <w:tcPr>
            <w:tcW w:w="1843" w:type="dxa"/>
            <w:tcBorders>
              <w:top w:val="single" w:sz="4" w:space="0" w:color="auto"/>
              <w:left w:val="single" w:sz="4" w:space="0" w:color="auto"/>
              <w:bottom w:val="single" w:sz="4" w:space="0" w:color="auto"/>
              <w:right w:val="single" w:sz="4" w:space="0" w:color="auto"/>
            </w:tcBorders>
            <w:noWrap/>
            <w:vAlign w:val="center"/>
          </w:tcPr>
          <w:p w:rsidR="00C26502" w:rsidRPr="004C7EAD" w:rsidRDefault="00C26502" w:rsidP="00C26502">
            <w:pPr>
              <w:overflowPunct w:val="0"/>
              <w:autoSpaceDE w:val="0"/>
              <w:autoSpaceDN w:val="0"/>
              <w:adjustRightInd w:val="0"/>
              <w:jc w:val="center"/>
            </w:pPr>
            <w:r w:rsidRPr="004C7EAD">
              <w:t>PN-EN 1427 [22]</w:t>
            </w:r>
          </w:p>
        </w:tc>
        <w:tc>
          <w:tcPr>
            <w:tcW w:w="1134" w:type="dxa"/>
            <w:tcBorders>
              <w:top w:val="single" w:sz="4" w:space="0" w:color="auto"/>
              <w:left w:val="single" w:sz="4" w:space="0" w:color="auto"/>
              <w:bottom w:val="single" w:sz="4" w:space="0" w:color="auto"/>
              <w:right w:val="single" w:sz="4" w:space="0" w:color="auto"/>
            </w:tcBorders>
            <w:noWrap/>
            <w:vAlign w:val="center"/>
          </w:tcPr>
          <w:p w:rsidR="00C26502" w:rsidRPr="004C7EAD" w:rsidRDefault="00C26502" w:rsidP="00C26502">
            <w:pPr>
              <w:overflowPunct w:val="0"/>
              <w:autoSpaceDE w:val="0"/>
              <w:autoSpaceDN w:val="0"/>
              <w:adjustRightInd w:val="0"/>
              <w:jc w:val="center"/>
            </w:pPr>
            <w:r w:rsidRPr="004C7EAD">
              <w:t>°C</w:t>
            </w:r>
          </w:p>
        </w:tc>
        <w:tc>
          <w:tcPr>
            <w:tcW w:w="1193" w:type="dxa"/>
            <w:tcBorders>
              <w:top w:val="single" w:sz="4" w:space="0" w:color="auto"/>
              <w:left w:val="single" w:sz="4" w:space="0" w:color="auto"/>
              <w:bottom w:val="single" w:sz="4" w:space="0" w:color="auto"/>
              <w:right w:val="single" w:sz="4" w:space="0" w:color="auto"/>
            </w:tcBorders>
            <w:noWrap/>
            <w:vAlign w:val="center"/>
          </w:tcPr>
          <w:p w:rsidR="00C26502" w:rsidRPr="004C7EAD" w:rsidRDefault="00C26502" w:rsidP="00C26502">
            <w:pPr>
              <w:overflowPunct w:val="0"/>
              <w:autoSpaceDE w:val="0"/>
              <w:autoSpaceDN w:val="0"/>
              <w:adjustRightInd w:val="0"/>
              <w:jc w:val="center"/>
            </w:pPr>
            <w:r w:rsidRPr="004C7EAD">
              <w:t>≥ 60</w:t>
            </w:r>
          </w:p>
        </w:tc>
        <w:tc>
          <w:tcPr>
            <w:tcW w:w="900" w:type="dxa"/>
            <w:tcBorders>
              <w:top w:val="single" w:sz="4" w:space="0" w:color="auto"/>
              <w:left w:val="single" w:sz="4" w:space="0" w:color="auto"/>
              <w:bottom w:val="single" w:sz="4" w:space="0" w:color="auto"/>
              <w:right w:val="single" w:sz="4" w:space="0" w:color="auto"/>
            </w:tcBorders>
            <w:noWrap/>
            <w:vAlign w:val="center"/>
          </w:tcPr>
          <w:p w:rsidR="00C26502" w:rsidRPr="004C7EAD" w:rsidRDefault="00C26502" w:rsidP="00C26502">
            <w:pPr>
              <w:overflowPunct w:val="0"/>
              <w:autoSpaceDE w:val="0"/>
              <w:autoSpaceDN w:val="0"/>
              <w:adjustRightInd w:val="0"/>
              <w:jc w:val="center"/>
            </w:pPr>
            <w:r w:rsidRPr="004C7EAD">
              <w:t>6</w:t>
            </w:r>
          </w:p>
        </w:tc>
      </w:tr>
      <w:tr w:rsidR="00C26502" w:rsidRPr="004C7EAD" w:rsidTr="00C26502">
        <w:trPr>
          <w:cantSplit/>
          <w:jc w:val="center"/>
        </w:trPr>
        <w:tc>
          <w:tcPr>
            <w:tcW w:w="1693" w:type="dxa"/>
            <w:vMerge w:val="restart"/>
            <w:tcBorders>
              <w:top w:val="single" w:sz="4" w:space="0" w:color="auto"/>
              <w:left w:val="single" w:sz="4" w:space="0" w:color="auto"/>
              <w:bottom w:val="single" w:sz="4" w:space="0" w:color="auto"/>
              <w:right w:val="single" w:sz="4" w:space="0" w:color="auto"/>
            </w:tcBorders>
            <w:noWrap/>
            <w:vAlign w:val="center"/>
          </w:tcPr>
          <w:p w:rsidR="00C26502" w:rsidRPr="004C7EAD" w:rsidRDefault="00C26502" w:rsidP="00C26502">
            <w:pPr>
              <w:overflowPunct w:val="0"/>
              <w:autoSpaceDE w:val="0"/>
              <w:autoSpaceDN w:val="0"/>
              <w:adjustRightInd w:val="0"/>
              <w:jc w:val="both"/>
            </w:pPr>
            <w:r w:rsidRPr="004C7EAD">
              <w:t>Kohezja</w:t>
            </w:r>
          </w:p>
        </w:tc>
        <w:tc>
          <w:tcPr>
            <w:tcW w:w="1985" w:type="dxa"/>
            <w:tcBorders>
              <w:top w:val="single" w:sz="4" w:space="0" w:color="auto"/>
              <w:left w:val="single" w:sz="4" w:space="0" w:color="auto"/>
              <w:bottom w:val="single" w:sz="4" w:space="0" w:color="auto"/>
              <w:right w:val="single" w:sz="4" w:space="0" w:color="auto"/>
            </w:tcBorders>
            <w:noWrap/>
            <w:vAlign w:val="center"/>
          </w:tcPr>
          <w:p w:rsidR="00C26502" w:rsidRPr="004C7EAD" w:rsidRDefault="00C26502" w:rsidP="00C26502">
            <w:pPr>
              <w:overflowPunct w:val="0"/>
              <w:autoSpaceDE w:val="0"/>
              <w:autoSpaceDN w:val="0"/>
              <w:adjustRightInd w:val="0"/>
            </w:pPr>
            <w:r w:rsidRPr="004C7EAD">
              <w:t>Siła rozciągania (mała prędkość rozciągania)</w:t>
            </w:r>
          </w:p>
        </w:tc>
        <w:tc>
          <w:tcPr>
            <w:tcW w:w="1843" w:type="dxa"/>
            <w:tcBorders>
              <w:top w:val="single" w:sz="4" w:space="0" w:color="auto"/>
              <w:left w:val="single" w:sz="4" w:space="0" w:color="auto"/>
              <w:bottom w:val="single" w:sz="4" w:space="0" w:color="auto"/>
              <w:right w:val="single" w:sz="4" w:space="0" w:color="auto"/>
            </w:tcBorders>
            <w:noWrap/>
            <w:vAlign w:val="center"/>
          </w:tcPr>
          <w:p w:rsidR="00C26502" w:rsidRPr="004C7EAD" w:rsidRDefault="00C26502" w:rsidP="00C26502">
            <w:pPr>
              <w:overflowPunct w:val="0"/>
              <w:autoSpaceDE w:val="0"/>
              <w:autoSpaceDN w:val="0"/>
              <w:adjustRightInd w:val="0"/>
              <w:jc w:val="center"/>
              <w:rPr>
                <w:lang w:val="de-DE"/>
              </w:rPr>
            </w:pPr>
            <w:r w:rsidRPr="004C7EAD">
              <w:rPr>
                <w:lang w:val="de-DE"/>
              </w:rPr>
              <w:t>PN-EN 13589 [55]      PN-EN 13703 [57]</w:t>
            </w:r>
          </w:p>
        </w:tc>
        <w:tc>
          <w:tcPr>
            <w:tcW w:w="1134" w:type="dxa"/>
            <w:tcBorders>
              <w:top w:val="single" w:sz="4" w:space="0" w:color="auto"/>
              <w:left w:val="single" w:sz="4" w:space="0" w:color="auto"/>
              <w:bottom w:val="single" w:sz="4" w:space="0" w:color="auto"/>
              <w:right w:val="single" w:sz="4" w:space="0" w:color="auto"/>
            </w:tcBorders>
            <w:noWrap/>
            <w:vAlign w:val="center"/>
          </w:tcPr>
          <w:p w:rsidR="00C26502" w:rsidRPr="004C7EAD" w:rsidRDefault="00C26502" w:rsidP="00C26502">
            <w:pPr>
              <w:overflowPunct w:val="0"/>
              <w:autoSpaceDE w:val="0"/>
              <w:autoSpaceDN w:val="0"/>
              <w:adjustRightInd w:val="0"/>
              <w:jc w:val="center"/>
            </w:pPr>
            <w:r w:rsidRPr="004C7EAD">
              <w:t>J/cm</w:t>
            </w:r>
            <w:r w:rsidRPr="004C7EAD">
              <w:rPr>
                <w:vertAlign w:val="superscript"/>
              </w:rPr>
              <w:t>2</w:t>
            </w:r>
          </w:p>
        </w:tc>
        <w:tc>
          <w:tcPr>
            <w:tcW w:w="1193" w:type="dxa"/>
            <w:tcBorders>
              <w:top w:val="single" w:sz="4" w:space="0" w:color="auto"/>
              <w:left w:val="single" w:sz="4" w:space="0" w:color="auto"/>
              <w:bottom w:val="single" w:sz="4" w:space="0" w:color="auto"/>
              <w:right w:val="single" w:sz="4" w:space="0" w:color="auto"/>
            </w:tcBorders>
            <w:noWrap/>
            <w:vAlign w:val="center"/>
          </w:tcPr>
          <w:p w:rsidR="00C26502" w:rsidRPr="004C7EAD" w:rsidRDefault="00C26502" w:rsidP="00C26502">
            <w:pPr>
              <w:overflowPunct w:val="0"/>
              <w:autoSpaceDE w:val="0"/>
              <w:autoSpaceDN w:val="0"/>
              <w:adjustRightInd w:val="0"/>
              <w:jc w:val="center"/>
            </w:pPr>
            <w:r w:rsidRPr="004C7EAD">
              <w:t xml:space="preserve">≥ 2 w </w:t>
            </w:r>
            <w:smartTag w:uri="urn:schemas-microsoft-com:office:smarttags" w:element="metricconverter">
              <w:smartTagPr>
                <w:attr w:name="ProductID" w:val="5ﾰC"/>
              </w:smartTagPr>
              <w:r w:rsidRPr="004C7EAD">
                <w:t>5°C</w:t>
              </w:r>
            </w:smartTag>
          </w:p>
        </w:tc>
        <w:tc>
          <w:tcPr>
            <w:tcW w:w="900" w:type="dxa"/>
            <w:tcBorders>
              <w:top w:val="single" w:sz="4" w:space="0" w:color="auto"/>
              <w:left w:val="single" w:sz="4" w:space="0" w:color="auto"/>
              <w:bottom w:val="single" w:sz="4" w:space="0" w:color="auto"/>
              <w:right w:val="single" w:sz="4" w:space="0" w:color="auto"/>
            </w:tcBorders>
            <w:noWrap/>
            <w:vAlign w:val="center"/>
          </w:tcPr>
          <w:p w:rsidR="00C26502" w:rsidRPr="004C7EAD" w:rsidRDefault="00C26502" w:rsidP="00C26502">
            <w:pPr>
              <w:overflowPunct w:val="0"/>
              <w:autoSpaceDE w:val="0"/>
              <w:autoSpaceDN w:val="0"/>
              <w:adjustRightInd w:val="0"/>
              <w:jc w:val="center"/>
            </w:pPr>
            <w:r w:rsidRPr="004C7EAD">
              <w:t>3</w:t>
            </w:r>
          </w:p>
        </w:tc>
      </w:tr>
      <w:tr w:rsidR="00C26502" w:rsidRPr="004C7EAD" w:rsidTr="00C26502">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C26502" w:rsidRPr="004C7EAD" w:rsidRDefault="00C26502" w:rsidP="00C26502"/>
        </w:tc>
        <w:tc>
          <w:tcPr>
            <w:tcW w:w="1985" w:type="dxa"/>
            <w:tcBorders>
              <w:top w:val="single" w:sz="4" w:space="0" w:color="auto"/>
              <w:left w:val="single" w:sz="4" w:space="0" w:color="auto"/>
              <w:bottom w:val="single" w:sz="4" w:space="0" w:color="auto"/>
              <w:right w:val="single" w:sz="4" w:space="0" w:color="auto"/>
            </w:tcBorders>
            <w:noWrap/>
            <w:vAlign w:val="center"/>
          </w:tcPr>
          <w:p w:rsidR="00C26502" w:rsidRPr="004C7EAD" w:rsidRDefault="00C26502" w:rsidP="00C26502">
            <w:pPr>
              <w:overflowPunct w:val="0"/>
              <w:autoSpaceDE w:val="0"/>
              <w:autoSpaceDN w:val="0"/>
              <w:adjustRightInd w:val="0"/>
            </w:pPr>
            <w:r w:rsidRPr="004C7EAD">
              <w:t xml:space="preserve">Siła rozciągania w </w:t>
            </w:r>
            <w:smartTag w:uri="urn:schemas-microsoft-com:office:smarttags" w:element="metricconverter">
              <w:smartTagPr>
                <w:attr w:name="ProductID" w:val="5ﾰC"/>
              </w:smartTagPr>
              <w:r w:rsidRPr="004C7EAD">
                <w:t>5°C</w:t>
              </w:r>
            </w:smartTag>
            <w:r w:rsidRPr="004C7EAD">
              <w:t xml:space="preserve"> (duża prędkość rozciągania)</w:t>
            </w:r>
          </w:p>
        </w:tc>
        <w:tc>
          <w:tcPr>
            <w:tcW w:w="1843" w:type="dxa"/>
            <w:tcBorders>
              <w:top w:val="single" w:sz="4" w:space="0" w:color="auto"/>
              <w:left w:val="single" w:sz="4" w:space="0" w:color="auto"/>
              <w:bottom w:val="single" w:sz="4" w:space="0" w:color="auto"/>
              <w:right w:val="single" w:sz="4" w:space="0" w:color="auto"/>
            </w:tcBorders>
            <w:noWrap/>
            <w:vAlign w:val="center"/>
          </w:tcPr>
          <w:p w:rsidR="00C26502" w:rsidRPr="004C7EAD" w:rsidRDefault="00C26502" w:rsidP="00C26502">
            <w:pPr>
              <w:overflowPunct w:val="0"/>
              <w:autoSpaceDE w:val="0"/>
              <w:autoSpaceDN w:val="0"/>
              <w:adjustRightInd w:val="0"/>
              <w:jc w:val="center"/>
              <w:rPr>
                <w:lang w:val="de-DE"/>
              </w:rPr>
            </w:pPr>
            <w:r w:rsidRPr="004C7EAD">
              <w:rPr>
                <w:lang w:val="de-DE"/>
              </w:rPr>
              <w:t>PN-EN 13587 [53]      PN-EN 13703 [57]</w:t>
            </w:r>
          </w:p>
        </w:tc>
        <w:tc>
          <w:tcPr>
            <w:tcW w:w="1134" w:type="dxa"/>
            <w:tcBorders>
              <w:top w:val="single" w:sz="4" w:space="0" w:color="auto"/>
              <w:left w:val="single" w:sz="4" w:space="0" w:color="auto"/>
              <w:bottom w:val="single" w:sz="4" w:space="0" w:color="auto"/>
              <w:right w:val="single" w:sz="4" w:space="0" w:color="auto"/>
            </w:tcBorders>
            <w:noWrap/>
            <w:vAlign w:val="center"/>
          </w:tcPr>
          <w:p w:rsidR="00C26502" w:rsidRPr="004C7EAD" w:rsidRDefault="00C26502" w:rsidP="00C26502">
            <w:pPr>
              <w:overflowPunct w:val="0"/>
              <w:autoSpaceDE w:val="0"/>
              <w:autoSpaceDN w:val="0"/>
              <w:adjustRightInd w:val="0"/>
              <w:jc w:val="center"/>
            </w:pPr>
            <w:r w:rsidRPr="004C7EAD">
              <w:t>J/cm</w:t>
            </w:r>
            <w:r w:rsidRPr="004C7EAD">
              <w:rPr>
                <w:vertAlign w:val="superscript"/>
              </w:rPr>
              <w:t>2</w:t>
            </w:r>
          </w:p>
        </w:tc>
        <w:tc>
          <w:tcPr>
            <w:tcW w:w="1193" w:type="dxa"/>
            <w:tcBorders>
              <w:top w:val="single" w:sz="4" w:space="0" w:color="auto"/>
              <w:left w:val="single" w:sz="4" w:space="0" w:color="auto"/>
              <w:bottom w:val="single" w:sz="4" w:space="0" w:color="auto"/>
              <w:right w:val="single" w:sz="4" w:space="0" w:color="auto"/>
            </w:tcBorders>
            <w:noWrap/>
            <w:vAlign w:val="center"/>
          </w:tcPr>
          <w:p w:rsidR="00C26502" w:rsidRPr="004C7EAD" w:rsidRDefault="00C26502" w:rsidP="00C26502">
            <w:pPr>
              <w:overflowPunct w:val="0"/>
              <w:autoSpaceDE w:val="0"/>
              <w:autoSpaceDN w:val="0"/>
              <w:adjustRightInd w:val="0"/>
              <w:jc w:val="center"/>
              <w:rPr>
                <w:vertAlign w:val="superscript"/>
              </w:rPr>
            </w:pPr>
            <w:r w:rsidRPr="004C7EAD">
              <w:t>NPD</w:t>
            </w:r>
            <w:r w:rsidRPr="004C7EAD">
              <w:rPr>
                <w:vertAlign w:val="superscript"/>
              </w:rPr>
              <w:t>a</w:t>
            </w:r>
          </w:p>
        </w:tc>
        <w:tc>
          <w:tcPr>
            <w:tcW w:w="900" w:type="dxa"/>
            <w:tcBorders>
              <w:top w:val="single" w:sz="4" w:space="0" w:color="auto"/>
              <w:left w:val="single" w:sz="4" w:space="0" w:color="auto"/>
              <w:bottom w:val="single" w:sz="4" w:space="0" w:color="auto"/>
              <w:right w:val="single" w:sz="4" w:space="0" w:color="auto"/>
            </w:tcBorders>
            <w:noWrap/>
            <w:vAlign w:val="center"/>
          </w:tcPr>
          <w:p w:rsidR="00C26502" w:rsidRPr="004C7EAD" w:rsidRDefault="00C26502" w:rsidP="00C26502">
            <w:pPr>
              <w:overflowPunct w:val="0"/>
              <w:autoSpaceDE w:val="0"/>
              <w:autoSpaceDN w:val="0"/>
              <w:adjustRightInd w:val="0"/>
              <w:jc w:val="center"/>
            </w:pPr>
            <w:r w:rsidRPr="004C7EAD">
              <w:t>0</w:t>
            </w:r>
          </w:p>
        </w:tc>
      </w:tr>
      <w:tr w:rsidR="00C26502" w:rsidRPr="004C7EAD" w:rsidTr="00C26502">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C26502" w:rsidRPr="004C7EAD" w:rsidRDefault="00C26502" w:rsidP="00C26502"/>
        </w:tc>
        <w:tc>
          <w:tcPr>
            <w:tcW w:w="1985" w:type="dxa"/>
            <w:tcBorders>
              <w:top w:val="single" w:sz="4" w:space="0" w:color="auto"/>
              <w:left w:val="single" w:sz="4" w:space="0" w:color="auto"/>
              <w:bottom w:val="single" w:sz="4" w:space="0" w:color="auto"/>
              <w:right w:val="single" w:sz="4" w:space="0" w:color="auto"/>
            </w:tcBorders>
            <w:noWrap/>
            <w:vAlign w:val="center"/>
          </w:tcPr>
          <w:p w:rsidR="00C26502" w:rsidRPr="004C7EAD" w:rsidRDefault="00C26502" w:rsidP="00C26502">
            <w:pPr>
              <w:overflowPunct w:val="0"/>
              <w:autoSpaceDE w:val="0"/>
              <w:autoSpaceDN w:val="0"/>
              <w:adjustRightInd w:val="0"/>
            </w:pPr>
            <w:r w:rsidRPr="004C7EAD">
              <w:t>Wahadło Vialit (metoda uderzenia)</w:t>
            </w:r>
          </w:p>
        </w:tc>
        <w:tc>
          <w:tcPr>
            <w:tcW w:w="1843" w:type="dxa"/>
            <w:tcBorders>
              <w:top w:val="single" w:sz="4" w:space="0" w:color="auto"/>
              <w:left w:val="single" w:sz="4" w:space="0" w:color="auto"/>
              <w:bottom w:val="single" w:sz="4" w:space="0" w:color="auto"/>
              <w:right w:val="single" w:sz="4" w:space="0" w:color="auto"/>
            </w:tcBorders>
            <w:noWrap/>
            <w:vAlign w:val="center"/>
          </w:tcPr>
          <w:p w:rsidR="00C26502" w:rsidRPr="004C7EAD" w:rsidRDefault="00C26502" w:rsidP="00C26502">
            <w:pPr>
              <w:overflowPunct w:val="0"/>
              <w:autoSpaceDE w:val="0"/>
              <w:autoSpaceDN w:val="0"/>
              <w:adjustRightInd w:val="0"/>
              <w:jc w:val="center"/>
              <w:rPr>
                <w:lang w:val="de-DE"/>
              </w:rPr>
            </w:pPr>
            <w:r w:rsidRPr="004C7EAD">
              <w:rPr>
                <w:lang w:val="de-DE"/>
              </w:rPr>
              <w:t>PN-EN 13588 [54]</w:t>
            </w:r>
          </w:p>
        </w:tc>
        <w:tc>
          <w:tcPr>
            <w:tcW w:w="1134" w:type="dxa"/>
            <w:tcBorders>
              <w:top w:val="single" w:sz="4" w:space="0" w:color="auto"/>
              <w:left w:val="single" w:sz="4" w:space="0" w:color="auto"/>
              <w:bottom w:val="single" w:sz="4" w:space="0" w:color="auto"/>
              <w:right w:val="single" w:sz="4" w:space="0" w:color="auto"/>
            </w:tcBorders>
            <w:noWrap/>
            <w:vAlign w:val="center"/>
          </w:tcPr>
          <w:p w:rsidR="00C26502" w:rsidRPr="004C7EAD" w:rsidRDefault="00C26502" w:rsidP="00C26502">
            <w:pPr>
              <w:overflowPunct w:val="0"/>
              <w:autoSpaceDE w:val="0"/>
              <w:autoSpaceDN w:val="0"/>
              <w:adjustRightInd w:val="0"/>
              <w:jc w:val="center"/>
              <w:rPr>
                <w:lang w:val="de-DE"/>
              </w:rPr>
            </w:pPr>
            <w:r w:rsidRPr="004C7EAD">
              <w:rPr>
                <w:lang w:val="de-DE"/>
              </w:rPr>
              <w:t>J/cm</w:t>
            </w:r>
            <w:r w:rsidRPr="004C7EAD">
              <w:rPr>
                <w:vertAlign w:val="superscript"/>
                <w:lang w:val="de-DE"/>
              </w:rPr>
              <w:t>2</w:t>
            </w:r>
          </w:p>
        </w:tc>
        <w:tc>
          <w:tcPr>
            <w:tcW w:w="1193" w:type="dxa"/>
            <w:tcBorders>
              <w:top w:val="single" w:sz="4" w:space="0" w:color="auto"/>
              <w:left w:val="single" w:sz="4" w:space="0" w:color="auto"/>
              <w:bottom w:val="single" w:sz="4" w:space="0" w:color="auto"/>
              <w:right w:val="single" w:sz="4" w:space="0" w:color="auto"/>
            </w:tcBorders>
            <w:noWrap/>
            <w:vAlign w:val="center"/>
          </w:tcPr>
          <w:p w:rsidR="00C26502" w:rsidRPr="004C7EAD" w:rsidRDefault="00C26502" w:rsidP="00C26502">
            <w:pPr>
              <w:overflowPunct w:val="0"/>
              <w:autoSpaceDE w:val="0"/>
              <w:autoSpaceDN w:val="0"/>
              <w:adjustRightInd w:val="0"/>
              <w:jc w:val="center"/>
              <w:rPr>
                <w:vertAlign w:val="superscript"/>
              </w:rPr>
            </w:pPr>
            <w:r w:rsidRPr="004C7EAD">
              <w:t>NPD</w:t>
            </w:r>
            <w:r w:rsidRPr="004C7EAD">
              <w:rPr>
                <w:vertAlign w:val="superscript"/>
              </w:rPr>
              <w:t>a</w:t>
            </w:r>
          </w:p>
        </w:tc>
        <w:tc>
          <w:tcPr>
            <w:tcW w:w="900" w:type="dxa"/>
            <w:tcBorders>
              <w:top w:val="single" w:sz="4" w:space="0" w:color="auto"/>
              <w:left w:val="single" w:sz="4" w:space="0" w:color="auto"/>
              <w:bottom w:val="single" w:sz="4" w:space="0" w:color="auto"/>
              <w:right w:val="single" w:sz="4" w:space="0" w:color="auto"/>
            </w:tcBorders>
            <w:noWrap/>
            <w:vAlign w:val="center"/>
          </w:tcPr>
          <w:p w:rsidR="00C26502" w:rsidRPr="004C7EAD" w:rsidRDefault="00C26502" w:rsidP="00C26502">
            <w:pPr>
              <w:overflowPunct w:val="0"/>
              <w:autoSpaceDE w:val="0"/>
              <w:autoSpaceDN w:val="0"/>
              <w:adjustRightInd w:val="0"/>
              <w:jc w:val="center"/>
            </w:pPr>
            <w:r w:rsidRPr="004C7EAD">
              <w:t>0</w:t>
            </w:r>
          </w:p>
        </w:tc>
      </w:tr>
      <w:tr w:rsidR="00C26502" w:rsidRPr="004C7EAD" w:rsidTr="00C26502">
        <w:trPr>
          <w:cantSplit/>
          <w:jc w:val="center"/>
        </w:trPr>
        <w:tc>
          <w:tcPr>
            <w:tcW w:w="1693" w:type="dxa"/>
            <w:vMerge w:val="restart"/>
            <w:tcBorders>
              <w:top w:val="single" w:sz="4" w:space="0" w:color="auto"/>
              <w:left w:val="single" w:sz="4" w:space="0" w:color="auto"/>
              <w:bottom w:val="single" w:sz="4" w:space="0" w:color="auto"/>
              <w:right w:val="single" w:sz="4" w:space="0" w:color="auto"/>
            </w:tcBorders>
            <w:noWrap/>
          </w:tcPr>
          <w:p w:rsidR="00C26502" w:rsidRPr="004C7EAD" w:rsidRDefault="00C26502" w:rsidP="00C26502">
            <w:pPr>
              <w:overflowPunct w:val="0"/>
              <w:autoSpaceDE w:val="0"/>
              <w:autoSpaceDN w:val="0"/>
              <w:adjustRightInd w:val="0"/>
              <w:jc w:val="both"/>
            </w:pPr>
            <w:r w:rsidRPr="004C7EAD">
              <w:t>Stałość kon-</w:t>
            </w:r>
          </w:p>
          <w:p w:rsidR="00C26502" w:rsidRPr="004C7EAD" w:rsidRDefault="00C26502" w:rsidP="00C26502">
            <w:pPr>
              <w:overflowPunct w:val="0"/>
              <w:autoSpaceDE w:val="0"/>
              <w:autoSpaceDN w:val="0"/>
              <w:adjustRightInd w:val="0"/>
              <w:jc w:val="both"/>
            </w:pPr>
            <w:r w:rsidRPr="004C7EAD">
              <w:t xml:space="preserve">systencji (Odporność </w:t>
            </w:r>
          </w:p>
          <w:p w:rsidR="00C26502" w:rsidRPr="004C7EAD" w:rsidRDefault="00C26502" w:rsidP="00C26502">
            <w:pPr>
              <w:overflowPunct w:val="0"/>
              <w:autoSpaceDE w:val="0"/>
              <w:autoSpaceDN w:val="0"/>
              <w:adjustRightInd w:val="0"/>
            </w:pPr>
            <w:r w:rsidRPr="004C7EAD">
              <w:t>na starzenie wg PN-EN 12607-1 lub  -3 [31]</w:t>
            </w:r>
          </w:p>
        </w:tc>
        <w:tc>
          <w:tcPr>
            <w:tcW w:w="1985" w:type="dxa"/>
            <w:tcBorders>
              <w:top w:val="single" w:sz="4" w:space="0" w:color="auto"/>
              <w:left w:val="single" w:sz="4" w:space="0" w:color="auto"/>
              <w:bottom w:val="single" w:sz="4" w:space="0" w:color="auto"/>
              <w:right w:val="single" w:sz="4" w:space="0" w:color="auto"/>
            </w:tcBorders>
            <w:noWrap/>
            <w:vAlign w:val="center"/>
          </w:tcPr>
          <w:p w:rsidR="00C26502" w:rsidRPr="004C7EAD" w:rsidRDefault="00C26502" w:rsidP="00C26502">
            <w:pPr>
              <w:overflowPunct w:val="0"/>
              <w:autoSpaceDE w:val="0"/>
              <w:autoSpaceDN w:val="0"/>
              <w:adjustRightInd w:val="0"/>
              <w:jc w:val="both"/>
            </w:pPr>
            <w:r w:rsidRPr="004C7EAD">
              <w:t>Zmiana masy</w:t>
            </w:r>
          </w:p>
        </w:tc>
        <w:tc>
          <w:tcPr>
            <w:tcW w:w="1843" w:type="dxa"/>
            <w:tcBorders>
              <w:top w:val="single" w:sz="4" w:space="0" w:color="auto"/>
              <w:left w:val="single" w:sz="4" w:space="0" w:color="auto"/>
              <w:bottom w:val="single" w:sz="4" w:space="0" w:color="auto"/>
              <w:right w:val="single" w:sz="4" w:space="0" w:color="auto"/>
            </w:tcBorders>
            <w:noWrap/>
            <w:vAlign w:val="center"/>
          </w:tcPr>
          <w:p w:rsidR="00C26502" w:rsidRPr="004C7EAD" w:rsidRDefault="00C26502" w:rsidP="00C26502">
            <w:pPr>
              <w:overflowPunct w:val="0"/>
              <w:autoSpaceDE w:val="0"/>
              <w:autoSpaceDN w:val="0"/>
              <w:adjustRightInd w:val="0"/>
              <w:jc w:val="center"/>
            </w:pPr>
          </w:p>
        </w:tc>
        <w:tc>
          <w:tcPr>
            <w:tcW w:w="1134" w:type="dxa"/>
            <w:tcBorders>
              <w:top w:val="single" w:sz="4" w:space="0" w:color="auto"/>
              <w:left w:val="single" w:sz="4" w:space="0" w:color="auto"/>
              <w:bottom w:val="single" w:sz="4" w:space="0" w:color="auto"/>
              <w:right w:val="single" w:sz="4" w:space="0" w:color="auto"/>
            </w:tcBorders>
            <w:noWrap/>
            <w:vAlign w:val="center"/>
          </w:tcPr>
          <w:p w:rsidR="00C26502" w:rsidRPr="004C7EAD" w:rsidRDefault="00C26502" w:rsidP="00C26502">
            <w:pPr>
              <w:overflowPunct w:val="0"/>
              <w:autoSpaceDE w:val="0"/>
              <w:autoSpaceDN w:val="0"/>
              <w:adjustRightInd w:val="0"/>
              <w:jc w:val="center"/>
            </w:pPr>
            <w:r w:rsidRPr="004C7EAD">
              <w:t>%</w:t>
            </w:r>
          </w:p>
        </w:tc>
        <w:tc>
          <w:tcPr>
            <w:tcW w:w="1193" w:type="dxa"/>
            <w:tcBorders>
              <w:top w:val="single" w:sz="4" w:space="0" w:color="auto"/>
              <w:left w:val="single" w:sz="4" w:space="0" w:color="auto"/>
              <w:bottom w:val="single" w:sz="4" w:space="0" w:color="auto"/>
              <w:right w:val="single" w:sz="4" w:space="0" w:color="auto"/>
            </w:tcBorders>
            <w:noWrap/>
            <w:vAlign w:val="center"/>
          </w:tcPr>
          <w:p w:rsidR="00C26502" w:rsidRPr="004C7EAD" w:rsidRDefault="00C26502" w:rsidP="00C26502">
            <w:pPr>
              <w:overflowPunct w:val="0"/>
              <w:autoSpaceDE w:val="0"/>
              <w:autoSpaceDN w:val="0"/>
              <w:adjustRightInd w:val="0"/>
              <w:jc w:val="center"/>
            </w:pPr>
            <w:r w:rsidRPr="004C7EAD">
              <w:t>≥ 0,5</w:t>
            </w:r>
          </w:p>
        </w:tc>
        <w:tc>
          <w:tcPr>
            <w:tcW w:w="900" w:type="dxa"/>
            <w:tcBorders>
              <w:top w:val="single" w:sz="4" w:space="0" w:color="auto"/>
              <w:left w:val="single" w:sz="4" w:space="0" w:color="auto"/>
              <w:bottom w:val="single" w:sz="4" w:space="0" w:color="auto"/>
              <w:right w:val="single" w:sz="4" w:space="0" w:color="auto"/>
            </w:tcBorders>
            <w:noWrap/>
            <w:vAlign w:val="center"/>
          </w:tcPr>
          <w:p w:rsidR="00C26502" w:rsidRPr="004C7EAD" w:rsidRDefault="00C26502" w:rsidP="00C26502">
            <w:pPr>
              <w:overflowPunct w:val="0"/>
              <w:autoSpaceDE w:val="0"/>
              <w:autoSpaceDN w:val="0"/>
              <w:adjustRightInd w:val="0"/>
              <w:jc w:val="center"/>
            </w:pPr>
            <w:r w:rsidRPr="004C7EAD">
              <w:t>3</w:t>
            </w:r>
          </w:p>
        </w:tc>
      </w:tr>
      <w:tr w:rsidR="00C26502" w:rsidRPr="004C7EAD" w:rsidTr="00C26502">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C26502" w:rsidRPr="004C7EAD" w:rsidRDefault="00C26502" w:rsidP="00C26502"/>
        </w:tc>
        <w:tc>
          <w:tcPr>
            <w:tcW w:w="1985" w:type="dxa"/>
            <w:tcBorders>
              <w:top w:val="single" w:sz="4" w:space="0" w:color="auto"/>
              <w:left w:val="single" w:sz="4" w:space="0" w:color="auto"/>
              <w:bottom w:val="single" w:sz="4" w:space="0" w:color="auto"/>
              <w:right w:val="single" w:sz="4" w:space="0" w:color="auto"/>
            </w:tcBorders>
            <w:noWrap/>
            <w:vAlign w:val="center"/>
          </w:tcPr>
          <w:p w:rsidR="00C26502" w:rsidRPr="004C7EAD" w:rsidRDefault="00C26502" w:rsidP="00C26502">
            <w:pPr>
              <w:overflowPunct w:val="0"/>
              <w:autoSpaceDE w:val="0"/>
              <w:autoSpaceDN w:val="0"/>
              <w:adjustRightInd w:val="0"/>
              <w:jc w:val="both"/>
            </w:pPr>
            <w:r w:rsidRPr="004C7EAD">
              <w:t>Pozostała penetracja</w:t>
            </w:r>
          </w:p>
        </w:tc>
        <w:tc>
          <w:tcPr>
            <w:tcW w:w="1843" w:type="dxa"/>
            <w:tcBorders>
              <w:top w:val="single" w:sz="4" w:space="0" w:color="auto"/>
              <w:left w:val="single" w:sz="4" w:space="0" w:color="auto"/>
              <w:bottom w:val="single" w:sz="4" w:space="0" w:color="auto"/>
              <w:right w:val="single" w:sz="4" w:space="0" w:color="auto"/>
            </w:tcBorders>
            <w:noWrap/>
            <w:vAlign w:val="center"/>
          </w:tcPr>
          <w:p w:rsidR="00C26502" w:rsidRPr="004C7EAD" w:rsidRDefault="00C26502" w:rsidP="00C26502">
            <w:pPr>
              <w:overflowPunct w:val="0"/>
              <w:autoSpaceDE w:val="0"/>
              <w:autoSpaceDN w:val="0"/>
              <w:adjustRightInd w:val="0"/>
              <w:jc w:val="center"/>
            </w:pPr>
            <w:r w:rsidRPr="004C7EAD">
              <w:t>PN-EN 1426 [21]</w:t>
            </w:r>
          </w:p>
        </w:tc>
        <w:tc>
          <w:tcPr>
            <w:tcW w:w="1134" w:type="dxa"/>
            <w:tcBorders>
              <w:top w:val="single" w:sz="4" w:space="0" w:color="auto"/>
              <w:left w:val="single" w:sz="4" w:space="0" w:color="auto"/>
              <w:bottom w:val="single" w:sz="4" w:space="0" w:color="auto"/>
              <w:right w:val="single" w:sz="4" w:space="0" w:color="auto"/>
            </w:tcBorders>
            <w:noWrap/>
            <w:vAlign w:val="center"/>
          </w:tcPr>
          <w:p w:rsidR="00C26502" w:rsidRPr="004C7EAD" w:rsidRDefault="00C26502" w:rsidP="00C26502">
            <w:pPr>
              <w:overflowPunct w:val="0"/>
              <w:autoSpaceDE w:val="0"/>
              <w:autoSpaceDN w:val="0"/>
              <w:adjustRightInd w:val="0"/>
              <w:jc w:val="center"/>
            </w:pPr>
            <w:r w:rsidRPr="004C7EAD">
              <w:t>%</w:t>
            </w:r>
          </w:p>
        </w:tc>
        <w:tc>
          <w:tcPr>
            <w:tcW w:w="1193" w:type="dxa"/>
            <w:tcBorders>
              <w:top w:val="single" w:sz="4" w:space="0" w:color="auto"/>
              <w:left w:val="single" w:sz="4" w:space="0" w:color="auto"/>
              <w:bottom w:val="single" w:sz="4" w:space="0" w:color="auto"/>
              <w:right w:val="single" w:sz="4" w:space="0" w:color="auto"/>
            </w:tcBorders>
            <w:noWrap/>
            <w:vAlign w:val="center"/>
          </w:tcPr>
          <w:p w:rsidR="00C26502" w:rsidRPr="004C7EAD" w:rsidRDefault="00C26502" w:rsidP="00C26502">
            <w:pPr>
              <w:overflowPunct w:val="0"/>
              <w:autoSpaceDE w:val="0"/>
              <w:autoSpaceDN w:val="0"/>
              <w:adjustRightInd w:val="0"/>
              <w:jc w:val="center"/>
            </w:pPr>
            <w:r w:rsidRPr="004C7EAD">
              <w:t>≥ 40</w:t>
            </w:r>
          </w:p>
        </w:tc>
        <w:tc>
          <w:tcPr>
            <w:tcW w:w="900" w:type="dxa"/>
            <w:tcBorders>
              <w:top w:val="single" w:sz="4" w:space="0" w:color="auto"/>
              <w:left w:val="single" w:sz="4" w:space="0" w:color="auto"/>
              <w:bottom w:val="single" w:sz="4" w:space="0" w:color="auto"/>
              <w:right w:val="single" w:sz="4" w:space="0" w:color="auto"/>
            </w:tcBorders>
            <w:noWrap/>
            <w:vAlign w:val="center"/>
          </w:tcPr>
          <w:p w:rsidR="00C26502" w:rsidRPr="004C7EAD" w:rsidRDefault="00C26502" w:rsidP="00C26502">
            <w:pPr>
              <w:overflowPunct w:val="0"/>
              <w:autoSpaceDE w:val="0"/>
              <w:autoSpaceDN w:val="0"/>
              <w:adjustRightInd w:val="0"/>
              <w:jc w:val="center"/>
            </w:pPr>
            <w:r w:rsidRPr="004C7EAD">
              <w:t>3</w:t>
            </w:r>
          </w:p>
        </w:tc>
      </w:tr>
      <w:tr w:rsidR="00C26502" w:rsidRPr="004C7EAD" w:rsidTr="00C26502">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C26502" w:rsidRPr="004C7EAD" w:rsidRDefault="00C26502" w:rsidP="00C26502"/>
        </w:tc>
        <w:tc>
          <w:tcPr>
            <w:tcW w:w="1985" w:type="dxa"/>
            <w:tcBorders>
              <w:top w:val="nil"/>
              <w:left w:val="single" w:sz="4" w:space="0" w:color="auto"/>
              <w:bottom w:val="single" w:sz="4" w:space="0" w:color="auto"/>
              <w:right w:val="single" w:sz="4" w:space="0" w:color="auto"/>
            </w:tcBorders>
            <w:noWrap/>
            <w:vAlign w:val="center"/>
          </w:tcPr>
          <w:p w:rsidR="00C26502" w:rsidRPr="004C7EAD" w:rsidRDefault="00C26502" w:rsidP="00C26502">
            <w:pPr>
              <w:overflowPunct w:val="0"/>
              <w:autoSpaceDE w:val="0"/>
              <w:autoSpaceDN w:val="0"/>
              <w:adjustRightInd w:val="0"/>
            </w:pPr>
            <w:r w:rsidRPr="004C7EAD">
              <w:t>Wzrost temperatury mięknienia</w:t>
            </w:r>
          </w:p>
        </w:tc>
        <w:tc>
          <w:tcPr>
            <w:tcW w:w="1843" w:type="dxa"/>
            <w:tcBorders>
              <w:top w:val="nil"/>
              <w:left w:val="single" w:sz="4" w:space="0" w:color="auto"/>
              <w:bottom w:val="single" w:sz="4" w:space="0" w:color="auto"/>
              <w:right w:val="single" w:sz="4" w:space="0" w:color="auto"/>
            </w:tcBorders>
            <w:noWrap/>
            <w:vAlign w:val="center"/>
          </w:tcPr>
          <w:p w:rsidR="00C26502" w:rsidRPr="004C7EAD" w:rsidRDefault="00C26502" w:rsidP="00C26502">
            <w:pPr>
              <w:overflowPunct w:val="0"/>
              <w:autoSpaceDE w:val="0"/>
              <w:autoSpaceDN w:val="0"/>
              <w:adjustRightInd w:val="0"/>
              <w:jc w:val="center"/>
              <w:rPr>
                <w:lang w:val="de-DE"/>
              </w:rPr>
            </w:pPr>
            <w:r w:rsidRPr="004C7EAD">
              <w:rPr>
                <w:lang w:val="de-DE"/>
              </w:rPr>
              <w:t>PN-EN 1427 [22]</w:t>
            </w:r>
          </w:p>
        </w:tc>
        <w:tc>
          <w:tcPr>
            <w:tcW w:w="1134" w:type="dxa"/>
            <w:tcBorders>
              <w:top w:val="nil"/>
              <w:left w:val="single" w:sz="4" w:space="0" w:color="auto"/>
              <w:bottom w:val="single" w:sz="4" w:space="0" w:color="auto"/>
              <w:right w:val="single" w:sz="4" w:space="0" w:color="auto"/>
            </w:tcBorders>
            <w:noWrap/>
            <w:vAlign w:val="center"/>
          </w:tcPr>
          <w:p w:rsidR="00C26502" w:rsidRPr="004C7EAD" w:rsidRDefault="00C26502" w:rsidP="00C26502">
            <w:pPr>
              <w:overflowPunct w:val="0"/>
              <w:autoSpaceDE w:val="0"/>
              <w:autoSpaceDN w:val="0"/>
              <w:adjustRightInd w:val="0"/>
              <w:jc w:val="center"/>
              <w:rPr>
                <w:lang w:val="de-DE"/>
              </w:rPr>
            </w:pPr>
            <w:r w:rsidRPr="004C7EAD">
              <w:rPr>
                <w:lang w:val="de-DE"/>
              </w:rPr>
              <w:t>°C</w:t>
            </w:r>
          </w:p>
        </w:tc>
        <w:tc>
          <w:tcPr>
            <w:tcW w:w="1193" w:type="dxa"/>
            <w:tcBorders>
              <w:top w:val="nil"/>
              <w:left w:val="single" w:sz="4" w:space="0" w:color="auto"/>
              <w:bottom w:val="single" w:sz="4" w:space="0" w:color="auto"/>
              <w:right w:val="single" w:sz="4" w:space="0" w:color="auto"/>
            </w:tcBorders>
            <w:noWrap/>
            <w:vAlign w:val="center"/>
          </w:tcPr>
          <w:p w:rsidR="00C26502" w:rsidRPr="004C7EAD" w:rsidRDefault="00C26502" w:rsidP="00C26502">
            <w:pPr>
              <w:overflowPunct w:val="0"/>
              <w:autoSpaceDE w:val="0"/>
              <w:autoSpaceDN w:val="0"/>
              <w:adjustRightInd w:val="0"/>
              <w:jc w:val="center"/>
            </w:pPr>
            <w:r w:rsidRPr="004C7EAD">
              <w:t>≤ 8</w:t>
            </w:r>
          </w:p>
        </w:tc>
        <w:tc>
          <w:tcPr>
            <w:tcW w:w="900" w:type="dxa"/>
            <w:tcBorders>
              <w:top w:val="nil"/>
              <w:left w:val="single" w:sz="4" w:space="0" w:color="auto"/>
              <w:bottom w:val="single" w:sz="4" w:space="0" w:color="auto"/>
              <w:right w:val="single" w:sz="4" w:space="0" w:color="auto"/>
            </w:tcBorders>
            <w:noWrap/>
            <w:vAlign w:val="center"/>
          </w:tcPr>
          <w:p w:rsidR="00C26502" w:rsidRPr="004C7EAD" w:rsidRDefault="00C26502" w:rsidP="00C26502">
            <w:pPr>
              <w:overflowPunct w:val="0"/>
              <w:autoSpaceDE w:val="0"/>
              <w:autoSpaceDN w:val="0"/>
              <w:adjustRightInd w:val="0"/>
              <w:jc w:val="center"/>
            </w:pPr>
            <w:r w:rsidRPr="004C7EAD">
              <w:t>3</w:t>
            </w:r>
          </w:p>
        </w:tc>
      </w:tr>
      <w:tr w:rsidR="00C26502" w:rsidRPr="004C7EAD" w:rsidTr="00C26502">
        <w:trPr>
          <w:trHeight w:val="510"/>
          <w:jc w:val="center"/>
        </w:trPr>
        <w:tc>
          <w:tcPr>
            <w:tcW w:w="1693" w:type="dxa"/>
            <w:tcBorders>
              <w:top w:val="single" w:sz="4" w:space="0" w:color="auto"/>
              <w:left w:val="single" w:sz="4" w:space="0" w:color="auto"/>
              <w:bottom w:val="single" w:sz="4" w:space="0" w:color="auto"/>
              <w:right w:val="single" w:sz="4" w:space="0" w:color="auto"/>
            </w:tcBorders>
            <w:noWrap/>
            <w:vAlign w:val="center"/>
          </w:tcPr>
          <w:p w:rsidR="00C26502" w:rsidRPr="004C7EAD" w:rsidRDefault="00C26502" w:rsidP="00C26502">
            <w:pPr>
              <w:overflowPunct w:val="0"/>
              <w:autoSpaceDE w:val="0"/>
              <w:autoSpaceDN w:val="0"/>
              <w:adjustRightInd w:val="0"/>
              <w:jc w:val="both"/>
            </w:pPr>
            <w:r w:rsidRPr="004C7EAD">
              <w:t>Inne właściwości</w:t>
            </w:r>
          </w:p>
        </w:tc>
        <w:tc>
          <w:tcPr>
            <w:tcW w:w="1985" w:type="dxa"/>
            <w:tcBorders>
              <w:top w:val="single" w:sz="4" w:space="0" w:color="auto"/>
              <w:left w:val="single" w:sz="4" w:space="0" w:color="auto"/>
              <w:bottom w:val="single" w:sz="4" w:space="0" w:color="auto"/>
              <w:right w:val="single" w:sz="4" w:space="0" w:color="auto"/>
            </w:tcBorders>
            <w:noWrap/>
            <w:vAlign w:val="center"/>
          </w:tcPr>
          <w:p w:rsidR="00C26502" w:rsidRPr="004C7EAD" w:rsidRDefault="00C26502" w:rsidP="00C26502">
            <w:pPr>
              <w:overflowPunct w:val="0"/>
              <w:autoSpaceDE w:val="0"/>
              <w:autoSpaceDN w:val="0"/>
              <w:adjustRightInd w:val="0"/>
              <w:jc w:val="both"/>
            </w:pPr>
            <w:r w:rsidRPr="004C7EAD">
              <w:t>Temperatura zapłonu</w:t>
            </w:r>
          </w:p>
        </w:tc>
        <w:tc>
          <w:tcPr>
            <w:tcW w:w="1843" w:type="dxa"/>
            <w:tcBorders>
              <w:top w:val="single" w:sz="4" w:space="0" w:color="auto"/>
              <w:left w:val="single" w:sz="4" w:space="0" w:color="auto"/>
              <w:bottom w:val="single" w:sz="4" w:space="0" w:color="auto"/>
              <w:right w:val="single" w:sz="4" w:space="0" w:color="auto"/>
            </w:tcBorders>
            <w:noWrap/>
            <w:vAlign w:val="center"/>
          </w:tcPr>
          <w:p w:rsidR="00C26502" w:rsidRPr="004C7EAD" w:rsidRDefault="00C26502" w:rsidP="00C26502">
            <w:pPr>
              <w:overflowPunct w:val="0"/>
              <w:autoSpaceDE w:val="0"/>
              <w:autoSpaceDN w:val="0"/>
              <w:adjustRightInd w:val="0"/>
              <w:jc w:val="center"/>
              <w:rPr>
                <w:lang w:val="de-DE"/>
              </w:rPr>
            </w:pPr>
            <w:r w:rsidRPr="004C7EAD">
              <w:rPr>
                <w:lang w:val="de-DE"/>
              </w:rPr>
              <w:t>PN-EN ISO 2592 [63]</w:t>
            </w:r>
          </w:p>
        </w:tc>
        <w:tc>
          <w:tcPr>
            <w:tcW w:w="1134" w:type="dxa"/>
            <w:tcBorders>
              <w:top w:val="single" w:sz="4" w:space="0" w:color="auto"/>
              <w:left w:val="single" w:sz="4" w:space="0" w:color="auto"/>
              <w:bottom w:val="single" w:sz="4" w:space="0" w:color="auto"/>
              <w:right w:val="single" w:sz="4" w:space="0" w:color="auto"/>
            </w:tcBorders>
            <w:noWrap/>
            <w:vAlign w:val="center"/>
          </w:tcPr>
          <w:p w:rsidR="00C26502" w:rsidRPr="004C7EAD" w:rsidRDefault="00C26502" w:rsidP="00C26502">
            <w:pPr>
              <w:overflowPunct w:val="0"/>
              <w:autoSpaceDE w:val="0"/>
              <w:autoSpaceDN w:val="0"/>
              <w:adjustRightInd w:val="0"/>
              <w:jc w:val="center"/>
            </w:pPr>
            <w:r w:rsidRPr="004C7EAD">
              <w:t>°C</w:t>
            </w:r>
          </w:p>
        </w:tc>
        <w:tc>
          <w:tcPr>
            <w:tcW w:w="1193" w:type="dxa"/>
            <w:tcBorders>
              <w:top w:val="single" w:sz="4" w:space="0" w:color="auto"/>
              <w:left w:val="single" w:sz="4" w:space="0" w:color="auto"/>
              <w:bottom w:val="single" w:sz="4" w:space="0" w:color="auto"/>
              <w:right w:val="single" w:sz="4" w:space="0" w:color="auto"/>
            </w:tcBorders>
            <w:noWrap/>
            <w:vAlign w:val="center"/>
          </w:tcPr>
          <w:p w:rsidR="00C26502" w:rsidRPr="004C7EAD" w:rsidRDefault="00C26502" w:rsidP="00C26502">
            <w:pPr>
              <w:overflowPunct w:val="0"/>
              <w:autoSpaceDE w:val="0"/>
              <w:autoSpaceDN w:val="0"/>
              <w:adjustRightInd w:val="0"/>
              <w:jc w:val="center"/>
            </w:pPr>
            <w:r w:rsidRPr="004C7EAD">
              <w:t>≥ 235</w:t>
            </w:r>
          </w:p>
        </w:tc>
        <w:tc>
          <w:tcPr>
            <w:tcW w:w="900" w:type="dxa"/>
            <w:tcBorders>
              <w:top w:val="nil"/>
              <w:left w:val="single" w:sz="4" w:space="0" w:color="auto"/>
              <w:bottom w:val="single" w:sz="4" w:space="0" w:color="auto"/>
              <w:right w:val="single" w:sz="4" w:space="0" w:color="auto"/>
            </w:tcBorders>
            <w:noWrap/>
            <w:vAlign w:val="center"/>
          </w:tcPr>
          <w:p w:rsidR="00C26502" w:rsidRPr="004C7EAD" w:rsidRDefault="00C26502" w:rsidP="00C26502">
            <w:pPr>
              <w:overflowPunct w:val="0"/>
              <w:autoSpaceDE w:val="0"/>
              <w:autoSpaceDN w:val="0"/>
              <w:adjustRightInd w:val="0"/>
              <w:jc w:val="center"/>
            </w:pPr>
            <w:r w:rsidRPr="004C7EAD">
              <w:t>3</w:t>
            </w:r>
          </w:p>
        </w:tc>
      </w:tr>
      <w:tr w:rsidR="00C26502" w:rsidRPr="004C7EAD" w:rsidTr="00C26502">
        <w:trPr>
          <w:cantSplit/>
          <w:trHeight w:val="590"/>
          <w:jc w:val="center"/>
        </w:trPr>
        <w:tc>
          <w:tcPr>
            <w:tcW w:w="1693" w:type="dxa"/>
            <w:vMerge w:val="restart"/>
            <w:tcBorders>
              <w:top w:val="single" w:sz="4" w:space="0" w:color="auto"/>
              <w:left w:val="single" w:sz="4" w:space="0" w:color="auto"/>
              <w:bottom w:val="single" w:sz="4" w:space="0" w:color="auto"/>
              <w:right w:val="single" w:sz="4" w:space="0" w:color="auto"/>
            </w:tcBorders>
            <w:noWrap/>
            <w:vAlign w:val="center"/>
          </w:tcPr>
          <w:p w:rsidR="00C26502" w:rsidRPr="004C7EAD" w:rsidRDefault="00C26502" w:rsidP="00C26502">
            <w:pPr>
              <w:overflowPunct w:val="0"/>
              <w:autoSpaceDE w:val="0"/>
              <w:autoSpaceDN w:val="0"/>
              <w:adjustRightInd w:val="0"/>
              <w:jc w:val="both"/>
            </w:pPr>
            <w:r w:rsidRPr="004C7EAD">
              <w:t>Wymagania</w:t>
            </w:r>
          </w:p>
          <w:p w:rsidR="00C26502" w:rsidRPr="004C7EAD" w:rsidRDefault="00C26502" w:rsidP="00C26502">
            <w:pPr>
              <w:overflowPunct w:val="0"/>
              <w:autoSpaceDE w:val="0"/>
              <w:autoSpaceDN w:val="0"/>
              <w:adjustRightInd w:val="0"/>
              <w:jc w:val="both"/>
            </w:pPr>
            <w:r w:rsidRPr="004C7EAD">
              <w:t>dodatkowe</w:t>
            </w:r>
          </w:p>
        </w:tc>
        <w:tc>
          <w:tcPr>
            <w:tcW w:w="1985" w:type="dxa"/>
            <w:tcBorders>
              <w:top w:val="single" w:sz="4" w:space="0" w:color="auto"/>
              <w:left w:val="single" w:sz="4" w:space="0" w:color="auto"/>
              <w:bottom w:val="single" w:sz="4" w:space="0" w:color="auto"/>
              <w:right w:val="single" w:sz="4" w:space="0" w:color="auto"/>
            </w:tcBorders>
            <w:noWrap/>
            <w:vAlign w:val="center"/>
          </w:tcPr>
          <w:p w:rsidR="00C26502" w:rsidRPr="004C7EAD" w:rsidRDefault="00C26502" w:rsidP="00C26502">
            <w:pPr>
              <w:overflowPunct w:val="0"/>
              <w:autoSpaceDE w:val="0"/>
              <w:autoSpaceDN w:val="0"/>
              <w:adjustRightInd w:val="0"/>
              <w:jc w:val="both"/>
            </w:pPr>
            <w:r w:rsidRPr="004C7EAD">
              <w:t>Temperatura łamliwości</w:t>
            </w:r>
          </w:p>
        </w:tc>
        <w:tc>
          <w:tcPr>
            <w:tcW w:w="1843" w:type="dxa"/>
            <w:tcBorders>
              <w:top w:val="single" w:sz="4" w:space="0" w:color="auto"/>
              <w:left w:val="single" w:sz="4" w:space="0" w:color="auto"/>
              <w:bottom w:val="single" w:sz="4" w:space="0" w:color="auto"/>
              <w:right w:val="single" w:sz="4" w:space="0" w:color="auto"/>
            </w:tcBorders>
            <w:noWrap/>
            <w:vAlign w:val="center"/>
          </w:tcPr>
          <w:p w:rsidR="00C26502" w:rsidRPr="004C7EAD" w:rsidRDefault="00C26502" w:rsidP="00C26502">
            <w:pPr>
              <w:overflowPunct w:val="0"/>
              <w:autoSpaceDE w:val="0"/>
              <w:autoSpaceDN w:val="0"/>
              <w:adjustRightInd w:val="0"/>
              <w:jc w:val="center"/>
            </w:pPr>
            <w:r w:rsidRPr="004C7EAD">
              <w:t>PN-EN 12593 [29]</w:t>
            </w:r>
          </w:p>
        </w:tc>
        <w:tc>
          <w:tcPr>
            <w:tcW w:w="1134" w:type="dxa"/>
            <w:tcBorders>
              <w:top w:val="single" w:sz="4" w:space="0" w:color="auto"/>
              <w:left w:val="single" w:sz="4" w:space="0" w:color="auto"/>
              <w:bottom w:val="single" w:sz="4" w:space="0" w:color="auto"/>
              <w:right w:val="single" w:sz="4" w:space="0" w:color="auto"/>
            </w:tcBorders>
            <w:noWrap/>
            <w:vAlign w:val="center"/>
          </w:tcPr>
          <w:p w:rsidR="00C26502" w:rsidRPr="004C7EAD" w:rsidRDefault="00C26502" w:rsidP="00C26502">
            <w:pPr>
              <w:overflowPunct w:val="0"/>
              <w:autoSpaceDE w:val="0"/>
              <w:autoSpaceDN w:val="0"/>
              <w:adjustRightInd w:val="0"/>
              <w:jc w:val="center"/>
            </w:pPr>
            <w:r w:rsidRPr="004C7EAD">
              <w:t>°C</w:t>
            </w:r>
          </w:p>
        </w:tc>
        <w:tc>
          <w:tcPr>
            <w:tcW w:w="1193" w:type="dxa"/>
            <w:tcBorders>
              <w:top w:val="single" w:sz="4" w:space="0" w:color="auto"/>
              <w:left w:val="single" w:sz="4" w:space="0" w:color="auto"/>
              <w:bottom w:val="single" w:sz="4" w:space="0" w:color="auto"/>
              <w:right w:val="single" w:sz="4" w:space="0" w:color="auto"/>
            </w:tcBorders>
            <w:noWrap/>
            <w:vAlign w:val="center"/>
          </w:tcPr>
          <w:p w:rsidR="00C26502" w:rsidRPr="004C7EAD" w:rsidRDefault="00C26502" w:rsidP="00C26502">
            <w:pPr>
              <w:overflowPunct w:val="0"/>
              <w:autoSpaceDE w:val="0"/>
              <w:autoSpaceDN w:val="0"/>
              <w:adjustRightInd w:val="0"/>
              <w:jc w:val="center"/>
            </w:pPr>
            <w:r w:rsidRPr="004C7EAD">
              <w:t>≤ -12</w:t>
            </w:r>
          </w:p>
        </w:tc>
        <w:tc>
          <w:tcPr>
            <w:tcW w:w="900" w:type="dxa"/>
            <w:tcBorders>
              <w:top w:val="single" w:sz="4" w:space="0" w:color="auto"/>
              <w:left w:val="single" w:sz="4" w:space="0" w:color="auto"/>
              <w:bottom w:val="single" w:sz="4" w:space="0" w:color="auto"/>
              <w:right w:val="single" w:sz="4" w:space="0" w:color="auto"/>
            </w:tcBorders>
            <w:noWrap/>
            <w:vAlign w:val="center"/>
          </w:tcPr>
          <w:p w:rsidR="00C26502" w:rsidRPr="004C7EAD" w:rsidRDefault="00C26502" w:rsidP="00C26502">
            <w:pPr>
              <w:overflowPunct w:val="0"/>
              <w:autoSpaceDE w:val="0"/>
              <w:autoSpaceDN w:val="0"/>
              <w:adjustRightInd w:val="0"/>
              <w:jc w:val="center"/>
            </w:pPr>
            <w:r w:rsidRPr="004C7EAD">
              <w:t>6</w:t>
            </w:r>
          </w:p>
        </w:tc>
      </w:tr>
      <w:tr w:rsidR="00C26502" w:rsidRPr="004C7EAD" w:rsidTr="00C26502">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C26502" w:rsidRPr="004C7EAD" w:rsidRDefault="00C26502" w:rsidP="00C26502"/>
        </w:tc>
        <w:tc>
          <w:tcPr>
            <w:tcW w:w="1985" w:type="dxa"/>
            <w:tcBorders>
              <w:top w:val="single" w:sz="4" w:space="0" w:color="auto"/>
              <w:left w:val="single" w:sz="4" w:space="0" w:color="auto"/>
              <w:bottom w:val="single" w:sz="4" w:space="0" w:color="auto"/>
              <w:right w:val="single" w:sz="4" w:space="0" w:color="auto"/>
            </w:tcBorders>
            <w:noWrap/>
            <w:vAlign w:val="center"/>
          </w:tcPr>
          <w:p w:rsidR="00C26502" w:rsidRPr="004C7EAD" w:rsidRDefault="00C26502" w:rsidP="00C26502">
            <w:pPr>
              <w:overflowPunct w:val="0"/>
              <w:autoSpaceDE w:val="0"/>
              <w:autoSpaceDN w:val="0"/>
              <w:adjustRightInd w:val="0"/>
              <w:jc w:val="both"/>
            </w:pPr>
            <w:r w:rsidRPr="004C7EAD">
              <w:t xml:space="preserve">Nawrót sprężysty w </w:t>
            </w:r>
            <w:smartTag w:uri="urn:schemas-microsoft-com:office:smarttags" w:element="metricconverter">
              <w:smartTagPr>
                <w:attr w:name="ProductID" w:val="25ﾰC"/>
              </w:smartTagPr>
              <w:r w:rsidRPr="004C7EAD">
                <w:t>25°C</w:t>
              </w:r>
            </w:smartTag>
          </w:p>
        </w:tc>
        <w:tc>
          <w:tcPr>
            <w:tcW w:w="1843" w:type="dxa"/>
            <w:tcBorders>
              <w:top w:val="single" w:sz="4" w:space="0" w:color="auto"/>
              <w:left w:val="single" w:sz="4" w:space="0" w:color="auto"/>
              <w:bottom w:val="single" w:sz="4" w:space="0" w:color="auto"/>
              <w:right w:val="single" w:sz="4" w:space="0" w:color="auto"/>
            </w:tcBorders>
            <w:noWrap/>
            <w:vAlign w:val="center"/>
          </w:tcPr>
          <w:p w:rsidR="00C26502" w:rsidRPr="004C7EAD" w:rsidRDefault="00C26502" w:rsidP="00C26502">
            <w:pPr>
              <w:overflowPunct w:val="0"/>
              <w:autoSpaceDE w:val="0"/>
              <w:autoSpaceDN w:val="0"/>
              <w:adjustRightInd w:val="0"/>
            </w:pPr>
            <w:r w:rsidRPr="004C7EAD">
              <w:t>PN-EN 13398 [51]</w:t>
            </w:r>
          </w:p>
        </w:tc>
        <w:tc>
          <w:tcPr>
            <w:tcW w:w="1134" w:type="dxa"/>
            <w:tcBorders>
              <w:top w:val="single" w:sz="4" w:space="0" w:color="auto"/>
              <w:left w:val="single" w:sz="4" w:space="0" w:color="auto"/>
              <w:bottom w:val="single" w:sz="4" w:space="0" w:color="auto"/>
              <w:right w:val="single" w:sz="4" w:space="0" w:color="auto"/>
            </w:tcBorders>
            <w:noWrap/>
            <w:vAlign w:val="center"/>
          </w:tcPr>
          <w:p w:rsidR="00C26502" w:rsidRPr="004C7EAD" w:rsidRDefault="00C26502" w:rsidP="00C26502">
            <w:pPr>
              <w:overflowPunct w:val="0"/>
              <w:autoSpaceDE w:val="0"/>
              <w:autoSpaceDN w:val="0"/>
              <w:adjustRightInd w:val="0"/>
              <w:jc w:val="center"/>
            </w:pPr>
            <w:r w:rsidRPr="004C7EAD">
              <w:t>%</w:t>
            </w:r>
          </w:p>
        </w:tc>
        <w:tc>
          <w:tcPr>
            <w:tcW w:w="1193" w:type="dxa"/>
            <w:tcBorders>
              <w:top w:val="single" w:sz="4" w:space="0" w:color="auto"/>
              <w:left w:val="single" w:sz="4" w:space="0" w:color="auto"/>
              <w:bottom w:val="single" w:sz="4" w:space="0" w:color="auto"/>
              <w:right w:val="single" w:sz="4" w:space="0" w:color="auto"/>
            </w:tcBorders>
            <w:noWrap/>
            <w:vAlign w:val="center"/>
          </w:tcPr>
          <w:p w:rsidR="00C26502" w:rsidRPr="004C7EAD" w:rsidRDefault="00C26502" w:rsidP="00C26502">
            <w:pPr>
              <w:overflowPunct w:val="0"/>
              <w:autoSpaceDE w:val="0"/>
              <w:autoSpaceDN w:val="0"/>
              <w:adjustRightInd w:val="0"/>
              <w:jc w:val="center"/>
            </w:pPr>
            <w:r w:rsidRPr="004C7EAD">
              <w:t>≥ 50</w:t>
            </w:r>
          </w:p>
        </w:tc>
        <w:tc>
          <w:tcPr>
            <w:tcW w:w="900" w:type="dxa"/>
            <w:tcBorders>
              <w:top w:val="nil"/>
              <w:left w:val="single" w:sz="4" w:space="0" w:color="auto"/>
              <w:bottom w:val="single" w:sz="4" w:space="0" w:color="auto"/>
              <w:right w:val="single" w:sz="4" w:space="0" w:color="auto"/>
            </w:tcBorders>
            <w:noWrap/>
            <w:vAlign w:val="center"/>
          </w:tcPr>
          <w:p w:rsidR="00C26502" w:rsidRPr="004C7EAD" w:rsidRDefault="00C26502" w:rsidP="00C26502">
            <w:pPr>
              <w:overflowPunct w:val="0"/>
              <w:autoSpaceDE w:val="0"/>
              <w:autoSpaceDN w:val="0"/>
              <w:adjustRightInd w:val="0"/>
              <w:jc w:val="center"/>
            </w:pPr>
            <w:r w:rsidRPr="004C7EAD">
              <w:t>5</w:t>
            </w:r>
          </w:p>
        </w:tc>
      </w:tr>
      <w:tr w:rsidR="00C26502" w:rsidRPr="004C7EAD" w:rsidTr="00C26502">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C26502" w:rsidRPr="004C7EAD" w:rsidRDefault="00C26502" w:rsidP="00C26502"/>
        </w:tc>
        <w:tc>
          <w:tcPr>
            <w:tcW w:w="1985" w:type="dxa"/>
            <w:tcBorders>
              <w:top w:val="single" w:sz="4" w:space="0" w:color="auto"/>
              <w:left w:val="single" w:sz="4" w:space="0" w:color="auto"/>
              <w:bottom w:val="single" w:sz="4" w:space="0" w:color="auto"/>
              <w:right w:val="single" w:sz="4" w:space="0" w:color="auto"/>
            </w:tcBorders>
            <w:noWrap/>
            <w:vAlign w:val="center"/>
          </w:tcPr>
          <w:p w:rsidR="00C26502" w:rsidRPr="004C7EAD" w:rsidRDefault="00C26502" w:rsidP="00C26502">
            <w:pPr>
              <w:overflowPunct w:val="0"/>
              <w:autoSpaceDE w:val="0"/>
              <w:autoSpaceDN w:val="0"/>
              <w:adjustRightInd w:val="0"/>
              <w:jc w:val="both"/>
            </w:pPr>
            <w:r w:rsidRPr="004C7EAD">
              <w:t xml:space="preserve">Nawrót sprężysty w </w:t>
            </w:r>
            <w:smartTag w:uri="urn:schemas-microsoft-com:office:smarttags" w:element="metricconverter">
              <w:smartTagPr>
                <w:attr w:name="ProductID" w:val="10ﾰC"/>
              </w:smartTagPr>
              <w:r w:rsidRPr="004C7EAD">
                <w:t>10°C</w:t>
              </w:r>
            </w:smartTag>
          </w:p>
        </w:tc>
        <w:tc>
          <w:tcPr>
            <w:tcW w:w="1843" w:type="dxa"/>
            <w:tcBorders>
              <w:top w:val="single" w:sz="4" w:space="0" w:color="auto"/>
              <w:left w:val="single" w:sz="4" w:space="0" w:color="auto"/>
              <w:bottom w:val="single" w:sz="4" w:space="0" w:color="auto"/>
              <w:right w:val="single" w:sz="4" w:space="0" w:color="auto"/>
            </w:tcBorders>
            <w:noWrap/>
            <w:vAlign w:val="center"/>
          </w:tcPr>
          <w:p w:rsidR="00C26502" w:rsidRPr="004C7EAD" w:rsidRDefault="00C26502" w:rsidP="00C26502">
            <w:pPr>
              <w:overflowPunct w:val="0"/>
              <w:autoSpaceDE w:val="0"/>
              <w:autoSpaceDN w:val="0"/>
              <w:adjustRightInd w:val="0"/>
              <w:jc w:val="center"/>
            </w:pPr>
          </w:p>
        </w:tc>
        <w:tc>
          <w:tcPr>
            <w:tcW w:w="1134" w:type="dxa"/>
            <w:tcBorders>
              <w:top w:val="single" w:sz="4" w:space="0" w:color="auto"/>
              <w:left w:val="single" w:sz="4" w:space="0" w:color="auto"/>
              <w:bottom w:val="single" w:sz="4" w:space="0" w:color="auto"/>
              <w:right w:val="single" w:sz="4" w:space="0" w:color="auto"/>
            </w:tcBorders>
            <w:noWrap/>
            <w:vAlign w:val="center"/>
          </w:tcPr>
          <w:p w:rsidR="00C26502" w:rsidRPr="004C7EAD" w:rsidRDefault="00C26502" w:rsidP="00C26502">
            <w:pPr>
              <w:overflowPunct w:val="0"/>
              <w:autoSpaceDE w:val="0"/>
              <w:autoSpaceDN w:val="0"/>
              <w:adjustRightInd w:val="0"/>
              <w:jc w:val="center"/>
            </w:pPr>
          </w:p>
        </w:tc>
        <w:tc>
          <w:tcPr>
            <w:tcW w:w="1193" w:type="dxa"/>
            <w:tcBorders>
              <w:top w:val="single" w:sz="4" w:space="0" w:color="auto"/>
              <w:left w:val="single" w:sz="4" w:space="0" w:color="auto"/>
              <w:bottom w:val="single" w:sz="4" w:space="0" w:color="auto"/>
              <w:right w:val="single" w:sz="4" w:space="0" w:color="auto"/>
            </w:tcBorders>
            <w:noWrap/>
            <w:vAlign w:val="center"/>
          </w:tcPr>
          <w:p w:rsidR="00C26502" w:rsidRPr="004C7EAD" w:rsidRDefault="00C26502" w:rsidP="00C26502">
            <w:pPr>
              <w:overflowPunct w:val="0"/>
              <w:autoSpaceDE w:val="0"/>
              <w:autoSpaceDN w:val="0"/>
              <w:adjustRightInd w:val="0"/>
              <w:jc w:val="center"/>
            </w:pPr>
            <w:r w:rsidRPr="004C7EAD">
              <w:t>NPD</w:t>
            </w:r>
            <w:r w:rsidRPr="004C7EAD">
              <w:rPr>
                <w:vertAlign w:val="superscript"/>
              </w:rPr>
              <w:t>a</w:t>
            </w:r>
          </w:p>
        </w:tc>
        <w:tc>
          <w:tcPr>
            <w:tcW w:w="900" w:type="dxa"/>
            <w:tcBorders>
              <w:top w:val="single" w:sz="4" w:space="0" w:color="auto"/>
              <w:left w:val="single" w:sz="4" w:space="0" w:color="auto"/>
              <w:bottom w:val="single" w:sz="4" w:space="0" w:color="auto"/>
              <w:right w:val="single" w:sz="4" w:space="0" w:color="auto"/>
            </w:tcBorders>
            <w:noWrap/>
            <w:vAlign w:val="center"/>
          </w:tcPr>
          <w:p w:rsidR="00C26502" w:rsidRPr="004C7EAD" w:rsidRDefault="00C26502" w:rsidP="00C26502">
            <w:pPr>
              <w:overflowPunct w:val="0"/>
              <w:autoSpaceDE w:val="0"/>
              <w:autoSpaceDN w:val="0"/>
              <w:adjustRightInd w:val="0"/>
              <w:jc w:val="center"/>
            </w:pPr>
            <w:r w:rsidRPr="004C7EAD">
              <w:t>0</w:t>
            </w:r>
          </w:p>
        </w:tc>
      </w:tr>
      <w:tr w:rsidR="00C26502" w:rsidRPr="004C7EAD" w:rsidTr="00C26502">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C26502" w:rsidRPr="004C7EAD" w:rsidRDefault="00C26502" w:rsidP="00C26502"/>
        </w:tc>
        <w:tc>
          <w:tcPr>
            <w:tcW w:w="1985" w:type="dxa"/>
            <w:tcBorders>
              <w:top w:val="single" w:sz="4" w:space="0" w:color="auto"/>
              <w:left w:val="single" w:sz="4" w:space="0" w:color="auto"/>
              <w:bottom w:val="single" w:sz="4" w:space="0" w:color="auto"/>
              <w:right w:val="single" w:sz="4" w:space="0" w:color="auto"/>
            </w:tcBorders>
            <w:noWrap/>
            <w:vAlign w:val="center"/>
          </w:tcPr>
          <w:p w:rsidR="00C26502" w:rsidRPr="004C7EAD" w:rsidRDefault="00C26502" w:rsidP="00C26502">
            <w:pPr>
              <w:overflowPunct w:val="0"/>
              <w:autoSpaceDE w:val="0"/>
              <w:autoSpaceDN w:val="0"/>
              <w:adjustRightInd w:val="0"/>
              <w:jc w:val="both"/>
            </w:pPr>
            <w:r w:rsidRPr="004C7EAD">
              <w:t>Zakres plastyczności</w:t>
            </w:r>
          </w:p>
        </w:tc>
        <w:tc>
          <w:tcPr>
            <w:tcW w:w="1843" w:type="dxa"/>
            <w:tcBorders>
              <w:top w:val="single" w:sz="4" w:space="0" w:color="auto"/>
              <w:left w:val="single" w:sz="4" w:space="0" w:color="auto"/>
              <w:bottom w:val="single" w:sz="4" w:space="0" w:color="auto"/>
              <w:right w:val="single" w:sz="4" w:space="0" w:color="auto"/>
            </w:tcBorders>
            <w:noWrap/>
            <w:vAlign w:val="center"/>
          </w:tcPr>
          <w:p w:rsidR="00C26502" w:rsidRPr="004C7EAD" w:rsidRDefault="00C26502" w:rsidP="00C26502">
            <w:pPr>
              <w:overflowPunct w:val="0"/>
              <w:autoSpaceDE w:val="0"/>
              <w:autoSpaceDN w:val="0"/>
              <w:adjustRightInd w:val="0"/>
              <w:jc w:val="center"/>
              <w:rPr>
                <w:lang w:val="de-DE"/>
              </w:rPr>
            </w:pPr>
            <w:r w:rsidRPr="004C7EAD">
              <w:rPr>
                <w:lang w:val="de-DE"/>
              </w:rPr>
              <w:t>PN-EN 14023 [59] Punkt 5.1.9</w:t>
            </w:r>
          </w:p>
        </w:tc>
        <w:tc>
          <w:tcPr>
            <w:tcW w:w="1134" w:type="dxa"/>
            <w:tcBorders>
              <w:top w:val="single" w:sz="4" w:space="0" w:color="auto"/>
              <w:left w:val="single" w:sz="4" w:space="0" w:color="auto"/>
              <w:bottom w:val="single" w:sz="4" w:space="0" w:color="auto"/>
              <w:right w:val="single" w:sz="4" w:space="0" w:color="auto"/>
            </w:tcBorders>
            <w:noWrap/>
            <w:vAlign w:val="center"/>
          </w:tcPr>
          <w:p w:rsidR="00C26502" w:rsidRPr="004C7EAD" w:rsidRDefault="00C26502" w:rsidP="00C26502">
            <w:pPr>
              <w:overflowPunct w:val="0"/>
              <w:autoSpaceDE w:val="0"/>
              <w:autoSpaceDN w:val="0"/>
              <w:adjustRightInd w:val="0"/>
              <w:jc w:val="center"/>
            </w:pPr>
            <w:r w:rsidRPr="004C7EAD">
              <w:t>°C</w:t>
            </w:r>
          </w:p>
        </w:tc>
        <w:tc>
          <w:tcPr>
            <w:tcW w:w="1193" w:type="dxa"/>
            <w:tcBorders>
              <w:top w:val="single" w:sz="4" w:space="0" w:color="auto"/>
              <w:left w:val="single" w:sz="4" w:space="0" w:color="auto"/>
              <w:bottom w:val="single" w:sz="4" w:space="0" w:color="auto"/>
              <w:right w:val="single" w:sz="4" w:space="0" w:color="auto"/>
            </w:tcBorders>
            <w:noWrap/>
            <w:vAlign w:val="center"/>
          </w:tcPr>
          <w:p w:rsidR="00C26502" w:rsidRPr="004C7EAD" w:rsidRDefault="00C26502" w:rsidP="00C26502">
            <w:pPr>
              <w:overflowPunct w:val="0"/>
              <w:autoSpaceDE w:val="0"/>
              <w:autoSpaceDN w:val="0"/>
              <w:adjustRightInd w:val="0"/>
              <w:jc w:val="center"/>
              <w:rPr>
                <w:vertAlign w:val="superscript"/>
              </w:rPr>
            </w:pPr>
            <w:r w:rsidRPr="004C7EAD">
              <w:t>TBR</w:t>
            </w:r>
            <w:r w:rsidRPr="004C7EAD">
              <w:rPr>
                <w:vertAlign w:val="superscript"/>
              </w:rPr>
              <w:t>b</w:t>
            </w:r>
          </w:p>
        </w:tc>
        <w:tc>
          <w:tcPr>
            <w:tcW w:w="900" w:type="dxa"/>
            <w:tcBorders>
              <w:top w:val="single" w:sz="4" w:space="0" w:color="auto"/>
              <w:left w:val="single" w:sz="4" w:space="0" w:color="auto"/>
              <w:bottom w:val="single" w:sz="4" w:space="0" w:color="auto"/>
              <w:right w:val="single" w:sz="4" w:space="0" w:color="auto"/>
            </w:tcBorders>
            <w:noWrap/>
            <w:vAlign w:val="center"/>
          </w:tcPr>
          <w:p w:rsidR="00C26502" w:rsidRPr="004C7EAD" w:rsidRDefault="00C26502" w:rsidP="00C26502">
            <w:pPr>
              <w:overflowPunct w:val="0"/>
              <w:autoSpaceDE w:val="0"/>
              <w:autoSpaceDN w:val="0"/>
              <w:adjustRightInd w:val="0"/>
              <w:jc w:val="center"/>
            </w:pPr>
            <w:r w:rsidRPr="004C7EAD">
              <w:t>1</w:t>
            </w:r>
          </w:p>
        </w:tc>
      </w:tr>
      <w:tr w:rsidR="00C26502" w:rsidRPr="004C7EAD" w:rsidTr="00C26502">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C26502" w:rsidRPr="004C7EAD" w:rsidRDefault="00C26502" w:rsidP="00C26502"/>
        </w:tc>
        <w:tc>
          <w:tcPr>
            <w:tcW w:w="1985" w:type="dxa"/>
            <w:tcBorders>
              <w:top w:val="single" w:sz="4" w:space="0" w:color="auto"/>
              <w:left w:val="single" w:sz="4" w:space="0" w:color="auto"/>
              <w:bottom w:val="single" w:sz="4" w:space="0" w:color="auto"/>
              <w:right w:val="single" w:sz="4" w:space="0" w:color="auto"/>
            </w:tcBorders>
            <w:noWrap/>
            <w:vAlign w:val="center"/>
          </w:tcPr>
          <w:p w:rsidR="00C26502" w:rsidRPr="004C7EAD" w:rsidRDefault="00C26502" w:rsidP="00C26502">
            <w:pPr>
              <w:overflowPunct w:val="0"/>
              <w:autoSpaceDE w:val="0"/>
              <w:autoSpaceDN w:val="0"/>
              <w:adjustRightInd w:val="0"/>
              <w:jc w:val="both"/>
            </w:pPr>
            <w:r w:rsidRPr="004C7EAD">
              <w:t>Stabilność magazynowania. Różnica temperatur mięknienia</w:t>
            </w:r>
          </w:p>
        </w:tc>
        <w:tc>
          <w:tcPr>
            <w:tcW w:w="1843" w:type="dxa"/>
            <w:tcBorders>
              <w:top w:val="single" w:sz="4" w:space="0" w:color="auto"/>
              <w:left w:val="single" w:sz="4" w:space="0" w:color="auto"/>
              <w:bottom w:val="single" w:sz="4" w:space="0" w:color="auto"/>
              <w:right w:val="single" w:sz="4" w:space="0" w:color="auto"/>
            </w:tcBorders>
            <w:noWrap/>
            <w:vAlign w:val="center"/>
          </w:tcPr>
          <w:p w:rsidR="00C26502" w:rsidRPr="004C7EAD" w:rsidRDefault="00C26502" w:rsidP="00C26502">
            <w:pPr>
              <w:overflowPunct w:val="0"/>
              <w:autoSpaceDE w:val="0"/>
              <w:autoSpaceDN w:val="0"/>
              <w:adjustRightInd w:val="0"/>
              <w:jc w:val="center"/>
              <w:rPr>
                <w:lang w:val="de-DE"/>
              </w:rPr>
            </w:pPr>
            <w:r w:rsidRPr="004C7EAD">
              <w:rPr>
                <w:lang w:val="de-DE"/>
              </w:rPr>
              <w:t>PN-EN 13399 [52]</w:t>
            </w:r>
          </w:p>
          <w:p w:rsidR="00C26502" w:rsidRPr="004C7EAD" w:rsidRDefault="00C26502" w:rsidP="00C26502">
            <w:pPr>
              <w:overflowPunct w:val="0"/>
              <w:autoSpaceDE w:val="0"/>
              <w:autoSpaceDN w:val="0"/>
              <w:adjustRightInd w:val="0"/>
              <w:jc w:val="center"/>
              <w:rPr>
                <w:lang w:val="de-DE"/>
              </w:rPr>
            </w:pPr>
            <w:r w:rsidRPr="004C7EAD">
              <w:rPr>
                <w:lang w:val="de-DE"/>
              </w:rPr>
              <w:t>PN-EN 1427 [22]</w:t>
            </w:r>
          </w:p>
        </w:tc>
        <w:tc>
          <w:tcPr>
            <w:tcW w:w="1134" w:type="dxa"/>
            <w:tcBorders>
              <w:top w:val="single" w:sz="4" w:space="0" w:color="auto"/>
              <w:left w:val="single" w:sz="4" w:space="0" w:color="auto"/>
              <w:bottom w:val="single" w:sz="4" w:space="0" w:color="auto"/>
              <w:right w:val="single" w:sz="4" w:space="0" w:color="auto"/>
            </w:tcBorders>
            <w:noWrap/>
            <w:vAlign w:val="center"/>
          </w:tcPr>
          <w:p w:rsidR="00C26502" w:rsidRPr="004C7EAD" w:rsidRDefault="00C26502" w:rsidP="00C26502">
            <w:pPr>
              <w:overflowPunct w:val="0"/>
              <w:autoSpaceDE w:val="0"/>
              <w:autoSpaceDN w:val="0"/>
              <w:adjustRightInd w:val="0"/>
              <w:jc w:val="center"/>
            </w:pPr>
            <w:r w:rsidRPr="004C7EAD">
              <w:t>°C</w:t>
            </w:r>
          </w:p>
        </w:tc>
        <w:tc>
          <w:tcPr>
            <w:tcW w:w="1193" w:type="dxa"/>
            <w:tcBorders>
              <w:top w:val="single" w:sz="4" w:space="0" w:color="auto"/>
              <w:left w:val="single" w:sz="4" w:space="0" w:color="auto"/>
              <w:bottom w:val="single" w:sz="4" w:space="0" w:color="auto"/>
              <w:right w:val="single" w:sz="4" w:space="0" w:color="auto"/>
            </w:tcBorders>
            <w:noWrap/>
            <w:vAlign w:val="center"/>
          </w:tcPr>
          <w:p w:rsidR="00C26502" w:rsidRPr="004C7EAD" w:rsidRDefault="00C26502" w:rsidP="00C26502">
            <w:pPr>
              <w:overflowPunct w:val="0"/>
              <w:autoSpaceDE w:val="0"/>
              <w:autoSpaceDN w:val="0"/>
              <w:adjustRightInd w:val="0"/>
              <w:jc w:val="center"/>
            </w:pPr>
            <w:r w:rsidRPr="004C7EAD">
              <w:t>≤ 5</w:t>
            </w:r>
          </w:p>
        </w:tc>
        <w:tc>
          <w:tcPr>
            <w:tcW w:w="900" w:type="dxa"/>
            <w:tcBorders>
              <w:top w:val="single" w:sz="4" w:space="0" w:color="auto"/>
              <w:left w:val="single" w:sz="4" w:space="0" w:color="auto"/>
              <w:bottom w:val="single" w:sz="4" w:space="0" w:color="auto"/>
              <w:right w:val="single" w:sz="4" w:space="0" w:color="auto"/>
            </w:tcBorders>
            <w:noWrap/>
            <w:vAlign w:val="center"/>
          </w:tcPr>
          <w:p w:rsidR="00C26502" w:rsidRPr="004C7EAD" w:rsidRDefault="00C26502" w:rsidP="00C26502">
            <w:pPr>
              <w:overflowPunct w:val="0"/>
              <w:autoSpaceDE w:val="0"/>
              <w:autoSpaceDN w:val="0"/>
              <w:adjustRightInd w:val="0"/>
              <w:jc w:val="center"/>
            </w:pPr>
            <w:r w:rsidRPr="004C7EAD">
              <w:t>2</w:t>
            </w:r>
          </w:p>
        </w:tc>
      </w:tr>
      <w:tr w:rsidR="00C26502" w:rsidRPr="004C7EAD" w:rsidTr="00C26502">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C26502" w:rsidRPr="004C7EAD" w:rsidRDefault="00C26502" w:rsidP="00C26502"/>
        </w:tc>
        <w:tc>
          <w:tcPr>
            <w:tcW w:w="1985" w:type="dxa"/>
            <w:tcBorders>
              <w:top w:val="single" w:sz="4" w:space="0" w:color="auto"/>
              <w:left w:val="single" w:sz="4" w:space="0" w:color="auto"/>
              <w:bottom w:val="single" w:sz="4" w:space="0" w:color="auto"/>
              <w:right w:val="single" w:sz="4" w:space="0" w:color="auto"/>
            </w:tcBorders>
            <w:noWrap/>
            <w:vAlign w:val="center"/>
          </w:tcPr>
          <w:p w:rsidR="00C26502" w:rsidRPr="004C7EAD" w:rsidRDefault="00C26502" w:rsidP="00C26502">
            <w:pPr>
              <w:overflowPunct w:val="0"/>
              <w:autoSpaceDE w:val="0"/>
              <w:autoSpaceDN w:val="0"/>
              <w:adjustRightInd w:val="0"/>
              <w:jc w:val="both"/>
            </w:pPr>
            <w:r w:rsidRPr="004C7EAD">
              <w:t>Stabilność magazynowania. Różnica penetracji</w:t>
            </w:r>
          </w:p>
        </w:tc>
        <w:tc>
          <w:tcPr>
            <w:tcW w:w="1843" w:type="dxa"/>
            <w:tcBorders>
              <w:top w:val="single" w:sz="4" w:space="0" w:color="auto"/>
              <w:left w:val="single" w:sz="4" w:space="0" w:color="auto"/>
              <w:bottom w:val="single" w:sz="4" w:space="0" w:color="auto"/>
              <w:right w:val="single" w:sz="4" w:space="0" w:color="auto"/>
            </w:tcBorders>
            <w:noWrap/>
            <w:vAlign w:val="center"/>
          </w:tcPr>
          <w:p w:rsidR="00C26502" w:rsidRPr="004C7EAD" w:rsidRDefault="00C26502" w:rsidP="00C26502">
            <w:pPr>
              <w:overflowPunct w:val="0"/>
              <w:autoSpaceDE w:val="0"/>
              <w:autoSpaceDN w:val="0"/>
              <w:adjustRightInd w:val="0"/>
              <w:jc w:val="center"/>
            </w:pPr>
            <w:r w:rsidRPr="004C7EAD">
              <w:t>PN-EN 13399 [52]</w:t>
            </w:r>
          </w:p>
          <w:p w:rsidR="00C26502" w:rsidRPr="004C7EAD" w:rsidRDefault="00C26502" w:rsidP="00C26502">
            <w:pPr>
              <w:overflowPunct w:val="0"/>
              <w:autoSpaceDE w:val="0"/>
              <w:autoSpaceDN w:val="0"/>
              <w:adjustRightInd w:val="0"/>
              <w:jc w:val="center"/>
              <w:rPr>
                <w:lang w:val="de-DE"/>
              </w:rPr>
            </w:pPr>
            <w:r w:rsidRPr="004C7EAD">
              <w:rPr>
                <w:lang w:val="de-DE"/>
              </w:rPr>
              <w:t>PN-EN 1426 [21]</w:t>
            </w:r>
          </w:p>
        </w:tc>
        <w:tc>
          <w:tcPr>
            <w:tcW w:w="1134" w:type="dxa"/>
            <w:tcBorders>
              <w:top w:val="single" w:sz="4" w:space="0" w:color="auto"/>
              <w:left w:val="single" w:sz="4" w:space="0" w:color="auto"/>
              <w:bottom w:val="single" w:sz="4" w:space="0" w:color="auto"/>
              <w:right w:val="single" w:sz="4" w:space="0" w:color="auto"/>
            </w:tcBorders>
            <w:noWrap/>
            <w:vAlign w:val="center"/>
          </w:tcPr>
          <w:p w:rsidR="00C26502" w:rsidRPr="004C7EAD" w:rsidRDefault="00C26502" w:rsidP="00C26502">
            <w:pPr>
              <w:overflowPunct w:val="0"/>
              <w:autoSpaceDE w:val="0"/>
              <w:autoSpaceDN w:val="0"/>
              <w:adjustRightInd w:val="0"/>
              <w:jc w:val="center"/>
              <w:rPr>
                <w:lang w:val="de-DE"/>
              </w:rPr>
            </w:pPr>
            <w:smartTag w:uri="urn:schemas-microsoft-com:office:smarttags" w:element="metricconverter">
              <w:smartTagPr>
                <w:attr w:name="ProductID" w:val="0,1 mm"/>
              </w:smartTagPr>
              <w:r w:rsidRPr="004C7EAD">
                <w:rPr>
                  <w:lang w:val="de-DE"/>
                </w:rPr>
                <w:t>0,1 mm</w:t>
              </w:r>
            </w:smartTag>
          </w:p>
        </w:tc>
        <w:tc>
          <w:tcPr>
            <w:tcW w:w="1193" w:type="dxa"/>
            <w:tcBorders>
              <w:top w:val="single" w:sz="4" w:space="0" w:color="auto"/>
              <w:left w:val="single" w:sz="4" w:space="0" w:color="auto"/>
              <w:bottom w:val="single" w:sz="4" w:space="0" w:color="auto"/>
              <w:right w:val="single" w:sz="4" w:space="0" w:color="auto"/>
            </w:tcBorders>
            <w:noWrap/>
            <w:vAlign w:val="center"/>
          </w:tcPr>
          <w:p w:rsidR="00C26502" w:rsidRPr="004C7EAD" w:rsidRDefault="00C26502" w:rsidP="00C26502">
            <w:pPr>
              <w:overflowPunct w:val="0"/>
              <w:autoSpaceDE w:val="0"/>
              <w:autoSpaceDN w:val="0"/>
              <w:adjustRightInd w:val="0"/>
              <w:jc w:val="center"/>
            </w:pPr>
            <w:r w:rsidRPr="004C7EAD">
              <w:t>NPD</w:t>
            </w:r>
            <w:r w:rsidRPr="004C7EAD">
              <w:rPr>
                <w:vertAlign w:val="superscript"/>
              </w:rPr>
              <w:t>a</w:t>
            </w:r>
          </w:p>
        </w:tc>
        <w:tc>
          <w:tcPr>
            <w:tcW w:w="900" w:type="dxa"/>
            <w:tcBorders>
              <w:top w:val="single" w:sz="4" w:space="0" w:color="auto"/>
              <w:left w:val="single" w:sz="4" w:space="0" w:color="auto"/>
              <w:bottom w:val="single" w:sz="4" w:space="0" w:color="auto"/>
              <w:right w:val="single" w:sz="4" w:space="0" w:color="auto"/>
            </w:tcBorders>
            <w:noWrap/>
            <w:vAlign w:val="center"/>
          </w:tcPr>
          <w:p w:rsidR="00C26502" w:rsidRPr="004C7EAD" w:rsidRDefault="00C26502" w:rsidP="00C26502">
            <w:pPr>
              <w:overflowPunct w:val="0"/>
              <w:autoSpaceDE w:val="0"/>
              <w:autoSpaceDN w:val="0"/>
              <w:adjustRightInd w:val="0"/>
              <w:jc w:val="center"/>
            </w:pPr>
            <w:r w:rsidRPr="004C7EAD">
              <w:t>0</w:t>
            </w:r>
          </w:p>
        </w:tc>
      </w:tr>
      <w:tr w:rsidR="00C26502" w:rsidRPr="004C7EAD" w:rsidTr="00C26502">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C26502" w:rsidRPr="004C7EAD" w:rsidRDefault="00C26502" w:rsidP="00C26502"/>
        </w:tc>
        <w:tc>
          <w:tcPr>
            <w:tcW w:w="1985" w:type="dxa"/>
            <w:tcBorders>
              <w:top w:val="single" w:sz="4" w:space="0" w:color="auto"/>
              <w:left w:val="single" w:sz="4" w:space="0" w:color="auto"/>
              <w:bottom w:val="single" w:sz="4" w:space="0" w:color="auto"/>
              <w:right w:val="single" w:sz="4" w:space="0" w:color="auto"/>
            </w:tcBorders>
            <w:noWrap/>
            <w:vAlign w:val="center"/>
          </w:tcPr>
          <w:p w:rsidR="00C26502" w:rsidRPr="004C7EAD" w:rsidRDefault="00C26502" w:rsidP="00C26502">
            <w:pPr>
              <w:overflowPunct w:val="0"/>
              <w:autoSpaceDE w:val="0"/>
              <w:autoSpaceDN w:val="0"/>
              <w:adjustRightInd w:val="0"/>
            </w:pPr>
            <w:r w:rsidRPr="004C7EAD">
              <w:t>Spadek temperatury mięknienia po starzeniu wg PN-EN 12607</w:t>
            </w:r>
          </w:p>
          <w:p w:rsidR="00C26502" w:rsidRPr="004C7EAD" w:rsidRDefault="00C26502" w:rsidP="00C26502">
            <w:pPr>
              <w:overflowPunct w:val="0"/>
              <w:autoSpaceDE w:val="0"/>
              <w:autoSpaceDN w:val="0"/>
              <w:adjustRightInd w:val="0"/>
              <w:jc w:val="both"/>
              <w:rPr>
                <w:lang w:val="de-DE"/>
              </w:rPr>
            </w:pPr>
            <w:r w:rsidRPr="004C7EAD">
              <w:rPr>
                <w:lang w:val="de-DE"/>
              </w:rPr>
              <w:t>-1 lub -3 [31]</w:t>
            </w:r>
          </w:p>
        </w:tc>
        <w:tc>
          <w:tcPr>
            <w:tcW w:w="1843" w:type="dxa"/>
            <w:tcBorders>
              <w:top w:val="single" w:sz="4" w:space="0" w:color="auto"/>
              <w:left w:val="single" w:sz="4" w:space="0" w:color="auto"/>
              <w:bottom w:val="single" w:sz="4" w:space="0" w:color="auto"/>
              <w:right w:val="single" w:sz="4" w:space="0" w:color="auto"/>
            </w:tcBorders>
            <w:noWrap/>
            <w:vAlign w:val="center"/>
          </w:tcPr>
          <w:p w:rsidR="00C26502" w:rsidRPr="004C7EAD" w:rsidRDefault="00C26502" w:rsidP="00C26502">
            <w:pPr>
              <w:overflowPunct w:val="0"/>
              <w:autoSpaceDE w:val="0"/>
              <w:autoSpaceDN w:val="0"/>
              <w:adjustRightInd w:val="0"/>
              <w:jc w:val="center"/>
              <w:rPr>
                <w:lang w:val="de-DE"/>
              </w:rPr>
            </w:pPr>
            <w:r w:rsidRPr="004C7EAD">
              <w:rPr>
                <w:lang w:val="de-DE"/>
              </w:rPr>
              <w:t>PN-EN 12607-1 [31]</w:t>
            </w:r>
          </w:p>
          <w:p w:rsidR="00C26502" w:rsidRPr="004C7EAD" w:rsidRDefault="00C26502" w:rsidP="00C26502">
            <w:pPr>
              <w:overflowPunct w:val="0"/>
              <w:autoSpaceDE w:val="0"/>
              <w:autoSpaceDN w:val="0"/>
              <w:adjustRightInd w:val="0"/>
              <w:jc w:val="center"/>
              <w:rPr>
                <w:lang w:val="de-DE"/>
              </w:rPr>
            </w:pPr>
            <w:r w:rsidRPr="004C7EAD">
              <w:rPr>
                <w:lang w:val="de-DE"/>
              </w:rPr>
              <w:t>PN-EN 1427 [22]</w:t>
            </w:r>
          </w:p>
        </w:tc>
        <w:tc>
          <w:tcPr>
            <w:tcW w:w="1134" w:type="dxa"/>
            <w:tcBorders>
              <w:top w:val="single" w:sz="4" w:space="0" w:color="auto"/>
              <w:left w:val="single" w:sz="4" w:space="0" w:color="auto"/>
              <w:bottom w:val="single" w:sz="4" w:space="0" w:color="auto"/>
              <w:right w:val="single" w:sz="4" w:space="0" w:color="auto"/>
            </w:tcBorders>
            <w:noWrap/>
            <w:vAlign w:val="center"/>
          </w:tcPr>
          <w:p w:rsidR="00C26502" w:rsidRPr="004C7EAD" w:rsidRDefault="00C26502" w:rsidP="00C26502">
            <w:pPr>
              <w:overflowPunct w:val="0"/>
              <w:autoSpaceDE w:val="0"/>
              <w:autoSpaceDN w:val="0"/>
              <w:adjustRightInd w:val="0"/>
              <w:jc w:val="center"/>
            </w:pPr>
            <w:r w:rsidRPr="004C7EAD">
              <w:t>°C</w:t>
            </w:r>
          </w:p>
        </w:tc>
        <w:tc>
          <w:tcPr>
            <w:tcW w:w="1193" w:type="dxa"/>
            <w:tcBorders>
              <w:top w:val="single" w:sz="4" w:space="0" w:color="auto"/>
              <w:left w:val="single" w:sz="4" w:space="0" w:color="auto"/>
              <w:bottom w:val="single" w:sz="4" w:space="0" w:color="auto"/>
              <w:right w:val="single" w:sz="4" w:space="0" w:color="auto"/>
            </w:tcBorders>
            <w:noWrap/>
            <w:vAlign w:val="center"/>
          </w:tcPr>
          <w:p w:rsidR="00C26502" w:rsidRPr="004C7EAD" w:rsidRDefault="00C26502" w:rsidP="00C26502">
            <w:pPr>
              <w:overflowPunct w:val="0"/>
              <w:autoSpaceDE w:val="0"/>
              <w:autoSpaceDN w:val="0"/>
              <w:adjustRightInd w:val="0"/>
              <w:jc w:val="center"/>
            </w:pPr>
            <w:r w:rsidRPr="004C7EAD">
              <w:t>TBR</w:t>
            </w:r>
            <w:r w:rsidRPr="004C7EAD">
              <w:rPr>
                <w:vertAlign w:val="superscript"/>
              </w:rPr>
              <w:t>b</w:t>
            </w:r>
          </w:p>
        </w:tc>
        <w:tc>
          <w:tcPr>
            <w:tcW w:w="900" w:type="dxa"/>
            <w:tcBorders>
              <w:top w:val="single" w:sz="4" w:space="0" w:color="auto"/>
              <w:left w:val="single" w:sz="4" w:space="0" w:color="auto"/>
              <w:bottom w:val="single" w:sz="4" w:space="0" w:color="auto"/>
              <w:right w:val="single" w:sz="4" w:space="0" w:color="auto"/>
            </w:tcBorders>
            <w:noWrap/>
            <w:vAlign w:val="center"/>
          </w:tcPr>
          <w:p w:rsidR="00C26502" w:rsidRPr="004C7EAD" w:rsidRDefault="00C26502" w:rsidP="00C26502">
            <w:pPr>
              <w:overflowPunct w:val="0"/>
              <w:autoSpaceDE w:val="0"/>
              <w:autoSpaceDN w:val="0"/>
              <w:adjustRightInd w:val="0"/>
              <w:jc w:val="center"/>
            </w:pPr>
            <w:r w:rsidRPr="004C7EAD">
              <w:t>1</w:t>
            </w:r>
          </w:p>
        </w:tc>
      </w:tr>
      <w:tr w:rsidR="00C26502" w:rsidRPr="004C7EAD" w:rsidTr="00C26502">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C26502" w:rsidRPr="004C7EAD" w:rsidRDefault="00C26502" w:rsidP="00C26502"/>
        </w:tc>
        <w:tc>
          <w:tcPr>
            <w:tcW w:w="1985" w:type="dxa"/>
            <w:tcBorders>
              <w:top w:val="single" w:sz="4" w:space="0" w:color="auto"/>
              <w:left w:val="single" w:sz="4" w:space="0" w:color="auto"/>
              <w:bottom w:val="single" w:sz="4" w:space="0" w:color="auto"/>
              <w:right w:val="single" w:sz="4" w:space="0" w:color="auto"/>
            </w:tcBorders>
            <w:noWrap/>
            <w:vAlign w:val="center"/>
          </w:tcPr>
          <w:p w:rsidR="00C26502" w:rsidRPr="004C7EAD" w:rsidRDefault="00C26502" w:rsidP="00C26502">
            <w:pPr>
              <w:overflowPunct w:val="0"/>
              <w:autoSpaceDE w:val="0"/>
              <w:autoSpaceDN w:val="0"/>
              <w:adjustRightInd w:val="0"/>
            </w:pPr>
            <w:r w:rsidRPr="004C7EAD">
              <w:t xml:space="preserve">Nawrót sprężysty w </w:t>
            </w:r>
            <w:smartTag w:uri="urn:schemas-microsoft-com:office:smarttags" w:element="metricconverter">
              <w:smartTagPr>
                <w:attr w:name="ProductID" w:val="25ﾰC"/>
              </w:smartTagPr>
              <w:r w:rsidRPr="004C7EAD">
                <w:t>25°C</w:t>
              </w:r>
            </w:smartTag>
            <w:r w:rsidRPr="004C7EAD">
              <w:t xml:space="preserve"> po starzeniu wg PN-EN 12607-1 lub   -3 [31]</w:t>
            </w:r>
          </w:p>
        </w:tc>
        <w:tc>
          <w:tcPr>
            <w:tcW w:w="1843" w:type="dxa"/>
            <w:vMerge w:val="restart"/>
            <w:tcBorders>
              <w:top w:val="single" w:sz="4" w:space="0" w:color="auto"/>
              <w:left w:val="single" w:sz="4" w:space="0" w:color="auto"/>
              <w:bottom w:val="single" w:sz="4" w:space="0" w:color="auto"/>
              <w:right w:val="single" w:sz="4" w:space="0" w:color="auto"/>
            </w:tcBorders>
            <w:noWrap/>
            <w:vAlign w:val="center"/>
          </w:tcPr>
          <w:p w:rsidR="00C26502" w:rsidRPr="004C7EAD" w:rsidRDefault="00C26502" w:rsidP="00C26502">
            <w:pPr>
              <w:overflowPunct w:val="0"/>
              <w:autoSpaceDE w:val="0"/>
              <w:autoSpaceDN w:val="0"/>
              <w:adjustRightInd w:val="0"/>
              <w:jc w:val="center"/>
              <w:rPr>
                <w:lang w:val="de-DE"/>
              </w:rPr>
            </w:pPr>
            <w:r w:rsidRPr="004C7EAD">
              <w:rPr>
                <w:lang w:val="de-DE"/>
              </w:rPr>
              <w:t>PN-EN 12607-1 [31]</w:t>
            </w:r>
          </w:p>
          <w:p w:rsidR="00C26502" w:rsidRPr="004C7EAD" w:rsidRDefault="00C26502" w:rsidP="00C26502">
            <w:pPr>
              <w:overflowPunct w:val="0"/>
              <w:autoSpaceDE w:val="0"/>
              <w:autoSpaceDN w:val="0"/>
              <w:adjustRightInd w:val="0"/>
              <w:jc w:val="center"/>
              <w:rPr>
                <w:lang w:val="de-DE"/>
              </w:rPr>
            </w:pPr>
            <w:r w:rsidRPr="004C7EAD">
              <w:rPr>
                <w:lang w:val="de-DE"/>
              </w:rPr>
              <w:t>PN-EN 13398 [51]</w:t>
            </w:r>
          </w:p>
        </w:tc>
        <w:tc>
          <w:tcPr>
            <w:tcW w:w="1134" w:type="dxa"/>
            <w:vMerge w:val="restart"/>
            <w:tcBorders>
              <w:top w:val="single" w:sz="4" w:space="0" w:color="auto"/>
              <w:left w:val="single" w:sz="4" w:space="0" w:color="auto"/>
              <w:bottom w:val="single" w:sz="4" w:space="0" w:color="auto"/>
              <w:right w:val="single" w:sz="4" w:space="0" w:color="auto"/>
            </w:tcBorders>
            <w:noWrap/>
            <w:vAlign w:val="center"/>
          </w:tcPr>
          <w:p w:rsidR="00C26502" w:rsidRPr="004C7EAD" w:rsidRDefault="00C26502" w:rsidP="00C26502">
            <w:pPr>
              <w:overflowPunct w:val="0"/>
              <w:autoSpaceDE w:val="0"/>
              <w:autoSpaceDN w:val="0"/>
              <w:adjustRightInd w:val="0"/>
              <w:jc w:val="center"/>
            </w:pPr>
            <w:r w:rsidRPr="004C7EAD">
              <w:t>%</w:t>
            </w:r>
          </w:p>
        </w:tc>
        <w:tc>
          <w:tcPr>
            <w:tcW w:w="1193" w:type="dxa"/>
            <w:tcBorders>
              <w:top w:val="single" w:sz="4" w:space="0" w:color="auto"/>
              <w:left w:val="single" w:sz="4" w:space="0" w:color="auto"/>
              <w:bottom w:val="single" w:sz="4" w:space="0" w:color="auto"/>
              <w:right w:val="single" w:sz="4" w:space="0" w:color="auto"/>
            </w:tcBorders>
            <w:noWrap/>
            <w:vAlign w:val="center"/>
          </w:tcPr>
          <w:p w:rsidR="00C26502" w:rsidRPr="004C7EAD" w:rsidRDefault="00C26502" w:rsidP="00C26502">
            <w:pPr>
              <w:overflowPunct w:val="0"/>
              <w:autoSpaceDE w:val="0"/>
              <w:autoSpaceDN w:val="0"/>
              <w:adjustRightInd w:val="0"/>
              <w:jc w:val="center"/>
            </w:pPr>
            <w:r w:rsidRPr="004C7EAD">
              <w:t>≥ 50</w:t>
            </w:r>
          </w:p>
        </w:tc>
        <w:tc>
          <w:tcPr>
            <w:tcW w:w="900" w:type="dxa"/>
            <w:tcBorders>
              <w:top w:val="single" w:sz="4" w:space="0" w:color="auto"/>
              <w:left w:val="single" w:sz="4" w:space="0" w:color="auto"/>
              <w:bottom w:val="single" w:sz="4" w:space="0" w:color="auto"/>
              <w:right w:val="single" w:sz="4" w:space="0" w:color="auto"/>
            </w:tcBorders>
            <w:noWrap/>
            <w:vAlign w:val="center"/>
          </w:tcPr>
          <w:p w:rsidR="00C26502" w:rsidRPr="004C7EAD" w:rsidRDefault="00C26502" w:rsidP="00C26502">
            <w:pPr>
              <w:overflowPunct w:val="0"/>
              <w:autoSpaceDE w:val="0"/>
              <w:autoSpaceDN w:val="0"/>
              <w:adjustRightInd w:val="0"/>
              <w:jc w:val="center"/>
            </w:pPr>
            <w:r w:rsidRPr="004C7EAD">
              <w:t>4</w:t>
            </w:r>
          </w:p>
        </w:tc>
      </w:tr>
      <w:tr w:rsidR="00C26502" w:rsidRPr="004C7EAD" w:rsidTr="00C26502">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C26502" w:rsidRPr="004C7EAD" w:rsidRDefault="00C26502" w:rsidP="00C26502"/>
        </w:tc>
        <w:tc>
          <w:tcPr>
            <w:tcW w:w="1985" w:type="dxa"/>
            <w:tcBorders>
              <w:top w:val="single" w:sz="4" w:space="0" w:color="auto"/>
              <w:left w:val="single" w:sz="4" w:space="0" w:color="auto"/>
              <w:bottom w:val="single" w:sz="4" w:space="0" w:color="auto"/>
              <w:right w:val="single" w:sz="4" w:space="0" w:color="auto"/>
            </w:tcBorders>
            <w:noWrap/>
            <w:vAlign w:val="center"/>
          </w:tcPr>
          <w:p w:rsidR="00C26502" w:rsidRPr="004C7EAD" w:rsidRDefault="00C26502" w:rsidP="00C26502">
            <w:pPr>
              <w:overflowPunct w:val="0"/>
              <w:autoSpaceDE w:val="0"/>
              <w:autoSpaceDN w:val="0"/>
              <w:adjustRightInd w:val="0"/>
            </w:pPr>
            <w:r w:rsidRPr="004C7EAD">
              <w:t xml:space="preserve">Nawrót sprężysty w </w:t>
            </w:r>
            <w:smartTag w:uri="urn:schemas-microsoft-com:office:smarttags" w:element="metricconverter">
              <w:smartTagPr>
                <w:attr w:name="ProductID" w:val="10ﾰC"/>
              </w:smartTagPr>
              <w:r w:rsidRPr="004C7EAD">
                <w:t>10°C</w:t>
              </w:r>
            </w:smartTag>
            <w:r w:rsidRPr="004C7EAD">
              <w:t xml:space="preserve"> po starzeniu wg PN-EN 12607-1 lub   -3 [31]</w:t>
            </w:r>
          </w:p>
        </w:tc>
        <w:tc>
          <w:tcPr>
            <w:tcW w:w="0" w:type="auto"/>
            <w:vMerge/>
            <w:tcBorders>
              <w:top w:val="single" w:sz="4" w:space="0" w:color="auto"/>
              <w:left w:val="single" w:sz="4" w:space="0" w:color="auto"/>
              <w:bottom w:val="single" w:sz="4" w:space="0" w:color="auto"/>
              <w:right w:val="single" w:sz="4" w:space="0" w:color="auto"/>
            </w:tcBorders>
            <w:vAlign w:val="center"/>
          </w:tcPr>
          <w:p w:rsidR="00C26502" w:rsidRPr="004C7EAD" w:rsidRDefault="00C26502" w:rsidP="00C26502"/>
        </w:tc>
        <w:tc>
          <w:tcPr>
            <w:tcW w:w="0" w:type="auto"/>
            <w:vMerge/>
            <w:tcBorders>
              <w:top w:val="single" w:sz="4" w:space="0" w:color="auto"/>
              <w:left w:val="single" w:sz="4" w:space="0" w:color="auto"/>
              <w:bottom w:val="single" w:sz="4" w:space="0" w:color="auto"/>
              <w:right w:val="single" w:sz="4" w:space="0" w:color="auto"/>
            </w:tcBorders>
            <w:vAlign w:val="center"/>
          </w:tcPr>
          <w:p w:rsidR="00C26502" w:rsidRPr="004C7EAD" w:rsidRDefault="00C26502" w:rsidP="00C26502"/>
        </w:tc>
        <w:tc>
          <w:tcPr>
            <w:tcW w:w="1193" w:type="dxa"/>
            <w:tcBorders>
              <w:top w:val="single" w:sz="4" w:space="0" w:color="auto"/>
              <w:left w:val="single" w:sz="4" w:space="0" w:color="auto"/>
              <w:bottom w:val="single" w:sz="4" w:space="0" w:color="auto"/>
              <w:right w:val="single" w:sz="4" w:space="0" w:color="auto"/>
            </w:tcBorders>
            <w:noWrap/>
            <w:vAlign w:val="center"/>
          </w:tcPr>
          <w:p w:rsidR="00C26502" w:rsidRPr="004C7EAD" w:rsidRDefault="00C26502" w:rsidP="00C26502">
            <w:pPr>
              <w:overflowPunct w:val="0"/>
              <w:autoSpaceDE w:val="0"/>
              <w:autoSpaceDN w:val="0"/>
              <w:adjustRightInd w:val="0"/>
              <w:jc w:val="center"/>
            </w:pPr>
            <w:r w:rsidRPr="004C7EAD">
              <w:t>NPD</w:t>
            </w:r>
            <w:r w:rsidRPr="004C7EAD">
              <w:rPr>
                <w:vertAlign w:val="superscript"/>
              </w:rPr>
              <w:t>a</w:t>
            </w:r>
          </w:p>
        </w:tc>
        <w:tc>
          <w:tcPr>
            <w:tcW w:w="900" w:type="dxa"/>
            <w:tcBorders>
              <w:top w:val="single" w:sz="4" w:space="0" w:color="auto"/>
              <w:left w:val="single" w:sz="4" w:space="0" w:color="auto"/>
              <w:bottom w:val="single" w:sz="4" w:space="0" w:color="auto"/>
              <w:right w:val="single" w:sz="4" w:space="0" w:color="auto"/>
            </w:tcBorders>
            <w:noWrap/>
            <w:vAlign w:val="center"/>
          </w:tcPr>
          <w:p w:rsidR="00C26502" w:rsidRPr="004C7EAD" w:rsidRDefault="00C26502" w:rsidP="00C26502">
            <w:pPr>
              <w:overflowPunct w:val="0"/>
              <w:autoSpaceDE w:val="0"/>
              <w:autoSpaceDN w:val="0"/>
              <w:adjustRightInd w:val="0"/>
              <w:jc w:val="center"/>
            </w:pPr>
            <w:r w:rsidRPr="004C7EAD">
              <w:t>0</w:t>
            </w:r>
          </w:p>
        </w:tc>
      </w:tr>
      <w:tr w:rsidR="00C26502" w:rsidRPr="004C7EAD" w:rsidTr="00C26502">
        <w:trPr>
          <w:jc w:val="center"/>
        </w:trPr>
        <w:tc>
          <w:tcPr>
            <w:tcW w:w="8748" w:type="dxa"/>
            <w:gridSpan w:val="6"/>
            <w:tcBorders>
              <w:top w:val="nil"/>
              <w:left w:val="single" w:sz="4" w:space="0" w:color="auto"/>
              <w:bottom w:val="single" w:sz="4" w:space="0" w:color="auto"/>
              <w:right w:val="single" w:sz="4" w:space="0" w:color="auto"/>
            </w:tcBorders>
            <w:noWrap/>
          </w:tcPr>
          <w:p w:rsidR="00C26502" w:rsidRPr="004C7EAD" w:rsidRDefault="00C26502" w:rsidP="00C26502">
            <w:pPr>
              <w:overflowPunct w:val="0"/>
              <w:autoSpaceDE w:val="0"/>
              <w:autoSpaceDN w:val="0"/>
              <w:adjustRightInd w:val="0"/>
              <w:jc w:val="both"/>
            </w:pPr>
            <w:r w:rsidRPr="004C7EAD">
              <w:rPr>
                <w:vertAlign w:val="superscript"/>
              </w:rPr>
              <w:t>a</w:t>
            </w:r>
            <w:r w:rsidRPr="004C7EAD">
              <w:t xml:space="preserve"> NPD – No Performance Determined (właściwość użytkowa nie określana)</w:t>
            </w:r>
          </w:p>
          <w:p w:rsidR="00C26502" w:rsidRPr="004C7EAD" w:rsidRDefault="00C26502" w:rsidP="00C26502">
            <w:pPr>
              <w:overflowPunct w:val="0"/>
              <w:autoSpaceDE w:val="0"/>
              <w:autoSpaceDN w:val="0"/>
              <w:adjustRightInd w:val="0"/>
              <w:jc w:val="both"/>
            </w:pPr>
            <w:r w:rsidRPr="004C7EAD">
              <w:rPr>
                <w:vertAlign w:val="superscript"/>
              </w:rPr>
              <w:t>b</w:t>
            </w:r>
            <w:r w:rsidRPr="004C7EAD">
              <w:t xml:space="preserve"> TBR – To Be Reported (do zadeklarowania)</w:t>
            </w:r>
          </w:p>
        </w:tc>
      </w:tr>
    </w:tbl>
    <w:p w:rsidR="00C26502" w:rsidRPr="004C7EAD" w:rsidRDefault="00C26502" w:rsidP="00C26502">
      <w:pPr>
        <w:overflowPunct w:val="0"/>
        <w:autoSpaceDE w:val="0"/>
        <w:autoSpaceDN w:val="0"/>
        <w:adjustRightInd w:val="0"/>
        <w:ind w:left="993" w:hanging="993"/>
        <w:jc w:val="both"/>
      </w:pPr>
    </w:p>
    <w:p w:rsidR="00C26502" w:rsidRPr="004C7EAD" w:rsidRDefault="00C26502" w:rsidP="00C26502">
      <w:pPr>
        <w:overflowPunct w:val="0"/>
        <w:autoSpaceDE w:val="0"/>
        <w:autoSpaceDN w:val="0"/>
        <w:adjustRightInd w:val="0"/>
        <w:jc w:val="both"/>
      </w:pPr>
      <w:r w:rsidRPr="004C7EAD">
        <w:tab/>
        <w:t xml:space="preserve">Składowanie asfaltu drogowego powinno się odbywać w zbiornikach, wykluczających zanieczyszczenie asfaltu i wyposażonych w system grzewczy pośredni (bez kontaktu asfaltu z przewodami grzewczymi). Zbiornik roboczy otaczarki powinien być izolowany termicznie, posiadać automatyczny system grzewczy z tolerancją ± </w:t>
      </w:r>
      <w:smartTag w:uri="urn:schemas-microsoft-com:office:smarttags" w:element="metricconverter">
        <w:smartTagPr>
          <w:attr w:name="ProductID" w:val="5ﾰC"/>
        </w:smartTagPr>
        <w:r w:rsidRPr="004C7EAD">
          <w:t>5°C</w:t>
        </w:r>
      </w:smartTag>
      <w:r w:rsidRPr="004C7EAD">
        <w:t xml:space="preserve"> oraz układ cyrkulacji asfaltu.</w:t>
      </w:r>
    </w:p>
    <w:p w:rsidR="00C26502" w:rsidRPr="004C7EAD" w:rsidRDefault="00C26502" w:rsidP="00C26502">
      <w:pPr>
        <w:overflowPunct w:val="0"/>
        <w:autoSpaceDE w:val="0"/>
        <w:autoSpaceDN w:val="0"/>
        <w:adjustRightInd w:val="0"/>
        <w:jc w:val="both"/>
      </w:pPr>
      <w:r w:rsidRPr="004C7EAD">
        <w:tab/>
        <w:t xml:space="preserve">Polimeroasfalt powinien być magazynowany w zbiorniku wyposażonym w system grzewczy pośredni z termostatem kontrolującym temperaturę z dokładnością  ± </w:t>
      </w:r>
      <w:smartTag w:uri="urn:schemas-microsoft-com:office:smarttags" w:element="metricconverter">
        <w:smartTagPr>
          <w:attr w:name="ProductID" w:val="5ﾰC"/>
        </w:smartTagPr>
        <w:r w:rsidRPr="004C7EAD">
          <w:t>5°C</w:t>
        </w:r>
      </w:smartTag>
      <w:r w:rsidRPr="004C7EAD">
        <w:t>. Zaleca się wyposażenie zbiornika w mieszadło. Zaleca się bezpośrednie zużycie polimeroasfaltu po dostarczeniu. Należy unikać wielokrotnego rozgrzewania i chłodzenia polimeroasfaltu w okresie jego stosowania oraz unikać niekontrolowanego mieszania polimeroasfaltów różnego rodzaju i klasy oraz z asfaltem zwykłym.</w:t>
      </w:r>
    </w:p>
    <w:p w:rsidR="00C26502" w:rsidRPr="004C7EAD" w:rsidRDefault="00C26502" w:rsidP="00C26502">
      <w:pPr>
        <w:keepNext/>
        <w:overflowPunct w:val="0"/>
        <w:autoSpaceDE w:val="0"/>
        <w:autoSpaceDN w:val="0"/>
        <w:adjustRightInd w:val="0"/>
        <w:jc w:val="both"/>
        <w:outlineLvl w:val="1"/>
        <w:rPr>
          <w:b/>
        </w:rPr>
      </w:pPr>
      <w:r w:rsidRPr="004C7EAD">
        <w:rPr>
          <w:b/>
        </w:rPr>
        <w:t xml:space="preserve">2.3. Kruszywo </w:t>
      </w:r>
    </w:p>
    <w:p w:rsidR="00C26502" w:rsidRPr="004C7EAD" w:rsidRDefault="00C26502" w:rsidP="00C26502">
      <w:pPr>
        <w:overflowPunct w:val="0"/>
        <w:autoSpaceDE w:val="0"/>
        <w:autoSpaceDN w:val="0"/>
        <w:adjustRightInd w:val="0"/>
        <w:jc w:val="both"/>
      </w:pPr>
      <w:r w:rsidRPr="004C7EAD">
        <w:tab/>
        <w:t>Do warstwy podbudowy z betonu asfaltowego należy stosować kruszywo według PN-EN 13043 [44] i WT-1 Kruszywa 2010[64], obejmujące kruszywo grube , kruszywo drobne  i wypełniacz. Kruszywa powinny spełniać wymagania podane w WT-1 Kruszywa 2010 – część 2 – punkt 1, tablica 1.1 , tablica 1.2 , tablica 1.3</w:t>
      </w:r>
    </w:p>
    <w:p w:rsidR="00C26502" w:rsidRPr="004C7EAD" w:rsidRDefault="00C26502" w:rsidP="00C26502">
      <w:pPr>
        <w:overflowPunct w:val="0"/>
        <w:autoSpaceDE w:val="0"/>
        <w:autoSpaceDN w:val="0"/>
        <w:adjustRightInd w:val="0"/>
        <w:jc w:val="both"/>
      </w:pPr>
      <w:r w:rsidRPr="004C7EAD">
        <w:tab/>
        <w:t>Składowanie kruszywa powinno się odbywać w warunkach zabezpieczających je przed zanieczyszczeniem i zmieszaniem z kruszywem o innym wymiarze lub pochodzeniu. Podłoże składowiska musi być równe, utwardzone i odwodnione. Składowanie wypełniacza powinno się odbywać w silosach wyposażonych w urządzenia do aeracji.</w:t>
      </w:r>
    </w:p>
    <w:p w:rsidR="00C26502" w:rsidRPr="004C7EAD" w:rsidRDefault="00C26502" w:rsidP="00C26502">
      <w:pPr>
        <w:keepNext/>
        <w:overflowPunct w:val="0"/>
        <w:autoSpaceDE w:val="0"/>
        <w:autoSpaceDN w:val="0"/>
        <w:adjustRightInd w:val="0"/>
        <w:jc w:val="both"/>
        <w:outlineLvl w:val="1"/>
        <w:rPr>
          <w:b/>
        </w:rPr>
      </w:pPr>
      <w:r w:rsidRPr="004C7EAD">
        <w:rPr>
          <w:b/>
        </w:rPr>
        <w:t>2.4. Środek adhezyjny</w:t>
      </w:r>
    </w:p>
    <w:p w:rsidR="00C26502" w:rsidRPr="004C7EAD" w:rsidRDefault="00C26502" w:rsidP="00C26502">
      <w:pPr>
        <w:overflowPunct w:val="0"/>
        <w:autoSpaceDE w:val="0"/>
        <w:autoSpaceDN w:val="0"/>
        <w:adjustRightInd w:val="0"/>
        <w:jc w:val="both"/>
      </w:pPr>
      <w:r w:rsidRPr="004C7EAD">
        <w:tab/>
        <w:t>W celu poprawy powinowactwa fizykochemicznego lepiszcza asfaltowego i kruszywa, gwarantującego odpowiednią przyczepność (adhezję) lepiszcza do kruszywa i odporność mieszanki mineralno-asfaltowej na działanie wody, można zastosować środek adhezyjny, tak aby dla konkretnej pary kruszywo-lepiszcze wartość przyczepności określona według PN-EN 12697-11, metoda C [34] wynosiła co najmniej 80%.</w:t>
      </w:r>
    </w:p>
    <w:p w:rsidR="00C26502" w:rsidRPr="004C7EAD" w:rsidRDefault="00C26502" w:rsidP="00C26502">
      <w:pPr>
        <w:overflowPunct w:val="0"/>
        <w:autoSpaceDE w:val="0"/>
        <w:autoSpaceDN w:val="0"/>
        <w:adjustRightInd w:val="0"/>
        <w:jc w:val="both"/>
      </w:pPr>
      <w:r w:rsidRPr="004C7EAD">
        <w:tab/>
        <w:t>Środek adhezyjny powinien odpowiadać wymaganiom określonym przez producenta.</w:t>
      </w:r>
    </w:p>
    <w:p w:rsidR="00C26502" w:rsidRPr="004C7EAD" w:rsidRDefault="00C26502" w:rsidP="00C26502">
      <w:pPr>
        <w:overflowPunct w:val="0"/>
        <w:autoSpaceDE w:val="0"/>
        <w:autoSpaceDN w:val="0"/>
        <w:adjustRightInd w:val="0"/>
        <w:jc w:val="both"/>
      </w:pPr>
      <w:r w:rsidRPr="004C7EAD">
        <w:tab/>
        <w:t>Składowanie środka adhezyjnego jest dozwolone tylko w oryginalnych opakowaniach, w warunkach określonych przez producenta.</w:t>
      </w:r>
    </w:p>
    <w:p w:rsidR="00C26502" w:rsidRPr="004C7EAD" w:rsidRDefault="00C26502" w:rsidP="00C26502">
      <w:pPr>
        <w:keepNext/>
        <w:overflowPunct w:val="0"/>
        <w:autoSpaceDE w:val="0"/>
        <w:autoSpaceDN w:val="0"/>
        <w:adjustRightInd w:val="0"/>
        <w:jc w:val="both"/>
        <w:outlineLvl w:val="1"/>
        <w:rPr>
          <w:b/>
        </w:rPr>
      </w:pPr>
      <w:r w:rsidRPr="004C7EAD">
        <w:rPr>
          <w:b/>
        </w:rPr>
        <w:t>2.5. Materiały do uszczelnienia połączeń i krawędzi</w:t>
      </w:r>
    </w:p>
    <w:p w:rsidR="00C26502" w:rsidRPr="004C7EAD" w:rsidRDefault="00C26502" w:rsidP="00C26502">
      <w:pPr>
        <w:overflowPunct w:val="0"/>
        <w:autoSpaceDE w:val="0"/>
        <w:autoSpaceDN w:val="0"/>
        <w:adjustRightInd w:val="0"/>
        <w:jc w:val="both"/>
      </w:pPr>
      <w:r w:rsidRPr="004C7EAD">
        <w:tab/>
        <w:t>Do uszczelnienia połączeń technologicznych (tj. złączy podłużnych i poprzecznych z tego samego materiału wykonywanego w różnym czasie oraz spoin stanowiących połączenia różnych materiałów lub połączenie warstwy asfaltowej z urządzeniami obcymi w nawierzchni lub ją ograniczającymi, należy stosować:</w:t>
      </w:r>
    </w:p>
    <w:p w:rsidR="00C26502" w:rsidRPr="004C7EAD" w:rsidRDefault="00C26502" w:rsidP="0097494B">
      <w:pPr>
        <w:numPr>
          <w:ilvl w:val="0"/>
          <w:numId w:val="50"/>
        </w:numPr>
        <w:tabs>
          <w:tab w:val="num" w:pos="284"/>
        </w:tabs>
        <w:overflowPunct w:val="0"/>
        <w:autoSpaceDE w:val="0"/>
        <w:autoSpaceDN w:val="0"/>
        <w:adjustRightInd w:val="0"/>
        <w:ind w:left="284" w:hanging="284"/>
        <w:jc w:val="both"/>
      </w:pPr>
      <w:r w:rsidRPr="004C7EAD">
        <w:t>materiały termoplastyczne, jak taśmy asfaltowe, pasty itp. według norm lub aprobat technicznych,</w:t>
      </w:r>
    </w:p>
    <w:p w:rsidR="00C26502" w:rsidRPr="004C7EAD" w:rsidRDefault="00C26502" w:rsidP="0097494B">
      <w:pPr>
        <w:numPr>
          <w:ilvl w:val="0"/>
          <w:numId w:val="50"/>
        </w:numPr>
        <w:tabs>
          <w:tab w:val="num" w:pos="284"/>
        </w:tabs>
        <w:overflowPunct w:val="0"/>
        <w:autoSpaceDE w:val="0"/>
        <w:autoSpaceDN w:val="0"/>
        <w:adjustRightInd w:val="0"/>
        <w:ind w:left="284" w:hanging="284"/>
        <w:jc w:val="both"/>
      </w:pPr>
      <w:r w:rsidRPr="004C7EAD">
        <w:t xml:space="preserve">emulsję asfaltową według PN-EN 13808 [58] lub inne lepiszcza według norm lub aprobat technicznych  </w:t>
      </w:r>
    </w:p>
    <w:p w:rsidR="00C26502" w:rsidRPr="004C7EAD" w:rsidRDefault="00C26502" w:rsidP="00C26502">
      <w:pPr>
        <w:overflowPunct w:val="0"/>
        <w:autoSpaceDE w:val="0"/>
        <w:autoSpaceDN w:val="0"/>
        <w:adjustRightInd w:val="0"/>
        <w:ind w:left="709"/>
        <w:jc w:val="both"/>
      </w:pPr>
      <w:r w:rsidRPr="004C7EAD">
        <w:t>Grubość materiału termoplastycznego do spoiny powinna wynosić:</w:t>
      </w:r>
    </w:p>
    <w:p w:rsidR="00C26502" w:rsidRPr="004C7EAD" w:rsidRDefault="00C26502" w:rsidP="0097494B">
      <w:pPr>
        <w:numPr>
          <w:ilvl w:val="1"/>
          <w:numId w:val="50"/>
        </w:numPr>
        <w:tabs>
          <w:tab w:val="num" w:pos="284"/>
        </w:tabs>
        <w:overflowPunct w:val="0"/>
        <w:autoSpaceDE w:val="0"/>
        <w:autoSpaceDN w:val="0"/>
        <w:adjustRightInd w:val="0"/>
        <w:ind w:left="284" w:hanging="284"/>
        <w:jc w:val="both"/>
      </w:pPr>
      <w:r w:rsidRPr="004C7EAD">
        <w:t xml:space="preserve">nie mniej niż </w:t>
      </w:r>
      <w:smartTag w:uri="urn:schemas-microsoft-com:office:smarttags" w:element="metricconverter">
        <w:smartTagPr>
          <w:attr w:name="ProductID" w:val="10 mm"/>
        </w:smartTagPr>
        <w:r w:rsidRPr="004C7EAD">
          <w:t>10 mm</w:t>
        </w:r>
      </w:smartTag>
      <w:r w:rsidRPr="004C7EAD">
        <w:t xml:space="preserve"> przy grubości warstwy technologicznej do </w:t>
      </w:r>
      <w:smartTag w:uri="urn:schemas-microsoft-com:office:smarttags" w:element="metricconverter">
        <w:smartTagPr>
          <w:attr w:name="ProductID" w:val="2,5 cm"/>
        </w:smartTagPr>
        <w:r w:rsidRPr="004C7EAD">
          <w:t>2,5 cm</w:t>
        </w:r>
      </w:smartTag>
      <w:r w:rsidRPr="004C7EAD">
        <w:t>,</w:t>
      </w:r>
    </w:p>
    <w:p w:rsidR="00C26502" w:rsidRPr="004C7EAD" w:rsidRDefault="00C26502" w:rsidP="0097494B">
      <w:pPr>
        <w:numPr>
          <w:ilvl w:val="1"/>
          <w:numId w:val="50"/>
        </w:numPr>
        <w:tabs>
          <w:tab w:val="num" w:pos="284"/>
        </w:tabs>
        <w:overflowPunct w:val="0"/>
        <w:autoSpaceDE w:val="0"/>
        <w:autoSpaceDN w:val="0"/>
        <w:adjustRightInd w:val="0"/>
        <w:ind w:left="284" w:hanging="284"/>
        <w:jc w:val="both"/>
      </w:pPr>
      <w:r w:rsidRPr="004C7EAD">
        <w:t xml:space="preserve">nie mniej niż </w:t>
      </w:r>
      <w:smartTag w:uri="urn:schemas-microsoft-com:office:smarttags" w:element="metricconverter">
        <w:smartTagPr>
          <w:attr w:name="ProductID" w:val="15 mm"/>
        </w:smartTagPr>
        <w:r w:rsidRPr="004C7EAD">
          <w:t>15 mm</w:t>
        </w:r>
      </w:smartTag>
      <w:r w:rsidRPr="004C7EAD">
        <w:t xml:space="preserve"> przy grubości warstwy technologicznej większej niż </w:t>
      </w:r>
      <w:smartTag w:uri="urn:schemas-microsoft-com:office:smarttags" w:element="metricconverter">
        <w:smartTagPr>
          <w:attr w:name="ProductID" w:val="2,5 cm"/>
        </w:smartTagPr>
        <w:r w:rsidRPr="004C7EAD">
          <w:t>2,5 cm</w:t>
        </w:r>
      </w:smartTag>
      <w:r w:rsidRPr="004C7EAD">
        <w:t>.</w:t>
      </w:r>
    </w:p>
    <w:p w:rsidR="00C26502" w:rsidRPr="004C7EAD" w:rsidRDefault="00C26502" w:rsidP="00C26502">
      <w:pPr>
        <w:overflowPunct w:val="0"/>
        <w:autoSpaceDE w:val="0"/>
        <w:autoSpaceDN w:val="0"/>
        <w:adjustRightInd w:val="0"/>
        <w:ind w:firstLine="709"/>
        <w:jc w:val="both"/>
      </w:pPr>
      <w:r w:rsidRPr="004C7EAD">
        <w:t>Składowanie materiałów termoplastycznych jest dozwolone tylko w oryginalnych opakowaniach producenta, w warunkach określonych w aprobacie technicznej.</w:t>
      </w:r>
    </w:p>
    <w:p w:rsidR="00C26502" w:rsidRPr="004C7EAD" w:rsidRDefault="00C26502" w:rsidP="00C26502">
      <w:pPr>
        <w:overflowPunct w:val="0"/>
        <w:autoSpaceDE w:val="0"/>
        <w:autoSpaceDN w:val="0"/>
        <w:adjustRightInd w:val="0"/>
        <w:ind w:firstLine="709"/>
        <w:jc w:val="both"/>
      </w:pPr>
      <w:r w:rsidRPr="004C7EAD">
        <w:t>Do uszczelnienia krawędzi należy stosować asfalt drogowy wg PN-EN 12591 [27], asfalt modyfikowany polimerami wg PN-EN 14023 [59] „metoda na gorąco”. Dopuszcza się inne rodzaje lepiszcza wg norm lub aprobat technicznych.</w:t>
      </w:r>
    </w:p>
    <w:p w:rsidR="00C26502" w:rsidRPr="004C7EAD" w:rsidRDefault="00C26502" w:rsidP="00C26502">
      <w:pPr>
        <w:keepNext/>
        <w:overflowPunct w:val="0"/>
        <w:autoSpaceDE w:val="0"/>
        <w:autoSpaceDN w:val="0"/>
        <w:adjustRightInd w:val="0"/>
        <w:jc w:val="both"/>
        <w:outlineLvl w:val="1"/>
        <w:rPr>
          <w:b/>
        </w:rPr>
      </w:pPr>
      <w:r w:rsidRPr="004C7EAD">
        <w:rPr>
          <w:b/>
        </w:rPr>
        <w:t>2.6. Materiały do złączenia warstw konstrukcji</w:t>
      </w:r>
    </w:p>
    <w:p w:rsidR="00C26502" w:rsidRPr="004C7EAD" w:rsidRDefault="00C26502" w:rsidP="00C26502">
      <w:pPr>
        <w:overflowPunct w:val="0"/>
        <w:autoSpaceDE w:val="0"/>
        <w:autoSpaceDN w:val="0"/>
        <w:adjustRightInd w:val="0"/>
        <w:jc w:val="both"/>
      </w:pPr>
      <w:r w:rsidRPr="004C7EAD">
        <w:tab/>
        <w:t>Do złączania warstw konstrukcji nawierzchni  należy stosować  kationowe emulsje asfaltowe lub kationowe emulsje modyfikowane polimerami według PN-EN 13808 [58] i WT-3 Emulsje asfaltowe 2009 punkt 5.1 tablica 2 i tablica 3 [66].</w:t>
      </w:r>
    </w:p>
    <w:p w:rsidR="00C26502" w:rsidRPr="004C7EAD" w:rsidRDefault="00C26502" w:rsidP="00C26502">
      <w:pPr>
        <w:overflowPunct w:val="0"/>
        <w:autoSpaceDE w:val="0"/>
        <w:autoSpaceDN w:val="0"/>
        <w:adjustRightInd w:val="0"/>
        <w:jc w:val="both"/>
      </w:pPr>
      <w:r w:rsidRPr="004C7EAD">
        <w:tab/>
        <w:t xml:space="preserve">Emulsję asfaltową można składować w opakowaniach transportowych lub w stacjonarnych zbiornikach pionowych z nalewaniem od dna. Nie należy nalewać emulsji do opakowań i zbiorników zanieczyszczonych materiałami mineralnymi. </w:t>
      </w:r>
    </w:p>
    <w:p w:rsidR="00C26502" w:rsidRPr="004C7EAD" w:rsidRDefault="00C26502" w:rsidP="00C26502">
      <w:pPr>
        <w:widowControl w:val="0"/>
        <w:spacing w:before="120" w:after="120"/>
        <w:jc w:val="both"/>
        <w:rPr>
          <w:b/>
          <w:noProof/>
          <w:snapToGrid w:val="0"/>
          <w:u w:val="single"/>
        </w:rPr>
      </w:pPr>
      <w:r w:rsidRPr="004C7EAD">
        <w:rPr>
          <w:b/>
          <w:noProof/>
          <w:snapToGrid w:val="0"/>
          <w:u w:val="single"/>
        </w:rPr>
        <w:t>3. SPRZĘT</w:t>
      </w:r>
    </w:p>
    <w:p w:rsidR="00C26502" w:rsidRPr="004C7EAD" w:rsidRDefault="00C26502" w:rsidP="00C26502">
      <w:pPr>
        <w:keepNext/>
        <w:numPr>
          <w:ilvl w:val="12"/>
          <w:numId w:val="0"/>
        </w:numPr>
        <w:overflowPunct w:val="0"/>
        <w:autoSpaceDE w:val="0"/>
        <w:autoSpaceDN w:val="0"/>
        <w:adjustRightInd w:val="0"/>
        <w:jc w:val="both"/>
        <w:outlineLvl w:val="1"/>
        <w:rPr>
          <w:b/>
        </w:rPr>
      </w:pPr>
      <w:r w:rsidRPr="004C7EAD">
        <w:rPr>
          <w:b/>
        </w:rPr>
        <w:t>3.1. Ogólne wymagania dotyczące sprzętu</w:t>
      </w:r>
    </w:p>
    <w:p w:rsidR="00C26502" w:rsidRPr="004C7EAD" w:rsidRDefault="00C26502" w:rsidP="00C26502">
      <w:pPr>
        <w:numPr>
          <w:ilvl w:val="12"/>
          <w:numId w:val="0"/>
        </w:numPr>
        <w:overflowPunct w:val="0"/>
        <w:autoSpaceDE w:val="0"/>
        <w:autoSpaceDN w:val="0"/>
        <w:adjustRightInd w:val="0"/>
        <w:jc w:val="both"/>
      </w:pPr>
      <w:r w:rsidRPr="004C7EAD">
        <w:tab/>
        <w:t>Ogólne wymagania dotyczące sprzętu podano w ST  D-M-00.00.00 „Wymagania ogólne”.</w:t>
      </w:r>
    </w:p>
    <w:p w:rsidR="00C26502" w:rsidRPr="004C7EAD" w:rsidRDefault="00C26502" w:rsidP="00C26502">
      <w:pPr>
        <w:keepNext/>
        <w:overflowPunct w:val="0"/>
        <w:autoSpaceDE w:val="0"/>
        <w:autoSpaceDN w:val="0"/>
        <w:adjustRightInd w:val="0"/>
        <w:jc w:val="both"/>
        <w:outlineLvl w:val="1"/>
        <w:rPr>
          <w:b/>
        </w:rPr>
      </w:pPr>
      <w:r w:rsidRPr="004C7EAD">
        <w:rPr>
          <w:b/>
        </w:rPr>
        <w:t>3.2. Sprzęt stosowany do wykonania robót</w:t>
      </w:r>
    </w:p>
    <w:p w:rsidR="00C26502" w:rsidRPr="004C7EAD" w:rsidRDefault="00C26502" w:rsidP="00C26502">
      <w:pPr>
        <w:overflowPunct w:val="0"/>
        <w:autoSpaceDE w:val="0"/>
        <w:autoSpaceDN w:val="0"/>
        <w:adjustRightInd w:val="0"/>
        <w:jc w:val="both"/>
      </w:pPr>
      <w:r w:rsidRPr="004C7EAD">
        <w:tab/>
        <w:t>Przy wykonywaniu robót Wykonawca w zależności od potrzeb, powinien wykazać się możliwością korzystania ze sprzętu dostosowanego do przyjętej metody robót, jak:</w:t>
      </w:r>
    </w:p>
    <w:p w:rsidR="00C26502" w:rsidRPr="004C7EAD" w:rsidRDefault="00C26502" w:rsidP="0097494B">
      <w:pPr>
        <w:numPr>
          <w:ilvl w:val="0"/>
          <w:numId w:val="51"/>
        </w:numPr>
        <w:overflowPunct w:val="0"/>
        <w:autoSpaceDE w:val="0"/>
        <w:autoSpaceDN w:val="0"/>
        <w:adjustRightInd w:val="0"/>
        <w:jc w:val="both"/>
      </w:pPr>
      <w:r w:rsidRPr="004C7EAD">
        <w:t xml:space="preserve">wytwórnia (otaczarka) o mieszaniu cyklicznym lub ciągłym, z automatycznym komputerowym sterowaniem produkcji, do wytwarzania mieszanek mineralno-asfaltowych, </w:t>
      </w:r>
    </w:p>
    <w:p w:rsidR="00C26502" w:rsidRDefault="00C26502" w:rsidP="0097494B">
      <w:pPr>
        <w:numPr>
          <w:ilvl w:val="0"/>
          <w:numId w:val="51"/>
        </w:numPr>
        <w:overflowPunct w:val="0"/>
        <w:autoSpaceDE w:val="0"/>
        <w:autoSpaceDN w:val="0"/>
        <w:adjustRightInd w:val="0"/>
        <w:jc w:val="both"/>
      </w:pPr>
      <w:r w:rsidRPr="004C7EAD">
        <w:t>układarka gąsienicowa, z elektronicznym sterowaniem równości układanej warstwy,</w:t>
      </w:r>
    </w:p>
    <w:p w:rsidR="00C26502" w:rsidRPr="00475B43" w:rsidRDefault="00C26502" w:rsidP="0097494B">
      <w:pPr>
        <w:pStyle w:val="Akapitzlist"/>
        <w:numPr>
          <w:ilvl w:val="0"/>
          <w:numId w:val="51"/>
        </w:numPr>
        <w:rPr>
          <w:sz w:val="20"/>
          <w:szCs w:val="20"/>
        </w:rPr>
      </w:pPr>
      <w:r w:rsidRPr="00475B43">
        <w:rPr>
          <w:sz w:val="20"/>
          <w:szCs w:val="20"/>
        </w:rPr>
        <w:t>układarka dostosowana do wykonania nawierzchni o szerokości zgodnej z dokumentacją projektową</w:t>
      </w:r>
    </w:p>
    <w:p w:rsidR="00C26502" w:rsidRPr="004C7EAD" w:rsidRDefault="00C26502" w:rsidP="0097494B">
      <w:pPr>
        <w:numPr>
          <w:ilvl w:val="0"/>
          <w:numId w:val="51"/>
        </w:numPr>
        <w:overflowPunct w:val="0"/>
        <w:autoSpaceDE w:val="0"/>
        <w:autoSpaceDN w:val="0"/>
        <w:adjustRightInd w:val="0"/>
        <w:jc w:val="both"/>
      </w:pPr>
      <w:r w:rsidRPr="004C7EAD">
        <w:t>skrapiarka,</w:t>
      </w:r>
    </w:p>
    <w:p w:rsidR="00C26502" w:rsidRPr="004C7EAD" w:rsidRDefault="00C26502" w:rsidP="0097494B">
      <w:pPr>
        <w:numPr>
          <w:ilvl w:val="0"/>
          <w:numId w:val="51"/>
        </w:numPr>
        <w:overflowPunct w:val="0"/>
        <w:autoSpaceDE w:val="0"/>
        <w:autoSpaceDN w:val="0"/>
        <w:adjustRightInd w:val="0"/>
        <w:jc w:val="both"/>
      </w:pPr>
      <w:r w:rsidRPr="004C7EAD">
        <w:t xml:space="preserve">walce stalowe gładkie, </w:t>
      </w:r>
    </w:p>
    <w:p w:rsidR="00C26502" w:rsidRPr="004C7EAD" w:rsidRDefault="00C26502" w:rsidP="0097494B">
      <w:pPr>
        <w:numPr>
          <w:ilvl w:val="0"/>
          <w:numId w:val="51"/>
        </w:numPr>
        <w:overflowPunct w:val="0"/>
        <w:autoSpaceDE w:val="0"/>
        <w:autoSpaceDN w:val="0"/>
        <w:adjustRightInd w:val="0"/>
        <w:jc w:val="both"/>
      </w:pPr>
      <w:r w:rsidRPr="004C7EAD">
        <w:t>walce ogumione</w:t>
      </w:r>
    </w:p>
    <w:p w:rsidR="00C26502" w:rsidRPr="004C7EAD" w:rsidRDefault="00C26502" w:rsidP="0097494B">
      <w:pPr>
        <w:numPr>
          <w:ilvl w:val="0"/>
          <w:numId w:val="51"/>
        </w:numPr>
        <w:overflowPunct w:val="0"/>
        <w:autoSpaceDE w:val="0"/>
        <w:autoSpaceDN w:val="0"/>
        <w:adjustRightInd w:val="0"/>
        <w:jc w:val="both"/>
      </w:pPr>
      <w:r w:rsidRPr="004C7EAD">
        <w:t>szczotki mechaniczne i/lub inne urządzenia czyszczące,</w:t>
      </w:r>
    </w:p>
    <w:p w:rsidR="00C26502" w:rsidRPr="004C7EAD" w:rsidRDefault="00C26502" w:rsidP="0097494B">
      <w:pPr>
        <w:numPr>
          <w:ilvl w:val="0"/>
          <w:numId w:val="51"/>
        </w:numPr>
        <w:overflowPunct w:val="0"/>
        <w:autoSpaceDE w:val="0"/>
        <w:autoSpaceDN w:val="0"/>
        <w:adjustRightInd w:val="0"/>
        <w:jc w:val="both"/>
      </w:pPr>
      <w:r w:rsidRPr="004C7EAD">
        <w:t>samochody samowyładowcze z przykryciem brezentowym lub termosami,</w:t>
      </w:r>
    </w:p>
    <w:p w:rsidR="00C26502" w:rsidRPr="004C7EAD" w:rsidRDefault="00C26502" w:rsidP="0097494B">
      <w:pPr>
        <w:numPr>
          <w:ilvl w:val="0"/>
          <w:numId w:val="51"/>
        </w:numPr>
        <w:overflowPunct w:val="0"/>
        <w:autoSpaceDE w:val="0"/>
        <w:autoSpaceDN w:val="0"/>
        <w:adjustRightInd w:val="0"/>
        <w:jc w:val="both"/>
      </w:pPr>
      <w:r w:rsidRPr="004C7EAD">
        <w:t>sprzęt drobny.</w:t>
      </w:r>
    </w:p>
    <w:p w:rsidR="00C26502" w:rsidRPr="004C7EAD" w:rsidRDefault="00C26502" w:rsidP="00C26502">
      <w:pPr>
        <w:widowControl w:val="0"/>
        <w:spacing w:before="120" w:after="120"/>
        <w:jc w:val="both"/>
        <w:rPr>
          <w:b/>
          <w:noProof/>
          <w:snapToGrid w:val="0"/>
          <w:u w:val="single"/>
        </w:rPr>
      </w:pPr>
      <w:r w:rsidRPr="004C7EAD">
        <w:rPr>
          <w:b/>
          <w:noProof/>
          <w:snapToGrid w:val="0"/>
          <w:u w:val="single"/>
        </w:rPr>
        <w:t>4. TRANSPORT</w:t>
      </w:r>
    </w:p>
    <w:p w:rsidR="00C26502" w:rsidRPr="004C7EAD" w:rsidRDefault="00C26502" w:rsidP="00C26502">
      <w:pPr>
        <w:keepNext/>
        <w:numPr>
          <w:ilvl w:val="12"/>
          <w:numId w:val="0"/>
        </w:numPr>
        <w:overflowPunct w:val="0"/>
        <w:autoSpaceDE w:val="0"/>
        <w:autoSpaceDN w:val="0"/>
        <w:adjustRightInd w:val="0"/>
        <w:jc w:val="both"/>
        <w:outlineLvl w:val="1"/>
        <w:rPr>
          <w:b/>
        </w:rPr>
      </w:pPr>
      <w:r w:rsidRPr="004C7EAD">
        <w:rPr>
          <w:b/>
        </w:rPr>
        <w:t>4.1. Ogólne wymagania dotyczące transportu</w:t>
      </w:r>
    </w:p>
    <w:p w:rsidR="00C26502" w:rsidRPr="004C7EAD" w:rsidRDefault="00C26502" w:rsidP="00C26502">
      <w:pPr>
        <w:numPr>
          <w:ilvl w:val="12"/>
          <w:numId w:val="0"/>
        </w:numPr>
        <w:overflowPunct w:val="0"/>
        <w:autoSpaceDE w:val="0"/>
        <w:autoSpaceDN w:val="0"/>
        <w:adjustRightInd w:val="0"/>
        <w:jc w:val="both"/>
      </w:pPr>
      <w:r w:rsidRPr="004C7EAD">
        <w:tab/>
        <w:t>Ogólne wymagania dotyczące transportu podano w ST D-M-00.00.00 „Wymagania ogólne”.</w:t>
      </w:r>
      <w:r w:rsidRPr="004C7EAD">
        <w:tab/>
      </w:r>
    </w:p>
    <w:p w:rsidR="00C26502" w:rsidRPr="004C7EAD" w:rsidRDefault="00C26502" w:rsidP="00C26502">
      <w:pPr>
        <w:keepNext/>
        <w:overflowPunct w:val="0"/>
        <w:autoSpaceDE w:val="0"/>
        <w:autoSpaceDN w:val="0"/>
        <w:adjustRightInd w:val="0"/>
        <w:jc w:val="both"/>
        <w:outlineLvl w:val="1"/>
        <w:rPr>
          <w:b/>
        </w:rPr>
      </w:pPr>
      <w:r w:rsidRPr="004C7EAD">
        <w:rPr>
          <w:b/>
        </w:rPr>
        <w:t xml:space="preserve">4.2. Transport materiałów </w:t>
      </w:r>
    </w:p>
    <w:p w:rsidR="00C26502" w:rsidRPr="004C7EAD" w:rsidRDefault="00C26502" w:rsidP="00C26502">
      <w:pPr>
        <w:overflowPunct w:val="0"/>
        <w:autoSpaceDE w:val="0"/>
        <w:autoSpaceDN w:val="0"/>
        <w:adjustRightInd w:val="0"/>
        <w:jc w:val="both"/>
      </w:pPr>
      <w:r w:rsidRPr="004C7EAD">
        <w:tab/>
        <w:t>Asfalt i polimeroasfalt należy przewozić w cysternach kolejowych lub samochodach izolowanych i zaopatrzonych w urządzenia umożliwiające pośrednie ogrzewanie oraz w zawory spustowe.</w:t>
      </w:r>
    </w:p>
    <w:p w:rsidR="00C26502" w:rsidRPr="004C7EAD" w:rsidRDefault="00C26502" w:rsidP="00C26502">
      <w:pPr>
        <w:overflowPunct w:val="0"/>
        <w:autoSpaceDE w:val="0"/>
        <w:autoSpaceDN w:val="0"/>
        <w:adjustRightInd w:val="0"/>
        <w:ind w:firstLine="709"/>
        <w:jc w:val="both"/>
      </w:pPr>
      <w:r w:rsidRPr="004C7EAD">
        <w:t>Kruszywa można przewozić dowolnymi środkami transportu, w warunkach zabezpieczających je przed zanieczyszczeniem, zmieszaniem z innymi materiałami i nadmiernym zawilgoceniem.</w:t>
      </w:r>
    </w:p>
    <w:p w:rsidR="00C26502" w:rsidRPr="004C7EAD" w:rsidRDefault="00C26502" w:rsidP="00C26502">
      <w:pPr>
        <w:overflowPunct w:val="0"/>
        <w:autoSpaceDE w:val="0"/>
        <w:autoSpaceDN w:val="0"/>
        <w:adjustRightInd w:val="0"/>
        <w:ind w:firstLine="709"/>
        <w:jc w:val="both"/>
      </w:pPr>
      <w:r w:rsidRPr="004C7EAD">
        <w:t>Wypełniacz należy przewozić w sposób chroniący go przed zawilgoceniem, zbryleniem i zanieczyszczeniem. Wypełniacz luzem powinien być przewożony w odpowiednich cysternach przystosowanych do przewozu materiałów sypkich, umożliwiających rozładunek pneumatyczny.</w:t>
      </w:r>
    </w:p>
    <w:p w:rsidR="00C26502" w:rsidRPr="004C7EAD" w:rsidRDefault="00C26502" w:rsidP="00C26502">
      <w:pPr>
        <w:overflowPunct w:val="0"/>
        <w:autoSpaceDE w:val="0"/>
        <w:autoSpaceDN w:val="0"/>
        <w:adjustRightInd w:val="0"/>
        <w:ind w:firstLine="709"/>
        <w:jc w:val="both"/>
      </w:pPr>
      <w:r w:rsidRPr="004C7EAD">
        <w:t>Emulsja asfaltowa może być transportowana w zamkniętych cysternach, autocysternach, beczkach i innych opakowaniach pod warunkiem, że nie będą korodowały pod wpływem emulsji i nie będą powodowały jej rozpadu. Cysterny powinny być wyposażone w przegrody. Nie należy używać do transportu opakowań z metali lekkich (może zachodzić wydzielanie wodoru i groźba wybuchu przy emulsjach o pH ≤ 4).</w:t>
      </w:r>
    </w:p>
    <w:p w:rsidR="00C26502" w:rsidRPr="004C7EAD" w:rsidRDefault="00C26502" w:rsidP="00C26502">
      <w:pPr>
        <w:overflowPunct w:val="0"/>
        <w:autoSpaceDE w:val="0"/>
        <w:autoSpaceDN w:val="0"/>
        <w:adjustRightInd w:val="0"/>
        <w:ind w:firstLine="709"/>
        <w:jc w:val="both"/>
      </w:pPr>
      <w:r w:rsidRPr="004C7EAD">
        <w:t>Mieszankę mineralno-asfaltową należy  dowozić na budowę pojazdami samowyładowczymi w zależności od postępu robót. Podczas transportu i postoju przed wbudowaniem mieszanka powinna być zabezpieczona przed ostygnięciem i dopływem powietrza (przez przykrycie, pojemniki termoizolacyjne lub ogrzewane itp.). Warunki i czas transportu mieszanki, od produkcji do wbudowania, powinna zapewniać utrzymanie temperatury w wymaganym przedziale. Powierzchnie pojemników używanych do transportu mieszanki powinny być czyste, a do zwilżania tych powierzchni można używać tylko środki antyadhezyjne niewpływające szkodliwie na mieszankę.</w:t>
      </w:r>
    </w:p>
    <w:p w:rsidR="00C26502" w:rsidRPr="004C7EAD" w:rsidRDefault="00C26502" w:rsidP="00C26502">
      <w:pPr>
        <w:widowControl w:val="0"/>
        <w:spacing w:before="120" w:after="120"/>
        <w:jc w:val="both"/>
        <w:rPr>
          <w:b/>
          <w:noProof/>
          <w:snapToGrid w:val="0"/>
          <w:u w:val="single"/>
        </w:rPr>
      </w:pPr>
      <w:r w:rsidRPr="004C7EAD">
        <w:rPr>
          <w:b/>
          <w:noProof/>
          <w:snapToGrid w:val="0"/>
          <w:u w:val="single"/>
        </w:rPr>
        <w:t>5. WYKONANIE ROBÓT</w:t>
      </w:r>
    </w:p>
    <w:p w:rsidR="00C26502" w:rsidRPr="004C7EAD" w:rsidRDefault="00C26502" w:rsidP="00C26502">
      <w:pPr>
        <w:keepNext/>
        <w:numPr>
          <w:ilvl w:val="12"/>
          <w:numId w:val="0"/>
        </w:numPr>
        <w:overflowPunct w:val="0"/>
        <w:autoSpaceDE w:val="0"/>
        <w:autoSpaceDN w:val="0"/>
        <w:adjustRightInd w:val="0"/>
        <w:jc w:val="both"/>
        <w:outlineLvl w:val="1"/>
        <w:rPr>
          <w:b/>
        </w:rPr>
      </w:pPr>
      <w:r w:rsidRPr="004C7EAD">
        <w:rPr>
          <w:b/>
        </w:rPr>
        <w:t>5.1. Ogólne zasady wykonania robót</w:t>
      </w:r>
    </w:p>
    <w:p w:rsidR="00C26502" w:rsidRPr="004C7EAD" w:rsidRDefault="00C26502" w:rsidP="00C26502">
      <w:pPr>
        <w:numPr>
          <w:ilvl w:val="12"/>
          <w:numId w:val="0"/>
        </w:numPr>
        <w:overflowPunct w:val="0"/>
        <w:autoSpaceDE w:val="0"/>
        <w:autoSpaceDN w:val="0"/>
        <w:adjustRightInd w:val="0"/>
        <w:jc w:val="both"/>
      </w:pPr>
      <w:r w:rsidRPr="004C7EAD">
        <w:tab/>
        <w:t>Ogólne zasady wykonania robót podano w ST D-M-00.00.00 „Wymagania ogólne”.</w:t>
      </w:r>
    </w:p>
    <w:p w:rsidR="00C26502" w:rsidRPr="004C7EAD" w:rsidRDefault="00C26502" w:rsidP="00C26502">
      <w:pPr>
        <w:keepNext/>
        <w:overflowPunct w:val="0"/>
        <w:autoSpaceDE w:val="0"/>
        <w:autoSpaceDN w:val="0"/>
        <w:adjustRightInd w:val="0"/>
        <w:jc w:val="both"/>
        <w:outlineLvl w:val="1"/>
        <w:rPr>
          <w:b/>
        </w:rPr>
      </w:pPr>
      <w:r w:rsidRPr="004C7EAD">
        <w:rPr>
          <w:b/>
        </w:rPr>
        <w:t>5.2. Projektowanie mieszanki mineralno-asfaltowej</w:t>
      </w:r>
    </w:p>
    <w:p w:rsidR="00C26502" w:rsidRPr="004C7EAD" w:rsidRDefault="00C26502" w:rsidP="00C26502">
      <w:pPr>
        <w:overflowPunct w:val="0"/>
        <w:autoSpaceDE w:val="0"/>
        <w:autoSpaceDN w:val="0"/>
        <w:adjustRightInd w:val="0"/>
        <w:jc w:val="both"/>
      </w:pPr>
      <w:r w:rsidRPr="004C7EAD">
        <w:tab/>
        <w:t>Przed przystąpieniem do robót Wykonawca dostarczy Inżynierowi do akceptacji projekt składu mieszanki mineralno-asfaltowej (AC22P).</w:t>
      </w:r>
    </w:p>
    <w:p w:rsidR="00C26502" w:rsidRPr="004C7EAD" w:rsidRDefault="00C26502" w:rsidP="00C26502">
      <w:pPr>
        <w:overflowPunct w:val="0"/>
        <w:autoSpaceDE w:val="0"/>
        <w:autoSpaceDN w:val="0"/>
        <w:adjustRightInd w:val="0"/>
        <w:jc w:val="both"/>
      </w:pPr>
      <w:r w:rsidRPr="004C7EAD">
        <w:tab/>
        <w:t>Uziarnienie mieszanki mineralnej oraz minimalna zawartość lepiszcza podane są w tablicach 6 i 7.</w:t>
      </w:r>
    </w:p>
    <w:p w:rsidR="00C26502" w:rsidRPr="004C7EAD" w:rsidRDefault="00C26502" w:rsidP="00C26502">
      <w:pPr>
        <w:overflowPunct w:val="0"/>
        <w:autoSpaceDE w:val="0"/>
        <w:autoSpaceDN w:val="0"/>
        <w:adjustRightInd w:val="0"/>
        <w:jc w:val="both"/>
      </w:pPr>
      <w:r w:rsidRPr="004C7EAD">
        <w:tab/>
        <w:t>Wymagane właściwości mieszanki mineralno-asfaltowej podane są w tablicach 8, 9, 10 - projektowanie empiryczne i 11,12 - projektowanie funkcjonalne.</w:t>
      </w:r>
    </w:p>
    <w:p w:rsidR="00C26502" w:rsidRPr="004C7EAD" w:rsidRDefault="00C26502" w:rsidP="00C26502">
      <w:pPr>
        <w:tabs>
          <w:tab w:val="left" w:pos="851"/>
        </w:tabs>
        <w:overflowPunct w:val="0"/>
        <w:autoSpaceDE w:val="0"/>
        <w:autoSpaceDN w:val="0"/>
        <w:adjustRightInd w:val="0"/>
        <w:ind w:left="992" w:hanging="992"/>
        <w:jc w:val="both"/>
      </w:pPr>
      <w:r w:rsidRPr="004C7EAD">
        <w:t>Tablica 6.</w:t>
      </w:r>
      <w:r w:rsidRPr="004C7EAD">
        <w:tab/>
        <w:t>Uziarnienie mieszanki mineralnej oraz zawartość lepiszcza do betonu asfaltowego do warstwy podbudowy (projektowanie empiryczne) [65]</w:t>
      </w:r>
    </w:p>
    <w:tbl>
      <w:tblPr>
        <w:tblW w:w="59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58"/>
        <w:gridCol w:w="1267"/>
        <w:gridCol w:w="1308"/>
      </w:tblGrid>
      <w:tr w:rsidR="00C26502" w:rsidRPr="004C7EAD" w:rsidTr="00C26502">
        <w:trPr>
          <w:cantSplit/>
          <w:trHeight w:val="211"/>
          <w:jc w:val="center"/>
        </w:trPr>
        <w:tc>
          <w:tcPr>
            <w:tcW w:w="3358" w:type="dxa"/>
            <w:vMerge w:val="restart"/>
            <w:tcBorders>
              <w:top w:val="single" w:sz="4" w:space="0" w:color="auto"/>
              <w:left w:val="single" w:sz="4" w:space="0" w:color="auto"/>
              <w:bottom w:val="single" w:sz="4" w:space="0" w:color="auto"/>
              <w:right w:val="single" w:sz="4" w:space="0" w:color="auto"/>
            </w:tcBorders>
            <w:noWrap/>
            <w:vAlign w:val="center"/>
          </w:tcPr>
          <w:p w:rsidR="00C26502" w:rsidRPr="004C7EAD" w:rsidRDefault="00C26502" w:rsidP="00C26502">
            <w:pPr>
              <w:overflowPunct w:val="0"/>
              <w:autoSpaceDE w:val="0"/>
              <w:autoSpaceDN w:val="0"/>
              <w:adjustRightInd w:val="0"/>
              <w:jc w:val="center"/>
            </w:pPr>
            <w:r w:rsidRPr="004C7EAD">
              <w:t>Właściwość</w:t>
            </w:r>
          </w:p>
        </w:tc>
        <w:tc>
          <w:tcPr>
            <w:tcW w:w="2575" w:type="dxa"/>
            <w:gridSpan w:val="2"/>
            <w:tcBorders>
              <w:top w:val="single" w:sz="4" w:space="0" w:color="auto"/>
              <w:left w:val="single" w:sz="4" w:space="0" w:color="auto"/>
              <w:bottom w:val="single" w:sz="4" w:space="0" w:color="auto"/>
              <w:right w:val="single" w:sz="4" w:space="0" w:color="auto"/>
            </w:tcBorders>
          </w:tcPr>
          <w:p w:rsidR="00C26502" w:rsidRPr="004C7EAD" w:rsidRDefault="00C26502" w:rsidP="00C26502">
            <w:pPr>
              <w:overflowPunct w:val="0"/>
              <w:autoSpaceDE w:val="0"/>
              <w:autoSpaceDN w:val="0"/>
              <w:adjustRightInd w:val="0"/>
              <w:jc w:val="center"/>
            </w:pPr>
            <w:r w:rsidRPr="004C7EAD">
              <w:t>Przesiew,   [% (m/m)]</w:t>
            </w:r>
          </w:p>
        </w:tc>
      </w:tr>
      <w:tr w:rsidR="00C26502" w:rsidRPr="004C7EAD" w:rsidTr="00C26502">
        <w:trPr>
          <w:cantSplit/>
          <w:trHeight w:val="147"/>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C26502" w:rsidRPr="004C7EAD" w:rsidRDefault="00C26502" w:rsidP="00C26502"/>
        </w:tc>
        <w:tc>
          <w:tcPr>
            <w:tcW w:w="2575" w:type="dxa"/>
            <w:gridSpan w:val="2"/>
            <w:tcBorders>
              <w:top w:val="single" w:sz="4" w:space="0" w:color="auto"/>
              <w:left w:val="single" w:sz="4" w:space="0" w:color="auto"/>
              <w:bottom w:val="single" w:sz="4" w:space="0" w:color="auto"/>
              <w:right w:val="single" w:sz="4" w:space="0" w:color="auto"/>
            </w:tcBorders>
            <w:noWrap/>
          </w:tcPr>
          <w:p w:rsidR="00C26502" w:rsidRPr="004C7EAD" w:rsidRDefault="00C26502" w:rsidP="00C26502">
            <w:pPr>
              <w:jc w:val="center"/>
            </w:pPr>
            <w:r w:rsidRPr="004C7EAD">
              <w:t>AC16P</w:t>
            </w:r>
          </w:p>
          <w:p w:rsidR="00C26502" w:rsidRPr="004C7EAD" w:rsidRDefault="00C26502" w:rsidP="00C26502">
            <w:pPr>
              <w:jc w:val="center"/>
            </w:pPr>
            <w:r w:rsidRPr="004C7EAD">
              <w:t>KR3-KR6</w:t>
            </w:r>
          </w:p>
        </w:tc>
      </w:tr>
      <w:tr w:rsidR="00C26502" w:rsidRPr="004C7EAD" w:rsidTr="00C26502">
        <w:trPr>
          <w:trHeight w:val="222"/>
          <w:jc w:val="center"/>
        </w:trPr>
        <w:tc>
          <w:tcPr>
            <w:tcW w:w="3358" w:type="dxa"/>
            <w:tcBorders>
              <w:top w:val="single" w:sz="4" w:space="0" w:color="auto"/>
              <w:left w:val="single" w:sz="4" w:space="0" w:color="auto"/>
              <w:bottom w:val="single" w:sz="4" w:space="0" w:color="auto"/>
              <w:right w:val="single" w:sz="4" w:space="0" w:color="auto"/>
            </w:tcBorders>
            <w:noWrap/>
          </w:tcPr>
          <w:p w:rsidR="00C26502" w:rsidRPr="004C7EAD" w:rsidRDefault="00C26502" w:rsidP="00C26502">
            <w:pPr>
              <w:overflowPunct w:val="0"/>
              <w:autoSpaceDE w:val="0"/>
              <w:autoSpaceDN w:val="0"/>
              <w:adjustRightInd w:val="0"/>
              <w:jc w:val="center"/>
            </w:pPr>
            <w:r w:rsidRPr="004C7EAD">
              <w:t>Wymiar sita #, [mm]</w:t>
            </w:r>
          </w:p>
        </w:tc>
        <w:tc>
          <w:tcPr>
            <w:tcW w:w="1267" w:type="dxa"/>
            <w:tcBorders>
              <w:top w:val="single" w:sz="4" w:space="0" w:color="auto"/>
              <w:left w:val="single" w:sz="4" w:space="0" w:color="auto"/>
              <w:bottom w:val="single" w:sz="4" w:space="0" w:color="auto"/>
              <w:right w:val="single" w:sz="4" w:space="0" w:color="auto"/>
            </w:tcBorders>
            <w:noWrap/>
          </w:tcPr>
          <w:p w:rsidR="00C26502" w:rsidRPr="004C7EAD" w:rsidRDefault="00C26502" w:rsidP="00C26502">
            <w:pPr>
              <w:jc w:val="center"/>
            </w:pPr>
            <w:r w:rsidRPr="004C7EAD">
              <w:t>od</w:t>
            </w:r>
          </w:p>
        </w:tc>
        <w:tc>
          <w:tcPr>
            <w:tcW w:w="1308" w:type="dxa"/>
            <w:tcBorders>
              <w:top w:val="single" w:sz="4" w:space="0" w:color="auto"/>
              <w:left w:val="single" w:sz="4" w:space="0" w:color="auto"/>
              <w:bottom w:val="single" w:sz="4" w:space="0" w:color="auto"/>
              <w:right w:val="single" w:sz="4" w:space="0" w:color="auto"/>
            </w:tcBorders>
            <w:noWrap/>
          </w:tcPr>
          <w:p w:rsidR="00C26502" w:rsidRPr="004C7EAD" w:rsidRDefault="00C26502" w:rsidP="00C26502">
            <w:pPr>
              <w:jc w:val="center"/>
            </w:pPr>
            <w:r w:rsidRPr="004C7EAD">
              <w:t>od</w:t>
            </w:r>
          </w:p>
        </w:tc>
      </w:tr>
      <w:tr w:rsidR="00C26502" w:rsidRPr="004C7EAD" w:rsidTr="00C26502">
        <w:trPr>
          <w:trHeight w:val="238"/>
          <w:jc w:val="center"/>
        </w:trPr>
        <w:tc>
          <w:tcPr>
            <w:tcW w:w="3358" w:type="dxa"/>
            <w:tcBorders>
              <w:top w:val="single" w:sz="4" w:space="0" w:color="auto"/>
              <w:left w:val="single" w:sz="4" w:space="0" w:color="auto"/>
              <w:bottom w:val="single" w:sz="4" w:space="0" w:color="auto"/>
              <w:right w:val="single" w:sz="4" w:space="0" w:color="auto"/>
            </w:tcBorders>
            <w:noWrap/>
          </w:tcPr>
          <w:p w:rsidR="00C26502" w:rsidRPr="004C7EAD" w:rsidRDefault="00C26502" w:rsidP="00C26502">
            <w:pPr>
              <w:overflowPunct w:val="0"/>
              <w:autoSpaceDE w:val="0"/>
              <w:autoSpaceDN w:val="0"/>
              <w:adjustRightInd w:val="0"/>
              <w:jc w:val="center"/>
            </w:pPr>
            <w:r w:rsidRPr="004C7EAD">
              <w:t>31,5</w:t>
            </w:r>
          </w:p>
        </w:tc>
        <w:tc>
          <w:tcPr>
            <w:tcW w:w="1267" w:type="dxa"/>
            <w:tcBorders>
              <w:top w:val="single" w:sz="4" w:space="0" w:color="auto"/>
              <w:left w:val="single" w:sz="4" w:space="0" w:color="auto"/>
              <w:bottom w:val="single" w:sz="4" w:space="0" w:color="auto"/>
              <w:right w:val="single" w:sz="4" w:space="0" w:color="auto"/>
            </w:tcBorders>
            <w:noWrap/>
          </w:tcPr>
          <w:p w:rsidR="00C26502" w:rsidRPr="004C7EAD" w:rsidRDefault="00C26502" w:rsidP="00C26502">
            <w:pPr>
              <w:jc w:val="center"/>
            </w:pPr>
            <w:r w:rsidRPr="004C7EAD">
              <w:t>-</w:t>
            </w:r>
          </w:p>
        </w:tc>
        <w:tc>
          <w:tcPr>
            <w:tcW w:w="1308" w:type="dxa"/>
            <w:tcBorders>
              <w:top w:val="single" w:sz="4" w:space="0" w:color="auto"/>
              <w:left w:val="single" w:sz="4" w:space="0" w:color="auto"/>
              <w:bottom w:val="single" w:sz="4" w:space="0" w:color="auto"/>
              <w:right w:val="single" w:sz="4" w:space="0" w:color="auto"/>
            </w:tcBorders>
            <w:noWrap/>
          </w:tcPr>
          <w:p w:rsidR="00C26502" w:rsidRPr="004C7EAD" w:rsidRDefault="00C26502" w:rsidP="00C26502">
            <w:pPr>
              <w:jc w:val="center"/>
            </w:pPr>
            <w:r w:rsidRPr="004C7EAD">
              <w:t>-</w:t>
            </w:r>
          </w:p>
        </w:tc>
      </w:tr>
      <w:tr w:rsidR="00C26502" w:rsidRPr="004C7EAD" w:rsidTr="00C26502">
        <w:trPr>
          <w:trHeight w:val="222"/>
          <w:jc w:val="center"/>
        </w:trPr>
        <w:tc>
          <w:tcPr>
            <w:tcW w:w="3358" w:type="dxa"/>
            <w:tcBorders>
              <w:top w:val="single" w:sz="4" w:space="0" w:color="auto"/>
              <w:left w:val="single" w:sz="4" w:space="0" w:color="auto"/>
              <w:bottom w:val="single" w:sz="4" w:space="0" w:color="auto"/>
              <w:right w:val="single" w:sz="4" w:space="0" w:color="auto"/>
            </w:tcBorders>
            <w:noWrap/>
          </w:tcPr>
          <w:p w:rsidR="00C26502" w:rsidRPr="004C7EAD" w:rsidRDefault="00C26502" w:rsidP="00C26502">
            <w:pPr>
              <w:overflowPunct w:val="0"/>
              <w:autoSpaceDE w:val="0"/>
              <w:autoSpaceDN w:val="0"/>
              <w:adjustRightInd w:val="0"/>
              <w:jc w:val="center"/>
            </w:pPr>
            <w:r w:rsidRPr="004C7EAD">
              <w:t>22,4</w:t>
            </w:r>
          </w:p>
        </w:tc>
        <w:tc>
          <w:tcPr>
            <w:tcW w:w="1267" w:type="dxa"/>
            <w:tcBorders>
              <w:top w:val="single" w:sz="4" w:space="0" w:color="auto"/>
              <w:left w:val="single" w:sz="4" w:space="0" w:color="auto"/>
              <w:bottom w:val="single" w:sz="4" w:space="0" w:color="auto"/>
              <w:right w:val="single" w:sz="4" w:space="0" w:color="auto"/>
            </w:tcBorders>
            <w:noWrap/>
          </w:tcPr>
          <w:p w:rsidR="00C26502" w:rsidRPr="004C7EAD" w:rsidRDefault="00C26502" w:rsidP="00C26502">
            <w:pPr>
              <w:jc w:val="center"/>
            </w:pPr>
            <w:r w:rsidRPr="004C7EAD">
              <w:t>100</w:t>
            </w:r>
          </w:p>
        </w:tc>
        <w:tc>
          <w:tcPr>
            <w:tcW w:w="1308" w:type="dxa"/>
            <w:tcBorders>
              <w:top w:val="single" w:sz="4" w:space="0" w:color="auto"/>
              <w:left w:val="single" w:sz="4" w:space="0" w:color="auto"/>
              <w:bottom w:val="single" w:sz="4" w:space="0" w:color="auto"/>
              <w:right w:val="single" w:sz="4" w:space="0" w:color="auto"/>
            </w:tcBorders>
            <w:noWrap/>
          </w:tcPr>
          <w:p w:rsidR="00C26502" w:rsidRPr="004C7EAD" w:rsidRDefault="00C26502" w:rsidP="00C26502">
            <w:pPr>
              <w:jc w:val="center"/>
            </w:pPr>
            <w:r w:rsidRPr="004C7EAD">
              <w:t>100</w:t>
            </w:r>
          </w:p>
        </w:tc>
      </w:tr>
      <w:tr w:rsidR="00C26502" w:rsidRPr="004C7EAD" w:rsidTr="00C26502">
        <w:trPr>
          <w:trHeight w:val="222"/>
          <w:jc w:val="center"/>
        </w:trPr>
        <w:tc>
          <w:tcPr>
            <w:tcW w:w="3358" w:type="dxa"/>
            <w:tcBorders>
              <w:top w:val="single" w:sz="4" w:space="0" w:color="auto"/>
              <w:left w:val="single" w:sz="4" w:space="0" w:color="auto"/>
              <w:bottom w:val="single" w:sz="4" w:space="0" w:color="auto"/>
              <w:right w:val="single" w:sz="4" w:space="0" w:color="auto"/>
            </w:tcBorders>
            <w:noWrap/>
          </w:tcPr>
          <w:p w:rsidR="00C26502" w:rsidRPr="004C7EAD" w:rsidRDefault="00C26502" w:rsidP="00C26502">
            <w:pPr>
              <w:overflowPunct w:val="0"/>
              <w:autoSpaceDE w:val="0"/>
              <w:autoSpaceDN w:val="0"/>
              <w:adjustRightInd w:val="0"/>
              <w:jc w:val="center"/>
            </w:pPr>
            <w:r w:rsidRPr="004C7EAD">
              <w:t>16</w:t>
            </w:r>
          </w:p>
        </w:tc>
        <w:tc>
          <w:tcPr>
            <w:tcW w:w="1267" w:type="dxa"/>
            <w:tcBorders>
              <w:top w:val="single" w:sz="4" w:space="0" w:color="auto"/>
              <w:left w:val="single" w:sz="4" w:space="0" w:color="auto"/>
              <w:bottom w:val="single" w:sz="4" w:space="0" w:color="auto"/>
              <w:right w:val="single" w:sz="4" w:space="0" w:color="auto"/>
            </w:tcBorders>
            <w:noWrap/>
          </w:tcPr>
          <w:p w:rsidR="00C26502" w:rsidRPr="004C7EAD" w:rsidRDefault="00C26502" w:rsidP="00C26502">
            <w:pPr>
              <w:jc w:val="center"/>
            </w:pPr>
            <w:r w:rsidRPr="004C7EAD">
              <w:t>90</w:t>
            </w:r>
          </w:p>
        </w:tc>
        <w:tc>
          <w:tcPr>
            <w:tcW w:w="1308" w:type="dxa"/>
            <w:tcBorders>
              <w:top w:val="single" w:sz="4" w:space="0" w:color="auto"/>
              <w:left w:val="single" w:sz="4" w:space="0" w:color="auto"/>
              <w:bottom w:val="single" w:sz="4" w:space="0" w:color="auto"/>
              <w:right w:val="single" w:sz="4" w:space="0" w:color="auto"/>
            </w:tcBorders>
            <w:noWrap/>
          </w:tcPr>
          <w:p w:rsidR="00C26502" w:rsidRPr="004C7EAD" w:rsidRDefault="00C26502" w:rsidP="00C26502">
            <w:pPr>
              <w:jc w:val="center"/>
            </w:pPr>
            <w:r w:rsidRPr="004C7EAD">
              <w:t>90</w:t>
            </w:r>
          </w:p>
        </w:tc>
      </w:tr>
      <w:tr w:rsidR="00C26502" w:rsidRPr="004C7EAD" w:rsidTr="00C26502">
        <w:trPr>
          <w:trHeight w:val="238"/>
          <w:jc w:val="center"/>
        </w:trPr>
        <w:tc>
          <w:tcPr>
            <w:tcW w:w="3358" w:type="dxa"/>
            <w:tcBorders>
              <w:top w:val="single" w:sz="4" w:space="0" w:color="auto"/>
              <w:left w:val="single" w:sz="4" w:space="0" w:color="auto"/>
              <w:bottom w:val="single" w:sz="4" w:space="0" w:color="auto"/>
              <w:right w:val="single" w:sz="4" w:space="0" w:color="auto"/>
            </w:tcBorders>
            <w:noWrap/>
          </w:tcPr>
          <w:p w:rsidR="00C26502" w:rsidRPr="004C7EAD" w:rsidRDefault="00C26502" w:rsidP="00C26502">
            <w:pPr>
              <w:overflowPunct w:val="0"/>
              <w:autoSpaceDE w:val="0"/>
              <w:autoSpaceDN w:val="0"/>
              <w:adjustRightInd w:val="0"/>
              <w:jc w:val="center"/>
            </w:pPr>
            <w:r w:rsidRPr="004C7EAD">
              <w:t>11,2</w:t>
            </w:r>
          </w:p>
        </w:tc>
        <w:tc>
          <w:tcPr>
            <w:tcW w:w="1267" w:type="dxa"/>
            <w:tcBorders>
              <w:top w:val="single" w:sz="4" w:space="0" w:color="auto"/>
              <w:left w:val="single" w:sz="4" w:space="0" w:color="auto"/>
              <w:bottom w:val="single" w:sz="4" w:space="0" w:color="auto"/>
              <w:right w:val="single" w:sz="4" w:space="0" w:color="auto"/>
            </w:tcBorders>
            <w:noWrap/>
          </w:tcPr>
          <w:p w:rsidR="00C26502" w:rsidRPr="004C7EAD" w:rsidRDefault="00C26502" w:rsidP="00C26502">
            <w:pPr>
              <w:jc w:val="center"/>
            </w:pPr>
            <w:r w:rsidRPr="004C7EAD">
              <w:t>75</w:t>
            </w:r>
          </w:p>
        </w:tc>
        <w:tc>
          <w:tcPr>
            <w:tcW w:w="1308" w:type="dxa"/>
            <w:tcBorders>
              <w:top w:val="single" w:sz="4" w:space="0" w:color="auto"/>
              <w:left w:val="single" w:sz="4" w:space="0" w:color="auto"/>
              <w:bottom w:val="single" w:sz="4" w:space="0" w:color="auto"/>
              <w:right w:val="single" w:sz="4" w:space="0" w:color="auto"/>
            </w:tcBorders>
            <w:noWrap/>
          </w:tcPr>
          <w:p w:rsidR="00C26502" w:rsidRPr="004C7EAD" w:rsidRDefault="00C26502" w:rsidP="00C26502">
            <w:pPr>
              <w:jc w:val="center"/>
            </w:pPr>
            <w:r w:rsidRPr="004C7EAD">
              <w:t>75</w:t>
            </w:r>
          </w:p>
        </w:tc>
      </w:tr>
      <w:tr w:rsidR="00C26502" w:rsidRPr="004C7EAD" w:rsidTr="00C26502">
        <w:trPr>
          <w:trHeight w:val="222"/>
          <w:jc w:val="center"/>
        </w:trPr>
        <w:tc>
          <w:tcPr>
            <w:tcW w:w="3358" w:type="dxa"/>
            <w:tcBorders>
              <w:top w:val="single" w:sz="4" w:space="0" w:color="auto"/>
              <w:left w:val="single" w:sz="4" w:space="0" w:color="auto"/>
              <w:bottom w:val="single" w:sz="4" w:space="0" w:color="auto"/>
              <w:right w:val="single" w:sz="4" w:space="0" w:color="auto"/>
            </w:tcBorders>
            <w:noWrap/>
          </w:tcPr>
          <w:p w:rsidR="00C26502" w:rsidRPr="004C7EAD" w:rsidRDefault="00C26502" w:rsidP="00C26502">
            <w:pPr>
              <w:overflowPunct w:val="0"/>
              <w:autoSpaceDE w:val="0"/>
              <w:autoSpaceDN w:val="0"/>
              <w:adjustRightInd w:val="0"/>
              <w:jc w:val="center"/>
            </w:pPr>
            <w:r w:rsidRPr="004C7EAD">
              <w:t>2</w:t>
            </w:r>
          </w:p>
        </w:tc>
        <w:tc>
          <w:tcPr>
            <w:tcW w:w="1267" w:type="dxa"/>
            <w:tcBorders>
              <w:top w:val="single" w:sz="4" w:space="0" w:color="auto"/>
              <w:left w:val="single" w:sz="4" w:space="0" w:color="auto"/>
              <w:bottom w:val="single" w:sz="4" w:space="0" w:color="auto"/>
              <w:right w:val="single" w:sz="4" w:space="0" w:color="auto"/>
            </w:tcBorders>
            <w:noWrap/>
          </w:tcPr>
          <w:p w:rsidR="00C26502" w:rsidRPr="004C7EAD" w:rsidRDefault="00C26502" w:rsidP="00C26502">
            <w:pPr>
              <w:jc w:val="center"/>
            </w:pPr>
            <w:r w:rsidRPr="004C7EAD">
              <w:t>25</w:t>
            </w:r>
          </w:p>
        </w:tc>
        <w:tc>
          <w:tcPr>
            <w:tcW w:w="1308" w:type="dxa"/>
            <w:tcBorders>
              <w:top w:val="single" w:sz="4" w:space="0" w:color="auto"/>
              <w:left w:val="single" w:sz="4" w:space="0" w:color="auto"/>
              <w:bottom w:val="single" w:sz="4" w:space="0" w:color="auto"/>
              <w:right w:val="single" w:sz="4" w:space="0" w:color="auto"/>
            </w:tcBorders>
            <w:noWrap/>
          </w:tcPr>
          <w:p w:rsidR="00C26502" w:rsidRPr="004C7EAD" w:rsidRDefault="00C26502" w:rsidP="00C26502">
            <w:pPr>
              <w:jc w:val="center"/>
            </w:pPr>
            <w:r w:rsidRPr="004C7EAD">
              <w:t>25</w:t>
            </w:r>
          </w:p>
        </w:tc>
      </w:tr>
      <w:tr w:rsidR="00C26502" w:rsidRPr="004C7EAD" w:rsidTr="00C26502">
        <w:trPr>
          <w:trHeight w:val="222"/>
          <w:jc w:val="center"/>
        </w:trPr>
        <w:tc>
          <w:tcPr>
            <w:tcW w:w="3358" w:type="dxa"/>
            <w:tcBorders>
              <w:top w:val="single" w:sz="4" w:space="0" w:color="auto"/>
              <w:left w:val="single" w:sz="4" w:space="0" w:color="auto"/>
              <w:bottom w:val="single" w:sz="4" w:space="0" w:color="auto"/>
              <w:right w:val="single" w:sz="4" w:space="0" w:color="auto"/>
            </w:tcBorders>
            <w:noWrap/>
          </w:tcPr>
          <w:p w:rsidR="00C26502" w:rsidRPr="004C7EAD" w:rsidRDefault="00C26502" w:rsidP="00C26502">
            <w:pPr>
              <w:overflowPunct w:val="0"/>
              <w:autoSpaceDE w:val="0"/>
              <w:autoSpaceDN w:val="0"/>
              <w:adjustRightInd w:val="0"/>
              <w:jc w:val="center"/>
            </w:pPr>
            <w:r w:rsidRPr="004C7EAD">
              <w:t>0,125</w:t>
            </w:r>
          </w:p>
        </w:tc>
        <w:tc>
          <w:tcPr>
            <w:tcW w:w="1267" w:type="dxa"/>
            <w:tcBorders>
              <w:top w:val="single" w:sz="4" w:space="0" w:color="auto"/>
              <w:left w:val="single" w:sz="4" w:space="0" w:color="auto"/>
              <w:bottom w:val="single" w:sz="4" w:space="0" w:color="auto"/>
              <w:right w:val="single" w:sz="4" w:space="0" w:color="auto"/>
            </w:tcBorders>
            <w:noWrap/>
          </w:tcPr>
          <w:p w:rsidR="00C26502" w:rsidRPr="004C7EAD" w:rsidRDefault="00C26502" w:rsidP="00C26502">
            <w:pPr>
              <w:jc w:val="center"/>
            </w:pPr>
            <w:r w:rsidRPr="004C7EAD">
              <w:t>4</w:t>
            </w:r>
          </w:p>
        </w:tc>
        <w:tc>
          <w:tcPr>
            <w:tcW w:w="1308" w:type="dxa"/>
            <w:tcBorders>
              <w:top w:val="single" w:sz="4" w:space="0" w:color="auto"/>
              <w:left w:val="single" w:sz="4" w:space="0" w:color="auto"/>
              <w:bottom w:val="single" w:sz="4" w:space="0" w:color="auto"/>
              <w:right w:val="single" w:sz="4" w:space="0" w:color="auto"/>
            </w:tcBorders>
            <w:noWrap/>
          </w:tcPr>
          <w:p w:rsidR="00C26502" w:rsidRPr="004C7EAD" w:rsidRDefault="00C26502" w:rsidP="00C26502">
            <w:pPr>
              <w:jc w:val="center"/>
            </w:pPr>
            <w:r w:rsidRPr="004C7EAD">
              <w:t>4</w:t>
            </w:r>
          </w:p>
        </w:tc>
      </w:tr>
      <w:tr w:rsidR="00C26502" w:rsidRPr="004C7EAD" w:rsidTr="00C26502">
        <w:trPr>
          <w:trHeight w:val="238"/>
          <w:jc w:val="center"/>
        </w:trPr>
        <w:tc>
          <w:tcPr>
            <w:tcW w:w="3358" w:type="dxa"/>
            <w:tcBorders>
              <w:top w:val="single" w:sz="4" w:space="0" w:color="auto"/>
              <w:left w:val="single" w:sz="4" w:space="0" w:color="auto"/>
              <w:bottom w:val="single" w:sz="4" w:space="0" w:color="auto"/>
              <w:right w:val="single" w:sz="4" w:space="0" w:color="auto"/>
            </w:tcBorders>
            <w:noWrap/>
          </w:tcPr>
          <w:p w:rsidR="00C26502" w:rsidRPr="004C7EAD" w:rsidRDefault="00C26502" w:rsidP="00C26502">
            <w:pPr>
              <w:overflowPunct w:val="0"/>
              <w:autoSpaceDE w:val="0"/>
              <w:autoSpaceDN w:val="0"/>
              <w:adjustRightInd w:val="0"/>
              <w:jc w:val="center"/>
            </w:pPr>
            <w:r w:rsidRPr="004C7EAD">
              <w:t>0,063</w:t>
            </w:r>
          </w:p>
        </w:tc>
        <w:tc>
          <w:tcPr>
            <w:tcW w:w="1267" w:type="dxa"/>
            <w:tcBorders>
              <w:top w:val="single" w:sz="4" w:space="0" w:color="auto"/>
              <w:left w:val="single" w:sz="4" w:space="0" w:color="auto"/>
              <w:bottom w:val="single" w:sz="4" w:space="0" w:color="auto"/>
              <w:right w:val="single" w:sz="4" w:space="0" w:color="auto"/>
            </w:tcBorders>
            <w:noWrap/>
          </w:tcPr>
          <w:p w:rsidR="00C26502" w:rsidRPr="004C7EAD" w:rsidRDefault="00C26502" w:rsidP="00C26502">
            <w:pPr>
              <w:jc w:val="center"/>
            </w:pPr>
            <w:r w:rsidRPr="004C7EAD">
              <w:t>2,0</w:t>
            </w:r>
          </w:p>
        </w:tc>
        <w:tc>
          <w:tcPr>
            <w:tcW w:w="1308" w:type="dxa"/>
            <w:tcBorders>
              <w:top w:val="single" w:sz="4" w:space="0" w:color="auto"/>
              <w:left w:val="single" w:sz="4" w:space="0" w:color="auto"/>
              <w:bottom w:val="single" w:sz="4" w:space="0" w:color="auto"/>
              <w:right w:val="single" w:sz="4" w:space="0" w:color="auto"/>
            </w:tcBorders>
            <w:noWrap/>
          </w:tcPr>
          <w:p w:rsidR="00C26502" w:rsidRPr="004C7EAD" w:rsidRDefault="00C26502" w:rsidP="00C26502">
            <w:pPr>
              <w:jc w:val="center"/>
            </w:pPr>
            <w:r w:rsidRPr="004C7EAD">
              <w:t>2,0</w:t>
            </w:r>
          </w:p>
        </w:tc>
      </w:tr>
      <w:tr w:rsidR="00C26502" w:rsidRPr="004C7EAD" w:rsidTr="00C26502">
        <w:trPr>
          <w:trHeight w:val="125"/>
          <w:jc w:val="center"/>
        </w:trPr>
        <w:tc>
          <w:tcPr>
            <w:tcW w:w="3358" w:type="dxa"/>
            <w:tcBorders>
              <w:top w:val="single" w:sz="4" w:space="0" w:color="auto"/>
              <w:left w:val="single" w:sz="4" w:space="0" w:color="auto"/>
              <w:bottom w:val="single" w:sz="4" w:space="0" w:color="auto"/>
              <w:right w:val="single" w:sz="4" w:space="0" w:color="auto"/>
            </w:tcBorders>
            <w:noWrap/>
          </w:tcPr>
          <w:p w:rsidR="00C26502" w:rsidRPr="004C7EAD" w:rsidRDefault="00C26502" w:rsidP="00C26502">
            <w:pPr>
              <w:overflowPunct w:val="0"/>
              <w:autoSpaceDE w:val="0"/>
              <w:autoSpaceDN w:val="0"/>
              <w:adjustRightInd w:val="0"/>
              <w:jc w:val="both"/>
              <w:rPr>
                <w:vertAlign w:val="superscript"/>
              </w:rPr>
            </w:pPr>
            <w:r w:rsidRPr="004C7EAD">
              <w:t>Zawartość lepiszcza, minimum</w:t>
            </w:r>
            <w:r w:rsidRPr="004C7EAD">
              <w:rPr>
                <w:vertAlign w:val="superscript"/>
              </w:rPr>
              <w:t>*)</w:t>
            </w:r>
          </w:p>
        </w:tc>
        <w:tc>
          <w:tcPr>
            <w:tcW w:w="2575" w:type="dxa"/>
            <w:gridSpan w:val="2"/>
            <w:tcBorders>
              <w:top w:val="single" w:sz="4" w:space="0" w:color="auto"/>
              <w:left w:val="single" w:sz="4" w:space="0" w:color="auto"/>
              <w:bottom w:val="single" w:sz="4" w:space="0" w:color="auto"/>
              <w:right w:val="single" w:sz="4" w:space="0" w:color="auto"/>
            </w:tcBorders>
            <w:noWrap/>
          </w:tcPr>
          <w:p w:rsidR="00C26502" w:rsidRPr="004C7EAD" w:rsidRDefault="00C26502" w:rsidP="00C26502">
            <w:pPr>
              <w:spacing w:before="120"/>
              <w:jc w:val="center"/>
            </w:pPr>
            <w:r w:rsidRPr="004C7EAD">
              <w:t>B</w:t>
            </w:r>
            <w:r w:rsidRPr="004C7EAD">
              <w:rPr>
                <w:vertAlign w:val="subscript"/>
              </w:rPr>
              <w:t>min4,0</w:t>
            </w:r>
          </w:p>
        </w:tc>
      </w:tr>
    </w:tbl>
    <w:p w:rsidR="00C26502" w:rsidRPr="004C7EAD" w:rsidRDefault="00C26502" w:rsidP="00C26502">
      <w:pPr>
        <w:tabs>
          <w:tab w:val="left" w:pos="993"/>
        </w:tabs>
        <w:overflowPunct w:val="0"/>
        <w:autoSpaceDE w:val="0"/>
        <w:autoSpaceDN w:val="0"/>
        <w:adjustRightInd w:val="0"/>
        <w:ind w:left="992" w:hanging="992"/>
        <w:jc w:val="both"/>
      </w:pPr>
    </w:p>
    <w:p w:rsidR="00C26502" w:rsidRPr="004C7EAD" w:rsidRDefault="00C26502" w:rsidP="00C26502">
      <w:pPr>
        <w:tabs>
          <w:tab w:val="left" w:pos="993"/>
        </w:tabs>
        <w:overflowPunct w:val="0"/>
        <w:autoSpaceDE w:val="0"/>
        <w:autoSpaceDN w:val="0"/>
        <w:adjustRightInd w:val="0"/>
        <w:ind w:left="992" w:hanging="992"/>
        <w:jc w:val="both"/>
      </w:pPr>
      <w:r w:rsidRPr="004C7EAD">
        <w:t>Tablica 7.</w:t>
      </w:r>
      <w:r w:rsidRPr="004C7EAD">
        <w:tab/>
        <w:t>Uziarnienie mieszanki mineralnej oraz zawartość lepiszcza do betonu asfaltowego do warstwy podbudowy (projektowanie funkcjonalne) [65]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8"/>
        <w:gridCol w:w="900"/>
        <w:gridCol w:w="1103"/>
      </w:tblGrid>
      <w:tr w:rsidR="00C26502" w:rsidRPr="004C7EAD" w:rsidTr="00C26502">
        <w:trPr>
          <w:cantSplit/>
          <w:trHeight w:val="207"/>
          <w:jc w:val="center"/>
        </w:trPr>
        <w:tc>
          <w:tcPr>
            <w:tcW w:w="3168" w:type="dxa"/>
            <w:vMerge w:val="restart"/>
            <w:tcBorders>
              <w:top w:val="single" w:sz="4" w:space="0" w:color="auto"/>
              <w:left w:val="single" w:sz="4" w:space="0" w:color="auto"/>
              <w:bottom w:val="single" w:sz="4" w:space="0" w:color="auto"/>
              <w:right w:val="single" w:sz="4" w:space="0" w:color="auto"/>
            </w:tcBorders>
            <w:noWrap/>
            <w:vAlign w:val="center"/>
          </w:tcPr>
          <w:p w:rsidR="00C26502" w:rsidRPr="004C7EAD" w:rsidRDefault="00C26502" w:rsidP="00C26502">
            <w:pPr>
              <w:overflowPunct w:val="0"/>
              <w:autoSpaceDE w:val="0"/>
              <w:autoSpaceDN w:val="0"/>
              <w:adjustRightInd w:val="0"/>
              <w:jc w:val="center"/>
            </w:pPr>
            <w:r w:rsidRPr="004C7EAD">
              <w:t>Właściwość</w:t>
            </w:r>
          </w:p>
        </w:tc>
        <w:tc>
          <w:tcPr>
            <w:tcW w:w="2003" w:type="dxa"/>
            <w:gridSpan w:val="2"/>
            <w:tcBorders>
              <w:top w:val="single" w:sz="4" w:space="0" w:color="auto"/>
              <w:left w:val="single" w:sz="4" w:space="0" w:color="auto"/>
              <w:bottom w:val="single" w:sz="4" w:space="0" w:color="auto"/>
              <w:right w:val="single" w:sz="4" w:space="0" w:color="auto"/>
            </w:tcBorders>
          </w:tcPr>
          <w:p w:rsidR="00C26502" w:rsidRPr="004C7EAD" w:rsidRDefault="00C26502" w:rsidP="00C26502">
            <w:pPr>
              <w:overflowPunct w:val="0"/>
              <w:autoSpaceDE w:val="0"/>
              <w:autoSpaceDN w:val="0"/>
              <w:adjustRightInd w:val="0"/>
              <w:jc w:val="center"/>
            </w:pPr>
            <w:r w:rsidRPr="004C7EAD">
              <w:t>Przesiew,   [% (m/m)]</w:t>
            </w:r>
          </w:p>
        </w:tc>
      </w:tr>
      <w:tr w:rsidR="00C26502" w:rsidRPr="004C7EAD" w:rsidTr="00C26502">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C26502" w:rsidRPr="004C7EAD" w:rsidRDefault="00C26502" w:rsidP="00C26502"/>
        </w:tc>
        <w:tc>
          <w:tcPr>
            <w:tcW w:w="2003" w:type="dxa"/>
            <w:gridSpan w:val="2"/>
            <w:tcBorders>
              <w:top w:val="single" w:sz="4" w:space="0" w:color="auto"/>
              <w:left w:val="single" w:sz="4" w:space="0" w:color="auto"/>
              <w:bottom w:val="single" w:sz="4" w:space="0" w:color="auto"/>
              <w:right w:val="single" w:sz="4" w:space="0" w:color="auto"/>
            </w:tcBorders>
            <w:noWrap/>
          </w:tcPr>
          <w:p w:rsidR="00C26502" w:rsidRPr="004C7EAD" w:rsidRDefault="00C26502" w:rsidP="00C26502">
            <w:pPr>
              <w:jc w:val="center"/>
            </w:pPr>
            <w:r w:rsidRPr="004C7EAD">
              <w:t>AC22P</w:t>
            </w:r>
          </w:p>
          <w:p w:rsidR="00C26502" w:rsidRPr="004C7EAD" w:rsidRDefault="00C26502" w:rsidP="00C26502">
            <w:pPr>
              <w:jc w:val="center"/>
            </w:pPr>
            <w:r w:rsidRPr="004C7EAD">
              <w:t>KR3-KR6</w:t>
            </w:r>
          </w:p>
        </w:tc>
      </w:tr>
      <w:tr w:rsidR="00C26502" w:rsidRPr="004C7EAD" w:rsidTr="00C26502">
        <w:trPr>
          <w:jc w:val="center"/>
        </w:trPr>
        <w:tc>
          <w:tcPr>
            <w:tcW w:w="3168" w:type="dxa"/>
            <w:tcBorders>
              <w:top w:val="single" w:sz="4" w:space="0" w:color="auto"/>
              <w:left w:val="single" w:sz="4" w:space="0" w:color="auto"/>
              <w:bottom w:val="single" w:sz="4" w:space="0" w:color="auto"/>
              <w:right w:val="single" w:sz="4" w:space="0" w:color="auto"/>
            </w:tcBorders>
            <w:noWrap/>
          </w:tcPr>
          <w:p w:rsidR="00C26502" w:rsidRPr="004C7EAD" w:rsidRDefault="00C26502" w:rsidP="00C26502">
            <w:pPr>
              <w:overflowPunct w:val="0"/>
              <w:autoSpaceDE w:val="0"/>
              <w:autoSpaceDN w:val="0"/>
              <w:adjustRightInd w:val="0"/>
              <w:jc w:val="center"/>
            </w:pPr>
            <w:r w:rsidRPr="004C7EAD">
              <w:t>Wymiar sita #, [mm]</w:t>
            </w:r>
          </w:p>
        </w:tc>
        <w:tc>
          <w:tcPr>
            <w:tcW w:w="900" w:type="dxa"/>
            <w:tcBorders>
              <w:top w:val="single" w:sz="4" w:space="0" w:color="auto"/>
              <w:left w:val="single" w:sz="4" w:space="0" w:color="auto"/>
              <w:bottom w:val="single" w:sz="4" w:space="0" w:color="auto"/>
              <w:right w:val="single" w:sz="4" w:space="0" w:color="auto"/>
            </w:tcBorders>
            <w:noWrap/>
          </w:tcPr>
          <w:p w:rsidR="00C26502" w:rsidRPr="004C7EAD" w:rsidRDefault="00C26502" w:rsidP="00C26502">
            <w:pPr>
              <w:jc w:val="center"/>
            </w:pPr>
            <w:r w:rsidRPr="004C7EAD">
              <w:t>od</w:t>
            </w:r>
          </w:p>
        </w:tc>
        <w:tc>
          <w:tcPr>
            <w:tcW w:w="1103" w:type="dxa"/>
            <w:tcBorders>
              <w:top w:val="single" w:sz="4" w:space="0" w:color="auto"/>
              <w:left w:val="single" w:sz="4" w:space="0" w:color="auto"/>
              <w:bottom w:val="single" w:sz="4" w:space="0" w:color="auto"/>
              <w:right w:val="single" w:sz="4" w:space="0" w:color="auto"/>
            </w:tcBorders>
            <w:noWrap/>
          </w:tcPr>
          <w:p w:rsidR="00C26502" w:rsidRPr="004C7EAD" w:rsidRDefault="00C26502" w:rsidP="00C26502">
            <w:pPr>
              <w:jc w:val="center"/>
            </w:pPr>
            <w:r w:rsidRPr="004C7EAD">
              <w:t>od</w:t>
            </w:r>
          </w:p>
        </w:tc>
      </w:tr>
      <w:tr w:rsidR="00C26502" w:rsidRPr="004C7EAD" w:rsidTr="00C26502">
        <w:trPr>
          <w:jc w:val="center"/>
        </w:trPr>
        <w:tc>
          <w:tcPr>
            <w:tcW w:w="3168" w:type="dxa"/>
            <w:tcBorders>
              <w:top w:val="single" w:sz="4" w:space="0" w:color="auto"/>
              <w:left w:val="single" w:sz="4" w:space="0" w:color="auto"/>
              <w:bottom w:val="single" w:sz="4" w:space="0" w:color="auto"/>
              <w:right w:val="single" w:sz="4" w:space="0" w:color="auto"/>
            </w:tcBorders>
            <w:noWrap/>
          </w:tcPr>
          <w:p w:rsidR="00C26502" w:rsidRPr="004C7EAD" w:rsidRDefault="00C26502" w:rsidP="00C26502">
            <w:pPr>
              <w:overflowPunct w:val="0"/>
              <w:autoSpaceDE w:val="0"/>
              <w:autoSpaceDN w:val="0"/>
              <w:adjustRightInd w:val="0"/>
              <w:jc w:val="center"/>
            </w:pPr>
            <w:r w:rsidRPr="004C7EAD">
              <w:t>31,5</w:t>
            </w:r>
          </w:p>
        </w:tc>
        <w:tc>
          <w:tcPr>
            <w:tcW w:w="900" w:type="dxa"/>
            <w:tcBorders>
              <w:top w:val="single" w:sz="4" w:space="0" w:color="auto"/>
              <w:left w:val="single" w:sz="4" w:space="0" w:color="auto"/>
              <w:bottom w:val="single" w:sz="4" w:space="0" w:color="auto"/>
              <w:right w:val="single" w:sz="4" w:space="0" w:color="auto"/>
            </w:tcBorders>
            <w:noWrap/>
          </w:tcPr>
          <w:p w:rsidR="00C26502" w:rsidRPr="004C7EAD" w:rsidRDefault="00C26502" w:rsidP="00C26502">
            <w:pPr>
              <w:jc w:val="center"/>
            </w:pPr>
            <w:r w:rsidRPr="004C7EAD">
              <w:t>100</w:t>
            </w:r>
          </w:p>
        </w:tc>
        <w:tc>
          <w:tcPr>
            <w:tcW w:w="1103" w:type="dxa"/>
            <w:tcBorders>
              <w:top w:val="single" w:sz="4" w:space="0" w:color="auto"/>
              <w:left w:val="single" w:sz="4" w:space="0" w:color="auto"/>
              <w:bottom w:val="single" w:sz="4" w:space="0" w:color="auto"/>
              <w:right w:val="single" w:sz="4" w:space="0" w:color="auto"/>
            </w:tcBorders>
            <w:noWrap/>
          </w:tcPr>
          <w:p w:rsidR="00C26502" w:rsidRPr="004C7EAD" w:rsidRDefault="00C26502" w:rsidP="00C26502">
            <w:pPr>
              <w:jc w:val="center"/>
            </w:pPr>
            <w:r w:rsidRPr="004C7EAD">
              <w:t>100</w:t>
            </w:r>
          </w:p>
        </w:tc>
      </w:tr>
      <w:tr w:rsidR="00C26502" w:rsidRPr="004C7EAD" w:rsidTr="00C26502">
        <w:trPr>
          <w:jc w:val="center"/>
        </w:trPr>
        <w:tc>
          <w:tcPr>
            <w:tcW w:w="3168" w:type="dxa"/>
            <w:tcBorders>
              <w:top w:val="single" w:sz="4" w:space="0" w:color="auto"/>
              <w:left w:val="single" w:sz="4" w:space="0" w:color="auto"/>
              <w:bottom w:val="single" w:sz="4" w:space="0" w:color="auto"/>
              <w:right w:val="single" w:sz="4" w:space="0" w:color="auto"/>
            </w:tcBorders>
            <w:noWrap/>
          </w:tcPr>
          <w:p w:rsidR="00C26502" w:rsidRPr="004C7EAD" w:rsidRDefault="00C26502" w:rsidP="00C26502">
            <w:pPr>
              <w:overflowPunct w:val="0"/>
              <w:autoSpaceDE w:val="0"/>
              <w:autoSpaceDN w:val="0"/>
              <w:adjustRightInd w:val="0"/>
              <w:jc w:val="center"/>
            </w:pPr>
            <w:r w:rsidRPr="004C7EAD">
              <w:t>22,4</w:t>
            </w:r>
          </w:p>
        </w:tc>
        <w:tc>
          <w:tcPr>
            <w:tcW w:w="900" w:type="dxa"/>
            <w:tcBorders>
              <w:top w:val="single" w:sz="4" w:space="0" w:color="auto"/>
              <w:left w:val="single" w:sz="4" w:space="0" w:color="auto"/>
              <w:bottom w:val="single" w:sz="4" w:space="0" w:color="auto"/>
              <w:right w:val="single" w:sz="4" w:space="0" w:color="auto"/>
            </w:tcBorders>
            <w:noWrap/>
          </w:tcPr>
          <w:p w:rsidR="00C26502" w:rsidRPr="004C7EAD" w:rsidRDefault="00C26502" w:rsidP="00C26502">
            <w:pPr>
              <w:jc w:val="center"/>
            </w:pPr>
            <w:r w:rsidRPr="004C7EAD">
              <w:t>90</w:t>
            </w:r>
          </w:p>
        </w:tc>
        <w:tc>
          <w:tcPr>
            <w:tcW w:w="1103" w:type="dxa"/>
            <w:tcBorders>
              <w:top w:val="single" w:sz="4" w:space="0" w:color="auto"/>
              <w:left w:val="single" w:sz="4" w:space="0" w:color="auto"/>
              <w:bottom w:val="single" w:sz="4" w:space="0" w:color="auto"/>
              <w:right w:val="single" w:sz="4" w:space="0" w:color="auto"/>
            </w:tcBorders>
            <w:noWrap/>
          </w:tcPr>
          <w:p w:rsidR="00C26502" w:rsidRPr="004C7EAD" w:rsidRDefault="00C26502" w:rsidP="00C26502">
            <w:pPr>
              <w:jc w:val="center"/>
            </w:pPr>
            <w:r w:rsidRPr="004C7EAD">
              <w:t>90</w:t>
            </w:r>
          </w:p>
        </w:tc>
      </w:tr>
      <w:tr w:rsidR="00C26502" w:rsidRPr="004C7EAD" w:rsidTr="00C26502">
        <w:trPr>
          <w:jc w:val="center"/>
        </w:trPr>
        <w:tc>
          <w:tcPr>
            <w:tcW w:w="3168" w:type="dxa"/>
            <w:tcBorders>
              <w:top w:val="single" w:sz="4" w:space="0" w:color="auto"/>
              <w:left w:val="single" w:sz="4" w:space="0" w:color="auto"/>
              <w:bottom w:val="single" w:sz="4" w:space="0" w:color="auto"/>
              <w:right w:val="single" w:sz="4" w:space="0" w:color="auto"/>
            </w:tcBorders>
            <w:noWrap/>
          </w:tcPr>
          <w:p w:rsidR="00C26502" w:rsidRPr="004C7EAD" w:rsidRDefault="00C26502" w:rsidP="00C26502">
            <w:pPr>
              <w:overflowPunct w:val="0"/>
              <w:autoSpaceDE w:val="0"/>
              <w:autoSpaceDN w:val="0"/>
              <w:adjustRightInd w:val="0"/>
              <w:jc w:val="center"/>
            </w:pPr>
            <w:r w:rsidRPr="004C7EAD">
              <w:t>16</w:t>
            </w:r>
          </w:p>
        </w:tc>
        <w:tc>
          <w:tcPr>
            <w:tcW w:w="900" w:type="dxa"/>
            <w:tcBorders>
              <w:top w:val="single" w:sz="4" w:space="0" w:color="auto"/>
              <w:left w:val="single" w:sz="4" w:space="0" w:color="auto"/>
              <w:bottom w:val="single" w:sz="4" w:space="0" w:color="auto"/>
              <w:right w:val="single" w:sz="4" w:space="0" w:color="auto"/>
            </w:tcBorders>
            <w:noWrap/>
          </w:tcPr>
          <w:p w:rsidR="00C26502" w:rsidRPr="004C7EAD" w:rsidRDefault="00C26502" w:rsidP="00C26502">
            <w:pPr>
              <w:jc w:val="center"/>
            </w:pPr>
            <w:r w:rsidRPr="004C7EAD">
              <w:t>-</w:t>
            </w:r>
          </w:p>
        </w:tc>
        <w:tc>
          <w:tcPr>
            <w:tcW w:w="1103" w:type="dxa"/>
            <w:tcBorders>
              <w:top w:val="single" w:sz="4" w:space="0" w:color="auto"/>
              <w:left w:val="single" w:sz="4" w:space="0" w:color="auto"/>
              <w:bottom w:val="single" w:sz="4" w:space="0" w:color="auto"/>
              <w:right w:val="single" w:sz="4" w:space="0" w:color="auto"/>
            </w:tcBorders>
            <w:noWrap/>
          </w:tcPr>
          <w:p w:rsidR="00C26502" w:rsidRPr="004C7EAD" w:rsidRDefault="00C26502" w:rsidP="00C26502">
            <w:pPr>
              <w:jc w:val="center"/>
            </w:pPr>
            <w:r w:rsidRPr="004C7EAD">
              <w:t>-</w:t>
            </w:r>
          </w:p>
        </w:tc>
      </w:tr>
      <w:tr w:rsidR="00C26502" w:rsidRPr="004C7EAD" w:rsidTr="00C26502">
        <w:trPr>
          <w:jc w:val="center"/>
        </w:trPr>
        <w:tc>
          <w:tcPr>
            <w:tcW w:w="3168" w:type="dxa"/>
            <w:tcBorders>
              <w:top w:val="single" w:sz="4" w:space="0" w:color="auto"/>
              <w:left w:val="single" w:sz="4" w:space="0" w:color="auto"/>
              <w:bottom w:val="single" w:sz="4" w:space="0" w:color="auto"/>
              <w:right w:val="single" w:sz="4" w:space="0" w:color="auto"/>
            </w:tcBorders>
            <w:noWrap/>
          </w:tcPr>
          <w:p w:rsidR="00C26502" w:rsidRPr="004C7EAD" w:rsidRDefault="00C26502" w:rsidP="00C26502">
            <w:pPr>
              <w:overflowPunct w:val="0"/>
              <w:autoSpaceDE w:val="0"/>
              <w:autoSpaceDN w:val="0"/>
              <w:adjustRightInd w:val="0"/>
              <w:jc w:val="center"/>
            </w:pPr>
            <w:r w:rsidRPr="004C7EAD">
              <w:t>2</w:t>
            </w:r>
          </w:p>
        </w:tc>
        <w:tc>
          <w:tcPr>
            <w:tcW w:w="900" w:type="dxa"/>
            <w:tcBorders>
              <w:top w:val="single" w:sz="4" w:space="0" w:color="auto"/>
              <w:left w:val="single" w:sz="4" w:space="0" w:color="auto"/>
              <w:bottom w:val="single" w:sz="4" w:space="0" w:color="auto"/>
              <w:right w:val="single" w:sz="4" w:space="0" w:color="auto"/>
            </w:tcBorders>
            <w:noWrap/>
          </w:tcPr>
          <w:p w:rsidR="00C26502" w:rsidRPr="004C7EAD" w:rsidRDefault="00C26502" w:rsidP="00C26502">
            <w:pPr>
              <w:jc w:val="center"/>
            </w:pPr>
            <w:r w:rsidRPr="004C7EAD">
              <w:t>10</w:t>
            </w:r>
          </w:p>
        </w:tc>
        <w:tc>
          <w:tcPr>
            <w:tcW w:w="1103" w:type="dxa"/>
            <w:tcBorders>
              <w:top w:val="single" w:sz="4" w:space="0" w:color="auto"/>
              <w:left w:val="single" w:sz="4" w:space="0" w:color="auto"/>
              <w:bottom w:val="single" w:sz="4" w:space="0" w:color="auto"/>
              <w:right w:val="single" w:sz="4" w:space="0" w:color="auto"/>
            </w:tcBorders>
            <w:noWrap/>
          </w:tcPr>
          <w:p w:rsidR="00C26502" w:rsidRPr="004C7EAD" w:rsidRDefault="00C26502" w:rsidP="00C26502">
            <w:pPr>
              <w:jc w:val="center"/>
            </w:pPr>
            <w:r w:rsidRPr="004C7EAD">
              <w:t>10</w:t>
            </w:r>
          </w:p>
        </w:tc>
      </w:tr>
      <w:tr w:rsidR="00C26502" w:rsidRPr="004C7EAD" w:rsidTr="00C26502">
        <w:trPr>
          <w:jc w:val="center"/>
        </w:trPr>
        <w:tc>
          <w:tcPr>
            <w:tcW w:w="3168" w:type="dxa"/>
            <w:tcBorders>
              <w:top w:val="single" w:sz="4" w:space="0" w:color="auto"/>
              <w:left w:val="single" w:sz="4" w:space="0" w:color="auto"/>
              <w:bottom w:val="single" w:sz="4" w:space="0" w:color="auto"/>
              <w:right w:val="single" w:sz="4" w:space="0" w:color="auto"/>
            </w:tcBorders>
            <w:noWrap/>
          </w:tcPr>
          <w:p w:rsidR="00C26502" w:rsidRPr="004C7EAD" w:rsidRDefault="00C26502" w:rsidP="00C26502">
            <w:pPr>
              <w:overflowPunct w:val="0"/>
              <w:autoSpaceDE w:val="0"/>
              <w:autoSpaceDN w:val="0"/>
              <w:adjustRightInd w:val="0"/>
              <w:jc w:val="center"/>
            </w:pPr>
            <w:r w:rsidRPr="004C7EAD">
              <w:t>0,063</w:t>
            </w:r>
          </w:p>
        </w:tc>
        <w:tc>
          <w:tcPr>
            <w:tcW w:w="900" w:type="dxa"/>
            <w:tcBorders>
              <w:top w:val="single" w:sz="4" w:space="0" w:color="auto"/>
              <w:left w:val="single" w:sz="4" w:space="0" w:color="auto"/>
              <w:bottom w:val="single" w:sz="4" w:space="0" w:color="auto"/>
              <w:right w:val="single" w:sz="4" w:space="0" w:color="auto"/>
            </w:tcBorders>
            <w:noWrap/>
          </w:tcPr>
          <w:p w:rsidR="00C26502" w:rsidRPr="004C7EAD" w:rsidRDefault="00C26502" w:rsidP="00C26502">
            <w:pPr>
              <w:jc w:val="center"/>
            </w:pPr>
            <w:r w:rsidRPr="004C7EAD">
              <w:t>2</w:t>
            </w:r>
          </w:p>
        </w:tc>
        <w:tc>
          <w:tcPr>
            <w:tcW w:w="1103" w:type="dxa"/>
            <w:tcBorders>
              <w:top w:val="single" w:sz="4" w:space="0" w:color="auto"/>
              <w:left w:val="single" w:sz="4" w:space="0" w:color="auto"/>
              <w:bottom w:val="single" w:sz="4" w:space="0" w:color="auto"/>
              <w:right w:val="single" w:sz="4" w:space="0" w:color="auto"/>
            </w:tcBorders>
            <w:noWrap/>
          </w:tcPr>
          <w:p w:rsidR="00C26502" w:rsidRPr="004C7EAD" w:rsidRDefault="00C26502" w:rsidP="00C26502">
            <w:pPr>
              <w:jc w:val="center"/>
            </w:pPr>
            <w:r w:rsidRPr="004C7EAD">
              <w:t>2</w:t>
            </w:r>
          </w:p>
        </w:tc>
      </w:tr>
      <w:tr w:rsidR="00C26502" w:rsidRPr="004C7EAD" w:rsidTr="00C26502">
        <w:trPr>
          <w:jc w:val="center"/>
        </w:trPr>
        <w:tc>
          <w:tcPr>
            <w:tcW w:w="3168" w:type="dxa"/>
            <w:tcBorders>
              <w:top w:val="single" w:sz="4" w:space="0" w:color="auto"/>
              <w:left w:val="single" w:sz="4" w:space="0" w:color="auto"/>
              <w:bottom w:val="single" w:sz="4" w:space="0" w:color="auto"/>
              <w:right w:val="single" w:sz="4" w:space="0" w:color="auto"/>
            </w:tcBorders>
            <w:noWrap/>
          </w:tcPr>
          <w:p w:rsidR="00C26502" w:rsidRPr="004C7EAD" w:rsidRDefault="00C26502" w:rsidP="00C26502">
            <w:pPr>
              <w:overflowPunct w:val="0"/>
              <w:autoSpaceDE w:val="0"/>
              <w:autoSpaceDN w:val="0"/>
              <w:adjustRightInd w:val="0"/>
              <w:jc w:val="both"/>
              <w:rPr>
                <w:vertAlign w:val="superscript"/>
              </w:rPr>
            </w:pPr>
            <w:r w:rsidRPr="004C7EAD">
              <w:t>Zawartość lepiszcza, minimum</w:t>
            </w:r>
            <w:r w:rsidRPr="004C7EAD">
              <w:rPr>
                <w:vertAlign w:val="superscript"/>
              </w:rPr>
              <w:t>*)</w:t>
            </w:r>
          </w:p>
        </w:tc>
        <w:tc>
          <w:tcPr>
            <w:tcW w:w="2003" w:type="dxa"/>
            <w:gridSpan w:val="2"/>
            <w:tcBorders>
              <w:top w:val="single" w:sz="4" w:space="0" w:color="auto"/>
              <w:left w:val="single" w:sz="4" w:space="0" w:color="auto"/>
              <w:bottom w:val="single" w:sz="4" w:space="0" w:color="auto"/>
              <w:right w:val="single" w:sz="4" w:space="0" w:color="auto"/>
            </w:tcBorders>
            <w:noWrap/>
          </w:tcPr>
          <w:p w:rsidR="00C26502" w:rsidRPr="004C7EAD" w:rsidRDefault="00C26502" w:rsidP="00C26502">
            <w:pPr>
              <w:spacing w:before="60" w:after="60"/>
              <w:jc w:val="center"/>
            </w:pPr>
            <w:r w:rsidRPr="004C7EAD">
              <w:t>B</w:t>
            </w:r>
            <w:r w:rsidRPr="004C7EAD">
              <w:rPr>
                <w:vertAlign w:val="subscript"/>
              </w:rPr>
              <w:t xml:space="preserve">min3,0 </w:t>
            </w:r>
          </w:p>
        </w:tc>
      </w:tr>
    </w:tbl>
    <w:p w:rsidR="00C26502" w:rsidRPr="004C7EAD" w:rsidRDefault="00C26502" w:rsidP="00C26502">
      <w:pPr>
        <w:tabs>
          <w:tab w:val="left" w:pos="993"/>
        </w:tabs>
        <w:overflowPunct w:val="0"/>
        <w:autoSpaceDE w:val="0"/>
        <w:autoSpaceDN w:val="0"/>
        <w:adjustRightInd w:val="0"/>
        <w:ind w:left="992" w:hanging="992"/>
        <w:jc w:val="both"/>
      </w:pPr>
    </w:p>
    <w:p w:rsidR="00C26502" w:rsidRPr="004C7EAD" w:rsidRDefault="00C26502" w:rsidP="00C26502">
      <w:pPr>
        <w:tabs>
          <w:tab w:val="left" w:pos="851"/>
        </w:tabs>
        <w:overflowPunct w:val="0"/>
        <w:autoSpaceDE w:val="0"/>
        <w:autoSpaceDN w:val="0"/>
        <w:adjustRightInd w:val="0"/>
        <w:ind w:left="1015" w:hanging="1015"/>
        <w:jc w:val="both"/>
      </w:pPr>
    </w:p>
    <w:p w:rsidR="00C26502" w:rsidRPr="004C7EAD" w:rsidRDefault="00C26502" w:rsidP="00C26502">
      <w:pPr>
        <w:tabs>
          <w:tab w:val="left" w:pos="851"/>
        </w:tabs>
        <w:overflowPunct w:val="0"/>
        <w:autoSpaceDE w:val="0"/>
        <w:autoSpaceDN w:val="0"/>
        <w:adjustRightInd w:val="0"/>
        <w:ind w:left="1015" w:hanging="1015"/>
        <w:jc w:val="both"/>
      </w:pPr>
      <w:r w:rsidRPr="004C7EAD">
        <w:t xml:space="preserve">Tablica 10. </w:t>
      </w:r>
      <w:r w:rsidRPr="004C7EAD">
        <w:tab/>
        <w:t>Wymagane właściwości mieszanki mineralno-asfaltowej do warstwy podbudowy, przy ruchu KR</w:t>
      </w:r>
      <w:r>
        <w:t>1</w:t>
      </w:r>
      <w:r w:rsidRPr="004C7EAD">
        <w:t xml:space="preserve"> ÷ KR</w:t>
      </w:r>
      <w:r>
        <w:t>4</w:t>
      </w:r>
      <w:r w:rsidRPr="004C7EAD">
        <w:t xml:space="preserve"> (projektowanie empiryczne) [65]</w:t>
      </w:r>
    </w:p>
    <w:tbl>
      <w:tblPr>
        <w:tblW w:w="78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11"/>
        <w:gridCol w:w="1589"/>
        <w:gridCol w:w="3064"/>
        <w:gridCol w:w="1177"/>
      </w:tblGrid>
      <w:tr w:rsidR="00C26502" w:rsidRPr="004C7EAD" w:rsidTr="00C26502">
        <w:trPr>
          <w:trHeight w:val="959"/>
          <w:jc w:val="center"/>
        </w:trPr>
        <w:tc>
          <w:tcPr>
            <w:tcW w:w="2011" w:type="dxa"/>
            <w:tcBorders>
              <w:top w:val="single" w:sz="4" w:space="0" w:color="auto"/>
              <w:left w:val="single" w:sz="4" w:space="0" w:color="auto"/>
              <w:bottom w:val="single" w:sz="4" w:space="0" w:color="auto"/>
              <w:right w:val="single" w:sz="4" w:space="0" w:color="auto"/>
            </w:tcBorders>
            <w:noWrap/>
            <w:vAlign w:val="center"/>
          </w:tcPr>
          <w:p w:rsidR="00C26502" w:rsidRPr="004C7EAD" w:rsidRDefault="00C26502" w:rsidP="00C26502">
            <w:pPr>
              <w:overflowPunct w:val="0"/>
              <w:autoSpaceDE w:val="0"/>
              <w:autoSpaceDN w:val="0"/>
              <w:adjustRightInd w:val="0"/>
              <w:jc w:val="center"/>
            </w:pPr>
            <w:r w:rsidRPr="004C7EAD">
              <w:t>Właściwość</w:t>
            </w:r>
          </w:p>
        </w:tc>
        <w:tc>
          <w:tcPr>
            <w:tcW w:w="1589" w:type="dxa"/>
            <w:tcBorders>
              <w:top w:val="single" w:sz="4" w:space="0" w:color="auto"/>
              <w:left w:val="single" w:sz="4" w:space="0" w:color="auto"/>
              <w:bottom w:val="single" w:sz="4" w:space="0" w:color="auto"/>
              <w:right w:val="single" w:sz="4" w:space="0" w:color="auto"/>
            </w:tcBorders>
            <w:noWrap/>
            <w:vAlign w:val="center"/>
          </w:tcPr>
          <w:p w:rsidR="00C26502" w:rsidRPr="004C7EAD" w:rsidRDefault="00C26502" w:rsidP="00C26502">
            <w:pPr>
              <w:overflowPunct w:val="0"/>
              <w:autoSpaceDE w:val="0"/>
              <w:autoSpaceDN w:val="0"/>
              <w:adjustRightInd w:val="0"/>
              <w:jc w:val="center"/>
            </w:pPr>
            <w:r w:rsidRPr="004C7EAD">
              <w:t xml:space="preserve">Warunki zagęszczania wg PN-EN </w:t>
            </w:r>
          </w:p>
          <w:p w:rsidR="00C26502" w:rsidRPr="004C7EAD" w:rsidRDefault="00C26502" w:rsidP="00C26502">
            <w:pPr>
              <w:overflowPunct w:val="0"/>
              <w:autoSpaceDE w:val="0"/>
              <w:autoSpaceDN w:val="0"/>
              <w:adjustRightInd w:val="0"/>
              <w:jc w:val="center"/>
            </w:pPr>
            <w:r w:rsidRPr="004C7EAD">
              <w:t>13108-20  [48]</w:t>
            </w:r>
          </w:p>
        </w:tc>
        <w:tc>
          <w:tcPr>
            <w:tcW w:w="3064" w:type="dxa"/>
            <w:tcBorders>
              <w:top w:val="single" w:sz="4" w:space="0" w:color="auto"/>
              <w:left w:val="single" w:sz="4" w:space="0" w:color="auto"/>
              <w:bottom w:val="single" w:sz="4" w:space="0" w:color="auto"/>
              <w:right w:val="single" w:sz="4" w:space="0" w:color="auto"/>
            </w:tcBorders>
            <w:noWrap/>
            <w:vAlign w:val="center"/>
          </w:tcPr>
          <w:p w:rsidR="00C26502" w:rsidRPr="004C7EAD" w:rsidRDefault="00C26502" w:rsidP="00C26502">
            <w:pPr>
              <w:overflowPunct w:val="0"/>
              <w:autoSpaceDE w:val="0"/>
              <w:autoSpaceDN w:val="0"/>
              <w:adjustRightInd w:val="0"/>
              <w:jc w:val="center"/>
            </w:pPr>
            <w:r w:rsidRPr="004C7EAD">
              <w:t>Metoda i warunki badania</w:t>
            </w:r>
          </w:p>
        </w:tc>
        <w:tc>
          <w:tcPr>
            <w:tcW w:w="1177" w:type="dxa"/>
            <w:tcBorders>
              <w:top w:val="single" w:sz="4" w:space="0" w:color="auto"/>
              <w:left w:val="single" w:sz="4" w:space="0" w:color="auto"/>
              <w:bottom w:val="single" w:sz="4" w:space="0" w:color="auto"/>
              <w:right w:val="single" w:sz="4" w:space="0" w:color="auto"/>
            </w:tcBorders>
            <w:noWrap/>
            <w:vAlign w:val="center"/>
          </w:tcPr>
          <w:p w:rsidR="00C26502" w:rsidRPr="004C7EAD" w:rsidRDefault="00C26502" w:rsidP="00C26502">
            <w:pPr>
              <w:overflowPunct w:val="0"/>
              <w:autoSpaceDE w:val="0"/>
              <w:autoSpaceDN w:val="0"/>
              <w:adjustRightInd w:val="0"/>
              <w:jc w:val="center"/>
            </w:pPr>
            <w:r w:rsidRPr="004C7EAD">
              <w:t>AC22P</w:t>
            </w:r>
          </w:p>
        </w:tc>
      </w:tr>
      <w:tr w:rsidR="00C26502" w:rsidRPr="004C7EAD" w:rsidTr="00C26502">
        <w:trPr>
          <w:trHeight w:val="471"/>
          <w:jc w:val="center"/>
        </w:trPr>
        <w:tc>
          <w:tcPr>
            <w:tcW w:w="2011" w:type="dxa"/>
            <w:tcBorders>
              <w:top w:val="single" w:sz="4" w:space="0" w:color="auto"/>
              <w:left w:val="single" w:sz="4" w:space="0" w:color="auto"/>
              <w:bottom w:val="single" w:sz="4" w:space="0" w:color="auto"/>
              <w:right w:val="single" w:sz="4" w:space="0" w:color="auto"/>
            </w:tcBorders>
            <w:noWrap/>
            <w:vAlign w:val="center"/>
          </w:tcPr>
          <w:p w:rsidR="00C26502" w:rsidRPr="004C7EAD" w:rsidRDefault="00C26502" w:rsidP="00C26502">
            <w:pPr>
              <w:overflowPunct w:val="0"/>
              <w:autoSpaceDE w:val="0"/>
              <w:autoSpaceDN w:val="0"/>
              <w:adjustRightInd w:val="0"/>
              <w:jc w:val="both"/>
            </w:pPr>
            <w:r w:rsidRPr="004C7EAD">
              <w:t>Zawartość wolnych przestrzeni</w:t>
            </w:r>
          </w:p>
        </w:tc>
        <w:tc>
          <w:tcPr>
            <w:tcW w:w="1589" w:type="dxa"/>
            <w:tcBorders>
              <w:top w:val="single" w:sz="4" w:space="0" w:color="auto"/>
              <w:left w:val="single" w:sz="4" w:space="0" w:color="auto"/>
              <w:bottom w:val="single" w:sz="4" w:space="0" w:color="auto"/>
              <w:right w:val="single" w:sz="4" w:space="0" w:color="auto"/>
            </w:tcBorders>
            <w:noWrap/>
            <w:vAlign w:val="center"/>
          </w:tcPr>
          <w:p w:rsidR="00C26502" w:rsidRPr="004C7EAD" w:rsidRDefault="00C26502" w:rsidP="00C26502">
            <w:pPr>
              <w:overflowPunct w:val="0"/>
              <w:autoSpaceDE w:val="0"/>
              <w:autoSpaceDN w:val="0"/>
              <w:adjustRightInd w:val="0"/>
              <w:jc w:val="both"/>
            </w:pPr>
            <w:r w:rsidRPr="004C7EAD">
              <w:t>C.1.3,ubijanie, 2×75 uderzeń</w:t>
            </w:r>
          </w:p>
        </w:tc>
        <w:tc>
          <w:tcPr>
            <w:tcW w:w="3064" w:type="dxa"/>
            <w:tcBorders>
              <w:top w:val="single" w:sz="4" w:space="0" w:color="auto"/>
              <w:left w:val="single" w:sz="4" w:space="0" w:color="auto"/>
              <w:bottom w:val="single" w:sz="4" w:space="0" w:color="auto"/>
              <w:right w:val="single" w:sz="4" w:space="0" w:color="auto"/>
            </w:tcBorders>
            <w:noWrap/>
            <w:vAlign w:val="center"/>
          </w:tcPr>
          <w:p w:rsidR="00C26502" w:rsidRPr="004C7EAD" w:rsidRDefault="00C26502" w:rsidP="00C26502">
            <w:pPr>
              <w:overflowPunct w:val="0"/>
              <w:autoSpaceDE w:val="0"/>
              <w:autoSpaceDN w:val="0"/>
              <w:adjustRightInd w:val="0"/>
              <w:jc w:val="center"/>
              <w:rPr>
                <w:lang w:val="de-DE"/>
              </w:rPr>
            </w:pPr>
            <w:r w:rsidRPr="004C7EAD">
              <w:rPr>
                <w:lang w:val="de-DE"/>
              </w:rPr>
              <w:t>PN-EN 12697-8 [33], p. 4</w:t>
            </w:r>
          </w:p>
        </w:tc>
        <w:tc>
          <w:tcPr>
            <w:tcW w:w="1177" w:type="dxa"/>
            <w:tcBorders>
              <w:top w:val="single" w:sz="4" w:space="0" w:color="auto"/>
              <w:left w:val="single" w:sz="4" w:space="0" w:color="auto"/>
              <w:bottom w:val="single" w:sz="4" w:space="0" w:color="auto"/>
              <w:right w:val="single" w:sz="4" w:space="0" w:color="auto"/>
            </w:tcBorders>
            <w:noWrap/>
            <w:vAlign w:val="center"/>
          </w:tcPr>
          <w:p w:rsidR="00C26502" w:rsidRPr="004C7EAD" w:rsidRDefault="00C26502" w:rsidP="00C26502">
            <w:pPr>
              <w:overflowPunct w:val="0"/>
              <w:autoSpaceDE w:val="0"/>
              <w:autoSpaceDN w:val="0"/>
              <w:adjustRightInd w:val="0"/>
              <w:jc w:val="center"/>
            </w:pPr>
            <w:r w:rsidRPr="004C7EAD">
              <w:rPr>
                <w:i/>
              </w:rPr>
              <w:t>V</w:t>
            </w:r>
            <w:r w:rsidRPr="004C7EAD">
              <w:rPr>
                <w:vertAlign w:val="subscript"/>
              </w:rPr>
              <w:t>min5,0</w:t>
            </w:r>
          </w:p>
          <w:p w:rsidR="00C26502" w:rsidRPr="004C7EAD" w:rsidRDefault="00C26502" w:rsidP="00C26502">
            <w:pPr>
              <w:overflowPunct w:val="0"/>
              <w:autoSpaceDE w:val="0"/>
              <w:autoSpaceDN w:val="0"/>
              <w:adjustRightInd w:val="0"/>
              <w:jc w:val="center"/>
            </w:pPr>
            <w:r w:rsidRPr="004C7EAD">
              <w:rPr>
                <w:i/>
              </w:rPr>
              <w:t>V</w:t>
            </w:r>
            <w:r w:rsidRPr="004C7EAD">
              <w:rPr>
                <w:vertAlign w:val="subscript"/>
              </w:rPr>
              <w:t>max10</w:t>
            </w:r>
          </w:p>
        </w:tc>
      </w:tr>
      <w:tr w:rsidR="00C26502" w:rsidRPr="004C7EAD" w:rsidTr="00C26502">
        <w:trPr>
          <w:trHeight w:val="941"/>
          <w:jc w:val="center"/>
        </w:trPr>
        <w:tc>
          <w:tcPr>
            <w:tcW w:w="2011" w:type="dxa"/>
            <w:tcBorders>
              <w:top w:val="single" w:sz="4" w:space="0" w:color="auto"/>
              <w:left w:val="single" w:sz="4" w:space="0" w:color="auto"/>
              <w:bottom w:val="single" w:sz="4" w:space="0" w:color="auto"/>
              <w:right w:val="single" w:sz="4" w:space="0" w:color="auto"/>
            </w:tcBorders>
            <w:noWrap/>
            <w:vAlign w:val="center"/>
          </w:tcPr>
          <w:p w:rsidR="00C26502" w:rsidRPr="004C7EAD" w:rsidRDefault="00C26502" w:rsidP="00C26502">
            <w:pPr>
              <w:overflowPunct w:val="0"/>
              <w:autoSpaceDE w:val="0"/>
              <w:autoSpaceDN w:val="0"/>
              <w:adjustRightInd w:val="0"/>
            </w:pPr>
            <w:r w:rsidRPr="004C7EAD">
              <w:t>Odporność na deformacje trwałe</w:t>
            </w:r>
          </w:p>
        </w:tc>
        <w:tc>
          <w:tcPr>
            <w:tcW w:w="1589" w:type="dxa"/>
            <w:tcBorders>
              <w:top w:val="single" w:sz="4" w:space="0" w:color="auto"/>
              <w:left w:val="single" w:sz="4" w:space="0" w:color="auto"/>
              <w:bottom w:val="single" w:sz="4" w:space="0" w:color="auto"/>
              <w:right w:val="single" w:sz="4" w:space="0" w:color="auto"/>
            </w:tcBorders>
            <w:noWrap/>
            <w:vAlign w:val="center"/>
          </w:tcPr>
          <w:p w:rsidR="00C26502" w:rsidRPr="004C7EAD" w:rsidRDefault="00C26502" w:rsidP="00C26502">
            <w:pPr>
              <w:overflowPunct w:val="0"/>
              <w:autoSpaceDE w:val="0"/>
              <w:autoSpaceDN w:val="0"/>
              <w:adjustRightInd w:val="0"/>
              <w:jc w:val="both"/>
            </w:pPr>
            <w:r w:rsidRPr="004C7EAD">
              <w:t>C.1.20, wałowanie,</w:t>
            </w:r>
          </w:p>
          <w:p w:rsidR="00C26502" w:rsidRPr="004C7EAD" w:rsidRDefault="00C26502" w:rsidP="00C26502">
            <w:pPr>
              <w:overflowPunct w:val="0"/>
              <w:autoSpaceDE w:val="0"/>
              <w:autoSpaceDN w:val="0"/>
              <w:adjustRightInd w:val="0"/>
              <w:jc w:val="both"/>
            </w:pPr>
            <w:r w:rsidRPr="004C7EAD">
              <w:t>P</w:t>
            </w:r>
            <w:r w:rsidRPr="004C7EAD">
              <w:rPr>
                <w:vertAlign w:val="subscript"/>
              </w:rPr>
              <w:t>98</w:t>
            </w:r>
            <w:r w:rsidRPr="004C7EAD">
              <w:t>-P</w:t>
            </w:r>
            <w:r w:rsidRPr="004C7EAD">
              <w:rPr>
                <w:vertAlign w:val="subscript"/>
              </w:rPr>
              <w:t>100</w:t>
            </w:r>
          </w:p>
        </w:tc>
        <w:tc>
          <w:tcPr>
            <w:tcW w:w="3064" w:type="dxa"/>
            <w:tcBorders>
              <w:top w:val="single" w:sz="4" w:space="0" w:color="auto"/>
              <w:left w:val="single" w:sz="4" w:space="0" w:color="auto"/>
              <w:bottom w:val="single" w:sz="4" w:space="0" w:color="auto"/>
              <w:right w:val="single" w:sz="4" w:space="0" w:color="auto"/>
            </w:tcBorders>
            <w:noWrap/>
            <w:vAlign w:val="center"/>
          </w:tcPr>
          <w:p w:rsidR="00C26502" w:rsidRPr="004C7EAD" w:rsidRDefault="00C26502" w:rsidP="00C26502">
            <w:pPr>
              <w:overflowPunct w:val="0"/>
              <w:autoSpaceDE w:val="0"/>
              <w:autoSpaceDN w:val="0"/>
              <w:adjustRightInd w:val="0"/>
              <w:jc w:val="center"/>
            </w:pPr>
            <w:r w:rsidRPr="004C7EAD">
              <w:t>PN-EN 12697-22, metoda B       w powietrzu, PN-EN 13108-20, D.1.6,60°C, 10 000 cykli [38]</w:t>
            </w:r>
          </w:p>
        </w:tc>
        <w:tc>
          <w:tcPr>
            <w:tcW w:w="1177" w:type="dxa"/>
            <w:tcBorders>
              <w:top w:val="single" w:sz="4" w:space="0" w:color="auto"/>
              <w:left w:val="single" w:sz="4" w:space="0" w:color="auto"/>
              <w:bottom w:val="single" w:sz="4" w:space="0" w:color="auto"/>
              <w:right w:val="single" w:sz="4" w:space="0" w:color="auto"/>
            </w:tcBorders>
            <w:noWrap/>
            <w:vAlign w:val="center"/>
          </w:tcPr>
          <w:p w:rsidR="00C26502" w:rsidRPr="004C7EAD" w:rsidRDefault="00C26502" w:rsidP="00C26502">
            <w:pPr>
              <w:overflowPunct w:val="0"/>
              <w:autoSpaceDE w:val="0"/>
              <w:autoSpaceDN w:val="0"/>
              <w:adjustRightInd w:val="0"/>
              <w:jc w:val="center"/>
              <w:rPr>
                <w:vertAlign w:val="subscript"/>
              </w:rPr>
            </w:pPr>
            <w:r w:rsidRPr="004C7EAD">
              <w:rPr>
                <w:i/>
              </w:rPr>
              <w:t>WTS</w:t>
            </w:r>
            <w:r w:rsidRPr="004C7EAD">
              <w:rPr>
                <w:vertAlign w:val="subscript"/>
              </w:rPr>
              <w:t>AIR0,80</w:t>
            </w:r>
          </w:p>
          <w:p w:rsidR="00C26502" w:rsidRPr="004C7EAD" w:rsidRDefault="00C26502" w:rsidP="00C26502">
            <w:pPr>
              <w:overflowPunct w:val="0"/>
              <w:autoSpaceDE w:val="0"/>
              <w:autoSpaceDN w:val="0"/>
              <w:adjustRightInd w:val="0"/>
              <w:jc w:val="center"/>
            </w:pPr>
            <w:r w:rsidRPr="004C7EAD">
              <w:rPr>
                <w:i/>
              </w:rPr>
              <w:t>PRD</w:t>
            </w:r>
            <w:r w:rsidRPr="004C7EAD">
              <w:rPr>
                <w:vertAlign w:val="subscript"/>
              </w:rPr>
              <w:t>AIR7,0</w:t>
            </w:r>
          </w:p>
        </w:tc>
      </w:tr>
      <w:tr w:rsidR="00C26502" w:rsidRPr="004C7EAD" w:rsidTr="00C26502">
        <w:trPr>
          <w:trHeight w:val="959"/>
          <w:jc w:val="center"/>
        </w:trPr>
        <w:tc>
          <w:tcPr>
            <w:tcW w:w="2011" w:type="dxa"/>
            <w:tcBorders>
              <w:top w:val="single" w:sz="4" w:space="0" w:color="auto"/>
              <w:left w:val="single" w:sz="4" w:space="0" w:color="auto"/>
              <w:bottom w:val="single" w:sz="4" w:space="0" w:color="auto"/>
              <w:right w:val="single" w:sz="4" w:space="0" w:color="auto"/>
            </w:tcBorders>
            <w:noWrap/>
            <w:vAlign w:val="center"/>
          </w:tcPr>
          <w:p w:rsidR="00C26502" w:rsidRPr="004C7EAD" w:rsidRDefault="00C26502" w:rsidP="00C26502">
            <w:pPr>
              <w:overflowPunct w:val="0"/>
              <w:autoSpaceDE w:val="0"/>
              <w:autoSpaceDN w:val="0"/>
              <w:adjustRightInd w:val="0"/>
            </w:pPr>
            <w:r w:rsidRPr="004C7EAD">
              <w:t>Odporność na działanie wody</w:t>
            </w:r>
          </w:p>
        </w:tc>
        <w:tc>
          <w:tcPr>
            <w:tcW w:w="1589" w:type="dxa"/>
            <w:tcBorders>
              <w:top w:val="single" w:sz="4" w:space="0" w:color="auto"/>
              <w:left w:val="single" w:sz="4" w:space="0" w:color="auto"/>
              <w:bottom w:val="single" w:sz="4" w:space="0" w:color="auto"/>
              <w:right w:val="single" w:sz="4" w:space="0" w:color="auto"/>
            </w:tcBorders>
            <w:noWrap/>
            <w:vAlign w:val="center"/>
          </w:tcPr>
          <w:p w:rsidR="00C26502" w:rsidRPr="004C7EAD" w:rsidRDefault="00C26502" w:rsidP="00C26502">
            <w:pPr>
              <w:overflowPunct w:val="0"/>
              <w:autoSpaceDE w:val="0"/>
              <w:autoSpaceDN w:val="0"/>
              <w:adjustRightInd w:val="0"/>
              <w:jc w:val="both"/>
            </w:pPr>
            <w:r w:rsidRPr="004C7EAD">
              <w:t>C.1.1,ubijanie, 2×25 uderzeń</w:t>
            </w:r>
          </w:p>
        </w:tc>
        <w:tc>
          <w:tcPr>
            <w:tcW w:w="3064" w:type="dxa"/>
            <w:tcBorders>
              <w:top w:val="single" w:sz="4" w:space="0" w:color="auto"/>
              <w:left w:val="single" w:sz="4" w:space="0" w:color="auto"/>
              <w:bottom w:val="single" w:sz="4" w:space="0" w:color="auto"/>
              <w:right w:val="single" w:sz="4" w:space="0" w:color="auto"/>
            </w:tcBorders>
            <w:noWrap/>
            <w:vAlign w:val="center"/>
          </w:tcPr>
          <w:p w:rsidR="00C26502" w:rsidRPr="004C7EAD" w:rsidRDefault="00C26502" w:rsidP="00C26502">
            <w:pPr>
              <w:overflowPunct w:val="0"/>
              <w:autoSpaceDE w:val="0"/>
              <w:autoSpaceDN w:val="0"/>
              <w:adjustRightInd w:val="0"/>
              <w:jc w:val="center"/>
            </w:pPr>
            <w:r w:rsidRPr="004C7EAD">
              <w:t xml:space="preserve">PN-EN 12697-12 [35], przechowywanie w </w:t>
            </w:r>
            <w:smartTag w:uri="urn:schemas-microsoft-com:office:smarttags" w:element="metricconverter">
              <w:smartTagPr>
                <w:attr w:name="ProductID" w:val="40ﾰC"/>
              </w:smartTagPr>
              <w:r w:rsidRPr="004C7EAD">
                <w:t>40°C</w:t>
              </w:r>
            </w:smartTag>
            <w:r w:rsidRPr="004C7EAD">
              <w:t xml:space="preserve"> z jednym cyklem zamrażania, </w:t>
            </w:r>
          </w:p>
          <w:p w:rsidR="00C26502" w:rsidRPr="004C7EAD" w:rsidRDefault="00C26502" w:rsidP="00C26502">
            <w:pPr>
              <w:overflowPunct w:val="0"/>
              <w:autoSpaceDE w:val="0"/>
              <w:autoSpaceDN w:val="0"/>
              <w:adjustRightInd w:val="0"/>
              <w:jc w:val="center"/>
            </w:pPr>
            <w:r w:rsidRPr="004C7EAD">
              <w:t xml:space="preserve">badanie w </w:t>
            </w:r>
            <w:smartTag w:uri="urn:schemas-microsoft-com:office:smarttags" w:element="metricconverter">
              <w:smartTagPr>
                <w:attr w:name="ProductID" w:val="15ﾰC"/>
              </w:smartTagPr>
              <w:r w:rsidRPr="004C7EAD">
                <w:t>15°C</w:t>
              </w:r>
            </w:smartTag>
          </w:p>
        </w:tc>
        <w:tc>
          <w:tcPr>
            <w:tcW w:w="1177" w:type="dxa"/>
            <w:tcBorders>
              <w:top w:val="single" w:sz="4" w:space="0" w:color="auto"/>
              <w:left w:val="single" w:sz="4" w:space="0" w:color="auto"/>
              <w:bottom w:val="single" w:sz="4" w:space="0" w:color="auto"/>
              <w:right w:val="single" w:sz="4" w:space="0" w:color="auto"/>
            </w:tcBorders>
            <w:noWrap/>
            <w:vAlign w:val="center"/>
          </w:tcPr>
          <w:p w:rsidR="00C26502" w:rsidRPr="004C7EAD" w:rsidRDefault="00C26502" w:rsidP="00C26502">
            <w:pPr>
              <w:overflowPunct w:val="0"/>
              <w:autoSpaceDE w:val="0"/>
              <w:autoSpaceDN w:val="0"/>
              <w:adjustRightInd w:val="0"/>
              <w:jc w:val="center"/>
              <w:rPr>
                <w:vertAlign w:val="subscript"/>
              </w:rPr>
            </w:pPr>
            <w:r w:rsidRPr="004C7EAD">
              <w:rPr>
                <w:i/>
              </w:rPr>
              <w:t>ITSR</w:t>
            </w:r>
            <w:r w:rsidRPr="004C7EAD">
              <w:rPr>
                <w:i/>
                <w:vertAlign w:val="subscript"/>
              </w:rPr>
              <w:t>70</w:t>
            </w:r>
          </w:p>
        </w:tc>
      </w:tr>
    </w:tbl>
    <w:p w:rsidR="00C26502" w:rsidRPr="004C7EAD" w:rsidRDefault="00C26502" w:rsidP="00C26502">
      <w:pPr>
        <w:overflowPunct w:val="0"/>
        <w:autoSpaceDE w:val="0"/>
        <w:autoSpaceDN w:val="0"/>
        <w:adjustRightInd w:val="0"/>
        <w:ind w:left="1202" w:hanging="1202"/>
        <w:jc w:val="both"/>
      </w:pPr>
    </w:p>
    <w:p w:rsidR="00C26502" w:rsidRPr="004C7EAD" w:rsidRDefault="00C26502" w:rsidP="00C26502">
      <w:pPr>
        <w:tabs>
          <w:tab w:val="left" w:pos="993"/>
        </w:tabs>
        <w:overflowPunct w:val="0"/>
        <w:autoSpaceDE w:val="0"/>
        <w:autoSpaceDN w:val="0"/>
        <w:adjustRightInd w:val="0"/>
        <w:ind w:left="992" w:hanging="992"/>
        <w:jc w:val="both"/>
      </w:pPr>
      <w:r w:rsidRPr="004C7EAD">
        <w:t>Tablica 12.</w:t>
      </w:r>
      <w:r w:rsidRPr="004C7EAD">
        <w:tab/>
        <w:t>Wymagane właściwości mieszanki mineralno-asfaltowej do warstwy podbudowy, przy ruchu KR</w:t>
      </w:r>
      <w:r>
        <w:t>1</w:t>
      </w:r>
      <w:r w:rsidRPr="004C7EAD">
        <w:t xml:space="preserve"> ÷ KR</w:t>
      </w:r>
      <w:r>
        <w:t>4</w:t>
      </w:r>
      <w:r w:rsidRPr="004C7EAD">
        <w:t xml:space="preserve"> (projektowanie funkcjonalne) [65]</w:t>
      </w:r>
    </w:p>
    <w:tbl>
      <w:tblPr>
        <w:tblW w:w="79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03"/>
        <w:gridCol w:w="1649"/>
        <w:gridCol w:w="2966"/>
        <w:gridCol w:w="1221"/>
      </w:tblGrid>
      <w:tr w:rsidR="00C26502" w:rsidRPr="004C7EAD" w:rsidTr="00C26502">
        <w:trPr>
          <w:trHeight w:val="922"/>
          <w:jc w:val="center"/>
        </w:trPr>
        <w:tc>
          <w:tcPr>
            <w:tcW w:w="2103" w:type="dxa"/>
            <w:tcBorders>
              <w:top w:val="single" w:sz="4" w:space="0" w:color="auto"/>
              <w:left w:val="single" w:sz="4" w:space="0" w:color="auto"/>
              <w:bottom w:val="single" w:sz="4" w:space="0" w:color="auto"/>
              <w:right w:val="single" w:sz="4" w:space="0" w:color="auto"/>
            </w:tcBorders>
            <w:noWrap/>
            <w:vAlign w:val="center"/>
          </w:tcPr>
          <w:p w:rsidR="00C26502" w:rsidRPr="004C7EAD" w:rsidRDefault="00C26502" w:rsidP="00C26502">
            <w:pPr>
              <w:overflowPunct w:val="0"/>
              <w:autoSpaceDE w:val="0"/>
              <w:autoSpaceDN w:val="0"/>
              <w:adjustRightInd w:val="0"/>
              <w:jc w:val="center"/>
            </w:pPr>
            <w:r w:rsidRPr="004C7EAD">
              <w:t>Właściwość</w:t>
            </w:r>
          </w:p>
        </w:tc>
        <w:tc>
          <w:tcPr>
            <w:tcW w:w="1649" w:type="dxa"/>
            <w:tcBorders>
              <w:top w:val="single" w:sz="4" w:space="0" w:color="auto"/>
              <w:left w:val="single" w:sz="4" w:space="0" w:color="auto"/>
              <w:bottom w:val="single" w:sz="4" w:space="0" w:color="auto"/>
              <w:right w:val="single" w:sz="4" w:space="0" w:color="auto"/>
            </w:tcBorders>
            <w:noWrap/>
            <w:vAlign w:val="center"/>
          </w:tcPr>
          <w:p w:rsidR="00C26502" w:rsidRPr="004C7EAD" w:rsidRDefault="00C26502" w:rsidP="00C26502">
            <w:pPr>
              <w:overflowPunct w:val="0"/>
              <w:autoSpaceDE w:val="0"/>
              <w:autoSpaceDN w:val="0"/>
              <w:adjustRightInd w:val="0"/>
              <w:jc w:val="center"/>
            </w:pPr>
            <w:r w:rsidRPr="004C7EAD">
              <w:t xml:space="preserve">Warunki zagęszczania wg PN-EN </w:t>
            </w:r>
          </w:p>
          <w:p w:rsidR="00C26502" w:rsidRPr="004C7EAD" w:rsidRDefault="00C26502" w:rsidP="00C26502">
            <w:pPr>
              <w:overflowPunct w:val="0"/>
              <w:autoSpaceDE w:val="0"/>
              <w:autoSpaceDN w:val="0"/>
              <w:adjustRightInd w:val="0"/>
              <w:jc w:val="center"/>
            </w:pPr>
            <w:r w:rsidRPr="004C7EAD">
              <w:t>13108-20  [48]</w:t>
            </w:r>
          </w:p>
        </w:tc>
        <w:tc>
          <w:tcPr>
            <w:tcW w:w="2966" w:type="dxa"/>
            <w:tcBorders>
              <w:top w:val="single" w:sz="4" w:space="0" w:color="auto"/>
              <w:left w:val="single" w:sz="4" w:space="0" w:color="auto"/>
              <w:bottom w:val="single" w:sz="4" w:space="0" w:color="auto"/>
              <w:right w:val="single" w:sz="4" w:space="0" w:color="auto"/>
            </w:tcBorders>
            <w:noWrap/>
            <w:vAlign w:val="center"/>
          </w:tcPr>
          <w:p w:rsidR="00C26502" w:rsidRPr="004C7EAD" w:rsidRDefault="00C26502" w:rsidP="00C26502">
            <w:pPr>
              <w:overflowPunct w:val="0"/>
              <w:autoSpaceDE w:val="0"/>
              <w:autoSpaceDN w:val="0"/>
              <w:adjustRightInd w:val="0"/>
              <w:jc w:val="center"/>
            </w:pPr>
            <w:r w:rsidRPr="004C7EAD">
              <w:t>Metoda i warunki badania</w:t>
            </w:r>
          </w:p>
        </w:tc>
        <w:tc>
          <w:tcPr>
            <w:tcW w:w="1221" w:type="dxa"/>
            <w:tcBorders>
              <w:top w:val="single" w:sz="4" w:space="0" w:color="auto"/>
              <w:left w:val="single" w:sz="4" w:space="0" w:color="auto"/>
              <w:bottom w:val="single" w:sz="4" w:space="0" w:color="auto"/>
              <w:right w:val="single" w:sz="4" w:space="0" w:color="auto"/>
            </w:tcBorders>
            <w:noWrap/>
            <w:vAlign w:val="center"/>
          </w:tcPr>
          <w:p w:rsidR="00C26502" w:rsidRPr="004C7EAD" w:rsidRDefault="00C26502" w:rsidP="00C26502">
            <w:pPr>
              <w:overflowPunct w:val="0"/>
              <w:autoSpaceDE w:val="0"/>
              <w:autoSpaceDN w:val="0"/>
              <w:adjustRightInd w:val="0"/>
              <w:jc w:val="center"/>
            </w:pPr>
            <w:r w:rsidRPr="004C7EAD">
              <w:t>AC22P</w:t>
            </w:r>
          </w:p>
        </w:tc>
      </w:tr>
      <w:tr w:rsidR="00C26502" w:rsidRPr="004C7EAD" w:rsidTr="00C26502">
        <w:trPr>
          <w:trHeight w:val="452"/>
          <w:jc w:val="center"/>
        </w:trPr>
        <w:tc>
          <w:tcPr>
            <w:tcW w:w="2103" w:type="dxa"/>
            <w:tcBorders>
              <w:top w:val="single" w:sz="4" w:space="0" w:color="auto"/>
              <w:left w:val="single" w:sz="4" w:space="0" w:color="auto"/>
              <w:bottom w:val="single" w:sz="4" w:space="0" w:color="auto"/>
              <w:right w:val="single" w:sz="4" w:space="0" w:color="auto"/>
            </w:tcBorders>
            <w:noWrap/>
            <w:vAlign w:val="center"/>
          </w:tcPr>
          <w:p w:rsidR="00C26502" w:rsidRPr="004C7EAD" w:rsidRDefault="00C26502" w:rsidP="00C26502">
            <w:pPr>
              <w:overflowPunct w:val="0"/>
              <w:autoSpaceDE w:val="0"/>
              <w:autoSpaceDN w:val="0"/>
              <w:adjustRightInd w:val="0"/>
              <w:jc w:val="both"/>
            </w:pPr>
            <w:r w:rsidRPr="004C7EAD">
              <w:t>Zawartość wolnych przestrzeni</w:t>
            </w:r>
          </w:p>
        </w:tc>
        <w:tc>
          <w:tcPr>
            <w:tcW w:w="1649" w:type="dxa"/>
            <w:tcBorders>
              <w:top w:val="single" w:sz="4" w:space="0" w:color="auto"/>
              <w:left w:val="single" w:sz="4" w:space="0" w:color="auto"/>
              <w:bottom w:val="single" w:sz="4" w:space="0" w:color="auto"/>
              <w:right w:val="single" w:sz="4" w:space="0" w:color="auto"/>
            </w:tcBorders>
            <w:noWrap/>
            <w:vAlign w:val="center"/>
          </w:tcPr>
          <w:p w:rsidR="00C26502" w:rsidRPr="004C7EAD" w:rsidRDefault="00C26502" w:rsidP="00C26502">
            <w:pPr>
              <w:overflowPunct w:val="0"/>
              <w:autoSpaceDE w:val="0"/>
              <w:autoSpaceDN w:val="0"/>
              <w:adjustRightInd w:val="0"/>
              <w:jc w:val="both"/>
            </w:pPr>
            <w:r w:rsidRPr="004C7EAD">
              <w:t>C.1.3,ubijanie, 2×75 uderzeń</w:t>
            </w:r>
          </w:p>
        </w:tc>
        <w:tc>
          <w:tcPr>
            <w:tcW w:w="2966" w:type="dxa"/>
            <w:tcBorders>
              <w:top w:val="single" w:sz="4" w:space="0" w:color="auto"/>
              <w:left w:val="single" w:sz="4" w:space="0" w:color="auto"/>
              <w:bottom w:val="single" w:sz="4" w:space="0" w:color="auto"/>
              <w:right w:val="single" w:sz="4" w:space="0" w:color="auto"/>
            </w:tcBorders>
            <w:noWrap/>
            <w:vAlign w:val="center"/>
          </w:tcPr>
          <w:p w:rsidR="00C26502" w:rsidRPr="004C7EAD" w:rsidRDefault="00C26502" w:rsidP="00C26502">
            <w:pPr>
              <w:overflowPunct w:val="0"/>
              <w:autoSpaceDE w:val="0"/>
              <w:autoSpaceDN w:val="0"/>
              <w:adjustRightInd w:val="0"/>
              <w:jc w:val="center"/>
              <w:rPr>
                <w:lang w:val="de-DE"/>
              </w:rPr>
            </w:pPr>
            <w:r w:rsidRPr="004C7EAD">
              <w:rPr>
                <w:lang w:val="de-DE"/>
              </w:rPr>
              <w:t>PN-EN 12697-8 [33], p. 4</w:t>
            </w:r>
          </w:p>
        </w:tc>
        <w:tc>
          <w:tcPr>
            <w:tcW w:w="1221" w:type="dxa"/>
            <w:tcBorders>
              <w:top w:val="single" w:sz="4" w:space="0" w:color="auto"/>
              <w:left w:val="single" w:sz="4" w:space="0" w:color="auto"/>
              <w:bottom w:val="single" w:sz="4" w:space="0" w:color="auto"/>
              <w:right w:val="single" w:sz="4" w:space="0" w:color="auto"/>
            </w:tcBorders>
            <w:noWrap/>
            <w:vAlign w:val="center"/>
          </w:tcPr>
          <w:p w:rsidR="00C26502" w:rsidRPr="004C7EAD" w:rsidRDefault="00C26502" w:rsidP="00C26502">
            <w:pPr>
              <w:overflowPunct w:val="0"/>
              <w:autoSpaceDE w:val="0"/>
              <w:autoSpaceDN w:val="0"/>
              <w:adjustRightInd w:val="0"/>
              <w:jc w:val="center"/>
            </w:pPr>
            <w:r w:rsidRPr="004C7EAD">
              <w:rPr>
                <w:i/>
              </w:rPr>
              <w:t>V</w:t>
            </w:r>
            <w:r w:rsidRPr="004C7EAD">
              <w:rPr>
                <w:vertAlign w:val="subscript"/>
              </w:rPr>
              <w:t>min4,0</w:t>
            </w:r>
          </w:p>
          <w:p w:rsidR="00C26502" w:rsidRPr="004C7EAD" w:rsidRDefault="00C26502" w:rsidP="00C26502">
            <w:pPr>
              <w:overflowPunct w:val="0"/>
              <w:autoSpaceDE w:val="0"/>
              <w:autoSpaceDN w:val="0"/>
              <w:adjustRightInd w:val="0"/>
              <w:jc w:val="center"/>
            </w:pPr>
            <w:r w:rsidRPr="004C7EAD">
              <w:rPr>
                <w:i/>
              </w:rPr>
              <w:t>V</w:t>
            </w:r>
            <w:r w:rsidRPr="004C7EAD">
              <w:rPr>
                <w:vertAlign w:val="subscript"/>
              </w:rPr>
              <w:t>max10</w:t>
            </w:r>
          </w:p>
        </w:tc>
      </w:tr>
      <w:tr w:rsidR="00C26502" w:rsidRPr="004C7EAD" w:rsidTr="00C26502">
        <w:trPr>
          <w:trHeight w:val="905"/>
          <w:jc w:val="center"/>
        </w:trPr>
        <w:tc>
          <w:tcPr>
            <w:tcW w:w="2103" w:type="dxa"/>
            <w:tcBorders>
              <w:top w:val="single" w:sz="4" w:space="0" w:color="auto"/>
              <w:left w:val="single" w:sz="4" w:space="0" w:color="auto"/>
              <w:bottom w:val="single" w:sz="4" w:space="0" w:color="auto"/>
              <w:right w:val="single" w:sz="4" w:space="0" w:color="auto"/>
            </w:tcBorders>
            <w:noWrap/>
            <w:vAlign w:val="center"/>
          </w:tcPr>
          <w:p w:rsidR="00C26502" w:rsidRPr="004C7EAD" w:rsidRDefault="00C26502" w:rsidP="00C26502">
            <w:pPr>
              <w:overflowPunct w:val="0"/>
              <w:autoSpaceDE w:val="0"/>
              <w:autoSpaceDN w:val="0"/>
              <w:adjustRightInd w:val="0"/>
            </w:pPr>
            <w:r w:rsidRPr="004C7EAD">
              <w:t>Odporność na deformacje trwałe</w:t>
            </w:r>
          </w:p>
        </w:tc>
        <w:tc>
          <w:tcPr>
            <w:tcW w:w="1649" w:type="dxa"/>
            <w:tcBorders>
              <w:top w:val="single" w:sz="4" w:space="0" w:color="auto"/>
              <w:left w:val="single" w:sz="4" w:space="0" w:color="auto"/>
              <w:bottom w:val="single" w:sz="4" w:space="0" w:color="auto"/>
              <w:right w:val="single" w:sz="4" w:space="0" w:color="auto"/>
            </w:tcBorders>
            <w:noWrap/>
            <w:vAlign w:val="center"/>
          </w:tcPr>
          <w:p w:rsidR="00C26502" w:rsidRPr="004C7EAD" w:rsidRDefault="00C26502" w:rsidP="00C26502">
            <w:pPr>
              <w:overflowPunct w:val="0"/>
              <w:autoSpaceDE w:val="0"/>
              <w:autoSpaceDN w:val="0"/>
              <w:adjustRightInd w:val="0"/>
              <w:jc w:val="both"/>
            </w:pPr>
            <w:r w:rsidRPr="004C7EAD">
              <w:t>C.1.20, wałowanie,</w:t>
            </w:r>
          </w:p>
          <w:p w:rsidR="00C26502" w:rsidRPr="004C7EAD" w:rsidRDefault="00C26502" w:rsidP="00C26502">
            <w:pPr>
              <w:overflowPunct w:val="0"/>
              <w:autoSpaceDE w:val="0"/>
              <w:autoSpaceDN w:val="0"/>
              <w:adjustRightInd w:val="0"/>
              <w:jc w:val="both"/>
            </w:pPr>
            <w:r w:rsidRPr="004C7EAD">
              <w:t>P</w:t>
            </w:r>
            <w:r w:rsidRPr="004C7EAD">
              <w:rPr>
                <w:vertAlign w:val="subscript"/>
              </w:rPr>
              <w:t>98</w:t>
            </w:r>
            <w:r w:rsidRPr="004C7EAD">
              <w:t>-P</w:t>
            </w:r>
            <w:r w:rsidRPr="004C7EAD">
              <w:rPr>
                <w:vertAlign w:val="subscript"/>
              </w:rPr>
              <w:t>100</w:t>
            </w:r>
          </w:p>
        </w:tc>
        <w:tc>
          <w:tcPr>
            <w:tcW w:w="2966" w:type="dxa"/>
            <w:tcBorders>
              <w:top w:val="single" w:sz="4" w:space="0" w:color="auto"/>
              <w:left w:val="single" w:sz="4" w:space="0" w:color="auto"/>
              <w:bottom w:val="single" w:sz="4" w:space="0" w:color="auto"/>
              <w:right w:val="single" w:sz="4" w:space="0" w:color="auto"/>
            </w:tcBorders>
            <w:noWrap/>
            <w:vAlign w:val="center"/>
          </w:tcPr>
          <w:p w:rsidR="00C26502" w:rsidRPr="004C7EAD" w:rsidRDefault="00C26502" w:rsidP="00C26502">
            <w:pPr>
              <w:overflowPunct w:val="0"/>
              <w:autoSpaceDE w:val="0"/>
              <w:autoSpaceDN w:val="0"/>
              <w:adjustRightInd w:val="0"/>
              <w:jc w:val="center"/>
            </w:pPr>
            <w:r w:rsidRPr="004C7EAD">
              <w:t>PN-EN 12697-22, metoda B       w powietrzu, PN-EN 13108-20, D.1.6,60°C, 10 000 cykli [38]</w:t>
            </w:r>
          </w:p>
        </w:tc>
        <w:tc>
          <w:tcPr>
            <w:tcW w:w="1221" w:type="dxa"/>
            <w:tcBorders>
              <w:top w:val="single" w:sz="4" w:space="0" w:color="auto"/>
              <w:left w:val="single" w:sz="4" w:space="0" w:color="auto"/>
              <w:bottom w:val="single" w:sz="4" w:space="0" w:color="auto"/>
              <w:right w:val="single" w:sz="4" w:space="0" w:color="auto"/>
            </w:tcBorders>
            <w:noWrap/>
            <w:vAlign w:val="center"/>
          </w:tcPr>
          <w:p w:rsidR="00C26502" w:rsidRPr="004C7EAD" w:rsidRDefault="00C26502" w:rsidP="00C26502">
            <w:pPr>
              <w:overflowPunct w:val="0"/>
              <w:autoSpaceDE w:val="0"/>
              <w:autoSpaceDN w:val="0"/>
              <w:adjustRightInd w:val="0"/>
              <w:jc w:val="center"/>
            </w:pPr>
          </w:p>
          <w:p w:rsidR="00C26502" w:rsidRPr="004C7EAD" w:rsidRDefault="00C26502" w:rsidP="00C26502">
            <w:pPr>
              <w:overflowPunct w:val="0"/>
              <w:autoSpaceDE w:val="0"/>
              <w:autoSpaceDN w:val="0"/>
              <w:adjustRightInd w:val="0"/>
              <w:jc w:val="center"/>
              <w:rPr>
                <w:vertAlign w:val="subscript"/>
              </w:rPr>
            </w:pPr>
            <w:r w:rsidRPr="004C7EAD">
              <w:rPr>
                <w:i/>
              </w:rPr>
              <w:t>WTS</w:t>
            </w:r>
            <w:r w:rsidRPr="004C7EAD">
              <w:rPr>
                <w:vertAlign w:val="subscript"/>
              </w:rPr>
              <w:t>AIR0,60</w:t>
            </w:r>
          </w:p>
          <w:p w:rsidR="00C26502" w:rsidRPr="004C7EAD" w:rsidRDefault="00C26502" w:rsidP="00C26502">
            <w:pPr>
              <w:overflowPunct w:val="0"/>
              <w:autoSpaceDE w:val="0"/>
              <w:autoSpaceDN w:val="0"/>
              <w:adjustRightInd w:val="0"/>
              <w:jc w:val="center"/>
            </w:pPr>
            <w:r w:rsidRPr="004C7EAD">
              <w:rPr>
                <w:i/>
              </w:rPr>
              <w:t>PRD</w:t>
            </w:r>
            <w:r w:rsidRPr="004C7EAD">
              <w:rPr>
                <w:vertAlign w:val="subscript"/>
              </w:rPr>
              <w:t>AIR7,0</w:t>
            </w:r>
          </w:p>
        </w:tc>
      </w:tr>
      <w:tr w:rsidR="00C26502" w:rsidRPr="004C7EAD" w:rsidTr="00C26502">
        <w:trPr>
          <w:trHeight w:val="922"/>
          <w:jc w:val="center"/>
        </w:trPr>
        <w:tc>
          <w:tcPr>
            <w:tcW w:w="2103" w:type="dxa"/>
            <w:tcBorders>
              <w:top w:val="single" w:sz="4" w:space="0" w:color="auto"/>
              <w:left w:val="single" w:sz="4" w:space="0" w:color="auto"/>
              <w:bottom w:val="single" w:sz="4" w:space="0" w:color="auto"/>
              <w:right w:val="single" w:sz="4" w:space="0" w:color="auto"/>
            </w:tcBorders>
            <w:noWrap/>
            <w:vAlign w:val="center"/>
          </w:tcPr>
          <w:p w:rsidR="00C26502" w:rsidRPr="004C7EAD" w:rsidRDefault="00C26502" w:rsidP="00C26502">
            <w:pPr>
              <w:overflowPunct w:val="0"/>
              <w:autoSpaceDE w:val="0"/>
              <w:autoSpaceDN w:val="0"/>
              <w:adjustRightInd w:val="0"/>
            </w:pPr>
            <w:r w:rsidRPr="004C7EAD">
              <w:t>Odporność na działanie wody</w:t>
            </w:r>
          </w:p>
        </w:tc>
        <w:tc>
          <w:tcPr>
            <w:tcW w:w="1649" w:type="dxa"/>
            <w:tcBorders>
              <w:top w:val="single" w:sz="4" w:space="0" w:color="auto"/>
              <w:left w:val="single" w:sz="4" w:space="0" w:color="auto"/>
              <w:bottom w:val="single" w:sz="4" w:space="0" w:color="auto"/>
              <w:right w:val="single" w:sz="4" w:space="0" w:color="auto"/>
            </w:tcBorders>
            <w:noWrap/>
            <w:vAlign w:val="center"/>
          </w:tcPr>
          <w:p w:rsidR="00C26502" w:rsidRPr="004C7EAD" w:rsidRDefault="00C26502" w:rsidP="00C26502">
            <w:pPr>
              <w:overflowPunct w:val="0"/>
              <w:autoSpaceDE w:val="0"/>
              <w:autoSpaceDN w:val="0"/>
              <w:adjustRightInd w:val="0"/>
              <w:jc w:val="both"/>
            </w:pPr>
            <w:r w:rsidRPr="004C7EAD">
              <w:t>C.1.1,ubijanie, 2×25 uderzeń</w:t>
            </w:r>
          </w:p>
        </w:tc>
        <w:tc>
          <w:tcPr>
            <w:tcW w:w="2966" w:type="dxa"/>
            <w:tcBorders>
              <w:top w:val="single" w:sz="4" w:space="0" w:color="auto"/>
              <w:left w:val="single" w:sz="4" w:space="0" w:color="auto"/>
              <w:bottom w:val="single" w:sz="4" w:space="0" w:color="auto"/>
              <w:right w:val="single" w:sz="4" w:space="0" w:color="auto"/>
            </w:tcBorders>
            <w:noWrap/>
            <w:vAlign w:val="center"/>
          </w:tcPr>
          <w:p w:rsidR="00C26502" w:rsidRPr="004C7EAD" w:rsidRDefault="00C26502" w:rsidP="00C26502">
            <w:pPr>
              <w:overflowPunct w:val="0"/>
              <w:autoSpaceDE w:val="0"/>
              <w:autoSpaceDN w:val="0"/>
              <w:adjustRightInd w:val="0"/>
              <w:jc w:val="center"/>
            </w:pPr>
            <w:r w:rsidRPr="004C7EAD">
              <w:t xml:space="preserve">PN-EN 12697-12 [35], przechowywanie w </w:t>
            </w:r>
            <w:smartTag w:uri="urn:schemas-microsoft-com:office:smarttags" w:element="metricconverter">
              <w:smartTagPr>
                <w:attr w:name="ProductID" w:val="40ﾰC"/>
              </w:smartTagPr>
              <w:r w:rsidRPr="004C7EAD">
                <w:t>40°C</w:t>
              </w:r>
            </w:smartTag>
            <w:r w:rsidRPr="004C7EAD">
              <w:t xml:space="preserve"> z jednym cyklem zamrażania, </w:t>
            </w:r>
          </w:p>
          <w:p w:rsidR="00C26502" w:rsidRPr="004C7EAD" w:rsidRDefault="00C26502" w:rsidP="00C26502">
            <w:pPr>
              <w:overflowPunct w:val="0"/>
              <w:autoSpaceDE w:val="0"/>
              <w:autoSpaceDN w:val="0"/>
              <w:adjustRightInd w:val="0"/>
              <w:jc w:val="center"/>
            </w:pPr>
            <w:r w:rsidRPr="004C7EAD">
              <w:t xml:space="preserve">badanie w </w:t>
            </w:r>
            <w:smartTag w:uri="urn:schemas-microsoft-com:office:smarttags" w:element="metricconverter">
              <w:smartTagPr>
                <w:attr w:name="ProductID" w:val="15ﾰC"/>
              </w:smartTagPr>
              <w:r w:rsidRPr="004C7EAD">
                <w:t>15°C</w:t>
              </w:r>
            </w:smartTag>
          </w:p>
        </w:tc>
        <w:tc>
          <w:tcPr>
            <w:tcW w:w="1221" w:type="dxa"/>
            <w:tcBorders>
              <w:top w:val="single" w:sz="4" w:space="0" w:color="auto"/>
              <w:left w:val="single" w:sz="4" w:space="0" w:color="auto"/>
              <w:bottom w:val="single" w:sz="4" w:space="0" w:color="auto"/>
              <w:right w:val="single" w:sz="4" w:space="0" w:color="auto"/>
            </w:tcBorders>
            <w:noWrap/>
            <w:vAlign w:val="center"/>
          </w:tcPr>
          <w:p w:rsidR="00C26502" w:rsidRPr="004C7EAD" w:rsidRDefault="00C26502" w:rsidP="00C26502">
            <w:pPr>
              <w:overflowPunct w:val="0"/>
              <w:autoSpaceDE w:val="0"/>
              <w:autoSpaceDN w:val="0"/>
              <w:adjustRightInd w:val="0"/>
              <w:jc w:val="center"/>
              <w:rPr>
                <w:vertAlign w:val="subscript"/>
              </w:rPr>
            </w:pPr>
            <w:r w:rsidRPr="004C7EAD">
              <w:rPr>
                <w:i/>
              </w:rPr>
              <w:t>ITSR</w:t>
            </w:r>
            <w:r w:rsidRPr="004C7EAD">
              <w:rPr>
                <w:i/>
                <w:vertAlign w:val="subscript"/>
              </w:rPr>
              <w:t>70</w:t>
            </w:r>
          </w:p>
        </w:tc>
      </w:tr>
      <w:tr w:rsidR="00C26502" w:rsidRPr="004C7EAD" w:rsidTr="00C26502">
        <w:trPr>
          <w:trHeight w:val="688"/>
          <w:jc w:val="center"/>
        </w:trPr>
        <w:tc>
          <w:tcPr>
            <w:tcW w:w="2103" w:type="dxa"/>
            <w:tcBorders>
              <w:top w:val="single" w:sz="4" w:space="0" w:color="auto"/>
              <w:left w:val="single" w:sz="4" w:space="0" w:color="auto"/>
              <w:bottom w:val="single" w:sz="4" w:space="0" w:color="auto"/>
              <w:right w:val="single" w:sz="4" w:space="0" w:color="auto"/>
            </w:tcBorders>
            <w:noWrap/>
            <w:vAlign w:val="center"/>
          </w:tcPr>
          <w:p w:rsidR="00C26502" w:rsidRPr="004C7EAD" w:rsidRDefault="00C26502" w:rsidP="00C26502">
            <w:pPr>
              <w:overflowPunct w:val="0"/>
              <w:autoSpaceDE w:val="0"/>
              <w:autoSpaceDN w:val="0"/>
              <w:adjustRightInd w:val="0"/>
            </w:pPr>
            <w:r w:rsidRPr="004C7EAD">
              <w:t>Sztywność</w:t>
            </w:r>
          </w:p>
        </w:tc>
        <w:tc>
          <w:tcPr>
            <w:tcW w:w="1649" w:type="dxa"/>
            <w:tcBorders>
              <w:top w:val="single" w:sz="4" w:space="0" w:color="auto"/>
              <w:left w:val="single" w:sz="4" w:space="0" w:color="auto"/>
              <w:bottom w:val="single" w:sz="4" w:space="0" w:color="auto"/>
              <w:right w:val="single" w:sz="4" w:space="0" w:color="auto"/>
            </w:tcBorders>
            <w:noWrap/>
            <w:vAlign w:val="center"/>
          </w:tcPr>
          <w:p w:rsidR="00C26502" w:rsidRPr="004C7EAD" w:rsidRDefault="00C26502" w:rsidP="00C26502">
            <w:pPr>
              <w:overflowPunct w:val="0"/>
              <w:autoSpaceDE w:val="0"/>
              <w:autoSpaceDN w:val="0"/>
              <w:adjustRightInd w:val="0"/>
              <w:jc w:val="both"/>
            </w:pPr>
            <w:r w:rsidRPr="004C7EAD">
              <w:t>C.1.20, wałowanie,</w:t>
            </w:r>
          </w:p>
          <w:p w:rsidR="00C26502" w:rsidRPr="004C7EAD" w:rsidRDefault="00C26502" w:rsidP="00C26502">
            <w:pPr>
              <w:overflowPunct w:val="0"/>
              <w:autoSpaceDE w:val="0"/>
              <w:autoSpaceDN w:val="0"/>
              <w:adjustRightInd w:val="0"/>
              <w:jc w:val="both"/>
              <w:rPr>
                <w:lang w:val="de-DE"/>
              </w:rPr>
            </w:pPr>
            <w:r w:rsidRPr="004C7EAD">
              <w:rPr>
                <w:lang w:val="de-DE"/>
              </w:rPr>
              <w:t>P</w:t>
            </w:r>
            <w:r w:rsidRPr="004C7EAD">
              <w:rPr>
                <w:vertAlign w:val="subscript"/>
                <w:lang w:val="de-DE"/>
              </w:rPr>
              <w:t>98</w:t>
            </w:r>
            <w:r w:rsidRPr="004C7EAD">
              <w:rPr>
                <w:lang w:val="de-DE"/>
              </w:rPr>
              <w:t>-P</w:t>
            </w:r>
            <w:r w:rsidRPr="004C7EAD">
              <w:rPr>
                <w:vertAlign w:val="subscript"/>
                <w:lang w:val="de-DE"/>
              </w:rPr>
              <w:t>100</w:t>
            </w:r>
          </w:p>
        </w:tc>
        <w:tc>
          <w:tcPr>
            <w:tcW w:w="2966" w:type="dxa"/>
            <w:tcBorders>
              <w:top w:val="single" w:sz="4" w:space="0" w:color="auto"/>
              <w:left w:val="single" w:sz="4" w:space="0" w:color="auto"/>
              <w:bottom w:val="single" w:sz="4" w:space="0" w:color="auto"/>
              <w:right w:val="single" w:sz="4" w:space="0" w:color="auto"/>
            </w:tcBorders>
            <w:noWrap/>
            <w:vAlign w:val="center"/>
          </w:tcPr>
          <w:p w:rsidR="00C26502" w:rsidRPr="004C7EAD" w:rsidRDefault="00C26502" w:rsidP="00C26502">
            <w:pPr>
              <w:overflowPunct w:val="0"/>
              <w:autoSpaceDE w:val="0"/>
              <w:autoSpaceDN w:val="0"/>
              <w:adjustRightInd w:val="0"/>
              <w:jc w:val="center"/>
            </w:pPr>
            <w:r w:rsidRPr="004C7EAD">
              <w:t>PN-EN 12697-26, 4PB-PR,</w:t>
            </w:r>
          </w:p>
          <w:p w:rsidR="00C26502" w:rsidRPr="004C7EAD" w:rsidRDefault="00C26502" w:rsidP="00C26502">
            <w:pPr>
              <w:overflowPunct w:val="0"/>
              <w:autoSpaceDE w:val="0"/>
              <w:autoSpaceDN w:val="0"/>
              <w:adjustRightInd w:val="0"/>
            </w:pPr>
            <w:r w:rsidRPr="004C7EAD">
              <w:t>temp.10°C, częstość 10Hz</w:t>
            </w:r>
          </w:p>
        </w:tc>
        <w:tc>
          <w:tcPr>
            <w:tcW w:w="1221" w:type="dxa"/>
            <w:tcBorders>
              <w:top w:val="single" w:sz="4" w:space="0" w:color="auto"/>
              <w:left w:val="single" w:sz="4" w:space="0" w:color="auto"/>
              <w:bottom w:val="single" w:sz="4" w:space="0" w:color="auto"/>
              <w:right w:val="single" w:sz="4" w:space="0" w:color="auto"/>
            </w:tcBorders>
            <w:noWrap/>
            <w:vAlign w:val="center"/>
          </w:tcPr>
          <w:p w:rsidR="00C26502" w:rsidRPr="004C7EAD" w:rsidRDefault="00C26502" w:rsidP="00C26502">
            <w:pPr>
              <w:overflowPunct w:val="0"/>
              <w:autoSpaceDE w:val="0"/>
              <w:autoSpaceDN w:val="0"/>
              <w:adjustRightInd w:val="0"/>
              <w:jc w:val="center"/>
            </w:pPr>
            <w:r w:rsidRPr="004C7EAD">
              <w:t>S</w:t>
            </w:r>
            <w:r w:rsidRPr="004C7EAD">
              <w:rPr>
                <w:vertAlign w:val="subscript"/>
              </w:rPr>
              <w:t>min11000</w:t>
            </w:r>
          </w:p>
        </w:tc>
      </w:tr>
      <w:tr w:rsidR="00C26502" w:rsidRPr="004C7EAD" w:rsidTr="00C26502">
        <w:trPr>
          <w:trHeight w:val="922"/>
          <w:jc w:val="center"/>
        </w:trPr>
        <w:tc>
          <w:tcPr>
            <w:tcW w:w="2103" w:type="dxa"/>
            <w:tcBorders>
              <w:top w:val="single" w:sz="4" w:space="0" w:color="auto"/>
              <w:left w:val="single" w:sz="4" w:space="0" w:color="auto"/>
              <w:bottom w:val="single" w:sz="4" w:space="0" w:color="auto"/>
              <w:right w:val="single" w:sz="4" w:space="0" w:color="auto"/>
            </w:tcBorders>
            <w:noWrap/>
            <w:vAlign w:val="center"/>
          </w:tcPr>
          <w:p w:rsidR="00C26502" w:rsidRPr="004C7EAD" w:rsidRDefault="00C26502" w:rsidP="00C26502">
            <w:pPr>
              <w:overflowPunct w:val="0"/>
              <w:autoSpaceDE w:val="0"/>
              <w:autoSpaceDN w:val="0"/>
              <w:adjustRightInd w:val="0"/>
            </w:pPr>
            <w:r w:rsidRPr="004C7EAD">
              <w:t>Odporność na zmęczenie, kategoria nie niższa niż</w:t>
            </w:r>
          </w:p>
        </w:tc>
        <w:tc>
          <w:tcPr>
            <w:tcW w:w="1649" w:type="dxa"/>
            <w:tcBorders>
              <w:top w:val="single" w:sz="4" w:space="0" w:color="auto"/>
              <w:left w:val="single" w:sz="4" w:space="0" w:color="auto"/>
              <w:bottom w:val="single" w:sz="4" w:space="0" w:color="auto"/>
              <w:right w:val="single" w:sz="4" w:space="0" w:color="auto"/>
            </w:tcBorders>
            <w:noWrap/>
            <w:vAlign w:val="center"/>
          </w:tcPr>
          <w:p w:rsidR="00C26502" w:rsidRPr="004C7EAD" w:rsidRDefault="00C26502" w:rsidP="00C26502">
            <w:pPr>
              <w:overflowPunct w:val="0"/>
              <w:autoSpaceDE w:val="0"/>
              <w:autoSpaceDN w:val="0"/>
              <w:adjustRightInd w:val="0"/>
              <w:jc w:val="both"/>
            </w:pPr>
            <w:r w:rsidRPr="004C7EAD">
              <w:t>C.1.20, wałowanie,</w:t>
            </w:r>
          </w:p>
          <w:p w:rsidR="00C26502" w:rsidRPr="004C7EAD" w:rsidRDefault="00C26502" w:rsidP="00C26502">
            <w:pPr>
              <w:overflowPunct w:val="0"/>
              <w:autoSpaceDE w:val="0"/>
              <w:autoSpaceDN w:val="0"/>
              <w:adjustRightInd w:val="0"/>
              <w:jc w:val="both"/>
            </w:pPr>
            <w:r w:rsidRPr="004C7EAD">
              <w:t>P</w:t>
            </w:r>
            <w:r w:rsidRPr="004C7EAD">
              <w:rPr>
                <w:vertAlign w:val="subscript"/>
              </w:rPr>
              <w:t>98</w:t>
            </w:r>
            <w:r w:rsidRPr="004C7EAD">
              <w:t>-P</w:t>
            </w:r>
            <w:r w:rsidRPr="004C7EAD">
              <w:rPr>
                <w:vertAlign w:val="subscript"/>
              </w:rPr>
              <w:t>100</w:t>
            </w:r>
          </w:p>
        </w:tc>
        <w:tc>
          <w:tcPr>
            <w:tcW w:w="2966" w:type="dxa"/>
            <w:tcBorders>
              <w:top w:val="single" w:sz="4" w:space="0" w:color="auto"/>
              <w:left w:val="single" w:sz="4" w:space="0" w:color="auto"/>
              <w:bottom w:val="single" w:sz="4" w:space="0" w:color="auto"/>
              <w:right w:val="single" w:sz="4" w:space="0" w:color="auto"/>
            </w:tcBorders>
            <w:noWrap/>
            <w:vAlign w:val="center"/>
          </w:tcPr>
          <w:p w:rsidR="00C26502" w:rsidRPr="004C7EAD" w:rsidRDefault="00C26502" w:rsidP="00C26502">
            <w:pPr>
              <w:overflowPunct w:val="0"/>
              <w:autoSpaceDE w:val="0"/>
              <w:autoSpaceDN w:val="0"/>
              <w:adjustRightInd w:val="0"/>
              <w:jc w:val="center"/>
            </w:pPr>
            <w:r w:rsidRPr="004C7EAD">
              <w:t>PN-EN 12697-26, 4PB-PR,</w:t>
            </w:r>
          </w:p>
          <w:p w:rsidR="00C26502" w:rsidRPr="004C7EAD" w:rsidRDefault="00C26502" w:rsidP="00C26502">
            <w:pPr>
              <w:overflowPunct w:val="0"/>
              <w:autoSpaceDE w:val="0"/>
              <w:autoSpaceDN w:val="0"/>
              <w:adjustRightInd w:val="0"/>
            </w:pPr>
            <w:r w:rsidRPr="004C7EAD">
              <w:t>temp.10°C, częstość 10Hz</w:t>
            </w:r>
          </w:p>
        </w:tc>
        <w:tc>
          <w:tcPr>
            <w:tcW w:w="1221" w:type="dxa"/>
            <w:tcBorders>
              <w:top w:val="single" w:sz="4" w:space="0" w:color="auto"/>
              <w:left w:val="single" w:sz="4" w:space="0" w:color="auto"/>
              <w:bottom w:val="single" w:sz="4" w:space="0" w:color="auto"/>
              <w:right w:val="single" w:sz="4" w:space="0" w:color="auto"/>
            </w:tcBorders>
            <w:noWrap/>
            <w:vAlign w:val="center"/>
          </w:tcPr>
          <w:p w:rsidR="00C26502" w:rsidRPr="004C7EAD" w:rsidRDefault="00C26502" w:rsidP="00C26502">
            <w:pPr>
              <w:overflowPunct w:val="0"/>
              <w:autoSpaceDE w:val="0"/>
              <w:autoSpaceDN w:val="0"/>
              <w:adjustRightInd w:val="0"/>
              <w:jc w:val="center"/>
            </w:pPr>
            <w:r w:rsidRPr="004C7EAD">
              <w:t>ε</w:t>
            </w:r>
            <w:r w:rsidRPr="004C7EAD">
              <w:rPr>
                <w:vertAlign w:val="subscript"/>
              </w:rPr>
              <w:t>6-115</w:t>
            </w:r>
          </w:p>
        </w:tc>
      </w:tr>
    </w:tbl>
    <w:p w:rsidR="00C26502" w:rsidRPr="004C7EAD" w:rsidRDefault="00C26502" w:rsidP="00C26502">
      <w:pPr>
        <w:keepNext/>
        <w:overflowPunct w:val="0"/>
        <w:autoSpaceDE w:val="0"/>
        <w:autoSpaceDN w:val="0"/>
        <w:adjustRightInd w:val="0"/>
        <w:jc w:val="both"/>
        <w:outlineLvl w:val="1"/>
        <w:rPr>
          <w:b/>
        </w:rPr>
      </w:pPr>
      <w:r w:rsidRPr="004C7EAD">
        <w:rPr>
          <w:b/>
        </w:rPr>
        <w:t>5.3. Wytwarzanie mieszanki mineralno-asfaltowej</w:t>
      </w:r>
    </w:p>
    <w:p w:rsidR="00C26502" w:rsidRPr="004C7EAD" w:rsidRDefault="00C26502" w:rsidP="00C26502">
      <w:pPr>
        <w:overflowPunct w:val="0"/>
        <w:autoSpaceDE w:val="0"/>
        <w:autoSpaceDN w:val="0"/>
        <w:adjustRightInd w:val="0"/>
        <w:jc w:val="both"/>
      </w:pPr>
      <w:r w:rsidRPr="004C7EAD">
        <w:tab/>
        <w:t>Mieszankę mineralno-asfaltową należy wytwarzać na gorąco w otaczarce (zespole maszyn i urządzeń dozowania, podgrzewania i mieszania składników oraz przechowywania gotowej mieszanki).</w:t>
      </w:r>
    </w:p>
    <w:p w:rsidR="00C26502" w:rsidRPr="004C7EAD" w:rsidRDefault="00C26502" w:rsidP="00C26502">
      <w:pPr>
        <w:overflowPunct w:val="0"/>
        <w:autoSpaceDE w:val="0"/>
        <w:autoSpaceDN w:val="0"/>
        <w:adjustRightInd w:val="0"/>
        <w:jc w:val="both"/>
      </w:pPr>
      <w:r w:rsidRPr="004C7EAD">
        <w:tab/>
        <w:t>Dozowanie składników mieszanki mineralno-asfaltowej w otaczarkach, w tym także wstępne, powinno być zautomatyzowane i zgodne z receptą roboczą, a urządzenia do dozowania składników oraz pomiaru temperatury powinny być okresowo sprawdzane. Kruszywo o różnym uziarnieniu lub pochodzeniu należy dodawać odmierzone oddzielnie.</w:t>
      </w:r>
    </w:p>
    <w:p w:rsidR="00C26502" w:rsidRPr="004C7EAD" w:rsidRDefault="00C26502" w:rsidP="00C26502">
      <w:pPr>
        <w:overflowPunct w:val="0"/>
        <w:autoSpaceDE w:val="0"/>
        <w:autoSpaceDN w:val="0"/>
        <w:adjustRightInd w:val="0"/>
        <w:jc w:val="both"/>
      </w:pPr>
      <w:r w:rsidRPr="004C7EAD">
        <w:tab/>
        <w:t xml:space="preserve">Lepiszcze asfaltowe należy przechowywać w zbiorniku z pośrednim systemem ogrzewania, z układem termostatowania zapewniającym utrzymanie żądanej temperatury z dokładnością ± </w:t>
      </w:r>
      <w:smartTag w:uri="urn:schemas-microsoft-com:office:smarttags" w:element="metricconverter">
        <w:smartTagPr>
          <w:attr w:name="ProductID" w:val="5ﾰC"/>
        </w:smartTagPr>
        <w:r w:rsidRPr="004C7EAD">
          <w:t>5°C</w:t>
        </w:r>
      </w:smartTag>
      <w:r w:rsidRPr="004C7EAD">
        <w:t xml:space="preserve">. Temperatura lepiszcza asfaltowego w zbiorniku magazynowym (roboczym) nie może przekraczać </w:t>
      </w:r>
      <w:smartTag w:uri="urn:schemas-microsoft-com:office:smarttags" w:element="metricconverter">
        <w:smartTagPr>
          <w:attr w:name="ProductID" w:val="180ﾰC"/>
        </w:smartTagPr>
        <w:r w:rsidRPr="004C7EAD">
          <w:t>180°C</w:t>
        </w:r>
      </w:smartTag>
      <w:r w:rsidRPr="004C7EAD">
        <w:t xml:space="preserve"> dla asfaltu drogowego 50/70 i polimeroasfaltu drogowego 25/55-60 oraz </w:t>
      </w:r>
      <w:smartTag w:uri="urn:schemas-microsoft-com:office:smarttags" w:element="metricconverter">
        <w:smartTagPr>
          <w:attr w:name="ProductID" w:val="190ﾰC"/>
        </w:smartTagPr>
        <w:r w:rsidRPr="004C7EAD">
          <w:t>190°C</w:t>
        </w:r>
      </w:smartTag>
      <w:r w:rsidRPr="004C7EAD">
        <w:t xml:space="preserve"> dla asfaltu drogowego 35/50 </w:t>
      </w:r>
    </w:p>
    <w:p w:rsidR="00C26502" w:rsidRPr="004C7EAD" w:rsidRDefault="00C26502" w:rsidP="00C26502">
      <w:pPr>
        <w:overflowPunct w:val="0"/>
        <w:autoSpaceDE w:val="0"/>
        <w:autoSpaceDN w:val="0"/>
        <w:adjustRightInd w:val="0"/>
        <w:jc w:val="both"/>
      </w:pPr>
      <w:r w:rsidRPr="004C7EAD">
        <w:t xml:space="preserve">Kruszywo (ewentualnie z wypełniaczem) powinno być wysuszone i podgrzane tak, aby mieszanka mineralna uzyskała temperaturę właściwą do otoczenia lepiszczem asfaltowym. Temperatura mieszanki mineralnej nie powinna być wyższa o więcej niż </w:t>
      </w:r>
      <w:smartTag w:uri="urn:schemas-microsoft-com:office:smarttags" w:element="metricconverter">
        <w:smartTagPr>
          <w:attr w:name="ProductID" w:val="30ﾰC"/>
        </w:smartTagPr>
        <w:r w:rsidRPr="004C7EAD">
          <w:t>30°C</w:t>
        </w:r>
      </w:smartTag>
      <w:r w:rsidRPr="004C7EAD">
        <w:t xml:space="preserve"> od najwyższej temperatury mieszanki mineralno-asfaltowej podanej w tablicy 13. W tej tablicy najniższa temperatura dotyczy mieszanki mineralno-asfaltowej dostarczonej na miejsce wbudowania, a najwyższa temperatura dotyczy mieszanki mineralno-asfaltowej bezpośrednio po wytworzeniu w wytwórni.</w:t>
      </w:r>
    </w:p>
    <w:p w:rsidR="00C26502" w:rsidRPr="004C7EAD" w:rsidRDefault="00C26502" w:rsidP="00C26502">
      <w:pPr>
        <w:overflowPunct w:val="0"/>
        <w:autoSpaceDE w:val="0"/>
        <w:autoSpaceDN w:val="0"/>
        <w:adjustRightInd w:val="0"/>
        <w:jc w:val="both"/>
      </w:pPr>
    </w:p>
    <w:p w:rsidR="00C26502" w:rsidRPr="004C7EAD" w:rsidRDefault="00C26502" w:rsidP="00C26502">
      <w:pPr>
        <w:overflowPunct w:val="0"/>
        <w:autoSpaceDE w:val="0"/>
        <w:autoSpaceDN w:val="0"/>
        <w:adjustRightInd w:val="0"/>
        <w:jc w:val="both"/>
      </w:pPr>
    </w:p>
    <w:p w:rsidR="00C26502" w:rsidRPr="004C7EAD" w:rsidRDefault="00C26502" w:rsidP="00C26502">
      <w:pPr>
        <w:overflowPunct w:val="0"/>
        <w:autoSpaceDE w:val="0"/>
        <w:autoSpaceDN w:val="0"/>
        <w:adjustRightInd w:val="0"/>
        <w:jc w:val="both"/>
      </w:pPr>
      <w:r w:rsidRPr="004C7EAD">
        <w:t>Tablica 13. Najwyższa i najniższa temperatura mieszanki AC [65]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1"/>
        <w:gridCol w:w="2590"/>
      </w:tblGrid>
      <w:tr w:rsidR="00C26502" w:rsidRPr="004C7EAD" w:rsidTr="00C26502">
        <w:trPr>
          <w:jc w:val="center"/>
        </w:trPr>
        <w:tc>
          <w:tcPr>
            <w:tcW w:w="2371" w:type="dxa"/>
            <w:tcBorders>
              <w:top w:val="single" w:sz="4" w:space="0" w:color="auto"/>
              <w:left w:val="single" w:sz="4" w:space="0" w:color="auto"/>
              <w:bottom w:val="single" w:sz="4" w:space="0" w:color="auto"/>
              <w:right w:val="single" w:sz="4" w:space="0" w:color="auto"/>
            </w:tcBorders>
            <w:noWrap/>
          </w:tcPr>
          <w:p w:rsidR="00C26502" w:rsidRPr="004C7EAD" w:rsidRDefault="00C26502" w:rsidP="00C26502">
            <w:pPr>
              <w:overflowPunct w:val="0"/>
              <w:autoSpaceDE w:val="0"/>
              <w:autoSpaceDN w:val="0"/>
              <w:adjustRightInd w:val="0"/>
              <w:jc w:val="center"/>
            </w:pPr>
            <w:r w:rsidRPr="004C7EAD">
              <w:t>Lepiszcze asfaltowe</w:t>
            </w:r>
          </w:p>
        </w:tc>
        <w:tc>
          <w:tcPr>
            <w:tcW w:w="2590" w:type="dxa"/>
            <w:tcBorders>
              <w:top w:val="single" w:sz="4" w:space="0" w:color="auto"/>
              <w:left w:val="single" w:sz="4" w:space="0" w:color="auto"/>
              <w:bottom w:val="single" w:sz="4" w:space="0" w:color="auto"/>
              <w:right w:val="single" w:sz="4" w:space="0" w:color="auto"/>
            </w:tcBorders>
            <w:noWrap/>
          </w:tcPr>
          <w:p w:rsidR="00C26502" w:rsidRPr="004C7EAD" w:rsidRDefault="00C26502" w:rsidP="00C26502">
            <w:pPr>
              <w:overflowPunct w:val="0"/>
              <w:autoSpaceDE w:val="0"/>
              <w:autoSpaceDN w:val="0"/>
              <w:adjustRightInd w:val="0"/>
              <w:jc w:val="center"/>
            </w:pPr>
            <w:r w:rsidRPr="004C7EAD">
              <w:t>Temperatura mieszanki [°C]</w:t>
            </w:r>
          </w:p>
        </w:tc>
      </w:tr>
      <w:tr w:rsidR="00C26502" w:rsidRPr="004C7EAD" w:rsidTr="00C26502">
        <w:trPr>
          <w:jc w:val="center"/>
        </w:trPr>
        <w:tc>
          <w:tcPr>
            <w:tcW w:w="2371" w:type="dxa"/>
            <w:tcBorders>
              <w:top w:val="single" w:sz="4" w:space="0" w:color="auto"/>
              <w:left w:val="single" w:sz="4" w:space="0" w:color="auto"/>
              <w:bottom w:val="single" w:sz="4" w:space="0" w:color="auto"/>
              <w:right w:val="single" w:sz="4" w:space="0" w:color="auto"/>
            </w:tcBorders>
            <w:noWrap/>
          </w:tcPr>
          <w:p w:rsidR="00C26502" w:rsidRPr="004C7EAD" w:rsidRDefault="00C26502" w:rsidP="00C26502">
            <w:pPr>
              <w:overflowPunct w:val="0"/>
              <w:autoSpaceDE w:val="0"/>
              <w:autoSpaceDN w:val="0"/>
              <w:adjustRightInd w:val="0"/>
              <w:jc w:val="both"/>
              <w:rPr>
                <w:lang w:val="de-DE"/>
              </w:rPr>
            </w:pPr>
            <w:r w:rsidRPr="004C7EAD">
              <w:rPr>
                <w:lang w:val="de-DE"/>
              </w:rPr>
              <w:t>Asfalt 35/50</w:t>
            </w:r>
          </w:p>
          <w:p w:rsidR="00C26502" w:rsidRPr="004C7EAD" w:rsidRDefault="00C26502" w:rsidP="00C26502">
            <w:pPr>
              <w:overflowPunct w:val="0"/>
              <w:autoSpaceDE w:val="0"/>
              <w:autoSpaceDN w:val="0"/>
              <w:adjustRightInd w:val="0"/>
              <w:jc w:val="both"/>
              <w:rPr>
                <w:lang w:val="de-DE"/>
              </w:rPr>
            </w:pPr>
            <w:r w:rsidRPr="004C7EAD">
              <w:rPr>
                <w:lang w:val="de-DE"/>
              </w:rPr>
              <w:t>Asfalt 50/70</w:t>
            </w:r>
          </w:p>
          <w:p w:rsidR="00C26502" w:rsidRPr="004C7EAD" w:rsidRDefault="00C26502" w:rsidP="00C26502">
            <w:pPr>
              <w:overflowPunct w:val="0"/>
              <w:autoSpaceDE w:val="0"/>
              <w:autoSpaceDN w:val="0"/>
              <w:adjustRightInd w:val="0"/>
              <w:jc w:val="both"/>
              <w:rPr>
                <w:lang w:val="de-DE"/>
              </w:rPr>
            </w:pPr>
            <w:r w:rsidRPr="004C7EAD">
              <w:rPr>
                <w:lang w:val="de-DE"/>
              </w:rPr>
              <w:t>PMB 25/55-60</w:t>
            </w:r>
          </w:p>
        </w:tc>
        <w:tc>
          <w:tcPr>
            <w:tcW w:w="2590" w:type="dxa"/>
            <w:tcBorders>
              <w:top w:val="single" w:sz="4" w:space="0" w:color="auto"/>
              <w:left w:val="single" w:sz="4" w:space="0" w:color="auto"/>
              <w:bottom w:val="single" w:sz="4" w:space="0" w:color="auto"/>
              <w:right w:val="single" w:sz="4" w:space="0" w:color="auto"/>
            </w:tcBorders>
            <w:noWrap/>
          </w:tcPr>
          <w:p w:rsidR="00C26502" w:rsidRPr="004C7EAD" w:rsidRDefault="00C26502" w:rsidP="00C26502">
            <w:pPr>
              <w:overflowPunct w:val="0"/>
              <w:autoSpaceDE w:val="0"/>
              <w:autoSpaceDN w:val="0"/>
              <w:adjustRightInd w:val="0"/>
              <w:jc w:val="center"/>
            </w:pPr>
            <w:r w:rsidRPr="004C7EAD">
              <w:t>od 155 do 195</w:t>
            </w:r>
          </w:p>
          <w:p w:rsidR="00C26502" w:rsidRPr="004C7EAD" w:rsidRDefault="00C26502" w:rsidP="00C26502">
            <w:pPr>
              <w:overflowPunct w:val="0"/>
              <w:autoSpaceDE w:val="0"/>
              <w:autoSpaceDN w:val="0"/>
              <w:adjustRightInd w:val="0"/>
              <w:jc w:val="center"/>
            </w:pPr>
            <w:r w:rsidRPr="004C7EAD">
              <w:t>od 140 do 180</w:t>
            </w:r>
          </w:p>
          <w:p w:rsidR="00C26502" w:rsidRPr="004C7EAD" w:rsidRDefault="00C26502" w:rsidP="00C26502">
            <w:pPr>
              <w:overflowPunct w:val="0"/>
              <w:autoSpaceDE w:val="0"/>
              <w:autoSpaceDN w:val="0"/>
              <w:adjustRightInd w:val="0"/>
              <w:jc w:val="center"/>
            </w:pPr>
            <w:r w:rsidRPr="004C7EAD">
              <w:t>od 140 do 180</w:t>
            </w:r>
          </w:p>
        </w:tc>
      </w:tr>
    </w:tbl>
    <w:p w:rsidR="00C26502" w:rsidRPr="004C7EAD" w:rsidRDefault="00C26502" w:rsidP="00C26502">
      <w:pPr>
        <w:overflowPunct w:val="0"/>
        <w:autoSpaceDE w:val="0"/>
        <w:autoSpaceDN w:val="0"/>
        <w:adjustRightInd w:val="0"/>
        <w:jc w:val="both"/>
      </w:pPr>
    </w:p>
    <w:p w:rsidR="00C26502" w:rsidRPr="004C7EAD" w:rsidRDefault="00C26502" w:rsidP="00C26502">
      <w:pPr>
        <w:overflowPunct w:val="0"/>
        <w:autoSpaceDE w:val="0"/>
        <w:autoSpaceDN w:val="0"/>
        <w:adjustRightInd w:val="0"/>
        <w:jc w:val="both"/>
      </w:pPr>
      <w:r w:rsidRPr="004C7EAD">
        <w:tab/>
        <w:t>Sposób i czas mieszania składników mieszanki mineralno-asfaltowej powinny zapewnić równomierne otoczenie kruszywa lepiszczem asfaltowym.</w:t>
      </w:r>
    </w:p>
    <w:p w:rsidR="00C26502" w:rsidRPr="004C7EAD" w:rsidRDefault="00C26502" w:rsidP="00C26502">
      <w:pPr>
        <w:overflowPunct w:val="0"/>
        <w:autoSpaceDE w:val="0"/>
        <w:autoSpaceDN w:val="0"/>
        <w:adjustRightInd w:val="0"/>
        <w:jc w:val="both"/>
      </w:pPr>
      <w:r w:rsidRPr="004C7EAD">
        <w:tab/>
        <w:t>Dopuszcza się dostawy mieszanek mineralno-asfaltowych z kilku wytwórni, pod warunkiem skoordynowania między sobą deklarowanych przydatności mieszanek (m.in.: typ, rodzaj składników, właściwości objętościowe) z zachowaniem dopuszczalnych różnic ich składu:</w:t>
      </w:r>
    </w:p>
    <w:p w:rsidR="00C26502" w:rsidRPr="004C7EAD" w:rsidRDefault="00C26502" w:rsidP="00C26502">
      <w:pPr>
        <w:overflowPunct w:val="0"/>
        <w:autoSpaceDE w:val="0"/>
        <w:autoSpaceDN w:val="0"/>
        <w:adjustRightInd w:val="0"/>
        <w:jc w:val="both"/>
      </w:pPr>
      <w:r w:rsidRPr="004C7EAD">
        <w:t>- zawartość lepiszcza: 0,3% (m/m),</w:t>
      </w:r>
    </w:p>
    <w:p w:rsidR="00C26502" w:rsidRPr="004C7EAD" w:rsidRDefault="00C26502" w:rsidP="00C26502">
      <w:pPr>
        <w:overflowPunct w:val="0"/>
        <w:autoSpaceDE w:val="0"/>
        <w:autoSpaceDN w:val="0"/>
        <w:adjustRightInd w:val="0"/>
        <w:jc w:val="both"/>
      </w:pPr>
      <w:r w:rsidRPr="004C7EAD">
        <w:t>- zawartość kruszywa drobnego: 3,0% (m/m),</w:t>
      </w:r>
    </w:p>
    <w:p w:rsidR="00C26502" w:rsidRPr="004C7EAD" w:rsidRDefault="00C26502" w:rsidP="00C26502">
      <w:pPr>
        <w:overflowPunct w:val="0"/>
        <w:autoSpaceDE w:val="0"/>
        <w:autoSpaceDN w:val="0"/>
        <w:adjustRightInd w:val="0"/>
        <w:jc w:val="both"/>
      </w:pPr>
      <w:r w:rsidRPr="004C7EAD">
        <w:t>- zawartość wypełniacza: 1,0% (m/m).</w:t>
      </w:r>
    </w:p>
    <w:p w:rsidR="00C26502" w:rsidRPr="004C7EAD" w:rsidRDefault="00C26502" w:rsidP="00C26502">
      <w:pPr>
        <w:keepNext/>
        <w:overflowPunct w:val="0"/>
        <w:autoSpaceDE w:val="0"/>
        <w:autoSpaceDN w:val="0"/>
        <w:adjustRightInd w:val="0"/>
        <w:jc w:val="both"/>
        <w:outlineLvl w:val="1"/>
        <w:rPr>
          <w:b/>
        </w:rPr>
      </w:pPr>
      <w:r w:rsidRPr="004C7EAD">
        <w:rPr>
          <w:b/>
        </w:rPr>
        <w:t>5.4. Przygotowanie podłoża</w:t>
      </w:r>
    </w:p>
    <w:p w:rsidR="00C26502" w:rsidRPr="004C7EAD" w:rsidRDefault="00C26502" w:rsidP="00C26502">
      <w:pPr>
        <w:overflowPunct w:val="0"/>
        <w:autoSpaceDE w:val="0"/>
        <w:autoSpaceDN w:val="0"/>
        <w:adjustRightInd w:val="0"/>
        <w:jc w:val="both"/>
      </w:pPr>
      <w:r w:rsidRPr="004C7EAD">
        <w:tab/>
        <w:t>Podłoże (podbudowa z kruszywa niezwiązanego lub związanego) pod warstwę podbudowy z betonu asfaltowego powinno być na całej powierzchni:</w:t>
      </w:r>
    </w:p>
    <w:p w:rsidR="00C26502" w:rsidRPr="004C7EAD" w:rsidRDefault="00C26502" w:rsidP="0097494B">
      <w:pPr>
        <w:numPr>
          <w:ilvl w:val="0"/>
          <w:numId w:val="53"/>
        </w:numPr>
        <w:overflowPunct w:val="0"/>
        <w:autoSpaceDE w:val="0"/>
        <w:autoSpaceDN w:val="0"/>
        <w:adjustRightInd w:val="0"/>
        <w:jc w:val="both"/>
      </w:pPr>
      <w:r w:rsidRPr="004C7EAD">
        <w:t>ustabilizowane i nośne,</w:t>
      </w:r>
    </w:p>
    <w:p w:rsidR="00C26502" w:rsidRPr="004C7EAD" w:rsidRDefault="00C26502" w:rsidP="0097494B">
      <w:pPr>
        <w:numPr>
          <w:ilvl w:val="0"/>
          <w:numId w:val="53"/>
        </w:numPr>
        <w:overflowPunct w:val="0"/>
        <w:autoSpaceDE w:val="0"/>
        <w:autoSpaceDN w:val="0"/>
        <w:adjustRightInd w:val="0"/>
        <w:jc w:val="both"/>
      </w:pPr>
      <w:r w:rsidRPr="004C7EAD">
        <w:t>czyste, bez zanieczyszczenia lub pozostałości luźnego kruszywa,</w:t>
      </w:r>
    </w:p>
    <w:p w:rsidR="00C26502" w:rsidRPr="004C7EAD" w:rsidRDefault="00C26502" w:rsidP="0097494B">
      <w:pPr>
        <w:numPr>
          <w:ilvl w:val="0"/>
          <w:numId w:val="53"/>
        </w:numPr>
        <w:overflowPunct w:val="0"/>
        <w:autoSpaceDE w:val="0"/>
        <w:autoSpaceDN w:val="0"/>
        <w:adjustRightInd w:val="0"/>
        <w:jc w:val="both"/>
      </w:pPr>
      <w:r w:rsidRPr="004C7EAD">
        <w:t>wyprofilowane, równe i bez kolein.</w:t>
      </w:r>
    </w:p>
    <w:p w:rsidR="00C26502" w:rsidRPr="004C7EAD" w:rsidRDefault="00C26502" w:rsidP="00C26502">
      <w:pPr>
        <w:overflowPunct w:val="0"/>
        <w:autoSpaceDE w:val="0"/>
        <w:autoSpaceDN w:val="0"/>
        <w:adjustRightInd w:val="0"/>
        <w:jc w:val="both"/>
      </w:pPr>
      <w:r w:rsidRPr="004C7EAD">
        <w:t xml:space="preserve">Maksymalne nierówności podłoża pod warstwę podbudowy, nie powinny przekraczać </w:t>
      </w:r>
      <w:smartTag w:uri="urn:schemas-microsoft-com:office:smarttags" w:element="metricconverter">
        <w:smartTagPr>
          <w:attr w:name="ProductID" w:val="15 mm"/>
        </w:smartTagPr>
        <w:r w:rsidRPr="004C7EAD">
          <w:t>15 mm</w:t>
        </w:r>
      </w:smartTag>
      <w:r w:rsidRPr="004C7EAD">
        <w:t>.</w:t>
      </w:r>
    </w:p>
    <w:p w:rsidR="00C26502" w:rsidRPr="004C7EAD" w:rsidRDefault="00C26502" w:rsidP="00C26502">
      <w:pPr>
        <w:overflowPunct w:val="0"/>
        <w:autoSpaceDE w:val="0"/>
        <w:autoSpaceDN w:val="0"/>
        <w:adjustRightInd w:val="0"/>
        <w:jc w:val="both"/>
      </w:pPr>
      <w:r w:rsidRPr="004C7EAD">
        <w:tab/>
        <w:t>Jeżeli nierówności  są większe niż dopuszczalne, to należy wyrównać podłoże.</w:t>
      </w:r>
    </w:p>
    <w:p w:rsidR="00C26502" w:rsidRPr="004C7EAD" w:rsidRDefault="00C26502" w:rsidP="00C26502">
      <w:pPr>
        <w:overflowPunct w:val="0"/>
        <w:autoSpaceDE w:val="0"/>
        <w:autoSpaceDN w:val="0"/>
        <w:adjustRightInd w:val="0"/>
        <w:jc w:val="both"/>
      </w:pPr>
      <w:r w:rsidRPr="004C7EAD">
        <w:tab/>
        <w:t>Rzędne wysokościowe podłoża oraz urządzeń usytuowanych w nawierzchni lub ją ograniczających powinny być zgodne z dokumentacją projektową. Z podłoża powinien być zapewniony odpływ wody.</w:t>
      </w:r>
    </w:p>
    <w:p w:rsidR="00C26502" w:rsidRPr="004C7EAD" w:rsidRDefault="00C26502" w:rsidP="00C26502">
      <w:pPr>
        <w:overflowPunct w:val="0"/>
        <w:autoSpaceDE w:val="0"/>
        <w:autoSpaceDN w:val="0"/>
        <w:adjustRightInd w:val="0"/>
        <w:jc w:val="both"/>
      </w:pPr>
      <w:r w:rsidRPr="004C7EAD">
        <w:tab/>
        <w:t>Wykonane w podłożu łaty z materiału o mniejszej sztywności (np. łaty z asfaltu lanego w betonie asfaltowym) należy usunąć, a powstałe w ten sposób ubytki wypełnić materiałem o właściwościach zbliżonych do materiału podstawowego (np. wypełnić betonem asfaltowym).</w:t>
      </w:r>
    </w:p>
    <w:p w:rsidR="00C26502" w:rsidRPr="004C7EAD" w:rsidRDefault="00C26502" w:rsidP="00C26502">
      <w:pPr>
        <w:overflowPunct w:val="0"/>
        <w:autoSpaceDE w:val="0"/>
        <w:autoSpaceDN w:val="0"/>
        <w:adjustRightInd w:val="0"/>
        <w:jc w:val="both"/>
      </w:pPr>
      <w:r w:rsidRPr="004C7EAD">
        <w:tab/>
        <w:t>W celu polepszenia połączenia między warstwami technologicznymi nawierzchni powierzchnia podłoża powinna być w ocenie wizualnej chropowata.</w:t>
      </w:r>
    </w:p>
    <w:p w:rsidR="00C26502" w:rsidRPr="004C7EAD" w:rsidRDefault="00C26502" w:rsidP="00C26502">
      <w:pPr>
        <w:overflowPunct w:val="0"/>
        <w:autoSpaceDE w:val="0"/>
        <w:autoSpaceDN w:val="0"/>
        <w:adjustRightInd w:val="0"/>
        <w:jc w:val="both"/>
      </w:pPr>
      <w:r w:rsidRPr="004C7EAD">
        <w:tab/>
        <w:t>Szerokie szczeliny w podłożu należy wypełnić odpowiednim materiałem, np. zalewami drogowymi według PN-EN 14188-1 [60] lub PN-EN 14188-2 [61] albo innymi materiałami według norm lub aprobat technicznych.</w:t>
      </w:r>
    </w:p>
    <w:p w:rsidR="00C26502" w:rsidRPr="004C7EAD" w:rsidRDefault="00C26502" w:rsidP="00C26502">
      <w:pPr>
        <w:overflowPunct w:val="0"/>
        <w:autoSpaceDE w:val="0"/>
        <w:autoSpaceDN w:val="0"/>
        <w:adjustRightInd w:val="0"/>
        <w:jc w:val="both"/>
      </w:pPr>
      <w:r w:rsidRPr="004C7EAD">
        <w:tab/>
        <w:t>Na podłożu wykazującym zniszczenia w postaci siatki spękań zmęczeniowych lub spękań poprzecznych zaleca się stosowanie membrany przeciwspękaniowej, np. mieszanki mineralno-asfaltowej, warstwy SAMI lub z geosyntetyków według norm lub aprobat technicznych.</w:t>
      </w:r>
    </w:p>
    <w:p w:rsidR="00C26502" w:rsidRPr="004C7EAD" w:rsidRDefault="00C26502" w:rsidP="00C26502">
      <w:pPr>
        <w:keepNext/>
        <w:overflowPunct w:val="0"/>
        <w:autoSpaceDE w:val="0"/>
        <w:autoSpaceDN w:val="0"/>
        <w:adjustRightInd w:val="0"/>
        <w:jc w:val="both"/>
        <w:outlineLvl w:val="1"/>
        <w:rPr>
          <w:b/>
        </w:rPr>
      </w:pPr>
      <w:r w:rsidRPr="004C7EAD">
        <w:rPr>
          <w:b/>
        </w:rPr>
        <w:t>5.5. Próba technologiczna</w:t>
      </w:r>
    </w:p>
    <w:p w:rsidR="00C26502" w:rsidRPr="004C7EAD" w:rsidRDefault="00C26502" w:rsidP="00C26502">
      <w:pPr>
        <w:overflowPunct w:val="0"/>
        <w:autoSpaceDE w:val="0"/>
        <w:autoSpaceDN w:val="0"/>
        <w:adjustRightInd w:val="0"/>
        <w:jc w:val="both"/>
      </w:pPr>
      <w:r w:rsidRPr="004C7EAD">
        <w:tab/>
        <w:t>Wykonawca przed przystąpieniem do produkcji mieszanki jest zobowiązany do przeprowadzenia w obecności Inżyniera próby technologicznej, która ma na celu sprawdzenie zgodności właściwości wyprodukowanej mieszanki z receptą. W tym celu należy zaprogramować otaczarkę zgodnie z receptą roboczą i w cyklu automatycznym produkować mieszankę. Do badań należy pobrać mieszankę wyprodukowaną po ustabilizowaniu się pracy otaczarki.</w:t>
      </w:r>
    </w:p>
    <w:p w:rsidR="00C26502" w:rsidRPr="004C7EAD" w:rsidRDefault="00C26502" w:rsidP="00C26502">
      <w:pPr>
        <w:overflowPunct w:val="0"/>
        <w:autoSpaceDE w:val="0"/>
        <w:autoSpaceDN w:val="0"/>
        <w:adjustRightInd w:val="0"/>
        <w:jc w:val="both"/>
      </w:pPr>
      <w:r w:rsidRPr="004C7EAD">
        <w:tab/>
        <w:t>Nie dopuszcza się oceniania dokładności pracy otaczarki oraz prawidłowości składu mieszanki mineralnej na podstawie tzw. suchego zarobu, z uwagi na możliwą segregację kruszywa.</w:t>
      </w:r>
    </w:p>
    <w:p w:rsidR="00C26502" w:rsidRPr="004C7EAD" w:rsidRDefault="00C26502" w:rsidP="00C26502">
      <w:pPr>
        <w:overflowPunct w:val="0"/>
        <w:autoSpaceDE w:val="0"/>
        <w:autoSpaceDN w:val="0"/>
        <w:adjustRightInd w:val="0"/>
        <w:jc w:val="both"/>
      </w:pPr>
      <w:r w:rsidRPr="004C7EAD">
        <w:tab/>
        <w:t>Mieszankę wyprodukowaną po ustabilizowaniu się pracy otaczarki należy zgromadzić w silosie lub załadować na samochód. Próbki do badań należy pobierać ze skrzyni samochodu zgodnie z metodą określoną w PN-EN 12697-27 [39].</w:t>
      </w:r>
    </w:p>
    <w:p w:rsidR="00C26502" w:rsidRPr="004C7EAD" w:rsidRDefault="00C26502" w:rsidP="00C26502">
      <w:pPr>
        <w:overflowPunct w:val="0"/>
        <w:autoSpaceDE w:val="0"/>
        <w:autoSpaceDN w:val="0"/>
        <w:adjustRightInd w:val="0"/>
        <w:jc w:val="both"/>
      </w:pPr>
      <w:r w:rsidRPr="004C7EAD">
        <w:tab/>
        <w:t>Na podstawie uzyskanych wyników Inżynier podejmuje decyzję o wykonaniu odcinka próbnego.</w:t>
      </w:r>
    </w:p>
    <w:p w:rsidR="00C26502" w:rsidRPr="004C7EAD" w:rsidRDefault="00C26502" w:rsidP="00C26502">
      <w:pPr>
        <w:keepNext/>
        <w:overflowPunct w:val="0"/>
        <w:autoSpaceDE w:val="0"/>
        <w:autoSpaceDN w:val="0"/>
        <w:adjustRightInd w:val="0"/>
        <w:jc w:val="both"/>
        <w:outlineLvl w:val="1"/>
        <w:rPr>
          <w:b/>
        </w:rPr>
      </w:pPr>
      <w:r w:rsidRPr="004C7EAD">
        <w:rPr>
          <w:b/>
        </w:rPr>
        <w:t>5.6. Połączenie międzywarstwowe</w:t>
      </w:r>
    </w:p>
    <w:p w:rsidR="00C26502" w:rsidRPr="004C7EAD" w:rsidRDefault="00C26502" w:rsidP="00C26502">
      <w:pPr>
        <w:overflowPunct w:val="0"/>
        <w:autoSpaceDE w:val="0"/>
        <w:autoSpaceDN w:val="0"/>
        <w:adjustRightInd w:val="0"/>
        <w:jc w:val="both"/>
      </w:pPr>
      <w:r w:rsidRPr="004C7EAD">
        <w:tab/>
        <w:t>Uzyskanie wymaganej trwałości nawierzchni jest uzależnione od zapewnienia połączenia między warstwami i ich współpracy w przenoszeniu obciążenia nawierzchni ruchem.</w:t>
      </w:r>
    </w:p>
    <w:p w:rsidR="00C26502" w:rsidRPr="004C7EAD" w:rsidRDefault="00C26502" w:rsidP="00C26502">
      <w:pPr>
        <w:overflowPunct w:val="0"/>
        <w:autoSpaceDE w:val="0"/>
        <w:autoSpaceDN w:val="0"/>
        <w:adjustRightInd w:val="0"/>
        <w:jc w:val="both"/>
      </w:pPr>
      <w:r w:rsidRPr="004C7EAD">
        <w:tab/>
        <w:t>Podłoże powinno być skropione lepiszczem. Ma to na celu zwiększenie połączenia między warstwami konstrukcyjnymi oraz zabezpieczenie przed wnikaniem i zaleganiem wody między warstwami.</w:t>
      </w:r>
    </w:p>
    <w:p w:rsidR="00C26502" w:rsidRPr="004C7EAD" w:rsidRDefault="00C26502" w:rsidP="00C26502">
      <w:pPr>
        <w:overflowPunct w:val="0"/>
        <w:autoSpaceDE w:val="0"/>
        <w:autoSpaceDN w:val="0"/>
        <w:adjustRightInd w:val="0"/>
        <w:jc w:val="both"/>
      </w:pPr>
      <w:r w:rsidRPr="004C7EAD">
        <w:tab/>
        <w:t>Skropienie lepiszczem podłoża (np. podbudowa z kruszywa niezwiązanego lub związanego), przed ułożeniem warstwy podbudowy z betonu asfaltowego powinno być wykonane w ilości podanej w tablicy 15.</w:t>
      </w:r>
    </w:p>
    <w:p w:rsidR="00C26502" w:rsidRPr="004C7EAD" w:rsidRDefault="00C26502" w:rsidP="00C26502">
      <w:pPr>
        <w:overflowPunct w:val="0"/>
        <w:autoSpaceDE w:val="0"/>
        <w:autoSpaceDN w:val="0"/>
        <w:adjustRightInd w:val="0"/>
        <w:jc w:val="both"/>
      </w:pPr>
      <w:r w:rsidRPr="004C7EAD">
        <w:t>Tablica 15. Zalecane ilości pozostałego lepiszcza do skropienia podłoża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3"/>
        <w:gridCol w:w="3185"/>
        <w:gridCol w:w="1823"/>
      </w:tblGrid>
      <w:tr w:rsidR="00C26502" w:rsidRPr="004C7EAD" w:rsidTr="00C26502">
        <w:trPr>
          <w:jc w:val="center"/>
        </w:trPr>
        <w:tc>
          <w:tcPr>
            <w:tcW w:w="2503" w:type="dxa"/>
            <w:tcBorders>
              <w:top w:val="single" w:sz="4" w:space="0" w:color="auto"/>
              <w:left w:val="single" w:sz="4" w:space="0" w:color="auto"/>
              <w:bottom w:val="single" w:sz="4" w:space="0" w:color="auto"/>
              <w:right w:val="single" w:sz="4" w:space="0" w:color="auto"/>
            </w:tcBorders>
            <w:noWrap/>
          </w:tcPr>
          <w:p w:rsidR="00C26502" w:rsidRPr="004C7EAD" w:rsidRDefault="00C26502" w:rsidP="00C26502">
            <w:pPr>
              <w:overflowPunct w:val="0"/>
              <w:autoSpaceDE w:val="0"/>
              <w:autoSpaceDN w:val="0"/>
              <w:adjustRightInd w:val="0"/>
              <w:jc w:val="center"/>
            </w:pPr>
            <w:r w:rsidRPr="004C7EAD">
              <w:t>Układana warstwa asfaltowa</w:t>
            </w:r>
          </w:p>
        </w:tc>
        <w:tc>
          <w:tcPr>
            <w:tcW w:w="3185" w:type="dxa"/>
            <w:tcBorders>
              <w:top w:val="single" w:sz="4" w:space="0" w:color="auto"/>
              <w:left w:val="single" w:sz="4" w:space="0" w:color="auto"/>
              <w:bottom w:val="single" w:sz="4" w:space="0" w:color="auto"/>
              <w:right w:val="single" w:sz="4" w:space="0" w:color="auto"/>
            </w:tcBorders>
            <w:noWrap/>
          </w:tcPr>
          <w:p w:rsidR="00C26502" w:rsidRPr="004C7EAD" w:rsidRDefault="00C26502" w:rsidP="00C26502">
            <w:pPr>
              <w:overflowPunct w:val="0"/>
              <w:autoSpaceDE w:val="0"/>
              <w:autoSpaceDN w:val="0"/>
              <w:adjustRightInd w:val="0"/>
              <w:jc w:val="center"/>
            </w:pPr>
            <w:r w:rsidRPr="004C7EAD">
              <w:t>Podłoże pod warstwę asfaltową</w:t>
            </w:r>
          </w:p>
        </w:tc>
        <w:tc>
          <w:tcPr>
            <w:tcW w:w="1823" w:type="dxa"/>
            <w:tcBorders>
              <w:top w:val="single" w:sz="4" w:space="0" w:color="auto"/>
              <w:left w:val="single" w:sz="4" w:space="0" w:color="auto"/>
              <w:bottom w:val="single" w:sz="4" w:space="0" w:color="auto"/>
              <w:right w:val="single" w:sz="4" w:space="0" w:color="auto"/>
            </w:tcBorders>
            <w:noWrap/>
          </w:tcPr>
          <w:p w:rsidR="00C26502" w:rsidRPr="004C7EAD" w:rsidRDefault="00C26502" w:rsidP="00C26502">
            <w:pPr>
              <w:overflowPunct w:val="0"/>
              <w:autoSpaceDE w:val="0"/>
              <w:autoSpaceDN w:val="0"/>
              <w:adjustRightInd w:val="0"/>
              <w:jc w:val="center"/>
            </w:pPr>
            <w:r w:rsidRPr="004C7EAD">
              <w:t>Ilość pozostałego</w:t>
            </w:r>
          </w:p>
          <w:p w:rsidR="00C26502" w:rsidRPr="004C7EAD" w:rsidRDefault="00C26502" w:rsidP="00C26502">
            <w:pPr>
              <w:overflowPunct w:val="0"/>
              <w:autoSpaceDE w:val="0"/>
              <w:autoSpaceDN w:val="0"/>
              <w:adjustRightInd w:val="0"/>
              <w:jc w:val="center"/>
            </w:pPr>
            <w:r w:rsidRPr="004C7EAD">
              <w:t>lepiszcza [kg/m</w:t>
            </w:r>
            <w:r w:rsidRPr="004C7EAD">
              <w:rPr>
                <w:vertAlign w:val="superscript"/>
              </w:rPr>
              <w:t xml:space="preserve">2 </w:t>
            </w:r>
            <w:r w:rsidRPr="004C7EAD">
              <w:t>]</w:t>
            </w:r>
          </w:p>
        </w:tc>
      </w:tr>
      <w:tr w:rsidR="00C26502" w:rsidRPr="004C7EAD" w:rsidTr="00C26502">
        <w:trPr>
          <w:cantSplit/>
          <w:jc w:val="center"/>
        </w:trPr>
        <w:tc>
          <w:tcPr>
            <w:tcW w:w="2503" w:type="dxa"/>
            <w:vMerge w:val="restart"/>
            <w:tcBorders>
              <w:top w:val="single" w:sz="4" w:space="0" w:color="auto"/>
              <w:left w:val="single" w:sz="4" w:space="0" w:color="auto"/>
              <w:bottom w:val="single" w:sz="4" w:space="0" w:color="auto"/>
              <w:right w:val="single" w:sz="4" w:space="0" w:color="auto"/>
            </w:tcBorders>
            <w:noWrap/>
          </w:tcPr>
          <w:p w:rsidR="00C26502" w:rsidRPr="004C7EAD" w:rsidRDefault="00C26502" w:rsidP="00C26502">
            <w:pPr>
              <w:overflowPunct w:val="0"/>
              <w:autoSpaceDE w:val="0"/>
              <w:autoSpaceDN w:val="0"/>
              <w:adjustRightInd w:val="0"/>
            </w:pPr>
            <w:r w:rsidRPr="004C7EAD">
              <w:t>Podbudowa z betonu asfaltowego</w:t>
            </w:r>
          </w:p>
        </w:tc>
        <w:tc>
          <w:tcPr>
            <w:tcW w:w="3185" w:type="dxa"/>
            <w:tcBorders>
              <w:top w:val="single" w:sz="4" w:space="0" w:color="auto"/>
              <w:left w:val="single" w:sz="4" w:space="0" w:color="auto"/>
              <w:bottom w:val="single" w:sz="4" w:space="0" w:color="auto"/>
              <w:right w:val="single" w:sz="4" w:space="0" w:color="auto"/>
            </w:tcBorders>
            <w:noWrap/>
          </w:tcPr>
          <w:p w:rsidR="00C26502" w:rsidRPr="004C7EAD" w:rsidRDefault="00C26502" w:rsidP="00C26502">
            <w:pPr>
              <w:overflowPunct w:val="0"/>
              <w:autoSpaceDE w:val="0"/>
              <w:autoSpaceDN w:val="0"/>
              <w:adjustRightInd w:val="0"/>
              <w:jc w:val="both"/>
            </w:pPr>
            <w:r w:rsidRPr="004C7EAD">
              <w:t>Podbudowa tłuczniowa</w:t>
            </w:r>
          </w:p>
        </w:tc>
        <w:tc>
          <w:tcPr>
            <w:tcW w:w="1823" w:type="dxa"/>
            <w:tcBorders>
              <w:top w:val="single" w:sz="4" w:space="0" w:color="auto"/>
              <w:left w:val="single" w:sz="4" w:space="0" w:color="auto"/>
              <w:bottom w:val="single" w:sz="4" w:space="0" w:color="auto"/>
              <w:right w:val="single" w:sz="4" w:space="0" w:color="auto"/>
            </w:tcBorders>
            <w:noWrap/>
          </w:tcPr>
          <w:p w:rsidR="00C26502" w:rsidRPr="004C7EAD" w:rsidRDefault="00C26502" w:rsidP="00C26502">
            <w:pPr>
              <w:overflowPunct w:val="0"/>
              <w:autoSpaceDE w:val="0"/>
              <w:autoSpaceDN w:val="0"/>
              <w:adjustRightInd w:val="0"/>
              <w:jc w:val="center"/>
            </w:pPr>
            <w:r w:rsidRPr="004C7EAD">
              <w:t>0,7 - 1,0</w:t>
            </w:r>
          </w:p>
        </w:tc>
      </w:tr>
      <w:tr w:rsidR="00C26502" w:rsidRPr="004C7EAD" w:rsidTr="00C26502">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C26502" w:rsidRPr="004C7EAD" w:rsidRDefault="00C26502" w:rsidP="00C26502"/>
        </w:tc>
        <w:tc>
          <w:tcPr>
            <w:tcW w:w="3185" w:type="dxa"/>
            <w:tcBorders>
              <w:top w:val="single" w:sz="4" w:space="0" w:color="auto"/>
              <w:left w:val="single" w:sz="4" w:space="0" w:color="auto"/>
              <w:bottom w:val="single" w:sz="4" w:space="0" w:color="auto"/>
              <w:right w:val="single" w:sz="4" w:space="0" w:color="auto"/>
            </w:tcBorders>
            <w:noWrap/>
          </w:tcPr>
          <w:p w:rsidR="00C26502" w:rsidRPr="004C7EAD" w:rsidRDefault="00C26502" w:rsidP="00C26502">
            <w:pPr>
              <w:overflowPunct w:val="0"/>
              <w:autoSpaceDE w:val="0"/>
              <w:autoSpaceDN w:val="0"/>
              <w:adjustRightInd w:val="0"/>
            </w:pPr>
            <w:r w:rsidRPr="004C7EAD">
              <w:t>Podbudowa z kruszywa stabilizowanego mechanicznie</w:t>
            </w:r>
          </w:p>
        </w:tc>
        <w:tc>
          <w:tcPr>
            <w:tcW w:w="1823" w:type="dxa"/>
            <w:tcBorders>
              <w:top w:val="single" w:sz="4" w:space="0" w:color="auto"/>
              <w:left w:val="single" w:sz="4" w:space="0" w:color="auto"/>
              <w:bottom w:val="single" w:sz="4" w:space="0" w:color="auto"/>
              <w:right w:val="single" w:sz="4" w:space="0" w:color="auto"/>
            </w:tcBorders>
            <w:noWrap/>
          </w:tcPr>
          <w:p w:rsidR="00C26502" w:rsidRPr="004C7EAD" w:rsidRDefault="00C26502" w:rsidP="00C26502">
            <w:pPr>
              <w:overflowPunct w:val="0"/>
              <w:autoSpaceDE w:val="0"/>
              <w:autoSpaceDN w:val="0"/>
              <w:adjustRightInd w:val="0"/>
              <w:jc w:val="center"/>
            </w:pPr>
            <w:r w:rsidRPr="004C7EAD">
              <w:t>0,5 - 0,7</w:t>
            </w:r>
          </w:p>
        </w:tc>
      </w:tr>
      <w:tr w:rsidR="00C26502" w:rsidRPr="004C7EAD" w:rsidTr="00C26502">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C26502" w:rsidRPr="004C7EAD" w:rsidRDefault="00C26502" w:rsidP="00C26502"/>
        </w:tc>
        <w:tc>
          <w:tcPr>
            <w:tcW w:w="3185" w:type="dxa"/>
            <w:tcBorders>
              <w:top w:val="single" w:sz="4" w:space="0" w:color="auto"/>
              <w:left w:val="single" w:sz="4" w:space="0" w:color="auto"/>
              <w:bottom w:val="single" w:sz="4" w:space="0" w:color="auto"/>
              <w:right w:val="single" w:sz="4" w:space="0" w:color="auto"/>
            </w:tcBorders>
            <w:noWrap/>
          </w:tcPr>
          <w:p w:rsidR="00C26502" w:rsidRPr="004C7EAD" w:rsidRDefault="00C26502" w:rsidP="00C26502">
            <w:pPr>
              <w:overflowPunct w:val="0"/>
              <w:autoSpaceDE w:val="0"/>
              <w:autoSpaceDN w:val="0"/>
              <w:adjustRightInd w:val="0"/>
            </w:pPr>
            <w:r w:rsidRPr="004C7EAD">
              <w:t>Podbudowa z chudego betonu lub gruntu stabilizowanego spoiwem</w:t>
            </w:r>
          </w:p>
        </w:tc>
        <w:tc>
          <w:tcPr>
            <w:tcW w:w="1823" w:type="dxa"/>
            <w:tcBorders>
              <w:top w:val="single" w:sz="4" w:space="0" w:color="auto"/>
              <w:left w:val="single" w:sz="4" w:space="0" w:color="auto"/>
              <w:bottom w:val="single" w:sz="4" w:space="0" w:color="auto"/>
              <w:right w:val="single" w:sz="4" w:space="0" w:color="auto"/>
            </w:tcBorders>
            <w:noWrap/>
          </w:tcPr>
          <w:p w:rsidR="00C26502" w:rsidRPr="004C7EAD" w:rsidRDefault="00C26502" w:rsidP="00C26502">
            <w:pPr>
              <w:overflowPunct w:val="0"/>
              <w:autoSpaceDE w:val="0"/>
              <w:autoSpaceDN w:val="0"/>
              <w:adjustRightInd w:val="0"/>
              <w:jc w:val="center"/>
            </w:pPr>
            <w:r w:rsidRPr="004C7EAD">
              <w:t>0,3 - 0,5</w:t>
            </w:r>
            <w:r w:rsidRPr="004C7EAD">
              <w:rPr>
                <w:vertAlign w:val="superscript"/>
              </w:rPr>
              <w:t xml:space="preserve">1) </w:t>
            </w:r>
          </w:p>
          <w:p w:rsidR="00C26502" w:rsidRPr="004C7EAD" w:rsidRDefault="00C26502" w:rsidP="00C26502">
            <w:pPr>
              <w:overflowPunct w:val="0"/>
              <w:autoSpaceDE w:val="0"/>
              <w:autoSpaceDN w:val="0"/>
              <w:adjustRightInd w:val="0"/>
              <w:jc w:val="center"/>
            </w:pPr>
            <w:r w:rsidRPr="004C7EAD">
              <w:t>0,7 - 1,0</w:t>
            </w:r>
            <w:r w:rsidRPr="004C7EAD">
              <w:rPr>
                <w:vertAlign w:val="superscript"/>
              </w:rPr>
              <w:t xml:space="preserve">2) </w:t>
            </w:r>
          </w:p>
        </w:tc>
      </w:tr>
      <w:tr w:rsidR="00C26502" w:rsidRPr="004C7EAD" w:rsidTr="00C26502">
        <w:trPr>
          <w:jc w:val="center"/>
        </w:trPr>
        <w:tc>
          <w:tcPr>
            <w:tcW w:w="7511" w:type="dxa"/>
            <w:gridSpan w:val="3"/>
            <w:tcBorders>
              <w:top w:val="single" w:sz="4" w:space="0" w:color="auto"/>
              <w:left w:val="single" w:sz="4" w:space="0" w:color="auto"/>
              <w:bottom w:val="single" w:sz="4" w:space="0" w:color="auto"/>
              <w:right w:val="single" w:sz="4" w:space="0" w:color="auto"/>
            </w:tcBorders>
            <w:noWrap/>
          </w:tcPr>
          <w:p w:rsidR="00C26502" w:rsidRPr="004C7EAD" w:rsidRDefault="00C26502" w:rsidP="00C26502">
            <w:pPr>
              <w:overflowPunct w:val="0"/>
              <w:autoSpaceDE w:val="0"/>
              <w:autoSpaceDN w:val="0"/>
              <w:adjustRightInd w:val="0"/>
            </w:pPr>
            <w:r w:rsidRPr="004C7EAD">
              <w:rPr>
                <w:vertAlign w:val="superscript"/>
              </w:rPr>
              <w:t>1)</w:t>
            </w:r>
            <w:r w:rsidRPr="004C7EAD">
              <w:t xml:space="preserve"> zalecana emulsja o pH&gt;4</w:t>
            </w:r>
          </w:p>
          <w:p w:rsidR="00C26502" w:rsidRPr="004C7EAD" w:rsidRDefault="00C26502" w:rsidP="00C26502">
            <w:pPr>
              <w:overflowPunct w:val="0"/>
              <w:autoSpaceDE w:val="0"/>
              <w:autoSpaceDN w:val="0"/>
              <w:adjustRightInd w:val="0"/>
              <w:ind w:left="142" w:hanging="142"/>
            </w:pPr>
            <w:r w:rsidRPr="004C7EAD">
              <w:rPr>
                <w:vertAlign w:val="superscript"/>
              </w:rPr>
              <w:t>2)</w:t>
            </w:r>
            <w:r w:rsidRPr="004C7EAD">
              <w:t xml:space="preserve"> zalecana emulsja modyfikowana polimerem posypana grysem 2/5 w celu uzyskania membrany poprawiającej połączenie oraz zmniejszającej ryzyko spękań odbitych</w:t>
            </w:r>
          </w:p>
        </w:tc>
      </w:tr>
    </w:tbl>
    <w:p w:rsidR="00C26502" w:rsidRPr="004C7EAD" w:rsidRDefault="00C26502" w:rsidP="00C26502">
      <w:pPr>
        <w:overflowPunct w:val="0"/>
        <w:autoSpaceDE w:val="0"/>
        <w:autoSpaceDN w:val="0"/>
        <w:adjustRightInd w:val="0"/>
        <w:jc w:val="both"/>
      </w:pPr>
    </w:p>
    <w:p w:rsidR="00C26502" w:rsidRPr="004C7EAD" w:rsidRDefault="00C26502" w:rsidP="00C26502">
      <w:pPr>
        <w:overflowPunct w:val="0"/>
        <w:autoSpaceDE w:val="0"/>
        <w:autoSpaceDN w:val="0"/>
        <w:adjustRightInd w:val="0"/>
        <w:ind w:firstLine="709"/>
        <w:jc w:val="both"/>
      </w:pPr>
      <w:r w:rsidRPr="004C7EAD">
        <w:t xml:space="preserve">Skrapianie podłoża należy wykonywać równomiernie stosując rampy do skrapiania, np. skrapiarki do lepiszczy asfaltowych. Dopuszcza się skrapianie ręczne lancą w miejscach trudno dostępnych (np. ścieki uliczne) oraz przy urządzeniach usytuowanych w nawierzchni lub ją ograniczających. W razie potrzeby urządzenia te należy zabezpieczyć przed zabrudzeniem. </w:t>
      </w:r>
    </w:p>
    <w:p w:rsidR="00C26502" w:rsidRPr="004C7EAD" w:rsidRDefault="00C26502" w:rsidP="00C26502">
      <w:pPr>
        <w:keepNext/>
        <w:overflowPunct w:val="0"/>
        <w:autoSpaceDE w:val="0"/>
        <w:autoSpaceDN w:val="0"/>
        <w:adjustRightInd w:val="0"/>
        <w:jc w:val="both"/>
        <w:outlineLvl w:val="1"/>
      </w:pPr>
      <w:r w:rsidRPr="004C7EAD">
        <w:t>5.8. Wbudowanie mieszanki mineralno-asfaltowej</w:t>
      </w:r>
    </w:p>
    <w:p w:rsidR="00C26502" w:rsidRPr="004C7EAD" w:rsidRDefault="00C26502" w:rsidP="00C26502">
      <w:pPr>
        <w:overflowPunct w:val="0"/>
        <w:autoSpaceDE w:val="0"/>
        <w:autoSpaceDN w:val="0"/>
        <w:adjustRightInd w:val="0"/>
        <w:jc w:val="both"/>
      </w:pPr>
      <w:r w:rsidRPr="004C7EAD">
        <w:tab/>
        <w:t>Mieszankę mineralno-asfaltową można wbudowywać na podłożu przygotowanym zgodnie z zapisami w punktach 5.4 i 5.7.</w:t>
      </w:r>
    </w:p>
    <w:p w:rsidR="00C26502" w:rsidRPr="004C7EAD" w:rsidRDefault="00C26502" w:rsidP="00C26502">
      <w:pPr>
        <w:overflowPunct w:val="0"/>
        <w:autoSpaceDE w:val="0"/>
        <w:autoSpaceDN w:val="0"/>
        <w:adjustRightInd w:val="0"/>
        <w:jc w:val="both"/>
      </w:pPr>
      <w:r w:rsidRPr="004C7EAD">
        <w:tab/>
        <w:t>Transport mieszanki mineralno-asfaltowej asfaltowej powinien być zgodny z zaleceniami podanymi w punkcie 4.2.</w:t>
      </w:r>
    </w:p>
    <w:p w:rsidR="00C26502" w:rsidRPr="004C7EAD" w:rsidRDefault="00C26502" w:rsidP="00C26502">
      <w:pPr>
        <w:overflowPunct w:val="0"/>
        <w:autoSpaceDE w:val="0"/>
        <w:autoSpaceDN w:val="0"/>
        <w:adjustRightInd w:val="0"/>
        <w:jc w:val="both"/>
      </w:pPr>
      <w:r w:rsidRPr="004C7EAD">
        <w:tab/>
        <w:t>Mieszankę mineralno-asfaltową asfaltową należy wbudowywać w odpowiednich warunkach atmosferycznych. Temperatura otoczenia w ciągu doby nie powinna być niższa od temperatury podanej w tablicy 16. Temperatura otoczenia może być niższa w wypadku stosowania ogrzewania podłoża. Nie dopuszcza się układania mieszanki mineralno-asfaltowej asfaltowej podczas silnego wiatru (V &gt; 16 m/s).</w:t>
      </w:r>
    </w:p>
    <w:p w:rsidR="00C26502" w:rsidRPr="004C7EAD" w:rsidRDefault="00C26502" w:rsidP="00C26502">
      <w:pPr>
        <w:overflowPunct w:val="0"/>
        <w:autoSpaceDE w:val="0"/>
        <w:autoSpaceDN w:val="0"/>
        <w:adjustRightInd w:val="0"/>
        <w:jc w:val="both"/>
      </w:pPr>
      <w:r w:rsidRPr="004C7EAD">
        <w:tab/>
        <w:t>W wypadku stosowania mieszanek mineralno-asfaltowych z dodatkiem obniżającym temperaturę mieszania i wbudowania należy indywidualnie określić wymagane warunki otoczenia.</w:t>
      </w:r>
    </w:p>
    <w:p w:rsidR="00C26502" w:rsidRPr="004C7EAD" w:rsidRDefault="00C26502" w:rsidP="00C26502">
      <w:pPr>
        <w:overflowPunct w:val="0"/>
        <w:autoSpaceDE w:val="0"/>
        <w:autoSpaceDN w:val="0"/>
        <w:adjustRightInd w:val="0"/>
        <w:jc w:val="both"/>
      </w:pPr>
      <w:r w:rsidRPr="004C7EAD">
        <w:t>Tablica 16. Minimalna temperatura otoczenia podczas wykonywania warstw asfaltowych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27"/>
        <w:gridCol w:w="2693"/>
        <w:gridCol w:w="1591"/>
      </w:tblGrid>
      <w:tr w:rsidR="00C26502" w:rsidRPr="004C7EAD" w:rsidTr="00C26502">
        <w:trPr>
          <w:cantSplit/>
          <w:jc w:val="center"/>
        </w:trPr>
        <w:tc>
          <w:tcPr>
            <w:tcW w:w="3227" w:type="dxa"/>
            <w:vMerge w:val="restart"/>
            <w:tcBorders>
              <w:top w:val="single" w:sz="4" w:space="0" w:color="auto"/>
              <w:left w:val="single" w:sz="4" w:space="0" w:color="auto"/>
              <w:bottom w:val="single" w:sz="4" w:space="0" w:color="auto"/>
              <w:right w:val="single" w:sz="4" w:space="0" w:color="auto"/>
            </w:tcBorders>
            <w:noWrap/>
            <w:vAlign w:val="center"/>
          </w:tcPr>
          <w:p w:rsidR="00C26502" w:rsidRPr="004C7EAD" w:rsidRDefault="00C26502" w:rsidP="00C26502">
            <w:pPr>
              <w:overflowPunct w:val="0"/>
              <w:autoSpaceDE w:val="0"/>
              <w:autoSpaceDN w:val="0"/>
              <w:adjustRightInd w:val="0"/>
              <w:jc w:val="center"/>
            </w:pPr>
            <w:r w:rsidRPr="004C7EAD">
              <w:t>Rodzaj robót</w:t>
            </w:r>
          </w:p>
        </w:tc>
        <w:tc>
          <w:tcPr>
            <w:tcW w:w="4284" w:type="dxa"/>
            <w:gridSpan w:val="2"/>
            <w:tcBorders>
              <w:top w:val="single" w:sz="4" w:space="0" w:color="auto"/>
              <w:left w:val="single" w:sz="4" w:space="0" w:color="auto"/>
              <w:bottom w:val="single" w:sz="4" w:space="0" w:color="auto"/>
              <w:right w:val="single" w:sz="4" w:space="0" w:color="auto"/>
            </w:tcBorders>
            <w:noWrap/>
          </w:tcPr>
          <w:p w:rsidR="00C26502" w:rsidRPr="004C7EAD" w:rsidRDefault="00C26502" w:rsidP="00C26502">
            <w:pPr>
              <w:overflowPunct w:val="0"/>
              <w:autoSpaceDE w:val="0"/>
              <w:autoSpaceDN w:val="0"/>
              <w:adjustRightInd w:val="0"/>
              <w:jc w:val="center"/>
            </w:pPr>
            <w:r w:rsidRPr="004C7EAD">
              <w:t>Minimalna temperatura otoczenia  [°C]</w:t>
            </w:r>
          </w:p>
        </w:tc>
      </w:tr>
      <w:tr w:rsidR="00C26502" w:rsidRPr="004C7EAD" w:rsidTr="00C26502">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C26502" w:rsidRPr="004C7EAD" w:rsidRDefault="00C26502" w:rsidP="00C26502"/>
        </w:tc>
        <w:tc>
          <w:tcPr>
            <w:tcW w:w="2693" w:type="dxa"/>
            <w:tcBorders>
              <w:top w:val="single" w:sz="4" w:space="0" w:color="auto"/>
              <w:left w:val="single" w:sz="4" w:space="0" w:color="auto"/>
              <w:bottom w:val="single" w:sz="4" w:space="0" w:color="auto"/>
              <w:right w:val="single" w:sz="4" w:space="0" w:color="auto"/>
            </w:tcBorders>
            <w:noWrap/>
          </w:tcPr>
          <w:p w:rsidR="00C26502" w:rsidRPr="004C7EAD" w:rsidRDefault="00C26502" w:rsidP="00C26502">
            <w:pPr>
              <w:overflowPunct w:val="0"/>
              <w:autoSpaceDE w:val="0"/>
              <w:autoSpaceDN w:val="0"/>
              <w:adjustRightInd w:val="0"/>
              <w:jc w:val="center"/>
            </w:pPr>
            <w:r w:rsidRPr="004C7EAD">
              <w:t>przed przystąpieniem do robót</w:t>
            </w:r>
          </w:p>
        </w:tc>
        <w:tc>
          <w:tcPr>
            <w:tcW w:w="1591" w:type="dxa"/>
            <w:tcBorders>
              <w:top w:val="single" w:sz="4" w:space="0" w:color="auto"/>
              <w:left w:val="single" w:sz="4" w:space="0" w:color="auto"/>
              <w:bottom w:val="single" w:sz="4" w:space="0" w:color="auto"/>
              <w:right w:val="single" w:sz="4" w:space="0" w:color="auto"/>
            </w:tcBorders>
            <w:noWrap/>
          </w:tcPr>
          <w:p w:rsidR="00C26502" w:rsidRPr="004C7EAD" w:rsidRDefault="00C26502" w:rsidP="00C26502">
            <w:pPr>
              <w:overflowPunct w:val="0"/>
              <w:autoSpaceDE w:val="0"/>
              <w:autoSpaceDN w:val="0"/>
              <w:adjustRightInd w:val="0"/>
              <w:jc w:val="center"/>
            </w:pPr>
            <w:r w:rsidRPr="004C7EAD">
              <w:t>w czasie robót</w:t>
            </w:r>
          </w:p>
        </w:tc>
      </w:tr>
      <w:tr w:rsidR="00C26502" w:rsidRPr="004C7EAD" w:rsidTr="00C26502">
        <w:trPr>
          <w:jc w:val="center"/>
        </w:trPr>
        <w:tc>
          <w:tcPr>
            <w:tcW w:w="3227" w:type="dxa"/>
            <w:tcBorders>
              <w:top w:val="single" w:sz="4" w:space="0" w:color="auto"/>
              <w:left w:val="single" w:sz="4" w:space="0" w:color="auto"/>
              <w:bottom w:val="single" w:sz="4" w:space="0" w:color="auto"/>
              <w:right w:val="single" w:sz="4" w:space="0" w:color="auto"/>
            </w:tcBorders>
            <w:noWrap/>
          </w:tcPr>
          <w:p w:rsidR="00C26502" w:rsidRPr="004C7EAD" w:rsidRDefault="00C26502" w:rsidP="00C26502">
            <w:pPr>
              <w:overflowPunct w:val="0"/>
              <w:autoSpaceDE w:val="0"/>
              <w:autoSpaceDN w:val="0"/>
              <w:adjustRightInd w:val="0"/>
              <w:jc w:val="both"/>
            </w:pPr>
            <w:r w:rsidRPr="004C7EAD">
              <w:t>Warstwa podbudowy</w:t>
            </w:r>
          </w:p>
        </w:tc>
        <w:tc>
          <w:tcPr>
            <w:tcW w:w="2693" w:type="dxa"/>
            <w:tcBorders>
              <w:top w:val="single" w:sz="4" w:space="0" w:color="auto"/>
              <w:left w:val="single" w:sz="4" w:space="0" w:color="auto"/>
              <w:bottom w:val="single" w:sz="4" w:space="0" w:color="auto"/>
              <w:right w:val="single" w:sz="4" w:space="0" w:color="auto"/>
            </w:tcBorders>
            <w:noWrap/>
          </w:tcPr>
          <w:p w:rsidR="00C26502" w:rsidRPr="004C7EAD" w:rsidRDefault="00C26502" w:rsidP="00C26502">
            <w:pPr>
              <w:overflowPunct w:val="0"/>
              <w:autoSpaceDE w:val="0"/>
              <w:autoSpaceDN w:val="0"/>
              <w:adjustRightInd w:val="0"/>
              <w:jc w:val="center"/>
            </w:pPr>
            <w:r w:rsidRPr="004C7EAD">
              <w:t>- 5</w:t>
            </w:r>
          </w:p>
        </w:tc>
        <w:tc>
          <w:tcPr>
            <w:tcW w:w="1591" w:type="dxa"/>
            <w:tcBorders>
              <w:top w:val="single" w:sz="4" w:space="0" w:color="auto"/>
              <w:left w:val="single" w:sz="4" w:space="0" w:color="auto"/>
              <w:bottom w:val="single" w:sz="4" w:space="0" w:color="auto"/>
              <w:right w:val="single" w:sz="4" w:space="0" w:color="auto"/>
            </w:tcBorders>
            <w:noWrap/>
          </w:tcPr>
          <w:p w:rsidR="00C26502" w:rsidRPr="004C7EAD" w:rsidRDefault="00C26502" w:rsidP="00C26502">
            <w:pPr>
              <w:overflowPunct w:val="0"/>
              <w:autoSpaceDE w:val="0"/>
              <w:autoSpaceDN w:val="0"/>
              <w:adjustRightInd w:val="0"/>
              <w:jc w:val="center"/>
            </w:pPr>
            <w:r w:rsidRPr="004C7EAD">
              <w:t>- 3</w:t>
            </w:r>
          </w:p>
        </w:tc>
      </w:tr>
    </w:tbl>
    <w:p w:rsidR="00C26502" w:rsidRPr="004C7EAD" w:rsidRDefault="00C26502" w:rsidP="00C26502">
      <w:pPr>
        <w:overflowPunct w:val="0"/>
        <w:autoSpaceDE w:val="0"/>
        <w:autoSpaceDN w:val="0"/>
        <w:adjustRightInd w:val="0"/>
        <w:ind w:firstLine="708"/>
        <w:jc w:val="both"/>
      </w:pPr>
    </w:p>
    <w:p w:rsidR="00C26502" w:rsidRPr="004C7EAD" w:rsidRDefault="00C26502" w:rsidP="00C26502">
      <w:pPr>
        <w:overflowPunct w:val="0"/>
        <w:autoSpaceDE w:val="0"/>
        <w:autoSpaceDN w:val="0"/>
        <w:adjustRightInd w:val="0"/>
        <w:ind w:firstLine="709"/>
        <w:jc w:val="both"/>
      </w:pPr>
      <w:r w:rsidRPr="004C7EAD">
        <w:t>Właściwości wykonanej warstwy podbudowy powinny spełniać warunki podane w tablicy 17.</w:t>
      </w:r>
    </w:p>
    <w:p w:rsidR="00C26502" w:rsidRPr="004C7EAD" w:rsidRDefault="00C26502" w:rsidP="00C26502">
      <w:pPr>
        <w:overflowPunct w:val="0"/>
        <w:autoSpaceDE w:val="0"/>
        <w:autoSpaceDN w:val="0"/>
        <w:adjustRightInd w:val="0"/>
        <w:jc w:val="both"/>
      </w:pPr>
      <w:r w:rsidRPr="004C7EAD">
        <w:t>Tablica 17. Właściwości warstwy AC [65]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8"/>
        <w:gridCol w:w="1667"/>
        <w:gridCol w:w="1878"/>
        <w:gridCol w:w="1878"/>
      </w:tblGrid>
      <w:tr w:rsidR="00C26502" w:rsidRPr="004C7EAD" w:rsidTr="00C26502">
        <w:trPr>
          <w:jc w:val="center"/>
        </w:trPr>
        <w:tc>
          <w:tcPr>
            <w:tcW w:w="2088" w:type="dxa"/>
            <w:tcBorders>
              <w:top w:val="single" w:sz="4" w:space="0" w:color="auto"/>
              <w:left w:val="single" w:sz="4" w:space="0" w:color="auto"/>
              <w:bottom w:val="single" w:sz="4" w:space="0" w:color="auto"/>
              <w:right w:val="single" w:sz="4" w:space="0" w:color="auto"/>
            </w:tcBorders>
            <w:noWrap/>
          </w:tcPr>
          <w:p w:rsidR="00C26502" w:rsidRPr="004C7EAD" w:rsidRDefault="00C26502" w:rsidP="00C26502">
            <w:pPr>
              <w:overflowPunct w:val="0"/>
              <w:autoSpaceDE w:val="0"/>
              <w:autoSpaceDN w:val="0"/>
              <w:adjustRightInd w:val="0"/>
              <w:jc w:val="center"/>
            </w:pPr>
          </w:p>
          <w:p w:rsidR="00C26502" w:rsidRPr="004C7EAD" w:rsidRDefault="00C26502" w:rsidP="00C26502">
            <w:pPr>
              <w:overflowPunct w:val="0"/>
              <w:autoSpaceDE w:val="0"/>
              <w:autoSpaceDN w:val="0"/>
              <w:adjustRightInd w:val="0"/>
              <w:jc w:val="center"/>
            </w:pPr>
            <w:r w:rsidRPr="004C7EAD">
              <w:t>Typ i wymiar mieszanki</w:t>
            </w:r>
          </w:p>
        </w:tc>
        <w:tc>
          <w:tcPr>
            <w:tcW w:w="1667" w:type="dxa"/>
            <w:tcBorders>
              <w:top w:val="single" w:sz="4" w:space="0" w:color="auto"/>
              <w:left w:val="single" w:sz="4" w:space="0" w:color="auto"/>
              <w:bottom w:val="single" w:sz="4" w:space="0" w:color="auto"/>
              <w:right w:val="single" w:sz="4" w:space="0" w:color="auto"/>
            </w:tcBorders>
            <w:noWrap/>
          </w:tcPr>
          <w:p w:rsidR="00C26502" w:rsidRPr="004C7EAD" w:rsidRDefault="00C26502" w:rsidP="00C26502">
            <w:pPr>
              <w:overflowPunct w:val="0"/>
              <w:autoSpaceDE w:val="0"/>
              <w:autoSpaceDN w:val="0"/>
              <w:adjustRightInd w:val="0"/>
              <w:jc w:val="center"/>
            </w:pPr>
            <w:r w:rsidRPr="004C7EAD">
              <w:t>Projektowana grubość warstwy technologicznej [cm]</w:t>
            </w:r>
          </w:p>
        </w:tc>
        <w:tc>
          <w:tcPr>
            <w:tcW w:w="1878" w:type="dxa"/>
            <w:tcBorders>
              <w:top w:val="single" w:sz="4" w:space="0" w:color="auto"/>
              <w:left w:val="single" w:sz="4" w:space="0" w:color="auto"/>
              <w:bottom w:val="single" w:sz="4" w:space="0" w:color="auto"/>
              <w:right w:val="single" w:sz="4" w:space="0" w:color="auto"/>
            </w:tcBorders>
            <w:noWrap/>
          </w:tcPr>
          <w:p w:rsidR="00C26502" w:rsidRPr="004C7EAD" w:rsidRDefault="00C26502" w:rsidP="00C26502">
            <w:pPr>
              <w:overflowPunct w:val="0"/>
              <w:autoSpaceDE w:val="0"/>
              <w:autoSpaceDN w:val="0"/>
              <w:adjustRightInd w:val="0"/>
              <w:jc w:val="center"/>
            </w:pPr>
            <w:r w:rsidRPr="004C7EAD">
              <w:t xml:space="preserve">Wskaźnik zagęszczenia </w:t>
            </w:r>
          </w:p>
          <w:p w:rsidR="00C26502" w:rsidRPr="004C7EAD" w:rsidRDefault="00C26502" w:rsidP="00C26502">
            <w:pPr>
              <w:overflowPunct w:val="0"/>
              <w:autoSpaceDE w:val="0"/>
              <w:autoSpaceDN w:val="0"/>
              <w:adjustRightInd w:val="0"/>
              <w:jc w:val="center"/>
            </w:pPr>
            <w:r w:rsidRPr="004C7EAD">
              <w:t>[%]</w:t>
            </w:r>
          </w:p>
        </w:tc>
        <w:tc>
          <w:tcPr>
            <w:tcW w:w="1878" w:type="dxa"/>
            <w:tcBorders>
              <w:top w:val="single" w:sz="4" w:space="0" w:color="auto"/>
              <w:left w:val="single" w:sz="4" w:space="0" w:color="auto"/>
              <w:bottom w:val="single" w:sz="4" w:space="0" w:color="auto"/>
              <w:right w:val="single" w:sz="4" w:space="0" w:color="auto"/>
            </w:tcBorders>
            <w:noWrap/>
          </w:tcPr>
          <w:p w:rsidR="00C26502" w:rsidRPr="004C7EAD" w:rsidRDefault="00C26502" w:rsidP="00C26502">
            <w:pPr>
              <w:overflowPunct w:val="0"/>
              <w:autoSpaceDE w:val="0"/>
              <w:autoSpaceDN w:val="0"/>
              <w:adjustRightInd w:val="0"/>
              <w:jc w:val="center"/>
            </w:pPr>
            <w:r w:rsidRPr="004C7EAD">
              <w:t>Zawartość wolnych przestrzeni w warstwie</w:t>
            </w:r>
          </w:p>
          <w:p w:rsidR="00C26502" w:rsidRPr="004C7EAD" w:rsidRDefault="00C26502" w:rsidP="00C26502">
            <w:pPr>
              <w:overflowPunct w:val="0"/>
              <w:autoSpaceDE w:val="0"/>
              <w:autoSpaceDN w:val="0"/>
              <w:adjustRightInd w:val="0"/>
              <w:jc w:val="center"/>
            </w:pPr>
            <w:r w:rsidRPr="004C7EAD">
              <w:t>[%(v/v)]</w:t>
            </w:r>
          </w:p>
        </w:tc>
      </w:tr>
      <w:tr w:rsidR="00C26502" w:rsidRPr="004C7EAD" w:rsidTr="00C26502">
        <w:trPr>
          <w:jc w:val="center"/>
        </w:trPr>
        <w:tc>
          <w:tcPr>
            <w:tcW w:w="2088" w:type="dxa"/>
            <w:tcBorders>
              <w:top w:val="single" w:sz="4" w:space="0" w:color="auto"/>
              <w:left w:val="single" w:sz="4" w:space="0" w:color="auto"/>
              <w:bottom w:val="single" w:sz="4" w:space="0" w:color="auto"/>
              <w:right w:val="single" w:sz="4" w:space="0" w:color="auto"/>
            </w:tcBorders>
            <w:noWrap/>
          </w:tcPr>
          <w:p w:rsidR="00C26502" w:rsidRPr="004C7EAD" w:rsidRDefault="00C26502" w:rsidP="00C26502">
            <w:pPr>
              <w:spacing w:before="60" w:after="60"/>
              <w:rPr>
                <w:vertAlign w:val="superscript"/>
              </w:rPr>
            </w:pPr>
            <w:r w:rsidRPr="004C7EAD">
              <w:t xml:space="preserve">AC22P,  KR1÷KR4 </w:t>
            </w:r>
            <w:r w:rsidRPr="004C7EAD">
              <w:rPr>
                <w:vertAlign w:val="superscript"/>
              </w:rPr>
              <w:t>E)</w:t>
            </w:r>
          </w:p>
        </w:tc>
        <w:tc>
          <w:tcPr>
            <w:tcW w:w="1667" w:type="dxa"/>
            <w:tcBorders>
              <w:top w:val="single" w:sz="4" w:space="0" w:color="auto"/>
              <w:left w:val="single" w:sz="4" w:space="0" w:color="auto"/>
              <w:bottom w:val="single" w:sz="4" w:space="0" w:color="auto"/>
              <w:right w:val="single" w:sz="4" w:space="0" w:color="auto"/>
            </w:tcBorders>
            <w:noWrap/>
          </w:tcPr>
          <w:p w:rsidR="00C26502" w:rsidRPr="004C7EAD" w:rsidRDefault="00C26502" w:rsidP="00C26502">
            <w:pPr>
              <w:spacing w:before="60" w:after="60"/>
              <w:jc w:val="center"/>
            </w:pPr>
            <w:r w:rsidRPr="004C7EAD">
              <w:t>7,0 ÷ 14,0</w:t>
            </w:r>
          </w:p>
        </w:tc>
        <w:tc>
          <w:tcPr>
            <w:tcW w:w="1878" w:type="dxa"/>
            <w:tcBorders>
              <w:top w:val="single" w:sz="4" w:space="0" w:color="auto"/>
              <w:left w:val="single" w:sz="4" w:space="0" w:color="auto"/>
              <w:bottom w:val="single" w:sz="4" w:space="0" w:color="auto"/>
              <w:right w:val="single" w:sz="4" w:space="0" w:color="auto"/>
            </w:tcBorders>
            <w:noWrap/>
          </w:tcPr>
          <w:p w:rsidR="00C26502" w:rsidRPr="004C7EAD" w:rsidRDefault="00C26502" w:rsidP="00C26502">
            <w:pPr>
              <w:spacing w:before="60" w:after="60"/>
              <w:jc w:val="center"/>
            </w:pPr>
            <w:r w:rsidRPr="004C7EAD">
              <w:t>≥ 98</w:t>
            </w:r>
          </w:p>
        </w:tc>
        <w:tc>
          <w:tcPr>
            <w:tcW w:w="1878" w:type="dxa"/>
            <w:tcBorders>
              <w:top w:val="single" w:sz="4" w:space="0" w:color="auto"/>
              <w:left w:val="single" w:sz="4" w:space="0" w:color="auto"/>
              <w:bottom w:val="single" w:sz="4" w:space="0" w:color="auto"/>
              <w:right w:val="single" w:sz="4" w:space="0" w:color="auto"/>
            </w:tcBorders>
            <w:noWrap/>
          </w:tcPr>
          <w:p w:rsidR="00C26502" w:rsidRPr="004C7EAD" w:rsidRDefault="00C26502" w:rsidP="00C26502">
            <w:pPr>
              <w:spacing w:before="60" w:after="60"/>
              <w:jc w:val="center"/>
            </w:pPr>
            <w:r w:rsidRPr="004C7EAD">
              <w:t>4,0 ÷ 10,0</w:t>
            </w:r>
          </w:p>
        </w:tc>
      </w:tr>
    </w:tbl>
    <w:p w:rsidR="00C26502" w:rsidRPr="004C7EAD" w:rsidRDefault="00C26502" w:rsidP="00C26502">
      <w:pPr>
        <w:overflowPunct w:val="0"/>
        <w:autoSpaceDE w:val="0"/>
        <w:autoSpaceDN w:val="0"/>
        <w:adjustRightInd w:val="0"/>
        <w:jc w:val="both"/>
      </w:pPr>
      <w:r w:rsidRPr="004C7EAD">
        <w:rPr>
          <w:vertAlign w:val="superscript"/>
        </w:rPr>
        <w:t>E)</w:t>
      </w:r>
      <w:r w:rsidRPr="004C7EAD">
        <w:t xml:space="preserve"> projektowanie empiryczne,</w:t>
      </w:r>
    </w:p>
    <w:p w:rsidR="00C26502" w:rsidRPr="004C7EAD" w:rsidRDefault="00C26502" w:rsidP="00C26502">
      <w:pPr>
        <w:overflowPunct w:val="0"/>
        <w:autoSpaceDE w:val="0"/>
        <w:autoSpaceDN w:val="0"/>
        <w:adjustRightInd w:val="0"/>
        <w:jc w:val="both"/>
      </w:pPr>
      <w:r w:rsidRPr="004C7EAD">
        <w:rPr>
          <w:vertAlign w:val="superscript"/>
        </w:rPr>
        <w:t>F)</w:t>
      </w:r>
      <w:r w:rsidRPr="004C7EAD">
        <w:t xml:space="preserve"> projektowanie funkcjonalne</w:t>
      </w:r>
    </w:p>
    <w:p w:rsidR="00C26502" w:rsidRPr="004C7EAD" w:rsidRDefault="00C26502" w:rsidP="00C26502">
      <w:pPr>
        <w:overflowPunct w:val="0"/>
        <w:autoSpaceDE w:val="0"/>
        <w:autoSpaceDN w:val="0"/>
        <w:adjustRightInd w:val="0"/>
        <w:jc w:val="both"/>
      </w:pPr>
      <w:r w:rsidRPr="004C7EAD">
        <w:tab/>
        <w:t>Mieszanka mineralno-asfaltowa powinna być wbudowywana rozkładarką wyposażoną w układ automatycznego sterowania grubości warstwy i utrzymywania niwelety zgodnie z dokumentacją projektową. W miejscach niedostępnych dla sprzętu dopuszcza się wbudowywanie ręczne.</w:t>
      </w:r>
    </w:p>
    <w:p w:rsidR="00C26502" w:rsidRPr="004C7EAD" w:rsidRDefault="00C26502" w:rsidP="00C26502">
      <w:pPr>
        <w:overflowPunct w:val="0"/>
        <w:autoSpaceDE w:val="0"/>
        <w:autoSpaceDN w:val="0"/>
        <w:adjustRightInd w:val="0"/>
        <w:jc w:val="both"/>
      </w:pPr>
      <w:r w:rsidRPr="004C7EAD">
        <w:tab/>
        <w:t xml:space="preserve">Grubość wykonywanej warstwy powinna być sprawdzana co </w:t>
      </w:r>
      <w:smartTag w:uri="urn:schemas-microsoft-com:office:smarttags" w:element="metricconverter">
        <w:smartTagPr>
          <w:attr w:name="ProductID" w:val="25 m"/>
        </w:smartTagPr>
        <w:r w:rsidRPr="004C7EAD">
          <w:t>25 m</w:t>
        </w:r>
      </w:smartTag>
      <w:r w:rsidRPr="004C7EAD">
        <w:t>, w co najmniej trzech miejscach (w osi i przy brzegach warstwy).</w:t>
      </w:r>
    </w:p>
    <w:p w:rsidR="00C26502" w:rsidRPr="004C7EAD" w:rsidRDefault="00C26502" w:rsidP="00C26502">
      <w:pPr>
        <w:overflowPunct w:val="0"/>
        <w:autoSpaceDE w:val="0"/>
        <w:autoSpaceDN w:val="0"/>
        <w:adjustRightInd w:val="0"/>
        <w:jc w:val="both"/>
      </w:pPr>
      <w:r w:rsidRPr="004C7EAD">
        <w:tab/>
        <w:t xml:space="preserve">Warstwy wałowane powinny być równomiernie zagęszczone ciężkimi walcami drogowymi. Do warstw z betonu asfaltowego należy stosować walce drogowe stalowe gładkie z możliwością wibracji, oscylacji lub walce ogumione. </w:t>
      </w:r>
    </w:p>
    <w:p w:rsidR="00C26502" w:rsidRPr="004C7EAD" w:rsidRDefault="00C26502" w:rsidP="00C26502">
      <w:pPr>
        <w:keepNext/>
        <w:overflowPunct w:val="0"/>
        <w:autoSpaceDE w:val="0"/>
        <w:autoSpaceDN w:val="0"/>
        <w:adjustRightInd w:val="0"/>
        <w:jc w:val="both"/>
        <w:outlineLvl w:val="1"/>
        <w:rPr>
          <w:b/>
        </w:rPr>
      </w:pPr>
      <w:r w:rsidRPr="004C7EAD">
        <w:rPr>
          <w:b/>
        </w:rPr>
        <w:t>5.9. Połączenia technologiczne</w:t>
      </w:r>
    </w:p>
    <w:p w:rsidR="00C26502" w:rsidRPr="004C7EAD" w:rsidRDefault="00C26502" w:rsidP="00C26502">
      <w:pPr>
        <w:overflowPunct w:val="0"/>
        <w:autoSpaceDE w:val="0"/>
        <w:autoSpaceDN w:val="0"/>
        <w:adjustRightInd w:val="0"/>
        <w:jc w:val="both"/>
      </w:pPr>
      <w:r w:rsidRPr="004C7EAD">
        <w:tab/>
        <w:t xml:space="preserve">Połączenia technologiczne należy wykonać zgodnie z WT-2 Nawierzchnie asfaltowe 2010 </w:t>
      </w:r>
    </w:p>
    <w:p w:rsidR="00C26502" w:rsidRPr="004C7EAD" w:rsidRDefault="00C26502" w:rsidP="00C26502">
      <w:pPr>
        <w:widowControl w:val="0"/>
        <w:spacing w:before="120" w:after="120"/>
        <w:jc w:val="both"/>
        <w:rPr>
          <w:b/>
          <w:noProof/>
          <w:snapToGrid w:val="0"/>
          <w:u w:val="single"/>
        </w:rPr>
      </w:pPr>
      <w:r w:rsidRPr="004C7EAD">
        <w:rPr>
          <w:b/>
          <w:noProof/>
          <w:snapToGrid w:val="0"/>
          <w:u w:val="single"/>
        </w:rPr>
        <w:t>6. KONTROLA JAKOŚCI ROBÓT</w:t>
      </w:r>
    </w:p>
    <w:p w:rsidR="00C26502" w:rsidRPr="004C7EAD" w:rsidRDefault="00C26502" w:rsidP="00C26502">
      <w:pPr>
        <w:keepNext/>
        <w:numPr>
          <w:ilvl w:val="12"/>
          <w:numId w:val="0"/>
        </w:numPr>
        <w:overflowPunct w:val="0"/>
        <w:autoSpaceDE w:val="0"/>
        <w:autoSpaceDN w:val="0"/>
        <w:adjustRightInd w:val="0"/>
        <w:jc w:val="both"/>
        <w:outlineLvl w:val="1"/>
        <w:rPr>
          <w:b/>
        </w:rPr>
      </w:pPr>
      <w:r w:rsidRPr="004C7EAD">
        <w:rPr>
          <w:b/>
        </w:rPr>
        <w:t>6.1. Ogólne zasady kontroli jakości robót</w:t>
      </w:r>
    </w:p>
    <w:p w:rsidR="00C26502" w:rsidRPr="004C7EAD" w:rsidRDefault="00C26502" w:rsidP="00C26502">
      <w:pPr>
        <w:numPr>
          <w:ilvl w:val="12"/>
          <w:numId w:val="0"/>
        </w:numPr>
        <w:overflowPunct w:val="0"/>
        <w:autoSpaceDE w:val="0"/>
        <w:autoSpaceDN w:val="0"/>
        <w:adjustRightInd w:val="0"/>
        <w:jc w:val="both"/>
      </w:pPr>
      <w:r w:rsidRPr="004C7EAD">
        <w:tab/>
        <w:t>Ogólne zasady kontroli jakości robót podano w ST   D-M-00.00.00 „Wymagania ogólne”.</w:t>
      </w:r>
    </w:p>
    <w:p w:rsidR="00C26502" w:rsidRPr="004C7EAD" w:rsidRDefault="00C26502" w:rsidP="00C26502">
      <w:pPr>
        <w:keepNext/>
        <w:numPr>
          <w:ilvl w:val="12"/>
          <w:numId w:val="0"/>
        </w:numPr>
        <w:overflowPunct w:val="0"/>
        <w:autoSpaceDE w:val="0"/>
        <w:autoSpaceDN w:val="0"/>
        <w:adjustRightInd w:val="0"/>
        <w:jc w:val="both"/>
        <w:outlineLvl w:val="1"/>
        <w:rPr>
          <w:b/>
        </w:rPr>
      </w:pPr>
      <w:r w:rsidRPr="004C7EAD">
        <w:rPr>
          <w:b/>
        </w:rPr>
        <w:t>6.2. Badania przed przystąpieniem do robót</w:t>
      </w:r>
    </w:p>
    <w:p w:rsidR="00C26502" w:rsidRPr="004C7EAD" w:rsidRDefault="00C26502" w:rsidP="00C26502">
      <w:pPr>
        <w:numPr>
          <w:ilvl w:val="12"/>
          <w:numId w:val="0"/>
        </w:numPr>
        <w:overflowPunct w:val="0"/>
        <w:autoSpaceDE w:val="0"/>
        <w:autoSpaceDN w:val="0"/>
        <w:adjustRightInd w:val="0"/>
        <w:jc w:val="both"/>
      </w:pPr>
      <w:r w:rsidRPr="004C7EAD">
        <w:tab/>
        <w:t>Przed przystąpieniem do robót Wykonawca powinien:</w:t>
      </w:r>
    </w:p>
    <w:p w:rsidR="00C26502" w:rsidRPr="004C7EAD" w:rsidRDefault="00C26502" w:rsidP="00C26502">
      <w:pPr>
        <w:numPr>
          <w:ilvl w:val="0"/>
          <w:numId w:val="1"/>
        </w:numPr>
        <w:overflowPunct w:val="0"/>
        <w:autoSpaceDE w:val="0"/>
        <w:autoSpaceDN w:val="0"/>
        <w:adjustRightInd w:val="0"/>
        <w:jc w:val="both"/>
      </w:pPr>
      <w:r w:rsidRPr="004C7EAD">
        <w:t>uzyskać wymagane dokumenty, dopuszczające wyroby budowlane do obrotu i powszechnego stosowania (np. stwierdzenie o oznakowaniu materiału znakiem CE lub znakiem budowlanym B, certyfikat zgodności, deklarację zgodności, aprobatę techniczną, ew. badania materiałów wykonane przez dostawców itp.),</w:t>
      </w:r>
    </w:p>
    <w:p w:rsidR="00C26502" w:rsidRPr="004C7EAD" w:rsidRDefault="00C26502" w:rsidP="00C26502">
      <w:pPr>
        <w:numPr>
          <w:ilvl w:val="0"/>
          <w:numId w:val="1"/>
        </w:numPr>
        <w:overflowPunct w:val="0"/>
        <w:autoSpaceDE w:val="0"/>
        <w:autoSpaceDN w:val="0"/>
        <w:adjustRightInd w:val="0"/>
        <w:jc w:val="both"/>
      </w:pPr>
      <w:r w:rsidRPr="004C7EAD">
        <w:t>ew. wykonać własne badania właściwości materiałów przeznaczonych do wykonania robót, określone przez Inżyniera.</w:t>
      </w:r>
    </w:p>
    <w:p w:rsidR="00C26502" w:rsidRPr="004C7EAD" w:rsidRDefault="00C26502" w:rsidP="00C26502">
      <w:pPr>
        <w:overflowPunct w:val="0"/>
        <w:autoSpaceDE w:val="0"/>
        <w:autoSpaceDN w:val="0"/>
        <w:adjustRightInd w:val="0"/>
        <w:jc w:val="both"/>
      </w:pPr>
      <w:r w:rsidRPr="004C7EAD">
        <w:tab/>
        <w:t>Wszystkie dokumenty oraz wyniki badań Wykonawca przedstawia Inżynierowi do akceptacji.</w:t>
      </w:r>
    </w:p>
    <w:p w:rsidR="00C26502" w:rsidRPr="004C7EAD" w:rsidRDefault="00C26502" w:rsidP="00C26502">
      <w:pPr>
        <w:keepNext/>
        <w:numPr>
          <w:ilvl w:val="12"/>
          <w:numId w:val="0"/>
        </w:numPr>
        <w:overflowPunct w:val="0"/>
        <w:autoSpaceDE w:val="0"/>
        <w:autoSpaceDN w:val="0"/>
        <w:adjustRightInd w:val="0"/>
        <w:jc w:val="both"/>
        <w:outlineLvl w:val="1"/>
        <w:rPr>
          <w:b/>
        </w:rPr>
      </w:pPr>
      <w:r w:rsidRPr="004C7EAD">
        <w:rPr>
          <w:b/>
        </w:rPr>
        <w:t>6.3. Badania w czasie robót</w:t>
      </w:r>
    </w:p>
    <w:p w:rsidR="00C26502" w:rsidRPr="004C7EAD" w:rsidRDefault="00C26502" w:rsidP="00C26502">
      <w:pPr>
        <w:overflowPunct w:val="0"/>
        <w:autoSpaceDE w:val="0"/>
        <w:autoSpaceDN w:val="0"/>
        <w:adjustRightInd w:val="0"/>
        <w:jc w:val="both"/>
      </w:pPr>
      <w:r w:rsidRPr="004C7EAD">
        <w:t>6.3.1. Uwagi ogólne</w:t>
      </w:r>
    </w:p>
    <w:p w:rsidR="00C26502" w:rsidRPr="004C7EAD" w:rsidRDefault="00C26502" w:rsidP="00C26502">
      <w:pPr>
        <w:overflowPunct w:val="0"/>
        <w:autoSpaceDE w:val="0"/>
        <w:autoSpaceDN w:val="0"/>
        <w:adjustRightInd w:val="0"/>
        <w:jc w:val="both"/>
      </w:pPr>
      <w:r w:rsidRPr="004C7EAD">
        <w:tab/>
        <w:t>Badania dzielą się na:</w:t>
      </w:r>
    </w:p>
    <w:p w:rsidR="00C26502" w:rsidRPr="004C7EAD" w:rsidRDefault="00C26502" w:rsidP="00C26502">
      <w:pPr>
        <w:tabs>
          <w:tab w:val="num" w:pos="397"/>
        </w:tabs>
        <w:overflowPunct w:val="0"/>
        <w:autoSpaceDE w:val="0"/>
        <w:autoSpaceDN w:val="0"/>
        <w:adjustRightInd w:val="0"/>
        <w:ind w:left="397" w:hanging="397"/>
        <w:jc w:val="both"/>
      </w:pPr>
      <w:r w:rsidRPr="004C7EAD">
        <w:t>badania wykonawcy (w ramach własnego nadzoru),</w:t>
      </w:r>
    </w:p>
    <w:p w:rsidR="00C26502" w:rsidRPr="004C7EAD" w:rsidRDefault="00C26502" w:rsidP="00C26502">
      <w:pPr>
        <w:tabs>
          <w:tab w:val="num" w:pos="397"/>
        </w:tabs>
        <w:overflowPunct w:val="0"/>
        <w:autoSpaceDE w:val="0"/>
        <w:autoSpaceDN w:val="0"/>
        <w:adjustRightInd w:val="0"/>
        <w:ind w:left="397" w:hanging="397"/>
        <w:jc w:val="both"/>
      </w:pPr>
      <w:r w:rsidRPr="004C7EAD">
        <w:t>badania kontrolne (w ramach nadzoru zleceniodawcy – Inżyniera).</w:t>
      </w:r>
    </w:p>
    <w:p w:rsidR="00C26502" w:rsidRPr="004C7EAD" w:rsidRDefault="00C26502" w:rsidP="00C26502">
      <w:pPr>
        <w:overflowPunct w:val="0"/>
        <w:autoSpaceDE w:val="0"/>
        <w:autoSpaceDN w:val="0"/>
        <w:adjustRightInd w:val="0"/>
        <w:jc w:val="both"/>
      </w:pPr>
      <w:r w:rsidRPr="004C7EAD">
        <w:t>6.3.2. Badania Wykonawcy</w:t>
      </w:r>
    </w:p>
    <w:p w:rsidR="00C26502" w:rsidRPr="004C7EAD" w:rsidRDefault="00C26502" w:rsidP="00C26502">
      <w:pPr>
        <w:overflowPunct w:val="0"/>
        <w:autoSpaceDE w:val="0"/>
        <w:autoSpaceDN w:val="0"/>
        <w:adjustRightInd w:val="0"/>
        <w:jc w:val="both"/>
      </w:pPr>
      <w:r w:rsidRPr="004C7EAD">
        <w:tab/>
        <w:t>Badania Wykonawcy są wykonywane przez Wykonawcę lub jego zleceniobiorców celem sprawdzenia, czy jakość materiałów budowlanych (mieszanek mineralno-asfaltowych i ich składników, lepiszczy i materiałów do uszczelnień itp.) oraz gotowej warstwy (wbudowane warstwy asfaltowe, połączenia itp.) spełniają wymagania określone w kontrakcie.</w:t>
      </w:r>
    </w:p>
    <w:p w:rsidR="00C26502" w:rsidRPr="004C7EAD" w:rsidRDefault="00C26502" w:rsidP="00C26502">
      <w:pPr>
        <w:overflowPunct w:val="0"/>
        <w:autoSpaceDE w:val="0"/>
        <w:autoSpaceDN w:val="0"/>
        <w:adjustRightInd w:val="0"/>
        <w:jc w:val="both"/>
      </w:pPr>
      <w:r w:rsidRPr="004C7EAD">
        <w:tab/>
        <w:t>Wykonawca powinien wykonywać te badania podczas realizacji kontraktu, z niezbędną starannością i w wymaganym zakresie. Wyniki należy zapisywać w protokołach. W razie stwierdzenia uchybień w stosunku do wymagań kontraktu, ich przyczyny należy niezwłocznie usunąć.</w:t>
      </w:r>
    </w:p>
    <w:p w:rsidR="00C26502" w:rsidRPr="004C7EAD" w:rsidRDefault="00C26502" w:rsidP="00C26502">
      <w:pPr>
        <w:overflowPunct w:val="0"/>
        <w:autoSpaceDE w:val="0"/>
        <w:autoSpaceDN w:val="0"/>
        <w:adjustRightInd w:val="0"/>
        <w:jc w:val="both"/>
      </w:pPr>
      <w:r w:rsidRPr="004C7EAD">
        <w:tab/>
        <w:t>Wyniki badań Wykonawcy należy przekazywać zleceniodawcy na jego żądanie. Inżynier może zdecydować o dokonaniu odbioru na podstawie badań Wykonawcy. W razie zastrzeżeń Inżynier może przeprowadzić badania kontrolne według pktu 6.3.3.</w:t>
      </w:r>
    </w:p>
    <w:p w:rsidR="00C26502" w:rsidRPr="004C7EAD" w:rsidRDefault="00C26502" w:rsidP="00C26502">
      <w:pPr>
        <w:overflowPunct w:val="0"/>
        <w:autoSpaceDE w:val="0"/>
        <w:autoSpaceDN w:val="0"/>
        <w:adjustRightInd w:val="0"/>
        <w:jc w:val="both"/>
      </w:pPr>
      <w:r w:rsidRPr="004C7EAD">
        <w:tab/>
        <w:t>Zakres badań Wykonawcy związany z wykonywaniem nawierzchni:</w:t>
      </w:r>
    </w:p>
    <w:p w:rsidR="00C26502" w:rsidRPr="004C7EAD" w:rsidRDefault="00C26502" w:rsidP="0097494B">
      <w:pPr>
        <w:numPr>
          <w:ilvl w:val="0"/>
          <w:numId w:val="54"/>
        </w:numPr>
        <w:overflowPunct w:val="0"/>
        <w:autoSpaceDE w:val="0"/>
        <w:autoSpaceDN w:val="0"/>
        <w:adjustRightInd w:val="0"/>
        <w:jc w:val="both"/>
      </w:pPr>
      <w:r w:rsidRPr="004C7EAD">
        <w:t>pomiar temperatury powietrza,</w:t>
      </w:r>
    </w:p>
    <w:p w:rsidR="00C26502" w:rsidRPr="004C7EAD" w:rsidRDefault="00C26502" w:rsidP="0097494B">
      <w:pPr>
        <w:numPr>
          <w:ilvl w:val="0"/>
          <w:numId w:val="54"/>
        </w:numPr>
        <w:overflowPunct w:val="0"/>
        <w:autoSpaceDE w:val="0"/>
        <w:autoSpaceDN w:val="0"/>
        <w:adjustRightInd w:val="0"/>
        <w:jc w:val="both"/>
      </w:pPr>
      <w:r w:rsidRPr="004C7EAD">
        <w:t>pomiar temperatury mieszanki mineralno-asfaltowej podczas wykonywania nawierzchni (wg PN-EN 12697-13 [36]),</w:t>
      </w:r>
    </w:p>
    <w:p w:rsidR="00C26502" w:rsidRPr="004C7EAD" w:rsidRDefault="00C26502" w:rsidP="0097494B">
      <w:pPr>
        <w:numPr>
          <w:ilvl w:val="0"/>
          <w:numId w:val="54"/>
        </w:numPr>
        <w:overflowPunct w:val="0"/>
        <w:autoSpaceDE w:val="0"/>
        <w:autoSpaceDN w:val="0"/>
        <w:adjustRightInd w:val="0"/>
        <w:jc w:val="both"/>
      </w:pPr>
      <w:r w:rsidRPr="004C7EAD">
        <w:t>ocena wizualna mieszanki mineralno-asfaltowej,</w:t>
      </w:r>
    </w:p>
    <w:p w:rsidR="00C26502" w:rsidRPr="004C7EAD" w:rsidRDefault="00C26502" w:rsidP="0097494B">
      <w:pPr>
        <w:numPr>
          <w:ilvl w:val="0"/>
          <w:numId w:val="54"/>
        </w:numPr>
        <w:overflowPunct w:val="0"/>
        <w:autoSpaceDE w:val="0"/>
        <w:autoSpaceDN w:val="0"/>
        <w:adjustRightInd w:val="0"/>
        <w:jc w:val="both"/>
      </w:pPr>
      <w:r w:rsidRPr="004C7EAD">
        <w:t>wykaz ilości materiałów lub grubości wykonanej warstwy,</w:t>
      </w:r>
    </w:p>
    <w:p w:rsidR="00C26502" w:rsidRPr="004C7EAD" w:rsidRDefault="00C26502" w:rsidP="0097494B">
      <w:pPr>
        <w:numPr>
          <w:ilvl w:val="0"/>
          <w:numId w:val="54"/>
        </w:numPr>
        <w:overflowPunct w:val="0"/>
        <w:autoSpaceDE w:val="0"/>
        <w:autoSpaceDN w:val="0"/>
        <w:adjustRightInd w:val="0"/>
        <w:jc w:val="both"/>
      </w:pPr>
      <w:r w:rsidRPr="004C7EAD">
        <w:t>pomiar spadku poprzecznego warstwy asfaltowej,</w:t>
      </w:r>
    </w:p>
    <w:p w:rsidR="00C26502" w:rsidRPr="004C7EAD" w:rsidRDefault="00C26502" w:rsidP="0097494B">
      <w:pPr>
        <w:numPr>
          <w:ilvl w:val="0"/>
          <w:numId w:val="54"/>
        </w:numPr>
        <w:overflowPunct w:val="0"/>
        <w:autoSpaceDE w:val="0"/>
        <w:autoSpaceDN w:val="0"/>
        <w:adjustRightInd w:val="0"/>
        <w:jc w:val="both"/>
      </w:pPr>
      <w:r w:rsidRPr="004C7EAD">
        <w:t>pomiar równości warstwy asfaltowej (wg pktu 6.4.2.5),</w:t>
      </w:r>
    </w:p>
    <w:p w:rsidR="00C26502" w:rsidRPr="004C7EAD" w:rsidRDefault="00C26502" w:rsidP="0097494B">
      <w:pPr>
        <w:numPr>
          <w:ilvl w:val="0"/>
          <w:numId w:val="54"/>
        </w:numPr>
        <w:overflowPunct w:val="0"/>
        <w:autoSpaceDE w:val="0"/>
        <w:autoSpaceDN w:val="0"/>
        <w:adjustRightInd w:val="0"/>
        <w:jc w:val="both"/>
      </w:pPr>
      <w:r w:rsidRPr="004C7EAD">
        <w:t>pomiar parametrów geometrycznych poboczy,</w:t>
      </w:r>
    </w:p>
    <w:p w:rsidR="00C26502" w:rsidRPr="004C7EAD" w:rsidRDefault="00C26502" w:rsidP="0097494B">
      <w:pPr>
        <w:numPr>
          <w:ilvl w:val="0"/>
          <w:numId w:val="54"/>
        </w:numPr>
        <w:overflowPunct w:val="0"/>
        <w:autoSpaceDE w:val="0"/>
        <w:autoSpaceDN w:val="0"/>
        <w:adjustRightInd w:val="0"/>
        <w:jc w:val="both"/>
      </w:pPr>
      <w:r w:rsidRPr="004C7EAD">
        <w:t>ocena wizualna jednorodności powierzchni warstwy,</w:t>
      </w:r>
    </w:p>
    <w:p w:rsidR="00C26502" w:rsidRPr="004C7EAD" w:rsidRDefault="00C26502" w:rsidP="0097494B">
      <w:pPr>
        <w:numPr>
          <w:ilvl w:val="0"/>
          <w:numId w:val="54"/>
        </w:numPr>
        <w:overflowPunct w:val="0"/>
        <w:autoSpaceDE w:val="0"/>
        <w:autoSpaceDN w:val="0"/>
        <w:adjustRightInd w:val="0"/>
        <w:jc w:val="both"/>
      </w:pPr>
      <w:r w:rsidRPr="004C7EAD">
        <w:t>ocena wizualna jakości wykonania połączeń technologicznych.</w:t>
      </w:r>
    </w:p>
    <w:p w:rsidR="00C26502" w:rsidRPr="004C7EAD" w:rsidRDefault="00C26502" w:rsidP="00C26502">
      <w:pPr>
        <w:overflowPunct w:val="0"/>
        <w:autoSpaceDE w:val="0"/>
        <w:autoSpaceDN w:val="0"/>
        <w:adjustRightInd w:val="0"/>
        <w:jc w:val="both"/>
      </w:pPr>
      <w:r w:rsidRPr="004C7EAD">
        <w:t xml:space="preserve">6.3.3. Badania kontrolne </w:t>
      </w:r>
    </w:p>
    <w:p w:rsidR="00C26502" w:rsidRPr="004C7EAD" w:rsidRDefault="00C26502" w:rsidP="00C26502">
      <w:pPr>
        <w:overflowPunct w:val="0"/>
        <w:autoSpaceDE w:val="0"/>
        <w:autoSpaceDN w:val="0"/>
        <w:adjustRightInd w:val="0"/>
        <w:jc w:val="both"/>
      </w:pPr>
      <w:r w:rsidRPr="004C7EAD">
        <w:tab/>
        <w:t>Badania kontrolne są badaniami Inżyniera, których celem jest sprawdzenie, czy jakość materiałów budowlanych (mieszanek mineralno-asfaltowych i ich składników, lepiszczy i materiałów do uszczelnień itp.) oraz gotowej warstwy (wbudowane warstwy asfaltowe, połączenia itp.) spełniają wymagania określone w kontrakcie. Wyniki tych badań są podstawą odbioru. Pobieraniem próbek i wykonaniem badań na miejscu budowy zajmuje się Inżynier w obecności Wykonawcy. Badania odbywają się również wtedy, gdy Wykonawca zostanie w porę powiadomiony o ich terminie, jednak nie będzie przy nich obecny.</w:t>
      </w:r>
    </w:p>
    <w:p w:rsidR="00C26502" w:rsidRPr="004C7EAD" w:rsidRDefault="00C26502" w:rsidP="00C26502">
      <w:pPr>
        <w:overflowPunct w:val="0"/>
        <w:autoSpaceDE w:val="0"/>
        <w:autoSpaceDN w:val="0"/>
        <w:adjustRightInd w:val="0"/>
        <w:jc w:val="both"/>
      </w:pPr>
      <w:r w:rsidRPr="004C7EAD">
        <w:tab/>
        <w:t>Rodzaj badań kontrolnych mieszanki mineralno-asfaltowej i wykonanej z niej warstwy podano w tablicy 18.</w:t>
      </w:r>
    </w:p>
    <w:p w:rsidR="00C26502" w:rsidRPr="004C7EAD" w:rsidRDefault="00C26502" w:rsidP="00C26502">
      <w:pPr>
        <w:overflowPunct w:val="0"/>
        <w:autoSpaceDE w:val="0"/>
        <w:autoSpaceDN w:val="0"/>
        <w:adjustRightInd w:val="0"/>
        <w:jc w:val="both"/>
      </w:pPr>
      <w:r w:rsidRPr="004C7EAD">
        <w:t>Tablica 18. Rodzaj badań kontrolnych [65]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4"/>
        <w:gridCol w:w="6095"/>
      </w:tblGrid>
      <w:tr w:rsidR="00C26502" w:rsidRPr="004C7EAD" w:rsidTr="00C26502">
        <w:trPr>
          <w:jc w:val="center"/>
        </w:trPr>
        <w:tc>
          <w:tcPr>
            <w:tcW w:w="1134" w:type="dxa"/>
            <w:tcBorders>
              <w:top w:val="single" w:sz="4" w:space="0" w:color="auto"/>
              <w:left w:val="single" w:sz="4" w:space="0" w:color="auto"/>
              <w:bottom w:val="single" w:sz="4" w:space="0" w:color="auto"/>
              <w:right w:val="single" w:sz="4" w:space="0" w:color="auto"/>
            </w:tcBorders>
            <w:noWrap/>
          </w:tcPr>
          <w:p w:rsidR="00C26502" w:rsidRPr="004C7EAD" w:rsidRDefault="00C26502" w:rsidP="00C26502">
            <w:pPr>
              <w:overflowPunct w:val="0"/>
              <w:autoSpaceDE w:val="0"/>
              <w:autoSpaceDN w:val="0"/>
              <w:adjustRightInd w:val="0"/>
              <w:jc w:val="center"/>
            </w:pPr>
            <w:r w:rsidRPr="004C7EAD">
              <w:t>Lp.</w:t>
            </w:r>
          </w:p>
        </w:tc>
        <w:tc>
          <w:tcPr>
            <w:tcW w:w="6095" w:type="dxa"/>
            <w:tcBorders>
              <w:top w:val="single" w:sz="4" w:space="0" w:color="auto"/>
              <w:left w:val="single" w:sz="4" w:space="0" w:color="auto"/>
              <w:bottom w:val="single" w:sz="4" w:space="0" w:color="auto"/>
              <w:right w:val="single" w:sz="4" w:space="0" w:color="auto"/>
            </w:tcBorders>
            <w:noWrap/>
          </w:tcPr>
          <w:p w:rsidR="00C26502" w:rsidRPr="004C7EAD" w:rsidRDefault="00C26502" w:rsidP="00C26502">
            <w:pPr>
              <w:overflowPunct w:val="0"/>
              <w:autoSpaceDE w:val="0"/>
              <w:autoSpaceDN w:val="0"/>
              <w:adjustRightInd w:val="0"/>
              <w:jc w:val="center"/>
            </w:pPr>
            <w:r w:rsidRPr="004C7EAD">
              <w:t>Rodzaj badań</w:t>
            </w:r>
          </w:p>
        </w:tc>
      </w:tr>
      <w:tr w:rsidR="00C26502" w:rsidRPr="004C7EAD" w:rsidTr="00C26502">
        <w:trPr>
          <w:trHeight w:val="240"/>
          <w:jc w:val="center"/>
        </w:trPr>
        <w:tc>
          <w:tcPr>
            <w:tcW w:w="1134" w:type="dxa"/>
            <w:tcBorders>
              <w:top w:val="single" w:sz="4" w:space="0" w:color="auto"/>
              <w:left w:val="single" w:sz="4" w:space="0" w:color="auto"/>
              <w:bottom w:val="nil"/>
              <w:right w:val="single" w:sz="4" w:space="0" w:color="auto"/>
            </w:tcBorders>
            <w:noWrap/>
          </w:tcPr>
          <w:p w:rsidR="00C26502" w:rsidRPr="004C7EAD" w:rsidRDefault="00C26502" w:rsidP="00C26502">
            <w:pPr>
              <w:overflowPunct w:val="0"/>
              <w:autoSpaceDE w:val="0"/>
              <w:autoSpaceDN w:val="0"/>
              <w:adjustRightInd w:val="0"/>
              <w:jc w:val="center"/>
            </w:pPr>
            <w:r w:rsidRPr="004C7EAD">
              <w:t>1</w:t>
            </w:r>
          </w:p>
        </w:tc>
        <w:tc>
          <w:tcPr>
            <w:tcW w:w="6095" w:type="dxa"/>
            <w:tcBorders>
              <w:top w:val="single" w:sz="4" w:space="0" w:color="auto"/>
              <w:left w:val="single" w:sz="4" w:space="0" w:color="auto"/>
              <w:bottom w:val="nil"/>
              <w:right w:val="single" w:sz="4" w:space="0" w:color="auto"/>
            </w:tcBorders>
            <w:noWrap/>
          </w:tcPr>
          <w:p w:rsidR="00C26502" w:rsidRPr="004C7EAD" w:rsidRDefault="00C26502" w:rsidP="00C26502">
            <w:pPr>
              <w:overflowPunct w:val="0"/>
              <w:autoSpaceDE w:val="0"/>
              <w:autoSpaceDN w:val="0"/>
              <w:adjustRightInd w:val="0"/>
              <w:jc w:val="both"/>
            </w:pPr>
            <w:r w:rsidRPr="004C7EAD">
              <w:t xml:space="preserve">Mieszanka mineralno-asfaltowa </w:t>
            </w:r>
            <w:r w:rsidRPr="004C7EAD">
              <w:rPr>
                <w:vertAlign w:val="superscript"/>
              </w:rPr>
              <w:t>a), b)</w:t>
            </w:r>
          </w:p>
        </w:tc>
      </w:tr>
      <w:tr w:rsidR="00C26502" w:rsidRPr="004C7EAD" w:rsidTr="00C26502">
        <w:trPr>
          <w:trHeight w:val="195"/>
          <w:jc w:val="center"/>
        </w:trPr>
        <w:tc>
          <w:tcPr>
            <w:tcW w:w="1134" w:type="dxa"/>
            <w:tcBorders>
              <w:top w:val="nil"/>
              <w:left w:val="single" w:sz="4" w:space="0" w:color="auto"/>
              <w:bottom w:val="nil"/>
              <w:right w:val="single" w:sz="4" w:space="0" w:color="auto"/>
            </w:tcBorders>
            <w:noWrap/>
          </w:tcPr>
          <w:p w:rsidR="00C26502" w:rsidRPr="004C7EAD" w:rsidRDefault="00C26502" w:rsidP="00C26502">
            <w:pPr>
              <w:overflowPunct w:val="0"/>
              <w:autoSpaceDE w:val="0"/>
              <w:autoSpaceDN w:val="0"/>
              <w:adjustRightInd w:val="0"/>
              <w:jc w:val="center"/>
            </w:pPr>
            <w:r w:rsidRPr="004C7EAD">
              <w:t>1.1</w:t>
            </w:r>
          </w:p>
        </w:tc>
        <w:tc>
          <w:tcPr>
            <w:tcW w:w="6095" w:type="dxa"/>
            <w:tcBorders>
              <w:top w:val="nil"/>
              <w:left w:val="single" w:sz="4" w:space="0" w:color="auto"/>
              <w:bottom w:val="nil"/>
              <w:right w:val="single" w:sz="4" w:space="0" w:color="auto"/>
            </w:tcBorders>
            <w:noWrap/>
          </w:tcPr>
          <w:p w:rsidR="00C26502" w:rsidRPr="004C7EAD" w:rsidRDefault="00C26502" w:rsidP="00C26502">
            <w:pPr>
              <w:overflowPunct w:val="0"/>
              <w:autoSpaceDE w:val="0"/>
              <w:autoSpaceDN w:val="0"/>
              <w:adjustRightInd w:val="0"/>
              <w:jc w:val="both"/>
            </w:pPr>
            <w:r w:rsidRPr="004C7EAD">
              <w:t>Uziarnienie</w:t>
            </w:r>
          </w:p>
        </w:tc>
      </w:tr>
      <w:tr w:rsidR="00C26502" w:rsidRPr="004C7EAD" w:rsidTr="00C26502">
        <w:trPr>
          <w:trHeight w:val="180"/>
          <w:jc w:val="center"/>
        </w:trPr>
        <w:tc>
          <w:tcPr>
            <w:tcW w:w="1134" w:type="dxa"/>
            <w:tcBorders>
              <w:top w:val="nil"/>
              <w:left w:val="single" w:sz="4" w:space="0" w:color="auto"/>
              <w:bottom w:val="nil"/>
              <w:right w:val="single" w:sz="4" w:space="0" w:color="auto"/>
            </w:tcBorders>
            <w:noWrap/>
          </w:tcPr>
          <w:p w:rsidR="00C26502" w:rsidRPr="004C7EAD" w:rsidRDefault="00C26502" w:rsidP="00C26502">
            <w:pPr>
              <w:overflowPunct w:val="0"/>
              <w:autoSpaceDE w:val="0"/>
              <w:autoSpaceDN w:val="0"/>
              <w:adjustRightInd w:val="0"/>
              <w:jc w:val="center"/>
            </w:pPr>
            <w:r w:rsidRPr="004C7EAD">
              <w:t>1.2</w:t>
            </w:r>
          </w:p>
        </w:tc>
        <w:tc>
          <w:tcPr>
            <w:tcW w:w="6095" w:type="dxa"/>
            <w:tcBorders>
              <w:top w:val="nil"/>
              <w:left w:val="single" w:sz="4" w:space="0" w:color="auto"/>
              <w:bottom w:val="nil"/>
              <w:right w:val="single" w:sz="4" w:space="0" w:color="auto"/>
            </w:tcBorders>
            <w:noWrap/>
          </w:tcPr>
          <w:p w:rsidR="00C26502" w:rsidRPr="004C7EAD" w:rsidRDefault="00C26502" w:rsidP="00C26502">
            <w:pPr>
              <w:overflowPunct w:val="0"/>
              <w:autoSpaceDE w:val="0"/>
              <w:autoSpaceDN w:val="0"/>
              <w:adjustRightInd w:val="0"/>
              <w:jc w:val="both"/>
            </w:pPr>
            <w:r w:rsidRPr="004C7EAD">
              <w:t>Zawartość lepiszcza</w:t>
            </w:r>
          </w:p>
        </w:tc>
      </w:tr>
      <w:tr w:rsidR="00C26502" w:rsidRPr="004C7EAD" w:rsidTr="00C26502">
        <w:trPr>
          <w:trHeight w:val="255"/>
          <w:jc w:val="center"/>
        </w:trPr>
        <w:tc>
          <w:tcPr>
            <w:tcW w:w="1134" w:type="dxa"/>
            <w:tcBorders>
              <w:top w:val="nil"/>
              <w:left w:val="single" w:sz="4" w:space="0" w:color="auto"/>
              <w:bottom w:val="nil"/>
              <w:right w:val="single" w:sz="4" w:space="0" w:color="auto"/>
            </w:tcBorders>
            <w:noWrap/>
          </w:tcPr>
          <w:p w:rsidR="00C26502" w:rsidRPr="004C7EAD" w:rsidRDefault="00C26502" w:rsidP="00C26502">
            <w:pPr>
              <w:overflowPunct w:val="0"/>
              <w:autoSpaceDE w:val="0"/>
              <w:autoSpaceDN w:val="0"/>
              <w:adjustRightInd w:val="0"/>
              <w:jc w:val="center"/>
            </w:pPr>
            <w:r w:rsidRPr="004C7EAD">
              <w:t>1.3</w:t>
            </w:r>
          </w:p>
        </w:tc>
        <w:tc>
          <w:tcPr>
            <w:tcW w:w="6095" w:type="dxa"/>
            <w:tcBorders>
              <w:top w:val="nil"/>
              <w:left w:val="single" w:sz="4" w:space="0" w:color="auto"/>
              <w:bottom w:val="nil"/>
              <w:right w:val="single" w:sz="4" w:space="0" w:color="auto"/>
            </w:tcBorders>
            <w:noWrap/>
          </w:tcPr>
          <w:p w:rsidR="00C26502" w:rsidRPr="004C7EAD" w:rsidRDefault="00C26502" w:rsidP="00C26502">
            <w:pPr>
              <w:overflowPunct w:val="0"/>
              <w:autoSpaceDE w:val="0"/>
              <w:autoSpaceDN w:val="0"/>
              <w:adjustRightInd w:val="0"/>
              <w:jc w:val="both"/>
            </w:pPr>
            <w:r w:rsidRPr="004C7EAD">
              <w:t>Temperatura mięknienia lepiszcza odzyskanego</w:t>
            </w:r>
          </w:p>
        </w:tc>
      </w:tr>
      <w:tr w:rsidR="00C26502" w:rsidRPr="004C7EAD" w:rsidTr="00C26502">
        <w:trPr>
          <w:trHeight w:val="255"/>
          <w:jc w:val="center"/>
        </w:trPr>
        <w:tc>
          <w:tcPr>
            <w:tcW w:w="1134" w:type="dxa"/>
            <w:tcBorders>
              <w:top w:val="nil"/>
              <w:left w:val="single" w:sz="4" w:space="0" w:color="auto"/>
              <w:bottom w:val="nil"/>
              <w:right w:val="single" w:sz="4" w:space="0" w:color="auto"/>
            </w:tcBorders>
            <w:noWrap/>
          </w:tcPr>
          <w:p w:rsidR="00C26502" w:rsidRPr="004C7EAD" w:rsidRDefault="00C26502" w:rsidP="00C26502">
            <w:pPr>
              <w:overflowPunct w:val="0"/>
              <w:autoSpaceDE w:val="0"/>
              <w:autoSpaceDN w:val="0"/>
              <w:adjustRightInd w:val="0"/>
              <w:jc w:val="center"/>
            </w:pPr>
            <w:r w:rsidRPr="004C7EAD">
              <w:t>1.4</w:t>
            </w:r>
          </w:p>
        </w:tc>
        <w:tc>
          <w:tcPr>
            <w:tcW w:w="6095" w:type="dxa"/>
            <w:tcBorders>
              <w:top w:val="nil"/>
              <w:left w:val="single" w:sz="4" w:space="0" w:color="auto"/>
              <w:bottom w:val="nil"/>
              <w:right w:val="single" w:sz="4" w:space="0" w:color="auto"/>
            </w:tcBorders>
            <w:noWrap/>
          </w:tcPr>
          <w:p w:rsidR="00C26502" w:rsidRPr="004C7EAD" w:rsidRDefault="00C26502" w:rsidP="00C26502">
            <w:pPr>
              <w:overflowPunct w:val="0"/>
              <w:autoSpaceDE w:val="0"/>
              <w:autoSpaceDN w:val="0"/>
              <w:adjustRightInd w:val="0"/>
              <w:jc w:val="both"/>
            </w:pPr>
            <w:r w:rsidRPr="004C7EAD">
              <w:t>Gęstość i zawartość wolnych przestrzeni próbki</w:t>
            </w:r>
          </w:p>
        </w:tc>
      </w:tr>
      <w:tr w:rsidR="00C26502" w:rsidRPr="004C7EAD" w:rsidTr="00C26502">
        <w:trPr>
          <w:trHeight w:val="255"/>
          <w:jc w:val="center"/>
        </w:trPr>
        <w:tc>
          <w:tcPr>
            <w:tcW w:w="1134" w:type="dxa"/>
            <w:tcBorders>
              <w:top w:val="nil"/>
              <w:left w:val="single" w:sz="4" w:space="0" w:color="auto"/>
              <w:bottom w:val="nil"/>
              <w:right w:val="single" w:sz="4" w:space="0" w:color="auto"/>
            </w:tcBorders>
            <w:noWrap/>
          </w:tcPr>
          <w:p w:rsidR="00C26502" w:rsidRPr="004C7EAD" w:rsidRDefault="00C26502" w:rsidP="00C26502">
            <w:pPr>
              <w:overflowPunct w:val="0"/>
              <w:autoSpaceDE w:val="0"/>
              <w:autoSpaceDN w:val="0"/>
              <w:adjustRightInd w:val="0"/>
              <w:jc w:val="center"/>
            </w:pPr>
            <w:r w:rsidRPr="004C7EAD">
              <w:t>2</w:t>
            </w:r>
          </w:p>
        </w:tc>
        <w:tc>
          <w:tcPr>
            <w:tcW w:w="6095" w:type="dxa"/>
            <w:tcBorders>
              <w:top w:val="nil"/>
              <w:left w:val="single" w:sz="4" w:space="0" w:color="auto"/>
              <w:bottom w:val="nil"/>
              <w:right w:val="single" w:sz="4" w:space="0" w:color="auto"/>
            </w:tcBorders>
            <w:noWrap/>
          </w:tcPr>
          <w:p w:rsidR="00C26502" w:rsidRPr="004C7EAD" w:rsidRDefault="00C26502" w:rsidP="00C26502">
            <w:pPr>
              <w:overflowPunct w:val="0"/>
              <w:autoSpaceDE w:val="0"/>
              <w:autoSpaceDN w:val="0"/>
              <w:adjustRightInd w:val="0"/>
              <w:jc w:val="both"/>
            </w:pPr>
            <w:r w:rsidRPr="004C7EAD">
              <w:t>Warstwa asfaltowa</w:t>
            </w:r>
          </w:p>
        </w:tc>
      </w:tr>
      <w:tr w:rsidR="00C26502" w:rsidRPr="004C7EAD" w:rsidTr="00C26502">
        <w:trPr>
          <w:trHeight w:val="210"/>
          <w:jc w:val="center"/>
        </w:trPr>
        <w:tc>
          <w:tcPr>
            <w:tcW w:w="1134" w:type="dxa"/>
            <w:tcBorders>
              <w:top w:val="nil"/>
              <w:left w:val="single" w:sz="4" w:space="0" w:color="auto"/>
              <w:bottom w:val="nil"/>
              <w:right w:val="single" w:sz="4" w:space="0" w:color="auto"/>
            </w:tcBorders>
            <w:noWrap/>
          </w:tcPr>
          <w:p w:rsidR="00C26502" w:rsidRPr="004C7EAD" w:rsidRDefault="00C26502" w:rsidP="00C26502">
            <w:pPr>
              <w:overflowPunct w:val="0"/>
              <w:autoSpaceDE w:val="0"/>
              <w:autoSpaceDN w:val="0"/>
              <w:adjustRightInd w:val="0"/>
              <w:jc w:val="center"/>
            </w:pPr>
            <w:r w:rsidRPr="004C7EAD">
              <w:t>2.1</w:t>
            </w:r>
          </w:p>
        </w:tc>
        <w:tc>
          <w:tcPr>
            <w:tcW w:w="6095" w:type="dxa"/>
            <w:tcBorders>
              <w:top w:val="nil"/>
              <w:left w:val="single" w:sz="4" w:space="0" w:color="auto"/>
              <w:bottom w:val="nil"/>
              <w:right w:val="single" w:sz="4" w:space="0" w:color="auto"/>
            </w:tcBorders>
            <w:noWrap/>
          </w:tcPr>
          <w:p w:rsidR="00C26502" w:rsidRPr="004C7EAD" w:rsidRDefault="00C26502" w:rsidP="00C26502">
            <w:pPr>
              <w:overflowPunct w:val="0"/>
              <w:autoSpaceDE w:val="0"/>
              <w:autoSpaceDN w:val="0"/>
              <w:adjustRightInd w:val="0"/>
              <w:jc w:val="both"/>
            </w:pPr>
            <w:r w:rsidRPr="004C7EAD">
              <w:t xml:space="preserve">Wskaźnik zagęszczenia </w:t>
            </w:r>
            <w:r w:rsidRPr="004C7EAD">
              <w:rPr>
                <w:vertAlign w:val="superscript"/>
              </w:rPr>
              <w:t>a)</w:t>
            </w:r>
          </w:p>
        </w:tc>
      </w:tr>
      <w:tr w:rsidR="00C26502" w:rsidRPr="004C7EAD" w:rsidTr="00C26502">
        <w:trPr>
          <w:trHeight w:val="225"/>
          <w:jc w:val="center"/>
        </w:trPr>
        <w:tc>
          <w:tcPr>
            <w:tcW w:w="1134" w:type="dxa"/>
            <w:tcBorders>
              <w:top w:val="nil"/>
              <w:left w:val="single" w:sz="4" w:space="0" w:color="auto"/>
              <w:bottom w:val="nil"/>
              <w:right w:val="single" w:sz="4" w:space="0" w:color="auto"/>
            </w:tcBorders>
            <w:noWrap/>
          </w:tcPr>
          <w:p w:rsidR="00C26502" w:rsidRPr="004C7EAD" w:rsidRDefault="00C26502" w:rsidP="00C26502">
            <w:pPr>
              <w:overflowPunct w:val="0"/>
              <w:autoSpaceDE w:val="0"/>
              <w:autoSpaceDN w:val="0"/>
              <w:adjustRightInd w:val="0"/>
              <w:jc w:val="center"/>
            </w:pPr>
            <w:r w:rsidRPr="004C7EAD">
              <w:t>2.2</w:t>
            </w:r>
          </w:p>
        </w:tc>
        <w:tc>
          <w:tcPr>
            <w:tcW w:w="6095" w:type="dxa"/>
            <w:tcBorders>
              <w:top w:val="nil"/>
              <w:left w:val="single" w:sz="4" w:space="0" w:color="auto"/>
              <w:bottom w:val="nil"/>
              <w:right w:val="single" w:sz="4" w:space="0" w:color="auto"/>
            </w:tcBorders>
            <w:noWrap/>
          </w:tcPr>
          <w:p w:rsidR="00C26502" w:rsidRPr="004C7EAD" w:rsidRDefault="00C26502" w:rsidP="00C26502">
            <w:pPr>
              <w:overflowPunct w:val="0"/>
              <w:autoSpaceDE w:val="0"/>
              <w:autoSpaceDN w:val="0"/>
              <w:adjustRightInd w:val="0"/>
              <w:jc w:val="both"/>
            </w:pPr>
            <w:r w:rsidRPr="004C7EAD">
              <w:t>Spadki poprzeczne</w:t>
            </w:r>
          </w:p>
        </w:tc>
      </w:tr>
      <w:tr w:rsidR="00C26502" w:rsidRPr="004C7EAD" w:rsidTr="00C26502">
        <w:trPr>
          <w:trHeight w:val="195"/>
          <w:jc w:val="center"/>
        </w:trPr>
        <w:tc>
          <w:tcPr>
            <w:tcW w:w="1134" w:type="dxa"/>
            <w:tcBorders>
              <w:top w:val="nil"/>
              <w:left w:val="single" w:sz="4" w:space="0" w:color="auto"/>
              <w:bottom w:val="nil"/>
              <w:right w:val="single" w:sz="4" w:space="0" w:color="auto"/>
            </w:tcBorders>
            <w:noWrap/>
          </w:tcPr>
          <w:p w:rsidR="00C26502" w:rsidRPr="004C7EAD" w:rsidRDefault="00C26502" w:rsidP="00C26502">
            <w:pPr>
              <w:overflowPunct w:val="0"/>
              <w:autoSpaceDE w:val="0"/>
              <w:autoSpaceDN w:val="0"/>
              <w:adjustRightInd w:val="0"/>
              <w:jc w:val="center"/>
            </w:pPr>
            <w:r w:rsidRPr="004C7EAD">
              <w:t>2.3</w:t>
            </w:r>
          </w:p>
        </w:tc>
        <w:tc>
          <w:tcPr>
            <w:tcW w:w="6095" w:type="dxa"/>
            <w:tcBorders>
              <w:top w:val="nil"/>
              <w:left w:val="single" w:sz="4" w:space="0" w:color="auto"/>
              <w:bottom w:val="nil"/>
              <w:right w:val="single" w:sz="4" w:space="0" w:color="auto"/>
            </w:tcBorders>
            <w:noWrap/>
          </w:tcPr>
          <w:p w:rsidR="00C26502" w:rsidRPr="004C7EAD" w:rsidRDefault="00C26502" w:rsidP="00C26502">
            <w:pPr>
              <w:overflowPunct w:val="0"/>
              <w:autoSpaceDE w:val="0"/>
              <w:autoSpaceDN w:val="0"/>
              <w:adjustRightInd w:val="0"/>
              <w:jc w:val="both"/>
            </w:pPr>
            <w:r w:rsidRPr="004C7EAD">
              <w:t>Równość</w:t>
            </w:r>
          </w:p>
        </w:tc>
      </w:tr>
      <w:tr w:rsidR="00C26502" w:rsidRPr="004C7EAD" w:rsidTr="00C26502">
        <w:trPr>
          <w:trHeight w:val="225"/>
          <w:jc w:val="center"/>
        </w:trPr>
        <w:tc>
          <w:tcPr>
            <w:tcW w:w="1134" w:type="dxa"/>
            <w:tcBorders>
              <w:top w:val="nil"/>
              <w:left w:val="single" w:sz="4" w:space="0" w:color="auto"/>
              <w:bottom w:val="nil"/>
              <w:right w:val="single" w:sz="4" w:space="0" w:color="auto"/>
            </w:tcBorders>
            <w:noWrap/>
          </w:tcPr>
          <w:p w:rsidR="00C26502" w:rsidRPr="004C7EAD" w:rsidRDefault="00C26502" w:rsidP="00C26502">
            <w:pPr>
              <w:overflowPunct w:val="0"/>
              <w:autoSpaceDE w:val="0"/>
              <w:autoSpaceDN w:val="0"/>
              <w:adjustRightInd w:val="0"/>
              <w:jc w:val="center"/>
            </w:pPr>
            <w:r w:rsidRPr="004C7EAD">
              <w:t>2.4</w:t>
            </w:r>
          </w:p>
        </w:tc>
        <w:tc>
          <w:tcPr>
            <w:tcW w:w="6095" w:type="dxa"/>
            <w:tcBorders>
              <w:top w:val="nil"/>
              <w:left w:val="single" w:sz="4" w:space="0" w:color="auto"/>
              <w:bottom w:val="nil"/>
              <w:right w:val="single" w:sz="4" w:space="0" w:color="auto"/>
            </w:tcBorders>
            <w:noWrap/>
          </w:tcPr>
          <w:p w:rsidR="00C26502" w:rsidRPr="004C7EAD" w:rsidRDefault="00C26502" w:rsidP="00C26502">
            <w:pPr>
              <w:overflowPunct w:val="0"/>
              <w:autoSpaceDE w:val="0"/>
              <w:autoSpaceDN w:val="0"/>
              <w:adjustRightInd w:val="0"/>
              <w:jc w:val="both"/>
            </w:pPr>
            <w:r w:rsidRPr="004C7EAD">
              <w:t>Grubość lub ilość materiału</w:t>
            </w:r>
          </w:p>
        </w:tc>
      </w:tr>
      <w:tr w:rsidR="00C26502" w:rsidRPr="004C7EAD" w:rsidTr="00C26502">
        <w:trPr>
          <w:trHeight w:val="225"/>
          <w:jc w:val="center"/>
        </w:trPr>
        <w:tc>
          <w:tcPr>
            <w:tcW w:w="1134" w:type="dxa"/>
            <w:tcBorders>
              <w:top w:val="nil"/>
              <w:left w:val="single" w:sz="4" w:space="0" w:color="auto"/>
              <w:bottom w:val="nil"/>
              <w:right w:val="single" w:sz="4" w:space="0" w:color="auto"/>
            </w:tcBorders>
            <w:noWrap/>
          </w:tcPr>
          <w:p w:rsidR="00C26502" w:rsidRPr="004C7EAD" w:rsidRDefault="00C26502" w:rsidP="00C26502">
            <w:pPr>
              <w:overflowPunct w:val="0"/>
              <w:autoSpaceDE w:val="0"/>
              <w:autoSpaceDN w:val="0"/>
              <w:adjustRightInd w:val="0"/>
              <w:jc w:val="center"/>
            </w:pPr>
            <w:r w:rsidRPr="004C7EAD">
              <w:t>2.5</w:t>
            </w:r>
          </w:p>
        </w:tc>
        <w:tc>
          <w:tcPr>
            <w:tcW w:w="6095" w:type="dxa"/>
            <w:tcBorders>
              <w:top w:val="nil"/>
              <w:left w:val="single" w:sz="4" w:space="0" w:color="auto"/>
              <w:bottom w:val="nil"/>
              <w:right w:val="single" w:sz="4" w:space="0" w:color="auto"/>
            </w:tcBorders>
            <w:noWrap/>
          </w:tcPr>
          <w:p w:rsidR="00C26502" w:rsidRPr="004C7EAD" w:rsidRDefault="00C26502" w:rsidP="00C26502">
            <w:pPr>
              <w:overflowPunct w:val="0"/>
              <w:autoSpaceDE w:val="0"/>
              <w:autoSpaceDN w:val="0"/>
              <w:adjustRightInd w:val="0"/>
              <w:jc w:val="both"/>
            </w:pPr>
            <w:r w:rsidRPr="004C7EAD">
              <w:t xml:space="preserve">Zawartość wolnych przestrzeni </w:t>
            </w:r>
            <w:r w:rsidRPr="004C7EAD">
              <w:rPr>
                <w:vertAlign w:val="superscript"/>
              </w:rPr>
              <w:t>a)</w:t>
            </w:r>
          </w:p>
        </w:tc>
      </w:tr>
      <w:tr w:rsidR="00C26502" w:rsidRPr="004C7EAD" w:rsidTr="00C26502">
        <w:trPr>
          <w:trHeight w:val="270"/>
          <w:jc w:val="center"/>
        </w:trPr>
        <w:tc>
          <w:tcPr>
            <w:tcW w:w="1134" w:type="dxa"/>
            <w:tcBorders>
              <w:top w:val="nil"/>
              <w:left w:val="single" w:sz="4" w:space="0" w:color="auto"/>
              <w:bottom w:val="single" w:sz="4" w:space="0" w:color="auto"/>
              <w:right w:val="single" w:sz="4" w:space="0" w:color="auto"/>
            </w:tcBorders>
            <w:noWrap/>
          </w:tcPr>
          <w:p w:rsidR="00C26502" w:rsidRPr="004C7EAD" w:rsidRDefault="00C26502" w:rsidP="00C26502">
            <w:pPr>
              <w:overflowPunct w:val="0"/>
              <w:autoSpaceDE w:val="0"/>
              <w:autoSpaceDN w:val="0"/>
              <w:adjustRightInd w:val="0"/>
              <w:jc w:val="center"/>
            </w:pPr>
            <w:r w:rsidRPr="004C7EAD">
              <w:t>2.6</w:t>
            </w:r>
          </w:p>
        </w:tc>
        <w:tc>
          <w:tcPr>
            <w:tcW w:w="6095" w:type="dxa"/>
            <w:tcBorders>
              <w:top w:val="nil"/>
              <w:left w:val="single" w:sz="4" w:space="0" w:color="auto"/>
              <w:bottom w:val="single" w:sz="4" w:space="0" w:color="auto"/>
              <w:right w:val="single" w:sz="4" w:space="0" w:color="auto"/>
            </w:tcBorders>
            <w:noWrap/>
          </w:tcPr>
          <w:p w:rsidR="00C26502" w:rsidRPr="004C7EAD" w:rsidRDefault="00C26502" w:rsidP="00C26502">
            <w:pPr>
              <w:overflowPunct w:val="0"/>
              <w:autoSpaceDE w:val="0"/>
              <w:autoSpaceDN w:val="0"/>
              <w:adjustRightInd w:val="0"/>
              <w:jc w:val="both"/>
            </w:pPr>
            <w:r w:rsidRPr="004C7EAD">
              <w:t>Właściwości przeciwpoślizgowe</w:t>
            </w:r>
          </w:p>
        </w:tc>
      </w:tr>
      <w:tr w:rsidR="00C26502" w:rsidRPr="004C7EAD" w:rsidTr="00C26502">
        <w:trPr>
          <w:jc w:val="center"/>
        </w:trPr>
        <w:tc>
          <w:tcPr>
            <w:tcW w:w="7229" w:type="dxa"/>
            <w:gridSpan w:val="2"/>
            <w:tcBorders>
              <w:top w:val="single" w:sz="4" w:space="0" w:color="auto"/>
              <w:left w:val="single" w:sz="4" w:space="0" w:color="auto"/>
              <w:bottom w:val="single" w:sz="4" w:space="0" w:color="auto"/>
              <w:right w:val="single" w:sz="4" w:space="0" w:color="auto"/>
            </w:tcBorders>
            <w:noWrap/>
          </w:tcPr>
          <w:p w:rsidR="00C26502" w:rsidRPr="004C7EAD" w:rsidRDefault="00C26502" w:rsidP="00C26502">
            <w:pPr>
              <w:tabs>
                <w:tab w:val="left" w:pos="317"/>
              </w:tabs>
              <w:overflowPunct w:val="0"/>
              <w:autoSpaceDE w:val="0"/>
              <w:autoSpaceDN w:val="0"/>
              <w:adjustRightInd w:val="0"/>
              <w:ind w:left="317" w:hanging="317"/>
              <w:jc w:val="both"/>
            </w:pPr>
            <w:r w:rsidRPr="004C7EAD">
              <w:rPr>
                <w:vertAlign w:val="superscript"/>
              </w:rPr>
              <w:t xml:space="preserve">a)  </w:t>
            </w:r>
            <w:r w:rsidRPr="004C7EAD">
              <w:t xml:space="preserve">do każdej warstwy i na każde rozpoczęte </w:t>
            </w:r>
            <w:smartTag w:uri="urn:schemas-microsoft-com:office:smarttags" w:element="metricconverter">
              <w:smartTagPr>
                <w:attr w:name="ProductID" w:val="6ﾠ000 m2"/>
              </w:smartTagPr>
              <w:r w:rsidRPr="004C7EAD">
                <w:t>6 000 m</w:t>
              </w:r>
              <w:r w:rsidRPr="004C7EAD">
                <w:rPr>
                  <w:vertAlign w:val="superscript"/>
                </w:rPr>
                <w:t>2</w:t>
              </w:r>
            </w:smartTag>
            <w:r w:rsidRPr="004C7EAD">
              <w:t xml:space="preserve"> nawierzchni jedna próbka; w razie potrzeby liczba próbek może zostać zwiększona (np. nawierzchnie dróg w terenie zabudowy)</w:t>
            </w:r>
          </w:p>
          <w:p w:rsidR="00C26502" w:rsidRPr="004C7EAD" w:rsidRDefault="00C26502" w:rsidP="00C26502">
            <w:pPr>
              <w:overflowPunct w:val="0"/>
              <w:autoSpaceDE w:val="0"/>
              <w:autoSpaceDN w:val="0"/>
              <w:adjustRightInd w:val="0"/>
              <w:jc w:val="both"/>
            </w:pPr>
            <w:r w:rsidRPr="004C7EAD">
              <w:rPr>
                <w:vertAlign w:val="superscript"/>
              </w:rPr>
              <w:t>b)</w:t>
            </w:r>
            <w:r w:rsidRPr="004C7EAD">
              <w:t xml:space="preserve">   w razie potrzeby specjalne kruszywa i dodatki</w:t>
            </w:r>
          </w:p>
        </w:tc>
      </w:tr>
    </w:tbl>
    <w:p w:rsidR="00C26502" w:rsidRPr="004C7EAD" w:rsidRDefault="00C26502" w:rsidP="00C26502">
      <w:pPr>
        <w:overflowPunct w:val="0"/>
        <w:autoSpaceDE w:val="0"/>
        <w:autoSpaceDN w:val="0"/>
        <w:adjustRightInd w:val="0"/>
        <w:jc w:val="both"/>
      </w:pPr>
      <w:r w:rsidRPr="004C7EAD">
        <w:t>6.3.4. Badania kontrolne dodatkowe</w:t>
      </w:r>
    </w:p>
    <w:p w:rsidR="00C26502" w:rsidRPr="004C7EAD" w:rsidRDefault="00C26502" w:rsidP="00C26502">
      <w:pPr>
        <w:overflowPunct w:val="0"/>
        <w:autoSpaceDE w:val="0"/>
        <w:autoSpaceDN w:val="0"/>
        <w:adjustRightInd w:val="0"/>
        <w:jc w:val="both"/>
      </w:pPr>
      <w:r w:rsidRPr="004C7EAD">
        <w:tab/>
        <w:t>W wypadku uznania, że jeden z wyników badań kontrolnych nie jest reprezentatywny dla ocenianego odcinka budowy, Wykonawca ma prawo żądać przeprowadzenia badań kontrolnych dodatkowych.</w:t>
      </w:r>
    </w:p>
    <w:p w:rsidR="00C26502" w:rsidRPr="004C7EAD" w:rsidRDefault="00C26502" w:rsidP="00C26502">
      <w:pPr>
        <w:overflowPunct w:val="0"/>
        <w:autoSpaceDE w:val="0"/>
        <w:autoSpaceDN w:val="0"/>
        <w:adjustRightInd w:val="0"/>
        <w:jc w:val="both"/>
      </w:pPr>
      <w:r w:rsidRPr="004C7EAD">
        <w:tab/>
        <w:t>Inżynier i Wykonawca decydują wspólnie o miejscach pobierania próbek i wyznaczeniu odcinków częściowych ocenianego odcinka budowy. Jeżeli odcinek częściowy przyporządkowany do badań kontrolnych nie może być jednoznacznie i zgodnie wyznaczony, to odcinek ten nie powinien być mniejszy niż 20% ocenianego odcinka budowy.</w:t>
      </w:r>
    </w:p>
    <w:p w:rsidR="00C26502" w:rsidRPr="004C7EAD" w:rsidRDefault="00C26502" w:rsidP="00C26502">
      <w:pPr>
        <w:overflowPunct w:val="0"/>
        <w:autoSpaceDE w:val="0"/>
        <w:autoSpaceDN w:val="0"/>
        <w:adjustRightInd w:val="0"/>
        <w:jc w:val="both"/>
      </w:pPr>
      <w:r w:rsidRPr="004C7EAD">
        <w:tab/>
        <w:t>Do odbioru uwzględniane są wyniki badań kontrolnych i badań kontrolnych dodatkowych do wyznaczonych odcinków częściowych.</w:t>
      </w:r>
    </w:p>
    <w:p w:rsidR="00C26502" w:rsidRPr="004C7EAD" w:rsidRDefault="00C26502" w:rsidP="00C26502">
      <w:pPr>
        <w:overflowPunct w:val="0"/>
        <w:autoSpaceDE w:val="0"/>
        <w:autoSpaceDN w:val="0"/>
        <w:adjustRightInd w:val="0"/>
        <w:jc w:val="both"/>
      </w:pPr>
      <w:r w:rsidRPr="004C7EAD">
        <w:tab/>
        <w:t>Koszty badań kontrolnych dodatkowych zażądanych przez Wykonawcę ponosi Wykonawca.</w:t>
      </w:r>
    </w:p>
    <w:p w:rsidR="00C26502" w:rsidRPr="004C7EAD" w:rsidRDefault="00C26502" w:rsidP="00C26502">
      <w:pPr>
        <w:overflowPunct w:val="0"/>
        <w:autoSpaceDE w:val="0"/>
        <w:autoSpaceDN w:val="0"/>
        <w:adjustRightInd w:val="0"/>
        <w:jc w:val="both"/>
      </w:pPr>
      <w:r w:rsidRPr="004C7EAD">
        <w:t>6.3.5. Badania arbitrażowe</w:t>
      </w:r>
    </w:p>
    <w:p w:rsidR="00C26502" w:rsidRPr="004C7EAD" w:rsidRDefault="00C26502" w:rsidP="00C26502">
      <w:pPr>
        <w:overflowPunct w:val="0"/>
        <w:autoSpaceDE w:val="0"/>
        <w:autoSpaceDN w:val="0"/>
        <w:adjustRightInd w:val="0"/>
        <w:jc w:val="both"/>
      </w:pPr>
      <w:r w:rsidRPr="004C7EAD">
        <w:tab/>
        <w:t>Badania arbitrażowe są powtórzeniem badań kontrolnych, co do których istnieją uzasadnione wątpliwości ze strony Inżyniera lub Wykonawcy (np. na podstawie własnych badań).</w:t>
      </w:r>
    </w:p>
    <w:p w:rsidR="00C26502" w:rsidRPr="004C7EAD" w:rsidRDefault="00C26502" w:rsidP="00C26502">
      <w:pPr>
        <w:overflowPunct w:val="0"/>
        <w:autoSpaceDE w:val="0"/>
        <w:autoSpaceDN w:val="0"/>
        <w:adjustRightInd w:val="0"/>
        <w:jc w:val="both"/>
      </w:pPr>
      <w:r w:rsidRPr="004C7EAD">
        <w:tab/>
        <w:t>Badania arbitrażowe wykonuje na wniosek strony kontraktu niezależne laboratorium, które nie wykonywało badań kontrolnych.</w:t>
      </w:r>
    </w:p>
    <w:p w:rsidR="00C26502" w:rsidRPr="004C7EAD" w:rsidRDefault="00C26502" w:rsidP="00C26502">
      <w:pPr>
        <w:overflowPunct w:val="0"/>
        <w:autoSpaceDE w:val="0"/>
        <w:autoSpaceDN w:val="0"/>
        <w:adjustRightInd w:val="0"/>
        <w:jc w:val="both"/>
      </w:pPr>
      <w:r w:rsidRPr="004C7EAD">
        <w:tab/>
        <w:t>Koszty badań arbitrażowych wraz ze wszystkimi kosztami ubocznymi ponosi strona, na której niekorzyść przemawia wynik badania.</w:t>
      </w:r>
    </w:p>
    <w:p w:rsidR="00C26502" w:rsidRPr="004C7EAD" w:rsidRDefault="00C26502" w:rsidP="00C26502">
      <w:pPr>
        <w:overflowPunct w:val="0"/>
        <w:autoSpaceDE w:val="0"/>
        <w:autoSpaceDN w:val="0"/>
        <w:adjustRightInd w:val="0"/>
        <w:jc w:val="both"/>
      </w:pPr>
      <w:r w:rsidRPr="004C7EAD">
        <w:tab/>
        <w:t>Wniosek o przeprowadzenie badań arbitrażowych dotyczących zawartości wolnych przestrzeni lub wskaźnika zagęszczenia należy złożyć w ciągu 2 miesięcy od wpływu reklamacji ze strony Zamawiającego.</w:t>
      </w:r>
    </w:p>
    <w:p w:rsidR="00C26502" w:rsidRPr="004C7EAD" w:rsidRDefault="00C26502" w:rsidP="00C26502">
      <w:pPr>
        <w:keepNext/>
        <w:overflowPunct w:val="0"/>
        <w:autoSpaceDE w:val="0"/>
        <w:autoSpaceDN w:val="0"/>
        <w:adjustRightInd w:val="0"/>
        <w:jc w:val="both"/>
        <w:outlineLvl w:val="1"/>
        <w:rPr>
          <w:b/>
        </w:rPr>
      </w:pPr>
      <w:r w:rsidRPr="004C7EAD">
        <w:rPr>
          <w:b/>
        </w:rPr>
        <w:t>6.4. Właściwości warstwy i nawierzchni oraz dopuszczalne odchyłki</w:t>
      </w:r>
    </w:p>
    <w:p w:rsidR="00C26502" w:rsidRPr="004C7EAD" w:rsidRDefault="00C26502" w:rsidP="00C26502">
      <w:pPr>
        <w:overflowPunct w:val="0"/>
        <w:autoSpaceDE w:val="0"/>
        <w:autoSpaceDN w:val="0"/>
        <w:adjustRightInd w:val="0"/>
        <w:jc w:val="both"/>
      </w:pPr>
      <w:r w:rsidRPr="004C7EAD">
        <w:t>6.4.1. Uwagi ogólne</w:t>
      </w:r>
    </w:p>
    <w:p w:rsidR="00C26502" w:rsidRPr="004C7EAD" w:rsidRDefault="00C26502" w:rsidP="00C26502">
      <w:pPr>
        <w:overflowPunct w:val="0"/>
        <w:autoSpaceDE w:val="0"/>
        <w:autoSpaceDN w:val="0"/>
        <w:adjustRightInd w:val="0"/>
        <w:jc w:val="both"/>
      </w:pPr>
      <w:r w:rsidRPr="004C7EAD">
        <w:tab/>
        <w:t>Na etapie oceny jakości wbudowanej mieszanki mineralno-asfaltowej podaje się wartości dopuszczalne i tolerancje, w których uwzględnia się: rozrzut występujący przy pobieraniu próbek, dokładność metod badań oraz odstępstwa uwarunkowane metodą pracy.</w:t>
      </w:r>
    </w:p>
    <w:p w:rsidR="00C26502" w:rsidRPr="004C7EAD" w:rsidRDefault="00C26502" w:rsidP="00C26502">
      <w:pPr>
        <w:overflowPunct w:val="0"/>
        <w:autoSpaceDE w:val="0"/>
        <w:autoSpaceDN w:val="0"/>
        <w:adjustRightInd w:val="0"/>
        <w:jc w:val="both"/>
      </w:pPr>
      <w:r w:rsidRPr="004C7EAD">
        <w:tab/>
        <w:t>Właściwości materiałów należy oceniać na podstawie badań pobranych próbek mieszanki mineralno-asfaltowej przed wbudowaniem (wbudowanie oznacza wykonanie warstwy asfaltowej). Wyjątkowo dopuszcza się badania próbek pobranych z wykonanej warstwy asfaltowej.</w:t>
      </w:r>
    </w:p>
    <w:p w:rsidR="00C26502" w:rsidRPr="004C7EAD" w:rsidRDefault="00C26502" w:rsidP="00C26502">
      <w:pPr>
        <w:overflowPunct w:val="0"/>
        <w:autoSpaceDE w:val="0"/>
        <w:autoSpaceDN w:val="0"/>
        <w:adjustRightInd w:val="0"/>
        <w:ind w:firstLine="708"/>
        <w:jc w:val="both"/>
      </w:pPr>
      <w:r w:rsidRPr="004C7EAD">
        <w:t>Dopuszczalne wartości odchyłek i tolerancje zawarte są w WT-2 Nawierzchnie asfaltowe 2010.</w:t>
      </w:r>
    </w:p>
    <w:p w:rsidR="00C26502" w:rsidRPr="004C7EAD" w:rsidRDefault="00C26502" w:rsidP="00C26502">
      <w:pPr>
        <w:overflowPunct w:val="0"/>
        <w:autoSpaceDE w:val="0"/>
        <w:autoSpaceDN w:val="0"/>
        <w:adjustRightInd w:val="0"/>
        <w:jc w:val="both"/>
      </w:pPr>
      <w:r w:rsidRPr="004C7EAD">
        <w:t>6.4.2. Warstwa asfaltowa</w:t>
      </w:r>
    </w:p>
    <w:p w:rsidR="00C26502" w:rsidRPr="004C7EAD" w:rsidRDefault="00C26502" w:rsidP="00C26502">
      <w:pPr>
        <w:overflowPunct w:val="0"/>
        <w:autoSpaceDE w:val="0"/>
        <w:autoSpaceDN w:val="0"/>
        <w:adjustRightInd w:val="0"/>
        <w:jc w:val="both"/>
      </w:pPr>
      <w:r w:rsidRPr="004C7EAD">
        <w:t>6.4.2.1. Grubość warstwy oraz ilość materiału</w:t>
      </w:r>
    </w:p>
    <w:p w:rsidR="00C26502" w:rsidRPr="004C7EAD" w:rsidRDefault="00C26502" w:rsidP="00C26502">
      <w:pPr>
        <w:overflowPunct w:val="0"/>
        <w:autoSpaceDE w:val="0"/>
        <w:autoSpaceDN w:val="0"/>
        <w:adjustRightInd w:val="0"/>
        <w:jc w:val="both"/>
      </w:pPr>
      <w:r w:rsidRPr="004C7EAD">
        <w:tab/>
        <w:t>Grubość wykonanej warstwy oznaczana według PN-EN 12697-36 [40] oraz ilość wbudowanego materiału na określoną powierzchnię (dotyczy przede wszystkim cienkich warstw) mogą odbiegać od projektu o wartości podane w tablicy 19.</w:t>
      </w:r>
    </w:p>
    <w:p w:rsidR="00C26502" w:rsidRPr="004C7EAD" w:rsidRDefault="00C26502" w:rsidP="00C26502">
      <w:pPr>
        <w:overflowPunct w:val="0"/>
        <w:autoSpaceDE w:val="0"/>
        <w:autoSpaceDN w:val="0"/>
        <w:adjustRightInd w:val="0"/>
        <w:jc w:val="both"/>
      </w:pPr>
      <w:r w:rsidRPr="004C7EAD">
        <w:tab/>
        <w:t>W wypadku określania ilości materiału na powierzchnię i średniej wartości grubości warstwy z reguły należy przyjąć za podstawę cały odcinek budowy. Inżynier ma prawo sprawdzać odcinki częściowe. Odcinek częściowy powinien zawierać co najmniej jedną dzienną działkę roboczą. Do odcinka częściowego obowiązują te same wymagania jak do odcinka budowy.</w:t>
      </w:r>
    </w:p>
    <w:p w:rsidR="00C26502" w:rsidRPr="004C7EAD" w:rsidRDefault="00C26502" w:rsidP="00C26502">
      <w:pPr>
        <w:overflowPunct w:val="0"/>
        <w:autoSpaceDE w:val="0"/>
        <w:autoSpaceDN w:val="0"/>
        <w:adjustRightInd w:val="0"/>
        <w:jc w:val="both"/>
      </w:pPr>
      <w:r w:rsidRPr="004C7EAD">
        <w:tab/>
        <w:t>Za grubość warstwy lub warstw przyjmuje się średnią arytmetyczną wszystkich pojedynczych oznaczeń grubości warstwy na całym odcinku budowy lub odcinku częściowym.</w:t>
      </w:r>
    </w:p>
    <w:p w:rsidR="00C26502" w:rsidRPr="004C7EAD" w:rsidRDefault="00C26502" w:rsidP="00C26502">
      <w:pPr>
        <w:tabs>
          <w:tab w:val="left" w:pos="993"/>
        </w:tabs>
        <w:overflowPunct w:val="0"/>
        <w:autoSpaceDE w:val="0"/>
        <w:autoSpaceDN w:val="0"/>
        <w:adjustRightInd w:val="0"/>
        <w:ind w:left="992" w:hanging="992"/>
        <w:jc w:val="both"/>
      </w:pPr>
      <w:r w:rsidRPr="004C7EAD">
        <w:t>Tablica 19.</w:t>
      </w:r>
      <w:r w:rsidRPr="004C7EAD">
        <w:tab/>
        <w:t>Dopuszczalne odchyłki grubości warstwy oraz ilości materiału na określonej powierzchni, [%] [65]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6"/>
        <w:gridCol w:w="2725"/>
      </w:tblGrid>
      <w:tr w:rsidR="00C26502" w:rsidRPr="004C7EAD" w:rsidTr="00C26502">
        <w:tc>
          <w:tcPr>
            <w:tcW w:w="4786" w:type="dxa"/>
            <w:tcBorders>
              <w:top w:val="single" w:sz="4" w:space="0" w:color="auto"/>
              <w:left w:val="single" w:sz="4" w:space="0" w:color="auto"/>
              <w:bottom w:val="single" w:sz="4" w:space="0" w:color="auto"/>
              <w:right w:val="single" w:sz="4" w:space="0" w:color="auto"/>
            </w:tcBorders>
            <w:noWrap/>
          </w:tcPr>
          <w:p w:rsidR="00C26502" w:rsidRPr="004C7EAD" w:rsidRDefault="00C26502" w:rsidP="00C26502">
            <w:pPr>
              <w:overflowPunct w:val="0"/>
              <w:autoSpaceDE w:val="0"/>
              <w:autoSpaceDN w:val="0"/>
              <w:adjustRightInd w:val="0"/>
              <w:jc w:val="center"/>
            </w:pPr>
            <w:r w:rsidRPr="004C7EAD">
              <w:t>Warunki oceny</w:t>
            </w:r>
          </w:p>
        </w:tc>
        <w:tc>
          <w:tcPr>
            <w:tcW w:w="2725" w:type="dxa"/>
            <w:tcBorders>
              <w:top w:val="single" w:sz="4" w:space="0" w:color="auto"/>
              <w:left w:val="single" w:sz="4" w:space="0" w:color="auto"/>
              <w:bottom w:val="single" w:sz="4" w:space="0" w:color="auto"/>
              <w:right w:val="single" w:sz="4" w:space="0" w:color="auto"/>
            </w:tcBorders>
            <w:noWrap/>
          </w:tcPr>
          <w:p w:rsidR="00C26502" w:rsidRPr="004C7EAD" w:rsidRDefault="00C26502" w:rsidP="00C26502">
            <w:pPr>
              <w:overflowPunct w:val="0"/>
              <w:autoSpaceDE w:val="0"/>
              <w:autoSpaceDN w:val="0"/>
              <w:adjustRightInd w:val="0"/>
              <w:jc w:val="center"/>
            </w:pPr>
            <w:r w:rsidRPr="004C7EAD">
              <w:t>Warstwa asfaltowa ACP</w:t>
            </w:r>
          </w:p>
        </w:tc>
      </w:tr>
      <w:tr w:rsidR="00C26502" w:rsidRPr="004C7EAD" w:rsidTr="00C26502">
        <w:trPr>
          <w:trHeight w:val="1080"/>
        </w:trPr>
        <w:tc>
          <w:tcPr>
            <w:tcW w:w="4786" w:type="dxa"/>
            <w:tcBorders>
              <w:top w:val="single" w:sz="4" w:space="0" w:color="auto"/>
              <w:left w:val="single" w:sz="4" w:space="0" w:color="auto"/>
              <w:bottom w:val="nil"/>
              <w:right w:val="single" w:sz="4" w:space="0" w:color="auto"/>
            </w:tcBorders>
            <w:noWrap/>
          </w:tcPr>
          <w:p w:rsidR="00C26502" w:rsidRPr="004C7EAD" w:rsidRDefault="00C26502" w:rsidP="00C26502">
            <w:pPr>
              <w:overflowPunct w:val="0"/>
              <w:autoSpaceDE w:val="0"/>
              <w:autoSpaceDN w:val="0"/>
              <w:adjustRightInd w:val="0"/>
              <w:jc w:val="both"/>
            </w:pPr>
            <w:r w:rsidRPr="004C7EAD">
              <w:t>Średnia z wielu oznaczeń grubości oraz ilości</w:t>
            </w:r>
          </w:p>
          <w:p w:rsidR="00C26502" w:rsidRPr="004C7EAD" w:rsidRDefault="00C26502" w:rsidP="00C26502">
            <w:pPr>
              <w:overflowPunct w:val="0"/>
              <w:autoSpaceDE w:val="0"/>
              <w:autoSpaceDN w:val="0"/>
              <w:adjustRightInd w:val="0"/>
              <w:ind w:left="426" w:hanging="426"/>
              <w:jc w:val="both"/>
            </w:pPr>
            <w:r w:rsidRPr="004C7EAD">
              <w:t xml:space="preserve">1. – duży odcinek budowy, powierzchnia większa niż </w:t>
            </w:r>
            <w:smartTag w:uri="urn:schemas-microsoft-com:office:smarttags" w:element="metricconverter">
              <w:smartTagPr>
                <w:attr w:name="ProductID" w:val="6000 m2"/>
              </w:smartTagPr>
              <w:r w:rsidRPr="004C7EAD">
                <w:t>6000 m</w:t>
              </w:r>
              <w:r w:rsidRPr="004C7EAD">
                <w:rPr>
                  <w:vertAlign w:val="superscript"/>
                </w:rPr>
                <w:t>2</w:t>
              </w:r>
            </w:smartTag>
            <w:r w:rsidRPr="004C7EAD">
              <w:t xml:space="preserve"> lub</w:t>
            </w:r>
          </w:p>
          <w:p w:rsidR="00C26502" w:rsidRPr="004C7EAD" w:rsidRDefault="00C26502" w:rsidP="00C26502">
            <w:pPr>
              <w:overflowPunct w:val="0"/>
              <w:autoSpaceDE w:val="0"/>
              <w:autoSpaceDN w:val="0"/>
              <w:adjustRightInd w:val="0"/>
              <w:ind w:left="426" w:hanging="426"/>
              <w:jc w:val="both"/>
            </w:pPr>
            <w:r w:rsidRPr="004C7EAD">
              <w:t xml:space="preserve">     – droga ograniczona krawężnikami, powierzchnia większa niż </w:t>
            </w:r>
            <w:smartTag w:uri="urn:schemas-microsoft-com:office:smarttags" w:element="metricconverter">
              <w:smartTagPr>
                <w:attr w:name="ProductID" w:val="1000 m2"/>
              </w:smartTagPr>
              <w:r w:rsidRPr="004C7EAD">
                <w:t>1000 m</w:t>
              </w:r>
              <w:r w:rsidRPr="004C7EAD">
                <w:rPr>
                  <w:vertAlign w:val="superscript"/>
                </w:rPr>
                <w:t>2</w:t>
              </w:r>
            </w:smartTag>
            <w:r w:rsidRPr="004C7EAD">
              <w:t xml:space="preserve"> lub</w:t>
            </w:r>
          </w:p>
        </w:tc>
        <w:tc>
          <w:tcPr>
            <w:tcW w:w="2725" w:type="dxa"/>
            <w:tcBorders>
              <w:top w:val="single" w:sz="4" w:space="0" w:color="auto"/>
              <w:left w:val="single" w:sz="4" w:space="0" w:color="auto"/>
              <w:bottom w:val="nil"/>
              <w:right w:val="single" w:sz="4" w:space="0" w:color="auto"/>
            </w:tcBorders>
            <w:noWrap/>
          </w:tcPr>
          <w:p w:rsidR="00C26502" w:rsidRPr="004C7EAD" w:rsidRDefault="00C26502" w:rsidP="00C26502">
            <w:pPr>
              <w:overflowPunct w:val="0"/>
              <w:autoSpaceDE w:val="0"/>
              <w:autoSpaceDN w:val="0"/>
              <w:adjustRightInd w:val="0"/>
              <w:jc w:val="center"/>
            </w:pPr>
          </w:p>
          <w:p w:rsidR="00C26502" w:rsidRPr="004C7EAD" w:rsidRDefault="00C26502" w:rsidP="00C26502">
            <w:pPr>
              <w:overflowPunct w:val="0"/>
              <w:autoSpaceDE w:val="0"/>
              <w:autoSpaceDN w:val="0"/>
              <w:adjustRightInd w:val="0"/>
              <w:jc w:val="center"/>
            </w:pPr>
          </w:p>
          <w:p w:rsidR="00C26502" w:rsidRPr="004C7EAD" w:rsidRDefault="00C26502" w:rsidP="00C26502">
            <w:pPr>
              <w:overflowPunct w:val="0"/>
              <w:autoSpaceDE w:val="0"/>
              <w:autoSpaceDN w:val="0"/>
              <w:adjustRightInd w:val="0"/>
              <w:jc w:val="center"/>
            </w:pPr>
          </w:p>
          <w:p w:rsidR="00C26502" w:rsidRPr="004C7EAD" w:rsidRDefault="00C26502" w:rsidP="00C26502">
            <w:pPr>
              <w:overflowPunct w:val="0"/>
              <w:autoSpaceDE w:val="0"/>
              <w:autoSpaceDN w:val="0"/>
              <w:adjustRightInd w:val="0"/>
              <w:jc w:val="center"/>
            </w:pPr>
            <w:r w:rsidRPr="004C7EAD">
              <w:t>≤ 10</w:t>
            </w:r>
          </w:p>
          <w:p w:rsidR="00C26502" w:rsidRPr="004C7EAD" w:rsidRDefault="00C26502" w:rsidP="00C26502">
            <w:pPr>
              <w:overflowPunct w:val="0"/>
              <w:autoSpaceDE w:val="0"/>
              <w:autoSpaceDN w:val="0"/>
              <w:adjustRightInd w:val="0"/>
              <w:jc w:val="center"/>
            </w:pPr>
          </w:p>
        </w:tc>
      </w:tr>
      <w:tr w:rsidR="00C26502" w:rsidRPr="004C7EAD" w:rsidTr="00C26502">
        <w:trPr>
          <w:trHeight w:val="495"/>
        </w:trPr>
        <w:tc>
          <w:tcPr>
            <w:tcW w:w="4786" w:type="dxa"/>
            <w:tcBorders>
              <w:top w:val="nil"/>
              <w:left w:val="single" w:sz="4" w:space="0" w:color="auto"/>
              <w:bottom w:val="single" w:sz="4" w:space="0" w:color="auto"/>
              <w:right w:val="single" w:sz="4" w:space="0" w:color="auto"/>
            </w:tcBorders>
            <w:noWrap/>
          </w:tcPr>
          <w:p w:rsidR="00C26502" w:rsidRPr="004C7EAD" w:rsidRDefault="00C26502" w:rsidP="00C26502">
            <w:pPr>
              <w:overflowPunct w:val="0"/>
              <w:autoSpaceDE w:val="0"/>
              <w:autoSpaceDN w:val="0"/>
              <w:adjustRightInd w:val="0"/>
              <w:jc w:val="both"/>
            </w:pPr>
            <w:r w:rsidRPr="004C7EAD">
              <w:t>2.  –  mały odcinek budowy</w:t>
            </w:r>
          </w:p>
        </w:tc>
        <w:tc>
          <w:tcPr>
            <w:tcW w:w="2725" w:type="dxa"/>
            <w:tcBorders>
              <w:top w:val="nil"/>
              <w:left w:val="single" w:sz="4" w:space="0" w:color="auto"/>
              <w:bottom w:val="single" w:sz="4" w:space="0" w:color="auto"/>
              <w:right w:val="single" w:sz="4" w:space="0" w:color="auto"/>
            </w:tcBorders>
            <w:noWrap/>
          </w:tcPr>
          <w:p w:rsidR="00C26502" w:rsidRPr="004C7EAD" w:rsidRDefault="00C26502" w:rsidP="00C26502">
            <w:pPr>
              <w:overflowPunct w:val="0"/>
              <w:autoSpaceDE w:val="0"/>
              <w:autoSpaceDN w:val="0"/>
              <w:adjustRightInd w:val="0"/>
              <w:jc w:val="center"/>
            </w:pPr>
            <w:r w:rsidRPr="004C7EAD">
              <w:t>≤ 10</w:t>
            </w:r>
          </w:p>
        </w:tc>
      </w:tr>
    </w:tbl>
    <w:p w:rsidR="00C26502" w:rsidRPr="004C7EAD" w:rsidRDefault="00C26502" w:rsidP="00C26502">
      <w:pPr>
        <w:overflowPunct w:val="0"/>
        <w:autoSpaceDE w:val="0"/>
        <w:autoSpaceDN w:val="0"/>
        <w:adjustRightInd w:val="0"/>
        <w:ind w:firstLine="709"/>
        <w:jc w:val="both"/>
      </w:pPr>
      <w:r w:rsidRPr="004C7EAD">
        <w:t xml:space="preserve">Niezależnie od średniej grubości, dla warstwy podbudowy grubość określona w pojedynczym oznaczeniu nie może być mniejsza od projektowanej grubości o więcej niż </w:t>
      </w:r>
      <w:smartTag w:uri="urn:schemas-microsoft-com:office:smarttags" w:element="metricconverter">
        <w:smartTagPr>
          <w:attr w:name="ProductID" w:val="2,5 cm"/>
        </w:smartTagPr>
        <w:r w:rsidRPr="004C7EAD">
          <w:t>2,5 cm</w:t>
        </w:r>
      </w:smartTag>
      <w:r w:rsidRPr="004C7EAD">
        <w:t>.</w:t>
      </w:r>
    </w:p>
    <w:p w:rsidR="00C26502" w:rsidRPr="004C7EAD" w:rsidRDefault="00C26502" w:rsidP="00C26502">
      <w:pPr>
        <w:overflowPunct w:val="0"/>
        <w:autoSpaceDE w:val="0"/>
        <w:autoSpaceDN w:val="0"/>
        <w:adjustRightInd w:val="0"/>
        <w:jc w:val="both"/>
      </w:pPr>
      <w:r w:rsidRPr="004C7EAD">
        <w:t>6.4.2.2. Wskaźnik zagęszczenia warstwy</w:t>
      </w:r>
    </w:p>
    <w:p w:rsidR="00C26502" w:rsidRPr="004C7EAD" w:rsidRDefault="00C26502" w:rsidP="00C26502">
      <w:pPr>
        <w:overflowPunct w:val="0"/>
        <w:autoSpaceDE w:val="0"/>
        <w:autoSpaceDN w:val="0"/>
        <w:adjustRightInd w:val="0"/>
        <w:jc w:val="both"/>
      </w:pPr>
      <w:r w:rsidRPr="004C7EAD">
        <w:tab/>
        <w:t>Zagęszczenie wykonanej warstwy, wyrażone wskaźnikiem zagęszczenia oraz zawartością wolnych przestrzeni, nie może przekroczyć wartości dopuszczalnych podanych w tablicy 17. Dotyczy to każdego pojedynczego oznaczenia danej właściwości.</w:t>
      </w:r>
    </w:p>
    <w:p w:rsidR="00C26502" w:rsidRPr="004C7EAD" w:rsidRDefault="00C26502" w:rsidP="00C26502">
      <w:pPr>
        <w:overflowPunct w:val="0"/>
        <w:autoSpaceDE w:val="0"/>
        <w:autoSpaceDN w:val="0"/>
        <w:adjustRightInd w:val="0"/>
        <w:jc w:val="both"/>
      </w:pPr>
      <w:r w:rsidRPr="004C7EAD">
        <w:tab/>
        <w:t>Określenie gęstości objętościowej należy wykonywać według PN-EN 12697-6 [32].</w:t>
      </w:r>
    </w:p>
    <w:p w:rsidR="00C26502" w:rsidRPr="004C7EAD" w:rsidRDefault="00C26502" w:rsidP="00C26502">
      <w:pPr>
        <w:overflowPunct w:val="0"/>
        <w:autoSpaceDE w:val="0"/>
        <w:autoSpaceDN w:val="0"/>
        <w:adjustRightInd w:val="0"/>
        <w:jc w:val="both"/>
      </w:pPr>
      <w:r w:rsidRPr="004C7EAD">
        <w:t>6.4.2.3. Zawartość wolnych przestrzeni w nawierzchni</w:t>
      </w:r>
    </w:p>
    <w:p w:rsidR="00C26502" w:rsidRPr="004C7EAD" w:rsidRDefault="00C26502" w:rsidP="00C26502">
      <w:pPr>
        <w:overflowPunct w:val="0"/>
        <w:autoSpaceDE w:val="0"/>
        <w:autoSpaceDN w:val="0"/>
        <w:adjustRightInd w:val="0"/>
        <w:jc w:val="both"/>
      </w:pPr>
      <w:r w:rsidRPr="004C7EAD">
        <w:tab/>
        <w:t>Zawartość wolnych przestrzeni w próbce Marshalla z mieszanki mineralno-asfaltowej lub wyjątkowo powtórnie rozgrzanej próbki pobranej z nawierzchni,  nie może wykroczyć poza wartości dopuszczalne podane w p. 5.2 o więcej niż 2,0 %(v/v).</w:t>
      </w:r>
    </w:p>
    <w:p w:rsidR="00C26502" w:rsidRPr="004C7EAD" w:rsidRDefault="00C26502" w:rsidP="00C26502">
      <w:pPr>
        <w:overflowPunct w:val="0"/>
        <w:autoSpaceDE w:val="0"/>
        <w:autoSpaceDN w:val="0"/>
        <w:adjustRightInd w:val="0"/>
        <w:jc w:val="both"/>
      </w:pPr>
      <w:r w:rsidRPr="004C7EAD">
        <w:t>6.4.2.4. Spadki poprzeczne</w:t>
      </w:r>
    </w:p>
    <w:p w:rsidR="00C26502" w:rsidRPr="004C7EAD" w:rsidRDefault="00C26502" w:rsidP="00C26502">
      <w:pPr>
        <w:overflowPunct w:val="0"/>
        <w:autoSpaceDE w:val="0"/>
        <w:autoSpaceDN w:val="0"/>
        <w:adjustRightInd w:val="0"/>
        <w:jc w:val="both"/>
      </w:pPr>
      <w:r w:rsidRPr="004C7EAD">
        <w:tab/>
        <w:t xml:space="preserve">Spadki poprzeczne nawierzchni należy badać nie rzadziej niż co </w:t>
      </w:r>
      <w:smartTag w:uri="urn:schemas-microsoft-com:office:smarttags" w:element="metricconverter">
        <w:smartTagPr>
          <w:attr w:name="ProductID" w:val="20 m"/>
        </w:smartTagPr>
        <w:r w:rsidRPr="004C7EAD">
          <w:t>20 m</w:t>
        </w:r>
      </w:smartTag>
      <w:r w:rsidRPr="004C7EAD">
        <w:t xml:space="preserve"> oraz w punktach głównych łuków poziomych.</w:t>
      </w:r>
    </w:p>
    <w:p w:rsidR="00C26502" w:rsidRPr="004C7EAD" w:rsidRDefault="00C26502" w:rsidP="00C26502">
      <w:pPr>
        <w:overflowPunct w:val="0"/>
        <w:autoSpaceDE w:val="0"/>
        <w:autoSpaceDN w:val="0"/>
        <w:adjustRightInd w:val="0"/>
        <w:jc w:val="both"/>
      </w:pPr>
      <w:r w:rsidRPr="004C7EAD">
        <w:tab/>
        <w:t>Spadki poprzeczne powinny być zgodne z dokumentacją projektową, z tolerancją ± 0,5%.</w:t>
      </w:r>
    </w:p>
    <w:p w:rsidR="00C26502" w:rsidRPr="004C7EAD" w:rsidRDefault="00C26502" w:rsidP="00C26502">
      <w:pPr>
        <w:overflowPunct w:val="0"/>
        <w:autoSpaceDE w:val="0"/>
        <w:autoSpaceDN w:val="0"/>
        <w:adjustRightInd w:val="0"/>
        <w:jc w:val="both"/>
      </w:pPr>
      <w:r w:rsidRPr="004C7EAD">
        <w:t>6.4.2.5. Równość podłużna i poprzeczna</w:t>
      </w:r>
    </w:p>
    <w:p w:rsidR="00C26502" w:rsidRPr="004C7EAD" w:rsidRDefault="00C26502" w:rsidP="00C26502">
      <w:pPr>
        <w:overflowPunct w:val="0"/>
        <w:autoSpaceDE w:val="0"/>
        <w:autoSpaceDN w:val="0"/>
        <w:adjustRightInd w:val="0"/>
        <w:jc w:val="both"/>
      </w:pPr>
      <w:r w:rsidRPr="004C7EAD">
        <w:tab/>
        <w:t xml:space="preserve">Do oceny równości podłużnej warstwy podbudowy nawierzchni dróg wszystkich klas technicznych należy stosować metodę z wykorzystaniem łaty 4-metrowej i klina lub metody równoważnej użyciu łaty i klina, mierząc wysokość prześwitu w połowie długości łaty. Pomiar wykonuje się nie rzadziej niż co </w:t>
      </w:r>
      <w:smartTag w:uri="urn:schemas-microsoft-com:office:smarttags" w:element="metricconverter">
        <w:smartTagPr>
          <w:attr w:name="ProductID" w:val="10 m"/>
        </w:smartTagPr>
        <w:r w:rsidRPr="004C7EAD">
          <w:t>10 m</w:t>
        </w:r>
      </w:smartTag>
      <w:r w:rsidRPr="004C7EAD">
        <w:t>. Wymagana równość podłużna jest określona w rozporządzeniu dotyczącym warunków technicznych, jakim powinny odpowiadać drogi publiczne [67].</w:t>
      </w:r>
      <w:r w:rsidRPr="004C7EAD">
        <w:tab/>
      </w:r>
      <w:r w:rsidRPr="004C7EAD">
        <w:tab/>
      </w:r>
    </w:p>
    <w:p w:rsidR="00C26502" w:rsidRPr="004C7EAD" w:rsidRDefault="00C26502" w:rsidP="00C26502">
      <w:pPr>
        <w:overflowPunct w:val="0"/>
        <w:autoSpaceDE w:val="0"/>
        <w:autoSpaceDN w:val="0"/>
        <w:adjustRightInd w:val="0"/>
        <w:ind w:firstLine="708"/>
        <w:jc w:val="both"/>
      </w:pPr>
      <w:r w:rsidRPr="004C7EAD">
        <w:t xml:space="preserve">Do oceny równości poprzecznej warstwy podbudowy nawierzchni dróg wszystkich klas technicznych należy stosować metodę z wykorzystaniem łaty 4-metrowej i klina lub metody równoważnej użyciu łaty i klina. Pomiar należy wykonywać w kierunku prostopadłym do osi jezdni, na każdym ocenianym pasie ruchu, nie rzadziej niż co </w:t>
      </w:r>
      <w:smartTag w:uri="urn:schemas-microsoft-com:office:smarttags" w:element="metricconverter">
        <w:smartTagPr>
          <w:attr w:name="ProductID" w:val="10 m"/>
        </w:smartTagPr>
        <w:r w:rsidRPr="004C7EAD">
          <w:t>10 m</w:t>
        </w:r>
      </w:smartTag>
      <w:r w:rsidRPr="004C7EAD">
        <w:t>. Wymagana równość poprzeczna jest określona w rozporządzeniu dotyczącym warunków technicznych, jakim powinny odpowiadać drogi publiczne [67].</w:t>
      </w:r>
    </w:p>
    <w:p w:rsidR="00C26502" w:rsidRPr="004C7EAD" w:rsidRDefault="00C26502" w:rsidP="00C26502">
      <w:pPr>
        <w:overflowPunct w:val="0"/>
        <w:autoSpaceDE w:val="0"/>
        <w:autoSpaceDN w:val="0"/>
        <w:adjustRightInd w:val="0"/>
        <w:jc w:val="both"/>
      </w:pPr>
      <w:r w:rsidRPr="004C7EAD">
        <w:t>6.4.2.6. Pozostałe właściwości warstwy asfaltowej</w:t>
      </w:r>
    </w:p>
    <w:p w:rsidR="00C26502" w:rsidRPr="004C7EAD" w:rsidRDefault="00C26502" w:rsidP="00C26502">
      <w:pPr>
        <w:overflowPunct w:val="0"/>
        <w:autoSpaceDE w:val="0"/>
        <w:autoSpaceDN w:val="0"/>
        <w:adjustRightInd w:val="0"/>
        <w:jc w:val="both"/>
      </w:pPr>
      <w:r w:rsidRPr="004C7EAD">
        <w:tab/>
        <w:t xml:space="preserve">Szerokość warstwy, mierzona 10 razy na </w:t>
      </w:r>
      <w:smartTag w:uri="urn:schemas-microsoft-com:office:smarttags" w:element="metricconverter">
        <w:smartTagPr>
          <w:attr w:name="ProductID" w:val="1 km"/>
        </w:smartTagPr>
        <w:r w:rsidRPr="004C7EAD">
          <w:t>1 km</w:t>
        </w:r>
      </w:smartTag>
      <w:r w:rsidRPr="004C7EAD">
        <w:t xml:space="preserve"> każdej jezdni, nie może się różnić od szerokości projektowanej o więcej niż ± </w:t>
      </w:r>
      <w:smartTag w:uri="urn:schemas-microsoft-com:office:smarttags" w:element="metricconverter">
        <w:smartTagPr>
          <w:attr w:name="ProductID" w:val="5 cm"/>
        </w:smartTagPr>
        <w:r w:rsidRPr="004C7EAD">
          <w:t>5 cm</w:t>
        </w:r>
      </w:smartTag>
      <w:r w:rsidRPr="004C7EAD">
        <w:t>.</w:t>
      </w:r>
    </w:p>
    <w:p w:rsidR="00C26502" w:rsidRPr="004C7EAD" w:rsidRDefault="00C26502" w:rsidP="00C26502">
      <w:pPr>
        <w:overflowPunct w:val="0"/>
        <w:autoSpaceDE w:val="0"/>
        <w:autoSpaceDN w:val="0"/>
        <w:adjustRightInd w:val="0"/>
        <w:jc w:val="both"/>
      </w:pPr>
      <w:r w:rsidRPr="004C7EAD">
        <w:tab/>
        <w:t xml:space="preserve">Rzędne wysokościowe, mierzone co </w:t>
      </w:r>
      <w:smartTag w:uri="urn:schemas-microsoft-com:office:smarttags" w:element="metricconverter">
        <w:smartTagPr>
          <w:attr w:name="ProductID" w:val="10 m"/>
        </w:smartTagPr>
        <w:r w:rsidRPr="004C7EAD">
          <w:t>10 m</w:t>
        </w:r>
      </w:smartTag>
      <w:r w:rsidRPr="004C7EAD">
        <w:t xml:space="preserve"> na prostych i co </w:t>
      </w:r>
      <w:smartTag w:uri="urn:schemas-microsoft-com:office:smarttags" w:element="metricconverter">
        <w:smartTagPr>
          <w:attr w:name="ProductID" w:val="10 m"/>
        </w:smartTagPr>
        <w:r w:rsidRPr="004C7EAD">
          <w:t>10 m</w:t>
        </w:r>
      </w:smartTag>
      <w:r w:rsidRPr="004C7EAD">
        <w:t xml:space="preserve"> na osi podłużnej i krawędziach, powinny być zgodne z dokumentacją projektową z dopuszczalną tolerancją      ± </w:t>
      </w:r>
      <w:smartTag w:uri="urn:schemas-microsoft-com:office:smarttags" w:element="metricconverter">
        <w:smartTagPr>
          <w:attr w:name="ProductID" w:val="1 cm"/>
        </w:smartTagPr>
        <w:r w:rsidRPr="004C7EAD">
          <w:t>1 cm</w:t>
        </w:r>
      </w:smartTag>
      <w:r w:rsidRPr="004C7EAD">
        <w:t>, przy czym co najmniej 95% wykonanych pomiarów nie może przekraczać przedziału dopuszczalnych odchyleń.</w:t>
      </w:r>
    </w:p>
    <w:p w:rsidR="00C26502" w:rsidRPr="004C7EAD" w:rsidRDefault="00C26502" w:rsidP="00C26502">
      <w:pPr>
        <w:overflowPunct w:val="0"/>
        <w:autoSpaceDE w:val="0"/>
        <w:autoSpaceDN w:val="0"/>
        <w:adjustRightInd w:val="0"/>
        <w:jc w:val="both"/>
      </w:pPr>
      <w:r w:rsidRPr="004C7EAD">
        <w:tab/>
        <w:t xml:space="preserve">Ukształtowanie osi w planie, mierzone co </w:t>
      </w:r>
      <w:smartTag w:uri="urn:schemas-microsoft-com:office:smarttags" w:element="metricconverter">
        <w:smartTagPr>
          <w:attr w:name="ProductID" w:val="100 m"/>
        </w:smartTagPr>
        <w:r w:rsidRPr="004C7EAD">
          <w:t>100 m</w:t>
        </w:r>
      </w:smartTag>
      <w:r w:rsidRPr="004C7EAD">
        <w:t xml:space="preserve">, nie powinno różnić się od dokumentacji projektowej o ± </w:t>
      </w:r>
      <w:smartTag w:uri="urn:schemas-microsoft-com:office:smarttags" w:element="metricconverter">
        <w:smartTagPr>
          <w:attr w:name="ProductID" w:val="5 cm"/>
        </w:smartTagPr>
        <w:r w:rsidRPr="004C7EAD">
          <w:t>5 cm</w:t>
        </w:r>
      </w:smartTag>
      <w:r w:rsidRPr="004C7EAD">
        <w:t>.</w:t>
      </w:r>
    </w:p>
    <w:p w:rsidR="00C26502" w:rsidRPr="004C7EAD" w:rsidRDefault="00C26502" w:rsidP="00C26502">
      <w:pPr>
        <w:overflowPunct w:val="0"/>
        <w:autoSpaceDE w:val="0"/>
        <w:autoSpaceDN w:val="0"/>
        <w:adjustRightInd w:val="0"/>
        <w:jc w:val="both"/>
      </w:pPr>
      <w:r w:rsidRPr="004C7EAD">
        <w:tab/>
        <w:t>Złącza podłużne i poprzeczne, sprawdzone wizualnie, powinny być równe i związane, wykonane w linii prostej, równolegle lub prostopadle do osi drogi. Przylegające warstwy powinny być w jednym poziomie.</w:t>
      </w:r>
    </w:p>
    <w:p w:rsidR="00C26502" w:rsidRPr="004C7EAD" w:rsidRDefault="00C26502" w:rsidP="00C26502">
      <w:pPr>
        <w:overflowPunct w:val="0"/>
        <w:autoSpaceDE w:val="0"/>
        <w:autoSpaceDN w:val="0"/>
        <w:adjustRightInd w:val="0"/>
        <w:jc w:val="both"/>
      </w:pPr>
      <w:r w:rsidRPr="004C7EAD">
        <w:tab/>
        <w:t>Wygląd zewnętrzny warstwy, sprawdzony wizualnie, powinien być jednorodny, bez spękań, deformacji, plam i wykruszeń.</w:t>
      </w:r>
    </w:p>
    <w:p w:rsidR="00C26502" w:rsidRPr="004C7EAD" w:rsidRDefault="00C26502" w:rsidP="00C26502">
      <w:pPr>
        <w:widowControl w:val="0"/>
        <w:spacing w:before="120" w:after="120"/>
        <w:jc w:val="both"/>
        <w:rPr>
          <w:b/>
          <w:noProof/>
          <w:snapToGrid w:val="0"/>
          <w:u w:val="single"/>
        </w:rPr>
      </w:pPr>
      <w:r w:rsidRPr="004C7EAD">
        <w:rPr>
          <w:b/>
          <w:noProof/>
          <w:snapToGrid w:val="0"/>
          <w:u w:val="single"/>
        </w:rPr>
        <w:t>7. OBMIAR ROBÓT</w:t>
      </w:r>
    </w:p>
    <w:p w:rsidR="00C26502" w:rsidRPr="004C7EAD" w:rsidRDefault="00C26502" w:rsidP="00C26502">
      <w:pPr>
        <w:keepNext/>
        <w:numPr>
          <w:ilvl w:val="12"/>
          <w:numId w:val="0"/>
        </w:numPr>
        <w:overflowPunct w:val="0"/>
        <w:autoSpaceDE w:val="0"/>
        <w:autoSpaceDN w:val="0"/>
        <w:adjustRightInd w:val="0"/>
        <w:jc w:val="both"/>
        <w:outlineLvl w:val="1"/>
        <w:rPr>
          <w:b/>
        </w:rPr>
      </w:pPr>
      <w:r w:rsidRPr="004C7EAD">
        <w:rPr>
          <w:b/>
        </w:rPr>
        <w:t>7.1. Ogólne zasady obmiaru robót</w:t>
      </w:r>
    </w:p>
    <w:p w:rsidR="00C26502" w:rsidRPr="004C7EAD" w:rsidRDefault="00C26502" w:rsidP="00C26502">
      <w:pPr>
        <w:numPr>
          <w:ilvl w:val="12"/>
          <w:numId w:val="0"/>
        </w:numPr>
        <w:overflowPunct w:val="0"/>
        <w:autoSpaceDE w:val="0"/>
        <w:autoSpaceDN w:val="0"/>
        <w:adjustRightInd w:val="0"/>
        <w:jc w:val="both"/>
      </w:pPr>
      <w:r w:rsidRPr="004C7EAD">
        <w:tab/>
        <w:t>Ogólne zasady obmiaru robót podano w ST  D-M-00.00.00 „Wymagania ogólne”.</w:t>
      </w:r>
    </w:p>
    <w:p w:rsidR="00C26502" w:rsidRPr="004C7EAD" w:rsidRDefault="00C26502" w:rsidP="00C26502">
      <w:pPr>
        <w:keepNext/>
        <w:numPr>
          <w:ilvl w:val="12"/>
          <w:numId w:val="0"/>
        </w:numPr>
        <w:overflowPunct w:val="0"/>
        <w:autoSpaceDE w:val="0"/>
        <w:autoSpaceDN w:val="0"/>
        <w:adjustRightInd w:val="0"/>
        <w:jc w:val="both"/>
        <w:outlineLvl w:val="1"/>
        <w:rPr>
          <w:b/>
        </w:rPr>
      </w:pPr>
      <w:r w:rsidRPr="004C7EAD">
        <w:rPr>
          <w:b/>
        </w:rPr>
        <w:t>7.2. Jednostka obmiarowa</w:t>
      </w:r>
    </w:p>
    <w:p w:rsidR="00C26502" w:rsidRPr="004C7EAD" w:rsidRDefault="00C26502" w:rsidP="00C26502">
      <w:pPr>
        <w:numPr>
          <w:ilvl w:val="12"/>
          <w:numId w:val="0"/>
        </w:numPr>
        <w:overflowPunct w:val="0"/>
        <w:autoSpaceDE w:val="0"/>
        <w:autoSpaceDN w:val="0"/>
        <w:adjustRightInd w:val="0"/>
        <w:jc w:val="both"/>
      </w:pPr>
      <w:r w:rsidRPr="004C7EAD">
        <w:tab/>
        <w:t>Jednostką obmiarową jest m</w:t>
      </w:r>
      <w:r w:rsidRPr="004C7EAD">
        <w:rPr>
          <w:vertAlign w:val="superscript"/>
        </w:rPr>
        <w:t>2</w:t>
      </w:r>
      <w:r w:rsidRPr="004C7EAD">
        <w:t xml:space="preserve"> (metr kwadratowy) wykonanej warstwy podbudowy z betonu asfaltowego (ACP).</w:t>
      </w:r>
    </w:p>
    <w:p w:rsidR="00C26502" w:rsidRPr="004C7EAD" w:rsidRDefault="00C26502" w:rsidP="00C26502">
      <w:pPr>
        <w:widowControl w:val="0"/>
        <w:spacing w:before="120" w:after="120"/>
        <w:jc w:val="both"/>
        <w:rPr>
          <w:b/>
          <w:noProof/>
          <w:snapToGrid w:val="0"/>
          <w:u w:val="single"/>
        </w:rPr>
      </w:pPr>
      <w:r w:rsidRPr="004C7EAD">
        <w:rPr>
          <w:b/>
          <w:noProof/>
          <w:snapToGrid w:val="0"/>
          <w:u w:val="single"/>
        </w:rPr>
        <w:t xml:space="preserve"> 8. ODBIÓR ROBÓT</w:t>
      </w:r>
    </w:p>
    <w:p w:rsidR="00C26502" w:rsidRPr="004C7EAD" w:rsidRDefault="00C26502" w:rsidP="00C26502">
      <w:pPr>
        <w:numPr>
          <w:ilvl w:val="12"/>
          <w:numId w:val="0"/>
        </w:numPr>
        <w:overflowPunct w:val="0"/>
        <w:autoSpaceDE w:val="0"/>
        <w:autoSpaceDN w:val="0"/>
        <w:adjustRightInd w:val="0"/>
        <w:jc w:val="both"/>
      </w:pPr>
      <w:r w:rsidRPr="004C7EAD">
        <w:tab/>
        <w:t>Ogólne zasady odbioru robót podano w ST  D-M-00.00.00 „Wymagania ogólne”.</w:t>
      </w:r>
    </w:p>
    <w:p w:rsidR="00C26502" w:rsidRPr="004C7EAD" w:rsidRDefault="00C26502" w:rsidP="00C26502">
      <w:pPr>
        <w:numPr>
          <w:ilvl w:val="12"/>
          <w:numId w:val="0"/>
        </w:numPr>
        <w:overflowPunct w:val="0"/>
        <w:autoSpaceDE w:val="0"/>
        <w:autoSpaceDN w:val="0"/>
        <w:adjustRightInd w:val="0"/>
        <w:jc w:val="both"/>
      </w:pPr>
      <w:r w:rsidRPr="004C7EAD">
        <w:tab/>
        <w:t>Roboty uznaje się za wykonane zgodnie z dokumentacją projektową, ST i wymaganiami Inżyniera, jeżeli wszystkie pomiary i badania z zachowaniem tolerancji według pktu 6 dały wyniki pozytywne.</w:t>
      </w:r>
    </w:p>
    <w:p w:rsidR="00C26502" w:rsidRPr="004C7EAD" w:rsidRDefault="00C26502" w:rsidP="00C26502">
      <w:pPr>
        <w:numPr>
          <w:ilvl w:val="12"/>
          <w:numId w:val="0"/>
        </w:numPr>
        <w:overflowPunct w:val="0"/>
        <w:autoSpaceDE w:val="0"/>
        <w:autoSpaceDN w:val="0"/>
        <w:adjustRightInd w:val="0"/>
        <w:jc w:val="both"/>
      </w:pPr>
      <w:r w:rsidRPr="004C7EAD">
        <w:tab/>
        <w:t>Jeśli warunki umowy przewidują dokonywanie potrąceń, to Zamawiający może w razie niedotrzymania wartości dopuszczalnych dokonać potrąceń według zasad określonych w WT-2 [65] pkt 9.2.</w:t>
      </w:r>
    </w:p>
    <w:p w:rsidR="00C26502" w:rsidRPr="004C7EAD" w:rsidRDefault="00C26502" w:rsidP="00C26502">
      <w:pPr>
        <w:widowControl w:val="0"/>
        <w:spacing w:before="120" w:after="120"/>
        <w:jc w:val="both"/>
        <w:rPr>
          <w:b/>
          <w:noProof/>
          <w:snapToGrid w:val="0"/>
          <w:u w:val="single"/>
        </w:rPr>
      </w:pPr>
      <w:r w:rsidRPr="004C7EAD">
        <w:rPr>
          <w:b/>
          <w:noProof/>
          <w:snapToGrid w:val="0"/>
          <w:u w:val="single"/>
        </w:rPr>
        <w:t>9. PODSTAWA PŁATNOŚCI</w:t>
      </w:r>
    </w:p>
    <w:p w:rsidR="00C26502" w:rsidRPr="004C7EAD" w:rsidRDefault="00C26502" w:rsidP="00C26502">
      <w:pPr>
        <w:keepNext/>
        <w:numPr>
          <w:ilvl w:val="12"/>
          <w:numId w:val="0"/>
        </w:numPr>
        <w:overflowPunct w:val="0"/>
        <w:autoSpaceDE w:val="0"/>
        <w:autoSpaceDN w:val="0"/>
        <w:adjustRightInd w:val="0"/>
        <w:jc w:val="both"/>
        <w:outlineLvl w:val="1"/>
        <w:rPr>
          <w:b/>
        </w:rPr>
      </w:pPr>
      <w:r w:rsidRPr="004C7EAD">
        <w:rPr>
          <w:b/>
        </w:rPr>
        <w:t>9.1. Ogólne ustalenia dotyczące podstawy płatności</w:t>
      </w:r>
    </w:p>
    <w:p w:rsidR="00C26502" w:rsidRPr="004C7EAD" w:rsidRDefault="00C26502" w:rsidP="00C26502">
      <w:pPr>
        <w:numPr>
          <w:ilvl w:val="12"/>
          <w:numId w:val="0"/>
        </w:numPr>
        <w:overflowPunct w:val="0"/>
        <w:autoSpaceDE w:val="0"/>
        <w:autoSpaceDN w:val="0"/>
        <w:adjustRightInd w:val="0"/>
        <w:jc w:val="both"/>
      </w:pPr>
      <w:r w:rsidRPr="004C7EAD">
        <w:tab/>
        <w:t>Ogólne ustalenia dotyczące podstawy płatności podano w ST D-M-00.00.00 „Wymagania ogólne”.</w:t>
      </w:r>
    </w:p>
    <w:p w:rsidR="00C26502" w:rsidRPr="004C7EAD" w:rsidRDefault="00C26502" w:rsidP="00C26502">
      <w:pPr>
        <w:keepNext/>
        <w:numPr>
          <w:ilvl w:val="12"/>
          <w:numId w:val="0"/>
        </w:numPr>
        <w:overflowPunct w:val="0"/>
        <w:autoSpaceDE w:val="0"/>
        <w:autoSpaceDN w:val="0"/>
        <w:adjustRightInd w:val="0"/>
        <w:jc w:val="both"/>
        <w:outlineLvl w:val="1"/>
        <w:rPr>
          <w:b/>
        </w:rPr>
      </w:pPr>
      <w:r w:rsidRPr="004C7EAD">
        <w:rPr>
          <w:b/>
        </w:rPr>
        <w:t>9.2. Cena jednostki obmiarowej</w:t>
      </w:r>
    </w:p>
    <w:p w:rsidR="00C26502" w:rsidRPr="004C7EAD" w:rsidRDefault="00C26502" w:rsidP="00C26502">
      <w:pPr>
        <w:numPr>
          <w:ilvl w:val="12"/>
          <w:numId w:val="0"/>
        </w:numPr>
        <w:overflowPunct w:val="0"/>
        <w:autoSpaceDE w:val="0"/>
        <w:autoSpaceDN w:val="0"/>
        <w:adjustRightInd w:val="0"/>
        <w:jc w:val="both"/>
      </w:pPr>
      <w:r w:rsidRPr="004C7EAD">
        <w:tab/>
        <w:t xml:space="preserve">Cena wykonania </w:t>
      </w:r>
      <w:smartTag w:uri="urn:schemas-microsoft-com:office:smarttags" w:element="metricconverter">
        <w:smartTagPr>
          <w:attr w:name="ProductID" w:val="1 m2"/>
        </w:smartTagPr>
        <w:r w:rsidRPr="004C7EAD">
          <w:t>1 m</w:t>
        </w:r>
        <w:r w:rsidRPr="004C7EAD">
          <w:rPr>
            <w:vertAlign w:val="superscript"/>
          </w:rPr>
          <w:t>2</w:t>
        </w:r>
      </w:smartTag>
      <w:r w:rsidRPr="004C7EAD">
        <w:t xml:space="preserve"> warstwy podbudowy z betonu asfaltowego (AC P) obejmuje:</w:t>
      </w:r>
    </w:p>
    <w:p w:rsidR="00C26502" w:rsidRPr="004C7EAD" w:rsidRDefault="00C26502" w:rsidP="00C26502">
      <w:pPr>
        <w:numPr>
          <w:ilvl w:val="0"/>
          <w:numId w:val="1"/>
        </w:numPr>
        <w:overflowPunct w:val="0"/>
        <w:autoSpaceDE w:val="0"/>
        <w:autoSpaceDN w:val="0"/>
        <w:adjustRightInd w:val="0"/>
        <w:jc w:val="both"/>
      </w:pPr>
      <w:r w:rsidRPr="004C7EAD">
        <w:t>prace pomiarowe i roboty przygotowawcze,</w:t>
      </w:r>
    </w:p>
    <w:p w:rsidR="00C26502" w:rsidRPr="004C7EAD" w:rsidRDefault="00C26502" w:rsidP="00C26502">
      <w:pPr>
        <w:numPr>
          <w:ilvl w:val="0"/>
          <w:numId w:val="1"/>
        </w:numPr>
        <w:overflowPunct w:val="0"/>
        <w:autoSpaceDE w:val="0"/>
        <w:autoSpaceDN w:val="0"/>
        <w:adjustRightInd w:val="0"/>
        <w:jc w:val="both"/>
      </w:pPr>
      <w:r w:rsidRPr="004C7EAD">
        <w:t>oznakowanie robót,</w:t>
      </w:r>
    </w:p>
    <w:p w:rsidR="00C26502" w:rsidRPr="004C7EAD" w:rsidRDefault="00C26502" w:rsidP="00C26502">
      <w:pPr>
        <w:numPr>
          <w:ilvl w:val="0"/>
          <w:numId w:val="1"/>
        </w:numPr>
        <w:overflowPunct w:val="0"/>
        <w:autoSpaceDE w:val="0"/>
        <w:autoSpaceDN w:val="0"/>
        <w:adjustRightInd w:val="0"/>
        <w:jc w:val="both"/>
      </w:pPr>
      <w:r w:rsidRPr="004C7EAD">
        <w:t>oczyszczenie i skropienie podłoża,</w:t>
      </w:r>
    </w:p>
    <w:p w:rsidR="00C26502" w:rsidRPr="004C7EAD" w:rsidRDefault="00C26502" w:rsidP="00C26502">
      <w:pPr>
        <w:numPr>
          <w:ilvl w:val="0"/>
          <w:numId w:val="1"/>
        </w:numPr>
        <w:overflowPunct w:val="0"/>
        <w:autoSpaceDE w:val="0"/>
        <w:autoSpaceDN w:val="0"/>
        <w:adjustRightInd w:val="0"/>
        <w:jc w:val="both"/>
      </w:pPr>
      <w:r w:rsidRPr="004C7EAD">
        <w:t>zakup i dostarczenie materiałów i sprzętu,</w:t>
      </w:r>
    </w:p>
    <w:p w:rsidR="00C26502" w:rsidRPr="004C7EAD" w:rsidRDefault="00C26502" w:rsidP="00C26502">
      <w:pPr>
        <w:numPr>
          <w:ilvl w:val="0"/>
          <w:numId w:val="1"/>
        </w:numPr>
        <w:overflowPunct w:val="0"/>
        <w:autoSpaceDE w:val="0"/>
        <w:autoSpaceDN w:val="0"/>
        <w:adjustRightInd w:val="0"/>
        <w:jc w:val="both"/>
      </w:pPr>
      <w:r w:rsidRPr="004C7EAD">
        <w:t>opracowanie recepty laboratoryjnej,</w:t>
      </w:r>
    </w:p>
    <w:p w:rsidR="00C26502" w:rsidRPr="004C7EAD" w:rsidRDefault="00C26502" w:rsidP="00C26502">
      <w:pPr>
        <w:numPr>
          <w:ilvl w:val="0"/>
          <w:numId w:val="1"/>
        </w:numPr>
        <w:overflowPunct w:val="0"/>
        <w:autoSpaceDE w:val="0"/>
        <w:autoSpaceDN w:val="0"/>
        <w:adjustRightInd w:val="0"/>
        <w:jc w:val="both"/>
      </w:pPr>
      <w:r w:rsidRPr="004C7EAD">
        <w:t xml:space="preserve">wykonanie próby technologicznej </w:t>
      </w:r>
    </w:p>
    <w:p w:rsidR="00C26502" w:rsidRPr="004C7EAD" w:rsidRDefault="00C26502" w:rsidP="00C26502">
      <w:pPr>
        <w:numPr>
          <w:ilvl w:val="0"/>
          <w:numId w:val="1"/>
        </w:numPr>
        <w:overflowPunct w:val="0"/>
        <w:autoSpaceDE w:val="0"/>
        <w:autoSpaceDN w:val="0"/>
        <w:adjustRightInd w:val="0"/>
        <w:jc w:val="both"/>
      </w:pPr>
      <w:r w:rsidRPr="004C7EAD">
        <w:t>wyprodukowanie mieszanki betonu asfaltowego i jej transport na miejsce wbudowania,</w:t>
      </w:r>
    </w:p>
    <w:p w:rsidR="00C26502" w:rsidRPr="004C7EAD" w:rsidRDefault="00C26502" w:rsidP="00C26502">
      <w:pPr>
        <w:numPr>
          <w:ilvl w:val="0"/>
          <w:numId w:val="1"/>
        </w:numPr>
        <w:overflowPunct w:val="0"/>
        <w:autoSpaceDE w:val="0"/>
        <w:autoSpaceDN w:val="0"/>
        <w:adjustRightInd w:val="0"/>
        <w:jc w:val="both"/>
      </w:pPr>
      <w:r w:rsidRPr="004C7EAD">
        <w:t>posmarowanie lepiszczem lub pokrycie taśmą asfaltową krawędzi urządzeń obcych i krawężników,</w:t>
      </w:r>
    </w:p>
    <w:p w:rsidR="00C26502" w:rsidRPr="004C7EAD" w:rsidRDefault="00C26502" w:rsidP="00C26502">
      <w:pPr>
        <w:numPr>
          <w:ilvl w:val="0"/>
          <w:numId w:val="1"/>
        </w:numPr>
        <w:overflowPunct w:val="0"/>
        <w:autoSpaceDE w:val="0"/>
        <w:autoSpaceDN w:val="0"/>
        <w:adjustRightInd w:val="0"/>
        <w:jc w:val="both"/>
      </w:pPr>
      <w:r w:rsidRPr="004C7EAD">
        <w:t>rozłożenie i zagęszczenie mieszanki betonu asfaltowego,</w:t>
      </w:r>
    </w:p>
    <w:p w:rsidR="00C26502" w:rsidRPr="004C7EAD" w:rsidRDefault="00C26502" w:rsidP="00C26502">
      <w:pPr>
        <w:numPr>
          <w:ilvl w:val="0"/>
          <w:numId w:val="1"/>
        </w:numPr>
        <w:overflowPunct w:val="0"/>
        <w:autoSpaceDE w:val="0"/>
        <w:autoSpaceDN w:val="0"/>
        <w:adjustRightInd w:val="0"/>
        <w:jc w:val="both"/>
      </w:pPr>
      <w:r w:rsidRPr="004C7EAD">
        <w:t>obcięcie krawędzi i posmarowanie lepiszczem,</w:t>
      </w:r>
    </w:p>
    <w:p w:rsidR="00C26502" w:rsidRPr="004C7EAD" w:rsidRDefault="00C26502" w:rsidP="00C26502">
      <w:pPr>
        <w:numPr>
          <w:ilvl w:val="0"/>
          <w:numId w:val="1"/>
        </w:numPr>
        <w:overflowPunct w:val="0"/>
        <w:autoSpaceDE w:val="0"/>
        <w:autoSpaceDN w:val="0"/>
        <w:adjustRightInd w:val="0"/>
        <w:jc w:val="both"/>
      </w:pPr>
      <w:r w:rsidRPr="004C7EAD">
        <w:t>przeprowadzenie pomiarów i badań  wymaganych w specyfikacji technicznej,</w:t>
      </w:r>
    </w:p>
    <w:p w:rsidR="00C26502" w:rsidRPr="004C7EAD" w:rsidRDefault="00C26502" w:rsidP="00C26502">
      <w:pPr>
        <w:numPr>
          <w:ilvl w:val="0"/>
          <w:numId w:val="1"/>
        </w:numPr>
        <w:overflowPunct w:val="0"/>
        <w:autoSpaceDE w:val="0"/>
        <w:autoSpaceDN w:val="0"/>
        <w:adjustRightInd w:val="0"/>
        <w:jc w:val="both"/>
      </w:pPr>
      <w:r w:rsidRPr="004C7EAD">
        <w:t>odwiezienie sprzętu.</w:t>
      </w:r>
    </w:p>
    <w:p w:rsidR="00C26502" w:rsidRPr="004C7EAD" w:rsidRDefault="00C26502" w:rsidP="00C26502">
      <w:pPr>
        <w:keepNext/>
        <w:overflowPunct w:val="0"/>
        <w:autoSpaceDE w:val="0"/>
        <w:autoSpaceDN w:val="0"/>
        <w:adjustRightInd w:val="0"/>
        <w:jc w:val="both"/>
        <w:outlineLvl w:val="1"/>
        <w:rPr>
          <w:b/>
        </w:rPr>
      </w:pPr>
      <w:r w:rsidRPr="004C7EAD">
        <w:rPr>
          <w:b/>
        </w:rPr>
        <w:t>9.3. Sposób rozliczenia robót tymczasowych i prac towarzyszących</w:t>
      </w:r>
    </w:p>
    <w:p w:rsidR="00C26502" w:rsidRPr="004C7EAD" w:rsidRDefault="00C26502" w:rsidP="00C26502">
      <w:pPr>
        <w:overflowPunct w:val="0"/>
        <w:autoSpaceDE w:val="0"/>
        <w:autoSpaceDN w:val="0"/>
        <w:adjustRightInd w:val="0"/>
        <w:jc w:val="both"/>
      </w:pPr>
      <w:r w:rsidRPr="004C7EAD">
        <w:tab/>
        <w:t>Cena wykonania robót określonych niniejszą ST obejmuje:</w:t>
      </w:r>
    </w:p>
    <w:p w:rsidR="00C26502" w:rsidRPr="004C7EAD" w:rsidRDefault="00C26502" w:rsidP="00C26502">
      <w:pPr>
        <w:numPr>
          <w:ilvl w:val="0"/>
          <w:numId w:val="1"/>
        </w:numPr>
        <w:overflowPunct w:val="0"/>
        <w:autoSpaceDE w:val="0"/>
        <w:autoSpaceDN w:val="0"/>
        <w:adjustRightInd w:val="0"/>
        <w:jc w:val="both"/>
      </w:pPr>
      <w:r w:rsidRPr="004C7EAD">
        <w:t>roboty tymczasowe, które są potrzebne do wykonania robót podstawowych, ale nie są przekazywane Zamawiającemu i są usuwane po wykonaniu robót podstawowych,</w:t>
      </w:r>
    </w:p>
    <w:p w:rsidR="00C26502" w:rsidRPr="004C7EAD" w:rsidRDefault="00C26502" w:rsidP="00C26502">
      <w:pPr>
        <w:numPr>
          <w:ilvl w:val="0"/>
          <w:numId w:val="1"/>
        </w:numPr>
        <w:overflowPunct w:val="0"/>
        <w:autoSpaceDE w:val="0"/>
        <w:autoSpaceDN w:val="0"/>
        <w:adjustRightInd w:val="0"/>
        <w:jc w:val="both"/>
      </w:pPr>
      <w:r w:rsidRPr="004C7EAD">
        <w:t>prace towarzyszące, które są niezbędne do wykonania robót podstawowych, niezaliczane do robót tymczasowych, jak geodezyjne wytyczenie robót itd.</w:t>
      </w:r>
    </w:p>
    <w:p w:rsidR="00C26502" w:rsidRPr="004C7EAD" w:rsidRDefault="00C26502" w:rsidP="00C26502">
      <w:pPr>
        <w:widowControl w:val="0"/>
        <w:spacing w:before="120" w:after="120"/>
        <w:jc w:val="both"/>
        <w:rPr>
          <w:b/>
          <w:noProof/>
          <w:snapToGrid w:val="0"/>
          <w:u w:val="single"/>
        </w:rPr>
      </w:pPr>
      <w:r w:rsidRPr="004C7EAD">
        <w:rPr>
          <w:b/>
          <w:noProof/>
          <w:snapToGrid w:val="0"/>
          <w:u w:val="single"/>
        </w:rPr>
        <w:t>10. PRZEPISY ZWIĄZANE</w:t>
      </w:r>
    </w:p>
    <w:p w:rsidR="00904BD7" w:rsidRPr="002C1191" w:rsidRDefault="00904BD7" w:rsidP="00904BD7">
      <w:pPr>
        <w:rPr>
          <w:rStyle w:val="Nagwek1Znak"/>
          <w:rFonts w:ascii="Times New Roman" w:hAnsi="Times New Roman"/>
          <w:bCs/>
          <w:szCs w:val="26"/>
        </w:rPr>
      </w:pPr>
      <w:bookmarkStart w:id="86" w:name="_Toc26910626"/>
      <w:bookmarkStart w:id="87" w:name="_Toc80100094"/>
      <w:r>
        <w:rPr>
          <w:rStyle w:val="Nagwek1Znak"/>
          <w:rFonts w:ascii="Times New Roman" w:hAnsi="Times New Roman"/>
          <w:bCs/>
          <w:szCs w:val="26"/>
        </w:rPr>
        <w:t>M</w:t>
      </w:r>
      <w:r w:rsidRPr="002C1191">
        <w:rPr>
          <w:rStyle w:val="Nagwek1Znak"/>
          <w:rFonts w:ascii="Times New Roman" w:hAnsi="Times New Roman"/>
          <w:bCs/>
          <w:szCs w:val="26"/>
        </w:rPr>
        <w:t>.</w:t>
      </w:r>
      <w:r>
        <w:rPr>
          <w:rStyle w:val="Nagwek1Znak"/>
          <w:rFonts w:ascii="Times New Roman" w:hAnsi="Times New Roman"/>
          <w:bCs/>
          <w:szCs w:val="26"/>
        </w:rPr>
        <w:t>20</w:t>
      </w:r>
      <w:r w:rsidRPr="002C1191">
        <w:rPr>
          <w:rStyle w:val="Nagwek1Znak"/>
          <w:rFonts w:ascii="Times New Roman" w:hAnsi="Times New Roman"/>
          <w:bCs/>
          <w:szCs w:val="26"/>
        </w:rPr>
        <w:t>.01.</w:t>
      </w:r>
      <w:r>
        <w:rPr>
          <w:rStyle w:val="Nagwek1Znak"/>
          <w:rFonts w:ascii="Times New Roman" w:hAnsi="Times New Roman"/>
          <w:bCs/>
          <w:szCs w:val="26"/>
        </w:rPr>
        <w:t>15</w:t>
      </w:r>
      <w:r w:rsidRPr="002C1191">
        <w:rPr>
          <w:rStyle w:val="Nagwek1Znak"/>
          <w:rFonts w:ascii="Times New Roman" w:hAnsi="Times New Roman"/>
          <w:bCs/>
          <w:szCs w:val="26"/>
        </w:rPr>
        <w:t>.</w:t>
      </w:r>
      <w:r w:rsidRPr="002C1191">
        <w:rPr>
          <w:rStyle w:val="Nagwek1Znak"/>
          <w:rFonts w:ascii="Times New Roman" w:hAnsi="Times New Roman"/>
          <w:bCs/>
          <w:szCs w:val="26"/>
        </w:rPr>
        <w:tab/>
        <w:t xml:space="preserve">KORYTO WRAZ Z PROFILOWANIEM I  ZAGĘSZCZENIEM  </w:t>
      </w:r>
      <w:r w:rsidRPr="002C1191">
        <w:rPr>
          <w:rStyle w:val="Nagwek1Znak"/>
          <w:rFonts w:ascii="Times New Roman" w:hAnsi="Times New Roman"/>
          <w:bCs/>
          <w:szCs w:val="26"/>
        </w:rPr>
        <w:tab/>
      </w:r>
      <w:r w:rsidRPr="002C1191">
        <w:rPr>
          <w:rStyle w:val="Nagwek1Znak"/>
          <w:rFonts w:ascii="Times New Roman" w:hAnsi="Times New Roman"/>
          <w:bCs/>
          <w:szCs w:val="26"/>
        </w:rPr>
        <w:tab/>
        <w:t>PODŁOŻA</w:t>
      </w:r>
      <w:bookmarkEnd w:id="86"/>
      <w:bookmarkEnd w:id="87"/>
    </w:p>
    <w:p w:rsidR="00904BD7" w:rsidRDefault="00904BD7" w:rsidP="00904BD7">
      <w:pPr>
        <w:pStyle w:val="spis"/>
      </w:pPr>
      <w:r>
        <w:t xml:space="preserve">l. WSTĘP </w:t>
      </w:r>
    </w:p>
    <w:p w:rsidR="00904BD7" w:rsidRPr="00593149" w:rsidRDefault="00904BD7" w:rsidP="00904BD7">
      <w:pPr>
        <w:widowControl w:val="0"/>
        <w:ind w:right="7139"/>
        <w:rPr>
          <w:b/>
          <w:snapToGrid w:val="0"/>
        </w:rPr>
      </w:pPr>
      <w:r w:rsidRPr="00593149">
        <w:rPr>
          <w:b/>
          <w:snapToGrid w:val="0"/>
        </w:rPr>
        <w:t>1.1 Przedmiot ST</w:t>
      </w:r>
    </w:p>
    <w:p w:rsidR="00904BD7" w:rsidRPr="000420FE" w:rsidRDefault="00904BD7" w:rsidP="00904BD7">
      <w:pPr>
        <w:keepNext/>
        <w:overflowPunct w:val="0"/>
        <w:autoSpaceDE w:val="0"/>
        <w:autoSpaceDN w:val="0"/>
        <w:adjustRightInd w:val="0"/>
        <w:jc w:val="both"/>
        <w:outlineLvl w:val="1"/>
        <w:rPr>
          <w:b/>
        </w:rPr>
      </w:pPr>
      <w:r>
        <w:rPr>
          <w:snapToGrid w:val="0"/>
        </w:rPr>
        <w:t xml:space="preserve">Przedmiotem niniejszej Specyfikacji Technicznej są wymagania dotyczące wykonania i odbioru koryta gruntowegowraz z profilowaniem i zagęszczeniem podłoża, które zostanie wykonane w ramach </w:t>
      </w:r>
      <w:r w:rsidRPr="00FB58A4">
        <w:rPr>
          <w:bCs/>
          <w:snapToGrid w:val="0"/>
        </w:rPr>
        <w:t>projektu</w:t>
      </w:r>
      <w:r>
        <w:rPr>
          <w:bCs/>
          <w:snapToGrid w:val="0"/>
        </w:rPr>
        <w:t>:</w:t>
      </w:r>
      <w:r w:rsidRPr="00904BD7">
        <w:rPr>
          <w:bCs/>
        </w:rPr>
        <w:t xml:space="preserve"> </w:t>
      </w:r>
      <w:r>
        <w:rPr>
          <w:bCs/>
        </w:rPr>
        <w:t>"Remont przepustu nad rzeką Postomia w ciągu drogi nr 445/k.2922 m. Wędrzyn</w:t>
      </w:r>
    </w:p>
    <w:p w:rsidR="00904BD7" w:rsidRPr="00593149" w:rsidRDefault="00904BD7" w:rsidP="00904BD7">
      <w:pPr>
        <w:widowControl w:val="0"/>
        <w:autoSpaceDE w:val="0"/>
        <w:autoSpaceDN w:val="0"/>
        <w:adjustRightInd w:val="0"/>
        <w:jc w:val="both"/>
        <w:rPr>
          <w:b/>
          <w:snapToGrid w:val="0"/>
        </w:rPr>
      </w:pPr>
      <w:r w:rsidRPr="00593149">
        <w:rPr>
          <w:b/>
          <w:snapToGrid w:val="0"/>
        </w:rPr>
        <w:t>1.2 Zakres stosowania ST</w:t>
      </w:r>
    </w:p>
    <w:p w:rsidR="00904BD7" w:rsidRDefault="00904BD7" w:rsidP="00904BD7">
      <w:pPr>
        <w:widowControl w:val="0"/>
        <w:ind w:firstLine="708"/>
        <w:jc w:val="both"/>
        <w:rPr>
          <w:snapToGrid w:val="0"/>
        </w:rPr>
      </w:pPr>
      <w:r>
        <w:rPr>
          <w:snapToGrid w:val="0"/>
        </w:rPr>
        <w:t>Specyfikacja Techniczna jest stosowana jako dokument przetargowy i kontraktowy przy zlecaniu i realizacji robót wymienionych w punkcie 1.1.</w:t>
      </w:r>
    </w:p>
    <w:p w:rsidR="00904BD7" w:rsidRPr="00593149" w:rsidRDefault="00904BD7" w:rsidP="00904BD7">
      <w:pPr>
        <w:widowControl w:val="0"/>
        <w:rPr>
          <w:b/>
          <w:snapToGrid w:val="0"/>
        </w:rPr>
      </w:pPr>
      <w:r w:rsidRPr="00593149">
        <w:rPr>
          <w:b/>
          <w:snapToGrid w:val="0"/>
        </w:rPr>
        <w:t>1.3 Zakres robót objętych ST</w:t>
      </w:r>
    </w:p>
    <w:p w:rsidR="00904BD7" w:rsidRDefault="00904BD7" w:rsidP="00904BD7">
      <w:pPr>
        <w:widowControl w:val="0"/>
        <w:ind w:firstLine="708"/>
        <w:jc w:val="both"/>
        <w:rPr>
          <w:snapToGrid w:val="0"/>
        </w:rPr>
      </w:pPr>
      <w:r>
        <w:rPr>
          <w:snapToGrid w:val="0"/>
        </w:rPr>
        <w:t xml:space="preserve">Ustalenia zawarte w niniejszej specyfikacji dotyczą prowadzenia robót przy wykonywaniu, profilowaniu i zagęszczaniu koryta gruntowego i obejmują wykonanie: </w:t>
      </w:r>
    </w:p>
    <w:p w:rsidR="00904BD7" w:rsidRPr="006640A1" w:rsidRDefault="00904BD7" w:rsidP="0097494B">
      <w:pPr>
        <w:widowControl w:val="0"/>
        <w:numPr>
          <w:ilvl w:val="0"/>
          <w:numId w:val="46"/>
        </w:numPr>
        <w:jc w:val="both"/>
        <w:rPr>
          <w:snapToGrid w:val="0"/>
        </w:rPr>
      </w:pPr>
      <w:r w:rsidRPr="006640A1">
        <w:rPr>
          <w:snapToGrid w:val="0"/>
        </w:rPr>
        <w:t xml:space="preserve">Profilowanie i zagęszczenie podłoża z gr. kat. II-IV w miejscu wykonywania </w:t>
      </w:r>
      <w:r>
        <w:rPr>
          <w:snapToGrid w:val="0"/>
        </w:rPr>
        <w:t>konstrukcji jezdni i poboczy</w:t>
      </w:r>
    </w:p>
    <w:p w:rsidR="00904BD7" w:rsidRDefault="00904BD7" w:rsidP="0097494B">
      <w:pPr>
        <w:widowControl w:val="0"/>
        <w:numPr>
          <w:ilvl w:val="0"/>
          <w:numId w:val="46"/>
        </w:numPr>
        <w:jc w:val="both"/>
        <w:rPr>
          <w:snapToGrid w:val="0"/>
        </w:rPr>
      </w:pPr>
      <w:r>
        <w:rPr>
          <w:snapToGrid w:val="0"/>
        </w:rPr>
        <w:t>Mechaniczny załadunek nadmiaru gruntu z odwozem na wysypisko i utylizacją,  grunt kat. II-IV,</w:t>
      </w:r>
    </w:p>
    <w:p w:rsidR="00904BD7" w:rsidRPr="00593149" w:rsidRDefault="00904BD7" w:rsidP="00904BD7">
      <w:pPr>
        <w:widowControl w:val="0"/>
        <w:ind w:right="900"/>
        <w:rPr>
          <w:b/>
          <w:snapToGrid w:val="0"/>
        </w:rPr>
      </w:pPr>
      <w:r w:rsidRPr="00593149">
        <w:rPr>
          <w:b/>
          <w:snapToGrid w:val="0"/>
        </w:rPr>
        <w:t>1.4 Określenia podstawowe</w:t>
      </w:r>
    </w:p>
    <w:p w:rsidR="00904BD7" w:rsidRDefault="00904BD7" w:rsidP="00904BD7">
      <w:pPr>
        <w:pStyle w:val="Tekstpodstawowywcity3"/>
        <w:spacing w:before="0" w:after="0"/>
        <w:ind w:left="142" w:firstLine="0"/>
        <w:jc w:val="both"/>
        <w:rPr>
          <w:rFonts w:ascii="Times New Roman" w:hAnsi="Times New Roman"/>
          <w:b w:val="0"/>
          <w:sz w:val="20"/>
        </w:rPr>
      </w:pPr>
      <w:r>
        <w:rPr>
          <w:rFonts w:ascii="Times New Roman" w:hAnsi="Times New Roman"/>
          <w:b w:val="0"/>
          <w:sz w:val="20"/>
        </w:rPr>
        <w:t>Określenia podane w niniejszej ST są zgodne z obowiązującymi odpowiednimi normami i Specyfikacją Techniczną D-M.00.00.00.</w:t>
      </w:r>
    </w:p>
    <w:p w:rsidR="00904BD7" w:rsidRPr="00593149" w:rsidRDefault="00904BD7" w:rsidP="00904BD7">
      <w:pPr>
        <w:widowControl w:val="0"/>
        <w:rPr>
          <w:b/>
          <w:snapToGrid w:val="0"/>
        </w:rPr>
      </w:pPr>
      <w:r w:rsidRPr="00593149">
        <w:rPr>
          <w:b/>
          <w:snapToGrid w:val="0"/>
        </w:rPr>
        <w:t>1.5 Ogólne wymagania dotyczące robót.</w:t>
      </w:r>
    </w:p>
    <w:p w:rsidR="00904BD7" w:rsidRDefault="00904BD7" w:rsidP="00904BD7">
      <w:pPr>
        <w:pStyle w:val="Tekstpodstawowywcity3"/>
        <w:spacing w:before="0" w:after="0"/>
        <w:ind w:left="0" w:firstLine="0"/>
        <w:rPr>
          <w:rFonts w:ascii="Times New Roman" w:hAnsi="Times New Roman"/>
          <w:b w:val="0"/>
          <w:bCs/>
          <w:sz w:val="20"/>
        </w:rPr>
      </w:pPr>
      <w:r>
        <w:rPr>
          <w:rFonts w:ascii="Times New Roman" w:hAnsi="Times New Roman"/>
          <w:b w:val="0"/>
          <w:sz w:val="20"/>
        </w:rPr>
        <w:t>Wykonawca robót jest odpowiedzialny za jakość ich wykonania oraz za zgodność z Dokumentacją</w:t>
      </w:r>
      <w:r>
        <w:rPr>
          <w:rFonts w:ascii="Times New Roman" w:hAnsi="Times New Roman"/>
          <w:b w:val="0"/>
          <w:bCs/>
          <w:sz w:val="20"/>
        </w:rPr>
        <w:t>Projektową, ST i poleceniami Inżyniera.</w:t>
      </w:r>
    </w:p>
    <w:p w:rsidR="00904BD7" w:rsidRDefault="00904BD7" w:rsidP="00904BD7">
      <w:pPr>
        <w:widowControl w:val="0"/>
        <w:ind w:firstLine="708"/>
        <w:rPr>
          <w:snapToGrid w:val="0"/>
        </w:rPr>
      </w:pPr>
      <w:r>
        <w:rPr>
          <w:snapToGrid w:val="0"/>
        </w:rPr>
        <w:t>Ogólne wymagania dotyczące robót podano w ST D-M.00.00.00 „Wymagania ogólne".</w:t>
      </w:r>
    </w:p>
    <w:p w:rsidR="00904BD7" w:rsidRPr="004855F8" w:rsidRDefault="00904BD7" w:rsidP="00904BD7">
      <w:pPr>
        <w:pStyle w:val="spis"/>
        <w:rPr>
          <w:rStyle w:val="Styl11ptPogrubieniePodkrelenie1"/>
          <w:b/>
          <w:bCs w:val="0"/>
        </w:rPr>
      </w:pPr>
      <w:r w:rsidRPr="004855F8">
        <w:rPr>
          <w:rStyle w:val="Styl11ptPogrubieniePodkrelenie1"/>
          <w:b/>
          <w:bCs w:val="0"/>
        </w:rPr>
        <w:t>2.MATERIAŁY</w:t>
      </w:r>
    </w:p>
    <w:p w:rsidR="00904BD7" w:rsidRDefault="00904BD7" w:rsidP="00904BD7">
      <w:pPr>
        <w:widowControl w:val="0"/>
        <w:tabs>
          <w:tab w:val="left" w:pos="4760"/>
          <w:tab w:val="left" w:pos="7780"/>
          <w:tab w:val="left" w:pos="8940"/>
        </w:tabs>
        <w:ind w:left="40" w:right="-6"/>
        <w:rPr>
          <w:snapToGrid w:val="0"/>
          <w:color w:val="0000FF"/>
        </w:rPr>
      </w:pPr>
      <w:r>
        <w:rPr>
          <w:snapToGrid w:val="0"/>
        </w:rPr>
        <w:t>Nie występują</w:t>
      </w:r>
      <w:r>
        <w:rPr>
          <w:snapToGrid w:val="0"/>
          <w:color w:val="0000FF"/>
        </w:rPr>
        <w:t xml:space="preserve">.     </w:t>
      </w:r>
    </w:p>
    <w:p w:rsidR="00904BD7" w:rsidRDefault="00904BD7" w:rsidP="00904BD7">
      <w:pPr>
        <w:pStyle w:val="spis"/>
      </w:pPr>
      <w:r>
        <w:t>3. SPRZĘT</w:t>
      </w:r>
    </w:p>
    <w:p w:rsidR="00904BD7" w:rsidRPr="00593149" w:rsidRDefault="00904BD7" w:rsidP="00904BD7">
      <w:pPr>
        <w:pStyle w:val="Nagwek2"/>
        <w:spacing w:before="0" w:after="0"/>
        <w:rPr>
          <w:rFonts w:ascii="Times New Roman" w:hAnsi="Times New Roman"/>
          <w:b/>
        </w:rPr>
      </w:pPr>
      <w:r w:rsidRPr="00593149">
        <w:rPr>
          <w:rFonts w:ascii="Times New Roman" w:hAnsi="Times New Roman"/>
          <w:b/>
        </w:rPr>
        <w:t>3.1. Ogólne wymagania dotyczące sprzętu</w:t>
      </w:r>
    </w:p>
    <w:p w:rsidR="00904BD7" w:rsidRDefault="00904BD7" w:rsidP="00904BD7">
      <w:pPr>
        <w:jc w:val="both"/>
      </w:pPr>
      <w:r>
        <w:tab/>
        <w:t>Ogólne wymagania dotyczące sprzętu podano w ST D-M-00.00.00 „Wymagania ogólne”.</w:t>
      </w:r>
    </w:p>
    <w:p w:rsidR="00904BD7" w:rsidRPr="00593149" w:rsidRDefault="00904BD7" w:rsidP="00904BD7">
      <w:pPr>
        <w:pStyle w:val="Nagwek2"/>
        <w:spacing w:before="0" w:after="0"/>
        <w:rPr>
          <w:rFonts w:ascii="Times New Roman" w:hAnsi="Times New Roman"/>
          <w:b/>
        </w:rPr>
      </w:pPr>
      <w:r w:rsidRPr="00593149">
        <w:rPr>
          <w:rFonts w:ascii="Times New Roman" w:hAnsi="Times New Roman"/>
          <w:b/>
        </w:rPr>
        <w:t>3.2. Sprzęt do wykonania robót</w:t>
      </w:r>
    </w:p>
    <w:p w:rsidR="00904BD7" w:rsidRDefault="00904BD7" w:rsidP="00904BD7">
      <w:pPr>
        <w:ind w:firstLine="709"/>
        <w:jc w:val="both"/>
      </w:pPr>
      <w:r>
        <w:t>Wykonawca przystępujący do wykonania koryta i profilowania podłoża powinien wykazać się możliwością korzystania z następującego sprzętu:</w:t>
      </w:r>
    </w:p>
    <w:p w:rsidR="00904BD7" w:rsidRDefault="00904BD7" w:rsidP="0097494B">
      <w:pPr>
        <w:numPr>
          <w:ilvl w:val="0"/>
          <w:numId w:val="47"/>
        </w:numPr>
        <w:jc w:val="both"/>
      </w:pPr>
      <w:r>
        <w:t>równiarek lub spycharek uniwersalnych z ukośnie ustawianym lemieszem; Inżynier może dopuścić wykonanie koryta i profilowanie podłoża z zastosowaniem spycharki z lemieszem ustawionym prostopadle do kierunku pracy maszyny,</w:t>
      </w:r>
    </w:p>
    <w:p w:rsidR="00904BD7" w:rsidRDefault="00904BD7" w:rsidP="0097494B">
      <w:pPr>
        <w:numPr>
          <w:ilvl w:val="0"/>
          <w:numId w:val="47"/>
        </w:numPr>
        <w:jc w:val="both"/>
      </w:pPr>
      <w:r>
        <w:t>koparek z czerpakami profilowymi (przy wykonywaniu wąskich koryt),</w:t>
      </w:r>
    </w:p>
    <w:p w:rsidR="00904BD7" w:rsidRDefault="00904BD7" w:rsidP="0097494B">
      <w:pPr>
        <w:numPr>
          <w:ilvl w:val="0"/>
          <w:numId w:val="47"/>
        </w:numPr>
        <w:jc w:val="both"/>
      </w:pPr>
      <w:r>
        <w:t>walców statycznych, wibracyjnych lub płyt wibracyjnych.</w:t>
      </w:r>
    </w:p>
    <w:p w:rsidR="00904BD7" w:rsidRDefault="00904BD7" w:rsidP="0097494B">
      <w:pPr>
        <w:numPr>
          <w:ilvl w:val="0"/>
          <w:numId w:val="47"/>
        </w:numPr>
        <w:jc w:val="both"/>
      </w:pPr>
      <w:r>
        <w:t>Sprzęt ręczny</w:t>
      </w:r>
    </w:p>
    <w:p w:rsidR="00904BD7" w:rsidRDefault="00904BD7" w:rsidP="00904BD7">
      <w:pPr>
        <w:jc w:val="both"/>
      </w:pPr>
      <w:r>
        <w:tab/>
        <w:t>Stosowany sprzęt nie może spowodować niekorzystnego wpływu na właściwości gruntu podłoża.</w:t>
      </w:r>
    </w:p>
    <w:p w:rsidR="00904BD7" w:rsidRDefault="00904BD7" w:rsidP="00904BD7">
      <w:pPr>
        <w:pStyle w:val="spis"/>
      </w:pPr>
      <w:r>
        <w:t xml:space="preserve">4. TRANSPORT  </w:t>
      </w:r>
    </w:p>
    <w:p w:rsidR="00904BD7" w:rsidRDefault="00904BD7" w:rsidP="00904BD7">
      <w:pPr>
        <w:widowControl w:val="0"/>
        <w:ind w:right="-2"/>
      </w:pPr>
      <w:r>
        <w:t xml:space="preserve">      Dowolnymi środkami transportu zaakceptowanymi przez Inżyniera.</w:t>
      </w:r>
    </w:p>
    <w:p w:rsidR="00904BD7" w:rsidRDefault="00904BD7" w:rsidP="00904BD7">
      <w:pPr>
        <w:widowControl w:val="0"/>
        <w:spacing w:before="120" w:after="120"/>
        <w:ind w:right="5279"/>
        <w:rPr>
          <w:b/>
          <w:snapToGrid w:val="0"/>
          <w:sz w:val="22"/>
          <w:u w:val="single"/>
        </w:rPr>
      </w:pPr>
      <w:r>
        <w:rPr>
          <w:b/>
          <w:snapToGrid w:val="0"/>
          <w:sz w:val="22"/>
          <w:u w:val="single"/>
        </w:rPr>
        <w:t>5. WYKONANIE ROBÓT</w:t>
      </w:r>
    </w:p>
    <w:p w:rsidR="00904BD7" w:rsidRPr="00593149" w:rsidRDefault="00904BD7" w:rsidP="00904BD7">
      <w:pPr>
        <w:widowControl w:val="0"/>
        <w:ind w:right="5280"/>
        <w:rPr>
          <w:b/>
          <w:bCs/>
          <w:snapToGrid w:val="0"/>
        </w:rPr>
      </w:pPr>
      <w:r w:rsidRPr="00593149">
        <w:rPr>
          <w:b/>
          <w:bCs/>
          <w:snapToGrid w:val="0"/>
        </w:rPr>
        <w:t>5.1 Ogólne warunki wykonania robót</w:t>
      </w:r>
    </w:p>
    <w:p w:rsidR="00904BD7" w:rsidRDefault="00904BD7" w:rsidP="00904BD7">
      <w:pPr>
        <w:widowControl w:val="0"/>
        <w:ind w:firstLine="708"/>
        <w:rPr>
          <w:snapToGrid w:val="0"/>
        </w:rPr>
      </w:pPr>
      <w:r>
        <w:rPr>
          <w:snapToGrid w:val="0"/>
        </w:rPr>
        <w:t>Ogólne warunki wykonania robót podano w ST D-M.00.00.00 „Wymagania ogólne".</w:t>
      </w:r>
    </w:p>
    <w:p w:rsidR="00904BD7" w:rsidRPr="00593149" w:rsidRDefault="00904BD7" w:rsidP="00904BD7">
      <w:pPr>
        <w:pStyle w:val="Nagwek2"/>
        <w:spacing w:before="0" w:after="0"/>
        <w:jc w:val="both"/>
        <w:rPr>
          <w:rFonts w:ascii="Times New Roman" w:hAnsi="Times New Roman"/>
          <w:b/>
        </w:rPr>
      </w:pPr>
      <w:r w:rsidRPr="00593149">
        <w:rPr>
          <w:rFonts w:ascii="Times New Roman" w:hAnsi="Times New Roman"/>
          <w:b/>
        </w:rPr>
        <w:t>5.2. Warunki przystąpienia do robót</w:t>
      </w:r>
    </w:p>
    <w:p w:rsidR="00904BD7" w:rsidRDefault="00904BD7" w:rsidP="00904BD7">
      <w:pPr>
        <w:jc w:val="both"/>
      </w:pPr>
      <w:r>
        <w:tab/>
        <w:t>Wykonawca powinien przystąpić do wykonania koryta oraz profilowania i zagęszczenia podłoża bezpośrednio przed rozpoczęciem robót związanych z wykonaniem warstw nawierzchni. Wcześniejsze przystąpienie do wykonania koryta oraz profilowania i zagęszczania podłoża jest możliwe wyłącznie za zgodą Inżyniera, w korzystnych warunkach atmosferycznych.</w:t>
      </w:r>
    </w:p>
    <w:p w:rsidR="00904BD7" w:rsidRDefault="00904BD7" w:rsidP="00904BD7">
      <w:pPr>
        <w:jc w:val="both"/>
      </w:pPr>
      <w:r>
        <w:tab/>
        <w:t>W wykonanym korycie oraz po wyprofilowanym i zagęszczonym podłożu nie może odbywać się ruch budowlany, niezwiązany bezpośrednio z wykonaniem pierwszej warstwy nawierzchni.</w:t>
      </w:r>
    </w:p>
    <w:p w:rsidR="00904BD7" w:rsidRPr="00593149" w:rsidRDefault="00904BD7" w:rsidP="00904BD7">
      <w:pPr>
        <w:pStyle w:val="Nagwek2"/>
        <w:spacing w:before="0" w:after="0"/>
        <w:jc w:val="both"/>
        <w:rPr>
          <w:rFonts w:ascii="Times New Roman" w:hAnsi="Times New Roman"/>
          <w:b/>
        </w:rPr>
      </w:pPr>
      <w:r w:rsidRPr="00593149">
        <w:rPr>
          <w:rFonts w:ascii="Times New Roman" w:hAnsi="Times New Roman"/>
          <w:b/>
        </w:rPr>
        <w:t>5.3. Wykonanie koryta</w:t>
      </w:r>
    </w:p>
    <w:p w:rsidR="00904BD7" w:rsidRDefault="00904BD7" w:rsidP="00904BD7">
      <w:pPr>
        <w:jc w:val="both"/>
      </w:pPr>
      <w:r>
        <w:tab/>
        <w:t>Paliki lub szpilki do prawidłowego ukształtowania koryta w planie i profilu powinny być wcześniej przygotowane.</w:t>
      </w:r>
    </w:p>
    <w:p w:rsidR="00904BD7" w:rsidRDefault="00904BD7" w:rsidP="00904BD7">
      <w:pPr>
        <w:jc w:val="both"/>
      </w:pPr>
      <w:r>
        <w:tab/>
        <w:t xml:space="preserve">Paliki lub szpilki należy ustawiać w osi drogi i w rzędach równoległych do osi drogi lub w inny sposób zaakceptowany przez Inżyniera. Rozmieszczenie palików lub szpilek powinno umożliwiać naciągnięcie sznurków lub linek do wytyczenia robót w odstępach nie większych niż co </w:t>
      </w:r>
      <w:smartTag w:uri="urn:schemas-microsoft-com:office:smarttags" w:element="metricconverter">
        <w:smartTagPr>
          <w:attr w:name="ProductID" w:val="10 metr￳w"/>
        </w:smartTagPr>
        <w:r>
          <w:t>10 metrów</w:t>
        </w:r>
      </w:smartTag>
      <w:r>
        <w:t>.</w:t>
      </w:r>
    </w:p>
    <w:p w:rsidR="00904BD7" w:rsidRDefault="00904BD7" w:rsidP="00904BD7">
      <w:pPr>
        <w:jc w:val="both"/>
      </w:pPr>
      <w:r>
        <w:tab/>
        <w:t xml:space="preserve">Rodzaj sprzętu, a w szczególności jego moc należy dostosować do rodzaju gruntu, w którym prowadzone są roboty i do trudności jego odspojenia. </w:t>
      </w:r>
    </w:p>
    <w:p w:rsidR="00904BD7" w:rsidRDefault="00904BD7" w:rsidP="00904BD7">
      <w:pPr>
        <w:jc w:val="both"/>
      </w:pPr>
      <w:r>
        <w:tab/>
        <w:t>Koryto można wykonywać ręcznie, gdy jego szerokość nie pozwala na zastosowanie maszyn, na przykład na poszerzeniach lub w przypadku robót o małym zakresie. Sposób wykonania musi być zaakceptowany przez Inżyniera.</w:t>
      </w:r>
    </w:p>
    <w:p w:rsidR="00904BD7" w:rsidRDefault="00904BD7" w:rsidP="00904BD7">
      <w:pPr>
        <w:jc w:val="both"/>
      </w:pPr>
      <w:r>
        <w:tab/>
        <w:t>Grunt odspojony w czasie wykonywania koryta powinien być wykorzystany zgodnie z ustaleniami dokumentacji projektowej i ST, tj. wbudowany w nasyp lub odwieziony na odkład w miejsce wskazane przez Inżyniera.</w:t>
      </w:r>
    </w:p>
    <w:p w:rsidR="00904BD7" w:rsidRDefault="00904BD7" w:rsidP="00904BD7">
      <w:pPr>
        <w:jc w:val="both"/>
      </w:pPr>
      <w:r>
        <w:tab/>
        <w:t>Profilowanie i zagęszczenie podłoża należy wykonać zgodnie z zasadami określonymi w pkt 5.4.</w:t>
      </w:r>
    </w:p>
    <w:p w:rsidR="00904BD7" w:rsidRPr="00593149" w:rsidRDefault="00904BD7" w:rsidP="00904BD7">
      <w:pPr>
        <w:pStyle w:val="Nagwek2"/>
        <w:spacing w:before="0" w:after="0"/>
        <w:jc w:val="both"/>
        <w:rPr>
          <w:rFonts w:ascii="Times New Roman" w:hAnsi="Times New Roman"/>
          <w:b/>
        </w:rPr>
      </w:pPr>
      <w:r w:rsidRPr="00593149">
        <w:rPr>
          <w:rFonts w:ascii="Times New Roman" w:hAnsi="Times New Roman"/>
          <w:b/>
        </w:rPr>
        <w:t>5.4. Profilowanie i zagęszczanie podłoża</w:t>
      </w:r>
    </w:p>
    <w:p w:rsidR="00904BD7" w:rsidRDefault="00904BD7" w:rsidP="00904BD7">
      <w:pPr>
        <w:jc w:val="both"/>
      </w:pPr>
      <w:r>
        <w:tab/>
        <w:t>Przed przystąpieniem do profilowania podłoże powinno być oczyszczone ze wszelkich zanieczyszczeń.</w:t>
      </w:r>
    </w:p>
    <w:p w:rsidR="00904BD7" w:rsidRDefault="00904BD7" w:rsidP="00904BD7">
      <w:pPr>
        <w:jc w:val="both"/>
      </w:pPr>
      <w:r>
        <w:tab/>
        <w:t xml:space="preserve">Po oczyszczeniu powierzchni podłoża należy sprawdzić, czy istniejące rzędne terenu umożliwiają uzyskanie po profilowaniu zaprojektowanych rzędnych podłoża. Zaleca się, aby rzędne terenu przed profilowaniem były o co najmniej </w:t>
      </w:r>
      <w:smartTag w:uri="urn:schemas-microsoft-com:office:smarttags" w:element="metricconverter">
        <w:smartTagPr>
          <w:attr w:name="ProductID" w:val="5 cm"/>
        </w:smartTagPr>
        <w:r>
          <w:t>5 cm</w:t>
        </w:r>
      </w:smartTag>
      <w:r>
        <w:t xml:space="preserve"> wyższe niż projektowane rzędne podłoża.</w:t>
      </w:r>
    </w:p>
    <w:p w:rsidR="00904BD7" w:rsidRDefault="00904BD7" w:rsidP="00904BD7">
      <w:pPr>
        <w:jc w:val="both"/>
      </w:pPr>
      <w:r>
        <w:tab/>
        <w:t>Jeżeli powyższy warunek nie jest spełniony i występują zaniżenia poziomu w podłożu przewidzianym do profilowania, Wykonawca powinien spulchnić podłoże na głębokość zaakceptowaną przez Inżyniera, dowieźć dodatkowy grunt spełniający wymagania obowiązujące dla górnej strefy korpusu, w ilości koniecznej do uzyskania wymaganych rzędnych wysokościowych i zagęścić warstwę do uzyskania wartości wskaźnika zagęszczenia, określonych w tablicy 1.</w:t>
      </w:r>
    </w:p>
    <w:p w:rsidR="00904BD7" w:rsidRDefault="00904BD7" w:rsidP="00904BD7">
      <w:pPr>
        <w:jc w:val="both"/>
      </w:pPr>
      <w:r>
        <w:tab/>
        <w:t>Do profilowania podłoża należy stosować równiarki. Ścięty grunt powinien być wykorzystany w robotach ziemnych lub w inny sposób zaakceptowany przez Inżyniera.</w:t>
      </w:r>
    </w:p>
    <w:p w:rsidR="00904BD7" w:rsidRDefault="00904BD7" w:rsidP="00904BD7">
      <w:pPr>
        <w:jc w:val="both"/>
      </w:pPr>
      <w:r>
        <w:tab/>
        <w:t>Bezpośrednio po profilowaniu podłoża należy przystąpić do jego zagęszczania. Zagęszczanie podłoża należy kontynuować do osiągnięcia wskaźnika zagęszczenia nie mniejszego od podanego w tablicy poniżej. Wskaźnik zagęszczenia należy określać zgodnie z BN-77/8931-12.</w:t>
      </w:r>
    </w:p>
    <w:p w:rsidR="00904BD7" w:rsidRDefault="00904BD7" w:rsidP="00904BD7">
      <w:pPr>
        <w:spacing w:before="120" w:after="120"/>
        <w:jc w:val="both"/>
        <w:rPr>
          <w:i/>
        </w:rPr>
      </w:pPr>
      <w:r>
        <w:rPr>
          <w:i/>
        </w:rPr>
        <w:t>Minimalne wartości wskaźnika zagęszczenia podłoża (I</w:t>
      </w:r>
      <w:r>
        <w:rPr>
          <w:i/>
          <w:vertAlign w:val="subscript"/>
        </w:rPr>
        <w:t>s</w:t>
      </w:r>
      <w:r>
        <w:rPr>
          <w:i/>
        </w:rPr>
        <w:t>)</w:t>
      </w:r>
    </w:p>
    <w:tbl>
      <w:tblPr>
        <w:tblW w:w="0" w:type="auto"/>
        <w:jc w:val="center"/>
        <w:tblLayout w:type="fixed"/>
        <w:tblCellMar>
          <w:left w:w="70" w:type="dxa"/>
          <w:right w:w="70" w:type="dxa"/>
        </w:tblCellMar>
        <w:tblLook w:val="0000" w:firstRow="0" w:lastRow="0" w:firstColumn="0" w:lastColumn="0" w:noHBand="0" w:noVBand="0"/>
      </w:tblPr>
      <w:tblGrid>
        <w:gridCol w:w="3810"/>
        <w:gridCol w:w="1870"/>
        <w:gridCol w:w="1870"/>
        <w:gridCol w:w="2057"/>
      </w:tblGrid>
      <w:tr w:rsidR="00904BD7" w:rsidTr="00904BD7">
        <w:trPr>
          <w:jc w:val="center"/>
        </w:trPr>
        <w:tc>
          <w:tcPr>
            <w:tcW w:w="3810" w:type="dxa"/>
            <w:tcBorders>
              <w:top w:val="single" w:sz="6" w:space="0" w:color="auto"/>
              <w:left w:val="single" w:sz="6" w:space="0" w:color="auto"/>
              <w:bottom w:val="nil"/>
              <w:right w:val="nil"/>
            </w:tcBorders>
          </w:tcPr>
          <w:p w:rsidR="00904BD7" w:rsidRDefault="00904BD7" w:rsidP="00904BD7">
            <w:pPr>
              <w:overflowPunct w:val="0"/>
              <w:autoSpaceDE w:val="0"/>
              <w:autoSpaceDN w:val="0"/>
              <w:adjustRightInd w:val="0"/>
              <w:jc w:val="center"/>
              <w:rPr>
                <w:b/>
              </w:rPr>
            </w:pPr>
          </w:p>
        </w:tc>
        <w:tc>
          <w:tcPr>
            <w:tcW w:w="5797" w:type="dxa"/>
            <w:gridSpan w:val="3"/>
            <w:tcBorders>
              <w:top w:val="single" w:sz="6" w:space="0" w:color="auto"/>
              <w:left w:val="single" w:sz="6" w:space="0" w:color="auto"/>
              <w:bottom w:val="single" w:sz="6" w:space="0" w:color="auto"/>
              <w:right w:val="single" w:sz="6" w:space="0" w:color="auto"/>
            </w:tcBorders>
          </w:tcPr>
          <w:p w:rsidR="00904BD7" w:rsidRDefault="00904BD7" w:rsidP="00904BD7">
            <w:pPr>
              <w:overflowPunct w:val="0"/>
              <w:autoSpaceDE w:val="0"/>
              <w:autoSpaceDN w:val="0"/>
              <w:adjustRightInd w:val="0"/>
              <w:jc w:val="center"/>
              <w:rPr>
                <w:bCs/>
              </w:rPr>
            </w:pPr>
            <w:r>
              <w:rPr>
                <w:bCs/>
              </w:rPr>
              <w:t>Minimalna wartość I</w:t>
            </w:r>
            <w:r>
              <w:rPr>
                <w:bCs/>
                <w:vertAlign w:val="subscript"/>
              </w:rPr>
              <w:t>s</w:t>
            </w:r>
            <w:r>
              <w:rPr>
                <w:bCs/>
              </w:rPr>
              <w:t xml:space="preserve"> dla:</w:t>
            </w:r>
          </w:p>
        </w:tc>
      </w:tr>
      <w:tr w:rsidR="00904BD7" w:rsidTr="00904BD7">
        <w:trPr>
          <w:jc w:val="center"/>
        </w:trPr>
        <w:tc>
          <w:tcPr>
            <w:tcW w:w="3810" w:type="dxa"/>
            <w:tcBorders>
              <w:top w:val="nil"/>
              <w:left w:val="single" w:sz="6" w:space="0" w:color="auto"/>
              <w:bottom w:val="nil"/>
              <w:right w:val="nil"/>
            </w:tcBorders>
          </w:tcPr>
          <w:p w:rsidR="00904BD7" w:rsidRDefault="00904BD7" w:rsidP="00904BD7">
            <w:pPr>
              <w:pStyle w:val="Table"/>
              <w:overflowPunct w:val="0"/>
              <w:autoSpaceDE w:val="0"/>
              <w:autoSpaceDN w:val="0"/>
              <w:adjustRightInd w:val="0"/>
              <w:spacing w:after="0"/>
              <w:rPr>
                <w:rFonts w:ascii="Times New Roman" w:hAnsi="Times New Roman"/>
                <w:bCs/>
                <w:snapToGrid/>
              </w:rPr>
            </w:pPr>
            <w:r>
              <w:rPr>
                <w:rFonts w:ascii="Times New Roman" w:hAnsi="Times New Roman"/>
                <w:bCs/>
                <w:snapToGrid/>
              </w:rPr>
              <w:t>Strefa</w:t>
            </w:r>
          </w:p>
        </w:tc>
        <w:tc>
          <w:tcPr>
            <w:tcW w:w="1870" w:type="dxa"/>
            <w:tcBorders>
              <w:top w:val="nil"/>
              <w:left w:val="single" w:sz="6" w:space="0" w:color="auto"/>
              <w:bottom w:val="nil"/>
              <w:right w:val="nil"/>
            </w:tcBorders>
          </w:tcPr>
          <w:p w:rsidR="00904BD7" w:rsidRDefault="00904BD7" w:rsidP="00904BD7">
            <w:pPr>
              <w:overflowPunct w:val="0"/>
              <w:autoSpaceDE w:val="0"/>
              <w:autoSpaceDN w:val="0"/>
              <w:adjustRightInd w:val="0"/>
              <w:jc w:val="center"/>
              <w:rPr>
                <w:bCs/>
              </w:rPr>
            </w:pPr>
            <w:r>
              <w:rPr>
                <w:bCs/>
              </w:rPr>
              <w:t>Autostrad i dróg</w:t>
            </w:r>
          </w:p>
        </w:tc>
        <w:tc>
          <w:tcPr>
            <w:tcW w:w="3927" w:type="dxa"/>
            <w:gridSpan w:val="2"/>
            <w:tcBorders>
              <w:top w:val="single" w:sz="6" w:space="0" w:color="auto"/>
              <w:left w:val="single" w:sz="6" w:space="0" w:color="auto"/>
              <w:bottom w:val="single" w:sz="6" w:space="0" w:color="auto"/>
              <w:right w:val="single" w:sz="6" w:space="0" w:color="auto"/>
            </w:tcBorders>
          </w:tcPr>
          <w:p w:rsidR="00904BD7" w:rsidRDefault="00904BD7" w:rsidP="00904BD7">
            <w:pPr>
              <w:overflowPunct w:val="0"/>
              <w:autoSpaceDE w:val="0"/>
              <w:autoSpaceDN w:val="0"/>
              <w:adjustRightInd w:val="0"/>
              <w:jc w:val="center"/>
              <w:rPr>
                <w:bCs/>
              </w:rPr>
            </w:pPr>
            <w:r>
              <w:rPr>
                <w:bCs/>
              </w:rPr>
              <w:t>Innych dróg</w:t>
            </w:r>
          </w:p>
        </w:tc>
      </w:tr>
      <w:tr w:rsidR="00904BD7" w:rsidTr="00904BD7">
        <w:trPr>
          <w:jc w:val="center"/>
        </w:trPr>
        <w:tc>
          <w:tcPr>
            <w:tcW w:w="3810" w:type="dxa"/>
            <w:tcBorders>
              <w:top w:val="nil"/>
              <w:left w:val="single" w:sz="6" w:space="0" w:color="auto"/>
              <w:bottom w:val="double" w:sz="6" w:space="0" w:color="auto"/>
              <w:right w:val="nil"/>
            </w:tcBorders>
          </w:tcPr>
          <w:p w:rsidR="00904BD7" w:rsidRDefault="00904BD7" w:rsidP="00904BD7">
            <w:pPr>
              <w:overflowPunct w:val="0"/>
              <w:autoSpaceDE w:val="0"/>
              <w:autoSpaceDN w:val="0"/>
              <w:adjustRightInd w:val="0"/>
              <w:jc w:val="center"/>
              <w:rPr>
                <w:bCs/>
              </w:rPr>
            </w:pPr>
            <w:r>
              <w:rPr>
                <w:bCs/>
              </w:rPr>
              <w:t>korpusu</w:t>
            </w:r>
          </w:p>
        </w:tc>
        <w:tc>
          <w:tcPr>
            <w:tcW w:w="1870" w:type="dxa"/>
            <w:tcBorders>
              <w:top w:val="nil"/>
              <w:left w:val="single" w:sz="6" w:space="0" w:color="auto"/>
              <w:bottom w:val="double" w:sz="6" w:space="0" w:color="auto"/>
              <w:right w:val="nil"/>
            </w:tcBorders>
          </w:tcPr>
          <w:p w:rsidR="00904BD7" w:rsidRDefault="00904BD7" w:rsidP="00904BD7">
            <w:pPr>
              <w:overflowPunct w:val="0"/>
              <w:autoSpaceDE w:val="0"/>
              <w:autoSpaceDN w:val="0"/>
              <w:adjustRightInd w:val="0"/>
              <w:jc w:val="center"/>
              <w:rPr>
                <w:bCs/>
              </w:rPr>
            </w:pPr>
            <w:r>
              <w:rPr>
                <w:bCs/>
              </w:rPr>
              <w:t>ekspresowych</w:t>
            </w:r>
          </w:p>
        </w:tc>
        <w:tc>
          <w:tcPr>
            <w:tcW w:w="1870" w:type="dxa"/>
            <w:tcBorders>
              <w:top w:val="single" w:sz="6" w:space="0" w:color="auto"/>
              <w:left w:val="single" w:sz="6" w:space="0" w:color="auto"/>
              <w:bottom w:val="double" w:sz="6" w:space="0" w:color="auto"/>
              <w:right w:val="single" w:sz="6" w:space="0" w:color="auto"/>
            </w:tcBorders>
          </w:tcPr>
          <w:p w:rsidR="00904BD7" w:rsidRDefault="00904BD7" w:rsidP="00904BD7">
            <w:pPr>
              <w:ind w:left="213" w:right="317"/>
              <w:jc w:val="center"/>
              <w:rPr>
                <w:bCs/>
              </w:rPr>
            </w:pPr>
            <w:r>
              <w:rPr>
                <w:bCs/>
              </w:rPr>
              <w:t>Ruch ciężki</w:t>
            </w:r>
          </w:p>
          <w:p w:rsidR="00904BD7" w:rsidRDefault="00904BD7" w:rsidP="00904BD7">
            <w:pPr>
              <w:overflowPunct w:val="0"/>
              <w:autoSpaceDE w:val="0"/>
              <w:autoSpaceDN w:val="0"/>
              <w:adjustRightInd w:val="0"/>
              <w:ind w:left="71" w:right="34"/>
              <w:jc w:val="center"/>
              <w:rPr>
                <w:bCs/>
              </w:rPr>
            </w:pPr>
            <w:r>
              <w:rPr>
                <w:bCs/>
              </w:rPr>
              <w:t>i bardzo ciężki</w:t>
            </w:r>
          </w:p>
        </w:tc>
        <w:tc>
          <w:tcPr>
            <w:tcW w:w="2057" w:type="dxa"/>
            <w:tcBorders>
              <w:top w:val="single" w:sz="6" w:space="0" w:color="auto"/>
              <w:left w:val="single" w:sz="6" w:space="0" w:color="auto"/>
              <w:bottom w:val="double" w:sz="6" w:space="0" w:color="auto"/>
              <w:right w:val="single" w:sz="6" w:space="0" w:color="auto"/>
            </w:tcBorders>
          </w:tcPr>
          <w:p w:rsidR="00904BD7" w:rsidRDefault="00904BD7" w:rsidP="00904BD7">
            <w:pPr>
              <w:jc w:val="center"/>
              <w:rPr>
                <w:bCs/>
              </w:rPr>
            </w:pPr>
            <w:r>
              <w:rPr>
                <w:bCs/>
              </w:rPr>
              <w:t>Ruch mniejszy</w:t>
            </w:r>
          </w:p>
          <w:p w:rsidR="00904BD7" w:rsidRDefault="00904BD7" w:rsidP="00904BD7">
            <w:pPr>
              <w:overflowPunct w:val="0"/>
              <w:autoSpaceDE w:val="0"/>
              <w:autoSpaceDN w:val="0"/>
              <w:adjustRightInd w:val="0"/>
              <w:jc w:val="center"/>
              <w:rPr>
                <w:bCs/>
              </w:rPr>
            </w:pPr>
            <w:r>
              <w:rPr>
                <w:bCs/>
              </w:rPr>
              <w:t>od ciężkiego</w:t>
            </w:r>
          </w:p>
        </w:tc>
      </w:tr>
      <w:tr w:rsidR="00904BD7" w:rsidTr="00904BD7">
        <w:trPr>
          <w:jc w:val="center"/>
        </w:trPr>
        <w:tc>
          <w:tcPr>
            <w:tcW w:w="3810" w:type="dxa"/>
            <w:tcBorders>
              <w:top w:val="nil"/>
              <w:left w:val="single" w:sz="6" w:space="0" w:color="auto"/>
              <w:bottom w:val="single" w:sz="6" w:space="0" w:color="auto"/>
              <w:right w:val="single" w:sz="6" w:space="0" w:color="auto"/>
            </w:tcBorders>
          </w:tcPr>
          <w:p w:rsidR="00904BD7" w:rsidRDefault="00904BD7" w:rsidP="00904BD7">
            <w:pPr>
              <w:overflowPunct w:val="0"/>
              <w:autoSpaceDE w:val="0"/>
              <w:autoSpaceDN w:val="0"/>
              <w:adjustRightInd w:val="0"/>
              <w:jc w:val="both"/>
            </w:pPr>
            <w:r>
              <w:t xml:space="preserve">Górna warstwa o grubości </w:t>
            </w:r>
            <w:smartTag w:uri="urn:schemas-microsoft-com:office:smarttags" w:element="metricconverter">
              <w:smartTagPr>
                <w:attr w:name="ProductID" w:val="20 cm"/>
              </w:smartTagPr>
              <w:r>
                <w:t>20 cm</w:t>
              </w:r>
            </w:smartTag>
          </w:p>
        </w:tc>
        <w:tc>
          <w:tcPr>
            <w:tcW w:w="1870" w:type="dxa"/>
            <w:tcBorders>
              <w:top w:val="nil"/>
              <w:left w:val="single" w:sz="6" w:space="0" w:color="auto"/>
              <w:bottom w:val="single" w:sz="6" w:space="0" w:color="auto"/>
              <w:right w:val="single" w:sz="6" w:space="0" w:color="auto"/>
            </w:tcBorders>
          </w:tcPr>
          <w:p w:rsidR="00904BD7" w:rsidRDefault="00904BD7" w:rsidP="00904BD7">
            <w:pPr>
              <w:overflowPunct w:val="0"/>
              <w:autoSpaceDE w:val="0"/>
              <w:autoSpaceDN w:val="0"/>
              <w:adjustRightInd w:val="0"/>
              <w:jc w:val="center"/>
            </w:pPr>
            <w:r>
              <w:t>1,03</w:t>
            </w:r>
          </w:p>
        </w:tc>
        <w:tc>
          <w:tcPr>
            <w:tcW w:w="1870" w:type="dxa"/>
            <w:tcBorders>
              <w:top w:val="nil"/>
              <w:left w:val="single" w:sz="6" w:space="0" w:color="auto"/>
              <w:bottom w:val="single" w:sz="6" w:space="0" w:color="auto"/>
              <w:right w:val="single" w:sz="6" w:space="0" w:color="auto"/>
            </w:tcBorders>
          </w:tcPr>
          <w:p w:rsidR="00904BD7" w:rsidRDefault="00904BD7" w:rsidP="00904BD7">
            <w:pPr>
              <w:overflowPunct w:val="0"/>
              <w:autoSpaceDE w:val="0"/>
              <w:autoSpaceDN w:val="0"/>
              <w:adjustRightInd w:val="0"/>
              <w:jc w:val="center"/>
            </w:pPr>
            <w:r>
              <w:t>1,00</w:t>
            </w:r>
          </w:p>
        </w:tc>
        <w:tc>
          <w:tcPr>
            <w:tcW w:w="2057" w:type="dxa"/>
            <w:tcBorders>
              <w:top w:val="nil"/>
              <w:left w:val="single" w:sz="6" w:space="0" w:color="auto"/>
              <w:bottom w:val="single" w:sz="6" w:space="0" w:color="auto"/>
              <w:right w:val="single" w:sz="6" w:space="0" w:color="auto"/>
            </w:tcBorders>
          </w:tcPr>
          <w:p w:rsidR="00904BD7" w:rsidRDefault="00904BD7" w:rsidP="00904BD7">
            <w:pPr>
              <w:overflowPunct w:val="0"/>
              <w:autoSpaceDE w:val="0"/>
              <w:autoSpaceDN w:val="0"/>
              <w:adjustRightInd w:val="0"/>
              <w:jc w:val="center"/>
            </w:pPr>
            <w:r>
              <w:t>1,00</w:t>
            </w:r>
          </w:p>
        </w:tc>
      </w:tr>
      <w:tr w:rsidR="00904BD7" w:rsidTr="00904BD7">
        <w:trPr>
          <w:jc w:val="center"/>
        </w:trPr>
        <w:tc>
          <w:tcPr>
            <w:tcW w:w="3810" w:type="dxa"/>
            <w:tcBorders>
              <w:top w:val="single" w:sz="6" w:space="0" w:color="auto"/>
              <w:left w:val="single" w:sz="6" w:space="0" w:color="auto"/>
              <w:bottom w:val="single" w:sz="6" w:space="0" w:color="auto"/>
              <w:right w:val="single" w:sz="6" w:space="0" w:color="auto"/>
            </w:tcBorders>
          </w:tcPr>
          <w:p w:rsidR="00904BD7" w:rsidRDefault="00904BD7" w:rsidP="00904BD7">
            <w:pPr>
              <w:overflowPunct w:val="0"/>
              <w:autoSpaceDE w:val="0"/>
              <w:autoSpaceDN w:val="0"/>
              <w:adjustRightInd w:val="0"/>
              <w:jc w:val="both"/>
            </w:pPr>
            <w:r>
              <w:t xml:space="preserve">Na głębokości od 20 do </w:t>
            </w:r>
            <w:smartTag w:uri="urn:schemas-microsoft-com:office:smarttags" w:element="metricconverter">
              <w:smartTagPr>
                <w:attr w:name="ProductID" w:val="50 cm"/>
              </w:smartTagPr>
              <w:r>
                <w:t>50 cm</w:t>
              </w:r>
            </w:smartTag>
            <w:r>
              <w:t xml:space="preserve"> od powierzchni podłoża</w:t>
            </w:r>
          </w:p>
        </w:tc>
        <w:tc>
          <w:tcPr>
            <w:tcW w:w="1870" w:type="dxa"/>
            <w:tcBorders>
              <w:top w:val="single" w:sz="6" w:space="0" w:color="auto"/>
              <w:left w:val="single" w:sz="6" w:space="0" w:color="auto"/>
              <w:bottom w:val="single" w:sz="6" w:space="0" w:color="auto"/>
              <w:right w:val="single" w:sz="6" w:space="0" w:color="auto"/>
            </w:tcBorders>
          </w:tcPr>
          <w:p w:rsidR="00904BD7" w:rsidRDefault="00904BD7" w:rsidP="00904BD7">
            <w:pPr>
              <w:jc w:val="center"/>
            </w:pPr>
          </w:p>
          <w:p w:rsidR="00904BD7" w:rsidRDefault="00904BD7" w:rsidP="00904BD7">
            <w:pPr>
              <w:overflowPunct w:val="0"/>
              <w:autoSpaceDE w:val="0"/>
              <w:autoSpaceDN w:val="0"/>
              <w:adjustRightInd w:val="0"/>
              <w:jc w:val="center"/>
            </w:pPr>
            <w:r>
              <w:t>1,00</w:t>
            </w:r>
          </w:p>
        </w:tc>
        <w:tc>
          <w:tcPr>
            <w:tcW w:w="1870" w:type="dxa"/>
            <w:tcBorders>
              <w:top w:val="single" w:sz="6" w:space="0" w:color="auto"/>
              <w:left w:val="single" w:sz="6" w:space="0" w:color="auto"/>
              <w:bottom w:val="single" w:sz="6" w:space="0" w:color="auto"/>
              <w:right w:val="single" w:sz="6" w:space="0" w:color="auto"/>
            </w:tcBorders>
          </w:tcPr>
          <w:p w:rsidR="00904BD7" w:rsidRDefault="00904BD7" w:rsidP="00904BD7">
            <w:pPr>
              <w:jc w:val="center"/>
            </w:pPr>
          </w:p>
          <w:p w:rsidR="00904BD7" w:rsidRDefault="00904BD7" w:rsidP="00904BD7">
            <w:pPr>
              <w:overflowPunct w:val="0"/>
              <w:autoSpaceDE w:val="0"/>
              <w:autoSpaceDN w:val="0"/>
              <w:adjustRightInd w:val="0"/>
              <w:jc w:val="center"/>
            </w:pPr>
            <w:r>
              <w:t>1,00</w:t>
            </w:r>
          </w:p>
        </w:tc>
        <w:tc>
          <w:tcPr>
            <w:tcW w:w="2057" w:type="dxa"/>
            <w:tcBorders>
              <w:top w:val="single" w:sz="6" w:space="0" w:color="auto"/>
              <w:left w:val="single" w:sz="6" w:space="0" w:color="auto"/>
              <w:bottom w:val="single" w:sz="6" w:space="0" w:color="auto"/>
              <w:right w:val="single" w:sz="6" w:space="0" w:color="auto"/>
            </w:tcBorders>
          </w:tcPr>
          <w:p w:rsidR="00904BD7" w:rsidRDefault="00904BD7" w:rsidP="00904BD7">
            <w:pPr>
              <w:jc w:val="center"/>
            </w:pPr>
          </w:p>
          <w:p w:rsidR="00904BD7" w:rsidRDefault="00904BD7" w:rsidP="00904BD7">
            <w:pPr>
              <w:overflowPunct w:val="0"/>
              <w:autoSpaceDE w:val="0"/>
              <w:autoSpaceDN w:val="0"/>
              <w:adjustRightInd w:val="0"/>
              <w:jc w:val="center"/>
            </w:pPr>
            <w:r>
              <w:t>0,97</w:t>
            </w:r>
          </w:p>
        </w:tc>
      </w:tr>
    </w:tbl>
    <w:p w:rsidR="00904BD7" w:rsidRDefault="00904BD7" w:rsidP="00904BD7">
      <w:pPr>
        <w:pStyle w:val="tekstost"/>
        <w:rPr>
          <w:rFonts w:ascii="Times New Roman" w:hAnsi="Times New Roman"/>
        </w:rPr>
      </w:pPr>
    </w:p>
    <w:p w:rsidR="00904BD7" w:rsidRDefault="00904BD7" w:rsidP="00904BD7">
      <w:pPr>
        <w:pStyle w:val="tekstost"/>
        <w:rPr>
          <w:rFonts w:ascii="Times New Roman" w:hAnsi="Times New Roman"/>
        </w:rPr>
      </w:pPr>
      <w:r>
        <w:rPr>
          <w:rFonts w:ascii="Times New Roman" w:hAnsi="Times New Roman"/>
        </w:rPr>
        <w:tab/>
        <w:t>W przypadku, gdy gruboziarnisty materiał tworzący podłoże uniemożliwia przeprowadzenie badania zagęszczenia, kontrolę zagęszczenia należy oprzeć na metodzie obciążeń płytowych. Należy określić pierwotny i wtórny moduł odkształcenia podłoża według BN-64/8931-02. Stosunek wtórnego i pierwotnego modułu odkształcenia nie powinien przekraczać 2,2.</w:t>
      </w:r>
    </w:p>
    <w:p w:rsidR="00904BD7" w:rsidRDefault="00904BD7" w:rsidP="00904BD7">
      <w:pPr>
        <w:pStyle w:val="tekstost"/>
        <w:rPr>
          <w:rFonts w:ascii="Times New Roman" w:hAnsi="Times New Roman"/>
        </w:rPr>
      </w:pPr>
      <w:r>
        <w:rPr>
          <w:rFonts w:ascii="Times New Roman" w:hAnsi="Times New Roman"/>
        </w:rPr>
        <w:tab/>
        <w:t>Wilgotność gruntu podłoża podczas zagęszczania powinna być równa wilgotności optymalnej z tolerancją od -20% do +10%.</w:t>
      </w:r>
    </w:p>
    <w:p w:rsidR="00904BD7" w:rsidRDefault="00904BD7" w:rsidP="00904BD7">
      <w:pPr>
        <w:pStyle w:val="Nagwek2"/>
        <w:spacing w:before="0" w:after="0"/>
        <w:jc w:val="both"/>
        <w:rPr>
          <w:rFonts w:ascii="Times New Roman" w:hAnsi="Times New Roman"/>
        </w:rPr>
      </w:pPr>
      <w:r>
        <w:rPr>
          <w:rFonts w:ascii="Times New Roman" w:hAnsi="Times New Roman"/>
        </w:rPr>
        <w:t>5.5. Utrzymanie koryta oraz wyprofilowanego i zagęszczonego podłoża</w:t>
      </w:r>
    </w:p>
    <w:p w:rsidR="00904BD7" w:rsidRDefault="00904BD7" w:rsidP="00904BD7">
      <w:pPr>
        <w:jc w:val="both"/>
      </w:pPr>
      <w:r>
        <w:tab/>
        <w:t>Podłoże (koryto) po wyprofilowaniu i zagęszczeniu powinno być utrzymywane w dobrym stanie.</w:t>
      </w:r>
    </w:p>
    <w:p w:rsidR="00904BD7" w:rsidRDefault="00904BD7" w:rsidP="00904BD7">
      <w:pPr>
        <w:jc w:val="both"/>
      </w:pPr>
      <w:r>
        <w:tab/>
        <w:t>Jeżeli po wykonaniu robót związanych z profilowaniem i zagęszczeniem podłoża nastąpi przerwa w robotach i Wykonawca nie przystąpi natychmiast do układania warstw nawierzchni, to powinien on zabezpieczyć podłoże przed nadmiernym zawilgoceniem, na przykład przez rozłożenie folii lub w inny sposób zaakceptowany przez Inżyniera.</w:t>
      </w:r>
    </w:p>
    <w:p w:rsidR="00904BD7" w:rsidRDefault="00904BD7" w:rsidP="00904BD7">
      <w:pPr>
        <w:jc w:val="both"/>
      </w:pPr>
      <w:r>
        <w:tab/>
        <w:t>Jeżeli wyprofilowane i zagęszczone podłoże uległo nadmiernemu zawilgoceniu, to do układania kolejnej warstwy można przystąpić dopiero po jego naturalnym osuszeniu.</w:t>
      </w:r>
    </w:p>
    <w:p w:rsidR="00904BD7" w:rsidRDefault="00904BD7" w:rsidP="00904BD7">
      <w:pPr>
        <w:jc w:val="both"/>
      </w:pPr>
      <w:r>
        <w:tab/>
        <w:t>Po osuszeniu podłoża Inżynier oceni jego stan i ewentualnie zaleci wykonanie niezbędnych napraw. Jeżeli zawilgocenie nastąpiło wskutek zaniedbania Wykonawcy, to naprawę wykona on na własny koszt.</w:t>
      </w:r>
    </w:p>
    <w:p w:rsidR="00904BD7" w:rsidRDefault="00904BD7" w:rsidP="00904BD7">
      <w:pPr>
        <w:pStyle w:val="spis"/>
      </w:pPr>
      <w:r>
        <w:t>6. KONTROLA JAKOŚCI ROBÓT</w:t>
      </w:r>
    </w:p>
    <w:p w:rsidR="00904BD7" w:rsidRPr="00593149" w:rsidRDefault="00904BD7" w:rsidP="00904BD7">
      <w:pPr>
        <w:pStyle w:val="Nagwek2"/>
        <w:spacing w:before="0" w:after="0"/>
        <w:rPr>
          <w:rFonts w:ascii="Times New Roman" w:hAnsi="Times New Roman"/>
          <w:b/>
        </w:rPr>
      </w:pPr>
      <w:r w:rsidRPr="00593149">
        <w:rPr>
          <w:rFonts w:ascii="Times New Roman" w:hAnsi="Times New Roman"/>
          <w:b/>
        </w:rPr>
        <w:t>6.1. Ogólne zasady kontroli jakości robót</w:t>
      </w:r>
    </w:p>
    <w:p w:rsidR="00904BD7" w:rsidRDefault="00904BD7" w:rsidP="00904BD7">
      <w:pPr>
        <w:jc w:val="both"/>
      </w:pPr>
      <w:r>
        <w:tab/>
        <w:t>Ogólne zasady kontroli jakości robót podano w ST D-M-00.00.00 „Wymagania ogólne” .</w:t>
      </w:r>
    </w:p>
    <w:p w:rsidR="00904BD7" w:rsidRPr="00593149" w:rsidRDefault="00904BD7" w:rsidP="00904BD7">
      <w:pPr>
        <w:pStyle w:val="Nagwek2"/>
        <w:spacing w:before="0" w:after="0"/>
        <w:rPr>
          <w:rFonts w:ascii="Times New Roman" w:hAnsi="Times New Roman"/>
          <w:b/>
        </w:rPr>
      </w:pPr>
      <w:r w:rsidRPr="00593149">
        <w:rPr>
          <w:rFonts w:ascii="Times New Roman" w:hAnsi="Times New Roman"/>
          <w:b/>
        </w:rPr>
        <w:t>6.2. Badania w czasie robót</w:t>
      </w:r>
    </w:p>
    <w:p w:rsidR="00904BD7" w:rsidRDefault="00904BD7" w:rsidP="00904BD7">
      <w:r>
        <w:t>6.2.1. Częstotliwość oraz zakres badań i pomiarów</w:t>
      </w:r>
    </w:p>
    <w:p w:rsidR="00904BD7" w:rsidRDefault="00904BD7" w:rsidP="00904BD7">
      <w:pPr>
        <w:pStyle w:val="Tekstpodstawowy3"/>
        <w:rPr>
          <w:b w:val="0"/>
          <w:sz w:val="20"/>
        </w:rPr>
      </w:pPr>
      <w:r>
        <w:rPr>
          <w:b w:val="0"/>
          <w:sz w:val="20"/>
        </w:rPr>
        <w:tab/>
        <w:t>Częstotliwość oraz zakres badań i pomiarów dotyczących cech geometrycznych i zagęszczenia koryta i wyprofilowanego podłoża podaje tablica 2.</w:t>
      </w:r>
    </w:p>
    <w:p w:rsidR="00904BD7" w:rsidRDefault="00904BD7" w:rsidP="00904BD7">
      <w:pPr>
        <w:pStyle w:val="Nagwek3"/>
        <w:spacing w:before="0"/>
        <w:jc w:val="both"/>
        <w:rPr>
          <w:rFonts w:ascii="Times New Roman" w:hAnsi="Times New Roman"/>
        </w:rPr>
      </w:pPr>
      <w:r>
        <w:rPr>
          <w:rFonts w:ascii="Times New Roman" w:hAnsi="Times New Roman"/>
        </w:rPr>
        <w:t>Tablica 2.</w:t>
      </w:r>
      <w:r>
        <w:rPr>
          <w:rFonts w:ascii="Times New Roman" w:hAnsi="Times New Roman"/>
        </w:rPr>
        <w:tab/>
        <w:t>Częstotliwość oraz zakres badań i pomiarów wykonanego koryta i wyprofilowanego podłoża</w:t>
      </w:r>
    </w:p>
    <w:tbl>
      <w:tblPr>
        <w:tblW w:w="9419" w:type="dxa"/>
        <w:jc w:val="center"/>
        <w:tblLayout w:type="fixed"/>
        <w:tblCellMar>
          <w:left w:w="70" w:type="dxa"/>
          <w:right w:w="70" w:type="dxa"/>
        </w:tblCellMar>
        <w:tblLook w:val="0000" w:firstRow="0" w:lastRow="0" w:firstColumn="0" w:lastColumn="0" w:noHBand="0" w:noVBand="0"/>
      </w:tblPr>
      <w:tblGrid>
        <w:gridCol w:w="491"/>
        <w:gridCol w:w="2247"/>
        <w:gridCol w:w="6681"/>
      </w:tblGrid>
      <w:tr w:rsidR="00904BD7" w:rsidRPr="00593149" w:rsidTr="00904BD7">
        <w:trPr>
          <w:jc w:val="center"/>
        </w:trPr>
        <w:tc>
          <w:tcPr>
            <w:tcW w:w="491" w:type="dxa"/>
            <w:tcBorders>
              <w:top w:val="single" w:sz="6" w:space="0" w:color="auto"/>
              <w:left w:val="single" w:sz="6" w:space="0" w:color="auto"/>
              <w:bottom w:val="double" w:sz="6" w:space="0" w:color="auto"/>
              <w:right w:val="single" w:sz="6" w:space="0" w:color="auto"/>
            </w:tcBorders>
            <w:vAlign w:val="center"/>
          </w:tcPr>
          <w:p w:rsidR="00904BD7" w:rsidRPr="00593149" w:rsidRDefault="00904BD7" w:rsidP="00904BD7">
            <w:pPr>
              <w:jc w:val="center"/>
            </w:pPr>
            <w:r w:rsidRPr="00593149">
              <w:t>Lp.</w:t>
            </w:r>
          </w:p>
        </w:tc>
        <w:tc>
          <w:tcPr>
            <w:tcW w:w="2247" w:type="dxa"/>
            <w:tcBorders>
              <w:top w:val="single" w:sz="6" w:space="0" w:color="auto"/>
              <w:left w:val="single" w:sz="6" w:space="0" w:color="auto"/>
              <w:bottom w:val="double" w:sz="6" w:space="0" w:color="auto"/>
              <w:right w:val="single" w:sz="6" w:space="0" w:color="auto"/>
            </w:tcBorders>
            <w:vAlign w:val="center"/>
          </w:tcPr>
          <w:p w:rsidR="00904BD7" w:rsidRPr="00593149" w:rsidRDefault="00904BD7" w:rsidP="00904BD7">
            <w:pPr>
              <w:jc w:val="center"/>
            </w:pPr>
            <w:r w:rsidRPr="00593149">
              <w:t>Wyszczególnienie badań</w:t>
            </w:r>
          </w:p>
          <w:p w:rsidR="00904BD7" w:rsidRPr="00593149" w:rsidRDefault="00904BD7" w:rsidP="00904BD7">
            <w:pPr>
              <w:jc w:val="center"/>
            </w:pPr>
            <w:r w:rsidRPr="00593149">
              <w:t>i pomiarów</w:t>
            </w:r>
          </w:p>
        </w:tc>
        <w:tc>
          <w:tcPr>
            <w:tcW w:w="6681" w:type="dxa"/>
            <w:tcBorders>
              <w:top w:val="single" w:sz="6" w:space="0" w:color="auto"/>
              <w:left w:val="single" w:sz="6" w:space="0" w:color="auto"/>
              <w:bottom w:val="double" w:sz="6" w:space="0" w:color="auto"/>
              <w:right w:val="single" w:sz="6" w:space="0" w:color="auto"/>
            </w:tcBorders>
            <w:vAlign w:val="center"/>
          </w:tcPr>
          <w:p w:rsidR="00904BD7" w:rsidRPr="00593149" w:rsidRDefault="00904BD7" w:rsidP="00904BD7">
            <w:pPr>
              <w:jc w:val="center"/>
            </w:pPr>
            <w:r w:rsidRPr="00593149">
              <w:t>Minimalna częstotliwość</w:t>
            </w:r>
          </w:p>
          <w:p w:rsidR="00904BD7" w:rsidRPr="00593149" w:rsidRDefault="00904BD7" w:rsidP="00904BD7">
            <w:pPr>
              <w:jc w:val="center"/>
            </w:pPr>
            <w:r w:rsidRPr="00593149">
              <w:t>badań i pomiarów</w:t>
            </w:r>
          </w:p>
        </w:tc>
      </w:tr>
      <w:tr w:rsidR="00904BD7" w:rsidRPr="00593149" w:rsidTr="00904BD7">
        <w:trPr>
          <w:jc w:val="center"/>
        </w:trPr>
        <w:tc>
          <w:tcPr>
            <w:tcW w:w="491" w:type="dxa"/>
            <w:tcBorders>
              <w:top w:val="nil"/>
              <w:left w:val="single" w:sz="6" w:space="0" w:color="auto"/>
              <w:bottom w:val="single" w:sz="6" w:space="0" w:color="auto"/>
              <w:right w:val="single" w:sz="6" w:space="0" w:color="auto"/>
            </w:tcBorders>
            <w:vAlign w:val="center"/>
          </w:tcPr>
          <w:p w:rsidR="00904BD7" w:rsidRPr="00593149" w:rsidRDefault="00904BD7" w:rsidP="00904BD7">
            <w:pPr>
              <w:jc w:val="center"/>
            </w:pPr>
            <w:r w:rsidRPr="00593149">
              <w:t>1</w:t>
            </w:r>
          </w:p>
        </w:tc>
        <w:tc>
          <w:tcPr>
            <w:tcW w:w="2247" w:type="dxa"/>
            <w:tcBorders>
              <w:top w:val="nil"/>
              <w:left w:val="single" w:sz="6" w:space="0" w:color="auto"/>
              <w:bottom w:val="single" w:sz="6" w:space="0" w:color="auto"/>
              <w:right w:val="single" w:sz="6" w:space="0" w:color="auto"/>
            </w:tcBorders>
            <w:vAlign w:val="center"/>
          </w:tcPr>
          <w:p w:rsidR="00904BD7" w:rsidRPr="00593149" w:rsidRDefault="00904BD7" w:rsidP="00904BD7">
            <w:pPr>
              <w:jc w:val="center"/>
            </w:pPr>
            <w:r w:rsidRPr="00593149">
              <w:t>Szerokość koryta</w:t>
            </w:r>
          </w:p>
        </w:tc>
        <w:tc>
          <w:tcPr>
            <w:tcW w:w="6681" w:type="dxa"/>
            <w:tcBorders>
              <w:top w:val="nil"/>
              <w:left w:val="single" w:sz="6" w:space="0" w:color="auto"/>
              <w:bottom w:val="single" w:sz="6" w:space="0" w:color="auto"/>
              <w:right w:val="single" w:sz="6" w:space="0" w:color="auto"/>
            </w:tcBorders>
            <w:vAlign w:val="center"/>
          </w:tcPr>
          <w:p w:rsidR="00904BD7" w:rsidRPr="00593149" w:rsidRDefault="00904BD7" w:rsidP="00904BD7">
            <w:pPr>
              <w:jc w:val="center"/>
            </w:pPr>
            <w:r w:rsidRPr="00593149">
              <w:t>5 razy</w:t>
            </w:r>
          </w:p>
        </w:tc>
      </w:tr>
      <w:tr w:rsidR="00904BD7" w:rsidRPr="00593149" w:rsidTr="00904BD7">
        <w:trPr>
          <w:jc w:val="center"/>
        </w:trPr>
        <w:tc>
          <w:tcPr>
            <w:tcW w:w="491" w:type="dxa"/>
            <w:tcBorders>
              <w:top w:val="single" w:sz="6" w:space="0" w:color="auto"/>
              <w:left w:val="single" w:sz="6" w:space="0" w:color="auto"/>
              <w:bottom w:val="single" w:sz="6" w:space="0" w:color="auto"/>
              <w:right w:val="single" w:sz="6" w:space="0" w:color="auto"/>
            </w:tcBorders>
            <w:vAlign w:val="center"/>
          </w:tcPr>
          <w:p w:rsidR="00904BD7" w:rsidRPr="00593149" w:rsidRDefault="00904BD7" w:rsidP="00904BD7">
            <w:pPr>
              <w:jc w:val="center"/>
            </w:pPr>
            <w:r w:rsidRPr="00593149">
              <w:t>2</w:t>
            </w:r>
          </w:p>
        </w:tc>
        <w:tc>
          <w:tcPr>
            <w:tcW w:w="2247" w:type="dxa"/>
            <w:tcBorders>
              <w:top w:val="single" w:sz="6" w:space="0" w:color="auto"/>
              <w:left w:val="single" w:sz="6" w:space="0" w:color="auto"/>
              <w:bottom w:val="single" w:sz="6" w:space="0" w:color="auto"/>
              <w:right w:val="single" w:sz="6" w:space="0" w:color="auto"/>
            </w:tcBorders>
            <w:vAlign w:val="center"/>
          </w:tcPr>
          <w:p w:rsidR="00904BD7" w:rsidRPr="00593149" w:rsidRDefault="00904BD7" w:rsidP="00904BD7">
            <w:pPr>
              <w:jc w:val="center"/>
            </w:pPr>
            <w:r w:rsidRPr="00593149">
              <w:t>Równość podłużna</w:t>
            </w:r>
          </w:p>
        </w:tc>
        <w:tc>
          <w:tcPr>
            <w:tcW w:w="6681" w:type="dxa"/>
            <w:tcBorders>
              <w:top w:val="single" w:sz="6" w:space="0" w:color="auto"/>
              <w:left w:val="single" w:sz="6" w:space="0" w:color="auto"/>
              <w:bottom w:val="single" w:sz="6" w:space="0" w:color="auto"/>
              <w:right w:val="single" w:sz="6" w:space="0" w:color="auto"/>
            </w:tcBorders>
            <w:vAlign w:val="center"/>
          </w:tcPr>
          <w:p w:rsidR="00904BD7" w:rsidRPr="00593149" w:rsidRDefault="00904BD7" w:rsidP="00904BD7">
            <w:pPr>
              <w:jc w:val="center"/>
            </w:pPr>
            <w:r w:rsidRPr="00593149">
              <w:t>5 razy</w:t>
            </w:r>
          </w:p>
        </w:tc>
      </w:tr>
      <w:tr w:rsidR="00904BD7" w:rsidRPr="00593149" w:rsidTr="00904BD7">
        <w:trPr>
          <w:jc w:val="center"/>
        </w:trPr>
        <w:tc>
          <w:tcPr>
            <w:tcW w:w="491" w:type="dxa"/>
            <w:tcBorders>
              <w:top w:val="single" w:sz="6" w:space="0" w:color="auto"/>
              <w:left w:val="single" w:sz="6" w:space="0" w:color="auto"/>
              <w:bottom w:val="single" w:sz="6" w:space="0" w:color="auto"/>
              <w:right w:val="single" w:sz="6" w:space="0" w:color="auto"/>
            </w:tcBorders>
            <w:vAlign w:val="center"/>
          </w:tcPr>
          <w:p w:rsidR="00904BD7" w:rsidRPr="00593149" w:rsidRDefault="00904BD7" w:rsidP="00904BD7">
            <w:pPr>
              <w:jc w:val="center"/>
            </w:pPr>
            <w:r w:rsidRPr="00593149">
              <w:t>3</w:t>
            </w:r>
          </w:p>
        </w:tc>
        <w:tc>
          <w:tcPr>
            <w:tcW w:w="2247" w:type="dxa"/>
            <w:tcBorders>
              <w:top w:val="single" w:sz="6" w:space="0" w:color="auto"/>
              <w:left w:val="single" w:sz="6" w:space="0" w:color="auto"/>
              <w:bottom w:val="single" w:sz="6" w:space="0" w:color="auto"/>
              <w:right w:val="single" w:sz="6" w:space="0" w:color="auto"/>
            </w:tcBorders>
            <w:vAlign w:val="center"/>
          </w:tcPr>
          <w:p w:rsidR="00904BD7" w:rsidRPr="00593149" w:rsidRDefault="00904BD7" w:rsidP="00904BD7">
            <w:pPr>
              <w:jc w:val="center"/>
            </w:pPr>
            <w:r w:rsidRPr="00593149">
              <w:t>Równość poprzeczna</w:t>
            </w:r>
          </w:p>
        </w:tc>
        <w:tc>
          <w:tcPr>
            <w:tcW w:w="6681" w:type="dxa"/>
            <w:tcBorders>
              <w:top w:val="single" w:sz="6" w:space="0" w:color="auto"/>
              <w:left w:val="single" w:sz="6" w:space="0" w:color="auto"/>
              <w:bottom w:val="single" w:sz="6" w:space="0" w:color="auto"/>
              <w:right w:val="single" w:sz="6" w:space="0" w:color="auto"/>
            </w:tcBorders>
            <w:vAlign w:val="center"/>
          </w:tcPr>
          <w:p w:rsidR="00904BD7" w:rsidRPr="00593149" w:rsidRDefault="00904BD7" w:rsidP="00904BD7">
            <w:pPr>
              <w:jc w:val="center"/>
            </w:pPr>
            <w:r w:rsidRPr="00593149">
              <w:t>5 razy</w:t>
            </w:r>
          </w:p>
        </w:tc>
      </w:tr>
      <w:tr w:rsidR="00904BD7" w:rsidRPr="00593149" w:rsidTr="00904BD7">
        <w:trPr>
          <w:jc w:val="center"/>
        </w:trPr>
        <w:tc>
          <w:tcPr>
            <w:tcW w:w="491" w:type="dxa"/>
            <w:tcBorders>
              <w:top w:val="single" w:sz="6" w:space="0" w:color="auto"/>
              <w:left w:val="single" w:sz="6" w:space="0" w:color="auto"/>
              <w:bottom w:val="single" w:sz="6" w:space="0" w:color="auto"/>
              <w:right w:val="single" w:sz="6" w:space="0" w:color="auto"/>
            </w:tcBorders>
            <w:vAlign w:val="center"/>
          </w:tcPr>
          <w:p w:rsidR="00904BD7" w:rsidRPr="00593149" w:rsidRDefault="00904BD7" w:rsidP="00904BD7">
            <w:pPr>
              <w:jc w:val="center"/>
            </w:pPr>
            <w:r w:rsidRPr="00593149">
              <w:t>4</w:t>
            </w:r>
          </w:p>
        </w:tc>
        <w:tc>
          <w:tcPr>
            <w:tcW w:w="2247" w:type="dxa"/>
            <w:tcBorders>
              <w:top w:val="single" w:sz="6" w:space="0" w:color="auto"/>
              <w:left w:val="single" w:sz="6" w:space="0" w:color="auto"/>
              <w:bottom w:val="single" w:sz="6" w:space="0" w:color="auto"/>
              <w:right w:val="single" w:sz="6" w:space="0" w:color="auto"/>
            </w:tcBorders>
            <w:vAlign w:val="center"/>
          </w:tcPr>
          <w:p w:rsidR="00904BD7" w:rsidRPr="00593149" w:rsidRDefault="00904BD7" w:rsidP="00904BD7">
            <w:pPr>
              <w:jc w:val="center"/>
            </w:pPr>
            <w:r w:rsidRPr="00593149">
              <w:t>Spadki poprzeczne</w:t>
            </w:r>
          </w:p>
        </w:tc>
        <w:tc>
          <w:tcPr>
            <w:tcW w:w="6681" w:type="dxa"/>
            <w:tcBorders>
              <w:top w:val="single" w:sz="6" w:space="0" w:color="auto"/>
              <w:left w:val="single" w:sz="6" w:space="0" w:color="auto"/>
              <w:bottom w:val="single" w:sz="6" w:space="0" w:color="auto"/>
              <w:right w:val="single" w:sz="6" w:space="0" w:color="auto"/>
            </w:tcBorders>
            <w:vAlign w:val="center"/>
          </w:tcPr>
          <w:p w:rsidR="00904BD7" w:rsidRPr="00593149" w:rsidRDefault="00904BD7" w:rsidP="00904BD7">
            <w:pPr>
              <w:jc w:val="center"/>
            </w:pPr>
            <w:r w:rsidRPr="00593149">
              <w:t>5 razy</w:t>
            </w:r>
          </w:p>
        </w:tc>
      </w:tr>
      <w:tr w:rsidR="00904BD7" w:rsidRPr="00593149" w:rsidTr="00904BD7">
        <w:trPr>
          <w:jc w:val="center"/>
        </w:trPr>
        <w:tc>
          <w:tcPr>
            <w:tcW w:w="491" w:type="dxa"/>
            <w:tcBorders>
              <w:top w:val="single" w:sz="6" w:space="0" w:color="auto"/>
              <w:left w:val="single" w:sz="6" w:space="0" w:color="auto"/>
              <w:bottom w:val="single" w:sz="6" w:space="0" w:color="auto"/>
              <w:right w:val="single" w:sz="6" w:space="0" w:color="auto"/>
            </w:tcBorders>
            <w:vAlign w:val="center"/>
          </w:tcPr>
          <w:p w:rsidR="00904BD7" w:rsidRPr="00593149" w:rsidRDefault="00904BD7" w:rsidP="00904BD7">
            <w:pPr>
              <w:jc w:val="center"/>
            </w:pPr>
            <w:r w:rsidRPr="00593149">
              <w:t>5</w:t>
            </w:r>
          </w:p>
        </w:tc>
        <w:tc>
          <w:tcPr>
            <w:tcW w:w="2247" w:type="dxa"/>
            <w:tcBorders>
              <w:top w:val="single" w:sz="6" w:space="0" w:color="auto"/>
              <w:left w:val="single" w:sz="6" w:space="0" w:color="auto"/>
              <w:bottom w:val="single" w:sz="6" w:space="0" w:color="auto"/>
              <w:right w:val="single" w:sz="6" w:space="0" w:color="auto"/>
            </w:tcBorders>
            <w:vAlign w:val="center"/>
          </w:tcPr>
          <w:p w:rsidR="00904BD7" w:rsidRPr="00593149" w:rsidRDefault="00904BD7" w:rsidP="00904BD7">
            <w:pPr>
              <w:jc w:val="center"/>
            </w:pPr>
            <w:r w:rsidRPr="00593149">
              <w:t>Rzędne wysokościowe</w:t>
            </w:r>
          </w:p>
        </w:tc>
        <w:tc>
          <w:tcPr>
            <w:tcW w:w="6681" w:type="dxa"/>
            <w:tcBorders>
              <w:top w:val="single" w:sz="6" w:space="0" w:color="auto"/>
              <w:left w:val="single" w:sz="6" w:space="0" w:color="auto"/>
              <w:bottom w:val="single" w:sz="6" w:space="0" w:color="auto"/>
              <w:right w:val="single" w:sz="6" w:space="0" w:color="auto"/>
            </w:tcBorders>
            <w:vAlign w:val="center"/>
          </w:tcPr>
          <w:p w:rsidR="00904BD7" w:rsidRPr="00593149" w:rsidRDefault="00904BD7" w:rsidP="00904BD7">
            <w:pPr>
              <w:jc w:val="center"/>
            </w:pPr>
            <w:r w:rsidRPr="00593149">
              <w:t>Po 5 razy w osi i na krawędziach</w:t>
            </w:r>
          </w:p>
        </w:tc>
      </w:tr>
      <w:tr w:rsidR="00904BD7" w:rsidRPr="00593149" w:rsidTr="00904BD7">
        <w:trPr>
          <w:jc w:val="center"/>
        </w:trPr>
        <w:tc>
          <w:tcPr>
            <w:tcW w:w="491" w:type="dxa"/>
            <w:tcBorders>
              <w:top w:val="single" w:sz="6" w:space="0" w:color="auto"/>
              <w:left w:val="single" w:sz="6" w:space="0" w:color="auto"/>
              <w:bottom w:val="single" w:sz="6" w:space="0" w:color="auto"/>
              <w:right w:val="single" w:sz="6" w:space="0" w:color="auto"/>
            </w:tcBorders>
            <w:vAlign w:val="center"/>
          </w:tcPr>
          <w:p w:rsidR="00904BD7" w:rsidRPr="00593149" w:rsidRDefault="00904BD7" w:rsidP="00904BD7">
            <w:pPr>
              <w:jc w:val="center"/>
            </w:pPr>
            <w:r w:rsidRPr="00593149">
              <w:t>6</w:t>
            </w:r>
          </w:p>
        </w:tc>
        <w:tc>
          <w:tcPr>
            <w:tcW w:w="2247" w:type="dxa"/>
            <w:tcBorders>
              <w:top w:val="single" w:sz="6" w:space="0" w:color="auto"/>
              <w:left w:val="single" w:sz="6" w:space="0" w:color="auto"/>
              <w:bottom w:val="single" w:sz="6" w:space="0" w:color="auto"/>
              <w:right w:val="single" w:sz="6" w:space="0" w:color="auto"/>
            </w:tcBorders>
            <w:vAlign w:val="center"/>
          </w:tcPr>
          <w:p w:rsidR="00904BD7" w:rsidRPr="00593149" w:rsidRDefault="00904BD7" w:rsidP="00904BD7">
            <w:pPr>
              <w:jc w:val="center"/>
            </w:pPr>
            <w:r w:rsidRPr="00593149">
              <w:t>Zagęszczenie, wilgotność gruntu podłoża</w:t>
            </w:r>
          </w:p>
        </w:tc>
        <w:tc>
          <w:tcPr>
            <w:tcW w:w="6681" w:type="dxa"/>
            <w:tcBorders>
              <w:top w:val="single" w:sz="6" w:space="0" w:color="auto"/>
              <w:left w:val="single" w:sz="6" w:space="0" w:color="auto"/>
              <w:bottom w:val="single" w:sz="6" w:space="0" w:color="auto"/>
              <w:right w:val="single" w:sz="6" w:space="0" w:color="auto"/>
            </w:tcBorders>
            <w:vAlign w:val="center"/>
          </w:tcPr>
          <w:p w:rsidR="00904BD7" w:rsidRPr="00593149" w:rsidRDefault="00904BD7" w:rsidP="00904BD7">
            <w:pPr>
              <w:jc w:val="center"/>
            </w:pPr>
            <w:r w:rsidRPr="00593149">
              <w:t>w 2 punktach na dziennej działce roboczej</w:t>
            </w:r>
          </w:p>
        </w:tc>
      </w:tr>
    </w:tbl>
    <w:p w:rsidR="00904BD7" w:rsidRDefault="00904BD7" w:rsidP="00904BD7">
      <w:r>
        <w:rPr>
          <w:bCs/>
        </w:rPr>
        <w:t>6.2.2</w:t>
      </w:r>
      <w:r>
        <w:rPr>
          <w:b/>
        </w:rPr>
        <w:t xml:space="preserve">. </w:t>
      </w:r>
      <w:r>
        <w:t>Szerokość koryta (profilowanego podłoża)</w:t>
      </w:r>
    </w:p>
    <w:p w:rsidR="00904BD7" w:rsidRDefault="00904BD7" w:rsidP="00904BD7">
      <w:pPr>
        <w:jc w:val="both"/>
      </w:pPr>
      <w:r>
        <w:tab/>
        <w:t>Szerokość koryta i profilowanego podłoża nie może różnić się od szerokości projektowanej o więcej niż +</w:t>
      </w:r>
      <w:smartTag w:uri="urn:schemas-microsoft-com:office:smarttags" w:element="metricconverter">
        <w:smartTagPr>
          <w:attr w:name="ProductID" w:val="10 cm"/>
        </w:smartTagPr>
        <w:r>
          <w:t>10 cm</w:t>
        </w:r>
      </w:smartTag>
      <w:r>
        <w:t xml:space="preserve"> i </w:t>
      </w:r>
      <w:smartTag w:uri="urn:schemas-microsoft-com:office:smarttags" w:element="metricconverter">
        <w:smartTagPr>
          <w:attr w:name="ProductID" w:val="-5 cm"/>
        </w:smartTagPr>
        <w:r>
          <w:t>-5 cm</w:t>
        </w:r>
      </w:smartTag>
      <w:r>
        <w:t>.</w:t>
      </w:r>
    </w:p>
    <w:p w:rsidR="00904BD7" w:rsidRDefault="00904BD7" w:rsidP="00904BD7">
      <w:pPr>
        <w:jc w:val="both"/>
      </w:pPr>
      <w:r>
        <w:rPr>
          <w:bCs/>
        </w:rPr>
        <w:t>6.2.3</w:t>
      </w:r>
      <w:r>
        <w:rPr>
          <w:b/>
        </w:rPr>
        <w:t xml:space="preserve">. </w:t>
      </w:r>
      <w:r>
        <w:t>Równość koryta (profilowanego podłoża)</w:t>
      </w:r>
    </w:p>
    <w:p w:rsidR="00904BD7" w:rsidRDefault="00904BD7" w:rsidP="00904BD7">
      <w:pPr>
        <w:jc w:val="both"/>
      </w:pPr>
      <w:r>
        <w:tab/>
        <w:t>Nierówności podłużne koryta i profilowanego podłoża należy mierzyć 4-metrową łatą.</w:t>
      </w:r>
    </w:p>
    <w:p w:rsidR="00904BD7" w:rsidRDefault="00904BD7" w:rsidP="00904BD7">
      <w:pPr>
        <w:pStyle w:val="Tekstpodstawowy"/>
        <w:rPr>
          <w:rFonts w:ascii="Times New Roman" w:hAnsi="Times New Roman"/>
        </w:rPr>
      </w:pPr>
      <w:r>
        <w:rPr>
          <w:rFonts w:ascii="Times New Roman" w:hAnsi="Times New Roman"/>
        </w:rPr>
        <w:tab/>
        <w:t>Nierówności poprzeczne należy mierzyć 4-metrową łatą.</w:t>
      </w:r>
    </w:p>
    <w:p w:rsidR="00904BD7" w:rsidRDefault="00904BD7" w:rsidP="00904BD7">
      <w:pPr>
        <w:jc w:val="both"/>
      </w:pPr>
      <w:r>
        <w:tab/>
        <w:t xml:space="preserve">Nierówności nie mogą przekraczać </w:t>
      </w:r>
      <w:smartTag w:uri="urn:schemas-microsoft-com:office:smarttags" w:element="metricconverter">
        <w:smartTagPr>
          <w:attr w:name="ProductID" w:val="20 mm"/>
        </w:smartTagPr>
        <w:r>
          <w:t>20 mm</w:t>
        </w:r>
      </w:smartTag>
      <w:r>
        <w:t>.</w:t>
      </w:r>
    </w:p>
    <w:p w:rsidR="00904BD7" w:rsidRDefault="00904BD7" w:rsidP="00904BD7">
      <w:pPr>
        <w:jc w:val="both"/>
      </w:pPr>
      <w:r>
        <w:rPr>
          <w:bCs/>
        </w:rPr>
        <w:t>6.2.4</w:t>
      </w:r>
      <w:r>
        <w:rPr>
          <w:b/>
        </w:rPr>
        <w:t xml:space="preserve">. </w:t>
      </w:r>
      <w:r>
        <w:t>Spadki poprzeczne</w:t>
      </w:r>
    </w:p>
    <w:p w:rsidR="00904BD7" w:rsidRDefault="00904BD7" w:rsidP="00904BD7">
      <w:pPr>
        <w:jc w:val="both"/>
      </w:pPr>
      <w:r>
        <w:tab/>
        <w:t xml:space="preserve">Spadki poprzeczne koryta i profilowanego podłoża powinny być zgodne z dokumentacją projektową z tolerancją </w:t>
      </w:r>
      <w:r>
        <w:sym w:font="Symbol" w:char="00B1"/>
      </w:r>
      <w:r>
        <w:t xml:space="preserve"> 0,5%.</w:t>
      </w:r>
    </w:p>
    <w:p w:rsidR="00904BD7" w:rsidRDefault="00904BD7" w:rsidP="00904BD7">
      <w:pPr>
        <w:jc w:val="both"/>
      </w:pPr>
      <w:r>
        <w:rPr>
          <w:bCs/>
        </w:rPr>
        <w:t>6.2.5</w:t>
      </w:r>
      <w:r>
        <w:rPr>
          <w:b/>
        </w:rPr>
        <w:t xml:space="preserve">. </w:t>
      </w:r>
      <w:r>
        <w:t>Rzędne wysokościowe</w:t>
      </w:r>
    </w:p>
    <w:p w:rsidR="00904BD7" w:rsidRDefault="00904BD7" w:rsidP="00904BD7">
      <w:pPr>
        <w:jc w:val="both"/>
      </w:pPr>
      <w:r>
        <w:tab/>
        <w:t>Różnice pomiędzy rzędnymi wysokościowymi koryta lub wyprofilowanego podłoża i rzędnymi projektowanymi nie powinny przekraczać +</w:t>
      </w:r>
      <w:smartTag w:uri="urn:schemas-microsoft-com:office:smarttags" w:element="metricconverter">
        <w:smartTagPr>
          <w:attr w:name="ProductID" w:val="1 cm"/>
        </w:smartTagPr>
        <w:r>
          <w:t>1 cm</w:t>
        </w:r>
      </w:smartTag>
      <w:r>
        <w:t xml:space="preserve">, </w:t>
      </w:r>
      <w:smartTag w:uri="urn:schemas-microsoft-com:office:smarttags" w:element="metricconverter">
        <w:smartTagPr>
          <w:attr w:name="ProductID" w:val="-2 cm"/>
        </w:smartTagPr>
        <w:r>
          <w:t>-2 cm</w:t>
        </w:r>
      </w:smartTag>
      <w:r>
        <w:t>.</w:t>
      </w:r>
    </w:p>
    <w:p w:rsidR="00904BD7" w:rsidRDefault="00904BD7" w:rsidP="00904BD7">
      <w:pPr>
        <w:jc w:val="both"/>
      </w:pPr>
      <w:r>
        <w:rPr>
          <w:bCs/>
        </w:rPr>
        <w:t>6.2.6</w:t>
      </w:r>
      <w:r>
        <w:rPr>
          <w:b/>
        </w:rPr>
        <w:t xml:space="preserve">. </w:t>
      </w:r>
      <w:r>
        <w:t>Zagęszczenie koryta (profilowanego podłoża)</w:t>
      </w:r>
    </w:p>
    <w:p w:rsidR="00904BD7" w:rsidRDefault="00904BD7" w:rsidP="00904BD7">
      <w:pPr>
        <w:pStyle w:val="Tekstpodstawowy"/>
        <w:rPr>
          <w:rFonts w:ascii="Times New Roman" w:hAnsi="Times New Roman"/>
        </w:rPr>
      </w:pPr>
      <w:r>
        <w:rPr>
          <w:rFonts w:ascii="Times New Roman" w:hAnsi="Times New Roman"/>
        </w:rPr>
        <w:tab/>
        <w:t>Wskaźnik zagęszczenia koryta i wyprofilowanego podłoża powinien wynosić 1,00.</w:t>
      </w:r>
    </w:p>
    <w:p w:rsidR="00904BD7" w:rsidRPr="00593149" w:rsidRDefault="00904BD7" w:rsidP="00904BD7">
      <w:pPr>
        <w:jc w:val="both"/>
        <w:rPr>
          <w:b/>
        </w:rPr>
      </w:pPr>
      <w:r w:rsidRPr="00593149">
        <w:rPr>
          <w:b/>
        </w:rPr>
        <w:t>6.3. Zasady postępowania z wadliwie wykonanymi odcinkami koryta (profilowanego podłoża)</w:t>
      </w:r>
    </w:p>
    <w:p w:rsidR="00904BD7" w:rsidRDefault="00904BD7" w:rsidP="00904BD7">
      <w:pPr>
        <w:jc w:val="both"/>
        <w:rPr>
          <w:color w:val="0000FF"/>
        </w:rPr>
      </w:pPr>
      <w:r>
        <w:rPr>
          <w:b/>
        </w:rPr>
        <w:tab/>
      </w:r>
      <w:r>
        <w:t xml:space="preserve">Wszystkie powierzchnie, które wykazują większe odchylenia cech geometrycznych od określonych w punkcie 6.2 powinny być naprawione przez spulchnienie do głębokości co najmniej </w:t>
      </w:r>
      <w:smartTag w:uri="urn:schemas-microsoft-com:office:smarttags" w:element="metricconverter">
        <w:smartTagPr>
          <w:attr w:name="ProductID" w:val="10 cm"/>
        </w:smartTagPr>
        <w:r>
          <w:t>10 cm</w:t>
        </w:r>
      </w:smartTag>
      <w:r>
        <w:t>, wyrównanie i powtórne zagęszczenie. Dodanie nowego materiału bez spulchnienia wykonanej warstwy jest niedopuszczalne.</w:t>
      </w:r>
    </w:p>
    <w:p w:rsidR="00904BD7" w:rsidRPr="00111DF8" w:rsidRDefault="00904BD7" w:rsidP="00904BD7">
      <w:pPr>
        <w:pStyle w:val="spis"/>
      </w:pPr>
      <w:r w:rsidRPr="00111DF8">
        <w:t>7. OBMIAR ROBÓT</w:t>
      </w:r>
    </w:p>
    <w:p w:rsidR="00904BD7" w:rsidRPr="00593149" w:rsidRDefault="00904BD7" w:rsidP="00904BD7">
      <w:pPr>
        <w:pStyle w:val="Nagwek2"/>
        <w:spacing w:before="0" w:after="0"/>
        <w:rPr>
          <w:rFonts w:ascii="Times New Roman" w:hAnsi="Times New Roman"/>
          <w:b/>
        </w:rPr>
      </w:pPr>
      <w:r w:rsidRPr="00593149">
        <w:rPr>
          <w:rFonts w:ascii="Times New Roman" w:hAnsi="Times New Roman"/>
          <w:b/>
        </w:rPr>
        <w:t>7.1. Ogólne zasady obmiaru robót</w:t>
      </w:r>
    </w:p>
    <w:p w:rsidR="00904BD7" w:rsidRDefault="00904BD7" w:rsidP="00904BD7">
      <w:r>
        <w:tab/>
        <w:t>Ogólne zasady obmiaru robót podano w ST D-M-00.00.00 „Wymagania ogólne”.</w:t>
      </w:r>
    </w:p>
    <w:p w:rsidR="00904BD7" w:rsidRPr="00593149" w:rsidRDefault="00904BD7" w:rsidP="00904BD7">
      <w:pPr>
        <w:pStyle w:val="Nagwek2"/>
        <w:spacing w:before="0" w:after="0"/>
        <w:rPr>
          <w:rFonts w:ascii="Times New Roman" w:hAnsi="Times New Roman"/>
          <w:b/>
        </w:rPr>
      </w:pPr>
      <w:r w:rsidRPr="00593149">
        <w:rPr>
          <w:rFonts w:ascii="Times New Roman" w:hAnsi="Times New Roman"/>
          <w:b/>
        </w:rPr>
        <w:t>7.2. Jednostka obmiarowa</w:t>
      </w:r>
    </w:p>
    <w:p w:rsidR="00904BD7" w:rsidRDefault="00904BD7" w:rsidP="00904BD7">
      <w:r>
        <w:tab/>
        <w:t>Jednostką obmiarową jest m2 (metr kwadratowy) wykonanego i odebranego koryta.</w:t>
      </w:r>
    </w:p>
    <w:p w:rsidR="00904BD7" w:rsidRDefault="00904BD7" w:rsidP="00904BD7">
      <w:pPr>
        <w:pStyle w:val="spis"/>
      </w:pPr>
      <w:r>
        <w:t>8. ODBIÓR ROBÓT</w:t>
      </w:r>
    </w:p>
    <w:p w:rsidR="00904BD7" w:rsidRDefault="00904BD7" w:rsidP="00904BD7">
      <w:pPr>
        <w:widowControl w:val="0"/>
        <w:ind w:firstLine="708"/>
        <w:rPr>
          <w:snapToGrid w:val="0"/>
        </w:rPr>
      </w:pPr>
      <w:r>
        <w:rPr>
          <w:snapToGrid w:val="0"/>
        </w:rPr>
        <w:t>Ogólne zasady odbioru robót podano w ST D-M.00.00.00.</w:t>
      </w:r>
    </w:p>
    <w:p w:rsidR="00904BD7" w:rsidRDefault="00904BD7" w:rsidP="00904BD7">
      <w:pPr>
        <w:widowControl w:val="0"/>
        <w:ind w:firstLine="708"/>
        <w:jc w:val="both"/>
        <w:rPr>
          <w:snapToGrid w:val="0"/>
        </w:rPr>
      </w:pPr>
      <w:r>
        <w:rPr>
          <w:snapToGrid w:val="0"/>
        </w:rPr>
        <w:t>Odbiór koryta oraz wyprofilowanego i zagęszczonego podłoża dokonywany jest na zasadach odbioru robót zanikających i ulegających zakryciu i powinien być przeprowadzony w czasie umożliwiającym wykonanie ewentualnych napraw bez hamowania postępu robót.</w:t>
      </w:r>
    </w:p>
    <w:p w:rsidR="00904BD7" w:rsidRDefault="00904BD7" w:rsidP="00904BD7">
      <w:pPr>
        <w:pStyle w:val="spis"/>
      </w:pPr>
      <w:r>
        <w:t xml:space="preserve">9. PODSTAWA PŁATNOŚCI </w:t>
      </w:r>
    </w:p>
    <w:p w:rsidR="00904BD7" w:rsidRDefault="00904BD7" w:rsidP="00904BD7">
      <w:pPr>
        <w:widowControl w:val="0"/>
        <w:ind w:right="-56" w:firstLine="708"/>
        <w:rPr>
          <w:snapToGrid w:val="0"/>
        </w:rPr>
      </w:pPr>
      <w:r>
        <w:rPr>
          <w:snapToGrid w:val="0"/>
        </w:rPr>
        <w:t>Ogólne wymagania dotyczące płatności podano w ST D-M.00.00.00.</w:t>
      </w:r>
    </w:p>
    <w:p w:rsidR="00904BD7" w:rsidRDefault="00904BD7" w:rsidP="00904BD7">
      <w:pPr>
        <w:widowControl w:val="0"/>
        <w:ind w:firstLine="708"/>
        <w:jc w:val="both"/>
        <w:rPr>
          <w:snapToGrid w:val="0"/>
        </w:rPr>
      </w:pPr>
      <w:r>
        <w:rPr>
          <w:snapToGrid w:val="0"/>
        </w:rPr>
        <w:t xml:space="preserve">Płatność za m2 wyprofilowanego i zagęszczonego koryta gruntowego zgodnie z obmiarem i oceną jakości robót na podstawie wyników pomiarów i badań laboratoryjnych.             </w:t>
      </w:r>
    </w:p>
    <w:p w:rsidR="00904BD7" w:rsidRDefault="00904BD7" w:rsidP="00904BD7">
      <w:pPr>
        <w:widowControl w:val="0"/>
        <w:ind w:firstLine="708"/>
        <w:rPr>
          <w:snapToGrid w:val="0"/>
        </w:rPr>
      </w:pPr>
      <w:r>
        <w:rPr>
          <w:snapToGrid w:val="0"/>
        </w:rPr>
        <w:t>Cena wykonania robót obejmuje :</w:t>
      </w:r>
    </w:p>
    <w:p w:rsidR="00904BD7" w:rsidRDefault="00904BD7" w:rsidP="0097494B">
      <w:pPr>
        <w:numPr>
          <w:ilvl w:val="0"/>
          <w:numId w:val="48"/>
        </w:numPr>
      </w:pPr>
      <w:r>
        <w:t>prace pomiarowe i roboty przygotowawcze,</w:t>
      </w:r>
    </w:p>
    <w:p w:rsidR="00904BD7" w:rsidRDefault="00904BD7" w:rsidP="0097494B">
      <w:pPr>
        <w:numPr>
          <w:ilvl w:val="0"/>
          <w:numId w:val="48"/>
        </w:numPr>
      </w:pPr>
      <w:r>
        <w:t>odspojenie gruntu z przerzutem na pobocze i rozplantowaniem,</w:t>
      </w:r>
    </w:p>
    <w:p w:rsidR="00904BD7" w:rsidRDefault="00904BD7" w:rsidP="0097494B">
      <w:pPr>
        <w:numPr>
          <w:ilvl w:val="0"/>
          <w:numId w:val="48"/>
        </w:numPr>
      </w:pPr>
      <w:r>
        <w:t>profilowanie dna koryta lub podłoża,</w:t>
      </w:r>
    </w:p>
    <w:p w:rsidR="00904BD7" w:rsidRDefault="00904BD7" w:rsidP="0097494B">
      <w:pPr>
        <w:numPr>
          <w:ilvl w:val="0"/>
          <w:numId w:val="48"/>
        </w:numPr>
      </w:pPr>
      <w:r>
        <w:t>zagęszczenie,</w:t>
      </w:r>
    </w:p>
    <w:p w:rsidR="00904BD7" w:rsidRDefault="00904BD7" w:rsidP="0097494B">
      <w:pPr>
        <w:numPr>
          <w:ilvl w:val="0"/>
          <w:numId w:val="48"/>
        </w:numPr>
        <w:jc w:val="both"/>
      </w:pPr>
      <w:r>
        <w:t>załadunek nadmiaru odspojonego gruntu na środki transportowe i odwiezienie na odkład lub nasyp,</w:t>
      </w:r>
    </w:p>
    <w:p w:rsidR="00904BD7" w:rsidRDefault="00904BD7" w:rsidP="0097494B">
      <w:pPr>
        <w:numPr>
          <w:ilvl w:val="0"/>
          <w:numId w:val="48"/>
        </w:numPr>
      </w:pPr>
      <w:r>
        <w:t>poniesienie opłat za wysypisko,</w:t>
      </w:r>
    </w:p>
    <w:p w:rsidR="00904BD7" w:rsidRDefault="00904BD7" w:rsidP="0097494B">
      <w:pPr>
        <w:numPr>
          <w:ilvl w:val="0"/>
          <w:numId w:val="48"/>
        </w:numPr>
      </w:pPr>
      <w:r>
        <w:t>utrzymanie koryta lub podłoża,</w:t>
      </w:r>
    </w:p>
    <w:p w:rsidR="00904BD7" w:rsidRDefault="00904BD7" w:rsidP="0097494B">
      <w:pPr>
        <w:numPr>
          <w:ilvl w:val="0"/>
          <w:numId w:val="48"/>
        </w:numPr>
      </w:pPr>
      <w:r>
        <w:t>przeprowadzenie pomiarów i badań laboratoryjnych, wymaganych w specyfikacji technicznej.</w:t>
      </w:r>
    </w:p>
    <w:p w:rsidR="00904BD7" w:rsidRDefault="00904BD7" w:rsidP="00904BD7">
      <w:pPr>
        <w:pStyle w:val="spis"/>
      </w:pPr>
    </w:p>
    <w:p w:rsidR="00904BD7" w:rsidRDefault="00904BD7" w:rsidP="00904BD7">
      <w:pPr>
        <w:pStyle w:val="spis"/>
      </w:pPr>
      <w:r>
        <w:t>10. PRZEPISY ZWIĄZANE</w:t>
      </w:r>
    </w:p>
    <w:p w:rsidR="00904BD7" w:rsidRDefault="00904BD7" w:rsidP="00904BD7">
      <w:pPr>
        <w:widowControl w:val="0"/>
        <w:spacing w:before="120" w:after="120"/>
        <w:jc w:val="both"/>
        <w:rPr>
          <w:b/>
          <w:snapToGrid w:val="0"/>
        </w:rPr>
      </w:pPr>
      <w:r>
        <w:rPr>
          <w:b/>
          <w:snapToGrid w:val="0"/>
        </w:rPr>
        <w:t>10.1. Normy</w:t>
      </w:r>
    </w:p>
    <w:p w:rsidR="00904BD7" w:rsidRDefault="00904BD7" w:rsidP="0097494B">
      <w:pPr>
        <w:numPr>
          <w:ilvl w:val="0"/>
          <w:numId w:val="45"/>
        </w:numPr>
        <w:jc w:val="both"/>
      </w:pPr>
      <w:r>
        <w:t>PN- B-02480 Grunty budowlane. Określenia, symbole, podział i opis gruntów.</w:t>
      </w:r>
    </w:p>
    <w:p w:rsidR="00904BD7" w:rsidRDefault="00904BD7" w:rsidP="0097494B">
      <w:pPr>
        <w:numPr>
          <w:ilvl w:val="0"/>
          <w:numId w:val="45"/>
        </w:numPr>
        <w:jc w:val="both"/>
      </w:pPr>
      <w:r>
        <w:t>PN- B-04452 Grunty budowlane. Badania polowe.</w:t>
      </w:r>
    </w:p>
    <w:p w:rsidR="00904BD7" w:rsidRDefault="00904BD7" w:rsidP="0097494B">
      <w:pPr>
        <w:numPr>
          <w:ilvl w:val="0"/>
          <w:numId w:val="45"/>
        </w:numPr>
        <w:jc w:val="both"/>
      </w:pPr>
      <w:r>
        <w:t>PN- B-04481 Grunty budowlane. Badanie próbek gruntu.</w:t>
      </w:r>
    </w:p>
    <w:p w:rsidR="00904BD7" w:rsidRDefault="00904BD7" w:rsidP="0097494B">
      <w:pPr>
        <w:numPr>
          <w:ilvl w:val="0"/>
          <w:numId w:val="45"/>
        </w:numPr>
        <w:jc w:val="both"/>
      </w:pPr>
      <w:r>
        <w:t>PN-B-06050. Roboty ziemne budowlane. Wymagania w zakresie wykonywania badania przy odbiorze.</w:t>
      </w:r>
    </w:p>
    <w:p w:rsidR="00904BD7" w:rsidRDefault="00904BD7" w:rsidP="0097494B">
      <w:pPr>
        <w:numPr>
          <w:ilvl w:val="0"/>
          <w:numId w:val="45"/>
        </w:numPr>
        <w:jc w:val="both"/>
      </w:pPr>
      <w:r>
        <w:t>PN-B-06050:1999 Geotechnika. Roboty ziemne. Wymagania ogólne.</w:t>
      </w:r>
    </w:p>
    <w:p w:rsidR="00904BD7" w:rsidRDefault="00904BD7" w:rsidP="0097494B">
      <w:pPr>
        <w:numPr>
          <w:ilvl w:val="0"/>
          <w:numId w:val="45"/>
        </w:numPr>
        <w:jc w:val="both"/>
      </w:pPr>
      <w:r>
        <w:t>PN-S-02205: 1998 Drogi samochodowe. Roboty ziemne. Wymagania i badania.</w:t>
      </w:r>
    </w:p>
    <w:p w:rsidR="00904BD7" w:rsidRDefault="00904BD7" w:rsidP="0097494B">
      <w:pPr>
        <w:numPr>
          <w:ilvl w:val="0"/>
          <w:numId w:val="45"/>
        </w:numPr>
        <w:jc w:val="both"/>
      </w:pPr>
      <w:r>
        <w:t>BN-77/8931-12 Oznaczenie wskaźnika zagęszczenia gruntu.</w:t>
      </w:r>
    </w:p>
    <w:p w:rsidR="00904BD7" w:rsidRDefault="00904BD7" w:rsidP="00904BD7">
      <w:pPr>
        <w:widowControl w:val="0"/>
        <w:spacing w:before="120" w:after="120"/>
        <w:jc w:val="both"/>
        <w:rPr>
          <w:b/>
          <w:snapToGrid w:val="0"/>
        </w:rPr>
      </w:pPr>
      <w:r>
        <w:rPr>
          <w:b/>
          <w:snapToGrid w:val="0"/>
        </w:rPr>
        <w:t>10.2. Inne dokumenty</w:t>
      </w:r>
    </w:p>
    <w:p w:rsidR="00904BD7" w:rsidRDefault="00904BD7" w:rsidP="0097494B">
      <w:pPr>
        <w:numPr>
          <w:ilvl w:val="0"/>
          <w:numId w:val="45"/>
        </w:numPr>
        <w:jc w:val="both"/>
      </w:pPr>
      <w:r>
        <w:t>Instrukcja badań podłoża gruntowego budowli drogowych i mostowych, GDDP, Warszawa 1998.</w:t>
      </w:r>
    </w:p>
    <w:p w:rsidR="00904BD7" w:rsidRDefault="00904BD7" w:rsidP="0097494B">
      <w:pPr>
        <w:numPr>
          <w:ilvl w:val="0"/>
          <w:numId w:val="45"/>
        </w:numPr>
        <w:jc w:val="both"/>
      </w:pPr>
      <w:r w:rsidRPr="00BB7685">
        <w:t>Katalog typowych konstrukcji nawierzchni podatnych i półsztywnych, IBDiM, Warszawa 1997</w:t>
      </w:r>
    </w:p>
    <w:p w:rsidR="00904BD7" w:rsidRDefault="00904BD7" w:rsidP="00904BD7">
      <w:r>
        <w:br w:type="page"/>
      </w:r>
    </w:p>
    <w:p w:rsidR="00904BD7" w:rsidRPr="00397037" w:rsidRDefault="00904BD7" w:rsidP="00904BD7">
      <w:pPr>
        <w:pStyle w:val="Nagwek1"/>
        <w:jc w:val="both"/>
        <w:rPr>
          <w:bCs/>
          <w:szCs w:val="26"/>
        </w:rPr>
      </w:pPr>
      <w:bookmarkStart w:id="88" w:name="_Toc63149314"/>
      <w:bookmarkStart w:id="89" w:name="_Toc80100095"/>
      <w:r>
        <w:rPr>
          <w:bCs/>
          <w:szCs w:val="26"/>
        </w:rPr>
        <w:t xml:space="preserve">M.20.01.16. </w:t>
      </w:r>
      <w:r>
        <w:rPr>
          <w:bCs/>
          <w:szCs w:val="26"/>
        </w:rPr>
        <w:tab/>
        <w:t>ULEPSZONE PODŁOŻE Z MIESZANKI NIEZWIĄZANEJ STABILIZOWANEJ GEORUSZTEM</w:t>
      </w:r>
      <w:bookmarkEnd w:id="88"/>
      <w:bookmarkEnd w:id="89"/>
    </w:p>
    <w:p w:rsidR="00904BD7" w:rsidRDefault="00904BD7" w:rsidP="00904BD7">
      <w:pPr>
        <w:jc w:val="both"/>
        <w:outlineLvl w:val="0"/>
        <w:rPr>
          <w:rStyle w:val="Nagwek1Znak"/>
          <w:rFonts w:ascii="Times New Roman" w:hAnsi="Times New Roman"/>
          <w:bCs/>
          <w:szCs w:val="26"/>
        </w:rPr>
      </w:pPr>
    </w:p>
    <w:p w:rsidR="00904BD7" w:rsidRPr="009B6525" w:rsidRDefault="00904BD7" w:rsidP="00904BD7">
      <w:pPr>
        <w:widowControl w:val="0"/>
        <w:snapToGrid w:val="0"/>
        <w:spacing w:before="120" w:after="120"/>
        <w:jc w:val="both"/>
        <w:rPr>
          <w:b/>
          <w:noProof/>
          <w:u w:val="single"/>
        </w:rPr>
      </w:pPr>
      <w:r w:rsidRPr="009B6525">
        <w:rPr>
          <w:b/>
          <w:noProof/>
          <w:u w:val="single"/>
        </w:rPr>
        <w:t xml:space="preserve">l. WSTĘP </w:t>
      </w:r>
    </w:p>
    <w:p w:rsidR="00904BD7" w:rsidRDefault="00904BD7" w:rsidP="00904BD7">
      <w:pPr>
        <w:snapToGrid w:val="0"/>
        <w:jc w:val="both"/>
        <w:rPr>
          <w:b/>
        </w:rPr>
      </w:pPr>
      <w:r w:rsidRPr="009B6525">
        <w:rPr>
          <w:b/>
        </w:rPr>
        <w:t>1.1. Przedmiot specyfikacji technicznej</w:t>
      </w:r>
    </w:p>
    <w:p w:rsidR="00904BD7" w:rsidRPr="00EE4A06" w:rsidRDefault="00904BD7" w:rsidP="00904BD7">
      <w:pPr>
        <w:ind w:firstLine="709"/>
        <w:jc w:val="both"/>
      </w:pPr>
      <w:r>
        <w:t xml:space="preserve">Przedmiotem niniejszej specyfikacji technicznej (ST) są wymagania ogólne dotyczące wykonania i odbioru robót w zakresie wykonania warstwy ulepszonego podłoża z mieszanki niezwiązanej (MN) stabilizowanej georusztem trójosiowym (heksagonalnym) w ramach zadania: </w:t>
      </w:r>
      <w:r>
        <w:rPr>
          <w:bCs/>
        </w:rPr>
        <w:t>"Remont przepustu nad rzeką Postomia w ciągu drogi nr 445/k.2922 m. Wędrzyn</w:t>
      </w:r>
    </w:p>
    <w:p w:rsidR="00904BD7" w:rsidRPr="009B6525" w:rsidRDefault="00904BD7" w:rsidP="00904BD7">
      <w:pPr>
        <w:snapToGrid w:val="0"/>
        <w:jc w:val="both"/>
        <w:rPr>
          <w:b/>
        </w:rPr>
      </w:pPr>
    </w:p>
    <w:p w:rsidR="00904BD7" w:rsidRPr="009B6525" w:rsidRDefault="00904BD7" w:rsidP="00904BD7">
      <w:pPr>
        <w:widowControl w:val="0"/>
        <w:jc w:val="both"/>
        <w:rPr>
          <w:b/>
        </w:rPr>
      </w:pPr>
      <w:r w:rsidRPr="009B6525">
        <w:rPr>
          <w:b/>
        </w:rPr>
        <w:t>1.2. Zakres stosowania ST</w:t>
      </w:r>
    </w:p>
    <w:p w:rsidR="00904BD7" w:rsidRPr="009B6525" w:rsidRDefault="00904BD7" w:rsidP="00904BD7">
      <w:pPr>
        <w:widowControl w:val="0"/>
        <w:ind w:firstLine="709"/>
        <w:jc w:val="both"/>
      </w:pPr>
      <w:r w:rsidRPr="009B6525">
        <w:t>Specyfikacja Techniczna stosowana jest jako dokument przetargowy i kontraktowy przy zlecaniu i realizacji robót wymienionych w punkcie 1.1.</w:t>
      </w:r>
    </w:p>
    <w:p w:rsidR="00904BD7" w:rsidRDefault="00904BD7" w:rsidP="00904BD7">
      <w:pPr>
        <w:widowControl w:val="0"/>
        <w:rPr>
          <w:b/>
        </w:rPr>
      </w:pPr>
      <w:r w:rsidRPr="009B6525">
        <w:rPr>
          <w:b/>
        </w:rPr>
        <w:t>1.3 Zakres robót objętych ST</w:t>
      </w:r>
    </w:p>
    <w:p w:rsidR="00904BD7" w:rsidRDefault="00904BD7" w:rsidP="00904BD7">
      <w:pPr>
        <w:widowControl w:val="0"/>
        <w:rPr>
          <w:b/>
        </w:rPr>
      </w:pPr>
    </w:p>
    <w:p w:rsidR="00904BD7" w:rsidRDefault="00904BD7" w:rsidP="00904BD7">
      <w:pPr>
        <w:ind w:firstLine="709"/>
        <w:jc w:val="both"/>
      </w:pPr>
      <w:r>
        <w:t>Ustalenia zawarte w niniejszej specyfikacji dotyczą zasad prowadzenia robót związanych z wykonaniem warstwy ulepszonego podłoża z mieszanki niezwiązanej stabilizowanej georusztem:</w:t>
      </w:r>
    </w:p>
    <w:p w:rsidR="00904BD7" w:rsidRDefault="00904BD7" w:rsidP="00904BD7">
      <w:pPr>
        <w:ind w:firstLine="709"/>
        <w:jc w:val="both"/>
      </w:pPr>
    </w:p>
    <w:p w:rsidR="00904BD7" w:rsidRDefault="00904BD7" w:rsidP="00904BD7">
      <w:pPr>
        <w:ind w:left="709"/>
        <w:jc w:val="both"/>
      </w:pPr>
      <w:r>
        <w:t xml:space="preserve">- </w:t>
      </w:r>
      <w:r w:rsidRPr="00904BD7">
        <w:t>Wykonanie podbudowy z kruszywa łamanego stabilizowanego mechanicznie 0/31,5 gr. 32-40 cm  z georusztem i geowłókniną</w:t>
      </w:r>
    </w:p>
    <w:p w:rsidR="00904BD7" w:rsidRDefault="00904BD7" w:rsidP="00904BD7">
      <w:pPr>
        <w:ind w:left="709"/>
        <w:jc w:val="both"/>
      </w:pPr>
    </w:p>
    <w:p w:rsidR="00904BD7" w:rsidRDefault="00904BD7" w:rsidP="00904BD7">
      <w:pPr>
        <w:ind w:left="709"/>
        <w:jc w:val="both"/>
      </w:pPr>
      <w:r>
        <w:t xml:space="preserve">- </w:t>
      </w:r>
      <w:r w:rsidRPr="00904BD7">
        <w:t>Wykonanie podbudowy z kruszywa łamanego stabilizowanego mechanicznie 0/31,5 gr. 30 cm  z georusztem i geowłókniną</w:t>
      </w:r>
    </w:p>
    <w:p w:rsidR="00904BD7" w:rsidRDefault="00904BD7" w:rsidP="00904BD7">
      <w:pPr>
        <w:ind w:left="709"/>
        <w:jc w:val="both"/>
      </w:pPr>
    </w:p>
    <w:p w:rsidR="00904BD7" w:rsidRPr="00B84F0D" w:rsidRDefault="00904BD7" w:rsidP="00904BD7">
      <w:pPr>
        <w:ind w:left="709"/>
        <w:jc w:val="both"/>
      </w:pPr>
      <w:r>
        <w:t xml:space="preserve">- </w:t>
      </w:r>
      <w:r w:rsidRPr="00904BD7">
        <w:t>Wykonanie poboczy z kruszywa łamanego stabilizowanego mechanicznie 0/31,5 gr. 15 cm</w:t>
      </w:r>
    </w:p>
    <w:p w:rsidR="00904BD7" w:rsidRDefault="00904BD7" w:rsidP="00904BD7">
      <w:pPr>
        <w:widowControl w:val="0"/>
        <w:rPr>
          <w:b/>
        </w:rPr>
      </w:pPr>
      <w:r w:rsidRPr="009B6525">
        <w:rPr>
          <w:b/>
        </w:rPr>
        <w:t>1.4 Określenia podstawowe</w:t>
      </w:r>
    </w:p>
    <w:p w:rsidR="00904BD7" w:rsidRDefault="00904BD7" w:rsidP="00904BD7">
      <w:pPr>
        <w:widowControl w:val="0"/>
        <w:rPr>
          <w:b/>
        </w:rPr>
      </w:pPr>
    </w:p>
    <w:p w:rsidR="00904BD7" w:rsidRPr="009952E1" w:rsidRDefault="00904BD7" w:rsidP="00904BD7">
      <w:pPr>
        <w:pStyle w:val="Default"/>
        <w:jc w:val="both"/>
        <w:rPr>
          <w:color w:val="auto"/>
          <w:sz w:val="20"/>
          <w:szCs w:val="20"/>
        </w:rPr>
      </w:pPr>
      <w:r>
        <w:rPr>
          <w:b/>
          <w:bCs/>
          <w:sz w:val="20"/>
          <w:szCs w:val="20"/>
        </w:rPr>
        <w:t xml:space="preserve">1.4.1. </w:t>
      </w:r>
      <w:r w:rsidRPr="00D5701B">
        <w:rPr>
          <w:b/>
          <w:sz w:val="20"/>
          <w:szCs w:val="20"/>
        </w:rPr>
        <w:t>Stabilizacja mechaniczna</w:t>
      </w:r>
      <w:r w:rsidRPr="009952E1">
        <w:rPr>
          <w:color w:val="auto"/>
          <w:sz w:val="20"/>
          <w:szCs w:val="20"/>
        </w:rPr>
        <w:t xml:space="preserve">– proces technologiczny, polegający na odpowiednim zagęszczeniu przy wilgotności optymalnej kruszywa o właściwie dobranym uziarnieniu. </w:t>
      </w:r>
    </w:p>
    <w:p w:rsidR="00904BD7" w:rsidRDefault="00904BD7" w:rsidP="00904BD7">
      <w:pPr>
        <w:pStyle w:val="Default"/>
        <w:jc w:val="both"/>
        <w:rPr>
          <w:sz w:val="20"/>
          <w:szCs w:val="20"/>
        </w:rPr>
      </w:pPr>
      <w:r>
        <w:rPr>
          <w:b/>
          <w:bCs/>
          <w:sz w:val="20"/>
          <w:szCs w:val="20"/>
        </w:rPr>
        <w:t xml:space="preserve">1.4.2. </w:t>
      </w:r>
      <w:r w:rsidRPr="00D5701B">
        <w:rPr>
          <w:b/>
          <w:sz w:val="20"/>
          <w:szCs w:val="20"/>
        </w:rPr>
        <w:t>Warstwa ulepszonego podłoża</w:t>
      </w:r>
      <w:r>
        <w:rPr>
          <w:sz w:val="20"/>
          <w:szCs w:val="20"/>
        </w:rPr>
        <w:t xml:space="preserve"> – jedna lub więcej warstw zagęszczonej mieszanki niezwiązanej, która zapewnia uzyskanie wymaganych parametrów nośności i zagęszczenia pod podbudową nawierzchni drogowej oraz pozwala na uzyskanie wymaganej trwałości konstrukcji. </w:t>
      </w:r>
    </w:p>
    <w:p w:rsidR="00904BD7" w:rsidRDefault="00904BD7" w:rsidP="00904BD7">
      <w:pPr>
        <w:pStyle w:val="Default"/>
        <w:jc w:val="both"/>
        <w:rPr>
          <w:sz w:val="20"/>
          <w:szCs w:val="20"/>
        </w:rPr>
      </w:pPr>
      <w:r>
        <w:rPr>
          <w:b/>
          <w:bCs/>
          <w:sz w:val="20"/>
          <w:szCs w:val="20"/>
        </w:rPr>
        <w:t xml:space="preserve">1.4.3. </w:t>
      </w:r>
      <w:r w:rsidRPr="00D5701B">
        <w:rPr>
          <w:b/>
          <w:sz w:val="20"/>
          <w:szCs w:val="20"/>
        </w:rPr>
        <w:t>Mieszanka niezwiązana</w:t>
      </w:r>
      <w:r>
        <w:rPr>
          <w:sz w:val="20"/>
          <w:szCs w:val="20"/>
        </w:rPr>
        <w:t xml:space="preserve"> – ziarnisty materiał, zazwyczaj o określonym składzie ziarnowym (od d=0 do D), który jest stosowany do wykonania ulepszonego podłoża gruntowego oraz warstw konstrukcji nawierzchni dróg. </w:t>
      </w:r>
    </w:p>
    <w:p w:rsidR="00904BD7" w:rsidRDefault="00904BD7" w:rsidP="00904BD7">
      <w:pPr>
        <w:pStyle w:val="Default"/>
        <w:jc w:val="both"/>
        <w:rPr>
          <w:sz w:val="20"/>
          <w:szCs w:val="20"/>
        </w:rPr>
      </w:pPr>
      <w:r w:rsidRPr="00D5701B">
        <w:rPr>
          <w:b/>
          <w:sz w:val="20"/>
          <w:szCs w:val="20"/>
        </w:rPr>
        <w:t>1.4.4.Stabilizacja kruszywa georusztem</w:t>
      </w:r>
      <w:r>
        <w:rPr>
          <w:sz w:val="20"/>
          <w:szCs w:val="20"/>
        </w:rPr>
        <w:t xml:space="preserve"> – </w:t>
      </w:r>
      <w:r w:rsidRPr="009B1826">
        <w:rPr>
          <w:sz w:val="20"/>
          <w:szCs w:val="20"/>
        </w:rPr>
        <w:t>poprawa parametrów</w:t>
      </w:r>
      <w:r>
        <w:rPr>
          <w:sz w:val="20"/>
          <w:szCs w:val="20"/>
        </w:rPr>
        <w:t xml:space="preserve"> (nośności i zagęszczenia) warstwy mieszanki niezwiązanej dzięki ograniczeniu możliwości przemieszczeń ziaren kruszywa pod działaniem obciążenia, wynikającemu z mechanizmu zazębienia tych ziaren w sztywnym georuszcie.</w:t>
      </w:r>
    </w:p>
    <w:p w:rsidR="00904BD7" w:rsidRDefault="00904BD7" w:rsidP="00904BD7">
      <w:pPr>
        <w:pStyle w:val="Default"/>
        <w:jc w:val="both"/>
        <w:rPr>
          <w:sz w:val="20"/>
          <w:szCs w:val="20"/>
        </w:rPr>
      </w:pPr>
      <w:r w:rsidRPr="00D5701B">
        <w:rPr>
          <w:b/>
          <w:sz w:val="20"/>
          <w:szCs w:val="20"/>
        </w:rPr>
        <w:t>1.4.5. Zazębienie</w:t>
      </w:r>
      <w:r>
        <w:rPr>
          <w:sz w:val="20"/>
          <w:szCs w:val="20"/>
        </w:rPr>
        <w:t xml:space="preserve"> – mechanizm współpracy kruszywa i georusztu pod wpływem obciążenia, opierający się na unieruchomieniu ziaren kruszywa w sztywnych oczkach georusztu.</w:t>
      </w:r>
    </w:p>
    <w:p w:rsidR="00904BD7" w:rsidRDefault="00904BD7" w:rsidP="00904BD7">
      <w:pPr>
        <w:pStyle w:val="Default"/>
        <w:jc w:val="both"/>
        <w:rPr>
          <w:b/>
          <w:sz w:val="20"/>
          <w:szCs w:val="20"/>
        </w:rPr>
      </w:pPr>
      <w:r w:rsidRPr="00D5701B">
        <w:rPr>
          <w:b/>
          <w:sz w:val="20"/>
          <w:szCs w:val="20"/>
        </w:rPr>
        <w:t>1.4.6. Geosyntetyk</w:t>
      </w:r>
      <w:r w:rsidRPr="00345571">
        <w:rPr>
          <w:sz w:val="20"/>
          <w:szCs w:val="20"/>
        </w:rPr>
        <w:t xml:space="preserve"> – płaski materiał o postaci ciągłej, wytwarzany z tworzyw sztucznych stosowany w kontakcie z gruntem lub kruszywem.</w:t>
      </w:r>
    </w:p>
    <w:p w:rsidR="00904BD7" w:rsidRPr="00345571" w:rsidRDefault="00904BD7" w:rsidP="00904BD7">
      <w:pPr>
        <w:pStyle w:val="Default"/>
        <w:jc w:val="both"/>
        <w:rPr>
          <w:sz w:val="20"/>
          <w:szCs w:val="20"/>
        </w:rPr>
      </w:pPr>
      <w:r w:rsidRPr="00D5701B">
        <w:rPr>
          <w:b/>
          <w:sz w:val="20"/>
          <w:szCs w:val="20"/>
        </w:rPr>
        <w:t>1.4.</w:t>
      </w:r>
      <w:r>
        <w:rPr>
          <w:b/>
          <w:sz w:val="20"/>
          <w:szCs w:val="20"/>
        </w:rPr>
        <w:t>7</w:t>
      </w:r>
      <w:r w:rsidRPr="00D5701B">
        <w:rPr>
          <w:b/>
          <w:sz w:val="20"/>
          <w:szCs w:val="20"/>
        </w:rPr>
        <w:t>. Geosiatka ekstrudowana</w:t>
      </w:r>
      <w:r>
        <w:rPr>
          <w:sz w:val="20"/>
          <w:szCs w:val="20"/>
        </w:rPr>
        <w:t xml:space="preserve">– dwuosiowa </w:t>
      </w:r>
      <w:r w:rsidRPr="00345571">
        <w:rPr>
          <w:sz w:val="20"/>
          <w:szCs w:val="20"/>
        </w:rPr>
        <w:t xml:space="preserve">płaska struktura w postaci siatki, z otworami o kształcie kwadratu lub prostokąta znacznie większymi niż elementy składowe, </w:t>
      </w:r>
      <w:r>
        <w:rPr>
          <w:sz w:val="20"/>
          <w:szCs w:val="20"/>
        </w:rPr>
        <w:t xml:space="preserve">i żebrami </w:t>
      </w:r>
      <w:r w:rsidRPr="00345571">
        <w:rPr>
          <w:sz w:val="20"/>
          <w:szCs w:val="20"/>
        </w:rPr>
        <w:t>połączonymi w węzłach w procesie ekstruzji. Wiodące parametry opisujące geosiatkę to wytrzymałość na rozciąganie i odkształcenie przy zerwaniu.</w:t>
      </w:r>
    </w:p>
    <w:p w:rsidR="00904BD7" w:rsidRPr="00345571" w:rsidRDefault="00904BD7" w:rsidP="00904BD7">
      <w:pPr>
        <w:pStyle w:val="Default"/>
        <w:jc w:val="both"/>
        <w:rPr>
          <w:sz w:val="20"/>
          <w:szCs w:val="20"/>
        </w:rPr>
      </w:pPr>
      <w:r w:rsidRPr="00D5701B">
        <w:rPr>
          <w:b/>
          <w:sz w:val="20"/>
          <w:szCs w:val="20"/>
        </w:rPr>
        <w:t>1.4.</w:t>
      </w:r>
      <w:r>
        <w:rPr>
          <w:b/>
          <w:sz w:val="20"/>
          <w:szCs w:val="20"/>
        </w:rPr>
        <w:t>8</w:t>
      </w:r>
      <w:r w:rsidRPr="00D5701B">
        <w:rPr>
          <w:b/>
          <w:sz w:val="20"/>
          <w:szCs w:val="20"/>
        </w:rPr>
        <w:t>. Geosiatka zgrzewana</w:t>
      </w:r>
      <w:r>
        <w:rPr>
          <w:sz w:val="20"/>
          <w:szCs w:val="20"/>
        </w:rPr>
        <w:t xml:space="preserve">– dwuosiowa </w:t>
      </w:r>
      <w:r w:rsidRPr="00345571">
        <w:rPr>
          <w:sz w:val="20"/>
          <w:szCs w:val="20"/>
        </w:rPr>
        <w:t xml:space="preserve">płaska struktura w postaci siatki, z otworami o kształcie kwadratu lub prostokąta znacznie większymi niż elementy składowe, </w:t>
      </w:r>
      <w:r>
        <w:rPr>
          <w:sz w:val="20"/>
          <w:szCs w:val="20"/>
        </w:rPr>
        <w:t xml:space="preserve">i żebrami </w:t>
      </w:r>
      <w:r w:rsidRPr="00345571">
        <w:rPr>
          <w:sz w:val="20"/>
          <w:szCs w:val="20"/>
        </w:rPr>
        <w:t>połączonymi w węzłach w procesie zgrzewania</w:t>
      </w:r>
      <w:r>
        <w:rPr>
          <w:sz w:val="20"/>
          <w:szCs w:val="20"/>
        </w:rPr>
        <w:t xml:space="preserve"> lub spawania</w:t>
      </w:r>
      <w:r w:rsidRPr="00345571">
        <w:rPr>
          <w:sz w:val="20"/>
          <w:szCs w:val="20"/>
        </w:rPr>
        <w:t>. Wiodące parame</w:t>
      </w:r>
      <w:r>
        <w:rPr>
          <w:sz w:val="20"/>
          <w:szCs w:val="20"/>
        </w:rPr>
        <w:t>try opisujące geosiatkę to wytrzymałoś</w:t>
      </w:r>
      <w:r w:rsidRPr="00345571">
        <w:rPr>
          <w:sz w:val="20"/>
          <w:szCs w:val="20"/>
        </w:rPr>
        <w:t>ć na rozciąganie i odkształcenie przy zerwaniu.</w:t>
      </w:r>
    </w:p>
    <w:p w:rsidR="00904BD7" w:rsidRDefault="00904BD7" w:rsidP="00904BD7">
      <w:pPr>
        <w:pStyle w:val="Default"/>
        <w:jc w:val="both"/>
        <w:rPr>
          <w:sz w:val="20"/>
          <w:szCs w:val="20"/>
        </w:rPr>
      </w:pPr>
      <w:r w:rsidRPr="00D5701B">
        <w:rPr>
          <w:b/>
          <w:sz w:val="20"/>
          <w:szCs w:val="20"/>
        </w:rPr>
        <w:t>1.4.</w:t>
      </w:r>
      <w:r>
        <w:rPr>
          <w:b/>
          <w:sz w:val="20"/>
          <w:szCs w:val="20"/>
        </w:rPr>
        <w:t>9</w:t>
      </w:r>
      <w:r w:rsidRPr="00D5701B">
        <w:rPr>
          <w:b/>
          <w:sz w:val="20"/>
          <w:szCs w:val="20"/>
        </w:rPr>
        <w:t>. Geosiatka przeplatana</w:t>
      </w:r>
      <w:r>
        <w:rPr>
          <w:sz w:val="20"/>
          <w:szCs w:val="20"/>
        </w:rPr>
        <w:t xml:space="preserve">– dwuosiowa </w:t>
      </w:r>
      <w:r w:rsidRPr="00345571">
        <w:rPr>
          <w:sz w:val="20"/>
          <w:szCs w:val="20"/>
        </w:rPr>
        <w:t xml:space="preserve">płaska struktura w postaci siatki, z otworami o kształcie kwadratu lub prostokąta znacznie większymi niż elementy składowe, </w:t>
      </w:r>
      <w:r>
        <w:rPr>
          <w:sz w:val="20"/>
          <w:szCs w:val="20"/>
        </w:rPr>
        <w:t xml:space="preserve">i żebrami </w:t>
      </w:r>
      <w:r w:rsidRPr="00345571">
        <w:rPr>
          <w:sz w:val="20"/>
          <w:szCs w:val="20"/>
        </w:rPr>
        <w:t>połączonymi w węzłach w procesie przeplatania. Wiodące parame</w:t>
      </w:r>
      <w:r>
        <w:rPr>
          <w:sz w:val="20"/>
          <w:szCs w:val="20"/>
        </w:rPr>
        <w:t>try opisujące geosiatkę to wytrzymałoś</w:t>
      </w:r>
      <w:r w:rsidRPr="00345571">
        <w:rPr>
          <w:sz w:val="20"/>
          <w:szCs w:val="20"/>
        </w:rPr>
        <w:t>ć na rozciąganie i odkształcenie przy zerwaniu.</w:t>
      </w:r>
    </w:p>
    <w:p w:rsidR="00904BD7" w:rsidRPr="00345571" w:rsidRDefault="00904BD7" w:rsidP="00904BD7">
      <w:pPr>
        <w:pStyle w:val="Default"/>
        <w:jc w:val="both"/>
        <w:rPr>
          <w:sz w:val="20"/>
          <w:szCs w:val="20"/>
        </w:rPr>
      </w:pPr>
      <w:r w:rsidRPr="00D5701B">
        <w:rPr>
          <w:b/>
          <w:sz w:val="20"/>
          <w:szCs w:val="20"/>
        </w:rPr>
        <w:t>1.4.</w:t>
      </w:r>
      <w:r>
        <w:rPr>
          <w:b/>
          <w:sz w:val="20"/>
          <w:szCs w:val="20"/>
        </w:rPr>
        <w:t>10</w:t>
      </w:r>
      <w:r w:rsidRPr="00D5701B">
        <w:rPr>
          <w:b/>
          <w:sz w:val="20"/>
          <w:szCs w:val="20"/>
        </w:rPr>
        <w:t>. Georuszt</w:t>
      </w:r>
      <w:r w:rsidRPr="00EA7068">
        <w:rPr>
          <w:b/>
          <w:sz w:val="20"/>
          <w:szCs w:val="20"/>
        </w:rPr>
        <w:t>dwuosiowy</w:t>
      </w:r>
      <w:r>
        <w:rPr>
          <w:sz w:val="20"/>
          <w:szCs w:val="20"/>
        </w:rPr>
        <w:t>–</w:t>
      </w:r>
      <w:r w:rsidRPr="00345571">
        <w:rPr>
          <w:sz w:val="20"/>
          <w:szCs w:val="20"/>
        </w:rPr>
        <w:t xml:space="preserve"> płaska struktura w postaci rusztu, z otworami o kształcie kwadratu lub prostokąta znacznie większymi niż elementy składowe, o strukturze powstałej w wyniku rozciągania </w:t>
      </w:r>
      <w:r>
        <w:rPr>
          <w:sz w:val="20"/>
          <w:szCs w:val="20"/>
        </w:rPr>
        <w:t xml:space="preserve">w dwóch kierunkach </w:t>
      </w:r>
      <w:r w:rsidRPr="00345571">
        <w:rPr>
          <w:sz w:val="20"/>
          <w:szCs w:val="20"/>
        </w:rPr>
        <w:t xml:space="preserve">w podwyższonej temperaturze perforowanej taśmy polimeru, bez połączeń w węzłach w formie plecionej, zgrzewanej czy ekstrudowanej. Wiodące parametry opisujące </w:t>
      </w:r>
      <w:r>
        <w:rPr>
          <w:sz w:val="20"/>
          <w:szCs w:val="20"/>
        </w:rPr>
        <w:t xml:space="preserve">Georuszt dwuosiowy </w:t>
      </w:r>
      <w:r w:rsidRPr="00345571">
        <w:rPr>
          <w:sz w:val="20"/>
          <w:szCs w:val="20"/>
        </w:rPr>
        <w:t xml:space="preserve">to </w:t>
      </w:r>
      <w:r>
        <w:rPr>
          <w:sz w:val="20"/>
          <w:szCs w:val="20"/>
        </w:rPr>
        <w:t>wytrzymałoś</w:t>
      </w:r>
      <w:r w:rsidRPr="00345571">
        <w:rPr>
          <w:sz w:val="20"/>
          <w:szCs w:val="20"/>
        </w:rPr>
        <w:t>ć na rozciąganie i odkształcenie przy zerwaniu.</w:t>
      </w:r>
    </w:p>
    <w:p w:rsidR="00904BD7" w:rsidRDefault="00904BD7" w:rsidP="00904BD7">
      <w:pPr>
        <w:pStyle w:val="Default"/>
        <w:jc w:val="both"/>
        <w:rPr>
          <w:b/>
          <w:bCs/>
          <w:sz w:val="20"/>
          <w:szCs w:val="20"/>
        </w:rPr>
      </w:pPr>
      <w:r w:rsidRPr="00D5701B">
        <w:rPr>
          <w:b/>
          <w:sz w:val="20"/>
          <w:szCs w:val="20"/>
        </w:rPr>
        <w:t>1.4.</w:t>
      </w:r>
      <w:r>
        <w:rPr>
          <w:b/>
          <w:sz w:val="20"/>
          <w:szCs w:val="20"/>
        </w:rPr>
        <w:t>11</w:t>
      </w:r>
      <w:r w:rsidRPr="00D5701B">
        <w:rPr>
          <w:b/>
          <w:sz w:val="20"/>
          <w:szCs w:val="20"/>
        </w:rPr>
        <w:t>. Georuszt trójosiowy</w:t>
      </w:r>
      <w:r w:rsidRPr="00EA7068">
        <w:rPr>
          <w:b/>
          <w:sz w:val="20"/>
          <w:szCs w:val="20"/>
        </w:rPr>
        <w:t>(heksagonalny)</w:t>
      </w:r>
      <w:r w:rsidRPr="00345571">
        <w:rPr>
          <w:sz w:val="20"/>
          <w:szCs w:val="20"/>
        </w:rPr>
        <w:t>– płaska struktura w postaci rusztu, z otworami o kształcie trójkąta równobocznego</w:t>
      </w:r>
      <w:r>
        <w:rPr>
          <w:sz w:val="20"/>
          <w:szCs w:val="20"/>
        </w:rPr>
        <w:t>, tworzącymi układ sześciokątów foremnych</w:t>
      </w:r>
      <w:r w:rsidRPr="00345571">
        <w:rPr>
          <w:sz w:val="20"/>
          <w:szCs w:val="20"/>
        </w:rPr>
        <w:t xml:space="preserve">, o strukturze powstałej w wyniku rozciągania </w:t>
      </w:r>
      <w:r>
        <w:rPr>
          <w:sz w:val="20"/>
          <w:szCs w:val="20"/>
        </w:rPr>
        <w:t xml:space="preserve">w trzech kierunkach </w:t>
      </w:r>
      <w:r w:rsidRPr="00345571">
        <w:rPr>
          <w:sz w:val="20"/>
          <w:szCs w:val="20"/>
        </w:rPr>
        <w:t>w podwyższonej temperaturze perforowanej taśmy polimeru, bez połączeń w węzłach w formie plecionej, zgrzewanej czy ekstrudowanej. Wiodące parametry opisujące georuszt to sztywność radialna i współczynnik izotropii sztywności.</w:t>
      </w:r>
    </w:p>
    <w:p w:rsidR="00904BD7" w:rsidRDefault="00904BD7" w:rsidP="00904BD7">
      <w:pPr>
        <w:pStyle w:val="Default"/>
        <w:jc w:val="both"/>
        <w:rPr>
          <w:bCs/>
          <w:sz w:val="20"/>
          <w:szCs w:val="20"/>
        </w:rPr>
      </w:pPr>
      <w:r>
        <w:rPr>
          <w:b/>
          <w:bCs/>
          <w:sz w:val="20"/>
          <w:szCs w:val="20"/>
        </w:rPr>
        <w:t>1.4.12. Geotkanina separacyjna (</w:t>
      </w:r>
      <w:r w:rsidRPr="00DE4C8F">
        <w:rPr>
          <w:b/>
          <w:bCs/>
          <w:sz w:val="20"/>
          <w:szCs w:val="20"/>
        </w:rPr>
        <w:t>rozdzielająca)</w:t>
      </w:r>
      <w:r>
        <w:rPr>
          <w:bCs/>
          <w:sz w:val="20"/>
          <w:szCs w:val="20"/>
        </w:rPr>
        <w:t>– materiał geotekstylny, w którym można wyodrębnić wątek oraz osnowę, powstały z przeplecenia ciągłych tasiemek z polimeru.</w:t>
      </w:r>
    </w:p>
    <w:p w:rsidR="00904BD7" w:rsidRPr="00CA4FB8" w:rsidRDefault="00904BD7" w:rsidP="00904BD7">
      <w:pPr>
        <w:pStyle w:val="Default"/>
        <w:jc w:val="both"/>
        <w:rPr>
          <w:sz w:val="20"/>
          <w:szCs w:val="20"/>
        </w:rPr>
      </w:pPr>
      <w:r w:rsidRPr="00CA4FB8">
        <w:rPr>
          <w:b/>
          <w:bCs/>
          <w:sz w:val="20"/>
          <w:szCs w:val="20"/>
        </w:rPr>
        <w:t>1.4.13. Geowłóknina separacyjna (rozdzielająca)</w:t>
      </w:r>
      <w:r w:rsidRPr="00CA4FB8">
        <w:rPr>
          <w:bCs/>
          <w:sz w:val="20"/>
          <w:szCs w:val="20"/>
        </w:rPr>
        <w:t>–</w:t>
      </w:r>
      <w:r w:rsidRPr="00CA4FB8">
        <w:rPr>
          <w:sz w:val="20"/>
          <w:szCs w:val="20"/>
        </w:rPr>
        <w:t xml:space="preserve">materiał geotekstylny, wykonany z włókien polimerowych połączonych mechanicznie - w wyniku igłowania (lub przeszywania) lub termicznie w wyniku </w:t>
      </w:r>
      <w:hyperlink r:id="rId57" w:tooltip="Zgrzewanie" w:history="1">
        <w:r w:rsidRPr="00CA4FB8">
          <w:rPr>
            <w:sz w:val="20"/>
            <w:szCs w:val="20"/>
          </w:rPr>
          <w:t>zgrzewania</w:t>
        </w:r>
      </w:hyperlink>
      <w:r w:rsidRPr="00CA4FB8">
        <w:rPr>
          <w:sz w:val="20"/>
          <w:szCs w:val="20"/>
        </w:rPr>
        <w:t>.</w:t>
      </w:r>
    </w:p>
    <w:p w:rsidR="00904BD7" w:rsidRDefault="00904BD7" w:rsidP="00904BD7">
      <w:pPr>
        <w:pStyle w:val="Default"/>
        <w:jc w:val="both"/>
        <w:rPr>
          <w:sz w:val="20"/>
          <w:szCs w:val="20"/>
        </w:rPr>
      </w:pPr>
      <w:r w:rsidRPr="00D5701B">
        <w:rPr>
          <w:b/>
          <w:sz w:val="20"/>
          <w:szCs w:val="20"/>
        </w:rPr>
        <w:t>1.4.</w:t>
      </w:r>
      <w:r>
        <w:rPr>
          <w:b/>
          <w:sz w:val="20"/>
          <w:szCs w:val="20"/>
        </w:rPr>
        <w:t>14</w:t>
      </w:r>
      <w:r w:rsidRPr="00D5701B">
        <w:rPr>
          <w:b/>
          <w:sz w:val="20"/>
          <w:szCs w:val="20"/>
        </w:rPr>
        <w:t>. Funkcja stabilizacyjna</w:t>
      </w:r>
      <w:r>
        <w:rPr>
          <w:sz w:val="20"/>
          <w:szCs w:val="20"/>
        </w:rPr>
        <w:t xml:space="preserve"> – wykorzystanie georusztu trójosiowego (heksagonalnego) do ograniczenia możliwości przemieszczania się ziaren zaklinowanych w jego oczkach. Skuteczność stabilizacji związana jest ze sztywnością georusztu w płaszczyźnie kontaktu z ziarnami kruszywa. Istotne parametry georusztu trójosiowego pełniącego funkcję stabilizacyjną to </w:t>
      </w:r>
      <w:r w:rsidRPr="00345571">
        <w:rPr>
          <w:sz w:val="20"/>
          <w:szCs w:val="20"/>
        </w:rPr>
        <w:t>sztywność radialna i współczynnik izotropii sztywności</w:t>
      </w:r>
      <w:r>
        <w:rPr>
          <w:sz w:val="20"/>
          <w:szCs w:val="20"/>
        </w:rPr>
        <w:t>.</w:t>
      </w:r>
    </w:p>
    <w:p w:rsidR="00904BD7" w:rsidRPr="00345571" w:rsidRDefault="00904BD7" w:rsidP="00904BD7">
      <w:pPr>
        <w:pStyle w:val="Default"/>
        <w:jc w:val="both"/>
        <w:rPr>
          <w:sz w:val="20"/>
          <w:szCs w:val="20"/>
        </w:rPr>
      </w:pPr>
      <w:r w:rsidRPr="00D5701B">
        <w:rPr>
          <w:b/>
          <w:sz w:val="20"/>
          <w:szCs w:val="20"/>
        </w:rPr>
        <w:t>1.4.</w:t>
      </w:r>
      <w:r>
        <w:rPr>
          <w:b/>
          <w:sz w:val="20"/>
          <w:szCs w:val="20"/>
        </w:rPr>
        <w:t>15</w:t>
      </w:r>
      <w:r w:rsidRPr="00D5701B">
        <w:rPr>
          <w:b/>
          <w:sz w:val="20"/>
          <w:szCs w:val="20"/>
        </w:rPr>
        <w:t>. Funkcja zbrojeniowa</w:t>
      </w:r>
      <w:r>
        <w:rPr>
          <w:sz w:val="20"/>
          <w:szCs w:val="20"/>
        </w:rPr>
        <w:t xml:space="preserve"> – wykorzystanie geosyntetyku do nadania warstwie gruntu będącej z nim w interakcji wytrzymałości na rozciąganie. Interakcja z gruntem może się odbywać poprzez przenikanie ziaren lub poprzez mobilizację sił tarcia i zależy od indywidualnych właściwości geosyntetyku. Istotne parametry geosyntetyku pełniącego funkcję zbrojeniową to wytrzymałoś</w:t>
      </w:r>
      <w:r w:rsidRPr="00345571">
        <w:rPr>
          <w:sz w:val="20"/>
          <w:szCs w:val="20"/>
        </w:rPr>
        <w:t>ć na rozciąganie i odkształcenie przy zerwaniu</w:t>
      </w:r>
      <w:r>
        <w:rPr>
          <w:sz w:val="20"/>
          <w:szCs w:val="20"/>
        </w:rPr>
        <w:t>.</w:t>
      </w:r>
    </w:p>
    <w:p w:rsidR="00904BD7" w:rsidRPr="00482642" w:rsidDel="001608CA" w:rsidRDefault="00904BD7" w:rsidP="00904BD7">
      <w:pPr>
        <w:pStyle w:val="Default"/>
        <w:jc w:val="both"/>
        <w:rPr>
          <w:bCs/>
          <w:sz w:val="20"/>
          <w:szCs w:val="20"/>
        </w:rPr>
      </w:pPr>
      <w:r>
        <w:rPr>
          <w:b/>
          <w:bCs/>
          <w:sz w:val="20"/>
          <w:szCs w:val="20"/>
        </w:rPr>
        <w:t>1.4.16 F</w:t>
      </w:r>
      <w:r w:rsidRPr="00A21B35">
        <w:rPr>
          <w:b/>
          <w:bCs/>
          <w:sz w:val="20"/>
          <w:szCs w:val="20"/>
        </w:rPr>
        <w:t xml:space="preserve">unkcja </w:t>
      </w:r>
      <w:r>
        <w:rPr>
          <w:b/>
          <w:bCs/>
          <w:sz w:val="20"/>
          <w:szCs w:val="20"/>
        </w:rPr>
        <w:t>separacyjna (rozdzielająca)</w:t>
      </w:r>
      <w:r>
        <w:rPr>
          <w:bCs/>
          <w:sz w:val="20"/>
          <w:szCs w:val="20"/>
        </w:rPr>
        <w:t xml:space="preserve"> – wykorzystanie geotkaniny do odseparowania od siebie dwóch warstw różniących się od siebie uziarnieniem. Funkcja separacyjna obejmuje zarówno zapobieganie migracji drobnych cząstek przenoszonych w wyniku przepływu wody (np. zmiana poziomu wód gruntowych) jak i w wyniku oddziaływań dynamicznych (np. pompowanie drobnych frakcji w wyniku cyklicznych oddziaływań dynamicznych od ruchu). </w:t>
      </w:r>
    </w:p>
    <w:p w:rsidR="00904BD7" w:rsidRDefault="00904BD7" w:rsidP="00904BD7">
      <w:pPr>
        <w:pStyle w:val="Default"/>
        <w:jc w:val="both"/>
        <w:rPr>
          <w:sz w:val="20"/>
          <w:szCs w:val="20"/>
        </w:rPr>
      </w:pPr>
      <w:r>
        <w:rPr>
          <w:b/>
          <w:bCs/>
          <w:sz w:val="20"/>
          <w:szCs w:val="20"/>
        </w:rPr>
        <w:t xml:space="preserve">1.4.17. </w:t>
      </w:r>
      <w:r>
        <w:rPr>
          <w:sz w:val="20"/>
          <w:szCs w:val="20"/>
        </w:rPr>
        <w:t>Pozostałe określenia podstawowe są zgodne z obowiązującymi, odpowiednimi polskimi normami oraz z definicjami podanymi w ST D-M-00.00.00 „Wymagania ogólne”.</w:t>
      </w:r>
    </w:p>
    <w:p w:rsidR="00904BD7" w:rsidRPr="009B6525" w:rsidRDefault="00904BD7" w:rsidP="00904BD7">
      <w:pPr>
        <w:widowControl w:val="0"/>
        <w:rPr>
          <w:b/>
        </w:rPr>
      </w:pPr>
    </w:p>
    <w:p w:rsidR="00904BD7" w:rsidRDefault="00904BD7" w:rsidP="00904BD7">
      <w:pPr>
        <w:widowControl w:val="0"/>
        <w:rPr>
          <w:b/>
        </w:rPr>
      </w:pPr>
      <w:r w:rsidRPr="009B6525">
        <w:rPr>
          <w:b/>
        </w:rPr>
        <w:t>1.5 Ogólne wymagania dotyczące robót</w:t>
      </w:r>
    </w:p>
    <w:p w:rsidR="00904BD7" w:rsidRDefault="00904BD7" w:rsidP="00904BD7">
      <w:pPr>
        <w:widowControl w:val="0"/>
        <w:rPr>
          <w:b/>
        </w:rPr>
      </w:pPr>
    </w:p>
    <w:p w:rsidR="00904BD7" w:rsidRDefault="00904BD7" w:rsidP="00904BD7">
      <w:pPr>
        <w:pStyle w:val="Default"/>
        <w:ind w:firstLine="709"/>
        <w:jc w:val="both"/>
        <w:rPr>
          <w:sz w:val="20"/>
          <w:szCs w:val="20"/>
        </w:rPr>
      </w:pPr>
      <w:r>
        <w:rPr>
          <w:sz w:val="20"/>
          <w:szCs w:val="20"/>
        </w:rPr>
        <w:t xml:space="preserve">Ogólne wymagania dotyczące robót podano w ST D-M-00.00.00 „Wymagania ogólne” </w:t>
      </w:r>
    </w:p>
    <w:p w:rsidR="00904BD7" w:rsidRDefault="00904BD7" w:rsidP="00904BD7">
      <w:pPr>
        <w:pStyle w:val="Default"/>
        <w:ind w:firstLine="709"/>
        <w:jc w:val="both"/>
        <w:rPr>
          <w:sz w:val="20"/>
          <w:szCs w:val="20"/>
        </w:rPr>
      </w:pPr>
      <w:r>
        <w:rPr>
          <w:sz w:val="20"/>
          <w:szCs w:val="20"/>
        </w:rPr>
        <w:t>Wykonawca robót jest odpowiedzialny za jakość ich wykonania oraz za zgodność z dokumentacją projektową, ST i poleceniami Inżyniera.</w:t>
      </w:r>
    </w:p>
    <w:p w:rsidR="00904BD7" w:rsidRPr="009B6525" w:rsidRDefault="00904BD7" w:rsidP="00904BD7">
      <w:pPr>
        <w:widowControl w:val="0"/>
        <w:rPr>
          <w:b/>
        </w:rPr>
      </w:pPr>
    </w:p>
    <w:p w:rsidR="00904BD7" w:rsidRPr="009B6525" w:rsidRDefault="00904BD7" w:rsidP="00904BD7">
      <w:pPr>
        <w:widowControl w:val="0"/>
        <w:snapToGrid w:val="0"/>
        <w:spacing w:before="120" w:after="120"/>
        <w:jc w:val="both"/>
        <w:rPr>
          <w:b/>
          <w:noProof/>
          <w:u w:val="single"/>
        </w:rPr>
      </w:pPr>
      <w:r w:rsidRPr="009B6525">
        <w:rPr>
          <w:b/>
          <w:noProof/>
          <w:u w:val="single"/>
        </w:rPr>
        <w:t>2. MATERIAŁY</w:t>
      </w:r>
    </w:p>
    <w:p w:rsidR="00904BD7" w:rsidRDefault="00904BD7" w:rsidP="00904BD7">
      <w:pPr>
        <w:widowControl w:val="0"/>
        <w:snapToGrid w:val="0"/>
        <w:spacing w:before="120" w:after="120"/>
        <w:jc w:val="both"/>
      </w:pPr>
      <w:r>
        <w:rPr>
          <w:b/>
          <w:bCs/>
        </w:rPr>
        <w:t>2.1 Ogólne wymagania dotyczące materiałów</w:t>
      </w:r>
    </w:p>
    <w:p w:rsidR="00904BD7" w:rsidRDefault="00904BD7" w:rsidP="00904BD7">
      <w:pPr>
        <w:pStyle w:val="Default"/>
        <w:ind w:firstLine="709"/>
        <w:jc w:val="both"/>
        <w:rPr>
          <w:sz w:val="20"/>
          <w:szCs w:val="20"/>
        </w:rPr>
      </w:pPr>
      <w:r>
        <w:rPr>
          <w:sz w:val="20"/>
          <w:szCs w:val="20"/>
        </w:rPr>
        <w:t>Ogólne wymagania dotyczące materiałów, ich pozyskiwania i składowania, podano w ST D-M 00.00.00 „Wymagania ogólne”.</w:t>
      </w:r>
    </w:p>
    <w:p w:rsidR="00904BD7" w:rsidRDefault="00904BD7" w:rsidP="00904BD7">
      <w:pPr>
        <w:pStyle w:val="Default"/>
        <w:jc w:val="both"/>
        <w:rPr>
          <w:sz w:val="20"/>
          <w:szCs w:val="20"/>
        </w:rPr>
      </w:pPr>
    </w:p>
    <w:p w:rsidR="00904BD7" w:rsidRDefault="00904BD7" w:rsidP="00904BD7">
      <w:pPr>
        <w:pStyle w:val="Default"/>
        <w:jc w:val="both"/>
        <w:rPr>
          <w:sz w:val="20"/>
          <w:szCs w:val="20"/>
        </w:rPr>
      </w:pPr>
      <w:r>
        <w:rPr>
          <w:b/>
          <w:bCs/>
          <w:sz w:val="20"/>
          <w:szCs w:val="20"/>
        </w:rPr>
        <w:t>2.2 Kruszywo</w:t>
      </w:r>
    </w:p>
    <w:p w:rsidR="00904BD7" w:rsidRDefault="00904BD7" w:rsidP="00904BD7">
      <w:pPr>
        <w:pStyle w:val="Default"/>
        <w:ind w:firstLine="709"/>
        <w:jc w:val="both"/>
        <w:rPr>
          <w:sz w:val="20"/>
          <w:szCs w:val="20"/>
        </w:rPr>
      </w:pPr>
      <w:r>
        <w:rPr>
          <w:sz w:val="20"/>
          <w:szCs w:val="20"/>
        </w:rPr>
        <w:t>Materiałem do wykonania warstwy ulepszonego podłoża z mieszanki niezwiązanej stabilizowanej georusztem powinno być kruszywo łamane 0/31,5, uzyskane w wyniku przekruszenia surowca skalnego litego lub kruszywo naturalne kruszone, uzyskane w wyniku przekruszenia kamieni narzutowych i otoczaków (o wielkości powyżej 63mm).</w:t>
      </w:r>
    </w:p>
    <w:p w:rsidR="00904BD7" w:rsidRDefault="00904BD7" w:rsidP="00904BD7">
      <w:pPr>
        <w:pStyle w:val="Default"/>
        <w:ind w:firstLine="709"/>
        <w:jc w:val="both"/>
        <w:rPr>
          <w:sz w:val="20"/>
          <w:szCs w:val="20"/>
        </w:rPr>
      </w:pPr>
    </w:p>
    <w:p w:rsidR="00904BD7" w:rsidRDefault="00904BD7" w:rsidP="00904BD7">
      <w:pPr>
        <w:pStyle w:val="Default"/>
        <w:jc w:val="both"/>
        <w:rPr>
          <w:sz w:val="20"/>
          <w:szCs w:val="20"/>
        </w:rPr>
      </w:pPr>
      <w:r>
        <w:rPr>
          <w:b/>
          <w:bCs/>
          <w:sz w:val="20"/>
          <w:szCs w:val="20"/>
        </w:rPr>
        <w:t>2.3 Uziarnienie mieszanki niezwiązanej</w:t>
      </w:r>
    </w:p>
    <w:p w:rsidR="00904BD7" w:rsidRDefault="00904BD7" w:rsidP="00904BD7">
      <w:pPr>
        <w:pStyle w:val="Default"/>
        <w:ind w:firstLine="709"/>
        <w:jc w:val="both"/>
        <w:rPr>
          <w:sz w:val="20"/>
          <w:szCs w:val="20"/>
        </w:rPr>
      </w:pPr>
      <w:r>
        <w:rPr>
          <w:sz w:val="20"/>
          <w:szCs w:val="20"/>
        </w:rPr>
        <w:t xml:space="preserve">Krzywa uziarnienia mieszanki niezwiązanej powinna być ciągła i nie może przebiegać od dolnej krzywej granicznej uziarnienia do górnej krzywej granicznej uziarnienia na sąsiednich sitach. Wymiar największego ziarna mieszanki nie może przekraczać 2/3 grubości warstwy układanej jednorazowo. </w:t>
      </w:r>
    </w:p>
    <w:p w:rsidR="00904BD7" w:rsidRDefault="00904BD7" w:rsidP="00904BD7">
      <w:pPr>
        <w:widowControl w:val="0"/>
        <w:snapToGrid w:val="0"/>
        <w:spacing w:before="120" w:after="120"/>
        <w:jc w:val="both"/>
      </w:pPr>
    </w:p>
    <w:p w:rsidR="00904BD7" w:rsidRDefault="00904BD7" w:rsidP="00904BD7">
      <w:pPr>
        <w:widowControl w:val="0"/>
        <w:snapToGrid w:val="0"/>
        <w:spacing w:before="120" w:after="120"/>
        <w:jc w:val="center"/>
      </w:pPr>
      <w:r>
        <w:rPr>
          <w:i/>
          <w:noProof/>
        </w:rPr>
        <w:drawing>
          <wp:inline distT="0" distB="0" distL="0" distR="0">
            <wp:extent cx="4762500" cy="2035427"/>
            <wp:effectExtent l="0" t="0" r="0" b="3175"/>
            <wp:docPr id="6"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767883" cy="2037728"/>
                    </a:xfrm>
                    <a:prstGeom prst="rect">
                      <a:avLst/>
                    </a:prstGeom>
                    <a:noFill/>
                    <a:ln>
                      <a:noFill/>
                    </a:ln>
                  </pic:spPr>
                </pic:pic>
              </a:graphicData>
            </a:graphic>
          </wp:inline>
        </w:drawing>
      </w:r>
    </w:p>
    <w:p w:rsidR="00904BD7" w:rsidRDefault="00904BD7" w:rsidP="00904BD7">
      <w:pPr>
        <w:jc w:val="both"/>
        <w:rPr>
          <w:i/>
          <w:iCs/>
        </w:rPr>
      </w:pPr>
      <w:r>
        <w:rPr>
          <w:b/>
          <w:i/>
          <w:iCs/>
        </w:rPr>
        <w:t>Rysunek 1</w:t>
      </w:r>
      <w:r>
        <w:rPr>
          <w:i/>
          <w:iCs/>
        </w:rPr>
        <w:t>. Mieszanka niezwiązana 0/31,5 do warstwy ulepszonego podłoża stabilizowanego georusztem</w:t>
      </w:r>
    </w:p>
    <w:p w:rsidR="00904BD7" w:rsidRDefault="00904BD7" w:rsidP="00904BD7">
      <w:pPr>
        <w:pStyle w:val="Default"/>
        <w:jc w:val="both"/>
        <w:rPr>
          <w:b/>
          <w:bCs/>
          <w:sz w:val="20"/>
          <w:szCs w:val="20"/>
        </w:rPr>
      </w:pPr>
    </w:p>
    <w:p w:rsidR="00904BD7" w:rsidRPr="005D3393" w:rsidRDefault="00904BD7" w:rsidP="00904BD7">
      <w:pPr>
        <w:pStyle w:val="Default"/>
        <w:jc w:val="both"/>
        <w:rPr>
          <w:b/>
          <w:sz w:val="20"/>
          <w:szCs w:val="20"/>
        </w:rPr>
      </w:pPr>
      <w:r w:rsidRPr="005D3393">
        <w:rPr>
          <w:b/>
          <w:bCs/>
          <w:sz w:val="20"/>
          <w:szCs w:val="20"/>
        </w:rPr>
        <w:t xml:space="preserve">2.4. </w:t>
      </w:r>
      <w:r>
        <w:rPr>
          <w:b/>
          <w:sz w:val="20"/>
          <w:szCs w:val="20"/>
        </w:rPr>
        <w:t>Parametry mieszan</w:t>
      </w:r>
      <w:r w:rsidRPr="005D3393">
        <w:rPr>
          <w:b/>
          <w:sz w:val="20"/>
          <w:szCs w:val="20"/>
        </w:rPr>
        <w:t>k</w:t>
      </w:r>
      <w:r>
        <w:rPr>
          <w:b/>
          <w:sz w:val="20"/>
          <w:szCs w:val="20"/>
        </w:rPr>
        <w:t>i niezwiązanej</w:t>
      </w:r>
    </w:p>
    <w:p w:rsidR="00904BD7" w:rsidRDefault="00904BD7" w:rsidP="00904BD7">
      <w:pPr>
        <w:pStyle w:val="Default"/>
        <w:ind w:firstLine="709"/>
        <w:jc w:val="both"/>
        <w:rPr>
          <w:iCs/>
          <w:sz w:val="20"/>
          <w:szCs w:val="20"/>
        </w:rPr>
      </w:pPr>
      <w:r>
        <w:rPr>
          <w:sz w:val="20"/>
          <w:szCs w:val="20"/>
        </w:rPr>
        <w:t xml:space="preserve">Mieszanki niezwiązane do wykonania warstwy ulepszonego podłoża z kruszywa stabilizowanego georusztem winny spełniać wymagania podane w </w:t>
      </w:r>
      <w:r>
        <w:rPr>
          <w:iCs/>
          <w:sz w:val="20"/>
          <w:szCs w:val="20"/>
        </w:rPr>
        <w:t>Tablicy 1</w:t>
      </w:r>
      <w:r w:rsidRPr="005D3393">
        <w:rPr>
          <w:iCs/>
          <w:sz w:val="20"/>
          <w:szCs w:val="20"/>
        </w:rPr>
        <w:t>.</w:t>
      </w:r>
    </w:p>
    <w:p w:rsidR="00904BD7" w:rsidRDefault="00904BD7" w:rsidP="00904BD7">
      <w:pPr>
        <w:pStyle w:val="Default"/>
        <w:ind w:firstLine="709"/>
        <w:jc w:val="both"/>
        <w:rPr>
          <w:i/>
          <w:iCs/>
          <w:sz w:val="20"/>
          <w:szCs w:val="20"/>
        </w:rPr>
      </w:pPr>
    </w:p>
    <w:p w:rsidR="00904BD7" w:rsidRPr="00561AEC" w:rsidRDefault="00904BD7" w:rsidP="00904BD7">
      <w:pPr>
        <w:jc w:val="both"/>
        <w:rPr>
          <w:rFonts w:cs="Calibri"/>
          <w:color w:val="000000"/>
        </w:rPr>
      </w:pPr>
      <w:r>
        <w:rPr>
          <w:b/>
          <w:i/>
          <w:iCs/>
        </w:rPr>
        <w:t>Tablica 1</w:t>
      </w:r>
      <w:r w:rsidRPr="005D3393">
        <w:rPr>
          <w:b/>
          <w:i/>
          <w:iCs/>
        </w:rPr>
        <w:t>.</w:t>
      </w:r>
      <w:r>
        <w:rPr>
          <w:i/>
          <w:iCs/>
        </w:rPr>
        <w:t xml:space="preserve"> Wymagania wobec mieszanki niezwiązanej do warstw ulepszonego podłoża stabilizowanego georusztem</w:t>
      </w:r>
    </w:p>
    <w:tbl>
      <w:tblPr>
        <w:tblW w:w="54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55"/>
        <w:gridCol w:w="1830"/>
        <w:gridCol w:w="1633"/>
        <w:gridCol w:w="1076"/>
      </w:tblGrid>
      <w:tr w:rsidR="00904BD7" w:rsidRPr="00C67C90" w:rsidTr="00904BD7">
        <w:trPr>
          <w:trHeight w:val="1109"/>
          <w:jc w:val="center"/>
        </w:trPr>
        <w:tc>
          <w:tcPr>
            <w:tcW w:w="958" w:type="dxa"/>
            <w:vAlign w:val="center"/>
          </w:tcPr>
          <w:p w:rsidR="00904BD7" w:rsidRPr="00C67C90" w:rsidRDefault="00904BD7" w:rsidP="00904BD7">
            <w:pPr>
              <w:jc w:val="center"/>
              <w:rPr>
                <w:sz w:val="18"/>
                <w:szCs w:val="18"/>
              </w:rPr>
            </w:pPr>
            <w:r w:rsidRPr="00C67C90">
              <w:rPr>
                <w:sz w:val="18"/>
                <w:szCs w:val="18"/>
              </w:rPr>
              <w:t>Rozdział w normie PN-EN</w:t>
            </w:r>
          </w:p>
          <w:p w:rsidR="00904BD7" w:rsidRPr="00C67C90" w:rsidRDefault="00904BD7" w:rsidP="00904BD7">
            <w:pPr>
              <w:pStyle w:val="Default"/>
              <w:jc w:val="center"/>
              <w:rPr>
                <w:sz w:val="18"/>
                <w:szCs w:val="18"/>
              </w:rPr>
            </w:pPr>
            <w:r w:rsidRPr="00C67C90">
              <w:rPr>
                <w:sz w:val="18"/>
                <w:szCs w:val="18"/>
              </w:rPr>
              <w:t>13285</w:t>
            </w:r>
          </w:p>
        </w:tc>
        <w:tc>
          <w:tcPr>
            <w:tcW w:w="1842" w:type="dxa"/>
            <w:vAlign w:val="center"/>
          </w:tcPr>
          <w:p w:rsidR="00904BD7" w:rsidRPr="00C67C90" w:rsidRDefault="00904BD7" w:rsidP="00904BD7">
            <w:pPr>
              <w:jc w:val="center"/>
              <w:rPr>
                <w:sz w:val="18"/>
                <w:szCs w:val="18"/>
              </w:rPr>
            </w:pPr>
            <w:r w:rsidRPr="00C67C90">
              <w:rPr>
                <w:sz w:val="18"/>
                <w:szCs w:val="18"/>
              </w:rPr>
              <w:t>Właściwość</w:t>
            </w:r>
          </w:p>
        </w:tc>
        <w:tc>
          <w:tcPr>
            <w:tcW w:w="1648" w:type="dxa"/>
            <w:vAlign w:val="center"/>
          </w:tcPr>
          <w:p w:rsidR="00904BD7" w:rsidRPr="00C67C90" w:rsidRDefault="00904BD7" w:rsidP="00904BD7">
            <w:pPr>
              <w:jc w:val="center"/>
              <w:rPr>
                <w:sz w:val="18"/>
                <w:szCs w:val="18"/>
              </w:rPr>
            </w:pPr>
            <w:r>
              <w:rPr>
                <w:sz w:val="18"/>
                <w:szCs w:val="18"/>
              </w:rPr>
              <w:t>Wymagania wobec mieszanki niezwiązanej</w:t>
            </w:r>
          </w:p>
        </w:tc>
        <w:tc>
          <w:tcPr>
            <w:tcW w:w="1046" w:type="dxa"/>
            <w:vAlign w:val="center"/>
          </w:tcPr>
          <w:p w:rsidR="00904BD7" w:rsidRPr="00C67C90" w:rsidRDefault="00904BD7" w:rsidP="00904BD7">
            <w:pPr>
              <w:jc w:val="center"/>
              <w:rPr>
                <w:sz w:val="18"/>
                <w:szCs w:val="18"/>
              </w:rPr>
            </w:pPr>
            <w:r w:rsidRPr="00C67C90">
              <w:rPr>
                <w:sz w:val="18"/>
                <w:szCs w:val="18"/>
              </w:rPr>
              <w:t>Odniesienie do PN-EN</w:t>
            </w:r>
          </w:p>
          <w:p w:rsidR="00904BD7" w:rsidRPr="00C67C90" w:rsidRDefault="00904BD7" w:rsidP="00904BD7">
            <w:pPr>
              <w:pStyle w:val="Default"/>
              <w:jc w:val="center"/>
              <w:rPr>
                <w:sz w:val="18"/>
                <w:szCs w:val="18"/>
              </w:rPr>
            </w:pPr>
            <w:r w:rsidRPr="00C67C90">
              <w:rPr>
                <w:sz w:val="18"/>
                <w:szCs w:val="18"/>
              </w:rPr>
              <w:t>13285</w:t>
            </w:r>
          </w:p>
        </w:tc>
      </w:tr>
      <w:tr w:rsidR="00904BD7" w:rsidRPr="00C67C90" w:rsidTr="00904BD7">
        <w:trPr>
          <w:jc w:val="center"/>
        </w:trPr>
        <w:tc>
          <w:tcPr>
            <w:tcW w:w="958" w:type="dxa"/>
          </w:tcPr>
          <w:p w:rsidR="00904BD7" w:rsidRPr="00C67C90" w:rsidRDefault="00904BD7" w:rsidP="00904BD7">
            <w:pPr>
              <w:pStyle w:val="Default"/>
              <w:jc w:val="center"/>
              <w:rPr>
                <w:sz w:val="18"/>
                <w:szCs w:val="18"/>
              </w:rPr>
            </w:pPr>
            <w:r w:rsidRPr="00C67C90">
              <w:rPr>
                <w:sz w:val="18"/>
                <w:szCs w:val="18"/>
              </w:rPr>
              <w:t>4.5</w:t>
            </w:r>
          </w:p>
        </w:tc>
        <w:tc>
          <w:tcPr>
            <w:tcW w:w="1842" w:type="dxa"/>
          </w:tcPr>
          <w:p w:rsidR="00904BD7" w:rsidRPr="00C67C90" w:rsidRDefault="00904BD7" w:rsidP="00904BD7">
            <w:pPr>
              <w:pStyle w:val="Default"/>
              <w:rPr>
                <w:sz w:val="18"/>
                <w:szCs w:val="18"/>
              </w:rPr>
            </w:pPr>
            <w:r w:rsidRPr="00C67C90">
              <w:rPr>
                <w:sz w:val="18"/>
                <w:szCs w:val="18"/>
              </w:rPr>
              <w:t xml:space="preserve">Kategorie procentowych zawartości ziaren o powierz. przekrusz. lub łamanych oraz ziaren całkowicie zaokrąglonych w kruszywie grubym wg PN-EN 933-5 </w:t>
            </w:r>
          </w:p>
        </w:tc>
        <w:tc>
          <w:tcPr>
            <w:tcW w:w="1648" w:type="dxa"/>
          </w:tcPr>
          <w:p w:rsidR="00904BD7" w:rsidRPr="00C67C90" w:rsidRDefault="00904BD7" w:rsidP="00904BD7">
            <w:pPr>
              <w:jc w:val="center"/>
              <w:rPr>
                <w:sz w:val="18"/>
                <w:szCs w:val="18"/>
              </w:rPr>
            </w:pPr>
            <w:r w:rsidRPr="00C67C90">
              <w:rPr>
                <w:sz w:val="18"/>
                <w:szCs w:val="18"/>
              </w:rPr>
              <w:t>C</w:t>
            </w:r>
            <w:r>
              <w:rPr>
                <w:sz w:val="18"/>
                <w:szCs w:val="18"/>
                <w:vertAlign w:val="subscript"/>
              </w:rPr>
              <w:t>50/30</w:t>
            </w:r>
          </w:p>
        </w:tc>
        <w:tc>
          <w:tcPr>
            <w:tcW w:w="1046" w:type="dxa"/>
          </w:tcPr>
          <w:p w:rsidR="00904BD7" w:rsidRPr="00C67C90" w:rsidRDefault="00904BD7" w:rsidP="00904BD7">
            <w:pPr>
              <w:pStyle w:val="Default"/>
              <w:jc w:val="center"/>
              <w:rPr>
                <w:sz w:val="18"/>
                <w:szCs w:val="18"/>
              </w:rPr>
            </w:pPr>
            <w:r w:rsidRPr="00C67C90">
              <w:rPr>
                <w:sz w:val="18"/>
                <w:szCs w:val="18"/>
              </w:rPr>
              <w:t>Tabl. 7</w:t>
            </w:r>
          </w:p>
        </w:tc>
      </w:tr>
      <w:tr w:rsidR="00904BD7" w:rsidRPr="00C67C90" w:rsidTr="00904BD7">
        <w:trPr>
          <w:jc w:val="center"/>
        </w:trPr>
        <w:tc>
          <w:tcPr>
            <w:tcW w:w="958" w:type="dxa"/>
          </w:tcPr>
          <w:p w:rsidR="00904BD7" w:rsidRPr="00C67C90" w:rsidRDefault="00904BD7" w:rsidP="00904BD7">
            <w:pPr>
              <w:pStyle w:val="Default"/>
              <w:jc w:val="center"/>
              <w:rPr>
                <w:sz w:val="18"/>
                <w:szCs w:val="18"/>
              </w:rPr>
            </w:pPr>
            <w:r w:rsidRPr="00C67C90">
              <w:rPr>
                <w:sz w:val="18"/>
                <w:szCs w:val="18"/>
              </w:rPr>
              <w:t>4.3.1</w:t>
            </w:r>
          </w:p>
        </w:tc>
        <w:tc>
          <w:tcPr>
            <w:tcW w:w="1842" w:type="dxa"/>
          </w:tcPr>
          <w:p w:rsidR="00904BD7" w:rsidRPr="00C67C90" w:rsidRDefault="00904BD7" w:rsidP="00904BD7">
            <w:pPr>
              <w:pStyle w:val="Default"/>
              <w:rPr>
                <w:sz w:val="18"/>
                <w:szCs w:val="18"/>
              </w:rPr>
            </w:pPr>
            <w:r w:rsidRPr="00C67C90">
              <w:rPr>
                <w:sz w:val="18"/>
                <w:szCs w:val="18"/>
              </w:rPr>
              <w:t xml:space="preserve">Uziarnienie mieszanek </w:t>
            </w:r>
          </w:p>
        </w:tc>
        <w:tc>
          <w:tcPr>
            <w:tcW w:w="1648" w:type="dxa"/>
          </w:tcPr>
          <w:p w:rsidR="00904BD7" w:rsidRPr="00C67C90" w:rsidRDefault="00904BD7" w:rsidP="00904BD7">
            <w:pPr>
              <w:jc w:val="center"/>
              <w:rPr>
                <w:sz w:val="18"/>
                <w:szCs w:val="18"/>
              </w:rPr>
            </w:pPr>
            <w:r>
              <w:rPr>
                <w:sz w:val="18"/>
                <w:szCs w:val="18"/>
              </w:rPr>
              <w:t>0/31,5</w:t>
            </w:r>
          </w:p>
        </w:tc>
        <w:tc>
          <w:tcPr>
            <w:tcW w:w="1046" w:type="dxa"/>
          </w:tcPr>
          <w:p w:rsidR="00904BD7" w:rsidRPr="00C67C90" w:rsidRDefault="00904BD7" w:rsidP="00904BD7">
            <w:pPr>
              <w:jc w:val="center"/>
              <w:rPr>
                <w:sz w:val="18"/>
                <w:szCs w:val="18"/>
              </w:rPr>
            </w:pPr>
            <w:r w:rsidRPr="00C67C90">
              <w:rPr>
                <w:sz w:val="18"/>
                <w:szCs w:val="18"/>
              </w:rPr>
              <w:t>Tabl. 4</w:t>
            </w:r>
          </w:p>
        </w:tc>
      </w:tr>
      <w:tr w:rsidR="00904BD7" w:rsidRPr="00C67C90" w:rsidTr="00904BD7">
        <w:trPr>
          <w:jc w:val="center"/>
        </w:trPr>
        <w:tc>
          <w:tcPr>
            <w:tcW w:w="958" w:type="dxa"/>
          </w:tcPr>
          <w:p w:rsidR="00904BD7" w:rsidRPr="00C67C90" w:rsidRDefault="00904BD7" w:rsidP="00904BD7">
            <w:pPr>
              <w:pStyle w:val="Default"/>
              <w:jc w:val="center"/>
              <w:rPr>
                <w:sz w:val="18"/>
                <w:szCs w:val="18"/>
              </w:rPr>
            </w:pPr>
            <w:r w:rsidRPr="00C67C90">
              <w:rPr>
                <w:sz w:val="18"/>
                <w:szCs w:val="18"/>
              </w:rPr>
              <w:t>4.3.2</w:t>
            </w:r>
          </w:p>
        </w:tc>
        <w:tc>
          <w:tcPr>
            <w:tcW w:w="1842" w:type="dxa"/>
          </w:tcPr>
          <w:p w:rsidR="00904BD7" w:rsidRPr="00C67C90" w:rsidRDefault="00904BD7" w:rsidP="00904BD7">
            <w:pPr>
              <w:pStyle w:val="Default"/>
              <w:rPr>
                <w:sz w:val="18"/>
                <w:szCs w:val="18"/>
              </w:rPr>
            </w:pPr>
            <w:r w:rsidRPr="00C67C90">
              <w:rPr>
                <w:sz w:val="18"/>
                <w:szCs w:val="18"/>
              </w:rPr>
              <w:t xml:space="preserve">Maksymalna zawartość pyłów: kategoria UF </w:t>
            </w:r>
          </w:p>
        </w:tc>
        <w:tc>
          <w:tcPr>
            <w:tcW w:w="1648" w:type="dxa"/>
          </w:tcPr>
          <w:p w:rsidR="00904BD7" w:rsidRPr="00C67C90" w:rsidRDefault="00904BD7" w:rsidP="00904BD7">
            <w:pPr>
              <w:pStyle w:val="Default"/>
              <w:jc w:val="center"/>
              <w:rPr>
                <w:sz w:val="18"/>
                <w:szCs w:val="18"/>
              </w:rPr>
            </w:pPr>
            <w:r w:rsidRPr="00C67C90">
              <w:rPr>
                <w:sz w:val="18"/>
                <w:szCs w:val="18"/>
              </w:rPr>
              <w:t>UF</w:t>
            </w:r>
            <w:r w:rsidRPr="00C67C90">
              <w:rPr>
                <w:sz w:val="18"/>
                <w:szCs w:val="18"/>
                <w:vertAlign w:val="subscript"/>
              </w:rPr>
              <w:t>12</w:t>
            </w:r>
          </w:p>
        </w:tc>
        <w:tc>
          <w:tcPr>
            <w:tcW w:w="1046" w:type="dxa"/>
          </w:tcPr>
          <w:p w:rsidR="00904BD7" w:rsidRPr="00C67C90" w:rsidRDefault="00904BD7" w:rsidP="00904BD7">
            <w:pPr>
              <w:pStyle w:val="Default"/>
              <w:jc w:val="center"/>
              <w:rPr>
                <w:sz w:val="18"/>
                <w:szCs w:val="18"/>
              </w:rPr>
            </w:pPr>
            <w:r w:rsidRPr="00C67C90">
              <w:rPr>
                <w:sz w:val="18"/>
                <w:szCs w:val="18"/>
              </w:rPr>
              <w:t>Tabl. 2</w:t>
            </w:r>
          </w:p>
        </w:tc>
      </w:tr>
      <w:tr w:rsidR="00904BD7" w:rsidRPr="00C67C90" w:rsidTr="00904BD7">
        <w:trPr>
          <w:jc w:val="center"/>
        </w:trPr>
        <w:tc>
          <w:tcPr>
            <w:tcW w:w="958" w:type="dxa"/>
          </w:tcPr>
          <w:p w:rsidR="00904BD7" w:rsidRPr="00C67C90" w:rsidRDefault="00904BD7" w:rsidP="00904BD7">
            <w:pPr>
              <w:pStyle w:val="Default"/>
              <w:jc w:val="center"/>
              <w:rPr>
                <w:sz w:val="18"/>
                <w:szCs w:val="18"/>
              </w:rPr>
            </w:pPr>
            <w:r w:rsidRPr="00C67C90">
              <w:rPr>
                <w:sz w:val="18"/>
                <w:szCs w:val="18"/>
              </w:rPr>
              <w:t>4.3.2</w:t>
            </w:r>
          </w:p>
        </w:tc>
        <w:tc>
          <w:tcPr>
            <w:tcW w:w="1842" w:type="dxa"/>
          </w:tcPr>
          <w:p w:rsidR="00904BD7" w:rsidRPr="00C67C90" w:rsidRDefault="00904BD7" w:rsidP="00904BD7">
            <w:pPr>
              <w:pStyle w:val="Default"/>
              <w:rPr>
                <w:sz w:val="18"/>
                <w:szCs w:val="18"/>
              </w:rPr>
            </w:pPr>
            <w:r w:rsidRPr="00C67C90">
              <w:rPr>
                <w:sz w:val="18"/>
                <w:szCs w:val="18"/>
              </w:rPr>
              <w:t xml:space="preserve">Minimalna zawartość pyłów: kategoria UF </w:t>
            </w:r>
          </w:p>
        </w:tc>
        <w:tc>
          <w:tcPr>
            <w:tcW w:w="1648" w:type="dxa"/>
          </w:tcPr>
          <w:p w:rsidR="00904BD7" w:rsidRPr="00C67C90" w:rsidRDefault="00904BD7" w:rsidP="00904BD7">
            <w:pPr>
              <w:pStyle w:val="Default"/>
              <w:jc w:val="center"/>
              <w:rPr>
                <w:sz w:val="18"/>
                <w:szCs w:val="18"/>
              </w:rPr>
            </w:pPr>
            <w:r w:rsidRPr="00C67C90">
              <w:rPr>
                <w:sz w:val="18"/>
                <w:szCs w:val="18"/>
              </w:rPr>
              <w:t>LF</w:t>
            </w:r>
            <w:r w:rsidRPr="00C67C90">
              <w:rPr>
                <w:sz w:val="18"/>
                <w:szCs w:val="18"/>
                <w:vertAlign w:val="subscript"/>
              </w:rPr>
              <w:t>NR</w:t>
            </w:r>
          </w:p>
        </w:tc>
        <w:tc>
          <w:tcPr>
            <w:tcW w:w="1046" w:type="dxa"/>
          </w:tcPr>
          <w:p w:rsidR="00904BD7" w:rsidRPr="00C67C90" w:rsidRDefault="00904BD7" w:rsidP="00904BD7">
            <w:pPr>
              <w:pStyle w:val="Default"/>
              <w:jc w:val="center"/>
              <w:rPr>
                <w:sz w:val="18"/>
                <w:szCs w:val="18"/>
              </w:rPr>
            </w:pPr>
            <w:r w:rsidRPr="00C67C90">
              <w:rPr>
                <w:sz w:val="18"/>
                <w:szCs w:val="18"/>
              </w:rPr>
              <w:t>Tabl. 3</w:t>
            </w:r>
          </w:p>
        </w:tc>
      </w:tr>
      <w:tr w:rsidR="00904BD7" w:rsidRPr="00C67C90" w:rsidTr="00904BD7">
        <w:trPr>
          <w:jc w:val="center"/>
        </w:trPr>
        <w:tc>
          <w:tcPr>
            <w:tcW w:w="958" w:type="dxa"/>
          </w:tcPr>
          <w:p w:rsidR="00904BD7" w:rsidRPr="00C67C90" w:rsidRDefault="00904BD7" w:rsidP="00904BD7">
            <w:pPr>
              <w:pStyle w:val="Default"/>
              <w:jc w:val="center"/>
              <w:rPr>
                <w:sz w:val="18"/>
                <w:szCs w:val="18"/>
              </w:rPr>
            </w:pPr>
            <w:r w:rsidRPr="00C67C90">
              <w:rPr>
                <w:sz w:val="18"/>
                <w:szCs w:val="18"/>
              </w:rPr>
              <w:t>4.3.3</w:t>
            </w:r>
          </w:p>
        </w:tc>
        <w:tc>
          <w:tcPr>
            <w:tcW w:w="1842" w:type="dxa"/>
          </w:tcPr>
          <w:p w:rsidR="00904BD7" w:rsidRPr="00C67C90" w:rsidRDefault="00904BD7" w:rsidP="00904BD7">
            <w:pPr>
              <w:pStyle w:val="Default"/>
              <w:rPr>
                <w:sz w:val="18"/>
                <w:szCs w:val="18"/>
              </w:rPr>
            </w:pPr>
            <w:r w:rsidRPr="00C67C90">
              <w:rPr>
                <w:sz w:val="18"/>
                <w:szCs w:val="18"/>
              </w:rPr>
              <w:t xml:space="preserve">Zawartość nadziarna: kategoria OC </w:t>
            </w:r>
          </w:p>
        </w:tc>
        <w:tc>
          <w:tcPr>
            <w:tcW w:w="1648" w:type="dxa"/>
          </w:tcPr>
          <w:p w:rsidR="00904BD7" w:rsidRPr="00C67C90" w:rsidRDefault="00904BD7" w:rsidP="00904BD7">
            <w:pPr>
              <w:pStyle w:val="Default"/>
              <w:jc w:val="center"/>
              <w:rPr>
                <w:sz w:val="18"/>
                <w:szCs w:val="18"/>
              </w:rPr>
            </w:pPr>
            <w:r w:rsidRPr="00C67C90">
              <w:rPr>
                <w:sz w:val="18"/>
                <w:szCs w:val="18"/>
              </w:rPr>
              <w:t>OC</w:t>
            </w:r>
            <w:r w:rsidRPr="00C67C90">
              <w:rPr>
                <w:sz w:val="18"/>
                <w:szCs w:val="18"/>
                <w:vertAlign w:val="subscript"/>
              </w:rPr>
              <w:t>90</w:t>
            </w:r>
          </w:p>
        </w:tc>
        <w:tc>
          <w:tcPr>
            <w:tcW w:w="1046" w:type="dxa"/>
          </w:tcPr>
          <w:p w:rsidR="00904BD7" w:rsidRPr="00C67C90" w:rsidRDefault="00904BD7" w:rsidP="00904BD7">
            <w:pPr>
              <w:pStyle w:val="Default"/>
              <w:jc w:val="center"/>
              <w:rPr>
                <w:sz w:val="18"/>
                <w:szCs w:val="18"/>
              </w:rPr>
            </w:pPr>
            <w:r w:rsidRPr="00C67C90">
              <w:rPr>
                <w:sz w:val="18"/>
                <w:szCs w:val="18"/>
              </w:rPr>
              <w:t>Tabl. 4 i 6</w:t>
            </w:r>
          </w:p>
        </w:tc>
      </w:tr>
      <w:tr w:rsidR="00904BD7" w:rsidRPr="00C67C90" w:rsidTr="00904BD7">
        <w:trPr>
          <w:jc w:val="center"/>
        </w:trPr>
        <w:tc>
          <w:tcPr>
            <w:tcW w:w="958" w:type="dxa"/>
          </w:tcPr>
          <w:p w:rsidR="00904BD7" w:rsidRPr="00C67C90" w:rsidRDefault="00904BD7" w:rsidP="00904BD7">
            <w:pPr>
              <w:pStyle w:val="Default"/>
              <w:jc w:val="center"/>
              <w:rPr>
                <w:sz w:val="18"/>
                <w:szCs w:val="18"/>
              </w:rPr>
            </w:pPr>
            <w:r w:rsidRPr="00C67C90">
              <w:rPr>
                <w:sz w:val="18"/>
                <w:szCs w:val="18"/>
              </w:rPr>
              <w:t>4.4.1</w:t>
            </w:r>
          </w:p>
        </w:tc>
        <w:tc>
          <w:tcPr>
            <w:tcW w:w="1842" w:type="dxa"/>
          </w:tcPr>
          <w:p w:rsidR="00904BD7" w:rsidRPr="00C67C90" w:rsidRDefault="00904BD7" w:rsidP="00904BD7">
            <w:pPr>
              <w:pStyle w:val="Default"/>
              <w:rPr>
                <w:sz w:val="18"/>
                <w:szCs w:val="18"/>
              </w:rPr>
            </w:pPr>
            <w:r w:rsidRPr="00C67C90">
              <w:rPr>
                <w:sz w:val="18"/>
                <w:szCs w:val="18"/>
              </w:rPr>
              <w:t xml:space="preserve">Wymagania wobec uziarnienia </w:t>
            </w:r>
          </w:p>
        </w:tc>
        <w:tc>
          <w:tcPr>
            <w:tcW w:w="1648" w:type="dxa"/>
          </w:tcPr>
          <w:p w:rsidR="00904BD7" w:rsidRPr="00C67C90" w:rsidRDefault="00904BD7" w:rsidP="00904BD7">
            <w:pPr>
              <w:pStyle w:val="Default"/>
              <w:jc w:val="center"/>
              <w:rPr>
                <w:sz w:val="18"/>
                <w:szCs w:val="18"/>
              </w:rPr>
            </w:pPr>
            <w:r>
              <w:rPr>
                <w:sz w:val="18"/>
                <w:szCs w:val="18"/>
              </w:rPr>
              <w:t>Krzywa uziarnienia wg rys. 1</w:t>
            </w:r>
          </w:p>
        </w:tc>
        <w:tc>
          <w:tcPr>
            <w:tcW w:w="1046" w:type="dxa"/>
          </w:tcPr>
          <w:p w:rsidR="00904BD7" w:rsidRPr="00C67C90" w:rsidRDefault="00904BD7" w:rsidP="00904BD7">
            <w:pPr>
              <w:pStyle w:val="Default"/>
              <w:jc w:val="center"/>
              <w:rPr>
                <w:sz w:val="18"/>
                <w:szCs w:val="18"/>
              </w:rPr>
            </w:pPr>
            <w:r w:rsidRPr="00C67C90">
              <w:rPr>
                <w:sz w:val="18"/>
                <w:szCs w:val="18"/>
              </w:rPr>
              <w:t>Tabl. 5 i 6</w:t>
            </w:r>
          </w:p>
        </w:tc>
      </w:tr>
      <w:tr w:rsidR="00904BD7" w:rsidRPr="00C67C90" w:rsidTr="00904BD7">
        <w:trPr>
          <w:cantSplit/>
          <w:jc w:val="center"/>
        </w:trPr>
        <w:tc>
          <w:tcPr>
            <w:tcW w:w="958" w:type="dxa"/>
          </w:tcPr>
          <w:p w:rsidR="00904BD7" w:rsidRPr="00C67C90" w:rsidRDefault="00904BD7" w:rsidP="00904BD7">
            <w:pPr>
              <w:pStyle w:val="Default"/>
              <w:jc w:val="center"/>
              <w:rPr>
                <w:sz w:val="18"/>
                <w:szCs w:val="18"/>
              </w:rPr>
            </w:pPr>
            <w:r w:rsidRPr="00C67C90">
              <w:rPr>
                <w:sz w:val="18"/>
                <w:szCs w:val="18"/>
              </w:rPr>
              <w:t>4.5</w:t>
            </w:r>
          </w:p>
        </w:tc>
        <w:tc>
          <w:tcPr>
            <w:tcW w:w="1842" w:type="dxa"/>
          </w:tcPr>
          <w:p w:rsidR="00904BD7" w:rsidRPr="00C67C90" w:rsidRDefault="00904BD7" w:rsidP="00904BD7">
            <w:pPr>
              <w:pStyle w:val="Default"/>
              <w:rPr>
                <w:sz w:val="18"/>
                <w:szCs w:val="18"/>
              </w:rPr>
            </w:pPr>
            <w:r w:rsidRPr="00C67C90">
              <w:rPr>
                <w:sz w:val="18"/>
                <w:szCs w:val="18"/>
              </w:rPr>
              <w:t xml:space="preserve">Wrażliwość na mróz: wskaźnik piaskowy SE*), co najmniej </w:t>
            </w:r>
          </w:p>
        </w:tc>
        <w:tc>
          <w:tcPr>
            <w:tcW w:w="1648" w:type="dxa"/>
          </w:tcPr>
          <w:p w:rsidR="00904BD7" w:rsidRPr="00C67C90" w:rsidRDefault="00904BD7" w:rsidP="00904BD7">
            <w:pPr>
              <w:jc w:val="center"/>
              <w:rPr>
                <w:sz w:val="18"/>
                <w:szCs w:val="18"/>
              </w:rPr>
            </w:pPr>
            <w:r w:rsidRPr="00C67C90">
              <w:rPr>
                <w:sz w:val="18"/>
                <w:szCs w:val="18"/>
              </w:rPr>
              <w:t>40</w:t>
            </w:r>
          </w:p>
        </w:tc>
        <w:tc>
          <w:tcPr>
            <w:tcW w:w="1046" w:type="dxa"/>
          </w:tcPr>
          <w:p w:rsidR="00904BD7" w:rsidRPr="00C67C90" w:rsidRDefault="00904BD7" w:rsidP="00904BD7">
            <w:pPr>
              <w:jc w:val="center"/>
              <w:rPr>
                <w:sz w:val="18"/>
                <w:szCs w:val="18"/>
              </w:rPr>
            </w:pPr>
            <w:r w:rsidRPr="00C67C90">
              <w:rPr>
                <w:sz w:val="18"/>
                <w:szCs w:val="18"/>
              </w:rPr>
              <w:t>-</w:t>
            </w:r>
          </w:p>
        </w:tc>
      </w:tr>
      <w:tr w:rsidR="00904BD7" w:rsidRPr="00C67C90" w:rsidTr="00904BD7">
        <w:trPr>
          <w:cantSplit/>
          <w:jc w:val="center"/>
        </w:trPr>
        <w:tc>
          <w:tcPr>
            <w:tcW w:w="958" w:type="dxa"/>
          </w:tcPr>
          <w:p w:rsidR="00904BD7" w:rsidRPr="00C67C90" w:rsidRDefault="00904BD7" w:rsidP="00904BD7">
            <w:pPr>
              <w:pStyle w:val="Default"/>
              <w:jc w:val="center"/>
              <w:rPr>
                <w:sz w:val="18"/>
                <w:szCs w:val="18"/>
              </w:rPr>
            </w:pPr>
          </w:p>
        </w:tc>
        <w:tc>
          <w:tcPr>
            <w:tcW w:w="1842" w:type="dxa"/>
          </w:tcPr>
          <w:p w:rsidR="00904BD7" w:rsidRPr="00C67C90" w:rsidRDefault="00904BD7" w:rsidP="00904BD7">
            <w:pPr>
              <w:pStyle w:val="Default"/>
              <w:rPr>
                <w:sz w:val="18"/>
                <w:szCs w:val="18"/>
              </w:rPr>
            </w:pPr>
            <w:r w:rsidRPr="00C67C90">
              <w:rPr>
                <w:sz w:val="18"/>
                <w:szCs w:val="18"/>
              </w:rPr>
              <w:t xml:space="preserve">Odporność na rozdrabnianie (dotyczy fakcji 10/14 odsianej z mieszanki) wg PN-EN 1097-1, kategoria nie wyższa niż: </w:t>
            </w:r>
          </w:p>
        </w:tc>
        <w:tc>
          <w:tcPr>
            <w:tcW w:w="1648" w:type="dxa"/>
          </w:tcPr>
          <w:p w:rsidR="00904BD7" w:rsidRPr="00C67C90" w:rsidRDefault="00904BD7" w:rsidP="00904BD7">
            <w:pPr>
              <w:pStyle w:val="Default"/>
              <w:jc w:val="center"/>
              <w:rPr>
                <w:sz w:val="18"/>
                <w:szCs w:val="18"/>
              </w:rPr>
            </w:pPr>
            <w:r w:rsidRPr="00C67C90">
              <w:rPr>
                <w:sz w:val="18"/>
                <w:szCs w:val="18"/>
              </w:rPr>
              <w:t>LA</w:t>
            </w:r>
            <w:r w:rsidRPr="00C67C90">
              <w:rPr>
                <w:sz w:val="18"/>
                <w:szCs w:val="18"/>
                <w:vertAlign w:val="subscript"/>
              </w:rPr>
              <w:t>40</w:t>
            </w:r>
          </w:p>
        </w:tc>
        <w:tc>
          <w:tcPr>
            <w:tcW w:w="1046" w:type="dxa"/>
          </w:tcPr>
          <w:p w:rsidR="00904BD7" w:rsidRPr="00C67C90" w:rsidRDefault="00904BD7" w:rsidP="00904BD7">
            <w:pPr>
              <w:jc w:val="center"/>
              <w:rPr>
                <w:sz w:val="18"/>
                <w:szCs w:val="18"/>
              </w:rPr>
            </w:pPr>
            <w:r w:rsidRPr="00C67C90">
              <w:rPr>
                <w:sz w:val="18"/>
                <w:szCs w:val="18"/>
              </w:rPr>
              <w:t>-</w:t>
            </w:r>
          </w:p>
        </w:tc>
      </w:tr>
      <w:tr w:rsidR="00904BD7" w:rsidRPr="00C67C90" w:rsidTr="00904BD7">
        <w:trPr>
          <w:jc w:val="center"/>
        </w:trPr>
        <w:tc>
          <w:tcPr>
            <w:tcW w:w="958" w:type="dxa"/>
          </w:tcPr>
          <w:p w:rsidR="00904BD7" w:rsidRPr="00C67C90" w:rsidRDefault="00904BD7" w:rsidP="00904BD7">
            <w:pPr>
              <w:pStyle w:val="Default"/>
              <w:jc w:val="center"/>
              <w:rPr>
                <w:sz w:val="18"/>
                <w:szCs w:val="18"/>
              </w:rPr>
            </w:pPr>
          </w:p>
        </w:tc>
        <w:tc>
          <w:tcPr>
            <w:tcW w:w="1842" w:type="dxa"/>
          </w:tcPr>
          <w:p w:rsidR="00904BD7" w:rsidRPr="00C67C90" w:rsidRDefault="00904BD7" w:rsidP="00904BD7">
            <w:pPr>
              <w:pStyle w:val="Default"/>
              <w:rPr>
                <w:sz w:val="18"/>
                <w:szCs w:val="18"/>
              </w:rPr>
            </w:pPr>
            <w:r w:rsidRPr="00C67C90">
              <w:rPr>
                <w:sz w:val="18"/>
                <w:szCs w:val="18"/>
              </w:rPr>
              <w:t xml:space="preserve">Odporność na ścieranie (dotyczy fakcji 10/14 odsianej z mieszanki) wg PN-EN 1097-1, kategoria MDE </w:t>
            </w:r>
          </w:p>
        </w:tc>
        <w:tc>
          <w:tcPr>
            <w:tcW w:w="1648" w:type="dxa"/>
          </w:tcPr>
          <w:p w:rsidR="00904BD7" w:rsidRPr="00C67C90" w:rsidRDefault="00904BD7" w:rsidP="00904BD7">
            <w:pPr>
              <w:pStyle w:val="Default"/>
              <w:jc w:val="center"/>
              <w:rPr>
                <w:sz w:val="18"/>
                <w:szCs w:val="18"/>
              </w:rPr>
            </w:pPr>
            <w:r w:rsidRPr="00C67C90">
              <w:rPr>
                <w:sz w:val="18"/>
                <w:szCs w:val="18"/>
              </w:rPr>
              <w:t>Deklarowana</w:t>
            </w:r>
          </w:p>
        </w:tc>
        <w:tc>
          <w:tcPr>
            <w:tcW w:w="1046" w:type="dxa"/>
          </w:tcPr>
          <w:p w:rsidR="00904BD7" w:rsidRPr="00C67C90" w:rsidRDefault="00904BD7" w:rsidP="00904BD7">
            <w:pPr>
              <w:jc w:val="center"/>
              <w:rPr>
                <w:sz w:val="18"/>
                <w:szCs w:val="18"/>
              </w:rPr>
            </w:pPr>
            <w:r w:rsidRPr="00C67C90">
              <w:rPr>
                <w:sz w:val="18"/>
                <w:szCs w:val="18"/>
              </w:rPr>
              <w:t>-</w:t>
            </w:r>
          </w:p>
        </w:tc>
      </w:tr>
      <w:tr w:rsidR="00904BD7" w:rsidRPr="00C67C90" w:rsidTr="00904BD7">
        <w:trPr>
          <w:jc w:val="center"/>
        </w:trPr>
        <w:tc>
          <w:tcPr>
            <w:tcW w:w="958" w:type="dxa"/>
          </w:tcPr>
          <w:p w:rsidR="00904BD7" w:rsidRPr="00C67C90" w:rsidRDefault="00904BD7" w:rsidP="00904BD7">
            <w:pPr>
              <w:pStyle w:val="Default"/>
              <w:jc w:val="center"/>
              <w:rPr>
                <w:sz w:val="18"/>
                <w:szCs w:val="18"/>
              </w:rPr>
            </w:pPr>
          </w:p>
        </w:tc>
        <w:tc>
          <w:tcPr>
            <w:tcW w:w="1842" w:type="dxa"/>
          </w:tcPr>
          <w:p w:rsidR="00904BD7" w:rsidRPr="00C67C90" w:rsidRDefault="00904BD7" w:rsidP="00904BD7">
            <w:pPr>
              <w:pStyle w:val="Default"/>
              <w:rPr>
                <w:sz w:val="18"/>
                <w:szCs w:val="18"/>
              </w:rPr>
            </w:pPr>
            <w:r w:rsidRPr="00C67C90">
              <w:rPr>
                <w:sz w:val="18"/>
                <w:szCs w:val="18"/>
              </w:rPr>
              <w:t xml:space="preserve">Mrozoodporność (dotyczy fakcji 8/16 odsianej z mieszanki) wg PN-EN 1367-1 </w:t>
            </w:r>
          </w:p>
        </w:tc>
        <w:tc>
          <w:tcPr>
            <w:tcW w:w="1648" w:type="dxa"/>
          </w:tcPr>
          <w:p w:rsidR="00904BD7" w:rsidRPr="00C67C90" w:rsidRDefault="00904BD7" w:rsidP="00904BD7">
            <w:pPr>
              <w:pStyle w:val="Default"/>
              <w:jc w:val="center"/>
              <w:rPr>
                <w:sz w:val="18"/>
                <w:szCs w:val="18"/>
              </w:rPr>
            </w:pPr>
            <w:r w:rsidRPr="00C67C90">
              <w:rPr>
                <w:sz w:val="18"/>
                <w:szCs w:val="18"/>
              </w:rPr>
              <w:t>F</w:t>
            </w:r>
            <w:r w:rsidRPr="00C67C90">
              <w:rPr>
                <w:sz w:val="18"/>
                <w:szCs w:val="18"/>
                <w:vertAlign w:val="subscript"/>
              </w:rPr>
              <w:t>7</w:t>
            </w:r>
          </w:p>
        </w:tc>
        <w:tc>
          <w:tcPr>
            <w:tcW w:w="1046" w:type="dxa"/>
          </w:tcPr>
          <w:p w:rsidR="00904BD7" w:rsidRPr="00C67C90" w:rsidRDefault="00904BD7" w:rsidP="00904BD7">
            <w:pPr>
              <w:jc w:val="center"/>
              <w:rPr>
                <w:sz w:val="18"/>
                <w:szCs w:val="18"/>
              </w:rPr>
            </w:pPr>
            <w:r w:rsidRPr="00C67C90">
              <w:rPr>
                <w:sz w:val="18"/>
                <w:szCs w:val="18"/>
              </w:rPr>
              <w:t>-</w:t>
            </w:r>
          </w:p>
        </w:tc>
      </w:tr>
      <w:tr w:rsidR="00904BD7" w:rsidRPr="00C67C90" w:rsidTr="00904BD7">
        <w:trPr>
          <w:jc w:val="center"/>
        </w:trPr>
        <w:tc>
          <w:tcPr>
            <w:tcW w:w="958" w:type="dxa"/>
          </w:tcPr>
          <w:p w:rsidR="00904BD7" w:rsidRPr="00C67C90" w:rsidRDefault="00904BD7" w:rsidP="00904BD7">
            <w:pPr>
              <w:pStyle w:val="Default"/>
              <w:jc w:val="center"/>
              <w:rPr>
                <w:sz w:val="18"/>
                <w:szCs w:val="18"/>
              </w:rPr>
            </w:pPr>
          </w:p>
        </w:tc>
        <w:tc>
          <w:tcPr>
            <w:tcW w:w="1842" w:type="dxa"/>
          </w:tcPr>
          <w:p w:rsidR="00904BD7" w:rsidRPr="00C67C90" w:rsidRDefault="00904BD7" w:rsidP="00904BD7">
            <w:pPr>
              <w:pStyle w:val="Default"/>
              <w:rPr>
                <w:sz w:val="18"/>
                <w:szCs w:val="18"/>
              </w:rPr>
            </w:pPr>
            <w:r w:rsidRPr="00C67C90">
              <w:rPr>
                <w:sz w:val="18"/>
                <w:szCs w:val="18"/>
              </w:rPr>
              <w:t xml:space="preserve">Wartość CBR po zagęszczeniu do wskaźnika zagęszczenia Is=1,0 i moczeniu w wodzie 96h, co najmniej </w:t>
            </w:r>
          </w:p>
        </w:tc>
        <w:tc>
          <w:tcPr>
            <w:tcW w:w="1648" w:type="dxa"/>
          </w:tcPr>
          <w:p w:rsidR="00904BD7" w:rsidRPr="00C67C90" w:rsidRDefault="00904BD7" w:rsidP="00904BD7">
            <w:pPr>
              <w:pStyle w:val="Default"/>
              <w:jc w:val="center"/>
              <w:rPr>
                <w:sz w:val="18"/>
                <w:szCs w:val="18"/>
              </w:rPr>
            </w:pPr>
            <w:r w:rsidRPr="00C67C90">
              <w:rPr>
                <w:sz w:val="18"/>
                <w:szCs w:val="18"/>
              </w:rPr>
              <w:t>≥ 60</w:t>
            </w:r>
          </w:p>
        </w:tc>
        <w:tc>
          <w:tcPr>
            <w:tcW w:w="1046" w:type="dxa"/>
          </w:tcPr>
          <w:p w:rsidR="00904BD7" w:rsidRPr="00C67C90" w:rsidRDefault="00904BD7" w:rsidP="00904BD7">
            <w:pPr>
              <w:jc w:val="center"/>
              <w:rPr>
                <w:sz w:val="18"/>
                <w:szCs w:val="18"/>
              </w:rPr>
            </w:pPr>
            <w:r w:rsidRPr="00C67C90">
              <w:rPr>
                <w:sz w:val="18"/>
                <w:szCs w:val="18"/>
              </w:rPr>
              <w:t>-</w:t>
            </w:r>
          </w:p>
        </w:tc>
      </w:tr>
      <w:tr w:rsidR="00904BD7" w:rsidRPr="00C67C90" w:rsidTr="00904BD7">
        <w:trPr>
          <w:jc w:val="center"/>
        </w:trPr>
        <w:tc>
          <w:tcPr>
            <w:tcW w:w="958" w:type="dxa"/>
          </w:tcPr>
          <w:p w:rsidR="00904BD7" w:rsidRPr="00C67C90" w:rsidRDefault="00904BD7" w:rsidP="00904BD7">
            <w:pPr>
              <w:pStyle w:val="Default"/>
              <w:jc w:val="center"/>
              <w:rPr>
                <w:sz w:val="18"/>
                <w:szCs w:val="18"/>
              </w:rPr>
            </w:pPr>
            <w:r w:rsidRPr="00C67C90">
              <w:rPr>
                <w:sz w:val="18"/>
                <w:szCs w:val="18"/>
              </w:rPr>
              <w:t>4.5</w:t>
            </w:r>
          </w:p>
        </w:tc>
        <w:tc>
          <w:tcPr>
            <w:tcW w:w="1842" w:type="dxa"/>
          </w:tcPr>
          <w:p w:rsidR="00904BD7" w:rsidRPr="00C67C90" w:rsidRDefault="00904BD7" w:rsidP="00904BD7">
            <w:pPr>
              <w:pStyle w:val="Default"/>
              <w:rPr>
                <w:sz w:val="18"/>
                <w:szCs w:val="18"/>
              </w:rPr>
            </w:pPr>
            <w:r w:rsidRPr="00C67C90">
              <w:rPr>
                <w:sz w:val="18"/>
                <w:szCs w:val="18"/>
              </w:rPr>
              <w:t>Zawartość wody w</w:t>
            </w:r>
            <w:r>
              <w:rPr>
                <w:sz w:val="18"/>
                <w:szCs w:val="18"/>
              </w:rPr>
              <w:t xml:space="preserve"> mieszance zagęszczanej, % </w:t>
            </w:r>
            <w:r w:rsidRPr="00C67C90">
              <w:rPr>
                <w:sz w:val="18"/>
                <w:szCs w:val="18"/>
              </w:rPr>
              <w:t xml:space="preserve"> wilgotności optymalnej wg metody Proctora</w:t>
            </w:r>
          </w:p>
        </w:tc>
        <w:tc>
          <w:tcPr>
            <w:tcW w:w="1648" w:type="dxa"/>
          </w:tcPr>
          <w:p w:rsidR="00904BD7" w:rsidRPr="00C67C90" w:rsidRDefault="00904BD7" w:rsidP="00904BD7">
            <w:pPr>
              <w:pStyle w:val="Default"/>
              <w:jc w:val="center"/>
              <w:rPr>
                <w:sz w:val="18"/>
                <w:szCs w:val="18"/>
              </w:rPr>
            </w:pPr>
            <w:r w:rsidRPr="00C67C90">
              <w:rPr>
                <w:sz w:val="18"/>
                <w:szCs w:val="18"/>
              </w:rPr>
              <w:t>80-100</w:t>
            </w:r>
          </w:p>
        </w:tc>
        <w:tc>
          <w:tcPr>
            <w:tcW w:w="1046" w:type="dxa"/>
          </w:tcPr>
          <w:p w:rsidR="00904BD7" w:rsidRPr="00C67C90" w:rsidRDefault="00904BD7" w:rsidP="00904BD7">
            <w:pPr>
              <w:jc w:val="center"/>
              <w:rPr>
                <w:sz w:val="18"/>
                <w:szCs w:val="18"/>
              </w:rPr>
            </w:pPr>
            <w:r w:rsidRPr="00C67C90">
              <w:rPr>
                <w:sz w:val="18"/>
                <w:szCs w:val="18"/>
              </w:rPr>
              <w:t>-</w:t>
            </w:r>
          </w:p>
        </w:tc>
      </w:tr>
    </w:tbl>
    <w:p w:rsidR="00904BD7" w:rsidRDefault="00904BD7" w:rsidP="00904BD7">
      <w:pPr>
        <w:widowControl w:val="0"/>
        <w:snapToGrid w:val="0"/>
        <w:spacing w:before="120" w:after="120"/>
        <w:jc w:val="both"/>
      </w:pPr>
    </w:p>
    <w:p w:rsidR="00904BD7" w:rsidRDefault="00904BD7" w:rsidP="00904BD7">
      <w:pPr>
        <w:pStyle w:val="Default"/>
        <w:ind w:firstLine="709"/>
        <w:jc w:val="both"/>
        <w:rPr>
          <w:bCs/>
          <w:sz w:val="20"/>
          <w:szCs w:val="20"/>
        </w:rPr>
      </w:pPr>
      <w:r>
        <w:rPr>
          <w:bCs/>
          <w:sz w:val="20"/>
          <w:szCs w:val="20"/>
        </w:rPr>
        <w:t>Dodatkowo, jeżeli poziom zwierciadła wody gruntowej znajduje się poniżej 1 m od spodu warstwy ulepszonego podłoża, mieszanka niezwiązana powinna mieć wodoprzepuszczalność k &gt; 8 m/dobę oraz zawartość ziarn przechodzących przez sito 0,063 mm poniżej 7% w celu zapewnienia odprowadzenia wody.</w:t>
      </w:r>
    </w:p>
    <w:p w:rsidR="00904BD7" w:rsidRDefault="00904BD7" w:rsidP="00904BD7">
      <w:pPr>
        <w:pStyle w:val="Default"/>
        <w:ind w:firstLine="709"/>
        <w:jc w:val="both"/>
        <w:rPr>
          <w:bCs/>
          <w:sz w:val="20"/>
          <w:szCs w:val="20"/>
        </w:rPr>
      </w:pPr>
    </w:p>
    <w:p w:rsidR="00904BD7" w:rsidRDefault="00904BD7" w:rsidP="00904BD7">
      <w:pPr>
        <w:pStyle w:val="Default"/>
        <w:jc w:val="both"/>
        <w:rPr>
          <w:b/>
          <w:sz w:val="20"/>
          <w:szCs w:val="20"/>
        </w:rPr>
      </w:pPr>
      <w:r w:rsidRPr="005D3393">
        <w:rPr>
          <w:b/>
          <w:bCs/>
          <w:sz w:val="20"/>
          <w:szCs w:val="20"/>
        </w:rPr>
        <w:t xml:space="preserve">2.5. </w:t>
      </w:r>
      <w:r w:rsidRPr="005D3393">
        <w:rPr>
          <w:b/>
          <w:sz w:val="20"/>
          <w:szCs w:val="20"/>
        </w:rPr>
        <w:t xml:space="preserve">Woda </w:t>
      </w:r>
    </w:p>
    <w:p w:rsidR="00904BD7" w:rsidRDefault="00904BD7" w:rsidP="00904BD7">
      <w:pPr>
        <w:jc w:val="both"/>
      </w:pPr>
      <w:r>
        <w:t>Należy stosować wodę wg PN-EN 1008-1.</w:t>
      </w:r>
    </w:p>
    <w:p w:rsidR="00904BD7" w:rsidRDefault="00904BD7" w:rsidP="00904BD7">
      <w:pPr>
        <w:jc w:val="both"/>
      </w:pPr>
    </w:p>
    <w:p w:rsidR="00904BD7" w:rsidRPr="005D3393" w:rsidRDefault="00904BD7" w:rsidP="00904BD7">
      <w:pPr>
        <w:jc w:val="both"/>
        <w:rPr>
          <w:b/>
        </w:rPr>
      </w:pPr>
      <w:r w:rsidRPr="005D3393">
        <w:rPr>
          <w:b/>
        </w:rPr>
        <w:t>2.6. Georuszt</w:t>
      </w:r>
      <w:r>
        <w:rPr>
          <w:b/>
        </w:rPr>
        <w:t xml:space="preserve"> trójosiowy (heksagonalny)</w:t>
      </w:r>
    </w:p>
    <w:p w:rsidR="00904BD7" w:rsidRDefault="00904BD7" w:rsidP="00904BD7">
      <w:pPr>
        <w:pStyle w:val="Default"/>
        <w:ind w:firstLine="709"/>
        <w:jc w:val="both"/>
        <w:rPr>
          <w:bCs/>
          <w:sz w:val="20"/>
          <w:szCs w:val="20"/>
        </w:rPr>
      </w:pPr>
      <w:r>
        <w:rPr>
          <w:bCs/>
          <w:sz w:val="20"/>
          <w:szCs w:val="20"/>
        </w:rPr>
        <w:t xml:space="preserve">Do wykonania robót należy zastosować georuszt trójosiowy (heksagonalny), </w:t>
      </w:r>
      <w:r w:rsidRPr="00345571">
        <w:rPr>
          <w:sz w:val="20"/>
          <w:szCs w:val="20"/>
        </w:rPr>
        <w:t>z otworami o kształcie trójkąta równobocznego</w:t>
      </w:r>
      <w:r>
        <w:rPr>
          <w:sz w:val="20"/>
          <w:szCs w:val="20"/>
        </w:rPr>
        <w:t>, tworzącymi układ sześciokątów foremnych, wykonany z polipropylenu (PP)</w:t>
      </w:r>
      <w:r>
        <w:rPr>
          <w:bCs/>
          <w:sz w:val="20"/>
          <w:szCs w:val="20"/>
        </w:rPr>
        <w:t>. Georuszt powinien być wyprodukowany w procesie perforacji i rozciągania w trzech kierunkach podgrzanej do odpowiedniej temperatury taśmy polipropylenowej. Węzły i żebra georusztu powinny stanowić integralną całość – nie dopuszcza się stosowania materiałów przeplatanych, zgrzewanych, spawanych, ekstrudowanych itp. w węzłach zgodnie z określeniami zawartymi w p. 1.4.</w:t>
      </w:r>
    </w:p>
    <w:p w:rsidR="00904BD7" w:rsidRDefault="00904BD7" w:rsidP="00904BD7">
      <w:pPr>
        <w:pStyle w:val="Default"/>
        <w:ind w:firstLine="709"/>
        <w:jc w:val="both"/>
        <w:rPr>
          <w:bCs/>
          <w:sz w:val="20"/>
          <w:szCs w:val="20"/>
        </w:rPr>
      </w:pPr>
      <w:r>
        <w:rPr>
          <w:bCs/>
          <w:sz w:val="20"/>
          <w:szCs w:val="20"/>
        </w:rPr>
        <w:t>Georuszt trójosiowy powinien spełniać istotne dla funkcji stabilizacyjnej parametry podane w Tablicy 2. Sztywność radialna i podobne właściwości fizyczne powinny być deklarowane w takie sposób, że wartość nominalna +/- tolerancja reprezentuje 99,7% populacji, tj. 99,7% „przedziału tolerancji”.</w:t>
      </w:r>
    </w:p>
    <w:p w:rsidR="00904BD7" w:rsidRDefault="00904BD7" w:rsidP="00904BD7">
      <w:pPr>
        <w:pStyle w:val="Default"/>
        <w:jc w:val="both"/>
        <w:rPr>
          <w:b/>
          <w:i/>
          <w:iCs/>
          <w:sz w:val="20"/>
          <w:szCs w:val="20"/>
        </w:rPr>
      </w:pPr>
    </w:p>
    <w:p w:rsidR="00904BD7" w:rsidRDefault="00904BD7" w:rsidP="00904BD7">
      <w:pPr>
        <w:pStyle w:val="Default"/>
        <w:jc w:val="both"/>
        <w:rPr>
          <w:i/>
          <w:iCs/>
          <w:sz w:val="20"/>
          <w:szCs w:val="20"/>
        </w:rPr>
      </w:pPr>
      <w:r w:rsidRPr="005D3393">
        <w:rPr>
          <w:b/>
          <w:i/>
          <w:iCs/>
          <w:sz w:val="20"/>
          <w:szCs w:val="20"/>
        </w:rPr>
        <w:t xml:space="preserve">Tablica </w:t>
      </w:r>
      <w:r>
        <w:rPr>
          <w:b/>
          <w:i/>
          <w:iCs/>
          <w:sz w:val="20"/>
          <w:szCs w:val="20"/>
        </w:rPr>
        <w:t>2</w:t>
      </w:r>
      <w:r w:rsidRPr="005D3393">
        <w:rPr>
          <w:b/>
          <w:i/>
          <w:iCs/>
          <w:sz w:val="20"/>
          <w:szCs w:val="20"/>
        </w:rPr>
        <w:t>.</w:t>
      </w:r>
      <w:r>
        <w:rPr>
          <w:i/>
          <w:iCs/>
          <w:sz w:val="20"/>
          <w:szCs w:val="20"/>
        </w:rPr>
        <w:t xml:space="preserve"> Wymagania wobec georusztu do warstwy ulepszonego podłoża</w:t>
      </w:r>
    </w:p>
    <w:p w:rsidR="00904BD7" w:rsidRDefault="00904BD7" w:rsidP="00904BD7">
      <w:pPr>
        <w:pStyle w:val="Default"/>
        <w:jc w:val="both"/>
        <w:rPr>
          <w:bCs/>
          <w:sz w:val="20"/>
          <w:szCs w:val="20"/>
        </w:rPr>
      </w:pPr>
    </w:p>
    <w:tbl>
      <w:tblPr>
        <w:tblW w:w="90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34"/>
        <w:gridCol w:w="3118"/>
        <w:gridCol w:w="1559"/>
        <w:gridCol w:w="1276"/>
        <w:gridCol w:w="1276"/>
        <w:gridCol w:w="1276"/>
      </w:tblGrid>
      <w:tr w:rsidR="00904BD7" w:rsidRPr="00C67C90" w:rsidTr="00904BD7">
        <w:trPr>
          <w:jc w:val="center"/>
        </w:trPr>
        <w:tc>
          <w:tcPr>
            <w:tcW w:w="534" w:type="dxa"/>
            <w:vAlign w:val="center"/>
          </w:tcPr>
          <w:p w:rsidR="00904BD7" w:rsidRPr="00C67C90" w:rsidRDefault="00904BD7" w:rsidP="00904BD7">
            <w:pPr>
              <w:pStyle w:val="Default"/>
              <w:jc w:val="center"/>
              <w:rPr>
                <w:bCs/>
                <w:sz w:val="18"/>
                <w:szCs w:val="18"/>
              </w:rPr>
            </w:pPr>
            <w:r w:rsidRPr="00C67C90">
              <w:rPr>
                <w:bCs/>
                <w:sz w:val="18"/>
                <w:szCs w:val="18"/>
              </w:rPr>
              <w:t>L.P.</w:t>
            </w:r>
          </w:p>
        </w:tc>
        <w:tc>
          <w:tcPr>
            <w:tcW w:w="3118" w:type="dxa"/>
            <w:vAlign w:val="center"/>
          </w:tcPr>
          <w:p w:rsidR="00904BD7" w:rsidRPr="00C67C90" w:rsidRDefault="00904BD7" w:rsidP="00904BD7">
            <w:pPr>
              <w:pStyle w:val="Default"/>
              <w:jc w:val="center"/>
              <w:rPr>
                <w:bCs/>
                <w:sz w:val="18"/>
                <w:szCs w:val="18"/>
              </w:rPr>
            </w:pPr>
            <w:r w:rsidRPr="00C67C90">
              <w:rPr>
                <w:bCs/>
                <w:sz w:val="18"/>
                <w:szCs w:val="18"/>
              </w:rPr>
              <w:t>Parametr</w:t>
            </w:r>
          </w:p>
        </w:tc>
        <w:tc>
          <w:tcPr>
            <w:tcW w:w="1559" w:type="dxa"/>
            <w:vAlign w:val="center"/>
          </w:tcPr>
          <w:p w:rsidR="00904BD7" w:rsidRPr="00C67C90" w:rsidRDefault="00904BD7" w:rsidP="00904BD7">
            <w:pPr>
              <w:pStyle w:val="Default"/>
              <w:jc w:val="center"/>
              <w:rPr>
                <w:bCs/>
                <w:sz w:val="18"/>
                <w:szCs w:val="18"/>
              </w:rPr>
            </w:pPr>
            <w:r w:rsidRPr="00C67C90">
              <w:rPr>
                <w:bCs/>
                <w:sz w:val="18"/>
                <w:szCs w:val="18"/>
              </w:rPr>
              <w:t>Metoda badania</w:t>
            </w:r>
          </w:p>
        </w:tc>
        <w:tc>
          <w:tcPr>
            <w:tcW w:w="1276" w:type="dxa"/>
            <w:vAlign w:val="center"/>
          </w:tcPr>
          <w:p w:rsidR="00904BD7" w:rsidRPr="00C67C90" w:rsidRDefault="00904BD7" w:rsidP="00904BD7">
            <w:pPr>
              <w:pStyle w:val="Default"/>
              <w:jc w:val="center"/>
              <w:rPr>
                <w:bCs/>
                <w:sz w:val="18"/>
                <w:szCs w:val="18"/>
              </w:rPr>
            </w:pPr>
            <w:r w:rsidRPr="00C67C90">
              <w:rPr>
                <w:bCs/>
                <w:sz w:val="18"/>
                <w:szCs w:val="18"/>
              </w:rPr>
              <w:t>Jednostka</w:t>
            </w:r>
          </w:p>
        </w:tc>
        <w:tc>
          <w:tcPr>
            <w:tcW w:w="1276" w:type="dxa"/>
            <w:vAlign w:val="center"/>
          </w:tcPr>
          <w:p w:rsidR="00904BD7" w:rsidRPr="00C67C90" w:rsidRDefault="00904BD7" w:rsidP="00904BD7">
            <w:pPr>
              <w:pStyle w:val="Default"/>
              <w:jc w:val="center"/>
              <w:rPr>
                <w:bCs/>
                <w:sz w:val="18"/>
                <w:szCs w:val="18"/>
              </w:rPr>
            </w:pPr>
            <w:r w:rsidRPr="00C67C90">
              <w:rPr>
                <w:bCs/>
                <w:sz w:val="18"/>
                <w:szCs w:val="18"/>
              </w:rPr>
              <w:t>Wymagana wartość</w:t>
            </w:r>
          </w:p>
        </w:tc>
        <w:tc>
          <w:tcPr>
            <w:tcW w:w="1276" w:type="dxa"/>
            <w:vAlign w:val="center"/>
          </w:tcPr>
          <w:p w:rsidR="00904BD7" w:rsidRPr="00C67C90" w:rsidRDefault="00904BD7" w:rsidP="00904BD7">
            <w:pPr>
              <w:pStyle w:val="Default"/>
              <w:jc w:val="center"/>
              <w:rPr>
                <w:bCs/>
                <w:sz w:val="18"/>
                <w:szCs w:val="18"/>
              </w:rPr>
            </w:pPr>
            <w:r w:rsidRPr="00C67C90">
              <w:rPr>
                <w:bCs/>
                <w:sz w:val="18"/>
                <w:szCs w:val="18"/>
              </w:rPr>
              <w:t>Tolerancja</w:t>
            </w:r>
          </w:p>
        </w:tc>
      </w:tr>
      <w:tr w:rsidR="00904BD7" w:rsidRPr="00C67C90" w:rsidTr="00904BD7">
        <w:trPr>
          <w:jc w:val="center"/>
        </w:trPr>
        <w:tc>
          <w:tcPr>
            <w:tcW w:w="534" w:type="dxa"/>
          </w:tcPr>
          <w:p w:rsidR="00904BD7" w:rsidRPr="00C67C90" w:rsidRDefault="00904BD7" w:rsidP="00904BD7">
            <w:pPr>
              <w:pStyle w:val="Default"/>
              <w:jc w:val="center"/>
              <w:rPr>
                <w:bCs/>
                <w:sz w:val="18"/>
                <w:szCs w:val="18"/>
              </w:rPr>
            </w:pPr>
            <w:r w:rsidRPr="00C67C90">
              <w:rPr>
                <w:bCs/>
                <w:sz w:val="18"/>
                <w:szCs w:val="18"/>
              </w:rPr>
              <w:t>1</w:t>
            </w:r>
          </w:p>
        </w:tc>
        <w:tc>
          <w:tcPr>
            <w:tcW w:w="3118" w:type="dxa"/>
          </w:tcPr>
          <w:p w:rsidR="00904BD7" w:rsidRPr="00C67C90" w:rsidRDefault="00904BD7" w:rsidP="00904BD7">
            <w:pPr>
              <w:pStyle w:val="Default"/>
              <w:jc w:val="both"/>
              <w:rPr>
                <w:bCs/>
                <w:sz w:val="18"/>
                <w:szCs w:val="18"/>
              </w:rPr>
            </w:pPr>
            <w:r w:rsidRPr="00C67C90">
              <w:rPr>
                <w:bCs/>
                <w:sz w:val="18"/>
                <w:szCs w:val="18"/>
              </w:rPr>
              <w:t>Sztywność radialna przy odkształceniu 0,5%</w:t>
            </w:r>
          </w:p>
        </w:tc>
        <w:tc>
          <w:tcPr>
            <w:tcW w:w="1559" w:type="dxa"/>
          </w:tcPr>
          <w:p w:rsidR="00904BD7" w:rsidRPr="00C67C90" w:rsidRDefault="00904BD7" w:rsidP="00904BD7">
            <w:pPr>
              <w:pStyle w:val="Default"/>
              <w:jc w:val="center"/>
              <w:rPr>
                <w:bCs/>
                <w:sz w:val="18"/>
                <w:szCs w:val="18"/>
              </w:rPr>
            </w:pPr>
            <w:r w:rsidRPr="00C67C90">
              <w:rPr>
                <w:bCs/>
                <w:sz w:val="18"/>
                <w:szCs w:val="18"/>
              </w:rPr>
              <w:t>TR 041 B.1</w:t>
            </w:r>
          </w:p>
        </w:tc>
        <w:tc>
          <w:tcPr>
            <w:tcW w:w="1276" w:type="dxa"/>
          </w:tcPr>
          <w:p w:rsidR="00904BD7" w:rsidRPr="00C67C90" w:rsidRDefault="00904BD7" w:rsidP="00904BD7">
            <w:pPr>
              <w:pStyle w:val="Default"/>
              <w:jc w:val="center"/>
              <w:rPr>
                <w:bCs/>
                <w:sz w:val="18"/>
                <w:szCs w:val="18"/>
              </w:rPr>
            </w:pPr>
            <w:r w:rsidRPr="00C67C90">
              <w:rPr>
                <w:bCs/>
                <w:sz w:val="18"/>
                <w:szCs w:val="18"/>
              </w:rPr>
              <w:t>kN/m</w:t>
            </w:r>
          </w:p>
        </w:tc>
        <w:tc>
          <w:tcPr>
            <w:tcW w:w="1276" w:type="dxa"/>
          </w:tcPr>
          <w:p w:rsidR="00904BD7" w:rsidRPr="00C67C90" w:rsidRDefault="00904BD7" w:rsidP="00904BD7">
            <w:pPr>
              <w:pStyle w:val="Default"/>
              <w:jc w:val="center"/>
              <w:rPr>
                <w:bCs/>
                <w:sz w:val="18"/>
                <w:szCs w:val="18"/>
              </w:rPr>
            </w:pPr>
            <w:r>
              <w:rPr>
                <w:bCs/>
                <w:sz w:val="18"/>
                <w:szCs w:val="18"/>
              </w:rPr>
              <w:t>390</w:t>
            </w:r>
          </w:p>
        </w:tc>
        <w:tc>
          <w:tcPr>
            <w:tcW w:w="1276" w:type="dxa"/>
          </w:tcPr>
          <w:p w:rsidR="00904BD7" w:rsidRPr="00C67C90" w:rsidRDefault="00904BD7" w:rsidP="00904BD7">
            <w:pPr>
              <w:pStyle w:val="Default"/>
              <w:jc w:val="center"/>
              <w:rPr>
                <w:bCs/>
                <w:sz w:val="18"/>
                <w:szCs w:val="18"/>
              </w:rPr>
            </w:pPr>
            <w:r w:rsidRPr="00C67C90">
              <w:rPr>
                <w:bCs/>
                <w:sz w:val="18"/>
                <w:szCs w:val="18"/>
              </w:rPr>
              <w:t>-75</w:t>
            </w:r>
          </w:p>
        </w:tc>
      </w:tr>
      <w:tr w:rsidR="00904BD7" w:rsidRPr="00C67C90" w:rsidTr="00904BD7">
        <w:trPr>
          <w:jc w:val="center"/>
        </w:trPr>
        <w:tc>
          <w:tcPr>
            <w:tcW w:w="534" w:type="dxa"/>
          </w:tcPr>
          <w:p w:rsidR="00904BD7" w:rsidRPr="00C67C90" w:rsidRDefault="00904BD7" w:rsidP="00904BD7">
            <w:pPr>
              <w:pStyle w:val="Default"/>
              <w:jc w:val="center"/>
              <w:rPr>
                <w:bCs/>
                <w:sz w:val="18"/>
                <w:szCs w:val="18"/>
              </w:rPr>
            </w:pPr>
            <w:r w:rsidRPr="00C67C90">
              <w:rPr>
                <w:bCs/>
                <w:sz w:val="18"/>
                <w:szCs w:val="18"/>
              </w:rPr>
              <w:t>2</w:t>
            </w:r>
          </w:p>
        </w:tc>
        <w:tc>
          <w:tcPr>
            <w:tcW w:w="3118" w:type="dxa"/>
          </w:tcPr>
          <w:p w:rsidR="00904BD7" w:rsidRPr="00C67C90" w:rsidRDefault="00904BD7" w:rsidP="00904BD7">
            <w:pPr>
              <w:pStyle w:val="Default"/>
              <w:jc w:val="both"/>
              <w:rPr>
                <w:bCs/>
                <w:sz w:val="18"/>
                <w:szCs w:val="18"/>
              </w:rPr>
            </w:pPr>
            <w:r w:rsidRPr="00C67C90">
              <w:rPr>
                <w:bCs/>
                <w:sz w:val="18"/>
                <w:szCs w:val="18"/>
              </w:rPr>
              <w:t>Współczynnik izotropii sztywności</w:t>
            </w:r>
          </w:p>
        </w:tc>
        <w:tc>
          <w:tcPr>
            <w:tcW w:w="1559" w:type="dxa"/>
          </w:tcPr>
          <w:p w:rsidR="00904BD7" w:rsidRPr="00C67C90" w:rsidRDefault="00904BD7" w:rsidP="00904BD7">
            <w:pPr>
              <w:pStyle w:val="Default"/>
              <w:jc w:val="center"/>
              <w:rPr>
                <w:bCs/>
                <w:sz w:val="18"/>
                <w:szCs w:val="18"/>
              </w:rPr>
            </w:pPr>
            <w:r w:rsidRPr="00C67C90">
              <w:rPr>
                <w:bCs/>
                <w:sz w:val="18"/>
                <w:szCs w:val="18"/>
              </w:rPr>
              <w:t>TR 041 B.1</w:t>
            </w:r>
          </w:p>
        </w:tc>
        <w:tc>
          <w:tcPr>
            <w:tcW w:w="1276" w:type="dxa"/>
          </w:tcPr>
          <w:p w:rsidR="00904BD7" w:rsidRPr="00C67C90" w:rsidRDefault="00904BD7" w:rsidP="00904BD7">
            <w:pPr>
              <w:pStyle w:val="Default"/>
              <w:jc w:val="center"/>
              <w:rPr>
                <w:bCs/>
                <w:sz w:val="18"/>
                <w:szCs w:val="18"/>
              </w:rPr>
            </w:pPr>
            <w:r w:rsidRPr="00C67C90">
              <w:rPr>
                <w:bCs/>
                <w:sz w:val="18"/>
                <w:szCs w:val="18"/>
              </w:rPr>
              <w:t>-</w:t>
            </w:r>
          </w:p>
        </w:tc>
        <w:tc>
          <w:tcPr>
            <w:tcW w:w="1276" w:type="dxa"/>
          </w:tcPr>
          <w:p w:rsidR="00904BD7" w:rsidRPr="00C67C90" w:rsidRDefault="00904BD7" w:rsidP="00904BD7">
            <w:pPr>
              <w:pStyle w:val="Default"/>
              <w:jc w:val="center"/>
              <w:rPr>
                <w:bCs/>
                <w:sz w:val="18"/>
                <w:szCs w:val="18"/>
              </w:rPr>
            </w:pPr>
            <w:r w:rsidRPr="00C67C90">
              <w:rPr>
                <w:bCs/>
                <w:sz w:val="18"/>
                <w:szCs w:val="18"/>
              </w:rPr>
              <w:t>0,80</w:t>
            </w:r>
          </w:p>
        </w:tc>
        <w:tc>
          <w:tcPr>
            <w:tcW w:w="1276" w:type="dxa"/>
          </w:tcPr>
          <w:p w:rsidR="00904BD7" w:rsidRPr="00C67C90" w:rsidRDefault="00904BD7" w:rsidP="00904BD7">
            <w:pPr>
              <w:pStyle w:val="Default"/>
              <w:jc w:val="center"/>
              <w:rPr>
                <w:bCs/>
                <w:sz w:val="18"/>
                <w:szCs w:val="18"/>
              </w:rPr>
            </w:pPr>
            <w:r w:rsidRPr="00C67C90">
              <w:rPr>
                <w:bCs/>
                <w:sz w:val="18"/>
                <w:szCs w:val="18"/>
              </w:rPr>
              <w:t>-0,15</w:t>
            </w:r>
          </w:p>
        </w:tc>
      </w:tr>
      <w:tr w:rsidR="00904BD7" w:rsidRPr="00C67C90" w:rsidTr="00904BD7">
        <w:trPr>
          <w:jc w:val="center"/>
        </w:trPr>
        <w:tc>
          <w:tcPr>
            <w:tcW w:w="534" w:type="dxa"/>
          </w:tcPr>
          <w:p w:rsidR="00904BD7" w:rsidRPr="00C67C90" w:rsidRDefault="00904BD7" w:rsidP="00904BD7">
            <w:pPr>
              <w:pStyle w:val="Default"/>
              <w:jc w:val="center"/>
              <w:rPr>
                <w:bCs/>
                <w:sz w:val="18"/>
                <w:szCs w:val="18"/>
              </w:rPr>
            </w:pPr>
            <w:r w:rsidRPr="00C67C90">
              <w:rPr>
                <w:bCs/>
                <w:sz w:val="18"/>
                <w:szCs w:val="18"/>
              </w:rPr>
              <w:t>3</w:t>
            </w:r>
          </w:p>
        </w:tc>
        <w:tc>
          <w:tcPr>
            <w:tcW w:w="3118" w:type="dxa"/>
          </w:tcPr>
          <w:p w:rsidR="00904BD7" w:rsidRPr="00C67C90" w:rsidRDefault="00904BD7" w:rsidP="00904BD7">
            <w:pPr>
              <w:pStyle w:val="Default"/>
              <w:jc w:val="both"/>
              <w:rPr>
                <w:bCs/>
                <w:sz w:val="18"/>
                <w:szCs w:val="18"/>
              </w:rPr>
            </w:pPr>
            <w:r w:rsidRPr="00C67C90">
              <w:rPr>
                <w:bCs/>
                <w:sz w:val="18"/>
                <w:szCs w:val="18"/>
              </w:rPr>
              <w:t>Efektywność węzła</w:t>
            </w:r>
          </w:p>
        </w:tc>
        <w:tc>
          <w:tcPr>
            <w:tcW w:w="1559" w:type="dxa"/>
          </w:tcPr>
          <w:p w:rsidR="00904BD7" w:rsidRPr="00C67C90" w:rsidRDefault="00904BD7" w:rsidP="00904BD7">
            <w:pPr>
              <w:pStyle w:val="Default"/>
              <w:jc w:val="center"/>
              <w:rPr>
                <w:bCs/>
                <w:sz w:val="18"/>
                <w:szCs w:val="18"/>
              </w:rPr>
            </w:pPr>
            <w:r w:rsidRPr="00C67C90">
              <w:rPr>
                <w:bCs/>
                <w:sz w:val="18"/>
                <w:szCs w:val="18"/>
              </w:rPr>
              <w:t>TR 041 B.2</w:t>
            </w:r>
          </w:p>
        </w:tc>
        <w:tc>
          <w:tcPr>
            <w:tcW w:w="1276" w:type="dxa"/>
          </w:tcPr>
          <w:p w:rsidR="00904BD7" w:rsidRPr="00C67C90" w:rsidRDefault="00904BD7" w:rsidP="00904BD7">
            <w:pPr>
              <w:pStyle w:val="Default"/>
              <w:jc w:val="center"/>
              <w:rPr>
                <w:bCs/>
                <w:sz w:val="18"/>
                <w:szCs w:val="18"/>
              </w:rPr>
            </w:pPr>
            <w:r w:rsidRPr="00C67C90">
              <w:rPr>
                <w:bCs/>
                <w:sz w:val="18"/>
                <w:szCs w:val="18"/>
              </w:rPr>
              <w:t>%</w:t>
            </w:r>
          </w:p>
        </w:tc>
        <w:tc>
          <w:tcPr>
            <w:tcW w:w="1276" w:type="dxa"/>
          </w:tcPr>
          <w:p w:rsidR="00904BD7" w:rsidRPr="00C67C90" w:rsidRDefault="00904BD7" w:rsidP="00904BD7">
            <w:pPr>
              <w:pStyle w:val="Default"/>
              <w:jc w:val="center"/>
              <w:rPr>
                <w:bCs/>
                <w:sz w:val="18"/>
                <w:szCs w:val="18"/>
              </w:rPr>
            </w:pPr>
            <w:r w:rsidRPr="00C67C90">
              <w:rPr>
                <w:bCs/>
                <w:sz w:val="18"/>
                <w:szCs w:val="18"/>
              </w:rPr>
              <w:t>100</w:t>
            </w:r>
          </w:p>
        </w:tc>
        <w:tc>
          <w:tcPr>
            <w:tcW w:w="1276" w:type="dxa"/>
          </w:tcPr>
          <w:p w:rsidR="00904BD7" w:rsidRPr="00C67C90" w:rsidRDefault="00904BD7" w:rsidP="00904BD7">
            <w:pPr>
              <w:pStyle w:val="Default"/>
              <w:jc w:val="center"/>
              <w:rPr>
                <w:bCs/>
                <w:sz w:val="18"/>
                <w:szCs w:val="18"/>
              </w:rPr>
            </w:pPr>
            <w:r w:rsidRPr="00C67C90">
              <w:rPr>
                <w:bCs/>
                <w:sz w:val="18"/>
                <w:szCs w:val="18"/>
              </w:rPr>
              <w:t>-10</w:t>
            </w:r>
          </w:p>
        </w:tc>
      </w:tr>
      <w:tr w:rsidR="00904BD7" w:rsidRPr="00C67C90" w:rsidTr="00904BD7">
        <w:trPr>
          <w:jc w:val="center"/>
        </w:trPr>
        <w:tc>
          <w:tcPr>
            <w:tcW w:w="534" w:type="dxa"/>
          </w:tcPr>
          <w:p w:rsidR="00904BD7" w:rsidRPr="00C67C90" w:rsidRDefault="00904BD7" w:rsidP="00904BD7">
            <w:pPr>
              <w:pStyle w:val="Default"/>
              <w:jc w:val="center"/>
              <w:rPr>
                <w:bCs/>
                <w:sz w:val="18"/>
                <w:szCs w:val="18"/>
              </w:rPr>
            </w:pPr>
            <w:r w:rsidRPr="00C67C90">
              <w:rPr>
                <w:bCs/>
                <w:sz w:val="18"/>
                <w:szCs w:val="18"/>
              </w:rPr>
              <w:t>4</w:t>
            </w:r>
          </w:p>
        </w:tc>
        <w:tc>
          <w:tcPr>
            <w:tcW w:w="3118" w:type="dxa"/>
          </w:tcPr>
          <w:p w:rsidR="00904BD7" w:rsidRPr="00C67C90" w:rsidRDefault="00904BD7" w:rsidP="00904BD7">
            <w:pPr>
              <w:pStyle w:val="Default"/>
              <w:jc w:val="both"/>
              <w:rPr>
                <w:bCs/>
                <w:sz w:val="18"/>
                <w:szCs w:val="18"/>
              </w:rPr>
            </w:pPr>
            <w:r w:rsidRPr="00C67C90">
              <w:rPr>
                <w:bCs/>
                <w:sz w:val="18"/>
                <w:szCs w:val="18"/>
              </w:rPr>
              <w:t>Rozmiar sześcioboku</w:t>
            </w:r>
          </w:p>
        </w:tc>
        <w:tc>
          <w:tcPr>
            <w:tcW w:w="1559" w:type="dxa"/>
          </w:tcPr>
          <w:p w:rsidR="00904BD7" w:rsidRPr="00C67C90" w:rsidRDefault="00904BD7" w:rsidP="00904BD7">
            <w:pPr>
              <w:pStyle w:val="Default"/>
              <w:jc w:val="center"/>
              <w:rPr>
                <w:bCs/>
                <w:sz w:val="18"/>
                <w:szCs w:val="18"/>
              </w:rPr>
            </w:pPr>
            <w:r w:rsidRPr="00C67C90">
              <w:rPr>
                <w:bCs/>
                <w:sz w:val="18"/>
                <w:szCs w:val="18"/>
              </w:rPr>
              <w:t>TR 041 B.4</w:t>
            </w:r>
          </w:p>
        </w:tc>
        <w:tc>
          <w:tcPr>
            <w:tcW w:w="1276" w:type="dxa"/>
          </w:tcPr>
          <w:p w:rsidR="00904BD7" w:rsidRPr="00C67C90" w:rsidRDefault="00904BD7" w:rsidP="00904BD7">
            <w:pPr>
              <w:pStyle w:val="Default"/>
              <w:jc w:val="center"/>
              <w:rPr>
                <w:bCs/>
                <w:sz w:val="18"/>
                <w:szCs w:val="18"/>
              </w:rPr>
            </w:pPr>
            <w:r w:rsidRPr="00C67C90">
              <w:rPr>
                <w:bCs/>
                <w:sz w:val="18"/>
                <w:szCs w:val="18"/>
              </w:rPr>
              <w:t>mm</w:t>
            </w:r>
          </w:p>
        </w:tc>
        <w:tc>
          <w:tcPr>
            <w:tcW w:w="1276" w:type="dxa"/>
          </w:tcPr>
          <w:p w:rsidR="00904BD7" w:rsidRPr="00C67C90" w:rsidRDefault="00904BD7" w:rsidP="00904BD7">
            <w:pPr>
              <w:pStyle w:val="Default"/>
              <w:jc w:val="center"/>
              <w:rPr>
                <w:bCs/>
                <w:sz w:val="18"/>
                <w:szCs w:val="18"/>
              </w:rPr>
            </w:pPr>
            <w:r w:rsidRPr="00C67C90">
              <w:rPr>
                <w:bCs/>
                <w:sz w:val="18"/>
                <w:szCs w:val="18"/>
              </w:rPr>
              <w:t>80</w:t>
            </w:r>
          </w:p>
        </w:tc>
        <w:tc>
          <w:tcPr>
            <w:tcW w:w="1276" w:type="dxa"/>
          </w:tcPr>
          <w:p w:rsidR="00904BD7" w:rsidRPr="00C67C90" w:rsidRDefault="00904BD7" w:rsidP="00904BD7">
            <w:pPr>
              <w:pStyle w:val="Default"/>
              <w:jc w:val="center"/>
              <w:rPr>
                <w:bCs/>
                <w:sz w:val="18"/>
                <w:szCs w:val="18"/>
              </w:rPr>
            </w:pPr>
            <w:r w:rsidRPr="00C67C90">
              <w:rPr>
                <w:bCs/>
                <w:sz w:val="18"/>
                <w:szCs w:val="18"/>
              </w:rPr>
              <w:t>+/-4</w:t>
            </w:r>
          </w:p>
        </w:tc>
      </w:tr>
    </w:tbl>
    <w:p w:rsidR="00904BD7" w:rsidRDefault="00904BD7" w:rsidP="00904BD7">
      <w:pPr>
        <w:widowControl w:val="0"/>
        <w:snapToGrid w:val="0"/>
        <w:spacing w:before="120" w:after="120"/>
        <w:jc w:val="both"/>
      </w:pPr>
    </w:p>
    <w:p w:rsidR="00904BD7" w:rsidRDefault="00904BD7" w:rsidP="00904BD7">
      <w:pPr>
        <w:pStyle w:val="Default"/>
        <w:ind w:firstLine="709"/>
        <w:jc w:val="both"/>
        <w:rPr>
          <w:bCs/>
          <w:sz w:val="20"/>
          <w:szCs w:val="20"/>
        </w:rPr>
      </w:pPr>
      <w:r>
        <w:rPr>
          <w:bCs/>
          <w:sz w:val="20"/>
          <w:szCs w:val="20"/>
        </w:rPr>
        <w:t>Metody badań podane w Tablicy 2 opisane są w Raporcie Technicznym Europejskiej Organizacji Aprobat Technicznych EOTA nr TR41 z października 2012.</w:t>
      </w:r>
    </w:p>
    <w:p w:rsidR="00904BD7" w:rsidRDefault="00904BD7" w:rsidP="00904BD7">
      <w:pPr>
        <w:pStyle w:val="Default"/>
        <w:ind w:firstLine="709"/>
        <w:jc w:val="both"/>
        <w:rPr>
          <w:bCs/>
          <w:sz w:val="20"/>
          <w:szCs w:val="20"/>
        </w:rPr>
      </w:pPr>
      <w:r>
        <w:rPr>
          <w:bCs/>
          <w:sz w:val="20"/>
          <w:szCs w:val="20"/>
        </w:rPr>
        <w:t>W związku z tym, że wymagania dla funkcji stabilizacyjnej geosyntetyku nie są objęte normami zharmonizowanymi, wymagane jest, aby georuszt zastosowany do wykonania warstwy ulepszonego podłoża z kruszywa stabilizowanego georusztem posiadał Europejską Ocenę Techniczną (ETA), wydaną na podstawie Europejskiego Dokumentu Oceny (EAD) 080002-00-0102 (wydanie 04-2016), potwierdzającą możliwość jego zastosowania w funkcji stabilizacyjnej. Wyrób dostarczony na budowę powinien posiadać oznakowanie CE.</w:t>
      </w:r>
    </w:p>
    <w:p w:rsidR="00904BD7" w:rsidRDefault="00904BD7" w:rsidP="00904BD7">
      <w:pPr>
        <w:pStyle w:val="Default"/>
        <w:ind w:firstLine="709"/>
        <w:jc w:val="both"/>
        <w:rPr>
          <w:bCs/>
          <w:sz w:val="20"/>
          <w:szCs w:val="20"/>
        </w:rPr>
      </w:pPr>
    </w:p>
    <w:p w:rsidR="00904BD7" w:rsidRDefault="00904BD7" w:rsidP="00904BD7">
      <w:pPr>
        <w:autoSpaceDE w:val="0"/>
        <w:autoSpaceDN w:val="0"/>
        <w:adjustRightInd w:val="0"/>
        <w:jc w:val="both"/>
        <w:rPr>
          <w:rFonts w:cs="Calibri"/>
          <w:b/>
          <w:bCs/>
          <w:color w:val="000000"/>
        </w:rPr>
      </w:pPr>
      <w:r>
        <w:rPr>
          <w:rFonts w:cs="Calibri"/>
          <w:b/>
          <w:bCs/>
          <w:color w:val="000000"/>
        </w:rPr>
        <w:t>Rozwiązania równoważne</w:t>
      </w:r>
    </w:p>
    <w:p w:rsidR="00904BD7" w:rsidRPr="00454AE9" w:rsidRDefault="00904BD7" w:rsidP="00904BD7">
      <w:pPr>
        <w:autoSpaceDE w:val="0"/>
        <w:autoSpaceDN w:val="0"/>
        <w:ind w:firstLine="709"/>
        <w:jc w:val="both"/>
        <w:rPr>
          <w:rFonts w:cs="Calibri"/>
          <w:bCs/>
          <w:color w:val="000000"/>
        </w:rPr>
      </w:pPr>
      <w:r w:rsidRPr="00454AE9">
        <w:rPr>
          <w:rFonts w:cs="Calibri"/>
          <w:bCs/>
          <w:color w:val="000000"/>
        </w:rPr>
        <w:t>Zgodnie z art. 29 ust. 2 ustawy „Prawo zamówień publicznych” Zamawiający dopuszcza stosowanie rozwiązań równoważnych</w:t>
      </w:r>
      <w:r>
        <w:rPr>
          <w:rFonts w:cs="Calibri"/>
          <w:bCs/>
          <w:color w:val="000000"/>
        </w:rPr>
        <w:t xml:space="preserve"> opisanych poniżej</w:t>
      </w:r>
      <w:r w:rsidRPr="00454AE9">
        <w:rPr>
          <w:rFonts w:cs="Calibri"/>
          <w:bCs/>
          <w:color w:val="000000"/>
        </w:rPr>
        <w:t>.Rozwiązaniem równoważnym dla niniejszego zadania jest zastosowanie georusztów dwuosiowych w funkcji zbrojeniowej, spełniających następujące wymagania:</w:t>
      </w:r>
    </w:p>
    <w:p w:rsidR="00904BD7" w:rsidRPr="00702855" w:rsidRDefault="00904BD7" w:rsidP="0097494B">
      <w:pPr>
        <w:numPr>
          <w:ilvl w:val="0"/>
          <w:numId w:val="83"/>
        </w:numPr>
        <w:tabs>
          <w:tab w:val="clear" w:pos="1429"/>
          <w:tab w:val="num" w:pos="284"/>
        </w:tabs>
        <w:ind w:left="284" w:hanging="284"/>
        <w:jc w:val="both"/>
        <w:rPr>
          <w:rFonts w:cs="Calibri"/>
          <w:bCs/>
          <w:color w:val="000000"/>
        </w:rPr>
      </w:pPr>
      <w:r w:rsidRPr="00702855">
        <w:rPr>
          <w:rFonts w:cs="Calibri"/>
          <w:bCs/>
          <w:color w:val="000000"/>
        </w:rPr>
        <w:t>Georuszty o sztywnych węzłach powinny być wyprodukowane z pasma polipropylenu. Węzły georusztów powinny być sztywne i stanowić integralny element struktury georusztów. Oczka georusztów powinny być sztywne, tj. zachowywać kształt po przyłożeniu siły ukośnej w stosunku do kierunku produkcji georusztów. Nie dopuszcza się stosowania geosiatek/georusztów o węzłach przeplatanych, zgrzewanych, klejonych itp.</w:t>
      </w:r>
    </w:p>
    <w:p w:rsidR="00904BD7" w:rsidRPr="00702855" w:rsidRDefault="00904BD7" w:rsidP="0097494B">
      <w:pPr>
        <w:numPr>
          <w:ilvl w:val="0"/>
          <w:numId w:val="83"/>
        </w:numPr>
        <w:tabs>
          <w:tab w:val="clear" w:pos="1429"/>
          <w:tab w:val="num" w:pos="284"/>
        </w:tabs>
        <w:ind w:left="284" w:hanging="284"/>
        <w:jc w:val="both"/>
        <w:rPr>
          <w:rFonts w:cs="Calibri"/>
          <w:bCs/>
          <w:color w:val="000000"/>
        </w:rPr>
      </w:pPr>
      <w:r w:rsidRPr="00702855">
        <w:rPr>
          <w:rFonts w:cs="Calibri"/>
          <w:bCs/>
          <w:color w:val="000000"/>
        </w:rPr>
        <w:t>Georuszty powinny być odporne na związki chemiczne naturalnie występujące w gruncie oraz rozpuszczalniki w temperaturze otoczenia. Nie powinny być wrażliwe na hydrolizę, powinny być odporne na działanie wodnych roztworów soli, kwasów i zasad oraz nie podlega biodegradacji. Polimer tworzący georuszty powinien być odporny na działanie promieniowania ultrafioletowego.</w:t>
      </w:r>
    </w:p>
    <w:p w:rsidR="00904BD7" w:rsidRDefault="00904BD7" w:rsidP="0097494B">
      <w:pPr>
        <w:numPr>
          <w:ilvl w:val="0"/>
          <w:numId w:val="83"/>
        </w:numPr>
        <w:tabs>
          <w:tab w:val="clear" w:pos="1429"/>
          <w:tab w:val="num" w:pos="284"/>
        </w:tabs>
        <w:ind w:left="284" w:hanging="284"/>
        <w:jc w:val="both"/>
        <w:rPr>
          <w:rFonts w:cs="Calibri"/>
          <w:bCs/>
          <w:color w:val="000000"/>
        </w:rPr>
      </w:pPr>
      <w:r w:rsidRPr="00702855">
        <w:rPr>
          <w:rFonts w:cs="Calibri"/>
          <w:bCs/>
          <w:color w:val="000000"/>
        </w:rPr>
        <w:t>Właściwości georusztów</w:t>
      </w:r>
      <w:r>
        <w:rPr>
          <w:rFonts w:cs="Calibri"/>
          <w:bCs/>
          <w:color w:val="000000"/>
        </w:rPr>
        <w:t xml:space="preserve"> zostały podane w Tablicy 3</w:t>
      </w:r>
      <w:r w:rsidRPr="00702855">
        <w:rPr>
          <w:rFonts w:cs="Calibri"/>
          <w:bCs/>
          <w:color w:val="000000"/>
        </w:rPr>
        <w:t>.</w:t>
      </w:r>
    </w:p>
    <w:p w:rsidR="00904BD7" w:rsidRDefault="00904BD7" w:rsidP="00904BD7">
      <w:pPr>
        <w:pStyle w:val="Default"/>
        <w:jc w:val="both"/>
        <w:rPr>
          <w:b/>
          <w:bCs/>
          <w:i/>
          <w:sz w:val="18"/>
          <w:szCs w:val="18"/>
        </w:rPr>
      </w:pPr>
    </w:p>
    <w:p w:rsidR="00904BD7" w:rsidRDefault="00904BD7" w:rsidP="00904BD7">
      <w:pPr>
        <w:pStyle w:val="Default"/>
        <w:jc w:val="both"/>
        <w:rPr>
          <w:bCs/>
          <w:i/>
          <w:sz w:val="18"/>
          <w:szCs w:val="18"/>
        </w:rPr>
      </w:pPr>
      <w:r>
        <w:rPr>
          <w:b/>
          <w:bCs/>
          <w:i/>
          <w:sz w:val="18"/>
          <w:szCs w:val="18"/>
        </w:rPr>
        <w:t>Tablica 3</w:t>
      </w:r>
      <w:r w:rsidRPr="00702855">
        <w:rPr>
          <w:b/>
          <w:bCs/>
          <w:i/>
          <w:sz w:val="18"/>
          <w:szCs w:val="18"/>
        </w:rPr>
        <w:t>.</w:t>
      </w:r>
      <w:r w:rsidRPr="00702855">
        <w:rPr>
          <w:bCs/>
          <w:i/>
          <w:sz w:val="18"/>
          <w:szCs w:val="18"/>
        </w:rPr>
        <w:t xml:space="preserve">  Właściwości georusztów dwuosiowych.</w:t>
      </w:r>
    </w:p>
    <w:tbl>
      <w:tblPr>
        <w:tblW w:w="7867" w:type="dxa"/>
        <w:jc w:val="center"/>
        <w:tblBorders>
          <w:top w:val="single" w:sz="2" w:space="0" w:color="auto"/>
          <w:left w:val="single" w:sz="2" w:space="0" w:color="auto"/>
          <w:bottom w:val="single" w:sz="2" w:space="0" w:color="auto"/>
          <w:right w:val="single" w:sz="2" w:space="0" w:color="auto"/>
          <w:insideH w:val="single" w:sz="2" w:space="0" w:color="auto"/>
          <w:insideV w:val="single" w:sz="6" w:space="0" w:color="auto"/>
        </w:tblBorders>
        <w:tblLayout w:type="fixed"/>
        <w:tblCellMar>
          <w:left w:w="70" w:type="dxa"/>
          <w:right w:w="70" w:type="dxa"/>
        </w:tblCellMar>
        <w:tblLook w:val="0000" w:firstRow="0" w:lastRow="0" w:firstColumn="0" w:lastColumn="0" w:noHBand="0" w:noVBand="0"/>
      </w:tblPr>
      <w:tblGrid>
        <w:gridCol w:w="496"/>
        <w:gridCol w:w="4252"/>
        <w:gridCol w:w="1701"/>
        <w:gridCol w:w="1418"/>
      </w:tblGrid>
      <w:tr w:rsidR="00904BD7" w:rsidRPr="00702855" w:rsidTr="00904BD7">
        <w:trPr>
          <w:trHeight w:val="570"/>
          <w:jc w:val="center"/>
        </w:trPr>
        <w:tc>
          <w:tcPr>
            <w:tcW w:w="496" w:type="dxa"/>
            <w:vAlign w:val="center"/>
          </w:tcPr>
          <w:p w:rsidR="00904BD7" w:rsidRPr="00702855" w:rsidRDefault="00904BD7" w:rsidP="00904BD7">
            <w:pPr>
              <w:pStyle w:val="Default"/>
              <w:jc w:val="center"/>
              <w:rPr>
                <w:bCs/>
                <w:sz w:val="18"/>
                <w:szCs w:val="18"/>
              </w:rPr>
            </w:pPr>
            <w:r>
              <w:rPr>
                <w:bCs/>
                <w:sz w:val="18"/>
                <w:szCs w:val="18"/>
              </w:rPr>
              <w:t>L.P.</w:t>
            </w:r>
          </w:p>
        </w:tc>
        <w:tc>
          <w:tcPr>
            <w:tcW w:w="4252" w:type="dxa"/>
            <w:vAlign w:val="center"/>
          </w:tcPr>
          <w:p w:rsidR="00904BD7" w:rsidRPr="00702855" w:rsidRDefault="00904BD7" w:rsidP="00904BD7">
            <w:pPr>
              <w:pStyle w:val="Default"/>
              <w:jc w:val="center"/>
              <w:rPr>
                <w:bCs/>
                <w:sz w:val="18"/>
                <w:szCs w:val="18"/>
              </w:rPr>
            </w:pPr>
            <w:r w:rsidRPr="00702855">
              <w:rPr>
                <w:bCs/>
                <w:sz w:val="18"/>
                <w:szCs w:val="18"/>
              </w:rPr>
              <w:t>Parametr</w:t>
            </w:r>
          </w:p>
        </w:tc>
        <w:tc>
          <w:tcPr>
            <w:tcW w:w="1701" w:type="dxa"/>
            <w:vAlign w:val="center"/>
          </w:tcPr>
          <w:p w:rsidR="00904BD7" w:rsidRPr="00702855" w:rsidRDefault="00904BD7" w:rsidP="00904BD7">
            <w:pPr>
              <w:pStyle w:val="Default"/>
              <w:jc w:val="center"/>
              <w:rPr>
                <w:bCs/>
                <w:sz w:val="18"/>
                <w:szCs w:val="18"/>
              </w:rPr>
            </w:pPr>
            <w:r w:rsidRPr="00702855">
              <w:rPr>
                <w:bCs/>
                <w:sz w:val="18"/>
                <w:szCs w:val="18"/>
              </w:rPr>
              <w:t>Wartość/Rodzaj</w:t>
            </w:r>
          </w:p>
        </w:tc>
        <w:tc>
          <w:tcPr>
            <w:tcW w:w="1418" w:type="dxa"/>
            <w:vAlign w:val="center"/>
          </w:tcPr>
          <w:p w:rsidR="00904BD7" w:rsidRPr="00702855" w:rsidRDefault="00904BD7" w:rsidP="00904BD7">
            <w:pPr>
              <w:pStyle w:val="Default"/>
              <w:jc w:val="center"/>
              <w:rPr>
                <w:bCs/>
                <w:sz w:val="18"/>
                <w:szCs w:val="18"/>
              </w:rPr>
            </w:pPr>
            <w:r w:rsidRPr="00702855">
              <w:rPr>
                <w:bCs/>
                <w:sz w:val="18"/>
                <w:szCs w:val="18"/>
              </w:rPr>
              <w:t>Metoda badania</w:t>
            </w:r>
          </w:p>
        </w:tc>
      </w:tr>
      <w:tr w:rsidR="00904BD7" w:rsidRPr="00702855" w:rsidTr="00904BD7">
        <w:trPr>
          <w:trHeight w:val="397"/>
          <w:jc w:val="center"/>
        </w:trPr>
        <w:tc>
          <w:tcPr>
            <w:tcW w:w="496" w:type="dxa"/>
            <w:vAlign w:val="center"/>
          </w:tcPr>
          <w:p w:rsidR="00904BD7" w:rsidRPr="00702855" w:rsidRDefault="00904BD7" w:rsidP="00904BD7">
            <w:pPr>
              <w:pStyle w:val="Default"/>
              <w:jc w:val="center"/>
              <w:rPr>
                <w:bCs/>
                <w:sz w:val="18"/>
                <w:szCs w:val="18"/>
              </w:rPr>
            </w:pPr>
            <w:r>
              <w:rPr>
                <w:bCs/>
                <w:sz w:val="18"/>
                <w:szCs w:val="18"/>
              </w:rPr>
              <w:t>1</w:t>
            </w:r>
          </w:p>
        </w:tc>
        <w:tc>
          <w:tcPr>
            <w:tcW w:w="4252" w:type="dxa"/>
            <w:vAlign w:val="center"/>
          </w:tcPr>
          <w:p w:rsidR="00904BD7" w:rsidRPr="00702855" w:rsidRDefault="00904BD7" w:rsidP="00904BD7">
            <w:pPr>
              <w:pStyle w:val="Default"/>
              <w:rPr>
                <w:bCs/>
                <w:sz w:val="18"/>
                <w:szCs w:val="18"/>
              </w:rPr>
            </w:pPr>
            <w:r w:rsidRPr="00702855">
              <w:rPr>
                <w:bCs/>
                <w:sz w:val="18"/>
                <w:szCs w:val="18"/>
              </w:rPr>
              <w:t>Polimer</w:t>
            </w:r>
          </w:p>
        </w:tc>
        <w:tc>
          <w:tcPr>
            <w:tcW w:w="1701" w:type="dxa"/>
            <w:vAlign w:val="center"/>
          </w:tcPr>
          <w:p w:rsidR="00904BD7" w:rsidRPr="00702855" w:rsidRDefault="00904BD7" w:rsidP="00904BD7">
            <w:pPr>
              <w:pStyle w:val="Default"/>
              <w:jc w:val="center"/>
              <w:rPr>
                <w:bCs/>
                <w:sz w:val="18"/>
                <w:szCs w:val="18"/>
              </w:rPr>
            </w:pPr>
            <w:r w:rsidRPr="00702855">
              <w:rPr>
                <w:bCs/>
                <w:sz w:val="18"/>
                <w:szCs w:val="18"/>
              </w:rPr>
              <w:t>Polipropylen</w:t>
            </w:r>
          </w:p>
        </w:tc>
        <w:tc>
          <w:tcPr>
            <w:tcW w:w="1418" w:type="dxa"/>
            <w:vAlign w:val="center"/>
          </w:tcPr>
          <w:p w:rsidR="00904BD7" w:rsidRPr="00702855" w:rsidRDefault="00904BD7" w:rsidP="00904BD7">
            <w:pPr>
              <w:pStyle w:val="Default"/>
              <w:jc w:val="center"/>
              <w:rPr>
                <w:bCs/>
                <w:sz w:val="18"/>
                <w:szCs w:val="18"/>
              </w:rPr>
            </w:pPr>
            <w:r w:rsidRPr="00702855">
              <w:rPr>
                <w:bCs/>
                <w:sz w:val="18"/>
                <w:szCs w:val="18"/>
              </w:rPr>
              <w:t>–</w:t>
            </w:r>
          </w:p>
        </w:tc>
      </w:tr>
      <w:tr w:rsidR="00904BD7" w:rsidRPr="00702855" w:rsidTr="00904BD7">
        <w:trPr>
          <w:jc w:val="center"/>
        </w:trPr>
        <w:tc>
          <w:tcPr>
            <w:tcW w:w="496" w:type="dxa"/>
            <w:vAlign w:val="center"/>
          </w:tcPr>
          <w:p w:rsidR="00904BD7" w:rsidRPr="00702855" w:rsidRDefault="00904BD7" w:rsidP="00904BD7">
            <w:pPr>
              <w:pStyle w:val="Default"/>
              <w:jc w:val="center"/>
              <w:rPr>
                <w:bCs/>
                <w:sz w:val="18"/>
                <w:szCs w:val="18"/>
              </w:rPr>
            </w:pPr>
            <w:r>
              <w:rPr>
                <w:bCs/>
                <w:sz w:val="18"/>
                <w:szCs w:val="18"/>
              </w:rPr>
              <w:t>2</w:t>
            </w:r>
          </w:p>
        </w:tc>
        <w:tc>
          <w:tcPr>
            <w:tcW w:w="4252" w:type="dxa"/>
            <w:vAlign w:val="center"/>
          </w:tcPr>
          <w:p w:rsidR="00904BD7" w:rsidRPr="00702855" w:rsidRDefault="00904BD7" w:rsidP="00904BD7">
            <w:pPr>
              <w:pStyle w:val="Default"/>
              <w:jc w:val="both"/>
              <w:rPr>
                <w:bCs/>
                <w:sz w:val="18"/>
                <w:szCs w:val="18"/>
              </w:rPr>
            </w:pPr>
            <w:r w:rsidRPr="00702855">
              <w:rPr>
                <w:bCs/>
                <w:sz w:val="18"/>
                <w:szCs w:val="18"/>
              </w:rPr>
              <w:t>Wytrzymałość na rozciąganie, nie mniej niż [kN/m]</w:t>
            </w:r>
            <w:r>
              <w:rPr>
                <w:bCs/>
                <w:sz w:val="18"/>
                <w:szCs w:val="18"/>
              </w:rPr>
              <w:t>:</w:t>
            </w:r>
          </w:p>
          <w:p w:rsidR="00904BD7" w:rsidRPr="00702855" w:rsidRDefault="00904BD7" w:rsidP="00904BD7">
            <w:pPr>
              <w:pStyle w:val="Default"/>
              <w:jc w:val="both"/>
              <w:rPr>
                <w:bCs/>
                <w:sz w:val="18"/>
                <w:szCs w:val="18"/>
              </w:rPr>
            </w:pPr>
            <w:r>
              <w:rPr>
                <w:bCs/>
                <w:sz w:val="18"/>
                <w:szCs w:val="18"/>
              </w:rPr>
              <w:t xml:space="preserve">- </w:t>
            </w:r>
            <w:r w:rsidRPr="00702855">
              <w:rPr>
                <w:bCs/>
                <w:sz w:val="18"/>
                <w:szCs w:val="18"/>
              </w:rPr>
              <w:t>wzdłuż pasma</w:t>
            </w:r>
          </w:p>
          <w:p w:rsidR="00904BD7" w:rsidRPr="00702855" w:rsidRDefault="00904BD7" w:rsidP="00904BD7">
            <w:pPr>
              <w:pStyle w:val="Default"/>
              <w:rPr>
                <w:bCs/>
                <w:sz w:val="18"/>
                <w:szCs w:val="18"/>
              </w:rPr>
            </w:pPr>
            <w:r>
              <w:rPr>
                <w:bCs/>
                <w:sz w:val="18"/>
                <w:szCs w:val="18"/>
              </w:rPr>
              <w:t xml:space="preserve">- </w:t>
            </w:r>
            <w:r w:rsidRPr="00702855">
              <w:rPr>
                <w:bCs/>
                <w:sz w:val="18"/>
                <w:szCs w:val="18"/>
              </w:rPr>
              <w:t>w poprzek pasma</w:t>
            </w:r>
          </w:p>
        </w:tc>
        <w:tc>
          <w:tcPr>
            <w:tcW w:w="1701" w:type="dxa"/>
            <w:vAlign w:val="center"/>
          </w:tcPr>
          <w:p w:rsidR="00904BD7" w:rsidRPr="00702855" w:rsidRDefault="00904BD7" w:rsidP="00904BD7">
            <w:pPr>
              <w:pStyle w:val="Default"/>
              <w:rPr>
                <w:bCs/>
                <w:sz w:val="18"/>
                <w:szCs w:val="18"/>
              </w:rPr>
            </w:pPr>
          </w:p>
          <w:p w:rsidR="00904BD7" w:rsidRPr="00702855" w:rsidRDefault="00904BD7" w:rsidP="00904BD7">
            <w:pPr>
              <w:pStyle w:val="Default"/>
              <w:jc w:val="center"/>
              <w:rPr>
                <w:bCs/>
                <w:sz w:val="18"/>
                <w:szCs w:val="18"/>
              </w:rPr>
            </w:pPr>
            <w:r w:rsidRPr="00702855">
              <w:rPr>
                <w:bCs/>
                <w:sz w:val="18"/>
                <w:szCs w:val="18"/>
              </w:rPr>
              <w:t>40</w:t>
            </w:r>
          </w:p>
          <w:p w:rsidR="00904BD7" w:rsidRPr="00702855" w:rsidRDefault="00904BD7" w:rsidP="00904BD7">
            <w:pPr>
              <w:pStyle w:val="Default"/>
              <w:jc w:val="center"/>
              <w:rPr>
                <w:bCs/>
                <w:sz w:val="18"/>
                <w:szCs w:val="18"/>
              </w:rPr>
            </w:pPr>
            <w:r w:rsidRPr="00702855">
              <w:rPr>
                <w:bCs/>
                <w:sz w:val="18"/>
                <w:szCs w:val="18"/>
              </w:rPr>
              <w:t>40</w:t>
            </w:r>
          </w:p>
        </w:tc>
        <w:tc>
          <w:tcPr>
            <w:tcW w:w="1418" w:type="dxa"/>
            <w:vAlign w:val="center"/>
          </w:tcPr>
          <w:p w:rsidR="00904BD7" w:rsidRPr="00702855" w:rsidRDefault="00904BD7" w:rsidP="00904BD7">
            <w:pPr>
              <w:pStyle w:val="Default"/>
              <w:jc w:val="center"/>
              <w:rPr>
                <w:bCs/>
                <w:sz w:val="18"/>
                <w:szCs w:val="18"/>
              </w:rPr>
            </w:pPr>
            <w:r w:rsidRPr="00702855">
              <w:rPr>
                <w:bCs/>
                <w:sz w:val="18"/>
                <w:szCs w:val="18"/>
              </w:rPr>
              <w:t>EN ISO 10319</w:t>
            </w:r>
          </w:p>
        </w:tc>
      </w:tr>
      <w:tr w:rsidR="00904BD7" w:rsidRPr="00454AE9" w:rsidTr="00904BD7">
        <w:trPr>
          <w:jc w:val="center"/>
        </w:trPr>
        <w:tc>
          <w:tcPr>
            <w:tcW w:w="496" w:type="dxa"/>
            <w:vAlign w:val="center"/>
          </w:tcPr>
          <w:p w:rsidR="00904BD7" w:rsidRPr="00702855" w:rsidRDefault="00904BD7" w:rsidP="00904BD7">
            <w:pPr>
              <w:pStyle w:val="Default"/>
              <w:jc w:val="center"/>
              <w:rPr>
                <w:bCs/>
                <w:sz w:val="18"/>
                <w:szCs w:val="18"/>
              </w:rPr>
            </w:pPr>
            <w:r>
              <w:rPr>
                <w:bCs/>
                <w:sz w:val="18"/>
                <w:szCs w:val="18"/>
              </w:rPr>
              <w:t>3</w:t>
            </w:r>
          </w:p>
        </w:tc>
        <w:tc>
          <w:tcPr>
            <w:tcW w:w="4252" w:type="dxa"/>
            <w:vAlign w:val="center"/>
          </w:tcPr>
          <w:p w:rsidR="00904BD7" w:rsidRDefault="00904BD7" w:rsidP="00904BD7">
            <w:pPr>
              <w:pStyle w:val="Default"/>
              <w:rPr>
                <w:bCs/>
                <w:sz w:val="18"/>
                <w:szCs w:val="18"/>
              </w:rPr>
            </w:pPr>
            <w:r>
              <w:rPr>
                <w:bCs/>
                <w:sz w:val="18"/>
                <w:szCs w:val="18"/>
              </w:rPr>
              <w:t>Odkształcenie przy zerwaniu, nie więcej niż [%]:</w:t>
            </w:r>
          </w:p>
          <w:p w:rsidR="00904BD7" w:rsidRPr="00702855" w:rsidRDefault="00904BD7" w:rsidP="00904BD7">
            <w:pPr>
              <w:pStyle w:val="Default"/>
              <w:rPr>
                <w:bCs/>
                <w:sz w:val="18"/>
                <w:szCs w:val="18"/>
              </w:rPr>
            </w:pPr>
            <w:r>
              <w:rPr>
                <w:bCs/>
                <w:sz w:val="18"/>
                <w:szCs w:val="18"/>
              </w:rPr>
              <w:t>- w obu kierunkach:</w:t>
            </w:r>
          </w:p>
        </w:tc>
        <w:tc>
          <w:tcPr>
            <w:tcW w:w="1701" w:type="dxa"/>
            <w:vAlign w:val="center"/>
          </w:tcPr>
          <w:p w:rsidR="00904BD7" w:rsidRPr="00702855" w:rsidRDefault="00904BD7" w:rsidP="00904BD7">
            <w:pPr>
              <w:pStyle w:val="Default"/>
              <w:jc w:val="center"/>
              <w:rPr>
                <w:bCs/>
                <w:sz w:val="18"/>
                <w:szCs w:val="18"/>
              </w:rPr>
            </w:pPr>
          </w:p>
          <w:p w:rsidR="00904BD7" w:rsidRPr="00702855" w:rsidRDefault="00904BD7" w:rsidP="00904BD7">
            <w:pPr>
              <w:pStyle w:val="Default"/>
              <w:jc w:val="center"/>
              <w:rPr>
                <w:bCs/>
                <w:sz w:val="18"/>
                <w:szCs w:val="18"/>
              </w:rPr>
            </w:pPr>
            <w:r>
              <w:rPr>
                <w:bCs/>
                <w:sz w:val="18"/>
                <w:szCs w:val="18"/>
              </w:rPr>
              <w:t>12</w:t>
            </w:r>
          </w:p>
        </w:tc>
        <w:tc>
          <w:tcPr>
            <w:tcW w:w="1418" w:type="dxa"/>
            <w:vAlign w:val="center"/>
          </w:tcPr>
          <w:p w:rsidR="00904BD7" w:rsidRPr="00702855" w:rsidRDefault="00904BD7" w:rsidP="00904BD7">
            <w:pPr>
              <w:pStyle w:val="Default"/>
              <w:jc w:val="center"/>
              <w:rPr>
                <w:bCs/>
                <w:sz w:val="18"/>
                <w:szCs w:val="18"/>
              </w:rPr>
            </w:pPr>
            <w:r w:rsidRPr="00702855">
              <w:rPr>
                <w:bCs/>
                <w:sz w:val="18"/>
                <w:szCs w:val="18"/>
              </w:rPr>
              <w:t>EN ISO 10319</w:t>
            </w:r>
          </w:p>
        </w:tc>
      </w:tr>
    </w:tbl>
    <w:p w:rsidR="00904BD7" w:rsidRDefault="00904BD7" w:rsidP="00904BD7">
      <w:pPr>
        <w:autoSpaceDE w:val="0"/>
        <w:autoSpaceDN w:val="0"/>
        <w:adjustRightInd w:val="0"/>
        <w:jc w:val="both"/>
        <w:rPr>
          <w:rFonts w:cs="Calibri"/>
          <w:bCs/>
          <w:color w:val="000000"/>
        </w:rPr>
      </w:pPr>
    </w:p>
    <w:p w:rsidR="00904BD7" w:rsidRPr="00561AEC" w:rsidRDefault="00904BD7" w:rsidP="00904BD7">
      <w:pPr>
        <w:autoSpaceDE w:val="0"/>
        <w:autoSpaceDN w:val="0"/>
        <w:adjustRightInd w:val="0"/>
        <w:jc w:val="both"/>
        <w:rPr>
          <w:rFonts w:cs="Calibri"/>
          <w:bCs/>
          <w:color w:val="000000"/>
        </w:rPr>
      </w:pPr>
      <w:r w:rsidRPr="007A21C4">
        <w:rPr>
          <w:rFonts w:cs="Calibri"/>
          <w:bCs/>
          <w:color w:val="000000"/>
        </w:rPr>
        <w:t xml:space="preserve">W przypadku zastosowania georusztów dwuosiowych grubość </w:t>
      </w:r>
      <w:r w:rsidRPr="00804E16">
        <w:rPr>
          <w:rFonts w:cs="Calibri"/>
          <w:b/>
          <w:bCs/>
          <w:color w:val="000000"/>
        </w:rPr>
        <w:t xml:space="preserve">warstwy mieszanki niezwiązanej </w:t>
      </w:r>
      <w:r>
        <w:rPr>
          <w:rFonts w:cs="Calibri"/>
          <w:b/>
          <w:bCs/>
          <w:color w:val="000000"/>
        </w:rPr>
        <w:t>C</w:t>
      </w:r>
      <w:r>
        <w:rPr>
          <w:rFonts w:cs="Calibri"/>
          <w:b/>
          <w:bCs/>
          <w:color w:val="000000"/>
          <w:sz w:val="16"/>
        </w:rPr>
        <w:t>50/30</w:t>
      </w:r>
      <w:r>
        <w:rPr>
          <w:rFonts w:cs="Calibri"/>
          <w:b/>
          <w:bCs/>
          <w:color w:val="000000"/>
        </w:rPr>
        <w:t xml:space="preserve">0/31,5 </w:t>
      </w:r>
      <w:r w:rsidRPr="007A21C4">
        <w:rPr>
          <w:rFonts w:cs="Calibri"/>
          <w:bCs/>
          <w:color w:val="000000"/>
        </w:rPr>
        <w:t>należy zwiększyć o 10 cm.</w:t>
      </w:r>
    </w:p>
    <w:p w:rsidR="00904BD7" w:rsidRDefault="00904BD7" w:rsidP="00904BD7">
      <w:pPr>
        <w:widowControl w:val="0"/>
        <w:snapToGrid w:val="0"/>
        <w:spacing w:before="120" w:after="120"/>
        <w:jc w:val="both"/>
        <w:rPr>
          <w:b/>
          <w:noProof/>
          <w:u w:val="single"/>
        </w:rPr>
      </w:pPr>
      <w:r w:rsidRPr="009B6525">
        <w:rPr>
          <w:b/>
          <w:noProof/>
          <w:u w:val="single"/>
        </w:rPr>
        <w:t>3. SPRZĘT</w:t>
      </w:r>
    </w:p>
    <w:p w:rsidR="00904BD7" w:rsidRDefault="00904BD7" w:rsidP="00904BD7">
      <w:pPr>
        <w:pStyle w:val="Default"/>
        <w:jc w:val="both"/>
        <w:rPr>
          <w:sz w:val="20"/>
          <w:szCs w:val="20"/>
        </w:rPr>
      </w:pPr>
      <w:r>
        <w:rPr>
          <w:b/>
          <w:bCs/>
          <w:sz w:val="20"/>
          <w:szCs w:val="20"/>
        </w:rPr>
        <w:t xml:space="preserve">3.1. Ogólne wymagania dotyczące sprzętu </w:t>
      </w:r>
    </w:p>
    <w:p w:rsidR="00904BD7" w:rsidRDefault="00904BD7" w:rsidP="00904BD7">
      <w:pPr>
        <w:widowControl w:val="0"/>
        <w:snapToGrid w:val="0"/>
        <w:spacing w:before="120" w:after="120"/>
        <w:jc w:val="both"/>
        <w:rPr>
          <w:b/>
          <w:noProof/>
          <w:u w:val="single"/>
        </w:rPr>
      </w:pPr>
      <w:r>
        <w:t>Ogólne wymagania dotyczące sprzętu podano w ST D-M-00.00.00 „Wymagania ogólne</w:t>
      </w:r>
    </w:p>
    <w:p w:rsidR="00904BD7" w:rsidRDefault="00904BD7" w:rsidP="00904BD7">
      <w:pPr>
        <w:pStyle w:val="Default"/>
        <w:jc w:val="both"/>
        <w:rPr>
          <w:sz w:val="20"/>
          <w:szCs w:val="20"/>
        </w:rPr>
      </w:pPr>
      <w:r>
        <w:rPr>
          <w:b/>
          <w:bCs/>
          <w:sz w:val="20"/>
          <w:szCs w:val="20"/>
        </w:rPr>
        <w:t xml:space="preserve">3.2. Sprzęt do wykonania robót </w:t>
      </w:r>
    </w:p>
    <w:p w:rsidR="00904BD7" w:rsidRDefault="00904BD7" w:rsidP="00904BD7">
      <w:pPr>
        <w:pStyle w:val="Default"/>
        <w:jc w:val="both"/>
        <w:rPr>
          <w:sz w:val="20"/>
          <w:szCs w:val="20"/>
        </w:rPr>
      </w:pPr>
      <w:r>
        <w:rPr>
          <w:sz w:val="20"/>
          <w:szCs w:val="20"/>
        </w:rPr>
        <w:t xml:space="preserve">Wykonawca przystępujący do wykonania warstw z mieszanek niezwiązanych stabilizowanych mechanicznie powinien wykazać się możliwością korzystania z następującego sprzętu: </w:t>
      </w:r>
    </w:p>
    <w:p w:rsidR="00904BD7" w:rsidRDefault="00904BD7" w:rsidP="00904BD7">
      <w:pPr>
        <w:pStyle w:val="Default"/>
        <w:spacing w:after="133"/>
        <w:jc w:val="both"/>
        <w:rPr>
          <w:sz w:val="20"/>
          <w:szCs w:val="20"/>
        </w:rPr>
      </w:pPr>
      <w:r>
        <w:rPr>
          <w:sz w:val="20"/>
          <w:szCs w:val="20"/>
        </w:rPr>
        <w:t xml:space="preserve">a) równiarek albo układarek do rozkładania mieszanki, </w:t>
      </w:r>
    </w:p>
    <w:p w:rsidR="00904BD7" w:rsidRDefault="00904BD7" w:rsidP="00904BD7">
      <w:pPr>
        <w:pStyle w:val="Default"/>
        <w:jc w:val="both"/>
        <w:rPr>
          <w:sz w:val="20"/>
          <w:szCs w:val="20"/>
        </w:rPr>
      </w:pPr>
      <w:r>
        <w:rPr>
          <w:sz w:val="20"/>
          <w:szCs w:val="20"/>
        </w:rPr>
        <w:t xml:space="preserve">b) walców ogumionych i stalowych wibracyjnych lub statycznych do zagęszczania. W miejscach trudno dostępnych powinny być stosowane zagęszczarki płytowe, ubijaki mechaniczne lub małe walce wibracyjne. </w:t>
      </w:r>
    </w:p>
    <w:p w:rsidR="00904BD7" w:rsidRDefault="00904BD7" w:rsidP="00904BD7">
      <w:pPr>
        <w:pStyle w:val="Default"/>
        <w:jc w:val="both"/>
        <w:rPr>
          <w:sz w:val="20"/>
          <w:szCs w:val="20"/>
        </w:rPr>
      </w:pPr>
    </w:p>
    <w:p w:rsidR="00904BD7" w:rsidRDefault="00904BD7" w:rsidP="00904BD7">
      <w:pPr>
        <w:pStyle w:val="Default"/>
        <w:jc w:val="both"/>
        <w:rPr>
          <w:sz w:val="20"/>
          <w:szCs w:val="20"/>
        </w:rPr>
      </w:pPr>
      <w:r>
        <w:rPr>
          <w:sz w:val="20"/>
          <w:szCs w:val="20"/>
        </w:rPr>
        <w:t>c) prostych narzędzi ręcznych – np. noży, sekatorów – do docinania geosyntetyków w razie potrzeby</w:t>
      </w:r>
    </w:p>
    <w:p w:rsidR="00904BD7" w:rsidRPr="00561AEC" w:rsidRDefault="00904BD7" w:rsidP="00904BD7">
      <w:pPr>
        <w:pStyle w:val="Default"/>
        <w:jc w:val="both"/>
        <w:rPr>
          <w:sz w:val="20"/>
          <w:szCs w:val="20"/>
        </w:rPr>
      </w:pPr>
      <w:r>
        <w:rPr>
          <w:sz w:val="20"/>
          <w:szCs w:val="20"/>
        </w:rPr>
        <w:t xml:space="preserve">Stosowany przez Wykonawcę sprzęt powinien być sprawny technicznie i zaakceptowany przez Inżyniera. </w:t>
      </w:r>
    </w:p>
    <w:p w:rsidR="00904BD7" w:rsidRDefault="00904BD7" w:rsidP="00904BD7">
      <w:pPr>
        <w:widowControl w:val="0"/>
        <w:snapToGrid w:val="0"/>
        <w:spacing w:before="120" w:after="120"/>
        <w:jc w:val="both"/>
        <w:rPr>
          <w:b/>
          <w:noProof/>
          <w:u w:val="single"/>
        </w:rPr>
      </w:pPr>
      <w:r w:rsidRPr="009B6525">
        <w:rPr>
          <w:b/>
          <w:noProof/>
          <w:u w:val="single"/>
        </w:rPr>
        <w:t>4. TRANSPORT</w:t>
      </w:r>
    </w:p>
    <w:p w:rsidR="00904BD7" w:rsidRDefault="00904BD7" w:rsidP="00904BD7">
      <w:pPr>
        <w:pStyle w:val="Default"/>
        <w:jc w:val="both"/>
        <w:rPr>
          <w:sz w:val="20"/>
          <w:szCs w:val="20"/>
        </w:rPr>
      </w:pPr>
      <w:r>
        <w:rPr>
          <w:b/>
          <w:bCs/>
          <w:sz w:val="20"/>
          <w:szCs w:val="20"/>
        </w:rPr>
        <w:t xml:space="preserve">4.1. Ogólne wymagania dotyczące transportu </w:t>
      </w:r>
    </w:p>
    <w:p w:rsidR="00904BD7" w:rsidRDefault="00904BD7" w:rsidP="00904BD7">
      <w:pPr>
        <w:pStyle w:val="Default"/>
        <w:ind w:firstLine="709"/>
        <w:jc w:val="both"/>
        <w:rPr>
          <w:sz w:val="20"/>
          <w:szCs w:val="20"/>
        </w:rPr>
      </w:pPr>
      <w:r>
        <w:rPr>
          <w:sz w:val="20"/>
          <w:szCs w:val="20"/>
        </w:rPr>
        <w:t xml:space="preserve">Ogólne wymagania dotyczące transportu podano w ST D-M-00.00.00 „Wymagania ogólne”. </w:t>
      </w:r>
    </w:p>
    <w:p w:rsidR="00904BD7" w:rsidRDefault="00904BD7" w:rsidP="00904BD7">
      <w:pPr>
        <w:pStyle w:val="Default"/>
        <w:jc w:val="both"/>
        <w:rPr>
          <w:sz w:val="20"/>
          <w:szCs w:val="20"/>
        </w:rPr>
      </w:pPr>
    </w:p>
    <w:p w:rsidR="00904BD7" w:rsidRDefault="00904BD7" w:rsidP="00904BD7">
      <w:pPr>
        <w:pStyle w:val="Default"/>
        <w:jc w:val="both"/>
        <w:rPr>
          <w:sz w:val="20"/>
          <w:szCs w:val="20"/>
        </w:rPr>
      </w:pPr>
      <w:r>
        <w:rPr>
          <w:b/>
          <w:bCs/>
          <w:sz w:val="20"/>
          <w:szCs w:val="20"/>
        </w:rPr>
        <w:t xml:space="preserve">4.2. Transport materiałów </w:t>
      </w:r>
    </w:p>
    <w:p w:rsidR="00904BD7" w:rsidRDefault="00904BD7" w:rsidP="00904BD7">
      <w:pPr>
        <w:pStyle w:val="Default"/>
        <w:ind w:firstLine="709"/>
        <w:jc w:val="both"/>
        <w:rPr>
          <w:sz w:val="20"/>
          <w:szCs w:val="20"/>
        </w:rPr>
      </w:pPr>
      <w:r>
        <w:rPr>
          <w:sz w:val="20"/>
          <w:szCs w:val="20"/>
        </w:rPr>
        <w:t xml:space="preserve">Kruszywa można przewozić dowolnymi środkami transportu w warunkach zabezpieczających je przed zanieczyszczeniem, zmieszaniem z innymi materiałami, nadmiernym wysuszeniem i zawilgoceniem. </w:t>
      </w:r>
    </w:p>
    <w:p w:rsidR="00904BD7" w:rsidRDefault="00904BD7" w:rsidP="00904BD7">
      <w:pPr>
        <w:pStyle w:val="Default"/>
        <w:jc w:val="both"/>
        <w:rPr>
          <w:sz w:val="20"/>
          <w:szCs w:val="20"/>
        </w:rPr>
      </w:pPr>
      <w:r>
        <w:rPr>
          <w:sz w:val="20"/>
          <w:szCs w:val="20"/>
        </w:rPr>
        <w:t xml:space="preserve">Wskazany jest transport samowyładowczy (samochody, ciągniki z przyczepami). Przy ruchu po drogach publicznych pojazd musi spełniać wymagania dotyczące przepisów ruchu drogowego w odniesieniu do dopuszczalnych obciążeń na osie i innych parametrów technicznych. </w:t>
      </w:r>
    </w:p>
    <w:p w:rsidR="00904BD7" w:rsidRPr="009E2DEC" w:rsidRDefault="00904BD7" w:rsidP="00904BD7">
      <w:pPr>
        <w:pStyle w:val="Default"/>
        <w:ind w:firstLine="709"/>
        <w:jc w:val="both"/>
        <w:rPr>
          <w:b/>
          <w:bCs/>
          <w:sz w:val="20"/>
          <w:szCs w:val="20"/>
        </w:rPr>
      </w:pPr>
      <w:r>
        <w:rPr>
          <w:sz w:val="20"/>
          <w:szCs w:val="20"/>
        </w:rPr>
        <w:t>Geosyntetyki można przewozić dowolnymi środkami transportu w warunkach zabezpieczających je przed mechanicznym uszkodzeniem.</w:t>
      </w:r>
    </w:p>
    <w:p w:rsidR="00904BD7" w:rsidRDefault="00904BD7" w:rsidP="00904BD7">
      <w:pPr>
        <w:widowControl w:val="0"/>
        <w:snapToGrid w:val="0"/>
        <w:spacing w:before="120" w:after="120"/>
        <w:ind w:right="-5"/>
        <w:rPr>
          <w:b/>
          <w:u w:val="single"/>
        </w:rPr>
      </w:pPr>
      <w:r w:rsidRPr="009B6525">
        <w:rPr>
          <w:b/>
          <w:u w:val="single"/>
        </w:rPr>
        <w:t>5. WYKONANIE ROBÓT</w:t>
      </w:r>
    </w:p>
    <w:p w:rsidR="00904BD7" w:rsidRDefault="00904BD7" w:rsidP="00904BD7">
      <w:pPr>
        <w:pStyle w:val="Default"/>
        <w:jc w:val="both"/>
        <w:rPr>
          <w:sz w:val="20"/>
          <w:szCs w:val="20"/>
        </w:rPr>
      </w:pPr>
      <w:r>
        <w:rPr>
          <w:b/>
          <w:bCs/>
          <w:sz w:val="20"/>
          <w:szCs w:val="20"/>
        </w:rPr>
        <w:t xml:space="preserve">5.1. Ogólne zasady wykonania robót </w:t>
      </w:r>
    </w:p>
    <w:p w:rsidR="00904BD7" w:rsidRDefault="00904BD7" w:rsidP="00904BD7">
      <w:pPr>
        <w:widowControl w:val="0"/>
        <w:snapToGrid w:val="0"/>
        <w:spacing w:before="120" w:after="120"/>
        <w:ind w:right="-5" w:firstLine="709"/>
        <w:rPr>
          <w:b/>
          <w:u w:val="single"/>
        </w:rPr>
      </w:pPr>
      <w:r>
        <w:t>Ogólne zasady wykonania robót podano w ST D-M-00.00.00 „Wymagania ogólne”.</w:t>
      </w:r>
    </w:p>
    <w:p w:rsidR="00904BD7" w:rsidRDefault="00904BD7" w:rsidP="00904BD7">
      <w:pPr>
        <w:widowControl w:val="0"/>
        <w:snapToGrid w:val="0"/>
        <w:spacing w:before="120" w:after="120"/>
        <w:ind w:right="-5"/>
        <w:rPr>
          <w:b/>
          <w:u w:val="single"/>
        </w:rPr>
      </w:pPr>
      <w:r>
        <w:rPr>
          <w:b/>
          <w:bCs/>
        </w:rPr>
        <w:t>5.2. Przygotowanie podłoża</w:t>
      </w:r>
    </w:p>
    <w:p w:rsidR="00904BD7" w:rsidRDefault="00904BD7" w:rsidP="00904BD7">
      <w:pPr>
        <w:pStyle w:val="Default"/>
        <w:ind w:firstLine="709"/>
        <w:jc w:val="both"/>
        <w:rPr>
          <w:sz w:val="20"/>
          <w:szCs w:val="20"/>
        </w:rPr>
      </w:pPr>
      <w:r>
        <w:rPr>
          <w:sz w:val="20"/>
          <w:szCs w:val="20"/>
        </w:rPr>
        <w:t>Podłoże</w:t>
      </w:r>
      <w:r w:rsidRPr="00482642">
        <w:rPr>
          <w:sz w:val="20"/>
          <w:szCs w:val="20"/>
        </w:rPr>
        <w:t xml:space="preserve"> należy wyprofilować do wymaganych rzędnych, spadków i pochyleń, np. z zastosowaniem równiarki lub spycharki, wg odrębnych wymagań.</w:t>
      </w:r>
      <w:r>
        <w:rPr>
          <w:sz w:val="20"/>
          <w:szCs w:val="20"/>
        </w:rPr>
        <w:t xml:space="preserve"> Z podłoża należy usunąć wszelkie elementy mogące uszkodzić geosyntetyki podczas układania: korzenie, wystające kamienie itp.</w:t>
      </w:r>
    </w:p>
    <w:p w:rsidR="00904BD7" w:rsidRDefault="00904BD7" w:rsidP="00904BD7">
      <w:pPr>
        <w:pStyle w:val="Default"/>
        <w:ind w:firstLine="709"/>
        <w:jc w:val="both"/>
        <w:rPr>
          <w:sz w:val="20"/>
          <w:szCs w:val="20"/>
        </w:rPr>
      </w:pPr>
      <w:r>
        <w:rPr>
          <w:sz w:val="20"/>
          <w:szCs w:val="20"/>
        </w:rPr>
        <w:t xml:space="preserve">Na wyprofilowanym podłożu należy sprawdzić czy spełnia ono parametry w zakresie nośnościzałożone przez projektanta. Kontrolę taką należy przeprowadzić w taki sposób, aby nie doprowadzić do uszkodzenia czy skoleinowania niewzmocnionego podłoża. Zalecane jest wykorzystanie lekkiej płyty dynamicznej, należy unikać wprowadzania ciężkich pojazdów dla wykonania badania płytą statyczną. </w:t>
      </w:r>
    </w:p>
    <w:p w:rsidR="00904BD7" w:rsidRDefault="00904BD7" w:rsidP="00904BD7">
      <w:pPr>
        <w:pStyle w:val="Default"/>
        <w:ind w:firstLine="709"/>
        <w:jc w:val="both"/>
        <w:rPr>
          <w:sz w:val="20"/>
          <w:szCs w:val="20"/>
        </w:rPr>
      </w:pPr>
      <w:r w:rsidRPr="003175F2">
        <w:rPr>
          <w:sz w:val="20"/>
          <w:szCs w:val="20"/>
        </w:rPr>
        <w:t xml:space="preserve">W przypadku, jeżeli </w:t>
      </w:r>
      <w:r>
        <w:rPr>
          <w:sz w:val="20"/>
          <w:szCs w:val="20"/>
        </w:rPr>
        <w:t>podłoże będzie miało nośność mniejszą, od założonej przez projektanta</w:t>
      </w:r>
      <w:r w:rsidRPr="003175F2">
        <w:rPr>
          <w:sz w:val="20"/>
          <w:szCs w:val="20"/>
        </w:rPr>
        <w:t xml:space="preserve">, należy </w:t>
      </w:r>
      <w:r>
        <w:rPr>
          <w:sz w:val="20"/>
          <w:szCs w:val="20"/>
        </w:rPr>
        <w:t>zastosować jedną z następujących metod postępowania:</w:t>
      </w:r>
    </w:p>
    <w:p w:rsidR="00904BD7" w:rsidRDefault="00904BD7" w:rsidP="00904BD7">
      <w:pPr>
        <w:pStyle w:val="Default"/>
        <w:ind w:firstLine="709"/>
        <w:jc w:val="both"/>
        <w:rPr>
          <w:sz w:val="20"/>
          <w:szCs w:val="20"/>
        </w:rPr>
      </w:pPr>
    </w:p>
    <w:p w:rsidR="00904BD7" w:rsidRDefault="00904BD7" w:rsidP="00904BD7">
      <w:pPr>
        <w:pStyle w:val="Default"/>
        <w:jc w:val="both"/>
        <w:rPr>
          <w:sz w:val="20"/>
          <w:szCs w:val="20"/>
        </w:rPr>
      </w:pPr>
      <w:r>
        <w:rPr>
          <w:sz w:val="20"/>
          <w:szCs w:val="20"/>
        </w:rPr>
        <w:t>(a): W</w:t>
      </w:r>
      <w:r w:rsidRPr="003175F2">
        <w:rPr>
          <w:sz w:val="20"/>
          <w:szCs w:val="20"/>
        </w:rPr>
        <w:t>ykonać stabilizację gruntu rodzimego metodą „na miejscu” przy pomocy dowolne</w:t>
      </w:r>
      <w:r>
        <w:rPr>
          <w:sz w:val="20"/>
          <w:szCs w:val="20"/>
        </w:rPr>
        <w:t>go spoiwa (wapno, spoiwo drogowe, cement lub popioły lotne</w:t>
      </w:r>
      <w:r w:rsidRPr="003175F2">
        <w:rPr>
          <w:sz w:val="20"/>
          <w:szCs w:val="20"/>
        </w:rPr>
        <w:t>). Rodzaj i ilość spoiwa oraz grubość stabilizow</w:t>
      </w:r>
      <w:r>
        <w:rPr>
          <w:sz w:val="20"/>
          <w:szCs w:val="20"/>
        </w:rPr>
        <w:t>anej warstwy dobierze Wykonawca</w:t>
      </w:r>
      <w:r w:rsidRPr="003175F2">
        <w:rPr>
          <w:sz w:val="20"/>
          <w:szCs w:val="20"/>
        </w:rPr>
        <w:t xml:space="preserve"> w taki sposób, aby możliwe było uzyskanie wymaganych parametrów w podłożu.</w:t>
      </w:r>
    </w:p>
    <w:p w:rsidR="00904BD7" w:rsidRDefault="00904BD7" w:rsidP="00904BD7">
      <w:pPr>
        <w:pStyle w:val="Default"/>
        <w:jc w:val="both"/>
        <w:rPr>
          <w:sz w:val="20"/>
          <w:szCs w:val="20"/>
        </w:rPr>
      </w:pPr>
    </w:p>
    <w:p w:rsidR="00904BD7" w:rsidRDefault="00904BD7" w:rsidP="00904BD7">
      <w:pPr>
        <w:pStyle w:val="Default"/>
        <w:jc w:val="both"/>
        <w:rPr>
          <w:sz w:val="20"/>
          <w:szCs w:val="20"/>
        </w:rPr>
      </w:pPr>
      <w:r>
        <w:rPr>
          <w:sz w:val="20"/>
          <w:szCs w:val="20"/>
        </w:rPr>
        <w:t>Lub</w:t>
      </w:r>
    </w:p>
    <w:p w:rsidR="00904BD7" w:rsidRDefault="00904BD7" w:rsidP="00904BD7">
      <w:pPr>
        <w:pStyle w:val="Default"/>
        <w:jc w:val="both"/>
        <w:rPr>
          <w:sz w:val="20"/>
          <w:szCs w:val="20"/>
        </w:rPr>
      </w:pPr>
    </w:p>
    <w:p w:rsidR="00904BD7" w:rsidRDefault="00904BD7" w:rsidP="00904BD7">
      <w:pPr>
        <w:pStyle w:val="Default"/>
        <w:jc w:val="both"/>
        <w:rPr>
          <w:sz w:val="20"/>
          <w:szCs w:val="20"/>
        </w:rPr>
      </w:pPr>
      <w:r>
        <w:rPr>
          <w:sz w:val="20"/>
          <w:szCs w:val="20"/>
        </w:rPr>
        <w:t>(b): Zwiększyć grubość warstwy mieszanki niezwiązanej stabilizowanej georusztem. Zwiększenie grubości warstwy dobierze Wykonawca w taki sposób, aby zapewnić wymaganą nośność na powierzchni tej warstwy.</w:t>
      </w:r>
    </w:p>
    <w:p w:rsidR="00904BD7" w:rsidRDefault="00904BD7" w:rsidP="00904BD7">
      <w:pPr>
        <w:pStyle w:val="Default"/>
        <w:jc w:val="both"/>
        <w:rPr>
          <w:sz w:val="20"/>
          <w:szCs w:val="20"/>
        </w:rPr>
      </w:pPr>
    </w:p>
    <w:p w:rsidR="00904BD7" w:rsidRDefault="00904BD7" w:rsidP="00904BD7">
      <w:pPr>
        <w:pStyle w:val="Default"/>
        <w:ind w:firstLine="709"/>
        <w:jc w:val="both"/>
        <w:rPr>
          <w:sz w:val="20"/>
          <w:szCs w:val="20"/>
        </w:rPr>
      </w:pPr>
      <w:r>
        <w:rPr>
          <w:sz w:val="20"/>
          <w:szCs w:val="20"/>
        </w:rPr>
        <w:t xml:space="preserve">Paliki lub szpilki do kontroli ukształtowania warstwy kruszywa stabilizowanego georusztem muszą być wcześniej przygotowane, odpowiednio zamocowane i utrzymywane w czasie robót przez Wykonawcę. </w:t>
      </w:r>
    </w:p>
    <w:p w:rsidR="00904BD7" w:rsidRDefault="00904BD7" w:rsidP="00904BD7">
      <w:pPr>
        <w:jc w:val="both"/>
      </w:pPr>
      <w:r>
        <w:t>Rozmieszczenie palików lub szpilek powinno umożliwiać naciągnięcie sznurków lub linek do wytyczenia robót w odstępach nie większych niż co 10 m.</w:t>
      </w:r>
    </w:p>
    <w:p w:rsidR="00904BD7" w:rsidRDefault="00904BD7" w:rsidP="00904BD7">
      <w:pPr>
        <w:jc w:val="both"/>
      </w:pPr>
    </w:p>
    <w:p w:rsidR="00904BD7" w:rsidRDefault="00904BD7" w:rsidP="00904BD7">
      <w:pPr>
        <w:ind w:firstLine="709"/>
        <w:jc w:val="both"/>
      </w:pPr>
      <w:r>
        <w:t>Należy zwrócić szczególną uwagę na odwodnienie przygotowanego podłoża. Nie można dopuścić do nawodnienia podłoża np. wodą opadową. Niedopuszczalne jest pozostawienie przygotowanego podłoża bez jego przykrycia kolejnymi warstwami na dłuższy okres, zwłaszcza kiedy spodziewane są opady. Wykonawca zobowiązany jest zapewnić tymczasowe odwodnienie podłoża na czas prowadzenia  robót.</w:t>
      </w:r>
    </w:p>
    <w:p w:rsidR="00904BD7" w:rsidRDefault="00904BD7" w:rsidP="00904BD7">
      <w:pPr>
        <w:ind w:firstLine="709"/>
        <w:jc w:val="both"/>
      </w:pPr>
    </w:p>
    <w:p w:rsidR="00904BD7" w:rsidRDefault="00904BD7" w:rsidP="00904BD7">
      <w:pPr>
        <w:pStyle w:val="Default"/>
        <w:jc w:val="both"/>
        <w:rPr>
          <w:sz w:val="20"/>
          <w:szCs w:val="20"/>
        </w:rPr>
      </w:pPr>
      <w:r>
        <w:rPr>
          <w:b/>
          <w:bCs/>
          <w:sz w:val="20"/>
          <w:szCs w:val="20"/>
        </w:rPr>
        <w:t xml:space="preserve">5.3. Przygotowanie mieszanki </w:t>
      </w:r>
    </w:p>
    <w:p w:rsidR="00904BD7" w:rsidRDefault="00904BD7" w:rsidP="00904BD7">
      <w:pPr>
        <w:pStyle w:val="Default"/>
        <w:ind w:firstLine="709"/>
        <w:jc w:val="both"/>
        <w:rPr>
          <w:sz w:val="20"/>
          <w:szCs w:val="20"/>
        </w:rPr>
      </w:pPr>
      <w:r>
        <w:rPr>
          <w:sz w:val="20"/>
          <w:szCs w:val="20"/>
        </w:rPr>
        <w:t xml:space="preserve">Wykonawca na podstawie badań laboratoryjnych przygotowuje recepturę na wytworzenie mieszanki. Receptura obejmować będzie ustalenie mieszanych frakcji kruszywa oraz wilgotność optymalną dla mieszanych składników. Sporządzona receptura musi uzyskać akceptację Inżyniera. </w:t>
      </w:r>
    </w:p>
    <w:p w:rsidR="00904BD7" w:rsidRDefault="00904BD7" w:rsidP="00904BD7">
      <w:pPr>
        <w:pStyle w:val="Default"/>
        <w:ind w:firstLine="709"/>
        <w:jc w:val="both"/>
        <w:rPr>
          <w:sz w:val="20"/>
          <w:szCs w:val="20"/>
        </w:rPr>
      </w:pPr>
    </w:p>
    <w:p w:rsidR="00904BD7" w:rsidRDefault="00904BD7" w:rsidP="00904BD7">
      <w:pPr>
        <w:pStyle w:val="Default"/>
        <w:jc w:val="both"/>
        <w:rPr>
          <w:sz w:val="20"/>
          <w:szCs w:val="20"/>
        </w:rPr>
      </w:pPr>
      <w:r>
        <w:rPr>
          <w:b/>
          <w:bCs/>
          <w:sz w:val="20"/>
          <w:szCs w:val="20"/>
        </w:rPr>
        <w:t>5.4. Wytworzenie mieszanki</w:t>
      </w:r>
    </w:p>
    <w:p w:rsidR="00904BD7" w:rsidRDefault="00904BD7" w:rsidP="00904BD7">
      <w:pPr>
        <w:pStyle w:val="Default"/>
        <w:ind w:firstLine="709"/>
        <w:jc w:val="both"/>
        <w:rPr>
          <w:sz w:val="20"/>
          <w:szCs w:val="20"/>
        </w:rPr>
      </w:pPr>
      <w:r>
        <w:rPr>
          <w:sz w:val="20"/>
          <w:szCs w:val="20"/>
        </w:rPr>
        <w:t xml:space="preserve">Wytworzenie mieszanki polegać będzie na wymieszaniu odpowiednich frakcji kruszywa (przewidzianych recepturą) z dodaniem wody, celem uzyskania wilgotności optymalnej dla wytworzonej mieszanki. </w:t>
      </w:r>
    </w:p>
    <w:p w:rsidR="00904BD7" w:rsidRDefault="00904BD7" w:rsidP="00904BD7">
      <w:pPr>
        <w:pStyle w:val="Default"/>
        <w:ind w:firstLine="709"/>
        <w:jc w:val="both"/>
        <w:rPr>
          <w:sz w:val="20"/>
          <w:szCs w:val="20"/>
        </w:rPr>
      </w:pPr>
      <w:r>
        <w:rPr>
          <w:sz w:val="20"/>
          <w:szCs w:val="20"/>
        </w:rPr>
        <w:t>Potrzebną ilość wody dla mieszanki ustala się laboratoryjnie z uwzględnieniem wilgotności naturalnej kruszywa. Nawilżanie mieszanki powinno następować stopniowo w ilości nie większej niż 10 l/m</w:t>
      </w:r>
      <w:r>
        <w:rPr>
          <w:sz w:val="13"/>
          <w:szCs w:val="13"/>
        </w:rPr>
        <w:t xml:space="preserve">3 </w:t>
      </w:r>
      <w:r>
        <w:rPr>
          <w:sz w:val="20"/>
          <w:szCs w:val="20"/>
        </w:rPr>
        <w:t xml:space="preserve">do czasu uzyskania w mieszance wilgotności optymalnej określonej laboratoryjnie. </w:t>
      </w:r>
    </w:p>
    <w:p w:rsidR="00904BD7" w:rsidRDefault="00904BD7" w:rsidP="00904BD7">
      <w:pPr>
        <w:pStyle w:val="Default"/>
        <w:ind w:firstLine="709"/>
        <w:jc w:val="both"/>
        <w:rPr>
          <w:sz w:val="20"/>
          <w:szCs w:val="20"/>
        </w:rPr>
      </w:pPr>
      <w:r>
        <w:rPr>
          <w:sz w:val="20"/>
          <w:szCs w:val="20"/>
        </w:rPr>
        <w:t xml:space="preserve">Mieszanka po wyprodukowaniu powinna być od razu transportowana na miejsce wbudowania w taki sposób, aby nie uległa rozsegregowaniu i wysychaniu. </w:t>
      </w:r>
    </w:p>
    <w:p w:rsidR="00904BD7" w:rsidRDefault="00904BD7" w:rsidP="00904BD7">
      <w:pPr>
        <w:pStyle w:val="Default"/>
        <w:ind w:firstLine="709"/>
        <w:jc w:val="both"/>
        <w:rPr>
          <w:sz w:val="20"/>
          <w:szCs w:val="20"/>
        </w:rPr>
      </w:pPr>
    </w:p>
    <w:p w:rsidR="00904BD7" w:rsidRDefault="00904BD7" w:rsidP="00904BD7">
      <w:pPr>
        <w:pStyle w:val="Default"/>
        <w:jc w:val="both"/>
        <w:rPr>
          <w:b/>
          <w:bCs/>
          <w:sz w:val="20"/>
          <w:szCs w:val="20"/>
        </w:rPr>
      </w:pPr>
      <w:r>
        <w:rPr>
          <w:b/>
          <w:bCs/>
          <w:sz w:val="20"/>
          <w:szCs w:val="20"/>
        </w:rPr>
        <w:t>5.5. Ułożenie geosyntetyków</w:t>
      </w:r>
    </w:p>
    <w:p w:rsidR="00904BD7" w:rsidRDefault="00904BD7" w:rsidP="00904BD7">
      <w:pPr>
        <w:pStyle w:val="Default"/>
        <w:ind w:firstLine="709"/>
        <w:jc w:val="both"/>
        <w:rPr>
          <w:bCs/>
          <w:sz w:val="20"/>
          <w:szCs w:val="20"/>
        </w:rPr>
      </w:pPr>
      <w:r>
        <w:rPr>
          <w:bCs/>
          <w:sz w:val="20"/>
          <w:szCs w:val="20"/>
        </w:rPr>
        <w:t>Bezpośrednio na przygotowanym podłożu należy ułożyć warstwę georusztu trójosiowego. Pomiędzy sąsiednimi i kolejnymi pasmami georusztu należy zachować zakład o szerokości min. 0,4 m. Georuszt trójosiowy można układać zarówno w kierunku podłużnym jak i poprzecznym do osi drogi, pod warunkiem zachowania wymaganych zakładów.</w:t>
      </w:r>
    </w:p>
    <w:p w:rsidR="00904BD7" w:rsidRPr="004D24F6" w:rsidRDefault="00904BD7" w:rsidP="00904BD7">
      <w:pPr>
        <w:pStyle w:val="Default"/>
        <w:ind w:firstLine="709"/>
        <w:jc w:val="both"/>
        <w:rPr>
          <w:bCs/>
          <w:sz w:val="20"/>
          <w:szCs w:val="20"/>
        </w:rPr>
      </w:pPr>
      <w:r>
        <w:rPr>
          <w:bCs/>
          <w:sz w:val="20"/>
          <w:szCs w:val="20"/>
        </w:rPr>
        <w:t>Należy zwrócić uwagę aby zakłady geosyntetyków były zachowane podczas układania kruszywa. Można to zapewnić stosując odpowiednie sposoby na utrzymanie geosyntetyków w niezmienionej pozycji, takie jak tymczasowe szpilki stalowe lub ułożenie niewielkich pryzm kruszywa.</w:t>
      </w:r>
    </w:p>
    <w:p w:rsidR="00904BD7" w:rsidRPr="004D24F6" w:rsidRDefault="00904BD7" w:rsidP="00904BD7">
      <w:pPr>
        <w:pStyle w:val="Default"/>
        <w:ind w:firstLine="709"/>
        <w:jc w:val="both"/>
        <w:rPr>
          <w:bCs/>
          <w:sz w:val="20"/>
          <w:szCs w:val="20"/>
        </w:rPr>
      </w:pPr>
    </w:p>
    <w:p w:rsidR="00904BD7" w:rsidRDefault="00904BD7" w:rsidP="00904BD7">
      <w:pPr>
        <w:pStyle w:val="Default"/>
        <w:jc w:val="both"/>
        <w:rPr>
          <w:sz w:val="20"/>
          <w:szCs w:val="20"/>
        </w:rPr>
      </w:pPr>
      <w:r>
        <w:rPr>
          <w:b/>
          <w:bCs/>
          <w:sz w:val="20"/>
          <w:szCs w:val="20"/>
        </w:rPr>
        <w:t xml:space="preserve">5.6. Wbudowywanie i zagęszczanie mieszanki </w:t>
      </w:r>
    </w:p>
    <w:p w:rsidR="00904BD7" w:rsidRDefault="00904BD7" w:rsidP="00904BD7">
      <w:pPr>
        <w:pStyle w:val="Default"/>
        <w:ind w:firstLine="709"/>
        <w:jc w:val="both"/>
        <w:rPr>
          <w:sz w:val="20"/>
          <w:szCs w:val="20"/>
        </w:rPr>
      </w:pPr>
      <w:r>
        <w:rPr>
          <w:sz w:val="20"/>
          <w:szCs w:val="20"/>
        </w:rPr>
        <w:t xml:space="preserve">Mieszanka kruszywa powinna być rozkładana w warstwie o jednakowej grubości, takiej, aby jej ostateczna grubość po zagęszczeniu była zgodna z dokumentacją projektową. </w:t>
      </w:r>
    </w:p>
    <w:p w:rsidR="00904BD7" w:rsidRDefault="00904BD7" w:rsidP="00904BD7">
      <w:pPr>
        <w:pStyle w:val="Default"/>
        <w:ind w:firstLine="709"/>
        <w:jc w:val="both"/>
        <w:rPr>
          <w:sz w:val="20"/>
          <w:szCs w:val="20"/>
        </w:rPr>
      </w:pPr>
      <w:r>
        <w:rPr>
          <w:sz w:val="20"/>
          <w:szCs w:val="20"/>
        </w:rPr>
        <w:t xml:space="preserve">Grubość pojedynczo układanej warstwy nie może przekraczać 25 cm po zagęszczeniu. </w:t>
      </w:r>
    </w:p>
    <w:p w:rsidR="00904BD7" w:rsidRDefault="00904BD7" w:rsidP="00904BD7">
      <w:pPr>
        <w:pStyle w:val="Default"/>
        <w:ind w:firstLine="709"/>
        <w:jc w:val="both"/>
        <w:rPr>
          <w:sz w:val="20"/>
          <w:szCs w:val="20"/>
        </w:rPr>
      </w:pPr>
      <w:r>
        <w:rPr>
          <w:sz w:val="20"/>
          <w:szCs w:val="20"/>
        </w:rPr>
        <w:t xml:space="preserve">Warstwy o grubości większej niż 25 cm należy wykonać w dwóch warstwach technologicznych. </w:t>
      </w:r>
    </w:p>
    <w:p w:rsidR="00904BD7" w:rsidRDefault="00904BD7" w:rsidP="00904BD7">
      <w:pPr>
        <w:pStyle w:val="Default"/>
        <w:ind w:firstLine="709"/>
        <w:jc w:val="both"/>
        <w:rPr>
          <w:sz w:val="20"/>
          <w:szCs w:val="20"/>
        </w:rPr>
      </w:pPr>
      <w:r>
        <w:rPr>
          <w:sz w:val="20"/>
          <w:szCs w:val="20"/>
        </w:rPr>
        <w:t xml:space="preserve">Warstwa ulepszonego podłoża powinna być rozłożona w sposób zapewniający osiągnięcie wymaganych spadków i rzędnych wysokościowych. </w:t>
      </w:r>
    </w:p>
    <w:p w:rsidR="00904BD7" w:rsidRDefault="00904BD7" w:rsidP="00904BD7">
      <w:pPr>
        <w:pStyle w:val="Default"/>
        <w:ind w:firstLine="709"/>
        <w:jc w:val="both"/>
        <w:rPr>
          <w:sz w:val="20"/>
          <w:szCs w:val="20"/>
        </w:rPr>
      </w:pPr>
      <w:r>
        <w:rPr>
          <w:sz w:val="20"/>
          <w:szCs w:val="20"/>
        </w:rPr>
        <w:t xml:space="preserve">Bezpośrednio po wyprofilowaniu warstwy kruszywa należy przystąpić do jej zagęszczenia przez wałowanie. Kruszywo należy zagęszczać walcami ogumionymi, walcami wibracyjnymi i gładkimi. Zagęszczanie powinno postępować stopniowo od krawędzi do środka warstwy ulepszonego podłoża przy przekroju daszkowym jezdni oraz od dolnej do górnej krawędzi warstwy ulepszonego podłoża przy przekroju o spadku jednostronnym. Jakiekolwiek nierówności lub zagłębienia powstałe w czasie zagęszczania powinny być wyrównane przez spulchnianie warstwy kruszywa i dodanie lub usunięcie materiału aż do otrzymania równej powierzchni. W miejscach niedostępnych dla walców warstwy ulepszonego podłoża powinna być zagęszczona zagęszczarkami płytowymi, małymi walcami wibracyjnymi lub ubijakami mechanicznymi przy użyciu zróżnicowanego sprzętu. W pierwszej fazie zagęszczania należy stosować sprzęt lżejszy, a w końcowej sprzęt cięższy. </w:t>
      </w:r>
    </w:p>
    <w:p w:rsidR="00904BD7" w:rsidRDefault="00904BD7" w:rsidP="00904BD7">
      <w:pPr>
        <w:pStyle w:val="Default"/>
        <w:ind w:firstLine="709"/>
        <w:jc w:val="both"/>
        <w:rPr>
          <w:sz w:val="20"/>
          <w:szCs w:val="20"/>
        </w:rPr>
      </w:pPr>
      <w:r>
        <w:rPr>
          <w:sz w:val="20"/>
          <w:szCs w:val="20"/>
        </w:rPr>
        <w:t xml:space="preserve">Zagęszczenie należy prowadzić do osiągnięcia zagęszczenia warstwy zgodnego z wymaganiami z p. 6.3.4. Wilgotność mieszanki kruszywa podczas zagęszczania powinna odpowiadać wilgotności optymalnej, określonej według próby Proctora. Materiał nadmiernie nawilgocony, powinien zostać osuszony przez mieszanie i napowietrzanie. Jeżeli wilgotność mieszanki kruszywa jest niższa od optymalnej o 20% jej wartości, mieszanka powinna być zwilżona określoną ilością wody i równomiernie wymieszana. W przypadku, gdy wilgotność mieszanki kruszywa jest wyższa od optymalnej o 10% jej wartości, mieszankę należy osuszyć. </w:t>
      </w:r>
    </w:p>
    <w:p w:rsidR="00904BD7" w:rsidRDefault="00904BD7" w:rsidP="00904BD7">
      <w:pPr>
        <w:pStyle w:val="Default"/>
        <w:ind w:firstLine="709"/>
        <w:jc w:val="both"/>
        <w:rPr>
          <w:sz w:val="20"/>
          <w:szCs w:val="20"/>
        </w:rPr>
      </w:pPr>
    </w:p>
    <w:p w:rsidR="00904BD7" w:rsidRDefault="00904BD7" w:rsidP="00904BD7">
      <w:pPr>
        <w:pStyle w:val="Default"/>
        <w:jc w:val="both"/>
        <w:rPr>
          <w:sz w:val="20"/>
          <w:szCs w:val="20"/>
        </w:rPr>
      </w:pPr>
      <w:r>
        <w:rPr>
          <w:b/>
          <w:bCs/>
          <w:sz w:val="20"/>
          <w:szCs w:val="20"/>
        </w:rPr>
        <w:t xml:space="preserve">5.7. Utrzymanie </w:t>
      </w:r>
      <w:r w:rsidRPr="00C151B9">
        <w:rPr>
          <w:b/>
          <w:sz w:val="20"/>
          <w:szCs w:val="20"/>
        </w:rPr>
        <w:t>warstwy ulepszonego podłoża</w:t>
      </w:r>
    </w:p>
    <w:p w:rsidR="00904BD7" w:rsidRDefault="00904BD7" w:rsidP="00904BD7">
      <w:pPr>
        <w:pStyle w:val="Default"/>
        <w:ind w:firstLine="709"/>
        <w:jc w:val="both"/>
        <w:rPr>
          <w:sz w:val="20"/>
          <w:szCs w:val="20"/>
        </w:rPr>
      </w:pPr>
      <w:r>
        <w:rPr>
          <w:sz w:val="20"/>
          <w:szCs w:val="20"/>
        </w:rPr>
        <w:t xml:space="preserve">Warstwy ulepszonego podłoża po wykonaniu, a przed ułożeniem następnej warstwy, powinna być utrzymywana w dobrym stanie. Warstwa ulepszonego podłoża może być wykorzystywana tylko do sporadycznego, niezbędnego ruchu budowlanego, który nie może wywoływać w niej kolein. Jeżeli Wykonawca będzie wykorzystywał, za zgodą Inżyniera, gotową warstwę ulepszonego podłoża do ruchu budowlanego, to jest obowiązany naprawić wszelkie uszkodzenia spowodowane przez ten ruch. Koszt napraw wynikłych z niewłaściwego utrzymania warstwy ulepszonego podłoża obciąża Wykonawcę robót. </w:t>
      </w:r>
    </w:p>
    <w:p w:rsidR="00904BD7" w:rsidRDefault="00904BD7" w:rsidP="00904BD7">
      <w:pPr>
        <w:pStyle w:val="Default"/>
        <w:ind w:firstLine="709"/>
        <w:jc w:val="both"/>
        <w:rPr>
          <w:sz w:val="20"/>
          <w:szCs w:val="20"/>
        </w:rPr>
      </w:pPr>
    </w:p>
    <w:p w:rsidR="00904BD7" w:rsidRDefault="00904BD7" w:rsidP="00904BD7">
      <w:pPr>
        <w:pStyle w:val="Default"/>
        <w:jc w:val="both"/>
        <w:rPr>
          <w:sz w:val="20"/>
          <w:szCs w:val="20"/>
        </w:rPr>
      </w:pPr>
      <w:r>
        <w:rPr>
          <w:b/>
          <w:bCs/>
          <w:sz w:val="20"/>
          <w:szCs w:val="20"/>
        </w:rPr>
        <w:t xml:space="preserve">5.8. Odcinek próbny </w:t>
      </w:r>
    </w:p>
    <w:p w:rsidR="00904BD7" w:rsidRDefault="00904BD7" w:rsidP="00904BD7">
      <w:pPr>
        <w:pStyle w:val="Default"/>
        <w:jc w:val="both"/>
        <w:rPr>
          <w:sz w:val="20"/>
          <w:szCs w:val="20"/>
        </w:rPr>
      </w:pPr>
      <w:r>
        <w:rPr>
          <w:sz w:val="20"/>
          <w:szCs w:val="20"/>
        </w:rPr>
        <w:t xml:space="preserve">O ile dokumentacja wymaga wykonania odcinka próbnego, Wykonawca wykona go co najmniej na 3 dni przed rozpoczęciem robót, w celu: </w:t>
      </w:r>
    </w:p>
    <w:p w:rsidR="00904BD7" w:rsidRDefault="00904BD7" w:rsidP="0097494B">
      <w:pPr>
        <w:pStyle w:val="Default"/>
        <w:widowControl/>
        <w:numPr>
          <w:ilvl w:val="0"/>
          <w:numId w:val="84"/>
        </w:numPr>
        <w:spacing w:after="27"/>
        <w:jc w:val="both"/>
        <w:rPr>
          <w:sz w:val="20"/>
          <w:szCs w:val="20"/>
        </w:rPr>
      </w:pPr>
      <w:r>
        <w:rPr>
          <w:sz w:val="20"/>
          <w:szCs w:val="20"/>
        </w:rPr>
        <w:t xml:space="preserve">stwierdzenia czy sprzęt budowlany do mieszania, rozkładania i zagęszczania mieszanki kruszywa jest właściwy, </w:t>
      </w:r>
    </w:p>
    <w:p w:rsidR="00904BD7" w:rsidRDefault="00904BD7" w:rsidP="0097494B">
      <w:pPr>
        <w:pStyle w:val="Default"/>
        <w:widowControl/>
        <w:numPr>
          <w:ilvl w:val="0"/>
          <w:numId w:val="84"/>
        </w:numPr>
        <w:spacing w:after="27"/>
        <w:jc w:val="both"/>
        <w:rPr>
          <w:sz w:val="20"/>
          <w:szCs w:val="20"/>
        </w:rPr>
      </w:pPr>
      <w:r>
        <w:rPr>
          <w:sz w:val="20"/>
          <w:szCs w:val="20"/>
        </w:rPr>
        <w:t xml:space="preserve">określenia grubości warstwy mieszanki kruszywa w stanie luźnym, koniecznej do uzyskania wymaganej grubości warstwy po zagęszczeniu, </w:t>
      </w:r>
    </w:p>
    <w:p w:rsidR="00904BD7" w:rsidRDefault="00904BD7" w:rsidP="0097494B">
      <w:pPr>
        <w:pStyle w:val="Default"/>
        <w:widowControl/>
        <w:numPr>
          <w:ilvl w:val="0"/>
          <w:numId w:val="84"/>
        </w:numPr>
        <w:jc w:val="both"/>
        <w:rPr>
          <w:sz w:val="20"/>
          <w:szCs w:val="20"/>
        </w:rPr>
      </w:pPr>
      <w:r>
        <w:rPr>
          <w:sz w:val="20"/>
          <w:szCs w:val="20"/>
        </w:rPr>
        <w:t xml:space="preserve">określenia liczby przejść sprzętu zagęszczającego, potrzebnej do uzyskania wymaganego wskaźnika zagęszczenia. </w:t>
      </w:r>
    </w:p>
    <w:p w:rsidR="00904BD7" w:rsidRDefault="00904BD7" w:rsidP="00904BD7">
      <w:pPr>
        <w:pStyle w:val="Default"/>
        <w:ind w:firstLine="709"/>
        <w:jc w:val="both"/>
        <w:rPr>
          <w:sz w:val="20"/>
          <w:szCs w:val="20"/>
        </w:rPr>
      </w:pPr>
      <w:r>
        <w:rPr>
          <w:sz w:val="20"/>
          <w:szCs w:val="20"/>
        </w:rPr>
        <w:t xml:space="preserve">Na odcinku próbnym Wykonawca powinien użyć takich wyrobów oraz sprzętu do mieszania, rozkładania i zagęszczania, jakie będą stosowane do wykonywania warstwy. </w:t>
      </w:r>
    </w:p>
    <w:p w:rsidR="00904BD7" w:rsidRDefault="00904BD7" w:rsidP="00904BD7">
      <w:pPr>
        <w:pStyle w:val="Default"/>
        <w:jc w:val="both"/>
        <w:rPr>
          <w:sz w:val="20"/>
          <w:szCs w:val="20"/>
        </w:rPr>
      </w:pPr>
      <w:r>
        <w:rPr>
          <w:sz w:val="20"/>
          <w:szCs w:val="20"/>
        </w:rPr>
        <w:t xml:space="preserve">Powierzchnia odcinka próbnego powinna wynosić od 400 do 800 m2. </w:t>
      </w:r>
    </w:p>
    <w:p w:rsidR="00904BD7" w:rsidRPr="00911B80" w:rsidRDefault="00904BD7" w:rsidP="00904BD7">
      <w:pPr>
        <w:pStyle w:val="Default"/>
        <w:jc w:val="both"/>
        <w:rPr>
          <w:sz w:val="20"/>
          <w:szCs w:val="20"/>
        </w:rPr>
      </w:pPr>
      <w:r>
        <w:rPr>
          <w:sz w:val="20"/>
          <w:szCs w:val="20"/>
        </w:rPr>
        <w:t>Odcinek próbny powinien być zlokalizowany w miejscu zaakceptowanym przez</w:t>
      </w:r>
      <w:r w:rsidRPr="0070704C">
        <w:rPr>
          <w:sz w:val="20"/>
          <w:szCs w:val="20"/>
        </w:rPr>
        <w:t>przedstawiciela</w:t>
      </w:r>
      <w:r>
        <w:rPr>
          <w:sz w:val="20"/>
          <w:szCs w:val="20"/>
        </w:rPr>
        <w:t xml:space="preserve"> Zamawiającego. </w:t>
      </w:r>
    </w:p>
    <w:p w:rsidR="00904BD7" w:rsidRDefault="00904BD7" w:rsidP="00904BD7">
      <w:pPr>
        <w:widowControl w:val="0"/>
        <w:tabs>
          <w:tab w:val="left" w:pos="8995"/>
        </w:tabs>
        <w:snapToGrid w:val="0"/>
        <w:spacing w:before="120" w:after="120"/>
        <w:ind w:right="-5"/>
        <w:rPr>
          <w:b/>
          <w:u w:val="single"/>
        </w:rPr>
      </w:pPr>
      <w:r w:rsidRPr="009B6525">
        <w:rPr>
          <w:b/>
          <w:u w:val="single"/>
        </w:rPr>
        <w:t>6. KONTROLA JAKOŚCI ROBÓT</w:t>
      </w:r>
    </w:p>
    <w:p w:rsidR="00904BD7" w:rsidRDefault="00904BD7" w:rsidP="00904BD7">
      <w:pPr>
        <w:pStyle w:val="Default"/>
        <w:jc w:val="both"/>
        <w:rPr>
          <w:sz w:val="20"/>
          <w:szCs w:val="20"/>
        </w:rPr>
      </w:pPr>
      <w:r>
        <w:rPr>
          <w:b/>
          <w:bCs/>
          <w:sz w:val="20"/>
          <w:szCs w:val="20"/>
        </w:rPr>
        <w:t xml:space="preserve">6.1. Ogólne zasady kontroli jakości robót </w:t>
      </w:r>
    </w:p>
    <w:p w:rsidR="00904BD7" w:rsidRDefault="00904BD7" w:rsidP="00904BD7">
      <w:pPr>
        <w:pStyle w:val="Default"/>
        <w:jc w:val="both"/>
        <w:rPr>
          <w:sz w:val="20"/>
          <w:szCs w:val="20"/>
        </w:rPr>
      </w:pPr>
      <w:r>
        <w:rPr>
          <w:sz w:val="20"/>
          <w:szCs w:val="20"/>
        </w:rPr>
        <w:t xml:space="preserve">Ogólne zasady kontroli jakości robót podano w ST D-M-00.00.00 „Wymagania ogólne” </w:t>
      </w:r>
    </w:p>
    <w:p w:rsidR="00904BD7" w:rsidRDefault="00904BD7" w:rsidP="00904BD7">
      <w:pPr>
        <w:pStyle w:val="Default"/>
        <w:jc w:val="both"/>
        <w:rPr>
          <w:sz w:val="20"/>
          <w:szCs w:val="20"/>
        </w:rPr>
      </w:pPr>
      <w:r>
        <w:rPr>
          <w:b/>
          <w:bCs/>
          <w:sz w:val="20"/>
          <w:szCs w:val="20"/>
        </w:rPr>
        <w:t xml:space="preserve">6.2. Badania przed przystąpieniem do robót </w:t>
      </w:r>
    </w:p>
    <w:p w:rsidR="00904BD7" w:rsidRDefault="00904BD7" w:rsidP="00904BD7">
      <w:pPr>
        <w:pStyle w:val="Default"/>
        <w:ind w:firstLine="709"/>
        <w:jc w:val="both"/>
        <w:rPr>
          <w:sz w:val="20"/>
          <w:szCs w:val="20"/>
        </w:rPr>
      </w:pPr>
      <w:r>
        <w:rPr>
          <w:sz w:val="20"/>
          <w:szCs w:val="20"/>
        </w:rPr>
        <w:t xml:space="preserve">Przed przystąpieniem do robót Wykonawca powinien wykonać badania mieszanek przeznaczonych do wykonania robót i przedstawić wyniki tych badań Inżynierowi w celu akceptacji materiałów. Badania te powinny obejmować wszystkie właściwości określone w pkt 2 niniejszej ST. </w:t>
      </w:r>
    </w:p>
    <w:p w:rsidR="00904BD7" w:rsidRDefault="00904BD7" w:rsidP="00904BD7">
      <w:pPr>
        <w:pStyle w:val="Default"/>
        <w:ind w:firstLine="709"/>
        <w:jc w:val="both"/>
        <w:rPr>
          <w:sz w:val="20"/>
          <w:szCs w:val="20"/>
        </w:rPr>
      </w:pPr>
      <w:r w:rsidRPr="009B1826">
        <w:rPr>
          <w:sz w:val="20"/>
          <w:szCs w:val="20"/>
        </w:rPr>
        <w:t>Przed przystąpieniem do robót</w:t>
      </w:r>
      <w:r>
        <w:rPr>
          <w:sz w:val="20"/>
          <w:szCs w:val="20"/>
        </w:rPr>
        <w:t xml:space="preserve"> Wykonawca powinien przedstawić Inżynierowi do akceptacji Deklaracje Właściwości Użytkowych geosyntetyków wraz z próbkami materiałów. Podstawą do zatwierdzenia materiału może być wyłącznie poprawna Deklaracja Właściwości Użytkowych, zgodna z wymaganiami „Rozporządzenia PE 305/2011 ws. zharmonizowanych warunków wprowadzania do obrotu wyrobów budowlanych”. Inne dokumenty (np. karty materiałowe, wyniki badań wykonanych przez producenta, itp.) nie mogą być podstawą zatwierdzenia materiału.</w:t>
      </w:r>
    </w:p>
    <w:p w:rsidR="00904BD7" w:rsidRDefault="00904BD7" w:rsidP="00904BD7">
      <w:pPr>
        <w:pStyle w:val="Default"/>
        <w:ind w:firstLine="709"/>
        <w:jc w:val="both"/>
        <w:rPr>
          <w:sz w:val="20"/>
          <w:szCs w:val="20"/>
        </w:rPr>
      </w:pPr>
    </w:p>
    <w:p w:rsidR="00904BD7" w:rsidRDefault="00904BD7" w:rsidP="00904BD7">
      <w:pPr>
        <w:pStyle w:val="Default"/>
        <w:jc w:val="both"/>
        <w:rPr>
          <w:sz w:val="20"/>
          <w:szCs w:val="20"/>
        </w:rPr>
      </w:pPr>
      <w:r>
        <w:rPr>
          <w:b/>
          <w:bCs/>
          <w:sz w:val="20"/>
          <w:szCs w:val="20"/>
        </w:rPr>
        <w:t xml:space="preserve">6.3. Badania w czasie robót </w:t>
      </w:r>
    </w:p>
    <w:p w:rsidR="00904BD7" w:rsidRDefault="00904BD7" w:rsidP="00904BD7">
      <w:pPr>
        <w:pStyle w:val="Default"/>
        <w:jc w:val="both"/>
        <w:rPr>
          <w:b/>
          <w:sz w:val="20"/>
          <w:szCs w:val="20"/>
        </w:rPr>
      </w:pPr>
      <w:r w:rsidRPr="00B74460">
        <w:rPr>
          <w:b/>
          <w:bCs/>
          <w:sz w:val="20"/>
          <w:szCs w:val="20"/>
        </w:rPr>
        <w:t>6.3.1</w:t>
      </w:r>
      <w:r w:rsidRPr="00B74460">
        <w:rPr>
          <w:b/>
          <w:sz w:val="20"/>
          <w:szCs w:val="20"/>
        </w:rPr>
        <w:t xml:space="preserve">. Częstotliwość oraz zakres badań i pomiarów </w:t>
      </w:r>
    </w:p>
    <w:p w:rsidR="00904BD7" w:rsidRDefault="00904BD7" w:rsidP="00904BD7">
      <w:pPr>
        <w:pStyle w:val="Default"/>
        <w:jc w:val="both"/>
        <w:rPr>
          <w:b/>
          <w:sz w:val="20"/>
          <w:szCs w:val="20"/>
        </w:rPr>
      </w:pPr>
    </w:p>
    <w:p w:rsidR="00904BD7" w:rsidRDefault="00904BD7" w:rsidP="00904BD7">
      <w:pPr>
        <w:jc w:val="both"/>
        <w:rPr>
          <w:i/>
          <w:iCs/>
        </w:rPr>
      </w:pPr>
      <w:r>
        <w:rPr>
          <w:b/>
          <w:i/>
          <w:iCs/>
        </w:rPr>
        <w:t>Tablica 5</w:t>
      </w:r>
      <w:r w:rsidRPr="005D3393">
        <w:rPr>
          <w:b/>
          <w:i/>
          <w:iCs/>
        </w:rPr>
        <w:t>.</w:t>
      </w:r>
      <w:r>
        <w:rPr>
          <w:i/>
          <w:iCs/>
        </w:rPr>
        <w:t xml:space="preserve"> Częstotliwość oraz zakres badań przy budowie warstw z mieszanek niezwiązanych stabilizowanych georusztem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86"/>
        <w:gridCol w:w="3491"/>
        <w:gridCol w:w="2268"/>
        <w:gridCol w:w="2197"/>
      </w:tblGrid>
      <w:tr w:rsidR="00904BD7" w:rsidRPr="00C67C90" w:rsidTr="00904BD7">
        <w:trPr>
          <w:jc w:val="center"/>
        </w:trPr>
        <w:tc>
          <w:tcPr>
            <w:tcW w:w="586" w:type="dxa"/>
            <w:vMerge w:val="restart"/>
            <w:vAlign w:val="center"/>
          </w:tcPr>
          <w:p w:rsidR="00904BD7" w:rsidRPr="00994CDA" w:rsidRDefault="00904BD7" w:rsidP="00904BD7">
            <w:pPr>
              <w:pStyle w:val="Default"/>
              <w:jc w:val="center"/>
              <w:rPr>
                <w:sz w:val="18"/>
                <w:szCs w:val="18"/>
              </w:rPr>
            </w:pPr>
            <w:r w:rsidRPr="00994CDA">
              <w:rPr>
                <w:sz w:val="18"/>
                <w:szCs w:val="18"/>
              </w:rPr>
              <w:t>L.P.</w:t>
            </w:r>
          </w:p>
        </w:tc>
        <w:tc>
          <w:tcPr>
            <w:tcW w:w="3491" w:type="dxa"/>
            <w:vMerge w:val="restart"/>
            <w:vAlign w:val="center"/>
          </w:tcPr>
          <w:p w:rsidR="00904BD7" w:rsidRPr="00994CDA" w:rsidRDefault="00904BD7" w:rsidP="00904BD7">
            <w:pPr>
              <w:pStyle w:val="Default"/>
              <w:jc w:val="center"/>
              <w:rPr>
                <w:sz w:val="18"/>
                <w:szCs w:val="18"/>
              </w:rPr>
            </w:pPr>
            <w:r w:rsidRPr="00994CDA">
              <w:rPr>
                <w:sz w:val="18"/>
                <w:szCs w:val="18"/>
              </w:rPr>
              <w:t>Wyszczególnienie badań</w:t>
            </w:r>
          </w:p>
        </w:tc>
        <w:tc>
          <w:tcPr>
            <w:tcW w:w="4465" w:type="dxa"/>
            <w:gridSpan w:val="2"/>
            <w:vAlign w:val="center"/>
          </w:tcPr>
          <w:p w:rsidR="00904BD7" w:rsidRPr="00994CDA" w:rsidRDefault="00904BD7" w:rsidP="00904BD7">
            <w:pPr>
              <w:pStyle w:val="Default"/>
              <w:jc w:val="center"/>
              <w:rPr>
                <w:sz w:val="18"/>
                <w:szCs w:val="18"/>
              </w:rPr>
            </w:pPr>
            <w:r w:rsidRPr="00994CDA">
              <w:rPr>
                <w:sz w:val="18"/>
                <w:szCs w:val="18"/>
              </w:rPr>
              <w:t>Częstotliwość badań</w:t>
            </w:r>
          </w:p>
        </w:tc>
      </w:tr>
      <w:tr w:rsidR="00904BD7" w:rsidRPr="00C67C90" w:rsidTr="00904BD7">
        <w:trPr>
          <w:jc w:val="center"/>
        </w:trPr>
        <w:tc>
          <w:tcPr>
            <w:tcW w:w="586" w:type="dxa"/>
            <w:vMerge/>
          </w:tcPr>
          <w:p w:rsidR="00904BD7" w:rsidRPr="00994CDA" w:rsidRDefault="00904BD7" w:rsidP="00904BD7">
            <w:pPr>
              <w:jc w:val="center"/>
              <w:rPr>
                <w:iCs/>
                <w:sz w:val="18"/>
                <w:szCs w:val="18"/>
              </w:rPr>
            </w:pPr>
          </w:p>
        </w:tc>
        <w:tc>
          <w:tcPr>
            <w:tcW w:w="3491" w:type="dxa"/>
            <w:vMerge/>
            <w:vAlign w:val="center"/>
          </w:tcPr>
          <w:p w:rsidR="00904BD7" w:rsidRPr="00994CDA" w:rsidRDefault="00904BD7" w:rsidP="00904BD7">
            <w:pPr>
              <w:jc w:val="center"/>
              <w:rPr>
                <w:iCs/>
                <w:sz w:val="18"/>
                <w:szCs w:val="18"/>
              </w:rPr>
            </w:pPr>
          </w:p>
        </w:tc>
        <w:tc>
          <w:tcPr>
            <w:tcW w:w="2268" w:type="dxa"/>
            <w:vAlign w:val="center"/>
          </w:tcPr>
          <w:p w:rsidR="00904BD7" w:rsidRPr="00994CDA" w:rsidRDefault="00904BD7" w:rsidP="00904BD7">
            <w:pPr>
              <w:pStyle w:val="Default"/>
              <w:jc w:val="center"/>
              <w:rPr>
                <w:sz w:val="18"/>
                <w:szCs w:val="18"/>
              </w:rPr>
            </w:pPr>
            <w:r w:rsidRPr="00994CDA">
              <w:rPr>
                <w:sz w:val="18"/>
                <w:szCs w:val="18"/>
              </w:rPr>
              <w:t>Minimalna liczba badań na dziennej działce roboczej</w:t>
            </w:r>
          </w:p>
        </w:tc>
        <w:tc>
          <w:tcPr>
            <w:tcW w:w="2197" w:type="dxa"/>
            <w:vAlign w:val="center"/>
          </w:tcPr>
          <w:p w:rsidR="00904BD7" w:rsidRPr="00994CDA" w:rsidRDefault="00904BD7" w:rsidP="00904BD7">
            <w:pPr>
              <w:pStyle w:val="Default"/>
              <w:jc w:val="center"/>
              <w:rPr>
                <w:sz w:val="18"/>
                <w:szCs w:val="18"/>
              </w:rPr>
            </w:pPr>
            <w:r w:rsidRPr="00994CDA">
              <w:rPr>
                <w:sz w:val="18"/>
                <w:szCs w:val="18"/>
              </w:rPr>
              <w:t>Maksymalna powierzchnia warstwy przypadająca na jedno badanie (m2)</w:t>
            </w:r>
          </w:p>
        </w:tc>
      </w:tr>
      <w:tr w:rsidR="00904BD7" w:rsidRPr="00C67C90" w:rsidTr="00904BD7">
        <w:trPr>
          <w:jc w:val="center"/>
        </w:trPr>
        <w:tc>
          <w:tcPr>
            <w:tcW w:w="586" w:type="dxa"/>
          </w:tcPr>
          <w:p w:rsidR="00904BD7" w:rsidRPr="00403A1F" w:rsidRDefault="00904BD7" w:rsidP="00904BD7">
            <w:pPr>
              <w:pStyle w:val="Default"/>
              <w:jc w:val="center"/>
              <w:rPr>
                <w:sz w:val="18"/>
                <w:szCs w:val="18"/>
              </w:rPr>
            </w:pPr>
            <w:r w:rsidRPr="00403A1F">
              <w:rPr>
                <w:sz w:val="18"/>
                <w:szCs w:val="18"/>
              </w:rPr>
              <w:t>1</w:t>
            </w:r>
          </w:p>
        </w:tc>
        <w:tc>
          <w:tcPr>
            <w:tcW w:w="3491" w:type="dxa"/>
          </w:tcPr>
          <w:p w:rsidR="00904BD7" w:rsidRPr="00403A1F" w:rsidRDefault="00904BD7" w:rsidP="00904BD7">
            <w:pPr>
              <w:pStyle w:val="Default"/>
              <w:jc w:val="both"/>
              <w:rPr>
                <w:sz w:val="18"/>
                <w:szCs w:val="18"/>
              </w:rPr>
            </w:pPr>
            <w:r w:rsidRPr="00403A1F">
              <w:rPr>
                <w:sz w:val="18"/>
                <w:szCs w:val="18"/>
              </w:rPr>
              <w:t xml:space="preserve">Uziarnienie mieszanki </w:t>
            </w:r>
          </w:p>
        </w:tc>
        <w:tc>
          <w:tcPr>
            <w:tcW w:w="2268" w:type="dxa"/>
            <w:vMerge w:val="restart"/>
            <w:vAlign w:val="center"/>
          </w:tcPr>
          <w:p w:rsidR="00904BD7" w:rsidRPr="00403A1F" w:rsidRDefault="00904BD7" w:rsidP="00904BD7">
            <w:pPr>
              <w:jc w:val="center"/>
              <w:rPr>
                <w:iCs/>
                <w:sz w:val="18"/>
                <w:szCs w:val="18"/>
              </w:rPr>
            </w:pPr>
            <w:r w:rsidRPr="00403A1F">
              <w:rPr>
                <w:iCs/>
                <w:sz w:val="18"/>
                <w:szCs w:val="18"/>
              </w:rPr>
              <w:t>1</w:t>
            </w:r>
          </w:p>
        </w:tc>
        <w:tc>
          <w:tcPr>
            <w:tcW w:w="2197" w:type="dxa"/>
            <w:vMerge w:val="restart"/>
            <w:vAlign w:val="center"/>
          </w:tcPr>
          <w:p w:rsidR="00904BD7" w:rsidRPr="00402E17" w:rsidRDefault="00904BD7" w:rsidP="00904BD7">
            <w:pPr>
              <w:jc w:val="center"/>
              <w:rPr>
                <w:iCs/>
                <w:sz w:val="18"/>
                <w:szCs w:val="18"/>
              </w:rPr>
            </w:pPr>
            <w:r w:rsidRPr="00402E17">
              <w:rPr>
                <w:iCs/>
                <w:sz w:val="18"/>
                <w:szCs w:val="18"/>
              </w:rPr>
              <w:t>2000</w:t>
            </w:r>
          </w:p>
        </w:tc>
      </w:tr>
      <w:tr w:rsidR="00904BD7" w:rsidRPr="00C67C90" w:rsidTr="00904BD7">
        <w:trPr>
          <w:jc w:val="center"/>
        </w:trPr>
        <w:tc>
          <w:tcPr>
            <w:tcW w:w="586" w:type="dxa"/>
          </w:tcPr>
          <w:p w:rsidR="00904BD7" w:rsidRPr="00403A1F" w:rsidRDefault="00904BD7" w:rsidP="00904BD7">
            <w:pPr>
              <w:jc w:val="center"/>
              <w:rPr>
                <w:iCs/>
                <w:sz w:val="18"/>
                <w:szCs w:val="18"/>
              </w:rPr>
            </w:pPr>
            <w:r w:rsidRPr="00403A1F">
              <w:rPr>
                <w:iCs/>
                <w:sz w:val="18"/>
                <w:szCs w:val="18"/>
              </w:rPr>
              <w:t>2</w:t>
            </w:r>
          </w:p>
        </w:tc>
        <w:tc>
          <w:tcPr>
            <w:tcW w:w="3491" w:type="dxa"/>
          </w:tcPr>
          <w:p w:rsidR="00904BD7" w:rsidRPr="00403A1F" w:rsidRDefault="00904BD7" w:rsidP="00904BD7">
            <w:pPr>
              <w:pStyle w:val="Default"/>
              <w:jc w:val="both"/>
              <w:rPr>
                <w:sz w:val="18"/>
                <w:szCs w:val="18"/>
              </w:rPr>
            </w:pPr>
            <w:r w:rsidRPr="00403A1F">
              <w:rPr>
                <w:sz w:val="18"/>
                <w:szCs w:val="18"/>
              </w:rPr>
              <w:t>Zawartość wody</w:t>
            </w:r>
          </w:p>
        </w:tc>
        <w:tc>
          <w:tcPr>
            <w:tcW w:w="2268" w:type="dxa"/>
            <w:vMerge/>
          </w:tcPr>
          <w:p w:rsidR="00904BD7" w:rsidRPr="00403A1F" w:rsidRDefault="00904BD7" w:rsidP="00904BD7">
            <w:pPr>
              <w:jc w:val="both"/>
              <w:rPr>
                <w:iCs/>
                <w:sz w:val="18"/>
                <w:szCs w:val="18"/>
              </w:rPr>
            </w:pPr>
          </w:p>
        </w:tc>
        <w:tc>
          <w:tcPr>
            <w:tcW w:w="2197" w:type="dxa"/>
            <w:vMerge/>
          </w:tcPr>
          <w:p w:rsidR="00904BD7" w:rsidRPr="00C67C90" w:rsidRDefault="00904BD7" w:rsidP="00904BD7">
            <w:pPr>
              <w:jc w:val="both"/>
              <w:rPr>
                <w:iCs/>
                <w:sz w:val="18"/>
                <w:szCs w:val="18"/>
              </w:rPr>
            </w:pPr>
          </w:p>
        </w:tc>
      </w:tr>
      <w:tr w:rsidR="00904BD7" w:rsidRPr="00C67C90" w:rsidTr="00904BD7">
        <w:trPr>
          <w:jc w:val="center"/>
        </w:trPr>
        <w:tc>
          <w:tcPr>
            <w:tcW w:w="586" w:type="dxa"/>
          </w:tcPr>
          <w:p w:rsidR="00904BD7" w:rsidRPr="00403A1F" w:rsidRDefault="00904BD7" w:rsidP="00904BD7">
            <w:pPr>
              <w:jc w:val="center"/>
              <w:rPr>
                <w:iCs/>
                <w:sz w:val="18"/>
                <w:szCs w:val="18"/>
              </w:rPr>
            </w:pPr>
            <w:r w:rsidRPr="00403A1F">
              <w:rPr>
                <w:iCs/>
                <w:sz w:val="18"/>
                <w:szCs w:val="18"/>
              </w:rPr>
              <w:t>3</w:t>
            </w:r>
          </w:p>
        </w:tc>
        <w:tc>
          <w:tcPr>
            <w:tcW w:w="3491" w:type="dxa"/>
          </w:tcPr>
          <w:p w:rsidR="00904BD7" w:rsidRPr="00403A1F" w:rsidRDefault="00904BD7" w:rsidP="00904BD7">
            <w:pPr>
              <w:pStyle w:val="Default"/>
              <w:jc w:val="both"/>
              <w:rPr>
                <w:sz w:val="18"/>
                <w:szCs w:val="18"/>
              </w:rPr>
            </w:pPr>
            <w:r w:rsidRPr="00403A1F">
              <w:rPr>
                <w:sz w:val="18"/>
                <w:szCs w:val="18"/>
              </w:rPr>
              <w:t xml:space="preserve">Zagęszczenie warstwy </w:t>
            </w:r>
          </w:p>
        </w:tc>
        <w:tc>
          <w:tcPr>
            <w:tcW w:w="4465" w:type="dxa"/>
            <w:gridSpan w:val="2"/>
            <w:vAlign w:val="center"/>
          </w:tcPr>
          <w:p w:rsidR="00904BD7" w:rsidRPr="00403A1F" w:rsidRDefault="00904BD7" w:rsidP="00904BD7">
            <w:pPr>
              <w:pStyle w:val="Default"/>
              <w:rPr>
                <w:sz w:val="18"/>
                <w:szCs w:val="18"/>
              </w:rPr>
            </w:pPr>
            <w:r w:rsidRPr="00403A1F">
              <w:rPr>
                <w:sz w:val="18"/>
                <w:szCs w:val="18"/>
              </w:rPr>
              <w:t>5 próbek na 10 000 m2</w:t>
            </w:r>
          </w:p>
        </w:tc>
      </w:tr>
      <w:tr w:rsidR="00904BD7" w:rsidRPr="00C67C90" w:rsidTr="00904BD7">
        <w:trPr>
          <w:jc w:val="center"/>
        </w:trPr>
        <w:tc>
          <w:tcPr>
            <w:tcW w:w="586" w:type="dxa"/>
          </w:tcPr>
          <w:p w:rsidR="00904BD7" w:rsidRPr="00403A1F" w:rsidRDefault="00904BD7" w:rsidP="00904BD7">
            <w:pPr>
              <w:jc w:val="center"/>
              <w:rPr>
                <w:iCs/>
                <w:sz w:val="18"/>
                <w:szCs w:val="18"/>
              </w:rPr>
            </w:pPr>
            <w:r w:rsidRPr="00403A1F">
              <w:rPr>
                <w:iCs/>
                <w:sz w:val="18"/>
                <w:szCs w:val="18"/>
              </w:rPr>
              <w:t>4</w:t>
            </w:r>
          </w:p>
        </w:tc>
        <w:tc>
          <w:tcPr>
            <w:tcW w:w="3491" w:type="dxa"/>
          </w:tcPr>
          <w:p w:rsidR="00904BD7" w:rsidRPr="00403A1F" w:rsidRDefault="00904BD7" w:rsidP="00904BD7">
            <w:pPr>
              <w:pStyle w:val="Default"/>
              <w:jc w:val="both"/>
              <w:rPr>
                <w:sz w:val="18"/>
                <w:szCs w:val="18"/>
              </w:rPr>
            </w:pPr>
            <w:r w:rsidRPr="00403A1F">
              <w:rPr>
                <w:sz w:val="18"/>
                <w:szCs w:val="18"/>
              </w:rPr>
              <w:t xml:space="preserve">Badanie właściwości kruszywa wg tab. 1 </w:t>
            </w:r>
          </w:p>
        </w:tc>
        <w:tc>
          <w:tcPr>
            <w:tcW w:w="4465" w:type="dxa"/>
            <w:gridSpan w:val="2"/>
            <w:vAlign w:val="center"/>
          </w:tcPr>
          <w:p w:rsidR="00904BD7" w:rsidRPr="00403A1F" w:rsidRDefault="00904BD7" w:rsidP="00904BD7">
            <w:pPr>
              <w:pStyle w:val="Default"/>
              <w:rPr>
                <w:sz w:val="18"/>
                <w:szCs w:val="18"/>
              </w:rPr>
            </w:pPr>
            <w:r w:rsidRPr="00403A1F">
              <w:rPr>
                <w:sz w:val="18"/>
                <w:szCs w:val="18"/>
              </w:rPr>
              <w:t>dla każdej partii kruszywa i przy każdej zmianie kruszywa</w:t>
            </w:r>
          </w:p>
        </w:tc>
      </w:tr>
    </w:tbl>
    <w:p w:rsidR="00904BD7" w:rsidRDefault="00904BD7" w:rsidP="00904BD7">
      <w:pPr>
        <w:pStyle w:val="Default"/>
        <w:jc w:val="both"/>
        <w:rPr>
          <w:b/>
          <w:bCs/>
          <w:sz w:val="20"/>
          <w:szCs w:val="20"/>
        </w:rPr>
      </w:pPr>
    </w:p>
    <w:p w:rsidR="00904BD7" w:rsidRPr="00B74460" w:rsidRDefault="00904BD7" w:rsidP="00904BD7">
      <w:pPr>
        <w:pStyle w:val="Default"/>
        <w:jc w:val="both"/>
        <w:rPr>
          <w:b/>
          <w:sz w:val="20"/>
          <w:szCs w:val="20"/>
        </w:rPr>
      </w:pPr>
      <w:r w:rsidRPr="00B74460">
        <w:rPr>
          <w:b/>
          <w:bCs/>
          <w:sz w:val="20"/>
          <w:szCs w:val="20"/>
        </w:rPr>
        <w:t xml:space="preserve">6.3.2. </w:t>
      </w:r>
      <w:r w:rsidRPr="00B74460">
        <w:rPr>
          <w:b/>
          <w:sz w:val="20"/>
          <w:szCs w:val="20"/>
        </w:rPr>
        <w:t xml:space="preserve">Uziarnienie mieszanki </w:t>
      </w:r>
    </w:p>
    <w:p w:rsidR="00904BD7" w:rsidRDefault="00904BD7" w:rsidP="00904BD7">
      <w:pPr>
        <w:pStyle w:val="Default"/>
        <w:ind w:firstLine="709"/>
        <w:jc w:val="both"/>
        <w:rPr>
          <w:sz w:val="20"/>
          <w:szCs w:val="20"/>
        </w:rPr>
      </w:pPr>
      <w:r>
        <w:rPr>
          <w:sz w:val="20"/>
          <w:szCs w:val="20"/>
        </w:rPr>
        <w:t xml:space="preserve">Uziarnienie mieszanki powinno być zgodne z wymaganiami podanymi w pkt 2.3. Próbki należy pobierać w sposób losowy, z rozłożonej warstwy, przed jej zagęszczeniem. Wyniki badań powinny być na bieżąco przekazywane Inżynierowi. </w:t>
      </w:r>
    </w:p>
    <w:p w:rsidR="00904BD7" w:rsidRDefault="00904BD7" w:rsidP="00904BD7">
      <w:pPr>
        <w:pStyle w:val="Default"/>
        <w:ind w:firstLine="709"/>
        <w:jc w:val="both"/>
        <w:rPr>
          <w:sz w:val="20"/>
          <w:szCs w:val="20"/>
        </w:rPr>
      </w:pPr>
    </w:p>
    <w:p w:rsidR="00904BD7" w:rsidRDefault="00904BD7" w:rsidP="00904BD7">
      <w:pPr>
        <w:pStyle w:val="Default"/>
        <w:jc w:val="both"/>
        <w:rPr>
          <w:b/>
          <w:sz w:val="20"/>
          <w:szCs w:val="20"/>
        </w:rPr>
      </w:pPr>
      <w:r w:rsidRPr="00B74460">
        <w:rPr>
          <w:b/>
          <w:bCs/>
          <w:sz w:val="20"/>
          <w:szCs w:val="20"/>
        </w:rPr>
        <w:t xml:space="preserve">6.3.3. </w:t>
      </w:r>
      <w:r>
        <w:rPr>
          <w:b/>
          <w:sz w:val="20"/>
          <w:szCs w:val="20"/>
        </w:rPr>
        <w:t>Zawartość wody</w:t>
      </w:r>
    </w:p>
    <w:p w:rsidR="00904BD7" w:rsidRDefault="00904BD7" w:rsidP="00904BD7">
      <w:pPr>
        <w:pStyle w:val="Default"/>
        <w:ind w:firstLine="709"/>
        <w:jc w:val="both"/>
        <w:rPr>
          <w:sz w:val="20"/>
          <w:szCs w:val="20"/>
        </w:rPr>
      </w:pPr>
      <w:r>
        <w:rPr>
          <w:sz w:val="20"/>
          <w:szCs w:val="20"/>
        </w:rPr>
        <w:t xml:space="preserve">Zawartość wody w mieszance powinna być zgodna z wymaganiami podanymi w </w:t>
      </w:r>
      <w:r>
        <w:rPr>
          <w:iCs/>
          <w:sz w:val="20"/>
          <w:szCs w:val="20"/>
        </w:rPr>
        <w:t>Tablicy 3</w:t>
      </w:r>
      <w:r w:rsidRPr="00B74460">
        <w:rPr>
          <w:sz w:val="20"/>
          <w:szCs w:val="20"/>
        </w:rPr>
        <w:t>.</w:t>
      </w:r>
    </w:p>
    <w:p w:rsidR="00904BD7" w:rsidRPr="00911B80" w:rsidRDefault="00904BD7" w:rsidP="00904BD7">
      <w:pPr>
        <w:pStyle w:val="Default"/>
        <w:ind w:firstLine="709"/>
        <w:jc w:val="both"/>
        <w:rPr>
          <w:b/>
          <w:sz w:val="20"/>
          <w:szCs w:val="20"/>
        </w:rPr>
      </w:pPr>
    </w:p>
    <w:p w:rsidR="00904BD7" w:rsidRPr="00B74460" w:rsidRDefault="00904BD7" w:rsidP="00904BD7">
      <w:pPr>
        <w:pStyle w:val="Default"/>
        <w:jc w:val="both"/>
        <w:rPr>
          <w:b/>
          <w:sz w:val="20"/>
          <w:szCs w:val="20"/>
        </w:rPr>
      </w:pPr>
      <w:r w:rsidRPr="00B74460">
        <w:rPr>
          <w:b/>
          <w:bCs/>
          <w:sz w:val="20"/>
          <w:szCs w:val="20"/>
        </w:rPr>
        <w:t>6.3.4. Nośność i z</w:t>
      </w:r>
      <w:r w:rsidRPr="00B74460">
        <w:rPr>
          <w:b/>
          <w:sz w:val="20"/>
          <w:szCs w:val="20"/>
        </w:rPr>
        <w:t xml:space="preserve">agęszczenie warstwy </w:t>
      </w:r>
    </w:p>
    <w:p w:rsidR="00904BD7" w:rsidRDefault="00904BD7" w:rsidP="00904BD7">
      <w:pPr>
        <w:pStyle w:val="Default"/>
        <w:ind w:firstLine="709"/>
        <w:jc w:val="both"/>
        <w:rPr>
          <w:sz w:val="20"/>
          <w:szCs w:val="20"/>
        </w:rPr>
      </w:pPr>
      <w:r w:rsidRPr="00373257">
        <w:rPr>
          <w:sz w:val="20"/>
          <w:szCs w:val="20"/>
        </w:rPr>
        <w:t>Zagęszczenie na górze warstwy wzmacniającej, stabilizowanej georusztem/geokompozytem trójosiowym (heksagonalnym) powinno odbywać się aż do osiągnięcia wymaganego wskaźnika zagęszczenia zgodnie z wymogami PN-S-02205. Alternatywnie, uzyskanie wymaganych parametrów można potwierdzić wynikiem pomiaru lekką płytą dynamiczną lub płyta statyczną</w:t>
      </w:r>
      <w:r w:rsidRPr="00F92A84">
        <w:rPr>
          <w:rFonts w:ascii="Symbol" w:hAnsi="Symbol"/>
          <w:sz w:val="20"/>
          <w:szCs w:val="20"/>
        </w:rPr>
        <w:t></w:t>
      </w:r>
      <w:r w:rsidRPr="00F92A84">
        <w:rPr>
          <w:rFonts w:ascii="Symbol" w:hAnsi="Symbol"/>
          <w:sz w:val="20"/>
          <w:szCs w:val="20"/>
        </w:rPr>
        <w:t></w:t>
      </w:r>
      <w:r w:rsidRPr="00F92A84">
        <w:rPr>
          <w:rFonts w:ascii="Symbol" w:hAnsi="Symbol"/>
          <w:sz w:val="20"/>
          <w:szCs w:val="20"/>
        </w:rPr>
        <w:t></w:t>
      </w:r>
      <w:r w:rsidRPr="00373257">
        <w:rPr>
          <w:sz w:val="20"/>
          <w:szCs w:val="20"/>
        </w:rPr>
        <w:t>= 30cm.</w:t>
      </w:r>
    </w:p>
    <w:p w:rsidR="00904BD7" w:rsidRPr="00373257" w:rsidRDefault="00904BD7" w:rsidP="00904BD7">
      <w:pPr>
        <w:pStyle w:val="Default"/>
        <w:ind w:firstLine="709"/>
        <w:jc w:val="both"/>
        <w:rPr>
          <w:sz w:val="20"/>
          <w:szCs w:val="20"/>
        </w:rPr>
      </w:pPr>
    </w:p>
    <w:p w:rsidR="00904BD7" w:rsidRPr="00B74460" w:rsidRDefault="00904BD7" w:rsidP="00904BD7">
      <w:pPr>
        <w:pStyle w:val="Default"/>
        <w:jc w:val="both"/>
        <w:rPr>
          <w:b/>
          <w:sz w:val="20"/>
          <w:szCs w:val="20"/>
        </w:rPr>
      </w:pPr>
      <w:r w:rsidRPr="00B74460">
        <w:rPr>
          <w:b/>
          <w:bCs/>
          <w:sz w:val="20"/>
          <w:szCs w:val="20"/>
        </w:rPr>
        <w:t xml:space="preserve">6.3.5. </w:t>
      </w:r>
      <w:r w:rsidRPr="00B74460">
        <w:rPr>
          <w:b/>
          <w:sz w:val="20"/>
          <w:szCs w:val="20"/>
        </w:rPr>
        <w:t xml:space="preserve">Właściwości kruszywa </w:t>
      </w:r>
    </w:p>
    <w:p w:rsidR="00904BD7" w:rsidRDefault="00904BD7" w:rsidP="00904BD7">
      <w:pPr>
        <w:pStyle w:val="Default"/>
        <w:ind w:firstLine="709"/>
        <w:jc w:val="both"/>
        <w:rPr>
          <w:sz w:val="20"/>
          <w:szCs w:val="20"/>
        </w:rPr>
      </w:pPr>
      <w:r>
        <w:rPr>
          <w:sz w:val="20"/>
          <w:szCs w:val="20"/>
        </w:rPr>
        <w:t xml:space="preserve">Badania kruszywa powinny obejmować ocenę wszystkich właściwości określonych w pkt 2.2 ÷ 2.4 </w:t>
      </w:r>
    </w:p>
    <w:p w:rsidR="00904BD7" w:rsidRDefault="00904BD7" w:rsidP="00904BD7">
      <w:pPr>
        <w:widowControl w:val="0"/>
        <w:tabs>
          <w:tab w:val="left" w:pos="8995"/>
        </w:tabs>
        <w:snapToGrid w:val="0"/>
        <w:spacing w:before="120" w:after="120"/>
        <w:ind w:right="-5" w:firstLine="709"/>
        <w:rPr>
          <w:b/>
          <w:u w:val="single"/>
        </w:rPr>
      </w:pPr>
      <w:r>
        <w:t>Próbki do badań pełnych powinny być pobierane przez Wykonawcę w sposób losowy w obecności Inżyniera</w:t>
      </w:r>
    </w:p>
    <w:p w:rsidR="00904BD7" w:rsidRDefault="00904BD7" w:rsidP="00904BD7">
      <w:pPr>
        <w:pStyle w:val="Default"/>
        <w:jc w:val="both"/>
        <w:rPr>
          <w:sz w:val="20"/>
          <w:szCs w:val="20"/>
        </w:rPr>
      </w:pPr>
      <w:r>
        <w:rPr>
          <w:b/>
          <w:bCs/>
          <w:sz w:val="20"/>
          <w:szCs w:val="20"/>
        </w:rPr>
        <w:t>6.4. Wymagania dotyczące cech geometrycznych warstwy ulepszonego podłoża</w:t>
      </w:r>
    </w:p>
    <w:p w:rsidR="00904BD7" w:rsidRPr="00B74460" w:rsidRDefault="00904BD7" w:rsidP="00904BD7">
      <w:pPr>
        <w:pStyle w:val="Default"/>
        <w:jc w:val="both"/>
        <w:rPr>
          <w:b/>
          <w:sz w:val="20"/>
          <w:szCs w:val="20"/>
        </w:rPr>
      </w:pPr>
      <w:r w:rsidRPr="00B74460">
        <w:rPr>
          <w:b/>
          <w:bCs/>
          <w:sz w:val="20"/>
          <w:szCs w:val="20"/>
        </w:rPr>
        <w:t xml:space="preserve">6.4.1. </w:t>
      </w:r>
      <w:r w:rsidRPr="00B74460">
        <w:rPr>
          <w:b/>
          <w:sz w:val="20"/>
          <w:szCs w:val="20"/>
        </w:rPr>
        <w:t xml:space="preserve">Częstotliwość oraz zakres pomiarów </w:t>
      </w:r>
    </w:p>
    <w:p w:rsidR="00904BD7" w:rsidRDefault="00904BD7" w:rsidP="00904BD7">
      <w:pPr>
        <w:pStyle w:val="Default"/>
        <w:jc w:val="both"/>
        <w:rPr>
          <w:sz w:val="20"/>
          <w:szCs w:val="20"/>
        </w:rPr>
      </w:pPr>
      <w:r>
        <w:rPr>
          <w:sz w:val="20"/>
          <w:szCs w:val="20"/>
        </w:rPr>
        <w:t xml:space="preserve">Częstotliwość oraz zakres pomiarów dotyczących cech geometrycznych warstwy ulepszonego podłoża podano w </w:t>
      </w:r>
      <w:r>
        <w:rPr>
          <w:i/>
          <w:iCs/>
          <w:sz w:val="20"/>
          <w:szCs w:val="20"/>
        </w:rPr>
        <w:t>Tablicy 6</w:t>
      </w:r>
      <w:r>
        <w:rPr>
          <w:sz w:val="20"/>
          <w:szCs w:val="20"/>
        </w:rPr>
        <w:t>.</w:t>
      </w:r>
    </w:p>
    <w:p w:rsidR="00904BD7" w:rsidRPr="00B74460" w:rsidRDefault="00904BD7" w:rsidP="00904BD7">
      <w:pPr>
        <w:jc w:val="both"/>
        <w:rPr>
          <w:i/>
        </w:rPr>
      </w:pPr>
      <w:r>
        <w:rPr>
          <w:b/>
          <w:i/>
          <w:iCs/>
        </w:rPr>
        <w:t>Tablica 6</w:t>
      </w:r>
      <w:r w:rsidRPr="00B74460">
        <w:rPr>
          <w:b/>
          <w:i/>
          <w:iCs/>
        </w:rPr>
        <w:t>.</w:t>
      </w:r>
      <w:r w:rsidRPr="00B74460">
        <w:rPr>
          <w:i/>
        </w:rPr>
        <w:t>Częstotliwość oraz zakres pomiarów wykonanej warstwy z mieszanki niezwiązanej stabilizowanej georusztem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22"/>
        <w:gridCol w:w="3402"/>
        <w:gridCol w:w="4306"/>
      </w:tblGrid>
      <w:tr w:rsidR="00904BD7" w:rsidRPr="00C67C90" w:rsidTr="00904BD7">
        <w:trPr>
          <w:trHeight w:val="370"/>
          <w:jc w:val="center"/>
        </w:trPr>
        <w:tc>
          <w:tcPr>
            <w:tcW w:w="622" w:type="dxa"/>
            <w:vAlign w:val="center"/>
          </w:tcPr>
          <w:p w:rsidR="00904BD7" w:rsidRPr="00C67C90" w:rsidRDefault="00904BD7" w:rsidP="00904BD7">
            <w:pPr>
              <w:pStyle w:val="Default"/>
              <w:jc w:val="center"/>
              <w:rPr>
                <w:sz w:val="18"/>
                <w:szCs w:val="18"/>
              </w:rPr>
            </w:pPr>
            <w:r>
              <w:rPr>
                <w:sz w:val="18"/>
                <w:szCs w:val="18"/>
              </w:rPr>
              <w:t>L.P.</w:t>
            </w:r>
          </w:p>
        </w:tc>
        <w:tc>
          <w:tcPr>
            <w:tcW w:w="3402" w:type="dxa"/>
            <w:vAlign w:val="center"/>
          </w:tcPr>
          <w:p w:rsidR="00904BD7" w:rsidRPr="00C67C90" w:rsidRDefault="00904BD7" w:rsidP="00904BD7">
            <w:pPr>
              <w:pStyle w:val="Default"/>
              <w:jc w:val="center"/>
              <w:rPr>
                <w:sz w:val="18"/>
                <w:szCs w:val="18"/>
              </w:rPr>
            </w:pPr>
            <w:r w:rsidRPr="00C67C90">
              <w:rPr>
                <w:sz w:val="18"/>
                <w:szCs w:val="18"/>
              </w:rPr>
              <w:t>Wyszczególnienie badań i pomiarów</w:t>
            </w:r>
          </w:p>
        </w:tc>
        <w:tc>
          <w:tcPr>
            <w:tcW w:w="4306" w:type="dxa"/>
            <w:vAlign w:val="center"/>
          </w:tcPr>
          <w:p w:rsidR="00904BD7" w:rsidRPr="00C67C90" w:rsidRDefault="00904BD7" w:rsidP="00904BD7">
            <w:pPr>
              <w:pStyle w:val="Default"/>
              <w:jc w:val="center"/>
              <w:rPr>
                <w:sz w:val="18"/>
                <w:szCs w:val="18"/>
              </w:rPr>
            </w:pPr>
            <w:r w:rsidRPr="00C67C90">
              <w:rPr>
                <w:sz w:val="18"/>
                <w:szCs w:val="18"/>
              </w:rPr>
              <w:t>Minimalna częstotliwość pomiarów</w:t>
            </w:r>
          </w:p>
        </w:tc>
      </w:tr>
      <w:tr w:rsidR="00904BD7" w:rsidRPr="00C67C90" w:rsidTr="00904BD7">
        <w:trPr>
          <w:jc w:val="center"/>
        </w:trPr>
        <w:tc>
          <w:tcPr>
            <w:tcW w:w="622" w:type="dxa"/>
            <w:vAlign w:val="center"/>
          </w:tcPr>
          <w:p w:rsidR="00904BD7" w:rsidRPr="00C67C90" w:rsidRDefault="00904BD7" w:rsidP="00904BD7">
            <w:pPr>
              <w:pStyle w:val="Default"/>
              <w:jc w:val="center"/>
              <w:rPr>
                <w:sz w:val="18"/>
                <w:szCs w:val="18"/>
              </w:rPr>
            </w:pPr>
            <w:r w:rsidRPr="00C67C90">
              <w:rPr>
                <w:sz w:val="18"/>
                <w:szCs w:val="18"/>
              </w:rPr>
              <w:t>1</w:t>
            </w:r>
          </w:p>
        </w:tc>
        <w:tc>
          <w:tcPr>
            <w:tcW w:w="3402" w:type="dxa"/>
            <w:vAlign w:val="center"/>
          </w:tcPr>
          <w:p w:rsidR="00904BD7" w:rsidRPr="00C67C90" w:rsidRDefault="00904BD7" w:rsidP="00904BD7">
            <w:pPr>
              <w:pStyle w:val="Default"/>
              <w:jc w:val="both"/>
              <w:rPr>
                <w:sz w:val="18"/>
                <w:szCs w:val="18"/>
              </w:rPr>
            </w:pPr>
            <w:r w:rsidRPr="00C67C90">
              <w:rPr>
                <w:sz w:val="18"/>
                <w:szCs w:val="18"/>
              </w:rPr>
              <w:t>Szerokość warstwy</w:t>
            </w:r>
          </w:p>
        </w:tc>
        <w:tc>
          <w:tcPr>
            <w:tcW w:w="4306" w:type="dxa"/>
            <w:vAlign w:val="center"/>
          </w:tcPr>
          <w:p w:rsidR="00904BD7" w:rsidRPr="00C67C90" w:rsidRDefault="00904BD7" w:rsidP="00904BD7">
            <w:pPr>
              <w:pStyle w:val="Default"/>
              <w:jc w:val="both"/>
              <w:rPr>
                <w:sz w:val="18"/>
                <w:szCs w:val="18"/>
              </w:rPr>
            </w:pPr>
            <w:r w:rsidRPr="00C67C90">
              <w:rPr>
                <w:sz w:val="18"/>
                <w:szCs w:val="18"/>
              </w:rPr>
              <w:t xml:space="preserve">10 razy na 1 km </w:t>
            </w:r>
          </w:p>
        </w:tc>
      </w:tr>
      <w:tr w:rsidR="00904BD7" w:rsidRPr="00C67C90" w:rsidTr="00904BD7">
        <w:trPr>
          <w:jc w:val="center"/>
        </w:trPr>
        <w:tc>
          <w:tcPr>
            <w:tcW w:w="622" w:type="dxa"/>
            <w:vAlign w:val="center"/>
          </w:tcPr>
          <w:p w:rsidR="00904BD7" w:rsidRPr="00C67C90" w:rsidRDefault="00904BD7" w:rsidP="00904BD7">
            <w:pPr>
              <w:pStyle w:val="Default"/>
              <w:jc w:val="center"/>
              <w:rPr>
                <w:sz w:val="18"/>
                <w:szCs w:val="18"/>
              </w:rPr>
            </w:pPr>
            <w:r w:rsidRPr="00C67C90">
              <w:rPr>
                <w:sz w:val="18"/>
                <w:szCs w:val="18"/>
              </w:rPr>
              <w:t>2</w:t>
            </w:r>
          </w:p>
        </w:tc>
        <w:tc>
          <w:tcPr>
            <w:tcW w:w="3402" w:type="dxa"/>
            <w:vAlign w:val="center"/>
          </w:tcPr>
          <w:p w:rsidR="00904BD7" w:rsidRPr="00C67C90" w:rsidRDefault="00904BD7" w:rsidP="00904BD7">
            <w:pPr>
              <w:pStyle w:val="Default"/>
              <w:jc w:val="both"/>
              <w:rPr>
                <w:sz w:val="18"/>
                <w:szCs w:val="18"/>
              </w:rPr>
            </w:pPr>
            <w:r w:rsidRPr="00C67C90">
              <w:rPr>
                <w:sz w:val="18"/>
                <w:szCs w:val="18"/>
              </w:rPr>
              <w:t xml:space="preserve">Równość podłużna </w:t>
            </w:r>
          </w:p>
        </w:tc>
        <w:tc>
          <w:tcPr>
            <w:tcW w:w="4306" w:type="dxa"/>
            <w:vAlign w:val="center"/>
          </w:tcPr>
          <w:p w:rsidR="00904BD7" w:rsidRPr="00C67C90" w:rsidRDefault="00904BD7" w:rsidP="00904BD7">
            <w:pPr>
              <w:pStyle w:val="Default"/>
              <w:jc w:val="both"/>
              <w:rPr>
                <w:sz w:val="18"/>
                <w:szCs w:val="18"/>
              </w:rPr>
            </w:pPr>
            <w:r>
              <w:rPr>
                <w:sz w:val="18"/>
                <w:szCs w:val="18"/>
              </w:rPr>
              <w:t>co 25</w:t>
            </w:r>
            <w:r w:rsidRPr="00C67C90">
              <w:rPr>
                <w:sz w:val="18"/>
                <w:szCs w:val="18"/>
              </w:rPr>
              <w:t xml:space="preserve"> m łatą </w:t>
            </w:r>
          </w:p>
        </w:tc>
      </w:tr>
      <w:tr w:rsidR="00904BD7" w:rsidRPr="00C67C90" w:rsidTr="00904BD7">
        <w:trPr>
          <w:jc w:val="center"/>
        </w:trPr>
        <w:tc>
          <w:tcPr>
            <w:tcW w:w="622" w:type="dxa"/>
            <w:vAlign w:val="center"/>
          </w:tcPr>
          <w:p w:rsidR="00904BD7" w:rsidRPr="00C67C90" w:rsidRDefault="00904BD7" w:rsidP="00904BD7">
            <w:pPr>
              <w:pStyle w:val="Default"/>
              <w:jc w:val="center"/>
              <w:rPr>
                <w:sz w:val="18"/>
                <w:szCs w:val="18"/>
              </w:rPr>
            </w:pPr>
            <w:r w:rsidRPr="00C67C90">
              <w:rPr>
                <w:sz w:val="18"/>
                <w:szCs w:val="18"/>
              </w:rPr>
              <w:t>3</w:t>
            </w:r>
          </w:p>
        </w:tc>
        <w:tc>
          <w:tcPr>
            <w:tcW w:w="3402" w:type="dxa"/>
            <w:vAlign w:val="center"/>
          </w:tcPr>
          <w:p w:rsidR="00904BD7" w:rsidRPr="00C67C90" w:rsidRDefault="00904BD7" w:rsidP="00904BD7">
            <w:pPr>
              <w:pStyle w:val="Default"/>
              <w:jc w:val="both"/>
              <w:rPr>
                <w:sz w:val="18"/>
                <w:szCs w:val="18"/>
              </w:rPr>
            </w:pPr>
            <w:r w:rsidRPr="00C67C90">
              <w:rPr>
                <w:sz w:val="18"/>
                <w:szCs w:val="18"/>
              </w:rPr>
              <w:t xml:space="preserve">Równość poprzeczna </w:t>
            </w:r>
          </w:p>
        </w:tc>
        <w:tc>
          <w:tcPr>
            <w:tcW w:w="4306" w:type="dxa"/>
            <w:vAlign w:val="center"/>
          </w:tcPr>
          <w:p w:rsidR="00904BD7" w:rsidRPr="00C67C90" w:rsidRDefault="00904BD7" w:rsidP="00904BD7">
            <w:pPr>
              <w:pStyle w:val="Default"/>
              <w:jc w:val="both"/>
              <w:rPr>
                <w:sz w:val="18"/>
                <w:szCs w:val="18"/>
              </w:rPr>
            </w:pPr>
            <w:r w:rsidRPr="00C67C90">
              <w:rPr>
                <w:sz w:val="18"/>
                <w:szCs w:val="18"/>
              </w:rPr>
              <w:t xml:space="preserve">10 razy na 1 km </w:t>
            </w:r>
          </w:p>
        </w:tc>
      </w:tr>
      <w:tr w:rsidR="00904BD7" w:rsidRPr="00C67C90" w:rsidTr="00904BD7">
        <w:trPr>
          <w:jc w:val="center"/>
        </w:trPr>
        <w:tc>
          <w:tcPr>
            <w:tcW w:w="622" w:type="dxa"/>
            <w:vAlign w:val="center"/>
          </w:tcPr>
          <w:p w:rsidR="00904BD7" w:rsidRPr="00C67C90" w:rsidRDefault="00904BD7" w:rsidP="00904BD7">
            <w:pPr>
              <w:pStyle w:val="Default"/>
              <w:jc w:val="center"/>
              <w:rPr>
                <w:sz w:val="18"/>
                <w:szCs w:val="18"/>
              </w:rPr>
            </w:pPr>
            <w:r w:rsidRPr="00C67C90">
              <w:rPr>
                <w:sz w:val="18"/>
                <w:szCs w:val="18"/>
              </w:rPr>
              <w:t>4</w:t>
            </w:r>
          </w:p>
        </w:tc>
        <w:tc>
          <w:tcPr>
            <w:tcW w:w="3402" w:type="dxa"/>
            <w:vAlign w:val="center"/>
          </w:tcPr>
          <w:p w:rsidR="00904BD7" w:rsidRPr="00C67C90" w:rsidRDefault="00904BD7" w:rsidP="00904BD7">
            <w:pPr>
              <w:pStyle w:val="Default"/>
              <w:jc w:val="both"/>
              <w:rPr>
                <w:sz w:val="18"/>
                <w:szCs w:val="18"/>
              </w:rPr>
            </w:pPr>
            <w:r w:rsidRPr="00C67C90">
              <w:rPr>
                <w:sz w:val="18"/>
                <w:szCs w:val="18"/>
              </w:rPr>
              <w:t>Spadki poprzeczne</w:t>
            </w:r>
          </w:p>
        </w:tc>
        <w:tc>
          <w:tcPr>
            <w:tcW w:w="4306" w:type="dxa"/>
            <w:vAlign w:val="center"/>
          </w:tcPr>
          <w:p w:rsidR="00904BD7" w:rsidRPr="00C67C90" w:rsidRDefault="00904BD7" w:rsidP="00904BD7">
            <w:pPr>
              <w:pStyle w:val="Default"/>
              <w:jc w:val="both"/>
              <w:rPr>
                <w:sz w:val="18"/>
                <w:szCs w:val="18"/>
              </w:rPr>
            </w:pPr>
            <w:r w:rsidRPr="00C67C90">
              <w:rPr>
                <w:sz w:val="18"/>
                <w:szCs w:val="18"/>
              </w:rPr>
              <w:t xml:space="preserve">10 razy na 1 km </w:t>
            </w:r>
          </w:p>
        </w:tc>
      </w:tr>
      <w:tr w:rsidR="00904BD7" w:rsidRPr="00C67C90" w:rsidTr="00904BD7">
        <w:trPr>
          <w:jc w:val="center"/>
        </w:trPr>
        <w:tc>
          <w:tcPr>
            <w:tcW w:w="622" w:type="dxa"/>
            <w:vAlign w:val="center"/>
          </w:tcPr>
          <w:p w:rsidR="00904BD7" w:rsidRPr="00C67C90" w:rsidRDefault="00904BD7" w:rsidP="00904BD7">
            <w:pPr>
              <w:pStyle w:val="Default"/>
              <w:jc w:val="center"/>
              <w:rPr>
                <w:sz w:val="18"/>
                <w:szCs w:val="18"/>
              </w:rPr>
            </w:pPr>
            <w:r w:rsidRPr="00C67C90">
              <w:rPr>
                <w:sz w:val="18"/>
                <w:szCs w:val="18"/>
              </w:rPr>
              <w:t>5</w:t>
            </w:r>
          </w:p>
        </w:tc>
        <w:tc>
          <w:tcPr>
            <w:tcW w:w="3402" w:type="dxa"/>
            <w:vAlign w:val="center"/>
          </w:tcPr>
          <w:p w:rsidR="00904BD7" w:rsidRPr="00C67C90" w:rsidRDefault="00904BD7" w:rsidP="00904BD7">
            <w:pPr>
              <w:pStyle w:val="Default"/>
              <w:jc w:val="both"/>
              <w:rPr>
                <w:sz w:val="18"/>
                <w:szCs w:val="18"/>
              </w:rPr>
            </w:pPr>
            <w:r w:rsidRPr="00C67C90">
              <w:rPr>
                <w:sz w:val="18"/>
                <w:szCs w:val="18"/>
              </w:rPr>
              <w:t xml:space="preserve">Rzędne wysokościowe </w:t>
            </w:r>
          </w:p>
        </w:tc>
        <w:tc>
          <w:tcPr>
            <w:tcW w:w="4306" w:type="dxa"/>
            <w:vAlign w:val="center"/>
          </w:tcPr>
          <w:p w:rsidR="00904BD7" w:rsidRPr="00C67C90" w:rsidRDefault="00904BD7" w:rsidP="00904BD7">
            <w:pPr>
              <w:pStyle w:val="Default"/>
              <w:jc w:val="both"/>
              <w:rPr>
                <w:sz w:val="18"/>
                <w:szCs w:val="18"/>
              </w:rPr>
            </w:pPr>
            <w:r>
              <w:rPr>
                <w:sz w:val="18"/>
                <w:szCs w:val="18"/>
              </w:rPr>
              <w:t>co 20 m</w:t>
            </w:r>
          </w:p>
        </w:tc>
      </w:tr>
      <w:tr w:rsidR="00904BD7" w:rsidRPr="00C67C90" w:rsidTr="00904BD7">
        <w:trPr>
          <w:jc w:val="center"/>
        </w:trPr>
        <w:tc>
          <w:tcPr>
            <w:tcW w:w="622" w:type="dxa"/>
            <w:vAlign w:val="center"/>
          </w:tcPr>
          <w:p w:rsidR="00904BD7" w:rsidRPr="00C67C90" w:rsidRDefault="00904BD7" w:rsidP="00904BD7">
            <w:pPr>
              <w:pStyle w:val="Default"/>
              <w:jc w:val="center"/>
              <w:rPr>
                <w:sz w:val="18"/>
                <w:szCs w:val="18"/>
              </w:rPr>
            </w:pPr>
            <w:r w:rsidRPr="00C67C90">
              <w:rPr>
                <w:sz w:val="18"/>
                <w:szCs w:val="18"/>
              </w:rPr>
              <w:t>6</w:t>
            </w:r>
          </w:p>
        </w:tc>
        <w:tc>
          <w:tcPr>
            <w:tcW w:w="3402" w:type="dxa"/>
            <w:vAlign w:val="center"/>
          </w:tcPr>
          <w:p w:rsidR="00904BD7" w:rsidRPr="00C67C90" w:rsidRDefault="00904BD7" w:rsidP="00904BD7">
            <w:pPr>
              <w:pStyle w:val="Default"/>
              <w:jc w:val="both"/>
              <w:rPr>
                <w:sz w:val="18"/>
                <w:szCs w:val="18"/>
              </w:rPr>
            </w:pPr>
            <w:r w:rsidRPr="00C67C90">
              <w:rPr>
                <w:sz w:val="18"/>
                <w:szCs w:val="18"/>
              </w:rPr>
              <w:t>Ukształtowanie osi w planie</w:t>
            </w:r>
          </w:p>
        </w:tc>
        <w:tc>
          <w:tcPr>
            <w:tcW w:w="4306" w:type="dxa"/>
            <w:vAlign w:val="center"/>
          </w:tcPr>
          <w:p w:rsidR="00904BD7" w:rsidRPr="00C67C90" w:rsidRDefault="00904BD7" w:rsidP="00904BD7">
            <w:pPr>
              <w:pStyle w:val="Default"/>
              <w:jc w:val="both"/>
              <w:rPr>
                <w:sz w:val="18"/>
                <w:szCs w:val="18"/>
              </w:rPr>
            </w:pPr>
            <w:r w:rsidRPr="00C67C90">
              <w:rPr>
                <w:sz w:val="18"/>
                <w:szCs w:val="18"/>
              </w:rPr>
              <w:t xml:space="preserve">co 100 m </w:t>
            </w:r>
          </w:p>
        </w:tc>
      </w:tr>
      <w:tr w:rsidR="00904BD7" w:rsidRPr="00C67C90" w:rsidTr="00904BD7">
        <w:trPr>
          <w:jc w:val="center"/>
        </w:trPr>
        <w:tc>
          <w:tcPr>
            <w:tcW w:w="622" w:type="dxa"/>
            <w:vAlign w:val="center"/>
          </w:tcPr>
          <w:p w:rsidR="00904BD7" w:rsidRPr="00C67C90" w:rsidRDefault="00904BD7" w:rsidP="00904BD7">
            <w:pPr>
              <w:pStyle w:val="Default"/>
              <w:jc w:val="center"/>
              <w:rPr>
                <w:sz w:val="18"/>
                <w:szCs w:val="18"/>
              </w:rPr>
            </w:pPr>
            <w:r w:rsidRPr="00C67C90">
              <w:rPr>
                <w:sz w:val="18"/>
                <w:szCs w:val="18"/>
              </w:rPr>
              <w:t>7</w:t>
            </w:r>
          </w:p>
        </w:tc>
        <w:tc>
          <w:tcPr>
            <w:tcW w:w="3402" w:type="dxa"/>
            <w:vAlign w:val="center"/>
          </w:tcPr>
          <w:p w:rsidR="00904BD7" w:rsidRPr="00C67C90" w:rsidRDefault="00904BD7" w:rsidP="00904BD7">
            <w:pPr>
              <w:pStyle w:val="Default"/>
              <w:jc w:val="both"/>
              <w:rPr>
                <w:sz w:val="18"/>
                <w:szCs w:val="18"/>
              </w:rPr>
            </w:pPr>
            <w:r w:rsidRPr="00C67C90">
              <w:rPr>
                <w:sz w:val="18"/>
                <w:szCs w:val="18"/>
              </w:rPr>
              <w:t>Grubość warstwy</w:t>
            </w:r>
          </w:p>
        </w:tc>
        <w:tc>
          <w:tcPr>
            <w:tcW w:w="4306" w:type="dxa"/>
            <w:vAlign w:val="center"/>
          </w:tcPr>
          <w:p w:rsidR="00904BD7" w:rsidRPr="00C67C90" w:rsidRDefault="00904BD7" w:rsidP="00904BD7">
            <w:pPr>
              <w:pStyle w:val="Default"/>
              <w:jc w:val="both"/>
              <w:rPr>
                <w:sz w:val="18"/>
                <w:szCs w:val="18"/>
              </w:rPr>
            </w:pPr>
            <w:r w:rsidRPr="00C67C90">
              <w:rPr>
                <w:sz w:val="18"/>
                <w:szCs w:val="18"/>
              </w:rPr>
              <w:t xml:space="preserve">Podczas budowy: </w:t>
            </w:r>
          </w:p>
          <w:p w:rsidR="00904BD7" w:rsidRPr="00C67C90" w:rsidRDefault="00904BD7" w:rsidP="00904BD7">
            <w:pPr>
              <w:pStyle w:val="Default"/>
              <w:jc w:val="both"/>
              <w:rPr>
                <w:sz w:val="18"/>
                <w:szCs w:val="18"/>
              </w:rPr>
            </w:pPr>
            <w:r w:rsidRPr="00C67C90">
              <w:rPr>
                <w:sz w:val="18"/>
                <w:szCs w:val="18"/>
              </w:rPr>
              <w:t>w 3 punktach na każdej działce roboczej</w:t>
            </w:r>
            <w:r>
              <w:rPr>
                <w:sz w:val="18"/>
                <w:szCs w:val="18"/>
              </w:rPr>
              <w:t>, lecz nie rzadziej niż raz na 10</w:t>
            </w:r>
            <w:r w:rsidRPr="00C67C90">
              <w:rPr>
                <w:sz w:val="18"/>
                <w:szCs w:val="18"/>
              </w:rPr>
              <w:t>00 m2</w:t>
            </w:r>
          </w:p>
          <w:p w:rsidR="00904BD7" w:rsidRPr="00C67C90" w:rsidRDefault="00904BD7" w:rsidP="00904BD7">
            <w:pPr>
              <w:pStyle w:val="Default"/>
              <w:jc w:val="both"/>
              <w:rPr>
                <w:sz w:val="18"/>
                <w:szCs w:val="18"/>
              </w:rPr>
            </w:pPr>
            <w:r w:rsidRPr="00C67C90">
              <w:rPr>
                <w:sz w:val="18"/>
                <w:szCs w:val="18"/>
              </w:rPr>
              <w:t xml:space="preserve">Przed odbiorem: </w:t>
            </w:r>
          </w:p>
          <w:p w:rsidR="00904BD7" w:rsidRPr="00C67C90" w:rsidRDefault="00904BD7" w:rsidP="00904BD7">
            <w:pPr>
              <w:pStyle w:val="Default"/>
              <w:jc w:val="both"/>
              <w:rPr>
                <w:sz w:val="18"/>
                <w:szCs w:val="18"/>
              </w:rPr>
            </w:pPr>
            <w:r w:rsidRPr="00C67C90">
              <w:rPr>
                <w:sz w:val="18"/>
                <w:szCs w:val="18"/>
              </w:rPr>
              <w:t xml:space="preserve">w 3 punktach, lecz nie rzadziej niż raz na 2000 m2 </w:t>
            </w:r>
          </w:p>
        </w:tc>
      </w:tr>
      <w:tr w:rsidR="00904BD7" w:rsidRPr="00C67C90" w:rsidTr="00904BD7">
        <w:trPr>
          <w:jc w:val="center"/>
        </w:trPr>
        <w:tc>
          <w:tcPr>
            <w:tcW w:w="622" w:type="dxa"/>
            <w:vAlign w:val="center"/>
          </w:tcPr>
          <w:p w:rsidR="00904BD7" w:rsidRPr="00C67C90" w:rsidRDefault="00904BD7" w:rsidP="00904BD7">
            <w:pPr>
              <w:pStyle w:val="Default"/>
              <w:jc w:val="center"/>
              <w:rPr>
                <w:sz w:val="18"/>
                <w:szCs w:val="18"/>
              </w:rPr>
            </w:pPr>
            <w:r w:rsidRPr="00C67C90">
              <w:rPr>
                <w:sz w:val="18"/>
                <w:szCs w:val="18"/>
              </w:rPr>
              <w:t>8</w:t>
            </w:r>
          </w:p>
        </w:tc>
        <w:tc>
          <w:tcPr>
            <w:tcW w:w="3402" w:type="dxa"/>
            <w:vAlign w:val="center"/>
          </w:tcPr>
          <w:p w:rsidR="00904BD7" w:rsidRPr="00C67C90" w:rsidRDefault="00904BD7" w:rsidP="00904BD7">
            <w:pPr>
              <w:pStyle w:val="Default"/>
              <w:jc w:val="both"/>
              <w:rPr>
                <w:sz w:val="18"/>
                <w:szCs w:val="18"/>
              </w:rPr>
            </w:pPr>
            <w:r>
              <w:rPr>
                <w:sz w:val="18"/>
                <w:szCs w:val="18"/>
              </w:rPr>
              <w:t>Zagęszczenie warstwy</w:t>
            </w:r>
          </w:p>
        </w:tc>
        <w:tc>
          <w:tcPr>
            <w:tcW w:w="4306" w:type="dxa"/>
            <w:vAlign w:val="center"/>
          </w:tcPr>
          <w:p w:rsidR="00904BD7" w:rsidRPr="00C67C90" w:rsidRDefault="00904BD7" w:rsidP="00904BD7">
            <w:pPr>
              <w:pStyle w:val="Default"/>
              <w:jc w:val="both"/>
              <w:rPr>
                <w:sz w:val="18"/>
                <w:szCs w:val="18"/>
              </w:rPr>
            </w:pPr>
            <w:r w:rsidRPr="00C67C90">
              <w:rPr>
                <w:sz w:val="18"/>
                <w:szCs w:val="18"/>
              </w:rPr>
              <w:t xml:space="preserve">co najmniej w dwóch przekrojach na każde 1000 m </w:t>
            </w:r>
          </w:p>
        </w:tc>
      </w:tr>
    </w:tbl>
    <w:p w:rsidR="00904BD7" w:rsidRDefault="00904BD7" w:rsidP="00904BD7">
      <w:pPr>
        <w:pStyle w:val="Default"/>
        <w:jc w:val="both"/>
        <w:rPr>
          <w:b/>
          <w:bCs/>
          <w:sz w:val="20"/>
          <w:szCs w:val="20"/>
        </w:rPr>
      </w:pPr>
    </w:p>
    <w:p w:rsidR="00904BD7" w:rsidRPr="00B74460" w:rsidRDefault="00904BD7" w:rsidP="00904BD7">
      <w:pPr>
        <w:pStyle w:val="Default"/>
        <w:jc w:val="both"/>
        <w:rPr>
          <w:b/>
          <w:sz w:val="20"/>
          <w:szCs w:val="20"/>
        </w:rPr>
      </w:pPr>
      <w:r w:rsidRPr="00B74460">
        <w:rPr>
          <w:b/>
          <w:bCs/>
          <w:sz w:val="20"/>
          <w:szCs w:val="20"/>
        </w:rPr>
        <w:t xml:space="preserve">6.4.2. </w:t>
      </w:r>
      <w:r w:rsidRPr="00B74460">
        <w:rPr>
          <w:b/>
          <w:sz w:val="20"/>
          <w:szCs w:val="20"/>
        </w:rPr>
        <w:t xml:space="preserve">Szerokość </w:t>
      </w:r>
    </w:p>
    <w:p w:rsidR="00904BD7" w:rsidRDefault="00904BD7" w:rsidP="00904BD7">
      <w:pPr>
        <w:pStyle w:val="Default"/>
        <w:ind w:firstLine="709"/>
        <w:jc w:val="both"/>
        <w:rPr>
          <w:sz w:val="20"/>
          <w:szCs w:val="20"/>
        </w:rPr>
      </w:pPr>
      <w:r>
        <w:rPr>
          <w:sz w:val="20"/>
          <w:szCs w:val="20"/>
        </w:rPr>
        <w:t xml:space="preserve">Szerokość warstwy nie może różnić się od szerokości projektowanej o więcej niż +15 cm, -10 cm. </w:t>
      </w:r>
    </w:p>
    <w:p w:rsidR="00904BD7" w:rsidRPr="00911B80" w:rsidRDefault="00904BD7" w:rsidP="00904BD7">
      <w:pPr>
        <w:pStyle w:val="Default"/>
        <w:ind w:firstLine="709"/>
        <w:jc w:val="both"/>
        <w:rPr>
          <w:sz w:val="20"/>
          <w:szCs w:val="20"/>
        </w:rPr>
      </w:pPr>
      <w:r>
        <w:rPr>
          <w:sz w:val="20"/>
          <w:szCs w:val="20"/>
        </w:rPr>
        <w:t xml:space="preserve">Na jezdniach bez krawężników szerokość warstwy powinna być większa od szerokości warstwy wyżej leżącej o co najmniej 25cm lub o wartość wskazaną w Dokumentacji Projektowej. </w:t>
      </w:r>
    </w:p>
    <w:p w:rsidR="00904BD7" w:rsidRDefault="00904BD7" w:rsidP="00904BD7">
      <w:pPr>
        <w:widowControl w:val="0"/>
        <w:tabs>
          <w:tab w:val="left" w:pos="8995"/>
        </w:tabs>
        <w:snapToGrid w:val="0"/>
        <w:spacing w:before="120" w:after="120"/>
        <w:ind w:right="-5"/>
        <w:rPr>
          <w:b/>
        </w:rPr>
      </w:pPr>
      <w:r w:rsidRPr="00B74460">
        <w:rPr>
          <w:b/>
          <w:bCs/>
        </w:rPr>
        <w:t xml:space="preserve">6.4.3. </w:t>
      </w:r>
      <w:r w:rsidRPr="00B74460">
        <w:rPr>
          <w:b/>
        </w:rPr>
        <w:t>Równość</w:t>
      </w:r>
    </w:p>
    <w:p w:rsidR="00904BD7" w:rsidRDefault="00904BD7" w:rsidP="00904BD7">
      <w:pPr>
        <w:pStyle w:val="Default"/>
        <w:jc w:val="both"/>
        <w:rPr>
          <w:sz w:val="20"/>
          <w:szCs w:val="20"/>
        </w:rPr>
      </w:pPr>
      <w:r>
        <w:rPr>
          <w:sz w:val="20"/>
          <w:szCs w:val="20"/>
        </w:rPr>
        <w:t xml:space="preserve">Nierówności podłużne warstwy należy mierzyć 4-metrową łatą, zgodnie z BN-68/8931-04. </w:t>
      </w:r>
    </w:p>
    <w:p w:rsidR="00904BD7" w:rsidRDefault="00904BD7" w:rsidP="00904BD7">
      <w:pPr>
        <w:pStyle w:val="Default"/>
        <w:jc w:val="both"/>
        <w:rPr>
          <w:sz w:val="20"/>
          <w:szCs w:val="20"/>
        </w:rPr>
      </w:pPr>
      <w:r>
        <w:rPr>
          <w:sz w:val="20"/>
          <w:szCs w:val="20"/>
        </w:rPr>
        <w:t xml:space="preserve">Nierówności poprzeczne warstwy należy mierzyć 4-metrową łatą. </w:t>
      </w:r>
    </w:p>
    <w:p w:rsidR="00904BD7" w:rsidRDefault="00904BD7" w:rsidP="00904BD7">
      <w:pPr>
        <w:pStyle w:val="Default"/>
        <w:jc w:val="both"/>
        <w:rPr>
          <w:sz w:val="20"/>
          <w:szCs w:val="20"/>
        </w:rPr>
      </w:pPr>
      <w:r>
        <w:rPr>
          <w:sz w:val="20"/>
          <w:szCs w:val="20"/>
        </w:rPr>
        <w:t>Nierówności warstwy nie mogą przekraczać 15 mm.</w:t>
      </w:r>
    </w:p>
    <w:p w:rsidR="00904BD7" w:rsidRDefault="00904BD7" w:rsidP="00904BD7">
      <w:pPr>
        <w:pStyle w:val="Default"/>
        <w:jc w:val="both"/>
        <w:rPr>
          <w:sz w:val="20"/>
          <w:szCs w:val="20"/>
        </w:rPr>
      </w:pPr>
    </w:p>
    <w:p w:rsidR="00904BD7" w:rsidRPr="00B74460" w:rsidRDefault="00904BD7" w:rsidP="00904BD7">
      <w:pPr>
        <w:pStyle w:val="Default"/>
        <w:jc w:val="both"/>
        <w:rPr>
          <w:b/>
          <w:sz w:val="20"/>
          <w:szCs w:val="20"/>
        </w:rPr>
      </w:pPr>
      <w:r w:rsidRPr="00B74460">
        <w:rPr>
          <w:b/>
          <w:bCs/>
          <w:sz w:val="20"/>
          <w:szCs w:val="20"/>
        </w:rPr>
        <w:t xml:space="preserve">6.4.4. </w:t>
      </w:r>
      <w:r w:rsidRPr="00B74460">
        <w:rPr>
          <w:b/>
          <w:sz w:val="20"/>
          <w:szCs w:val="20"/>
        </w:rPr>
        <w:t xml:space="preserve">Spadki poprzeczne </w:t>
      </w:r>
    </w:p>
    <w:p w:rsidR="00904BD7" w:rsidRDefault="00904BD7" w:rsidP="00904BD7">
      <w:pPr>
        <w:pStyle w:val="Default"/>
        <w:ind w:firstLine="709"/>
        <w:jc w:val="both"/>
        <w:rPr>
          <w:sz w:val="20"/>
          <w:szCs w:val="20"/>
        </w:rPr>
      </w:pPr>
      <w:r>
        <w:rPr>
          <w:sz w:val="20"/>
          <w:szCs w:val="20"/>
        </w:rPr>
        <w:t xml:space="preserve">Spadki poprzeczne warstwy na prostych i łukach powinny być zgodne z dokumentacją projektową, z tolerancją +/- 0,7 %. </w:t>
      </w:r>
    </w:p>
    <w:p w:rsidR="00904BD7" w:rsidRDefault="00904BD7" w:rsidP="00904BD7">
      <w:pPr>
        <w:pStyle w:val="Default"/>
        <w:ind w:firstLine="709"/>
        <w:jc w:val="both"/>
        <w:rPr>
          <w:sz w:val="20"/>
          <w:szCs w:val="20"/>
        </w:rPr>
      </w:pPr>
    </w:p>
    <w:p w:rsidR="00904BD7" w:rsidRPr="00B74460" w:rsidRDefault="00904BD7" w:rsidP="00904BD7">
      <w:pPr>
        <w:pStyle w:val="Default"/>
        <w:jc w:val="both"/>
        <w:rPr>
          <w:b/>
          <w:sz w:val="20"/>
          <w:szCs w:val="20"/>
        </w:rPr>
      </w:pPr>
      <w:r w:rsidRPr="00B74460">
        <w:rPr>
          <w:b/>
          <w:bCs/>
          <w:sz w:val="20"/>
          <w:szCs w:val="20"/>
        </w:rPr>
        <w:t xml:space="preserve">6.4.5. </w:t>
      </w:r>
      <w:r w:rsidRPr="00B74460">
        <w:rPr>
          <w:b/>
          <w:sz w:val="20"/>
          <w:szCs w:val="20"/>
        </w:rPr>
        <w:t xml:space="preserve">Rzędne wysokościowe </w:t>
      </w:r>
    </w:p>
    <w:p w:rsidR="00904BD7" w:rsidRDefault="00904BD7" w:rsidP="00904BD7">
      <w:pPr>
        <w:pStyle w:val="Default"/>
        <w:ind w:firstLine="709"/>
        <w:jc w:val="both"/>
        <w:rPr>
          <w:sz w:val="20"/>
          <w:szCs w:val="20"/>
        </w:rPr>
      </w:pPr>
      <w:r>
        <w:rPr>
          <w:sz w:val="20"/>
          <w:szCs w:val="20"/>
        </w:rPr>
        <w:t xml:space="preserve">Różnice pomiędzy rzędnymi wysokościowymi warstwy i rzędnymi projektowanymi nie powinny przekraczać -2 cm, +1 cm. </w:t>
      </w:r>
    </w:p>
    <w:p w:rsidR="00904BD7" w:rsidRDefault="00904BD7" w:rsidP="00904BD7">
      <w:pPr>
        <w:pStyle w:val="Default"/>
        <w:jc w:val="both"/>
        <w:rPr>
          <w:sz w:val="20"/>
          <w:szCs w:val="20"/>
        </w:rPr>
      </w:pPr>
    </w:p>
    <w:p w:rsidR="00904BD7" w:rsidRDefault="00904BD7" w:rsidP="00904BD7">
      <w:pPr>
        <w:pStyle w:val="Default"/>
        <w:jc w:val="both"/>
        <w:rPr>
          <w:sz w:val="20"/>
          <w:szCs w:val="20"/>
        </w:rPr>
      </w:pPr>
    </w:p>
    <w:p w:rsidR="00904BD7" w:rsidRDefault="00904BD7" w:rsidP="00904BD7">
      <w:pPr>
        <w:pStyle w:val="Default"/>
        <w:jc w:val="both"/>
        <w:rPr>
          <w:b/>
          <w:sz w:val="20"/>
          <w:szCs w:val="20"/>
        </w:rPr>
      </w:pPr>
      <w:r w:rsidRPr="00B74460">
        <w:rPr>
          <w:b/>
          <w:bCs/>
          <w:sz w:val="20"/>
          <w:szCs w:val="20"/>
        </w:rPr>
        <w:t xml:space="preserve">6.4.6. </w:t>
      </w:r>
      <w:r>
        <w:rPr>
          <w:b/>
          <w:sz w:val="20"/>
          <w:szCs w:val="20"/>
        </w:rPr>
        <w:t xml:space="preserve">Ukształtowanie osi warstwy </w:t>
      </w:r>
    </w:p>
    <w:p w:rsidR="00904BD7" w:rsidRDefault="00904BD7" w:rsidP="00904BD7">
      <w:pPr>
        <w:ind w:firstLine="709"/>
        <w:jc w:val="both"/>
      </w:pPr>
      <w:r>
        <w:t>Oś w planie nie może być przesunięta w stosunku do osi projektowanej o więcej niż +-/ 10 cm.</w:t>
      </w:r>
    </w:p>
    <w:p w:rsidR="00904BD7" w:rsidRDefault="00904BD7" w:rsidP="00904BD7">
      <w:pPr>
        <w:pStyle w:val="Default"/>
        <w:jc w:val="both"/>
        <w:rPr>
          <w:sz w:val="20"/>
          <w:szCs w:val="20"/>
        </w:rPr>
      </w:pPr>
    </w:p>
    <w:p w:rsidR="00904BD7" w:rsidRDefault="00904BD7" w:rsidP="00904BD7">
      <w:pPr>
        <w:pStyle w:val="Default"/>
        <w:jc w:val="both"/>
        <w:rPr>
          <w:sz w:val="20"/>
          <w:szCs w:val="20"/>
        </w:rPr>
      </w:pPr>
      <w:r w:rsidRPr="00B74460">
        <w:rPr>
          <w:b/>
          <w:bCs/>
          <w:sz w:val="20"/>
          <w:szCs w:val="20"/>
        </w:rPr>
        <w:t xml:space="preserve">6.4.7. </w:t>
      </w:r>
      <w:r w:rsidRPr="00B74460">
        <w:rPr>
          <w:b/>
          <w:sz w:val="20"/>
          <w:szCs w:val="20"/>
        </w:rPr>
        <w:t>Grubość warstwy</w:t>
      </w:r>
    </w:p>
    <w:p w:rsidR="00904BD7" w:rsidRDefault="00904BD7" w:rsidP="00904BD7">
      <w:pPr>
        <w:pStyle w:val="Default"/>
        <w:ind w:firstLine="709"/>
        <w:jc w:val="both"/>
        <w:rPr>
          <w:sz w:val="20"/>
          <w:szCs w:val="20"/>
        </w:rPr>
      </w:pPr>
      <w:r>
        <w:rPr>
          <w:sz w:val="20"/>
          <w:szCs w:val="20"/>
        </w:rPr>
        <w:t>Grubość nie może się różnić od grubości projektowanej o więcej niż +/- 10 %.</w:t>
      </w:r>
    </w:p>
    <w:p w:rsidR="00904BD7" w:rsidRDefault="00904BD7" w:rsidP="00904BD7">
      <w:pPr>
        <w:pStyle w:val="Default"/>
        <w:ind w:firstLine="709"/>
        <w:jc w:val="both"/>
        <w:rPr>
          <w:sz w:val="20"/>
          <w:szCs w:val="20"/>
        </w:rPr>
      </w:pPr>
    </w:p>
    <w:p w:rsidR="00904BD7" w:rsidRDefault="00904BD7" w:rsidP="00904BD7">
      <w:pPr>
        <w:pStyle w:val="Default"/>
        <w:jc w:val="both"/>
        <w:rPr>
          <w:b/>
          <w:bCs/>
          <w:sz w:val="20"/>
          <w:szCs w:val="20"/>
        </w:rPr>
      </w:pPr>
      <w:r>
        <w:rPr>
          <w:b/>
          <w:bCs/>
          <w:sz w:val="20"/>
          <w:szCs w:val="20"/>
        </w:rPr>
        <w:t xml:space="preserve">6.5. Zasady postępowania z wadliwie wykonanymi odcinkami </w:t>
      </w:r>
    </w:p>
    <w:p w:rsidR="00904BD7" w:rsidRDefault="00904BD7" w:rsidP="00904BD7">
      <w:pPr>
        <w:pStyle w:val="Default"/>
        <w:jc w:val="both"/>
        <w:rPr>
          <w:sz w:val="20"/>
          <w:szCs w:val="20"/>
        </w:rPr>
      </w:pPr>
    </w:p>
    <w:p w:rsidR="00904BD7" w:rsidRPr="00B74460" w:rsidRDefault="00904BD7" w:rsidP="00904BD7">
      <w:pPr>
        <w:pStyle w:val="Default"/>
        <w:jc w:val="both"/>
        <w:rPr>
          <w:b/>
          <w:sz w:val="20"/>
          <w:szCs w:val="20"/>
        </w:rPr>
      </w:pPr>
      <w:r w:rsidRPr="00B74460">
        <w:rPr>
          <w:b/>
          <w:bCs/>
          <w:sz w:val="20"/>
          <w:szCs w:val="20"/>
        </w:rPr>
        <w:t xml:space="preserve">6.5.1. </w:t>
      </w:r>
      <w:r w:rsidRPr="00B74460">
        <w:rPr>
          <w:b/>
          <w:sz w:val="20"/>
          <w:szCs w:val="20"/>
        </w:rPr>
        <w:t xml:space="preserve">Niewłaściwe cechy geometryczne warstwy </w:t>
      </w:r>
    </w:p>
    <w:p w:rsidR="00904BD7" w:rsidRDefault="00904BD7" w:rsidP="00904BD7">
      <w:pPr>
        <w:pStyle w:val="Default"/>
        <w:ind w:firstLine="709"/>
        <w:jc w:val="both"/>
        <w:rPr>
          <w:sz w:val="20"/>
          <w:szCs w:val="20"/>
        </w:rPr>
      </w:pPr>
      <w:r>
        <w:rPr>
          <w:sz w:val="20"/>
          <w:szCs w:val="20"/>
        </w:rPr>
        <w:t xml:space="preserve">Wszystkie powierzchnie warstwy, które wykazują większe odchylenia od określonych w punkcie 6.4 powinny być naprawione przez spulchnienie lub zerwanie do głębokości co najmniej 10 cm, wyrównane i powtórnie zagęszczone. Dodanie nowego materiału bez spulchnienia wykonanej warstwy jest niedopuszczalne. </w:t>
      </w:r>
    </w:p>
    <w:p w:rsidR="00904BD7" w:rsidRDefault="00904BD7" w:rsidP="00904BD7">
      <w:pPr>
        <w:pStyle w:val="Default"/>
        <w:ind w:firstLine="709"/>
        <w:jc w:val="both"/>
        <w:rPr>
          <w:sz w:val="20"/>
          <w:szCs w:val="20"/>
        </w:rPr>
      </w:pPr>
      <w:r>
        <w:rPr>
          <w:sz w:val="20"/>
          <w:szCs w:val="20"/>
        </w:rPr>
        <w:t xml:space="preserve">Jeżeli szerokość warstwy jest mniejsza od szerokości projektowanej o więcej niż 10 cm i nie zapewnia podparcia warstwom wyżej leżącym, to Wykonawca powinien na własny koszt poszerzyć warstwę przez spulchnienie jej na pełną grubość do połowy szerokości pasa ruchu, dołożenie materiału i powtórne zagęszczenie. </w:t>
      </w:r>
    </w:p>
    <w:p w:rsidR="00904BD7" w:rsidRPr="00B74460" w:rsidRDefault="00904BD7" w:rsidP="00904BD7">
      <w:pPr>
        <w:pStyle w:val="Default"/>
        <w:jc w:val="both"/>
        <w:rPr>
          <w:b/>
          <w:sz w:val="20"/>
          <w:szCs w:val="20"/>
        </w:rPr>
      </w:pPr>
      <w:r w:rsidRPr="00B74460">
        <w:rPr>
          <w:b/>
          <w:bCs/>
          <w:sz w:val="20"/>
          <w:szCs w:val="20"/>
        </w:rPr>
        <w:t>6.5.2</w:t>
      </w:r>
      <w:r w:rsidRPr="00B74460">
        <w:rPr>
          <w:b/>
          <w:sz w:val="20"/>
          <w:szCs w:val="20"/>
        </w:rPr>
        <w:t xml:space="preserve">. Niewłaściwa grubość warstwy </w:t>
      </w:r>
    </w:p>
    <w:p w:rsidR="00904BD7" w:rsidRDefault="00904BD7" w:rsidP="00904BD7">
      <w:pPr>
        <w:pStyle w:val="Default"/>
        <w:ind w:firstLine="709"/>
        <w:jc w:val="both"/>
        <w:rPr>
          <w:sz w:val="20"/>
          <w:szCs w:val="20"/>
        </w:rPr>
      </w:pPr>
      <w:r>
        <w:rPr>
          <w:sz w:val="20"/>
          <w:szCs w:val="20"/>
        </w:rPr>
        <w:t xml:space="preserve">Na wszystkich powierzchniach wadliwych pod względem grubości, Wykonawca wykona naprawę. Powierzchnie powinny być naprawione przez spulchnienie lub wybranie warstwy na odpowiednią głębokość, zgodnie z decyzją Inżyniera, uzupełnione nowym materiałem o odpowiednich właściwościach, wyrównane i ponownie zagęszczone. </w:t>
      </w:r>
    </w:p>
    <w:p w:rsidR="00904BD7" w:rsidRPr="00911B80" w:rsidRDefault="00904BD7" w:rsidP="00904BD7">
      <w:pPr>
        <w:pStyle w:val="Default"/>
        <w:ind w:firstLine="709"/>
        <w:jc w:val="both"/>
        <w:rPr>
          <w:sz w:val="20"/>
          <w:szCs w:val="20"/>
        </w:rPr>
      </w:pPr>
      <w:r>
        <w:rPr>
          <w:sz w:val="20"/>
          <w:szCs w:val="20"/>
        </w:rPr>
        <w:t xml:space="preserve">Roboty te Wykonawca wykona na własny koszt. Po wykonaniu tych robót nastąpi ponowny pomiar i ocena grubości warstwy, według wyżej podanych zasad, na koszt Wykonawcy. </w:t>
      </w:r>
    </w:p>
    <w:p w:rsidR="00904BD7" w:rsidRPr="009B6525" w:rsidRDefault="00904BD7" w:rsidP="00904BD7">
      <w:pPr>
        <w:widowControl w:val="0"/>
        <w:snapToGrid w:val="0"/>
        <w:spacing w:before="120" w:after="120"/>
        <w:ind w:right="6878"/>
        <w:rPr>
          <w:b/>
          <w:u w:val="single"/>
        </w:rPr>
      </w:pPr>
      <w:r w:rsidRPr="009B6525">
        <w:rPr>
          <w:b/>
          <w:u w:val="single"/>
        </w:rPr>
        <w:t>7. OBMIAR ROBÓT</w:t>
      </w:r>
    </w:p>
    <w:p w:rsidR="00904BD7" w:rsidRDefault="00904BD7" w:rsidP="00904BD7">
      <w:pPr>
        <w:pStyle w:val="Default"/>
        <w:ind w:firstLine="709"/>
        <w:jc w:val="both"/>
        <w:rPr>
          <w:sz w:val="20"/>
          <w:szCs w:val="20"/>
        </w:rPr>
      </w:pPr>
      <w:r>
        <w:rPr>
          <w:sz w:val="20"/>
          <w:szCs w:val="20"/>
        </w:rPr>
        <w:t xml:space="preserve">Ogólne zasady obmiaru robót podano w ST D-M-00.00.00 „Wymagania ogólne”. </w:t>
      </w:r>
    </w:p>
    <w:p w:rsidR="00904BD7" w:rsidRPr="00911B80" w:rsidRDefault="00904BD7" w:rsidP="00904BD7">
      <w:pPr>
        <w:pStyle w:val="Default"/>
        <w:jc w:val="both"/>
        <w:rPr>
          <w:sz w:val="20"/>
          <w:szCs w:val="20"/>
        </w:rPr>
      </w:pPr>
      <w:r>
        <w:rPr>
          <w:sz w:val="20"/>
          <w:szCs w:val="20"/>
        </w:rPr>
        <w:t>Jednostką obmiarową jest m2 (metr kwadratowy) wykonanej warst</w:t>
      </w:r>
      <w:r w:rsidRPr="00EC0C9B">
        <w:rPr>
          <w:sz w:val="20"/>
          <w:szCs w:val="20"/>
        </w:rPr>
        <w:t xml:space="preserve">wy o grubości </w:t>
      </w:r>
      <w:r>
        <w:rPr>
          <w:sz w:val="20"/>
          <w:szCs w:val="20"/>
        </w:rPr>
        <w:t>35 cm</w:t>
      </w:r>
      <w:r w:rsidRPr="00EC0C9B">
        <w:rPr>
          <w:sz w:val="20"/>
          <w:szCs w:val="20"/>
        </w:rPr>
        <w:t xml:space="preserve"> z mieszanki</w:t>
      </w:r>
      <w:r>
        <w:rPr>
          <w:sz w:val="20"/>
          <w:szCs w:val="20"/>
        </w:rPr>
        <w:t xml:space="preserve"> niezwiązanej stabilizowanej georusztem. </w:t>
      </w:r>
    </w:p>
    <w:p w:rsidR="00904BD7" w:rsidRPr="009B6525" w:rsidRDefault="00904BD7" w:rsidP="00904BD7">
      <w:pPr>
        <w:widowControl w:val="0"/>
        <w:snapToGrid w:val="0"/>
        <w:spacing w:before="120" w:after="120"/>
        <w:ind w:right="6878"/>
        <w:rPr>
          <w:b/>
          <w:u w:val="single"/>
        </w:rPr>
      </w:pPr>
      <w:r w:rsidRPr="009B6525">
        <w:rPr>
          <w:b/>
          <w:u w:val="single"/>
        </w:rPr>
        <w:t>8. ODBIÓR ROBÓT</w:t>
      </w:r>
    </w:p>
    <w:p w:rsidR="00904BD7" w:rsidRDefault="00904BD7" w:rsidP="00904BD7">
      <w:pPr>
        <w:pStyle w:val="Default"/>
        <w:ind w:firstLine="709"/>
        <w:jc w:val="both"/>
        <w:rPr>
          <w:sz w:val="20"/>
          <w:szCs w:val="20"/>
        </w:rPr>
      </w:pPr>
      <w:r>
        <w:rPr>
          <w:sz w:val="20"/>
          <w:szCs w:val="20"/>
        </w:rPr>
        <w:t xml:space="preserve">Ogólne zasady odbioru robót podano w ST D-M-00.00.00 „Wymagania ogólne”. </w:t>
      </w:r>
    </w:p>
    <w:p w:rsidR="00904BD7" w:rsidRPr="009B6525" w:rsidRDefault="00904BD7" w:rsidP="00904BD7">
      <w:pPr>
        <w:ind w:firstLine="709"/>
        <w:jc w:val="both"/>
      </w:pPr>
      <w:r>
        <w:t>Roboty uznaje się za zgodne z dokumentacją projektową, ST i wymaganiami Inżyniera, jeżeli wszystkie pomiary i badania z zachowaniem tolerancji wg pkt 6 dały wyniki pozytywne.</w:t>
      </w:r>
    </w:p>
    <w:p w:rsidR="00904BD7" w:rsidRDefault="00904BD7" w:rsidP="00904BD7">
      <w:pPr>
        <w:widowControl w:val="0"/>
        <w:snapToGrid w:val="0"/>
        <w:spacing w:before="120" w:after="120"/>
        <w:ind w:right="-5"/>
        <w:rPr>
          <w:b/>
          <w:u w:val="single"/>
        </w:rPr>
      </w:pPr>
      <w:r w:rsidRPr="009B6525">
        <w:rPr>
          <w:b/>
          <w:u w:val="single"/>
        </w:rPr>
        <w:t>9. PODSTAWA ŁATNOŚCI</w:t>
      </w:r>
    </w:p>
    <w:p w:rsidR="00904BD7" w:rsidRPr="001E4B0E" w:rsidRDefault="00904BD7" w:rsidP="00904BD7">
      <w:pPr>
        <w:autoSpaceDE w:val="0"/>
        <w:autoSpaceDN w:val="0"/>
        <w:adjustRightInd w:val="0"/>
        <w:jc w:val="both"/>
        <w:rPr>
          <w:rFonts w:cs="Calibri"/>
          <w:color w:val="000000"/>
        </w:rPr>
      </w:pPr>
      <w:r w:rsidRPr="001E4B0E">
        <w:rPr>
          <w:rFonts w:cs="Calibri"/>
          <w:b/>
          <w:bCs/>
          <w:color w:val="000000"/>
        </w:rPr>
        <w:t xml:space="preserve">9.1. Ogólne ustalenia dotyczące podstawy płatności </w:t>
      </w:r>
    </w:p>
    <w:p w:rsidR="00904BD7" w:rsidRDefault="00904BD7" w:rsidP="00904BD7">
      <w:pPr>
        <w:widowControl w:val="0"/>
        <w:snapToGrid w:val="0"/>
        <w:spacing w:before="120" w:after="120"/>
        <w:ind w:right="-5"/>
        <w:rPr>
          <w:b/>
          <w:u w:val="single"/>
        </w:rPr>
      </w:pPr>
      <w:r w:rsidRPr="001E4B0E">
        <w:rPr>
          <w:rFonts w:cs="Calibri"/>
          <w:color w:val="000000"/>
        </w:rPr>
        <w:t>Ogólne ustalenia dotyczące podstawy płatności podano w ST D-M-00.00.00 „Wymagania ogólne”.</w:t>
      </w:r>
    </w:p>
    <w:p w:rsidR="00904BD7" w:rsidRPr="001E4B0E" w:rsidRDefault="00904BD7" w:rsidP="00904BD7">
      <w:pPr>
        <w:autoSpaceDE w:val="0"/>
        <w:autoSpaceDN w:val="0"/>
        <w:adjustRightInd w:val="0"/>
        <w:jc w:val="both"/>
        <w:rPr>
          <w:rFonts w:cs="Calibri"/>
          <w:color w:val="000000"/>
        </w:rPr>
      </w:pPr>
      <w:r w:rsidRPr="001E4B0E">
        <w:rPr>
          <w:rFonts w:cs="Calibri"/>
          <w:b/>
          <w:bCs/>
          <w:color w:val="000000"/>
        </w:rPr>
        <w:t xml:space="preserve">9.2. Cena jednostki obmiarowej </w:t>
      </w:r>
    </w:p>
    <w:p w:rsidR="00904BD7" w:rsidRPr="001E4B0E" w:rsidRDefault="00904BD7" w:rsidP="00904BD7">
      <w:pPr>
        <w:autoSpaceDE w:val="0"/>
        <w:autoSpaceDN w:val="0"/>
        <w:adjustRightInd w:val="0"/>
        <w:jc w:val="both"/>
        <w:rPr>
          <w:rFonts w:cs="Calibri"/>
          <w:color w:val="000000"/>
        </w:rPr>
      </w:pPr>
      <w:r>
        <w:rPr>
          <w:rFonts w:cs="Calibri"/>
          <w:color w:val="000000"/>
        </w:rPr>
        <w:t xml:space="preserve">Cena wykonania 1 m2 </w:t>
      </w:r>
      <w:r w:rsidRPr="001E4B0E">
        <w:rPr>
          <w:rFonts w:cs="Calibri"/>
          <w:color w:val="000000"/>
        </w:rPr>
        <w:t xml:space="preserve">robót obejmuje: </w:t>
      </w:r>
    </w:p>
    <w:p w:rsidR="00904BD7" w:rsidRPr="00D97ABE" w:rsidRDefault="00904BD7" w:rsidP="0097494B">
      <w:pPr>
        <w:pStyle w:val="Akapitzlist"/>
        <w:numPr>
          <w:ilvl w:val="0"/>
          <w:numId w:val="85"/>
        </w:numPr>
        <w:autoSpaceDE w:val="0"/>
        <w:autoSpaceDN w:val="0"/>
        <w:adjustRightInd w:val="0"/>
        <w:spacing w:after="25"/>
        <w:jc w:val="both"/>
        <w:rPr>
          <w:rFonts w:cs="Calibri"/>
          <w:color w:val="000000"/>
          <w:sz w:val="20"/>
          <w:szCs w:val="20"/>
        </w:rPr>
      </w:pPr>
      <w:r w:rsidRPr="00D97ABE">
        <w:rPr>
          <w:rFonts w:cs="Calibri"/>
          <w:color w:val="000000"/>
          <w:sz w:val="20"/>
          <w:szCs w:val="20"/>
        </w:rPr>
        <w:t xml:space="preserve">prace pomiarowe i roboty przygotowawcze, </w:t>
      </w:r>
    </w:p>
    <w:p w:rsidR="00904BD7" w:rsidRPr="00D97ABE" w:rsidRDefault="00904BD7" w:rsidP="0097494B">
      <w:pPr>
        <w:pStyle w:val="Akapitzlist"/>
        <w:numPr>
          <w:ilvl w:val="0"/>
          <w:numId w:val="85"/>
        </w:numPr>
        <w:autoSpaceDE w:val="0"/>
        <w:autoSpaceDN w:val="0"/>
        <w:adjustRightInd w:val="0"/>
        <w:spacing w:after="25"/>
        <w:jc w:val="both"/>
        <w:rPr>
          <w:rFonts w:cs="Calibri"/>
          <w:color w:val="000000"/>
          <w:sz w:val="20"/>
          <w:szCs w:val="20"/>
        </w:rPr>
      </w:pPr>
      <w:r w:rsidRPr="00D97ABE">
        <w:rPr>
          <w:rFonts w:cs="Calibri"/>
          <w:color w:val="000000"/>
          <w:sz w:val="20"/>
          <w:szCs w:val="20"/>
        </w:rPr>
        <w:t xml:space="preserve">oznakowanie prowadzonych robót, </w:t>
      </w:r>
    </w:p>
    <w:p w:rsidR="00904BD7" w:rsidRPr="00D97ABE" w:rsidRDefault="00904BD7" w:rsidP="0097494B">
      <w:pPr>
        <w:pStyle w:val="Akapitzlist"/>
        <w:numPr>
          <w:ilvl w:val="0"/>
          <w:numId w:val="85"/>
        </w:numPr>
        <w:autoSpaceDE w:val="0"/>
        <w:autoSpaceDN w:val="0"/>
        <w:adjustRightInd w:val="0"/>
        <w:spacing w:after="25"/>
        <w:jc w:val="both"/>
        <w:rPr>
          <w:rFonts w:cs="Calibri"/>
          <w:color w:val="000000"/>
          <w:sz w:val="20"/>
          <w:szCs w:val="20"/>
        </w:rPr>
      </w:pPr>
      <w:r w:rsidRPr="00D97ABE">
        <w:rPr>
          <w:rFonts w:cs="Calibri"/>
          <w:color w:val="000000"/>
          <w:sz w:val="20"/>
          <w:szCs w:val="20"/>
        </w:rPr>
        <w:t xml:space="preserve">zakup i dostarczenie materiałów do wykonania </w:t>
      </w:r>
      <w:r>
        <w:rPr>
          <w:rFonts w:cs="Calibri"/>
          <w:color w:val="000000"/>
          <w:sz w:val="20"/>
          <w:szCs w:val="20"/>
        </w:rPr>
        <w:t>warstwy ulepszonego podłoża</w:t>
      </w:r>
      <w:r w:rsidRPr="00D97ABE">
        <w:rPr>
          <w:rFonts w:cs="Calibri"/>
          <w:color w:val="000000"/>
          <w:sz w:val="20"/>
          <w:szCs w:val="20"/>
        </w:rPr>
        <w:t xml:space="preserve">, </w:t>
      </w:r>
    </w:p>
    <w:p w:rsidR="00904BD7" w:rsidRPr="00D97ABE" w:rsidRDefault="00904BD7" w:rsidP="0097494B">
      <w:pPr>
        <w:pStyle w:val="Akapitzlist"/>
        <w:numPr>
          <w:ilvl w:val="0"/>
          <w:numId w:val="85"/>
        </w:numPr>
        <w:autoSpaceDE w:val="0"/>
        <w:autoSpaceDN w:val="0"/>
        <w:adjustRightInd w:val="0"/>
        <w:spacing w:after="25"/>
        <w:jc w:val="both"/>
        <w:rPr>
          <w:rFonts w:cs="Calibri"/>
          <w:color w:val="000000"/>
          <w:sz w:val="20"/>
          <w:szCs w:val="20"/>
        </w:rPr>
      </w:pPr>
      <w:r w:rsidRPr="00D97ABE">
        <w:rPr>
          <w:rFonts w:cs="Calibri"/>
          <w:color w:val="000000"/>
          <w:sz w:val="20"/>
          <w:szCs w:val="20"/>
        </w:rPr>
        <w:t xml:space="preserve">dostarczenie sprzętu niezbędnego do wykonania </w:t>
      </w:r>
      <w:r>
        <w:rPr>
          <w:rFonts w:cs="Calibri"/>
          <w:color w:val="000000"/>
          <w:sz w:val="20"/>
          <w:szCs w:val="20"/>
        </w:rPr>
        <w:t>warstwy ulepszonego podłoża</w:t>
      </w:r>
      <w:r w:rsidRPr="00D97ABE">
        <w:rPr>
          <w:rFonts w:cs="Calibri"/>
          <w:color w:val="000000"/>
          <w:sz w:val="20"/>
          <w:szCs w:val="20"/>
        </w:rPr>
        <w:t xml:space="preserve">, </w:t>
      </w:r>
    </w:p>
    <w:p w:rsidR="00904BD7" w:rsidRPr="00D97ABE" w:rsidRDefault="00904BD7" w:rsidP="0097494B">
      <w:pPr>
        <w:pStyle w:val="Akapitzlist"/>
        <w:numPr>
          <w:ilvl w:val="0"/>
          <w:numId w:val="85"/>
        </w:numPr>
        <w:autoSpaceDE w:val="0"/>
        <w:autoSpaceDN w:val="0"/>
        <w:adjustRightInd w:val="0"/>
        <w:spacing w:after="25"/>
        <w:jc w:val="both"/>
        <w:rPr>
          <w:rFonts w:cs="Calibri"/>
          <w:color w:val="000000"/>
          <w:sz w:val="20"/>
          <w:szCs w:val="20"/>
        </w:rPr>
      </w:pPr>
      <w:r>
        <w:rPr>
          <w:rFonts w:cs="Calibri"/>
          <w:color w:val="000000"/>
          <w:sz w:val="20"/>
          <w:szCs w:val="20"/>
        </w:rPr>
        <w:t>przygotowanie</w:t>
      </w:r>
      <w:r w:rsidRPr="00D97ABE">
        <w:rPr>
          <w:rFonts w:cs="Calibri"/>
          <w:color w:val="000000"/>
          <w:sz w:val="20"/>
          <w:szCs w:val="20"/>
        </w:rPr>
        <w:t xml:space="preserve"> podłoża</w:t>
      </w:r>
      <w:r>
        <w:rPr>
          <w:rFonts w:cs="Calibri"/>
          <w:color w:val="000000"/>
          <w:sz w:val="20"/>
          <w:szCs w:val="20"/>
        </w:rPr>
        <w:t>, w tym ewentualne doprowadzenie go do wymaganej nośności</w:t>
      </w:r>
      <w:r w:rsidRPr="00D97ABE">
        <w:rPr>
          <w:rFonts w:cs="Calibri"/>
          <w:color w:val="000000"/>
          <w:sz w:val="20"/>
          <w:szCs w:val="20"/>
        </w:rPr>
        <w:t xml:space="preserve">, </w:t>
      </w:r>
    </w:p>
    <w:p w:rsidR="00904BD7" w:rsidRPr="00D97ABE" w:rsidRDefault="00904BD7" w:rsidP="0097494B">
      <w:pPr>
        <w:pStyle w:val="Akapitzlist"/>
        <w:numPr>
          <w:ilvl w:val="0"/>
          <w:numId w:val="85"/>
        </w:numPr>
        <w:autoSpaceDE w:val="0"/>
        <w:autoSpaceDN w:val="0"/>
        <w:adjustRightInd w:val="0"/>
        <w:spacing w:after="25"/>
        <w:jc w:val="both"/>
        <w:rPr>
          <w:rFonts w:cs="Calibri"/>
          <w:color w:val="000000"/>
          <w:sz w:val="20"/>
          <w:szCs w:val="20"/>
        </w:rPr>
      </w:pPr>
      <w:r w:rsidRPr="00D97ABE">
        <w:rPr>
          <w:rFonts w:cs="Calibri"/>
          <w:color w:val="000000"/>
          <w:sz w:val="20"/>
          <w:szCs w:val="20"/>
        </w:rPr>
        <w:t xml:space="preserve">opracowanie recepty na wykonanie mieszanki z kruszywa, </w:t>
      </w:r>
    </w:p>
    <w:p w:rsidR="00904BD7" w:rsidRPr="00D97ABE" w:rsidRDefault="00904BD7" w:rsidP="0097494B">
      <w:pPr>
        <w:pStyle w:val="Akapitzlist"/>
        <w:numPr>
          <w:ilvl w:val="0"/>
          <w:numId w:val="85"/>
        </w:numPr>
        <w:autoSpaceDE w:val="0"/>
        <w:autoSpaceDN w:val="0"/>
        <w:adjustRightInd w:val="0"/>
        <w:spacing w:after="25"/>
        <w:jc w:val="both"/>
        <w:rPr>
          <w:rFonts w:cs="Calibri"/>
          <w:color w:val="000000"/>
          <w:sz w:val="20"/>
          <w:szCs w:val="20"/>
        </w:rPr>
      </w:pPr>
      <w:r w:rsidRPr="00D97ABE">
        <w:rPr>
          <w:rFonts w:cs="Calibri"/>
          <w:color w:val="000000"/>
          <w:sz w:val="20"/>
          <w:szCs w:val="20"/>
        </w:rPr>
        <w:t xml:space="preserve">przygotowanie mieszanki z kruszywa, zgodnie z receptą, </w:t>
      </w:r>
    </w:p>
    <w:p w:rsidR="00904BD7" w:rsidRPr="00D97ABE" w:rsidRDefault="00904BD7" w:rsidP="0097494B">
      <w:pPr>
        <w:pStyle w:val="Akapitzlist"/>
        <w:numPr>
          <w:ilvl w:val="0"/>
          <w:numId w:val="85"/>
        </w:numPr>
        <w:autoSpaceDE w:val="0"/>
        <w:autoSpaceDN w:val="0"/>
        <w:adjustRightInd w:val="0"/>
        <w:spacing w:after="25"/>
        <w:jc w:val="both"/>
        <w:rPr>
          <w:rFonts w:cs="Calibri"/>
          <w:color w:val="000000"/>
          <w:sz w:val="20"/>
          <w:szCs w:val="20"/>
        </w:rPr>
      </w:pPr>
      <w:r w:rsidRPr="00D97ABE">
        <w:rPr>
          <w:rFonts w:cs="Calibri"/>
          <w:color w:val="000000"/>
          <w:sz w:val="20"/>
          <w:szCs w:val="20"/>
        </w:rPr>
        <w:t xml:space="preserve">dostarczenie mieszanki na miejsce wbudowania, </w:t>
      </w:r>
    </w:p>
    <w:p w:rsidR="00904BD7" w:rsidRPr="00D97ABE" w:rsidRDefault="00904BD7" w:rsidP="0097494B">
      <w:pPr>
        <w:pStyle w:val="Akapitzlist"/>
        <w:numPr>
          <w:ilvl w:val="0"/>
          <w:numId w:val="85"/>
        </w:numPr>
        <w:autoSpaceDE w:val="0"/>
        <w:autoSpaceDN w:val="0"/>
        <w:adjustRightInd w:val="0"/>
        <w:spacing w:after="25"/>
        <w:jc w:val="both"/>
        <w:rPr>
          <w:rFonts w:cs="Calibri"/>
          <w:color w:val="000000"/>
          <w:sz w:val="20"/>
          <w:szCs w:val="20"/>
        </w:rPr>
      </w:pPr>
      <w:r w:rsidRPr="00D97ABE">
        <w:rPr>
          <w:rFonts w:cs="Calibri"/>
          <w:color w:val="000000"/>
          <w:sz w:val="20"/>
          <w:szCs w:val="20"/>
        </w:rPr>
        <w:t xml:space="preserve">wykonanie odcinka próbnego, </w:t>
      </w:r>
    </w:p>
    <w:p w:rsidR="00904BD7" w:rsidRDefault="00904BD7" w:rsidP="0097494B">
      <w:pPr>
        <w:pStyle w:val="Akapitzlist"/>
        <w:numPr>
          <w:ilvl w:val="0"/>
          <w:numId w:val="85"/>
        </w:numPr>
        <w:autoSpaceDE w:val="0"/>
        <w:autoSpaceDN w:val="0"/>
        <w:adjustRightInd w:val="0"/>
        <w:spacing w:after="25"/>
        <w:jc w:val="both"/>
        <w:rPr>
          <w:rFonts w:cs="Calibri"/>
          <w:color w:val="000000"/>
          <w:sz w:val="20"/>
          <w:szCs w:val="20"/>
        </w:rPr>
      </w:pPr>
      <w:r>
        <w:rPr>
          <w:rFonts w:cs="Calibri"/>
          <w:color w:val="000000"/>
          <w:sz w:val="20"/>
          <w:szCs w:val="20"/>
        </w:rPr>
        <w:t>rozłożenie geosyntetyków,</w:t>
      </w:r>
    </w:p>
    <w:p w:rsidR="00904BD7" w:rsidRPr="00D97ABE" w:rsidRDefault="00904BD7" w:rsidP="0097494B">
      <w:pPr>
        <w:pStyle w:val="Akapitzlist"/>
        <w:numPr>
          <w:ilvl w:val="0"/>
          <w:numId w:val="85"/>
        </w:numPr>
        <w:autoSpaceDE w:val="0"/>
        <w:autoSpaceDN w:val="0"/>
        <w:adjustRightInd w:val="0"/>
        <w:spacing w:after="25"/>
        <w:jc w:val="both"/>
        <w:rPr>
          <w:rFonts w:cs="Calibri"/>
          <w:color w:val="000000"/>
          <w:sz w:val="20"/>
          <w:szCs w:val="20"/>
        </w:rPr>
      </w:pPr>
      <w:r w:rsidRPr="00D97ABE">
        <w:rPr>
          <w:rFonts w:cs="Calibri"/>
          <w:color w:val="000000"/>
          <w:sz w:val="20"/>
          <w:szCs w:val="20"/>
        </w:rPr>
        <w:t xml:space="preserve">rozłożenie mieszanki, </w:t>
      </w:r>
    </w:p>
    <w:p w:rsidR="00904BD7" w:rsidRPr="00D97ABE" w:rsidRDefault="00904BD7" w:rsidP="0097494B">
      <w:pPr>
        <w:pStyle w:val="Akapitzlist"/>
        <w:numPr>
          <w:ilvl w:val="0"/>
          <w:numId w:val="85"/>
        </w:numPr>
        <w:autoSpaceDE w:val="0"/>
        <w:autoSpaceDN w:val="0"/>
        <w:adjustRightInd w:val="0"/>
        <w:spacing w:after="25"/>
        <w:jc w:val="both"/>
        <w:rPr>
          <w:rFonts w:cs="Calibri"/>
          <w:color w:val="000000"/>
          <w:sz w:val="20"/>
          <w:szCs w:val="20"/>
        </w:rPr>
      </w:pPr>
      <w:r w:rsidRPr="00D97ABE">
        <w:rPr>
          <w:rFonts w:cs="Calibri"/>
          <w:color w:val="000000"/>
          <w:sz w:val="20"/>
          <w:szCs w:val="20"/>
        </w:rPr>
        <w:t xml:space="preserve">zagęszczenie rozłożonej mieszanki, </w:t>
      </w:r>
    </w:p>
    <w:p w:rsidR="00904BD7" w:rsidRPr="00D97ABE" w:rsidRDefault="00904BD7" w:rsidP="0097494B">
      <w:pPr>
        <w:pStyle w:val="Akapitzlist"/>
        <w:numPr>
          <w:ilvl w:val="0"/>
          <w:numId w:val="85"/>
        </w:numPr>
        <w:autoSpaceDE w:val="0"/>
        <w:autoSpaceDN w:val="0"/>
        <w:adjustRightInd w:val="0"/>
        <w:spacing w:after="25"/>
        <w:jc w:val="both"/>
        <w:rPr>
          <w:rFonts w:cs="Calibri"/>
          <w:color w:val="000000"/>
          <w:sz w:val="20"/>
          <w:szCs w:val="20"/>
        </w:rPr>
      </w:pPr>
      <w:r w:rsidRPr="00D97ABE">
        <w:rPr>
          <w:rFonts w:cs="Calibri"/>
          <w:color w:val="000000"/>
          <w:sz w:val="20"/>
          <w:szCs w:val="20"/>
        </w:rPr>
        <w:t xml:space="preserve">przeprowadzenie pomiarów i badań laboratoryjnych określonych w ST, </w:t>
      </w:r>
    </w:p>
    <w:p w:rsidR="00904BD7" w:rsidRPr="00D97ABE" w:rsidRDefault="00904BD7" w:rsidP="0097494B">
      <w:pPr>
        <w:pStyle w:val="Akapitzlist"/>
        <w:numPr>
          <w:ilvl w:val="0"/>
          <w:numId w:val="85"/>
        </w:numPr>
        <w:autoSpaceDE w:val="0"/>
        <w:autoSpaceDN w:val="0"/>
        <w:adjustRightInd w:val="0"/>
        <w:spacing w:after="25"/>
        <w:jc w:val="both"/>
        <w:rPr>
          <w:rFonts w:cs="Calibri"/>
          <w:color w:val="000000"/>
          <w:sz w:val="20"/>
          <w:szCs w:val="20"/>
        </w:rPr>
      </w:pPr>
      <w:r w:rsidRPr="00D97ABE">
        <w:rPr>
          <w:rFonts w:cs="Calibri"/>
          <w:color w:val="000000"/>
          <w:sz w:val="20"/>
          <w:szCs w:val="20"/>
        </w:rPr>
        <w:t xml:space="preserve">utrzymanie </w:t>
      </w:r>
      <w:r>
        <w:rPr>
          <w:rFonts w:cs="Calibri"/>
          <w:color w:val="000000"/>
          <w:sz w:val="20"/>
          <w:szCs w:val="20"/>
        </w:rPr>
        <w:t>warstwy ulepszonego podłoża</w:t>
      </w:r>
      <w:r w:rsidRPr="00D97ABE">
        <w:rPr>
          <w:rFonts w:cs="Calibri"/>
          <w:color w:val="000000"/>
          <w:sz w:val="20"/>
          <w:szCs w:val="20"/>
        </w:rPr>
        <w:t xml:space="preserve"> w czasie robót, </w:t>
      </w:r>
    </w:p>
    <w:p w:rsidR="00904BD7" w:rsidRDefault="00904BD7" w:rsidP="0097494B">
      <w:pPr>
        <w:pStyle w:val="Akapitzlist"/>
        <w:numPr>
          <w:ilvl w:val="0"/>
          <w:numId w:val="85"/>
        </w:numPr>
        <w:autoSpaceDE w:val="0"/>
        <w:autoSpaceDN w:val="0"/>
        <w:adjustRightInd w:val="0"/>
        <w:jc w:val="both"/>
        <w:rPr>
          <w:rFonts w:cs="Calibri"/>
          <w:color w:val="000000"/>
          <w:sz w:val="20"/>
          <w:szCs w:val="20"/>
        </w:rPr>
      </w:pPr>
      <w:r>
        <w:rPr>
          <w:rFonts w:cs="Calibri"/>
          <w:color w:val="000000"/>
          <w:sz w:val="20"/>
          <w:szCs w:val="20"/>
        </w:rPr>
        <w:t>odwodnienie terenu na czas prowadzenia robót,</w:t>
      </w:r>
    </w:p>
    <w:p w:rsidR="00904BD7" w:rsidRDefault="00904BD7" w:rsidP="0097494B">
      <w:pPr>
        <w:pStyle w:val="Akapitzlist"/>
        <w:numPr>
          <w:ilvl w:val="0"/>
          <w:numId w:val="85"/>
        </w:numPr>
        <w:autoSpaceDE w:val="0"/>
        <w:autoSpaceDN w:val="0"/>
        <w:adjustRightInd w:val="0"/>
        <w:jc w:val="both"/>
        <w:rPr>
          <w:rFonts w:cs="Calibri"/>
          <w:color w:val="000000"/>
          <w:sz w:val="20"/>
          <w:szCs w:val="20"/>
        </w:rPr>
      </w:pPr>
      <w:r w:rsidRPr="00D97ABE">
        <w:rPr>
          <w:rFonts w:cs="Calibri"/>
          <w:color w:val="000000"/>
          <w:sz w:val="20"/>
          <w:szCs w:val="20"/>
        </w:rPr>
        <w:t xml:space="preserve">uporządkowanie miejsca prowadzonych robót. </w:t>
      </w:r>
    </w:p>
    <w:p w:rsidR="00904BD7" w:rsidRPr="00AD0861" w:rsidRDefault="00AD0861" w:rsidP="00AD0861">
      <w:pPr>
        <w:pStyle w:val="Akapitzlist"/>
        <w:numPr>
          <w:ilvl w:val="0"/>
          <w:numId w:val="85"/>
        </w:numPr>
        <w:autoSpaceDE w:val="0"/>
        <w:autoSpaceDN w:val="0"/>
        <w:adjustRightInd w:val="0"/>
        <w:jc w:val="both"/>
        <w:rPr>
          <w:rFonts w:cs="Calibri"/>
          <w:color w:val="000000"/>
          <w:sz w:val="20"/>
          <w:szCs w:val="20"/>
        </w:rPr>
      </w:pPr>
      <w:r>
        <w:rPr>
          <w:rFonts w:cs="Calibri"/>
          <w:color w:val="000000"/>
          <w:sz w:val="20"/>
          <w:szCs w:val="20"/>
        </w:rPr>
        <w:t xml:space="preserve">Wykonanie poboczy gruntowych z </w:t>
      </w:r>
      <w:r w:rsidRPr="00AD0861">
        <w:rPr>
          <w:rFonts w:cs="Calibri"/>
          <w:color w:val="000000"/>
          <w:sz w:val="20"/>
          <w:szCs w:val="20"/>
        </w:rPr>
        <w:t>kruszywa łamanego stabilizowanego mechanicznie 0/31,5 gr. 15 cm</w:t>
      </w:r>
    </w:p>
    <w:p w:rsidR="00904BD7" w:rsidRPr="009B6525" w:rsidRDefault="00904BD7" w:rsidP="00904BD7">
      <w:pPr>
        <w:widowControl w:val="0"/>
        <w:spacing w:before="120" w:after="120"/>
        <w:rPr>
          <w:b/>
          <w:szCs w:val="19"/>
          <w:u w:val="single"/>
        </w:rPr>
      </w:pPr>
      <w:r w:rsidRPr="009B6525">
        <w:rPr>
          <w:b/>
          <w:szCs w:val="19"/>
          <w:u w:val="single"/>
        </w:rPr>
        <w:t>10. PRZEPISY ZWIĄZANE</w:t>
      </w:r>
    </w:p>
    <w:tbl>
      <w:tblPr>
        <w:tblW w:w="0" w:type="auto"/>
        <w:tblLayout w:type="fixed"/>
        <w:tblLook w:val="0000" w:firstRow="0" w:lastRow="0" w:firstColumn="0" w:lastColumn="0" w:noHBand="0" w:noVBand="0"/>
      </w:tblPr>
      <w:tblGrid>
        <w:gridCol w:w="4492"/>
        <w:gridCol w:w="4492"/>
      </w:tblGrid>
      <w:tr w:rsidR="00904BD7" w:rsidRPr="00C67C90" w:rsidTr="00904BD7">
        <w:trPr>
          <w:trHeight w:val="99"/>
        </w:trPr>
        <w:tc>
          <w:tcPr>
            <w:tcW w:w="4492" w:type="dxa"/>
          </w:tcPr>
          <w:p w:rsidR="00904BD7" w:rsidRPr="00C67C90" w:rsidRDefault="00904BD7" w:rsidP="00904BD7">
            <w:pPr>
              <w:autoSpaceDE w:val="0"/>
              <w:autoSpaceDN w:val="0"/>
              <w:adjustRightInd w:val="0"/>
              <w:jc w:val="both"/>
              <w:rPr>
                <w:rFonts w:cs="Calibri"/>
                <w:b/>
                <w:bCs/>
                <w:color w:val="000000"/>
              </w:rPr>
            </w:pPr>
          </w:p>
          <w:p w:rsidR="00904BD7" w:rsidRPr="00911B80" w:rsidRDefault="00904BD7" w:rsidP="00904BD7">
            <w:pPr>
              <w:autoSpaceDE w:val="0"/>
              <w:autoSpaceDN w:val="0"/>
              <w:adjustRightInd w:val="0"/>
              <w:jc w:val="both"/>
              <w:rPr>
                <w:rFonts w:cs="Calibri"/>
                <w:b/>
                <w:bCs/>
                <w:color w:val="000000"/>
                <w:lang w:val="en-US"/>
              </w:rPr>
            </w:pPr>
            <w:r w:rsidRPr="00911B80">
              <w:rPr>
                <w:rFonts w:cs="Calibri"/>
                <w:b/>
                <w:bCs/>
                <w:color w:val="000000"/>
                <w:lang w:val="en-US"/>
              </w:rPr>
              <w:t xml:space="preserve">10.1. Normy </w:t>
            </w:r>
          </w:p>
          <w:p w:rsidR="00904BD7" w:rsidRPr="00911B80" w:rsidRDefault="00904BD7" w:rsidP="00904BD7">
            <w:pPr>
              <w:autoSpaceDE w:val="0"/>
              <w:autoSpaceDN w:val="0"/>
              <w:adjustRightInd w:val="0"/>
              <w:jc w:val="both"/>
              <w:rPr>
                <w:rFonts w:cs="Calibri"/>
                <w:color w:val="000000"/>
                <w:lang w:val="en-US"/>
              </w:rPr>
            </w:pPr>
          </w:p>
          <w:p w:rsidR="00904BD7" w:rsidRPr="00C67C90" w:rsidRDefault="00904BD7" w:rsidP="00904BD7">
            <w:pPr>
              <w:autoSpaceDE w:val="0"/>
              <w:autoSpaceDN w:val="0"/>
              <w:adjustRightInd w:val="0"/>
              <w:jc w:val="both"/>
              <w:rPr>
                <w:rFonts w:cs="Calibri"/>
                <w:color w:val="000000"/>
                <w:lang w:val="en-US"/>
              </w:rPr>
            </w:pPr>
            <w:r w:rsidRPr="00C67C90">
              <w:rPr>
                <w:rFonts w:cs="Calibri"/>
                <w:color w:val="000000"/>
                <w:lang w:val="en-US"/>
              </w:rPr>
              <w:t>PN-EN ISO 14688-1</w:t>
            </w:r>
          </w:p>
          <w:p w:rsidR="00904BD7" w:rsidRPr="00C67C90" w:rsidRDefault="00904BD7" w:rsidP="00904BD7">
            <w:pPr>
              <w:autoSpaceDE w:val="0"/>
              <w:autoSpaceDN w:val="0"/>
              <w:adjustRightInd w:val="0"/>
              <w:jc w:val="both"/>
              <w:rPr>
                <w:rFonts w:cs="Calibri"/>
                <w:color w:val="000000"/>
                <w:lang w:val="en-US"/>
              </w:rPr>
            </w:pPr>
          </w:p>
          <w:p w:rsidR="00904BD7" w:rsidRPr="00C67C90" w:rsidRDefault="00904BD7" w:rsidP="00904BD7">
            <w:pPr>
              <w:autoSpaceDE w:val="0"/>
              <w:autoSpaceDN w:val="0"/>
              <w:adjustRightInd w:val="0"/>
              <w:jc w:val="both"/>
              <w:rPr>
                <w:rFonts w:cs="Calibri"/>
                <w:color w:val="000000"/>
                <w:lang w:val="en-US"/>
              </w:rPr>
            </w:pPr>
            <w:r w:rsidRPr="00C67C90">
              <w:rPr>
                <w:rFonts w:cs="Calibri"/>
                <w:color w:val="000000"/>
                <w:lang w:val="en-US"/>
              </w:rPr>
              <w:t>PN—ENISO 14688-2</w:t>
            </w:r>
          </w:p>
          <w:p w:rsidR="00904BD7" w:rsidRPr="00373257" w:rsidRDefault="00904BD7" w:rsidP="00904BD7">
            <w:pPr>
              <w:autoSpaceDE w:val="0"/>
              <w:autoSpaceDN w:val="0"/>
              <w:adjustRightInd w:val="0"/>
              <w:jc w:val="both"/>
              <w:rPr>
                <w:rFonts w:cs="Calibri"/>
                <w:color w:val="000000"/>
                <w:lang w:val="en-GB"/>
              </w:rPr>
            </w:pPr>
          </w:p>
          <w:p w:rsidR="00904BD7" w:rsidRPr="00373257" w:rsidRDefault="00904BD7" w:rsidP="00904BD7">
            <w:pPr>
              <w:autoSpaceDE w:val="0"/>
              <w:autoSpaceDN w:val="0"/>
              <w:adjustRightInd w:val="0"/>
              <w:jc w:val="both"/>
              <w:rPr>
                <w:rFonts w:cs="Calibri"/>
                <w:color w:val="000000"/>
                <w:lang w:val="en-GB"/>
              </w:rPr>
            </w:pPr>
          </w:p>
          <w:p w:rsidR="00904BD7" w:rsidRPr="00373257" w:rsidRDefault="00904BD7" w:rsidP="00904BD7">
            <w:pPr>
              <w:autoSpaceDE w:val="0"/>
              <w:autoSpaceDN w:val="0"/>
              <w:adjustRightInd w:val="0"/>
              <w:jc w:val="both"/>
              <w:rPr>
                <w:rFonts w:cs="Calibri"/>
                <w:color w:val="000000"/>
                <w:lang w:val="en-GB"/>
              </w:rPr>
            </w:pPr>
          </w:p>
          <w:p w:rsidR="00904BD7" w:rsidRPr="00C67C90" w:rsidRDefault="00904BD7" w:rsidP="00904BD7">
            <w:pPr>
              <w:autoSpaceDE w:val="0"/>
              <w:autoSpaceDN w:val="0"/>
              <w:adjustRightInd w:val="0"/>
              <w:jc w:val="both"/>
              <w:rPr>
                <w:rFonts w:cs="Calibri"/>
                <w:color w:val="000000"/>
              </w:rPr>
            </w:pPr>
            <w:r w:rsidRPr="00C67C90">
              <w:rPr>
                <w:rFonts w:cs="Calibri"/>
                <w:color w:val="000000"/>
              </w:rPr>
              <w:t xml:space="preserve">PN-EN 13249 </w:t>
            </w:r>
          </w:p>
        </w:tc>
        <w:tc>
          <w:tcPr>
            <w:tcW w:w="4492" w:type="dxa"/>
          </w:tcPr>
          <w:p w:rsidR="00904BD7" w:rsidRPr="00373257" w:rsidRDefault="00904BD7" w:rsidP="00904BD7">
            <w:pPr>
              <w:autoSpaceDE w:val="0"/>
              <w:autoSpaceDN w:val="0"/>
              <w:adjustRightInd w:val="0"/>
              <w:jc w:val="both"/>
              <w:rPr>
                <w:rFonts w:cs="Calibri"/>
                <w:color w:val="000000"/>
              </w:rPr>
            </w:pPr>
          </w:p>
          <w:p w:rsidR="00904BD7" w:rsidRPr="00373257" w:rsidRDefault="00904BD7" w:rsidP="00904BD7">
            <w:pPr>
              <w:autoSpaceDE w:val="0"/>
              <w:autoSpaceDN w:val="0"/>
              <w:adjustRightInd w:val="0"/>
              <w:jc w:val="both"/>
              <w:rPr>
                <w:rFonts w:cs="Calibri"/>
                <w:color w:val="000000"/>
              </w:rPr>
            </w:pPr>
          </w:p>
          <w:p w:rsidR="00904BD7" w:rsidRPr="00373257" w:rsidRDefault="00904BD7" w:rsidP="00904BD7">
            <w:pPr>
              <w:autoSpaceDE w:val="0"/>
              <w:autoSpaceDN w:val="0"/>
              <w:adjustRightInd w:val="0"/>
              <w:jc w:val="both"/>
              <w:rPr>
                <w:rFonts w:cs="Calibri"/>
                <w:color w:val="000000"/>
              </w:rPr>
            </w:pPr>
          </w:p>
          <w:p w:rsidR="00904BD7" w:rsidRPr="00C67C90" w:rsidRDefault="00904BD7" w:rsidP="00904BD7">
            <w:pPr>
              <w:autoSpaceDE w:val="0"/>
              <w:autoSpaceDN w:val="0"/>
              <w:adjustRightInd w:val="0"/>
              <w:jc w:val="both"/>
              <w:rPr>
                <w:rFonts w:cs="Calibri"/>
                <w:color w:val="000000"/>
              </w:rPr>
            </w:pPr>
            <w:r w:rsidRPr="00C67C90">
              <w:rPr>
                <w:rFonts w:cs="Calibri"/>
                <w:color w:val="000000"/>
              </w:rPr>
              <w:t>Badania geotechniczne. Oznaczanie i klasyfikowanie gruntów. Część 1: Oznaczanie i opis</w:t>
            </w:r>
          </w:p>
          <w:p w:rsidR="00904BD7" w:rsidRPr="00C67C90" w:rsidRDefault="00904BD7" w:rsidP="00904BD7">
            <w:pPr>
              <w:autoSpaceDE w:val="0"/>
              <w:autoSpaceDN w:val="0"/>
              <w:adjustRightInd w:val="0"/>
              <w:jc w:val="both"/>
              <w:rPr>
                <w:rFonts w:cs="Calibri"/>
                <w:color w:val="000000"/>
              </w:rPr>
            </w:pPr>
          </w:p>
          <w:p w:rsidR="00904BD7" w:rsidRPr="00C67C90" w:rsidRDefault="00904BD7" w:rsidP="00904BD7">
            <w:pPr>
              <w:autoSpaceDE w:val="0"/>
              <w:autoSpaceDN w:val="0"/>
              <w:adjustRightInd w:val="0"/>
              <w:jc w:val="both"/>
              <w:rPr>
                <w:rFonts w:cs="Calibri"/>
                <w:color w:val="000000"/>
              </w:rPr>
            </w:pPr>
            <w:r w:rsidRPr="00C67C90">
              <w:rPr>
                <w:rFonts w:cs="Calibri"/>
                <w:color w:val="000000"/>
              </w:rPr>
              <w:t>Badania geotechniczne. Oznaczanie i klasyfikowanie gruntów Część 2: zasady klasyfikowania</w:t>
            </w:r>
          </w:p>
          <w:p w:rsidR="00904BD7" w:rsidRPr="00C67C90" w:rsidRDefault="00904BD7" w:rsidP="00904BD7">
            <w:pPr>
              <w:autoSpaceDE w:val="0"/>
              <w:autoSpaceDN w:val="0"/>
              <w:adjustRightInd w:val="0"/>
              <w:jc w:val="both"/>
              <w:rPr>
                <w:rFonts w:cs="Calibri"/>
                <w:color w:val="000000"/>
              </w:rPr>
            </w:pPr>
            <w:r w:rsidRPr="00C67C90">
              <w:rPr>
                <w:rFonts w:cs="Calibri"/>
                <w:color w:val="000000"/>
              </w:rPr>
              <w:t>Geotekstylia i wyroby pokrewne. Właściwości wymagane w odniesieniu do wyrobów stosowanych do budowy dróg i innych powierzchni obciążonych ruchem (z wyłączeniem dróg kolejowych i nawierzchni asfaltowych)</w:t>
            </w:r>
          </w:p>
        </w:tc>
      </w:tr>
      <w:tr w:rsidR="00904BD7" w:rsidRPr="00C67C90" w:rsidTr="00904BD7">
        <w:trPr>
          <w:trHeight w:val="99"/>
        </w:trPr>
        <w:tc>
          <w:tcPr>
            <w:tcW w:w="4492" w:type="dxa"/>
          </w:tcPr>
          <w:p w:rsidR="00904BD7" w:rsidRPr="00C67C90" w:rsidRDefault="00904BD7" w:rsidP="00904BD7">
            <w:pPr>
              <w:autoSpaceDE w:val="0"/>
              <w:autoSpaceDN w:val="0"/>
              <w:adjustRightInd w:val="0"/>
              <w:jc w:val="both"/>
              <w:rPr>
                <w:rFonts w:cs="Calibri"/>
                <w:color w:val="000000"/>
              </w:rPr>
            </w:pPr>
            <w:r w:rsidRPr="00C67C90">
              <w:rPr>
                <w:rFonts w:cs="Calibri"/>
                <w:color w:val="000000"/>
              </w:rPr>
              <w:t xml:space="preserve">PN-EN 933-1 </w:t>
            </w:r>
          </w:p>
        </w:tc>
        <w:tc>
          <w:tcPr>
            <w:tcW w:w="4492" w:type="dxa"/>
          </w:tcPr>
          <w:p w:rsidR="00904BD7" w:rsidRPr="00C67C90" w:rsidRDefault="00904BD7" w:rsidP="00904BD7">
            <w:pPr>
              <w:autoSpaceDE w:val="0"/>
              <w:autoSpaceDN w:val="0"/>
              <w:adjustRightInd w:val="0"/>
              <w:jc w:val="both"/>
              <w:rPr>
                <w:rFonts w:cs="Calibri"/>
                <w:color w:val="000000"/>
              </w:rPr>
            </w:pPr>
            <w:r w:rsidRPr="00C67C90">
              <w:rPr>
                <w:rFonts w:cs="Calibri"/>
                <w:color w:val="000000"/>
              </w:rPr>
              <w:t xml:space="preserve">Kruszywa mineralne. Badania. Oznaczanie składu ziarnowego </w:t>
            </w:r>
          </w:p>
        </w:tc>
      </w:tr>
      <w:tr w:rsidR="00904BD7" w:rsidRPr="00C67C90" w:rsidTr="00904BD7">
        <w:trPr>
          <w:trHeight w:val="221"/>
        </w:trPr>
        <w:tc>
          <w:tcPr>
            <w:tcW w:w="4492" w:type="dxa"/>
          </w:tcPr>
          <w:p w:rsidR="00904BD7" w:rsidRPr="00C67C90" w:rsidRDefault="00904BD7" w:rsidP="00904BD7">
            <w:pPr>
              <w:autoSpaceDE w:val="0"/>
              <w:autoSpaceDN w:val="0"/>
              <w:adjustRightInd w:val="0"/>
              <w:jc w:val="both"/>
              <w:rPr>
                <w:rFonts w:cs="Calibri"/>
                <w:color w:val="000000"/>
              </w:rPr>
            </w:pPr>
            <w:r w:rsidRPr="00C67C90">
              <w:rPr>
                <w:rFonts w:cs="Calibri"/>
                <w:color w:val="000000"/>
              </w:rPr>
              <w:t xml:space="preserve">PN-EN 933-3 </w:t>
            </w:r>
          </w:p>
        </w:tc>
        <w:tc>
          <w:tcPr>
            <w:tcW w:w="4492" w:type="dxa"/>
          </w:tcPr>
          <w:p w:rsidR="00904BD7" w:rsidRPr="00C67C90" w:rsidRDefault="00904BD7" w:rsidP="00904BD7">
            <w:pPr>
              <w:autoSpaceDE w:val="0"/>
              <w:autoSpaceDN w:val="0"/>
              <w:adjustRightInd w:val="0"/>
              <w:jc w:val="both"/>
              <w:rPr>
                <w:rFonts w:cs="Calibri"/>
                <w:color w:val="000000"/>
              </w:rPr>
            </w:pPr>
            <w:r w:rsidRPr="00C67C90">
              <w:rPr>
                <w:rFonts w:cs="Calibri"/>
                <w:color w:val="000000"/>
              </w:rPr>
              <w:t xml:space="preserve">Badania geometrycznych właściwości kruszyw. Oznaczanie kształtu ziaren za pomocą wskaźnika płaskości </w:t>
            </w:r>
          </w:p>
        </w:tc>
      </w:tr>
      <w:tr w:rsidR="00904BD7" w:rsidRPr="00C67C90" w:rsidTr="00904BD7">
        <w:trPr>
          <w:trHeight w:val="99"/>
        </w:trPr>
        <w:tc>
          <w:tcPr>
            <w:tcW w:w="4492" w:type="dxa"/>
          </w:tcPr>
          <w:p w:rsidR="00904BD7" w:rsidRPr="00C67C90" w:rsidRDefault="00904BD7" w:rsidP="00904BD7">
            <w:pPr>
              <w:autoSpaceDE w:val="0"/>
              <w:autoSpaceDN w:val="0"/>
              <w:adjustRightInd w:val="0"/>
              <w:jc w:val="both"/>
              <w:rPr>
                <w:rFonts w:cs="Calibri"/>
                <w:color w:val="000000"/>
              </w:rPr>
            </w:pPr>
            <w:r w:rsidRPr="00C67C90">
              <w:rPr>
                <w:rFonts w:cs="Calibri"/>
                <w:color w:val="000000"/>
              </w:rPr>
              <w:t xml:space="preserve">PN-EN 933-4 </w:t>
            </w:r>
          </w:p>
        </w:tc>
        <w:tc>
          <w:tcPr>
            <w:tcW w:w="4492" w:type="dxa"/>
          </w:tcPr>
          <w:p w:rsidR="00904BD7" w:rsidRPr="00C67C90" w:rsidRDefault="00904BD7" w:rsidP="00904BD7">
            <w:pPr>
              <w:autoSpaceDE w:val="0"/>
              <w:autoSpaceDN w:val="0"/>
              <w:adjustRightInd w:val="0"/>
              <w:jc w:val="both"/>
              <w:rPr>
                <w:rFonts w:cs="Calibri"/>
                <w:color w:val="000000"/>
              </w:rPr>
            </w:pPr>
            <w:r w:rsidRPr="00C67C90">
              <w:rPr>
                <w:rFonts w:cs="Calibri"/>
                <w:color w:val="000000"/>
              </w:rPr>
              <w:t xml:space="preserve">Badania geometrycznych właściwości kruszyw. Oznaczanie kształtu ziaren </w:t>
            </w:r>
          </w:p>
        </w:tc>
      </w:tr>
      <w:tr w:rsidR="00904BD7" w:rsidRPr="00C67C90" w:rsidTr="00904BD7">
        <w:trPr>
          <w:trHeight w:val="344"/>
        </w:trPr>
        <w:tc>
          <w:tcPr>
            <w:tcW w:w="4492" w:type="dxa"/>
          </w:tcPr>
          <w:p w:rsidR="00904BD7" w:rsidRPr="00C67C90" w:rsidRDefault="00904BD7" w:rsidP="00904BD7">
            <w:pPr>
              <w:autoSpaceDE w:val="0"/>
              <w:autoSpaceDN w:val="0"/>
              <w:adjustRightInd w:val="0"/>
              <w:jc w:val="both"/>
              <w:rPr>
                <w:rFonts w:cs="Calibri"/>
                <w:color w:val="000000"/>
              </w:rPr>
            </w:pPr>
            <w:r w:rsidRPr="00C67C90">
              <w:rPr>
                <w:rFonts w:cs="Calibri"/>
                <w:color w:val="000000"/>
              </w:rPr>
              <w:t xml:space="preserve">PN-EN 933-5 </w:t>
            </w:r>
          </w:p>
        </w:tc>
        <w:tc>
          <w:tcPr>
            <w:tcW w:w="4492" w:type="dxa"/>
          </w:tcPr>
          <w:p w:rsidR="00904BD7" w:rsidRPr="00C67C90" w:rsidRDefault="00904BD7" w:rsidP="00904BD7">
            <w:pPr>
              <w:autoSpaceDE w:val="0"/>
              <w:autoSpaceDN w:val="0"/>
              <w:adjustRightInd w:val="0"/>
              <w:jc w:val="both"/>
              <w:rPr>
                <w:rFonts w:cs="Calibri"/>
                <w:color w:val="000000"/>
              </w:rPr>
            </w:pPr>
            <w:r w:rsidRPr="00C67C90">
              <w:rPr>
                <w:rFonts w:cs="Calibri"/>
                <w:color w:val="000000"/>
              </w:rPr>
              <w:t xml:space="preserve">Badania geometrycznych właściwości kruszyw. Oznaczanie procentowej zawartości ziaren o powierzchniach powstałych w wyniku przekruszenia lub łamania kruszyw grubych </w:t>
            </w:r>
          </w:p>
        </w:tc>
      </w:tr>
      <w:tr w:rsidR="00904BD7" w:rsidRPr="00C67C90" w:rsidTr="00904BD7">
        <w:trPr>
          <w:trHeight w:val="220"/>
        </w:trPr>
        <w:tc>
          <w:tcPr>
            <w:tcW w:w="4492" w:type="dxa"/>
          </w:tcPr>
          <w:p w:rsidR="00904BD7" w:rsidRPr="00C67C90" w:rsidRDefault="00904BD7" w:rsidP="00904BD7">
            <w:pPr>
              <w:autoSpaceDE w:val="0"/>
              <w:autoSpaceDN w:val="0"/>
              <w:adjustRightInd w:val="0"/>
              <w:jc w:val="both"/>
              <w:rPr>
                <w:rFonts w:cs="Calibri"/>
                <w:color w:val="000000"/>
              </w:rPr>
            </w:pPr>
            <w:r w:rsidRPr="00C67C90">
              <w:rPr>
                <w:rFonts w:cs="Calibri"/>
                <w:color w:val="000000"/>
              </w:rPr>
              <w:t xml:space="preserve">PN-EN 933-9 </w:t>
            </w:r>
          </w:p>
        </w:tc>
        <w:tc>
          <w:tcPr>
            <w:tcW w:w="4492" w:type="dxa"/>
          </w:tcPr>
          <w:p w:rsidR="00904BD7" w:rsidRPr="00C67C90" w:rsidRDefault="00904BD7" w:rsidP="00904BD7">
            <w:pPr>
              <w:autoSpaceDE w:val="0"/>
              <w:autoSpaceDN w:val="0"/>
              <w:adjustRightInd w:val="0"/>
              <w:jc w:val="both"/>
              <w:rPr>
                <w:rFonts w:cs="Calibri"/>
                <w:color w:val="000000"/>
              </w:rPr>
            </w:pPr>
            <w:r w:rsidRPr="00C67C90">
              <w:rPr>
                <w:rFonts w:cs="Calibri"/>
                <w:color w:val="000000"/>
              </w:rPr>
              <w:t xml:space="preserve">Badania geometrycznych właściwości kruszyw. Ocena zawartości drobnych cząstek. Badania błękitem metylenowym </w:t>
            </w:r>
          </w:p>
        </w:tc>
      </w:tr>
      <w:tr w:rsidR="00904BD7" w:rsidRPr="00C67C90" w:rsidTr="00904BD7">
        <w:trPr>
          <w:trHeight w:val="99"/>
        </w:trPr>
        <w:tc>
          <w:tcPr>
            <w:tcW w:w="4492" w:type="dxa"/>
          </w:tcPr>
          <w:p w:rsidR="00904BD7" w:rsidRPr="00C67C90" w:rsidRDefault="00904BD7" w:rsidP="00904BD7">
            <w:pPr>
              <w:autoSpaceDE w:val="0"/>
              <w:autoSpaceDN w:val="0"/>
              <w:adjustRightInd w:val="0"/>
              <w:jc w:val="both"/>
              <w:rPr>
                <w:rFonts w:cs="Calibri"/>
                <w:color w:val="000000"/>
              </w:rPr>
            </w:pPr>
            <w:r w:rsidRPr="00C67C90">
              <w:rPr>
                <w:rFonts w:cs="Calibri"/>
                <w:color w:val="000000"/>
              </w:rPr>
              <w:t xml:space="preserve">PN-EN 1097-5 </w:t>
            </w:r>
          </w:p>
        </w:tc>
        <w:tc>
          <w:tcPr>
            <w:tcW w:w="4492" w:type="dxa"/>
          </w:tcPr>
          <w:p w:rsidR="00904BD7" w:rsidRPr="00C67C90" w:rsidRDefault="00904BD7" w:rsidP="00904BD7">
            <w:pPr>
              <w:autoSpaceDE w:val="0"/>
              <w:autoSpaceDN w:val="0"/>
              <w:adjustRightInd w:val="0"/>
              <w:jc w:val="both"/>
              <w:rPr>
                <w:rFonts w:cs="Calibri"/>
                <w:color w:val="000000"/>
              </w:rPr>
            </w:pPr>
            <w:r w:rsidRPr="00C67C90">
              <w:rPr>
                <w:rFonts w:cs="Calibri"/>
                <w:color w:val="000000"/>
              </w:rPr>
              <w:t xml:space="preserve">Kruszywa mineralne. Badania. Oznaczanie wilgotności </w:t>
            </w:r>
          </w:p>
        </w:tc>
      </w:tr>
      <w:tr w:rsidR="00904BD7" w:rsidRPr="00C67C90" w:rsidTr="00904BD7">
        <w:trPr>
          <w:trHeight w:val="99"/>
        </w:trPr>
        <w:tc>
          <w:tcPr>
            <w:tcW w:w="4492" w:type="dxa"/>
          </w:tcPr>
          <w:p w:rsidR="00904BD7" w:rsidRPr="00C67C90" w:rsidRDefault="00904BD7" w:rsidP="00904BD7">
            <w:pPr>
              <w:autoSpaceDE w:val="0"/>
              <w:autoSpaceDN w:val="0"/>
              <w:adjustRightInd w:val="0"/>
              <w:jc w:val="both"/>
              <w:rPr>
                <w:rFonts w:cs="Calibri"/>
                <w:color w:val="000000"/>
              </w:rPr>
            </w:pPr>
            <w:r w:rsidRPr="00C67C90">
              <w:rPr>
                <w:rFonts w:cs="Calibri"/>
                <w:color w:val="000000"/>
              </w:rPr>
              <w:t xml:space="preserve">PN-EN 1097-6 </w:t>
            </w:r>
          </w:p>
        </w:tc>
        <w:tc>
          <w:tcPr>
            <w:tcW w:w="4492" w:type="dxa"/>
          </w:tcPr>
          <w:p w:rsidR="00904BD7" w:rsidRPr="00C67C90" w:rsidRDefault="00904BD7" w:rsidP="00904BD7">
            <w:pPr>
              <w:autoSpaceDE w:val="0"/>
              <w:autoSpaceDN w:val="0"/>
              <w:adjustRightInd w:val="0"/>
              <w:jc w:val="both"/>
              <w:rPr>
                <w:rFonts w:cs="Calibri"/>
                <w:color w:val="000000"/>
              </w:rPr>
            </w:pPr>
            <w:r w:rsidRPr="00C67C90">
              <w:rPr>
                <w:rFonts w:cs="Calibri"/>
                <w:color w:val="000000"/>
              </w:rPr>
              <w:t xml:space="preserve">Kruszywa mineralne. Badania. Oznaczanie nasiąkliwości </w:t>
            </w:r>
          </w:p>
        </w:tc>
      </w:tr>
      <w:tr w:rsidR="00904BD7" w:rsidRPr="00C67C90" w:rsidTr="00904BD7">
        <w:trPr>
          <w:trHeight w:val="99"/>
        </w:trPr>
        <w:tc>
          <w:tcPr>
            <w:tcW w:w="4492" w:type="dxa"/>
          </w:tcPr>
          <w:p w:rsidR="00904BD7" w:rsidRPr="00C67C90" w:rsidRDefault="00904BD7" w:rsidP="00904BD7">
            <w:pPr>
              <w:autoSpaceDE w:val="0"/>
              <w:autoSpaceDN w:val="0"/>
              <w:adjustRightInd w:val="0"/>
              <w:jc w:val="both"/>
              <w:rPr>
                <w:rFonts w:cs="Calibri"/>
                <w:color w:val="000000"/>
              </w:rPr>
            </w:pPr>
            <w:r w:rsidRPr="00C67C90">
              <w:rPr>
                <w:rFonts w:cs="Calibri"/>
                <w:color w:val="000000"/>
              </w:rPr>
              <w:t xml:space="preserve">PN-EN 1367-1 </w:t>
            </w:r>
          </w:p>
        </w:tc>
        <w:tc>
          <w:tcPr>
            <w:tcW w:w="4492" w:type="dxa"/>
          </w:tcPr>
          <w:p w:rsidR="00904BD7" w:rsidRPr="00C67C90" w:rsidRDefault="00904BD7" w:rsidP="00904BD7">
            <w:pPr>
              <w:autoSpaceDE w:val="0"/>
              <w:autoSpaceDN w:val="0"/>
              <w:adjustRightInd w:val="0"/>
              <w:jc w:val="both"/>
              <w:rPr>
                <w:rFonts w:cs="Calibri"/>
                <w:color w:val="000000"/>
              </w:rPr>
            </w:pPr>
            <w:r w:rsidRPr="00C67C90">
              <w:rPr>
                <w:rFonts w:cs="Calibri"/>
                <w:color w:val="000000"/>
              </w:rPr>
              <w:t xml:space="preserve">Kruszywa mineralne. Badania. Oznaczanie mrozoodporności metodą bezpośrednią </w:t>
            </w:r>
          </w:p>
        </w:tc>
      </w:tr>
      <w:tr w:rsidR="00904BD7" w:rsidRPr="00C67C90" w:rsidTr="00904BD7">
        <w:trPr>
          <w:trHeight w:val="99"/>
        </w:trPr>
        <w:tc>
          <w:tcPr>
            <w:tcW w:w="4492" w:type="dxa"/>
          </w:tcPr>
          <w:p w:rsidR="00904BD7" w:rsidRPr="00C67C90" w:rsidRDefault="00904BD7" w:rsidP="00904BD7">
            <w:pPr>
              <w:autoSpaceDE w:val="0"/>
              <w:autoSpaceDN w:val="0"/>
              <w:adjustRightInd w:val="0"/>
              <w:jc w:val="both"/>
              <w:rPr>
                <w:rFonts w:cs="Calibri"/>
                <w:color w:val="000000"/>
              </w:rPr>
            </w:pPr>
            <w:r w:rsidRPr="00C67C90">
              <w:rPr>
                <w:rFonts w:cs="Calibri"/>
                <w:color w:val="000000"/>
              </w:rPr>
              <w:t xml:space="preserve">PN-EN 1744-1 </w:t>
            </w:r>
          </w:p>
        </w:tc>
        <w:tc>
          <w:tcPr>
            <w:tcW w:w="4492" w:type="dxa"/>
          </w:tcPr>
          <w:p w:rsidR="00904BD7" w:rsidRPr="00C67C90" w:rsidRDefault="00904BD7" w:rsidP="00904BD7">
            <w:pPr>
              <w:autoSpaceDE w:val="0"/>
              <w:autoSpaceDN w:val="0"/>
              <w:adjustRightInd w:val="0"/>
              <w:jc w:val="both"/>
              <w:rPr>
                <w:rFonts w:cs="Calibri"/>
                <w:color w:val="000000"/>
              </w:rPr>
            </w:pPr>
            <w:r w:rsidRPr="00C67C90">
              <w:rPr>
                <w:rFonts w:cs="Calibri"/>
                <w:color w:val="000000"/>
              </w:rPr>
              <w:t xml:space="preserve">Kruszywa mineralne. Badania. Oznaczanie zawartości zanieczyszczeń organicznych </w:t>
            </w:r>
          </w:p>
        </w:tc>
      </w:tr>
      <w:tr w:rsidR="00904BD7" w:rsidRPr="00C67C90" w:rsidTr="00904BD7">
        <w:trPr>
          <w:trHeight w:val="99"/>
        </w:trPr>
        <w:tc>
          <w:tcPr>
            <w:tcW w:w="4492" w:type="dxa"/>
          </w:tcPr>
          <w:p w:rsidR="00904BD7" w:rsidRPr="00C67C90" w:rsidRDefault="00904BD7" w:rsidP="00904BD7">
            <w:pPr>
              <w:autoSpaceDE w:val="0"/>
              <w:autoSpaceDN w:val="0"/>
              <w:adjustRightInd w:val="0"/>
              <w:jc w:val="both"/>
              <w:rPr>
                <w:rFonts w:cs="Calibri"/>
                <w:color w:val="000000"/>
              </w:rPr>
            </w:pPr>
            <w:r w:rsidRPr="00C67C90">
              <w:rPr>
                <w:rFonts w:cs="Calibri"/>
                <w:color w:val="000000"/>
              </w:rPr>
              <w:t xml:space="preserve">PN-EN 1744-1 </w:t>
            </w:r>
          </w:p>
        </w:tc>
        <w:tc>
          <w:tcPr>
            <w:tcW w:w="4492" w:type="dxa"/>
          </w:tcPr>
          <w:p w:rsidR="00904BD7" w:rsidRPr="00C67C90" w:rsidRDefault="00904BD7" w:rsidP="00904BD7">
            <w:pPr>
              <w:autoSpaceDE w:val="0"/>
              <w:autoSpaceDN w:val="0"/>
              <w:adjustRightInd w:val="0"/>
              <w:jc w:val="both"/>
              <w:rPr>
                <w:rFonts w:cs="Calibri"/>
                <w:color w:val="000000"/>
              </w:rPr>
            </w:pPr>
            <w:r w:rsidRPr="00C67C90">
              <w:rPr>
                <w:rFonts w:cs="Calibri"/>
                <w:color w:val="000000"/>
              </w:rPr>
              <w:t xml:space="preserve">Kruszywa mineralne. Badania. Oznaczanie zawartości siarki metodą bromową </w:t>
            </w:r>
          </w:p>
        </w:tc>
      </w:tr>
      <w:tr w:rsidR="00904BD7" w:rsidRPr="00C67C90" w:rsidTr="00904BD7">
        <w:trPr>
          <w:trHeight w:val="99"/>
        </w:trPr>
        <w:tc>
          <w:tcPr>
            <w:tcW w:w="4492" w:type="dxa"/>
          </w:tcPr>
          <w:p w:rsidR="00904BD7" w:rsidRPr="00C67C90" w:rsidRDefault="00904BD7" w:rsidP="00904BD7">
            <w:pPr>
              <w:autoSpaceDE w:val="0"/>
              <w:autoSpaceDN w:val="0"/>
              <w:adjustRightInd w:val="0"/>
              <w:jc w:val="both"/>
              <w:rPr>
                <w:rFonts w:cs="Calibri"/>
                <w:color w:val="000000"/>
              </w:rPr>
            </w:pPr>
            <w:r w:rsidRPr="00C67C90">
              <w:rPr>
                <w:rFonts w:cs="Calibri"/>
                <w:color w:val="000000"/>
              </w:rPr>
              <w:t xml:space="preserve">PN-EN 1097-2 </w:t>
            </w:r>
          </w:p>
        </w:tc>
        <w:tc>
          <w:tcPr>
            <w:tcW w:w="4492" w:type="dxa"/>
          </w:tcPr>
          <w:p w:rsidR="00904BD7" w:rsidRPr="00C67C90" w:rsidRDefault="00904BD7" w:rsidP="00904BD7">
            <w:pPr>
              <w:autoSpaceDE w:val="0"/>
              <w:autoSpaceDN w:val="0"/>
              <w:adjustRightInd w:val="0"/>
              <w:jc w:val="both"/>
              <w:rPr>
                <w:rFonts w:cs="Calibri"/>
                <w:color w:val="000000"/>
              </w:rPr>
            </w:pPr>
            <w:r w:rsidRPr="00C67C90">
              <w:rPr>
                <w:rFonts w:cs="Calibri"/>
                <w:color w:val="000000"/>
              </w:rPr>
              <w:t xml:space="preserve">Kruszywa mineralne. Badania. Oznaczanie ścieralności w bębnie Los Angeles </w:t>
            </w:r>
          </w:p>
        </w:tc>
      </w:tr>
      <w:tr w:rsidR="00904BD7" w:rsidRPr="00C67C90" w:rsidTr="00904BD7">
        <w:trPr>
          <w:trHeight w:val="222"/>
        </w:trPr>
        <w:tc>
          <w:tcPr>
            <w:tcW w:w="4492" w:type="dxa"/>
          </w:tcPr>
          <w:p w:rsidR="00904BD7" w:rsidRPr="00C67C90" w:rsidRDefault="00904BD7" w:rsidP="00904BD7">
            <w:pPr>
              <w:autoSpaceDE w:val="0"/>
              <w:autoSpaceDN w:val="0"/>
              <w:adjustRightInd w:val="0"/>
              <w:jc w:val="both"/>
              <w:rPr>
                <w:rFonts w:cs="Calibri"/>
                <w:color w:val="000000"/>
              </w:rPr>
            </w:pPr>
            <w:r w:rsidRPr="00C67C90">
              <w:rPr>
                <w:rFonts w:cs="Calibri"/>
                <w:color w:val="000000"/>
              </w:rPr>
              <w:t xml:space="preserve">PN-EN 13242 </w:t>
            </w:r>
          </w:p>
        </w:tc>
        <w:tc>
          <w:tcPr>
            <w:tcW w:w="4492" w:type="dxa"/>
          </w:tcPr>
          <w:p w:rsidR="00904BD7" w:rsidRPr="00C67C90" w:rsidRDefault="00904BD7" w:rsidP="00904BD7">
            <w:pPr>
              <w:autoSpaceDE w:val="0"/>
              <w:autoSpaceDN w:val="0"/>
              <w:adjustRightInd w:val="0"/>
              <w:jc w:val="both"/>
              <w:rPr>
                <w:rFonts w:cs="Calibri"/>
                <w:color w:val="000000"/>
              </w:rPr>
            </w:pPr>
            <w:r w:rsidRPr="00C67C90">
              <w:rPr>
                <w:rFonts w:cs="Calibri"/>
                <w:color w:val="000000"/>
              </w:rPr>
              <w:t xml:space="preserve">Kruszywa do niezwiązanych i związanych hydraulicznie materiałów stosowanych w obiektach budowlanych i budownictwie drogowym </w:t>
            </w:r>
          </w:p>
        </w:tc>
      </w:tr>
      <w:tr w:rsidR="00904BD7" w:rsidRPr="00C67C90" w:rsidTr="00904BD7">
        <w:trPr>
          <w:trHeight w:val="99"/>
        </w:trPr>
        <w:tc>
          <w:tcPr>
            <w:tcW w:w="4492" w:type="dxa"/>
          </w:tcPr>
          <w:p w:rsidR="00904BD7" w:rsidRPr="00C67C90" w:rsidRDefault="00904BD7" w:rsidP="00904BD7">
            <w:pPr>
              <w:autoSpaceDE w:val="0"/>
              <w:autoSpaceDN w:val="0"/>
              <w:adjustRightInd w:val="0"/>
              <w:jc w:val="both"/>
              <w:rPr>
                <w:rFonts w:cs="Calibri"/>
                <w:color w:val="000000"/>
              </w:rPr>
            </w:pPr>
            <w:r w:rsidRPr="00C67C90">
              <w:rPr>
                <w:rFonts w:cs="Calibri"/>
                <w:color w:val="000000"/>
              </w:rPr>
              <w:t xml:space="preserve">PN-EN 13285 </w:t>
            </w:r>
          </w:p>
        </w:tc>
        <w:tc>
          <w:tcPr>
            <w:tcW w:w="4492" w:type="dxa"/>
          </w:tcPr>
          <w:p w:rsidR="00904BD7" w:rsidRPr="00C67C90" w:rsidRDefault="00904BD7" w:rsidP="00904BD7">
            <w:pPr>
              <w:autoSpaceDE w:val="0"/>
              <w:autoSpaceDN w:val="0"/>
              <w:adjustRightInd w:val="0"/>
              <w:jc w:val="both"/>
              <w:rPr>
                <w:rFonts w:cs="Calibri"/>
                <w:color w:val="000000"/>
              </w:rPr>
            </w:pPr>
            <w:r w:rsidRPr="00C67C90">
              <w:rPr>
                <w:rFonts w:cs="Calibri"/>
                <w:color w:val="000000"/>
              </w:rPr>
              <w:t xml:space="preserve">Mieszanki niezwiązane. Wymagania </w:t>
            </w:r>
          </w:p>
        </w:tc>
      </w:tr>
      <w:tr w:rsidR="00904BD7" w:rsidRPr="00C67C90" w:rsidTr="00904BD7">
        <w:trPr>
          <w:trHeight w:val="99"/>
        </w:trPr>
        <w:tc>
          <w:tcPr>
            <w:tcW w:w="4492" w:type="dxa"/>
          </w:tcPr>
          <w:p w:rsidR="00904BD7" w:rsidRPr="00C67C90" w:rsidRDefault="00904BD7" w:rsidP="00904BD7">
            <w:pPr>
              <w:autoSpaceDE w:val="0"/>
              <w:autoSpaceDN w:val="0"/>
              <w:adjustRightInd w:val="0"/>
              <w:jc w:val="both"/>
              <w:rPr>
                <w:rFonts w:cs="Calibri"/>
                <w:color w:val="000000"/>
              </w:rPr>
            </w:pPr>
            <w:r w:rsidRPr="00C67C90">
              <w:rPr>
                <w:rFonts w:cs="Calibri"/>
                <w:color w:val="000000"/>
              </w:rPr>
              <w:t xml:space="preserve">PN-EN 13286-2 </w:t>
            </w:r>
          </w:p>
        </w:tc>
        <w:tc>
          <w:tcPr>
            <w:tcW w:w="4492" w:type="dxa"/>
          </w:tcPr>
          <w:p w:rsidR="00904BD7" w:rsidRPr="00C67C90" w:rsidRDefault="00904BD7" w:rsidP="00904BD7">
            <w:pPr>
              <w:autoSpaceDE w:val="0"/>
              <w:autoSpaceDN w:val="0"/>
              <w:adjustRightInd w:val="0"/>
              <w:jc w:val="both"/>
              <w:rPr>
                <w:rFonts w:cs="Calibri"/>
                <w:color w:val="000000"/>
              </w:rPr>
            </w:pPr>
            <w:r w:rsidRPr="00C67C90">
              <w:rPr>
                <w:rFonts w:cs="Calibri"/>
                <w:color w:val="000000"/>
              </w:rPr>
              <w:t xml:space="preserve">Metody określania gęstości i zawartości wody. Zagęszczanie metodą Proctora. </w:t>
            </w:r>
          </w:p>
        </w:tc>
      </w:tr>
      <w:tr w:rsidR="00904BD7" w:rsidRPr="00C67C90" w:rsidTr="00904BD7">
        <w:trPr>
          <w:trHeight w:val="99"/>
        </w:trPr>
        <w:tc>
          <w:tcPr>
            <w:tcW w:w="4492" w:type="dxa"/>
          </w:tcPr>
          <w:p w:rsidR="00904BD7" w:rsidRPr="00C67C90" w:rsidRDefault="00904BD7" w:rsidP="00904BD7">
            <w:pPr>
              <w:autoSpaceDE w:val="0"/>
              <w:autoSpaceDN w:val="0"/>
              <w:adjustRightInd w:val="0"/>
              <w:jc w:val="both"/>
              <w:rPr>
                <w:rFonts w:cs="Calibri"/>
                <w:color w:val="000000"/>
              </w:rPr>
            </w:pPr>
            <w:r w:rsidRPr="00C67C90">
              <w:rPr>
                <w:rFonts w:cs="Calibri"/>
                <w:color w:val="000000"/>
              </w:rPr>
              <w:t xml:space="preserve">PN-EN 1008-1 </w:t>
            </w:r>
          </w:p>
        </w:tc>
        <w:tc>
          <w:tcPr>
            <w:tcW w:w="4492" w:type="dxa"/>
          </w:tcPr>
          <w:p w:rsidR="00904BD7" w:rsidRPr="00C67C90" w:rsidRDefault="00904BD7" w:rsidP="00904BD7">
            <w:pPr>
              <w:autoSpaceDE w:val="0"/>
              <w:autoSpaceDN w:val="0"/>
              <w:adjustRightInd w:val="0"/>
              <w:jc w:val="both"/>
              <w:rPr>
                <w:rFonts w:cs="Calibri"/>
                <w:color w:val="000000"/>
              </w:rPr>
            </w:pPr>
            <w:r w:rsidRPr="00C67C90">
              <w:rPr>
                <w:rFonts w:cs="Calibri"/>
                <w:color w:val="000000"/>
              </w:rPr>
              <w:t xml:space="preserve">Woda zarobowa do betonu. Specyfikacja pobierania próbek </w:t>
            </w:r>
          </w:p>
        </w:tc>
      </w:tr>
      <w:tr w:rsidR="00904BD7" w:rsidRPr="00C67C90" w:rsidTr="00904BD7">
        <w:trPr>
          <w:trHeight w:val="99"/>
        </w:trPr>
        <w:tc>
          <w:tcPr>
            <w:tcW w:w="4492" w:type="dxa"/>
          </w:tcPr>
          <w:p w:rsidR="00904BD7" w:rsidRPr="00C67C90" w:rsidRDefault="00904BD7" w:rsidP="00904BD7">
            <w:pPr>
              <w:autoSpaceDE w:val="0"/>
              <w:autoSpaceDN w:val="0"/>
              <w:adjustRightInd w:val="0"/>
              <w:jc w:val="both"/>
              <w:rPr>
                <w:rFonts w:cs="Calibri"/>
                <w:color w:val="000000"/>
              </w:rPr>
            </w:pPr>
            <w:r w:rsidRPr="00C67C90">
              <w:rPr>
                <w:rFonts w:cs="Calibri"/>
                <w:color w:val="000000"/>
              </w:rPr>
              <w:t xml:space="preserve">BN-68/8931-04 </w:t>
            </w:r>
          </w:p>
        </w:tc>
        <w:tc>
          <w:tcPr>
            <w:tcW w:w="4492" w:type="dxa"/>
          </w:tcPr>
          <w:p w:rsidR="00904BD7" w:rsidRPr="00C67C90" w:rsidRDefault="00904BD7" w:rsidP="00904BD7">
            <w:pPr>
              <w:autoSpaceDE w:val="0"/>
              <w:autoSpaceDN w:val="0"/>
              <w:adjustRightInd w:val="0"/>
              <w:jc w:val="both"/>
              <w:rPr>
                <w:rFonts w:cs="Calibri"/>
                <w:color w:val="000000"/>
              </w:rPr>
            </w:pPr>
            <w:r w:rsidRPr="00C67C90">
              <w:rPr>
                <w:rFonts w:cs="Calibri"/>
                <w:color w:val="000000"/>
              </w:rPr>
              <w:t xml:space="preserve">Drogi samochodowe. Pomiar równości nawierzchni planografem i łatą </w:t>
            </w:r>
          </w:p>
        </w:tc>
      </w:tr>
    </w:tbl>
    <w:p w:rsidR="00904BD7" w:rsidRDefault="00904BD7" w:rsidP="00904BD7">
      <w:pPr>
        <w:jc w:val="both"/>
        <w:rPr>
          <w:i/>
          <w:iCs/>
        </w:rPr>
      </w:pPr>
    </w:p>
    <w:p w:rsidR="00904BD7" w:rsidRPr="00126C69" w:rsidRDefault="00904BD7" w:rsidP="00904BD7">
      <w:pPr>
        <w:jc w:val="both"/>
        <w:rPr>
          <w:rFonts w:cs="Calibri"/>
          <w:b/>
          <w:color w:val="000000"/>
        </w:rPr>
      </w:pPr>
      <w:r w:rsidRPr="00126C69">
        <w:rPr>
          <w:rFonts w:cs="Calibri"/>
          <w:b/>
          <w:color w:val="000000"/>
        </w:rPr>
        <w:t>10.2. Pozostałe dokumenty</w:t>
      </w:r>
    </w:p>
    <w:p w:rsidR="00904BD7" w:rsidRPr="002E5A15" w:rsidRDefault="00904BD7" w:rsidP="0097494B">
      <w:pPr>
        <w:numPr>
          <w:ilvl w:val="0"/>
          <w:numId w:val="86"/>
        </w:numPr>
        <w:tabs>
          <w:tab w:val="clear" w:pos="720"/>
          <w:tab w:val="num" w:pos="993"/>
        </w:tabs>
        <w:ind w:left="993" w:hanging="284"/>
        <w:jc w:val="both"/>
        <w:rPr>
          <w:rFonts w:cs="Calibri"/>
          <w:color w:val="000000"/>
        </w:rPr>
      </w:pPr>
      <w:r w:rsidRPr="002E5A15">
        <w:rPr>
          <w:rFonts w:cs="Calibri"/>
          <w:color w:val="000000"/>
        </w:rPr>
        <w:t xml:space="preserve">Zalecenia producenta georusztu i geotkaniny dotyczące technologii wbudowania. </w:t>
      </w:r>
    </w:p>
    <w:p w:rsidR="00904BD7" w:rsidRPr="00833C2B" w:rsidRDefault="00904BD7" w:rsidP="0097494B">
      <w:pPr>
        <w:numPr>
          <w:ilvl w:val="0"/>
          <w:numId w:val="86"/>
        </w:numPr>
        <w:tabs>
          <w:tab w:val="clear" w:pos="720"/>
          <w:tab w:val="num" w:pos="993"/>
        </w:tabs>
        <w:ind w:left="993" w:hanging="284"/>
        <w:jc w:val="both"/>
        <w:rPr>
          <w:rFonts w:cs="Calibri"/>
          <w:color w:val="000000"/>
          <w:lang w:val="en-US"/>
        </w:rPr>
      </w:pPr>
      <w:r w:rsidRPr="00833C2B">
        <w:rPr>
          <w:rFonts w:cs="Calibri"/>
          <w:color w:val="000000"/>
          <w:lang w:val="en-US"/>
        </w:rPr>
        <w:t>RaporttechnicznyEuropejskiejOrganizacjiAprobatTechnicznych (EOTA): „Non-reinforcing hexagonal geogrid for the stabilization of unbound granular layers by way of interlock with the aggregate”, TR</w:t>
      </w:r>
      <w:r>
        <w:rPr>
          <w:rFonts w:cs="Calibri"/>
          <w:color w:val="000000"/>
          <w:lang w:val="en-US"/>
        </w:rPr>
        <w:t xml:space="preserve"> 0</w:t>
      </w:r>
      <w:r w:rsidRPr="00833C2B">
        <w:rPr>
          <w:rFonts w:cs="Calibri"/>
          <w:color w:val="000000"/>
          <w:lang w:val="en-US"/>
        </w:rPr>
        <w:t>41, październik 2012.</w:t>
      </w:r>
    </w:p>
    <w:p w:rsidR="00904BD7" w:rsidRPr="00833C2B" w:rsidRDefault="00904BD7" w:rsidP="00904BD7">
      <w:pPr>
        <w:jc w:val="both"/>
        <w:rPr>
          <w:rFonts w:cs="Calibri"/>
          <w:color w:val="000000"/>
          <w:lang w:val="en-US"/>
        </w:rPr>
      </w:pPr>
    </w:p>
    <w:p w:rsidR="00C26502" w:rsidRDefault="00C26502" w:rsidP="005A6CD4">
      <w:pPr>
        <w:jc w:val="both"/>
        <w:outlineLvl w:val="0"/>
        <w:rPr>
          <w:rFonts w:ascii="PL Times New Roman" w:hAnsi="PL Times New Roman"/>
          <w:b/>
          <w:snapToGrid w:val="0"/>
          <w:sz w:val="26"/>
          <w:lang w:val="en-US"/>
        </w:rPr>
      </w:pPr>
    </w:p>
    <w:p w:rsidR="00AD0861" w:rsidRPr="00904BD7" w:rsidRDefault="00AD0861" w:rsidP="005A6CD4">
      <w:pPr>
        <w:jc w:val="both"/>
        <w:outlineLvl w:val="0"/>
        <w:rPr>
          <w:rFonts w:ascii="PL Times New Roman" w:hAnsi="PL Times New Roman"/>
          <w:b/>
          <w:snapToGrid w:val="0"/>
          <w:sz w:val="26"/>
          <w:lang w:val="en-US"/>
        </w:rPr>
      </w:pPr>
    </w:p>
    <w:p w:rsidR="00A71C7E" w:rsidRDefault="00A71C7E" w:rsidP="00A71C7E">
      <w:pPr>
        <w:jc w:val="both"/>
        <w:outlineLvl w:val="0"/>
        <w:rPr>
          <w:rFonts w:ascii="PL Times New Roman" w:hAnsi="PL Times New Roman"/>
          <w:b/>
          <w:bCs/>
          <w:snapToGrid w:val="0"/>
          <w:sz w:val="26"/>
          <w:szCs w:val="26"/>
        </w:rPr>
      </w:pPr>
      <w:bookmarkStart w:id="90" w:name="_Toc504342180"/>
      <w:bookmarkStart w:id="91" w:name="_Toc12492244"/>
      <w:bookmarkStart w:id="92" w:name="_Toc80100096"/>
      <w:r>
        <w:rPr>
          <w:rFonts w:ascii="PL Times New Roman" w:hAnsi="PL Times New Roman"/>
          <w:b/>
          <w:bCs/>
          <w:snapToGrid w:val="0"/>
          <w:sz w:val="26"/>
          <w:szCs w:val="26"/>
        </w:rPr>
        <w:t xml:space="preserve">M.20.01.20. </w:t>
      </w:r>
      <w:r>
        <w:rPr>
          <w:rFonts w:ascii="PL Times New Roman" w:hAnsi="PL Times New Roman"/>
          <w:b/>
          <w:bCs/>
          <w:snapToGrid w:val="0"/>
          <w:sz w:val="26"/>
          <w:szCs w:val="26"/>
        </w:rPr>
        <w:tab/>
        <w:t>SIECI UZBROJENIA TERENU</w:t>
      </w:r>
      <w:bookmarkEnd w:id="90"/>
      <w:bookmarkEnd w:id="91"/>
      <w:bookmarkEnd w:id="92"/>
    </w:p>
    <w:p w:rsidR="00A71C7E" w:rsidRDefault="00A71C7E" w:rsidP="00A71C7E">
      <w:pPr>
        <w:rPr>
          <w:b/>
          <w:u w:val="single"/>
        </w:rPr>
      </w:pPr>
      <w:r>
        <w:rPr>
          <w:b/>
          <w:u w:val="single"/>
        </w:rPr>
        <w:t>1. WSTĘP</w:t>
      </w:r>
    </w:p>
    <w:p w:rsidR="00A71C7E" w:rsidRDefault="00A71C7E" w:rsidP="00A71C7E">
      <w:pPr>
        <w:keepNext/>
        <w:tabs>
          <w:tab w:val="left" w:pos="0"/>
        </w:tabs>
        <w:overflowPunct w:val="0"/>
        <w:autoSpaceDE w:val="0"/>
        <w:spacing w:before="120" w:after="120"/>
        <w:jc w:val="both"/>
        <w:outlineLvl w:val="1"/>
        <w:rPr>
          <w:rFonts w:ascii="PL Times New Roman" w:hAnsi="PL Times New Roman"/>
          <w:b/>
          <w:snapToGrid w:val="0"/>
        </w:rPr>
      </w:pPr>
      <w:r>
        <w:rPr>
          <w:rFonts w:ascii="PL Times New Roman" w:hAnsi="PL Times New Roman"/>
          <w:b/>
          <w:snapToGrid w:val="0"/>
        </w:rPr>
        <w:t>1.1. Przedmiot ST</w:t>
      </w:r>
    </w:p>
    <w:p w:rsidR="00A71C7E" w:rsidRDefault="00A71C7E" w:rsidP="00A71C7E">
      <w:pPr>
        <w:jc w:val="both"/>
        <w:rPr>
          <w:bCs/>
          <w:snapToGrid w:val="0"/>
        </w:rPr>
      </w:pPr>
      <w:r>
        <w:t xml:space="preserve">Przedmiotem niniejszej szczegółowej specyfikacji technicznej (SST) są wymagania dotyczące wykonania przebudowy sieci elektroenergetycznej w </w:t>
      </w:r>
      <w:r>
        <w:rPr>
          <w:snapToGrid w:val="0"/>
        </w:rPr>
        <w:t xml:space="preserve">ramach </w:t>
      </w:r>
      <w:r>
        <w:rPr>
          <w:bCs/>
          <w:snapToGrid w:val="0"/>
        </w:rPr>
        <w:t xml:space="preserve">projektu : </w:t>
      </w:r>
      <w:r>
        <w:rPr>
          <w:bCs/>
        </w:rPr>
        <w:t>"Remont przepustu nad rzeką Postomia w ciągu drogi nr 445/k.2922 m. Wędrzyn</w:t>
      </w:r>
    </w:p>
    <w:p w:rsidR="00A71C7E" w:rsidRDefault="00A71C7E" w:rsidP="00A71C7E">
      <w:pPr>
        <w:jc w:val="both"/>
        <w:rPr>
          <w:b/>
          <w:noProof/>
          <w:snapToGrid w:val="0"/>
        </w:rPr>
      </w:pPr>
      <w:r>
        <w:rPr>
          <w:b/>
          <w:noProof/>
          <w:snapToGrid w:val="0"/>
        </w:rPr>
        <w:t>1.2. Zakres stosowania ST</w:t>
      </w:r>
    </w:p>
    <w:p w:rsidR="00A71C7E" w:rsidRDefault="00A71C7E" w:rsidP="00A71C7E">
      <w:pPr>
        <w:jc w:val="both"/>
      </w:pPr>
      <w:r>
        <w:t>Specyfikacja techniczna jest stosowana jako dokument przetargowy i kontraktowy przy zlecaniu i realizacji Robót wymienionych w punkcie 1.1.</w:t>
      </w:r>
    </w:p>
    <w:p w:rsidR="00A71C7E" w:rsidRDefault="00A71C7E" w:rsidP="00A71C7E">
      <w:pPr>
        <w:widowControl w:val="0"/>
        <w:rPr>
          <w:b/>
          <w:noProof/>
          <w:snapToGrid w:val="0"/>
        </w:rPr>
      </w:pPr>
      <w:r>
        <w:rPr>
          <w:b/>
          <w:noProof/>
          <w:snapToGrid w:val="0"/>
        </w:rPr>
        <w:t>1.3. Zakres robót objętych SST</w:t>
      </w:r>
    </w:p>
    <w:p w:rsidR="00A71C7E" w:rsidRDefault="00A71C7E" w:rsidP="00A71C7E">
      <w:pPr>
        <w:widowControl w:val="0"/>
        <w:rPr>
          <w:noProof/>
          <w:snapToGrid w:val="0"/>
        </w:rPr>
      </w:pPr>
      <w:r>
        <w:rPr>
          <w:noProof/>
          <w:snapToGrid w:val="0"/>
        </w:rPr>
        <w:tab/>
        <w:t xml:space="preserve">Ustalenia zawarte w niniejszej specyfikacji mają zastosowanie do </w:t>
      </w:r>
      <w:r>
        <w:t xml:space="preserve">przebudowy sieci </w:t>
      </w:r>
      <w:r>
        <w:rPr>
          <w:noProof/>
          <w:snapToGrid w:val="0"/>
        </w:rPr>
        <w:t>i obejmują:</w:t>
      </w:r>
    </w:p>
    <w:p w:rsidR="00A71C7E" w:rsidRDefault="00A71C7E" w:rsidP="00A71C7E">
      <w:pPr>
        <w:widowControl w:val="0"/>
        <w:rPr>
          <w:noProof/>
          <w:snapToGrid w:val="0"/>
        </w:rPr>
      </w:pPr>
      <w:r>
        <w:rPr>
          <w:noProof/>
          <w:snapToGrid w:val="0"/>
        </w:rPr>
        <w:t>Zakres rzeczowy niniejszego projektu przewiduje :</w:t>
      </w:r>
    </w:p>
    <w:p w:rsidR="00A71C7E" w:rsidRDefault="00A71C7E" w:rsidP="00A71C7E">
      <w:pPr>
        <w:widowControl w:val="0"/>
        <w:rPr>
          <w:noProof/>
          <w:snapToGrid w:val="0"/>
        </w:rPr>
      </w:pPr>
    </w:p>
    <w:p w:rsidR="00A71C7E" w:rsidRDefault="00A71C7E" w:rsidP="00A71C7E">
      <w:pPr>
        <w:widowControl w:val="0"/>
        <w:rPr>
          <w:noProof/>
          <w:snapToGrid w:val="0"/>
        </w:rPr>
      </w:pPr>
      <w:r>
        <w:rPr>
          <w:noProof/>
          <w:snapToGrid w:val="0"/>
        </w:rPr>
        <w:t xml:space="preserve">- </w:t>
      </w:r>
      <w:r w:rsidRPr="00A71C7E">
        <w:rPr>
          <w:noProof/>
          <w:snapToGrid w:val="0"/>
        </w:rPr>
        <w:t>Prace związane z zabezpieczeniem sieci na czas wykonywania robót, podwieszeniami, tymczasowymi podparciami sieci oraz z ewentualną korektą położenia. Sposób zabezpieczenia sieci na czas Wykonywania robót zależny od Wykonawcy.</w:t>
      </w:r>
    </w:p>
    <w:p w:rsidR="00A71C7E" w:rsidRDefault="00A71C7E" w:rsidP="00A71C7E">
      <w:pPr>
        <w:widowControl w:val="0"/>
        <w:rPr>
          <w:noProof/>
          <w:snapToGrid w:val="0"/>
        </w:rPr>
      </w:pPr>
    </w:p>
    <w:p w:rsidR="00A71C7E" w:rsidRDefault="00A71C7E" w:rsidP="00A71C7E">
      <w:pPr>
        <w:widowControl w:val="0"/>
        <w:rPr>
          <w:noProof/>
          <w:snapToGrid w:val="0"/>
        </w:rPr>
      </w:pPr>
      <w:r>
        <w:rPr>
          <w:noProof/>
          <w:snapToGrid w:val="0"/>
        </w:rPr>
        <w:t xml:space="preserve">- </w:t>
      </w:r>
      <w:r w:rsidRPr="00A71C7E">
        <w:rPr>
          <w:noProof/>
          <w:snapToGrid w:val="0"/>
        </w:rPr>
        <w:t>Prace związane zamontowanie istniejących sieci do ścian czołowych. Należy przewidziec zakup i montaż 20 szt obejm średnicy 110 mm regulowanych wraz z okładziną i elementami mocującymi</w:t>
      </w:r>
    </w:p>
    <w:p w:rsidR="00A71C7E" w:rsidRDefault="00A71C7E" w:rsidP="00A71C7E">
      <w:pPr>
        <w:widowControl w:val="0"/>
        <w:rPr>
          <w:noProof/>
          <w:snapToGrid w:val="0"/>
        </w:rPr>
      </w:pPr>
    </w:p>
    <w:p w:rsidR="00A71C7E" w:rsidRDefault="00A71C7E" w:rsidP="00A71C7E">
      <w:pPr>
        <w:widowControl w:val="0"/>
        <w:rPr>
          <w:noProof/>
          <w:snapToGrid w:val="0"/>
        </w:rPr>
      </w:pPr>
    </w:p>
    <w:p w:rsidR="00A71C7E" w:rsidRDefault="00A71C7E" w:rsidP="00A71C7E">
      <w:pPr>
        <w:widowControl w:val="0"/>
        <w:rPr>
          <w:b/>
        </w:rPr>
      </w:pPr>
      <w:r>
        <w:rPr>
          <w:b/>
        </w:rPr>
        <w:t>1.4. Określenia podstawowe</w:t>
      </w:r>
    </w:p>
    <w:p w:rsidR="00A71C7E" w:rsidRDefault="00A71C7E" w:rsidP="00A71C7E">
      <w:r>
        <w:t>1.4.1.Linia kablowa - kabel wielożyłowy lub wiązka kabli jednożyłowych w układzie wielofazowym albo kilka kabli jedno- lub wielożyłowych połączonych równolegle, łącznie z osprzętem, ułożone na wspólnej trasie i łączące zaciski tych samych dwóch urządzeń elektrycznych jedno- lub wielofazowych.</w:t>
      </w:r>
    </w:p>
    <w:p w:rsidR="00A71C7E" w:rsidRDefault="00A71C7E" w:rsidP="00A71C7E">
      <w:r>
        <w:t>1.4.2.Trasa kablowa - pas terenu, w którym ułożone są jedna lub więcej linii kablowych.</w:t>
      </w:r>
    </w:p>
    <w:p w:rsidR="00A71C7E" w:rsidRDefault="00A71C7E" w:rsidP="00A71C7E">
      <w:r>
        <w:t>1.4.3.Napięcie znamionowe linii - napięcie międzyprzewodowe, na które linia kablowa została zbudowana.</w:t>
      </w:r>
    </w:p>
    <w:p w:rsidR="00A71C7E" w:rsidRDefault="00A71C7E" w:rsidP="00A71C7E">
      <w:r>
        <w:t>1.4.4</w:t>
      </w:r>
      <w:r>
        <w:rPr>
          <w:b/>
        </w:rPr>
        <w:t xml:space="preserve">. </w:t>
      </w:r>
      <w:r>
        <w:t>Osprzęt linii kablowej - zbiór elementów przeznaczonych do łączenia, rozgałęziania lub zakończenia kabli.</w:t>
      </w:r>
    </w:p>
    <w:p w:rsidR="00A71C7E" w:rsidRDefault="00A71C7E" w:rsidP="00A71C7E">
      <w:r>
        <w:t>1.4.5</w:t>
      </w:r>
      <w:r>
        <w:rPr>
          <w:b/>
        </w:rPr>
        <w:t xml:space="preserve">. </w:t>
      </w:r>
      <w:r>
        <w:t>Osłona kabla - konstrukcja przeznaczona do ochrony kabla przed uszkodzeniami mechanicznymi, chemicznymi i działaniem łuku elektrycznego.</w:t>
      </w:r>
    </w:p>
    <w:p w:rsidR="00A71C7E" w:rsidRDefault="00A71C7E" w:rsidP="00A71C7E">
      <w:r>
        <w:t>1.4.6.Przykrycie - słoma ułożona nad kablem w celu ochrony przed mechanicznym uszkodzeniem od góry.</w:t>
      </w:r>
    </w:p>
    <w:p w:rsidR="00A71C7E" w:rsidRDefault="00A71C7E" w:rsidP="00A71C7E">
      <w:r>
        <w:t>1.4.7.Przegroda - osłona ułożona wzdłuż kabla w celu oddzielenia go od sąsiedniego kabla lub od innych urządzeń.</w:t>
      </w:r>
    </w:p>
    <w:p w:rsidR="00A71C7E" w:rsidRDefault="00A71C7E" w:rsidP="00A71C7E">
      <w:r>
        <w:t>1.4.8.Skrzyżowanie - takie miejsce na trasie linii kablowej, w którym jakakolwiek część rzutu poziomego linii kablowej przecina lub pokrywa jakąkolwiek część rzutu poziomego innej linii kablowej lub innego urządzenia podziemnego.</w:t>
      </w:r>
    </w:p>
    <w:p w:rsidR="00A71C7E" w:rsidRDefault="00A71C7E" w:rsidP="00A71C7E">
      <w:r>
        <w:t>1.4.9</w:t>
      </w:r>
      <w:r>
        <w:rPr>
          <w:b/>
        </w:rPr>
        <w:t xml:space="preserve">. </w:t>
      </w:r>
      <w:r>
        <w:t>Zbliżenie - takie miejsce na trasie linii kablowej, w którym odległość między linią kablową, urządzeniem podziemnym lub drogą komunikacyjną itp. jest mniejsza niż odległość dopuszczalna dla danych warunków układania bez stosowania przegród  lub osłon zabezpieczających i w których nie występuje skrzyżowanie.</w:t>
      </w:r>
    </w:p>
    <w:p w:rsidR="00A71C7E" w:rsidRDefault="00A71C7E" w:rsidP="00A71C7E">
      <w:r>
        <w:t>1.4.10.Przepust kablowy - konstrukcja o przekroju okrągłym przeznaczona do ochrony kabla przed uszkodzeniami mechanicznymi, chemicznymi i działaniem łuku elektrycznego.</w:t>
      </w:r>
    </w:p>
    <w:p w:rsidR="00A71C7E" w:rsidRDefault="00A71C7E" w:rsidP="00A71C7E">
      <w:r>
        <w:t>1.4.11</w:t>
      </w:r>
      <w:r>
        <w:rPr>
          <w:b/>
        </w:rPr>
        <w:t xml:space="preserve">. </w:t>
      </w:r>
      <w:r>
        <w:t>Dodatkowa ochrona przeciwporażeniowa - ochrona części przewodzących, dostępnych w wypadku pojawienia się na nich napięcia w warunkach zakłóceniowych.</w:t>
      </w:r>
    </w:p>
    <w:p w:rsidR="00A71C7E" w:rsidRDefault="00A71C7E" w:rsidP="00A71C7E">
      <w:r>
        <w:t>1.4.12.Pozostałe określenia podstawowe są zgodne z normą PN-61/E-01002 [1] i definicjami podanymi w OST D-M-00.00.00 „Wymagania ogólne”.</w:t>
      </w:r>
    </w:p>
    <w:p w:rsidR="00A71C7E" w:rsidRDefault="00A71C7E" w:rsidP="00A71C7E"/>
    <w:p w:rsidR="00A71C7E" w:rsidRDefault="00A71C7E" w:rsidP="00A71C7E">
      <w:pPr>
        <w:rPr>
          <w:b/>
        </w:rPr>
      </w:pPr>
      <w:r>
        <w:rPr>
          <w:b/>
        </w:rPr>
        <w:t>1.5. Ogólne wymagania dotyczące robót</w:t>
      </w:r>
    </w:p>
    <w:p w:rsidR="00A71C7E" w:rsidRDefault="00A71C7E" w:rsidP="00A71C7E">
      <w:r>
        <w:t>Ogólne wymagania dotyczące robót podano w ST D-M-00.00.00 „Wymagania ogólne” .</w:t>
      </w:r>
    </w:p>
    <w:p w:rsidR="00A71C7E" w:rsidRDefault="00A71C7E" w:rsidP="00A71C7E">
      <w:pPr>
        <w:rPr>
          <w:b/>
          <w:u w:val="single"/>
        </w:rPr>
      </w:pPr>
      <w:r>
        <w:rPr>
          <w:b/>
          <w:u w:val="single"/>
        </w:rPr>
        <w:t>2. MATERIAŁY</w:t>
      </w:r>
    </w:p>
    <w:p w:rsidR="00A71C7E" w:rsidRDefault="00A71C7E" w:rsidP="00A71C7E">
      <w:pPr>
        <w:keepNext/>
        <w:tabs>
          <w:tab w:val="left" w:pos="0"/>
        </w:tabs>
        <w:overflowPunct w:val="0"/>
        <w:autoSpaceDE w:val="0"/>
        <w:jc w:val="both"/>
        <w:outlineLvl w:val="1"/>
        <w:rPr>
          <w:rFonts w:ascii="PL Times New Roman" w:hAnsi="PL Times New Roman"/>
          <w:b/>
          <w:snapToGrid w:val="0"/>
        </w:rPr>
      </w:pPr>
      <w:r>
        <w:rPr>
          <w:rFonts w:ascii="PL Times New Roman" w:hAnsi="PL Times New Roman"/>
          <w:b/>
          <w:snapToGrid w:val="0"/>
        </w:rPr>
        <w:t>2.1. Ogólne wymagania</w:t>
      </w:r>
    </w:p>
    <w:p w:rsidR="00A71C7E" w:rsidRDefault="00A71C7E" w:rsidP="00A71C7E">
      <w:pPr>
        <w:overflowPunct w:val="0"/>
        <w:autoSpaceDE w:val="0"/>
        <w:autoSpaceDN w:val="0"/>
        <w:adjustRightInd w:val="0"/>
        <w:jc w:val="both"/>
        <w:rPr>
          <w:bCs/>
        </w:rPr>
      </w:pPr>
      <w:r>
        <w:tab/>
      </w:r>
      <w:r>
        <w:rPr>
          <w:bCs/>
        </w:rPr>
        <w:t>Ogólne wymagania dotyczące materiałów podano w ST D-M-00.00.00 „Wymagania ogólne”.</w:t>
      </w:r>
    </w:p>
    <w:p w:rsidR="00A71C7E" w:rsidRDefault="00A71C7E" w:rsidP="00A71C7E">
      <w:pPr>
        <w:overflowPunct w:val="0"/>
        <w:autoSpaceDE w:val="0"/>
        <w:autoSpaceDN w:val="0"/>
        <w:adjustRightInd w:val="0"/>
        <w:jc w:val="both"/>
        <w:rPr>
          <w:bCs/>
        </w:rPr>
      </w:pPr>
      <w:r>
        <w:rPr>
          <w:bCs/>
        </w:rPr>
        <w:t>Każdy materiał musi mieć atest wytwórcy stwierdzający zgodność jego wykonania z odpowiednimi normami.</w:t>
      </w:r>
    </w:p>
    <w:p w:rsidR="00A71C7E" w:rsidRPr="001310CA" w:rsidRDefault="00A71C7E" w:rsidP="00A71C7E">
      <w:pPr>
        <w:rPr>
          <w:b/>
        </w:rPr>
      </w:pPr>
      <w:r>
        <w:rPr>
          <w:b/>
        </w:rPr>
        <w:t>2.2</w:t>
      </w:r>
      <w:r w:rsidRPr="001310CA">
        <w:rPr>
          <w:b/>
        </w:rPr>
        <w:t>. Obejmy wraz z elementami montażowymi</w:t>
      </w:r>
    </w:p>
    <w:p w:rsidR="00A71C7E" w:rsidRDefault="00A71C7E" w:rsidP="00A71C7E">
      <w:r>
        <w:t>Należy zastosować kompletne obejmy systemowe z regulacją dostosowane do srednicy rur osłonowych wraz z elementami montażowymi.</w:t>
      </w:r>
    </w:p>
    <w:p w:rsidR="00A71C7E" w:rsidRDefault="00A71C7E" w:rsidP="00A71C7E">
      <w:pPr>
        <w:rPr>
          <w:b/>
          <w:u w:val="single"/>
        </w:rPr>
      </w:pPr>
      <w:r>
        <w:rPr>
          <w:b/>
          <w:u w:val="single"/>
        </w:rPr>
        <w:t>3. SPRZĘT</w:t>
      </w:r>
    </w:p>
    <w:p w:rsidR="00A71C7E" w:rsidRDefault="00A71C7E" w:rsidP="00A71C7E">
      <w:pPr>
        <w:keepNext/>
        <w:tabs>
          <w:tab w:val="left" w:pos="0"/>
        </w:tabs>
        <w:overflowPunct w:val="0"/>
        <w:autoSpaceDE w:val="0"/>
        <w:jc w:val="both"/>
        <w:outlineLvl w:val="1"/>
        <w:rPr>
          <w:rFonts w:ascii="PL Times New Roman" w:hAnsi="PL Times New Roman"/>
          <w:b/>
          <w:snapToGrid w:val="0"/>
        </w:rPr>
      </w:pPr>
      <w:r>
        <w:rPr>
          <w:rFonts w:ascii="PL Times New Roman" w:hAnsi="PL Times New Roman"/>
          <w:b/>
          <w:snapToGrid w:val="0"/>
        </w:rPr>
        <w:t>3.1. Ogólne wymagania</w:t>
      </w:r>
    </w:p>
    <w:p w:rsidR="00A71C7E" w:rsidRDefault="00A71C7E" w:rsidP="00A71C7E">
      <w:pPr>
        <w:overflowPunct w:val="0"/>
        <w:autoSpaceDE w:val="0"/>
        <w:autoSpaceDN w:val="0"/>
        <w:adjustRightInd w:val="0"/>
        <w:jc w:val="both"/>
        <w:rPr>
          <w:bCs/>
          <w:szCs w:val="19"/>
        </w:rPr>
      </w:pPr>
      <w:r>
        <w:rPr>
          <w:bCs/>
          <w:szCs w:val="19"/>
        </w:rPr>
        <w:t>Wykonawca jest zobowiązany do używania jedynie takiego sprzętu, który nie spowoduje niekorzystnego wpływu na jakość wykonywanych robót, zarówno w miejscu tych robót, jak też przy wykonywaniu czynności pomocniczych oraz w czasie transportu, załadunku i wyładunku materiałów, sprzętu itp.</w:t>
      </w:r>
    </w:p>
    <w:p w:rsidR="00A71C7E" w:rsidRDefault="00A71C7E" w:rsidP="00A71C7E">
      <w:pPr>
        <w:overflowPunct w:val="0"/>
        <w:autoSpaceDE w:val="0"/>
        <w:autoSpaceDN w:val="0"/>
        <w:adjustRightInd w:val="0"/>
        <w:jc w:val="both"/>
        <w:rPr>
          <w:bCs/>
          <w:szCs w:val="19"/>
        </w:rPr>
      </w:pPr>
      <w:r>
        <w:rPr>
          <w:bCs/>
          <w:szCs w:val="19"/>
        </w:rPr>
        <w:t>Sprzęt używany przez Wykonawcę powinien uzyskać akceptację Inżyniera.</w:t>
      </w:r>
    </w:p>
    <w:p w:rsidR="00A71C7E" w:rsidRDefault="00A71C7E" w:rsidP="00A71C7E">
      <w:r>
        <w:rPr>
          <w:bCs/>
          <w:szCs w:val="19"/>
        </w:rPr>
        <w:t>Liczba i wydajność sprzętu powinna gwarantować wykonanie robót zgodnie z zasadami określonymi w dokumentacji projektowej, niniejszej ST i wskazaniach Inżyniera w terminie przewidzianym kontraktem</w:t>
      </w:r>
      <w:r>
        <w:rPr>
          <w:b/>
        </w:rPr>
        <w:t xml:space="preserve">3.2. </w:t>
      </w:r>
    </w:p>
    <w:p w:rsidR="00A71C7E" w:rsidRDefault="00A71C7E" w:rsidP="00A71C7E">
      <w:pPr>
        <w:rPr>
          <w:b/>
          <w:u w:val="single"/>
        </w:rPr>
      </w:pPr>
      <w:r>
        <w:rPr>
          <w:b/>
          <w:u w:val="single"/>
        </w:rPr>
        <w:t>4. TRANSPORT</w:t>
      </w:r>
    </w:p>
    <w:p w:rsidR="00A71C7E" w:rsidRDefault="00A71C7E" w:rsidP="00A71C7E">
      <w:pPr>
        <w:keepNext/>
        <w:tabs>
          <w:tab w:val="left" w:pos="0"/>
        </w:tabs>
        <w:overflowPunct w:val="0"/>
        <w:autoSpaceDE w:val="0"/>
        <w:jc w:val="both"/>
        <w:outlineLvl w:val="1"/>
        <w:rPr>
          <w:rFonts w:ascii="PL Times New Roman" w:hAnsi="PL Times New Roman"/>
          <w:b/>
          <w:snapToGrid w:val="0"/>
        </w:rPr>
      </w:pPr>
      <w:r>
        <w:rPr>
          <w:rFonts w:ascii="PL Times New Roman" w:hAnsi="PL Times New Roman"/>
          <w:b/>
          <w:snapToGrid w:val="0"/>
        </w:rPr>
        <w:t>4.1. Ogólne wymagania</w:t>
      </w:r>
    </w:p>
    <w:p w:rsidR="00A71C7E" w:rsidRDefault="00A71C7E" w:rsidP="00A71C7E">
      <w:r>
        <w:tab/>
        <w:t>Wykonawca jest zobowiązany do stosowania jedynie takich środków transportu, które nie wpłyną niekorzystnie na jakość wykonywanych robót.</w:t>
      </w:r>
    </w:p>
    <w:p w:rsidR="00A71C7E" w:rsidRDefault="00A71C7E" w:rsidP="00A71C7E">
      <w:pPr>
        <w:ind w:left="20"/>
      </w:pPr>
      <w:r>
        <w:tab/>
        <w:t>Liczba środków transportu powinna gwarantować prowadzenie robót zgodnie z zasadami określonymi w  SST i wskazaniach Inspektora nadzoru, w terminie przewidzianym kontraktem.</w:t>
      </w:r>
    </w:p>
    <w:p w:rsidR="00A71C7E" w:rsidRDefault="00A71C7E" w:rsidP="00A71C7E">
      <w:pPr>
        <w:spacing w:line="360" w:lineRule="auto"/>
        <w:jc w:val="both"/>
        <w:rPr>
          <w:color w:val="000000"/>
          <w:sz w:val="24"/>
          <w:lang w:eastAsia="ar-SA"/>
        </w:rPr>
      </w:pPr>
      <w:r>
        <w:rPr>
          <w:b/>
          <w:u w:val="single"/>
        </w:rPr>
        <w:t>5. WYKONANIE ROBÓT</w:t>
      </w:r>
    </w:p>
    <w:p w:rsidR="00FB3016" w:rsidRDefault="00FB3016" w:rsidP="00A71C7E">
      <w:pPr>
        <w:overflowPunct w:val="0"/>
        <w:autoSpaceDE w:val="0"/>
        <w:autoSpaceDN w:val="0"/>
        <w:adjustRightInd w:val="0"/>
        <w:jc w:val="both"/>
        <w:rPr>
          <w:b/>
          <w:bCs/>
          <w:szCs w:val="19"/>
        </w:rPr>
      </w:pPr>
    </w:p>
    <w:p w:rsidR="00A71C7E" w:rsidRDefault="00FB3016" w:rsidP="00A71C7E">
      <w:pPr>
        <w:overflowPunct w:val="0"/>
        <w:autoSpaceDE w:val="0"/>
        <w:autoSpaceDN w:val="0"/>
        <w:adjustRightInd w:val="0"/>
        <w:jc w:val="both"/>
        <w:rPr>
          <w:b/>
          <w:bCs/>
          <w:szCs w:val="19"/>
        </w:rPr>
      </w:pPr>
      <w:r>
        <w:rPr>
          <w:b/>
          <w:bCs/>
          <w:szCs w:val="19"/>
        </w:rPr>
        <w:t xml:space="preserve">Sieci w obrębie wykonywanych robót są własnością Inwestora. </w:t>
      </w:r>
      <w:r w:rsidR="00A71C7E">
        <w:rPr>
          <w:b/>
          <w:bCs/>
          <w:szCs w:val="19"/>
        </w:rPr>
        <w:t xml:space="preserve">Roboty należy wykonać zgodnie z </w:t>
      </w:r>
      <w:r>
        <w:rPr>
          <w:b/>
          <w:bCs/>
          <w:szCs w:val="19"/>
        </w:rPr>
        <w:t xml:space="preserve">zasadami wiedzy technicznej, przepisami branżowymi i BHP. Należy przewidzieć </w:t>
      </w:r>
      <w:r w:rsidR="00A71C7E">
        <w:rPr>
          <w:b/>
          <w:bCs/>
          <w:szCs w:val="19"/>
        </w:rPr>
        <w:t>zabezpiecze</w:t>
      </w:r>
      <w:r>
        <w:rPr>
          <w:b/>
          <w:bCs/>
          <w:szCs w:val="19"/>
        </w:rPr>
        <w:t>nie</w:t>
      </w:r>
      <w:r w:rsidR="00A71C7E">
        <w:rPr>
          <w:b/>
          <w:bCs/>
          <w:szCs w:val="19"/>
        </w:rPr>
        <w:t xml:space="preserve"> sieci na czas prowadzenia robót</w:t>
      </w:r>
      <w:r w:rsidR="0063058D">
        <w:rPr>
          <w:b/>
          <w:bCs/>
          <w:szCs w:val="19"/>
        </w:rPr>
        <w:t xml:space="preserve"> wraz z zabezpieczeniem studni</w:t>
      </w:r>
      <w:r w:rsidR="00A71C7E">
        <w:rPr>
          <w:b/>
          <w:bCs/>
          <w:szCs w:val="19"/>
        </w:rPr>
        <w:t>.</w:t>
      </w:r>
      <w:r>
        <w:rPr>
          <w:b/>
          <w:bCs/>
          <w:szCs w:val="19"/>
        </w:rPr>
        <w:t xml:space="preserve"> </w:t>
      </w:r>
    </w:p>
    <w:p w:rsidR="00A71C7E" w:rsidRDefault="00A71C7E" w:rsidP="00A71C7E">
      <w:pPr>
        <w:overflowPunct w:val="0"/>
        <w:autoSpaceDE w:val="0"/>
        <w:autoSpaceDN w:val="0"/>
        <w:adjustRightInd w:val="0"/>
        <w:jc w:val="both"/>
        <w:rPr>
          <w:b/>
          <w:bCs/>
          <w:szCs w:val="19"/>
        </w:rPr>
      </w:pPr>
      <w:r w:rsidRPr="001310CA">
        <w:rPr>
          <w:b/>
          <w:bCs/>
          <w:szCs w:val="19"/>
        </w:rPr>
        <w:t>Sposób zabezpieczenia sieci</w:t>
      </w:r>
      <w:r>
        <w:rPr>
          <w:b/>
          <w:bCs/>
          <w:szCs w:val="19"/>
        </w:rPr>
        <w:t xml:space="preserve"> na czas Wykonywania robót zależ</w:t>
      </w:r>
      <w:r w:rsidRPr="001310CA">
        <w:rPr>
          <w:b/>
          <w:bCs/>
          <w:szCs w:val="19"/>
        </w:rPr>
        <w:t xml:space="preserve">ny </w:t>
      </w:r>
      <w:r>
        <w:rPr>
          <w:b/>
          <w:bCs/>
          <w:szCs w:val="19"/>
        </w:rPr>
        <w:t xml:space="preserve">jest </w:t>
      </w:r>
      <w:r w:rsidRPr="001310CA">
        <w:rPr>
          <w:b/>
          <w:bCs/>
          <w:szCs w:val="19"/>
        </w:rPr>
        <w:t>od Wykonawcy</w:t>
      </w:r>
      <w:r w:rsidR="0063058D">
        <w:rPr>
          <w:b/>
          <w:bCs/>
          <w:szCs w:val="19"/>
        </w:rPr>
        <w:t xml:space="preserve"> np. stalowe scianki szczelne w przypadku studni i tymczasowe podwieszenie za pomocą linek i dźwigarów stalowych</w:t>
      </w:r>
    </w:p>
    <w:p w:rsidR="00FB3016" w:rsidRDefault="00A71C7E" w:rsidP="00A71C7E">
      <w:pPr>
        <w:overflowPunct w:val="0"/>
        <w:autoSpaceDE w:val="0"/>
        <w:autoSpaceDN w:val="0"/>
        <w:adjustRightInd w:val="0"/>
        <w:jc w:val="both"/>
        <w:rPr>
          <w:b/>
          <w:bCs/>
          <w:szCs w:val="19"/>
        </w:rPr>
      </w:pPr>
      <w:r>
        <w:rPr>
          <w:b/>
          <w:bCs/>
          <w:szCs w:val="19"/>
        </w:rPr>
        <w:t xml:space="preserve">Należy zwrócić szczególna uwagę na przebieg sieci w miejscach wykonywania </w:t>
      </w:r>
      <w:r w:rsidR="00FB3016">
        <w:rPr>
          <w:b/>
          <w:bCs/>
          <w:szCs w:val="19"/>
        </w:rPr>
        <w:t>barier</w:t>
      </w:r>
      <w:r>
        <w:rPr>
          <w:b/>
          <w:bCs/>
          <w:szCs w:val="19"/>
        </w:rPr>
        <w:t xml:space="preserve">. </w:t>
      </w:r>
      <w:r w:rsidR="00FB3016">
        <w:rPr>
          <w:b/>
          <w:bCs/>
          <w:szCs w:val="19"/>
        </w:rPr>
        <w:t>Należy przewidzieć ewentualną korektę w położeniu sieci w razie wystąpienia kolizji.</w:t>
      </w:r>
    </w:p>
    <w:p w:rsidR="00A71C7E" w:rsidRDefault="00A71C7E" w:rsidP="00A71C7E">
      <w:pPr>
        <w:overflowPunct w:val="0"/>
        <w:autoSpaceDE w:val="0"/>
        <w:autoSpaceDN w:val="0"/>
        <w:adjustRightInd w:val="0"/>
        <w:jc w:val="both"/>
        <w:rPr>
          <w:b/>
          <w:bCs/>
          <w:szCs w:val="19"/>
        </w:rPr>
      </w:pPr>
      <w:r>
        <w:rPr>
          <w:b/>
          <w:bCs/>
          <w:szCs w:val="19"/>
        </w:rPr>
        <w:t>Roboty w pobliżu sieci należy prowadzic ręcznie</w:t>
      </w:r>
    </w:p>
    <w:p w:rsidR="00A71C7E" w:rsidRDefault="00A71C7E" w:rsidP="00A71C7E">
      <w:pPr>
        <w:overflowPunct w:val="0"/>
        <w:autoSpaceDE w:val="0"/>
        <w:autoSpaceDN w:val="0"/>
        <w:adjustRightInd w:val="0"/>
        <w:jc w:val="both"/>
        <w:rPr>
          <w:bCs/>
          <w:szCs w:val="19"/>
        </w:rPr>
      </w:pPr>
    </w:p>
    <w:p w:rsidR="00A71C7E" w:rsidRPr="001310CA" w:rsidRDefault="00A71C7E" w:rsidP="00A71C7E">
      <w:pPr>
        <w:overflowPunct w:val="0"/>
        <w:autoSpaceDE w:val="0"/>
        <w:autoSpaceDN w:val="0"/>
        <w:adjustRightInd w:val="0"/>
        <w:jc w:val="both"/>
        <w:rPr>
          <w:b/>
          <w:bCs/>
          <w:szCs w:val="19"/>
        </w:rPr>
      </w:pPr>
      <w:r>
        <w:rPr>
          <w:b/>
          <w:bCs/>
          <w:szCs w:val="19"/>
        </w:rPr>
        <w:t>Obejmy</w:t>
      </w:r>
    </w:p>
    <w:p w:rsidR="00A71C7E" w:rsidRDefault="00A71C7E" w:rsidP="00A71C7E">
      <w:r>
        <w:t>Należy zastosować kompletne obejmy systemowe z regulacją dostosowane do średnicy rur osłonowych wraz z</w:t>
      </w:r>
      <w:r w:rsidR="0063058D">
        <w:t xml:space="preserve"> elementami montażowymi. Kotwy montażowe należy wkleić w projektowaną konstrukcję lub zamocować na etapie betonowania.</w:t>
      </w:r>
    </w:p>
    <w:p w:rsidR="00A71C7E" w:rsidRDefault="00A71C7E" w:rsidP="00A71C7E">
      <w:pPr>
        <w:overflowPunct w:val="0"/>
        <w:autoSpaceDE w:val="0"/>
        <w:autoSpaceDN w:val="0"/>
        <w:adjustRightInd w:val="0"/>
        <w:jc w:val="both"/>
        <w:rPr>
          <w:bCs/>
          <w:szCs w:val="19"/>
        </w:rPr>
      </w:pPr>
    </w:p>
    <w:p w:rsidR="00A71C7E" w:rsidRDefault="00A71C7E" w:rsidP="00A71C7E">
      <w:pPr>
        <w:spacing w:line="360" w:lineRule="auto"/>
        <w:rPr>
          <w:b/>
          <w:u w:val="single"/>
        </w:rPr>
      </w:pPr>
      <w:r>
        <w:rPr>
          <w:b/>
          <w:u w:val="single"/>
        </w:rPr>
        <w:t>6. KONTROLA JAKOŚCI ROBÓT</w:t>
      </w:r>
    </w:p>
    <w:p w:rsidR="00A71C7E" w:rsidRDefault="00A71C7E" w:rsidP="00A71C7E">
      <w:pPr>
        <w:rPr>
          <w:rFonts w:ascii="PL Times New Roman" w:hAnsi="PL Times New Roman"/>
          <w:b/>
          <w:snapToGrid w:val="0"/>
        </w:rPr>
      </w:pPr>
      <w:r>
        <w:rPr>
          <w:rFonts w:ascii="PL Times New Roman" w:hAnsi="PL Times New Roman"/>
          <w:b/>
          <w:snapToGrid w:val="0"/>
        </w:rPr>
        <w:t>6.1. Zasady wykonania kontroli robót</w:t>
      </w:r>
    </w:p>
    <w:p w:rsidR="00A71C7E" w:rsidRDefault="00A71C7E" w:rsidP="00A71C7E">
      <w:pPr>
        <w:rPr>
          <w:rFonts w:ascii="PL Times New Roman" w:hAnsi="PL Times New Roman"/>
          <w:snapToGrid w:val="0"/>
        </w:rPr>
      </w:pPr>
      <w:r>
        <w:rPr>
          <w:rFonts w:ascii="PL Times New Roman" w:hAnsi="PL Times New Roman"/>
          <w:snapToGrid w:val="0"/>
        </w:rPr>
        <w:t>Ogólne zasady kontroli jakości robót podano w ST D-M-00.00.00 „Wymagania ogólne”.</w:t>
      </w:r>
    </w:p>
    <w:p w:rsidR="00A71C7E" w:rsidRDefault="00A71C7E" w:rsidP="00A71C7E">
      <w:pPr>
        <w:rPr>
          <w:rFonts w:ascii="PL Times New Roman" w:hAnsi="PL Times New Roman"/>
          <w:snapToGrid w:val="0"/>
        </w:rPr>
      </w:pPr>
      <w:r>
        <w:rPr>
          <w:rFonts w:ascii="PL Times New Roman" w:hAnsi="PL Times New Roman"/>
          <w:snapToGrid w:val="0"/>
        </w:rPr>
        <w:t>Celem kontroli jest stwierdzenie osiągnięcia założonej jakości wykonanych robót .</w:t>
      </w:r>
    </w:p>
    <w:p w:rsidR="00A71C7E" w:rsidRDefault="00A71C7E" w:rsidP="00A71C7E">
      <w:pPr>
        <w:rPr>
          <w:rFonts w:ascii="PL Times New Roman" w:hAnsi="PL Times New Roman"/>
          <w:snapToGrid w:val="0"/>
        </w:rPr>
      </w:pPr>
      <w:r>
        <w:rPr>
          <w:rFonts w:ascii="PL Times New Roman" w:hAnsi="PL Times New Roman"/>
          <w:snapToGrid w:val="0"/>
        </w:rPr>
        <w:t>Wykonawca ma obowiązek wykonania pełnego zakresu badań na budowie w celu wskazania Inżynierowi zgodności dostarczonych materiałów i realizowanych robót z dokumentacją projektową oraz wymaganiami SST.</w:t>
      </w:r>
    </w:p>
    <w:p w:rsidR="00A71C7E" w:rsidRDefault="00A71C7E" w:rsidP="00A71C7E">
      <w:pPr>
        <w:rPr>
          <w:rFonts w:ascii="PL Times New Roman" w:hAnsi="PL Times New Roman"/>
          <w:snapToGrid w:val="0"/>
        </w:rPr>
      </w:pPr>
      <w:r>
        <w:rPr>
          <w:rFonts w:ascii="PL Times New Roman" w:hAnsi="PL Times New Roman"/>
          <w:snapToGrid w:val="0"/>
        </w:rPr>
        <w:t>Przewidziano kontrolę wizualną</w:t>
      </w:r>
    </w:p>
    <w:p w:rsidR="00A71C7E" w:rsidRDefault="00A71C7E" w:rsidP="00A71C7E">
      <w:pPr>
        <w:rPr>
          <w:b/>
          <w:u w:val="single"/>
        </w:rPr>
      </w:pPr>
      <w:r>
        <w:rPr>
          <w:b/>
          <w:u w:val="single"/>
        </w:rPr>
        <w:t>7. OBMIAR ROBÓT</w:t>
      </w:r>
    </w:p>
    <w:p w:rsidR="00A71C7E" w:rsidRDefault="00A71C7E" w:rsidP="00A71C7E">
      <w:pPr>
        <w:spacing w:after="120"/>
        <w:jc w:val="both"/>
        <w:rPr>
          <w:snapToGrid w:val="0"/>
        </w:rPr>
      </w:pPr>
      <w:r>
        <w:rPr>
          <w:rFonts w:ascii="Arial" w:hAnsi="Arial"/>
          <w:snapToGrid w:val="0"/>
        </w:rPr>
        <w:tab/>
      </w:r>
      <w:r>
        <w:rPr>
          <w:snapToGrid w:val="0"/>
        </w:rPr>
        <w:t>Jednostką obmiarową jest jednostka podana w przedmiarze robót różna w zależności od rodzaju robót, obejmująca wykonanie całości zdania, czyli zakres opisany w p. 1.3.</w:t>
      </w:r>
    </w:p>
    <w:p w:rsidR="00A71C7E" w:rsidRDefault="00A71C7E" w:rsidP="00A71C7E">
      <w:pPr>
        <w:rPr>
          <w:b/>
          <w:u w:val="single"/>
        </w:rPr>
      </w:pPr>
      <w:r>
        <w:rPr>
          <w:b/>
          <w:u w:val="single"/>
        </w:rPr>
        <w:t>8. ODBIÓR ROBÓT</w:t>
      </w:r>
    </w:p>
    <w:p w:rsidR="00A71C7E" w:rsidRDefault="00A71C7E" w:rsidP="00A71C7E">
      <w:pPr>
        <w:overflowPunct w:val="0"/>
        <w:autoSpaceDE w:val="0"/>
        <w:autoSpaceDN w:val="0"/>
        <w:adjustRightInd w:val="0"/>
        <w:jc w:val="both"/>
      </w:pPr>
      <w:r>
        <w:t>Ogólne wymagania dotyczące odbioru robót podano w ST D-M-00.00.00 „Wymagania ogólne”.</w:t>
      </w:r>
    </w:p>
    <w:p w:rsidR="00A71C7E" w:rsidRDefault="00A71C7E" w:rsidP="00A71C7E">
      <w:pPr>
        <w:overflowPunct w:val="0"/>
        <w:autoSpaceDE w:val="0"/>
        <w:autoSpaceDN w:val="0"/>
        <w:adjustRightInd w:val="0"/>
        <w:jc w:val="both"/>
      </w:pPr>
      <w:r>
        <w:t>Przy przekazywaniu obiektu do eksploatacji, Wykonawca zobowiązany jest dostarczyć Zamawiającemu następujące dokumenty:</w:t>
      </w:r>
    </w:p>
    <w:p w:rsidR="00A71C7E" w:rsidRDefault="00A71C7E" w:rsidP="00A71C7E">
      <w:pPr>
        <w:overflowPunct w:val="0"/>
        <w:autoSpaceDE w:val="0"/>
        <w:autoSpaceDN w:val="0"/>
        <w:adjustRightInd w:val="0"/>
        <w:jc w:val="both"/>
      </w:pPr>
      <w:r>
        <w:rPr>
          <w:rFonts w:ascii="Symbol" w:hAnsi="Symbol"/>
        </w:rPr>
        <w:t></w:t>
      </w:r>
      <w:r>
        <w:rPr>
          <w:sz w:val="14"/>
          <w:szCs w:val="14"/>
        </w:rPr>
        <w:t xml:space="preserve">     </w:t>
      </w:r>
      <w:r>
        <w:t>protokóły odbioru robót zanikających podpisany przez Inżyniera,</w:t>
      </w:r>
    </w:p>
    <w:p w:rsidR="00A71C7E" w:rsidRDefault="00A71C7E" w:rsidP="00A71C7E">
      <w:pPr>
        <w:overflowPunct w:val="0"/>
        <w:autoSpaceDE w:val="0"/>
        <w:autoSpaceDN w:val="0"/>
        <w:adjustRightInd w:val="0"/>
        <w:jc w:val="both"/>
      </w:pPr>
      <w:r>
        <w:rPr>
          <w:rFonts w:ascii="Symbol" w:hAnsi="Symbol"/>
        </w:rPr>
        <w:t></w:t>
      </w:r>
      <w:r>
        <w:rPr>
          <w:sz w:val="14"/>
          <w:szCs w:val="14"/>
        </w:rPr>
        <w:t xml:space="preserve">     </w:t>
      </w:r>
      <w:r>
        <w:t>ocenę robót wydaną przez właściciela sieci,</w:t>
      </w:r>
    </w:p>
    <w:p w:rsidR="00A71C7E" w:rsidRDefault="00A71C7E" w:rsidP="00A71C7E">
      <w:pPr>
        <w:spacing w:line="360" w:lineRule="auto"/>
        <w:rPr>
          <w:b/>
          <w:u w:val="single"/>
        </w:rPr>
      </w:pPr>
    </w:p>
    <w:p w:rsidR="00A71C7E" w:rsidRDefault="00A71C7E" w:rsidP="00A71C7E">
      <w:pPr>
        <w:spacing w:line="360" w:lineRule="auto"/>
        <w:rPr>
          <w:b/>
          <w:u w:val="single"/>
        </w:rPr>
      </w:pPr>
      <w:r>
        <w:rPr>
          <w:b/>
          <w:u w:val="single"/>
        </w:rPr>
        <w:t>9. PODSTAWA PŁATNOŚCI</w:t>
      </w:r>
    </w:p>
    <w:p w:rsidR="00A71C7E" w:rsidRDefault="00A71C7E" w:rsidP="00A71C7E">
      <w:r>
        <w:tab/>
        <w:t>Ogólne wymagania dotyczące podstawy płatności podano w ST D-M-00.00.00 „Wymagania ogólne”.</w:t>
      </w:r>
    </w:p>
    <w:p w:rsidR="00A71C7E" w:rsidRDefault="00A71C7E" w:rsidP="00A71C7E">
      <w:pPr>
        <w:jc w:val="both"/>
      </w:pPr>
      <w:r>
        <w:t>Cena wykonania robót obejmuje:</w:t>
      </w:r>
    </w:p>
    <w:p w:rsidR="00A71C7E" w:rsidRDefault="00A71C7E" w:rsidP="0097494B">
      <w:pPr>
        <w:numPr>
          <w:ilvl w:val="0"/>
          <w:numId w:val="39"/>
        </w:numPr>
        <w:jc w:val="both"/>
      </w:pPr>
      <w:r>
        <w:t>roboty pomiarowe i przygotowawcze,</w:t>
      </w:r>
    </w:p>
    <w:p w:rsidR="00A71C7E" w:rsidRDefault="00A71C7E" w:rsidP="0097494B">
      <w:pPr>
        <w:numPr>
          <w:ilvl w:val="0"/>
          <w:numId w:val="39"/>
        </w:numPr>
        <w:jc w:val="both"/>
      </w:pPr>
      <w:r>
        <w:t>zakup materiałów</w:t>
      </w:r>
    </w:p>
    <w:p w:rsidR="00A71C7E" w:rsidRDefault="00A71C7E" w:rsidP="0097494B">
      <w:pPr>
        <w:numPr>
          <w:ilvl w:val="0"/>
          <w:numId w:val="39"/>
        </w:numPr>
        <w:jc w:val="both"/>
      </w:pPr>
      <w:r>
        <w:t>zapewnienie nadzoru nad prowadzonymi robotami,</w:t>
      </w:r>
    </w:p>
    <w:p w:rsidR="00A71C7E" w:rsidRDefault="00A71C7E" w:rsidP="0097494B">
      <w:pPr>
        <w:numPr>
          <w:ilvl w:val="0"/>
          <w:numId w:val="39"/>
        </w:numPr>
        <w:jc w:val="both"/>
      </w:pPr>
      <w:r>
        <w:t>inwentaryzację sprawdzającą,</w:t>
      </w:r>
    </w:p>
    <w:p w:rsidR="00A71C7E" w:rsidRDefault="00A71C7E" w:rsidP="0097494B">
      <w:pPr>
        <w:numPr>
          <w:ilvl w:val="0"/>
          <w:numId w:val="39"/>
        </w:numPr>
        <w:jc w:val="both"/>
      </w:pPr>
      <w:r>
        <w:t>roboty ziemne,</w:t>
      </w:r>
    </w:p>
    <w:p w:rsidR="00A71C7E" w:rsidRDefault="00A71C7E" w:rsidP="0097494B">
      <w:pPr>
        <w:numPr>
          <w:ilvl w:val="0"/>
          <w:numId w:val="39"/>
        </w:numPr>
        <w:jc w:val="both"/>
      </w:pPr>
      <w:r>
        <w:t>pozyskanie, transport i składowanie materiałów do wykonania robót,</w:t>
      </w:r>
    </w:p>
    <w:p w:rsidR="00A71C7E" w:rsidRDefault="00A71C7E" w:rsidP="0097494B">
      <w:pPr>
        <w:numPr>
          <w:ilvl w:val="0"/>
          <w:numId w:val="39"/>
        </w:numPr>
        <w:jc w:val="both"/>
      </w:pPr>
      <w:r>
        <w:t>prace wynikające z uzgodnień z właścicielami sieci</w:t>
      </w:r>
    </w:p>
    <w:p w:rsidR="00A71C7E" w:rsidRDefault="00A71C7E" w:rsidP="0097494B">
      <w:pPr>
        <w:numPr>
          <w:ilvl w:val="0"/>
          <w:numId w:val="39"/>
        </w:numPr>
        <w:jc w:val="both"/>
      </w:pPr>
      <w:r>
        <w:t>zabezpieczenie sieci na czas trwania robót,</w:t>
      </w:r>
    </w:p>
    <w:p w:rsidR="00A71C7E" w:rsidRDefault="00A71C7E" w:rsidP="0097494B">
      <w:pPr>
        <w:numPr>
          <w:ilvl w:val="0"/>
          <w:numId w:val="39"/>
        </w:numPr>
        <w:jc w:val="both"/>
      </w:pPr>
      <w:r>
        <w:t>wykonanie tymczasowych podwieszeń lub konstrukcji podtrzymujących sieci i rozbiórka po wykonaniu robót</w:t>
      </w:r>
    </w:p>
    <w:p w:rsidR="00A71C7E" w:rsidRDefault="00A71C7E" w:rsidP="0097494B">
      <w:pPr>
        <w:numPr>
          <w:ilvl w:val="0"/>
          <w:numId w:val="39"/>
        </w:numPr>
        <w:jc w:val="both"/>
      </w:pPr>
      <w:r>
        <w:t>rozbiórka istniejących obejm wraz z mocowaniami i wykonanie nowych obejm wraz z okładziną i elementami mocującycmi</w:t>
      </w:r>
    </w:p>
    <w:p w:rsidR="00A71C7E" w:rsidRDefault="00A71C7E" w:rsidP="0097494B">
      <w:pPr>
        <w:numPr>
          <w:ilvl w:val="0"/>
          <w:numId w:val="39"/>
        </w:numPr>
        <w:jc w:val="both"/>
      </w:pPr>
      <w:r>
        <w:t>wykonanie otworów montażowych</w:t>
      </w:r>
    </w:p>
    <w:p w:rsidR="0063058D" w:rsidRDefault="0063058D" w:rsidP="0097494B">
      <w:pPr>
        <w:numPr>
          <w:ilvl w:val="0"/>
          <w:numId w:val="39"/>
        </w:numPr>
        <w:jc w:val="both"/>
      </w:pPr>
      <w:r>
        <w:t>tymczasowe zabezpieczenie studni</w:t>
      </w:r>
    </w:p>
    <w:p w:rsidR="00A71C7E" w:rsidRDefault="00A71C7E" w:rsidP="0097494B">
      <w:pPr>
        <w:numPr>
          <w:ilvl w:val="0"/>
          <w:numId w:val="87"/>
        </w:numPr>
        <w:jc w:val="both"/>
        <w:rPr>
          <w:snapToGrid w:val="0"/>
        </w:rPr>
      </w:pPr>
      <w:r>
        <w:rPr>
          <w:snapToGrid w:val="0"/>
        </w:rPr>
        <w:t xml:space="preserve">montaż rur osłonowych w przypadku uszkodzeń </w:t>
      </w:r>
    </w:p>
    <w:p w:rsidR="00A71C7E" w:rsidRDefault="00A71C7E" w:rsidP="0097494B">
      <w:pPr>
        <w:numPr>
          <w:ilvl w:val="0"/>
          <w:numId w:val="87"/>
        </w:numPr>
        <w:jc w:val="both"/>
        <w:rPr>
          <w:snapToGrid w:val="0"/>
        </w:rPr>
      </w:pPr>
      <w:r>
        <w:rPr>
          <w:snapToGrid w:val="0"/>
        </w:rPr>
        <w:t xml:space="preserve">ewentualna korekta </w:t>
      </w:r>
      <w:r w:rsidR="0063058D">
        <w:rPr>
          <w:snapToGrid w:val="0"/>
        </w:rPr>
        <w:t>położenia w planie</w:t>
      </w:r>
    </w:p>
    <w:p w:rsidR="00A71C7E" w:rsidRDefault="00A71C7E" w:rsidP="0097494B">
      <w:pPr>
        <w:numPr>
          <w:ilvl w:val="0"/>
          <w:numId w:val="87"/>
        </w:numPr>
        <w:jc w:val="both"/>
        <w:rPr>
          <w:snapToGrid w:val="0"/>
        </w:rPr>
      </w:pPr>
      <w:r>
        <w:rPr>
          <w:snapToGrid w:val="0"/>
        </w:rPr>
        <w:t>wykonanie oznakowania sieci</w:t>
      </w:r>
    </w:p>
    <w:p w:rsidR="00A71C7E" w:rsidRDefault="00A71C7E" w:rsidP="0097494B">
      <w:pPr>
        <w:numPr>
          <w:ilvl w:val="0"/>
          <w:numId w:val="87"/>
        </w:numPr>
        <w:jc w:val="both"/>
        <w:rPr>
          <w:snapToGrid w:val="0"/>
        </w:rPr>
      </w:pPr>
      <w:r>
        <w:rPr>
          <w:snapToGrid w:val="0"/>
        </w:rPr>
        <w:t>naprawy bieżące uszkodzonych elementów podwieszeń sieci</w:t>
      </w:r>
    </w:p>
    <w:p w:rsidR="00A71C7E" w:rsidRDefault="00A71C7E" w:rsidP="0097494B">
      <w:pPr>
        <w:numPr>
          <w:ilvl w:val="0"/>
          <w:numId w:val="39"/>
        </w:numPr>
        <w:jc w:val="both"/>
      </w:pPr>
      <w:r>
        <w:t>wykonanie pomiarów sprawdzających,</w:t>
      </w:r>
    </w:p>
    <w:p w:rsidR="00A71C7E" w:rsidRDefault="00A71C7E" w:rsidP="0097494B">
      <w:pPr>
        <w:numPr>
          <w:ilvl w:val="0"/>
          <w:numId w:val="39"/>
        </w:numPr>
        <w:jc w:val="both"/>
      </w:pPr>
      <w:r>
        <w:t>wykonanie pomiaru powykonawczego,</w:t>
      </w:r>
    </w:p>
    <w:p w:rsidR="00A71C7E" w:rsidRDefault="00A71C7E" w:rsidP="0097494B">
      <w:pPr>
        <w:numPr>
          <w:ilvl w:val="0"/>
          <w:numId w:val="39"/>
        </w:numPr>
        <w:jc w:val="both"/>
      </w:pPr>
      <w:r>
        <w:t>uprzątnięcie terenu robót,</w:t>
      </w:r>
    </w:p>
    <w:p w:rsidR="00A71C7E" w:rsidRDefault="00A71C7E" w:rsidP="0097494B">
      <w:pPr>
        <w:numPr>
          <w:ilvl w:val="0"/>
          <w:numId w:val="39"/>
        </w:numPr>
        <w:jc w:val="both"/>
      </w:pPr>
      <w:r>
        <w:t>wykonanie badań i pomiarów wymaganych przez Właściciela sieci i w specyfikacji technicznej.</w:t>
      </w:r>
    </w:p>
    <w:p w:rsidR="00A71C7E" w:rsidRDefault="00A71C7E" w:rsidP="00A71C7E">
      <w:pPr>
        <w:spacing w:before="120" w:after="120"/>
        <w:jc w:val="both"/>
        <w:outlineLvl w:val="2"/>
        <w:rPr>
          <w:b/>
          <w:snapToGrid w:val="0"/>
          <w:sz w:val="22"/>
          <w:u w:val="single"/>
        </w:rPr>
      </w:pPr>
      <w:r>
        <w:rPr>
          <w:b/>
          <w:snapToGrid w:val="0"/>
          <w:sz w:val="22"/>
          <w:u w:val="single"/>
        </w:rPr>
        <w:t>10.</w:t>
      </w:r>
      <w:r>
        <w:rPr>
          <w:b/>
          <w:snapToGrid w:val="0"/>
          <w:sz w:val="22"/>
          <w:u w:val="single"/>
        </w:rPr>
        <w:tab/>
        <w:t>PRZEPISY ZWIĄZANE</w:t>
      </w:r>
    </w:p>
    <w:p w:rsidR="00A71C7E" w:rsidRDefault="00A71C7E" w:rsidP="00A71C7E">
      <w:pPr>
        <w:keepNext/>
        <w:overflowPunct w:val="0"/>
        <w:autoSpaceDE w:val="0"/>
        <w:autoSpaceDN w:val="0"/>
        <w:adjustRightInd w:val="0"/>
        <w:spacing w:before="120" w:after="120"/>
        <w:jc w:val="both"/>
        <w:outlineLvl w:val="1"/>
        <w:rPr>
          <w:bCs/>
        </w:rPr>
      </w:pPr>
      <w:r>
        <w:rPr>
          <w:bCs/>
        </w:rPr>
        <w:t>10.1. Normy</w:t>
      </w:r>
    </w:p>
    <w:tbl>
      <w:tblPr>
        <w:tblW w:w="0" w:type="auto"/>
        <w:tblCellMar>
          <w:left w:w="70" w:type="dxa"/>
          <w:right w:w="70" w:type="dxa"/>
        </w:tblCellMar>
        <w:tblLook w:val="04A0" w:firstRow="1" w:lastRow="0" w:firstColumn="1" w:lastColumn="0" w:noHBand="0" w:noVBand="1"/>
      </w:tblPr>
      <w:tblGrid>
        <w:gridCol w:w="496"/>
        <w:gridCol w:w="2026"/>
        <w:gridCol w:w="6117"/>
      </w:tblGrid>
      <w:tr w:rsidR="00A71C7E" w:rsidTr="004856CB">
        <w:tc>
          <w:tcPr>
            <w:tcW w:w="496" w:type="dxa"/>
            <w:hideMark/>
          </w:tcPr>
          <w:p w:rsidR="00A71C7E" w:rsidRDefault="00A71C7E" w:rsidP="004856CB">
            <w:pPr>
              <w:overflowPunct w:val="0"/>
              <w:autoSpaceDE w:val="0"/>
              <w:autoSpaceDN w:val="0"/>
              <w:adjustRightInd w:val="0"/>
              <w:jc w:val="right"/>
            </w:pPr>
            <w:r>
              <w:t>1.</w:t>
            </w:r>
          </w:p>
        </w:tc>
        <w:tc>
          <w:tcPr>
            <w:tcW w:w="2026" w:type="dxa"/>
            <w:hideMark/>
          </w:tcPr>
          <w:p w:rsidR="00A71C7E" w:rsidRDefault="00A71C7E" w:rsidP="004856CB">
            <w:pPr>
              <w:overflowPunct w:val="0"/>
              <w:autoSpaceDE w:val="0"/>
              <w:autoSpaceDN w:val="0"/>
              <w:adjustRightInd w:val="0"/>
              <w:jc w:val="both"/>
            </w:pPr>
            <w:r>
              <w:t>PN-61/E-01002</w:t>
            </w:r>
          </w:p>
        </w:tc>
        <w:tc>
          <w:tcPr>
            <w:tcW w:w="6117" w:type="dxa"/>
            <w:hideMark/>
          </w:tcPr>
          <w:p w:rsidR="00A71C7E" w:rsidRDefault="00A71C7E" w:rsidP="004856CB">
            <w:pPr>
              <w:overflowPunct w:val="0"/>
              <w:autoSpaceDE w:val="0"/>
              <w:autoSpaceDN w:val="0"/>
              <w:adjustRightInd w:val="0"/>
              <w:jc w:val="both"/>
            </w:pPr>
            <w:r>
              <w:t>Przewody elektryczne. Nazwy i określenia.</w:t>
            </w:r>
          </w:p>
        </w:tc>
      </w:tr>
      <w:tr w:rsidR="00A71C7E" w:rsidTr="004856CB">
        <w:tc>
          <w:tcPr>
            <w:tcW w:w="496" w:type="dxa"/>
            <w:hideMark/>
          </w:tcPr>
          <w:p w:rsidR="00A71C7E" w:rsidRDefault="00A71C7E" w:rsidP="004856CB">
            <w:pPr>
              <w:overflowPunct w:val="0"/>
              <w:autoSpaceDE w:val="0"/>
              <w:autoSpaceDN w:val="0"/>
              <w:adjustRightInd w:val="0"/>
              <w:jc w:val="right"/>
            </w:pPr>
            <w:r>
              <w:t>2.</w:t>
            </w:r>
          </w:p>
        </w:tc>
        <w:tc>
          <w:tcPr>
            <w:tcW w:w="2026" w:type="dxa"/>
            <w:hideMark/>
          </w:tcPr>
          <w:p w:rsidR="00A71C7E" w:rsidRDefault="00A71C7E" w:rsidP="004856CB">
            <w:pPr>
              <w:overflowPunct w:val="0"/>
              <w:autoSpaceDE w:val="0"/>
              <w:autoSpaceDN w:val="0"/>
              <w:adjustRightInd w:val="0"/>
              <w:jc w:val="both"/>
            </w:pPr>
            <w:r>
              <w:t>PN-76/E-05125</w:t>
            </w:r>
          </w:p>
        </w:tc>
        <w:tc>
          <w:tcPr>
            <w:tcW w:w="6117" w:type="dxa"/>
            <w:hideMark/>
          </w:tcPr>
          <w:p w:rsidR="00A71C7E" w:rsidRDefault="00A71C7E" w:rsidP="004856CB">
            <w:pPr>
              <w:overflowPunct w:val="0"/>
              <w:autoSpaceDE w:val="0"/>
              <w:autoSpaceDN w:val="0"/>
              <w:adjustRightInd w:val="0"/>
              <w:jc w:val="both"/>
            </w:pPr>
            <w:r>
              <w:t>Elektroenergetyczne i sygnalizacyjne linie kablowe. Projektowanie i budowa.</w:t>
            </w:r>
          </w:p>
        </w:tc>
      </w:tr>
      <w:tr w:rsidR="00A71C7E" w:rsidTr="004856CB">
        <w:tc>
          <w:tcPr>
            <w:tcW w:w="496" w:type="dxa"/>
            <w:hideMark/>
          </w:tcPr>
          <w:p w:rsidR="00A71C7E" w:rsidRDefault="00A71C7E" w:rsidP="004856CB">
            <w:pPr>
              <w:overflowPunct w:val="0"/>
              <w:autoSpaceDE w:val="0"/>
              <w:autoSpaceDN w:val="0"/>
              <w:adjustRightInd w:val="0"/>
              <w:jc w:val="right"/>
            </w:pPr>
            <w:r>
              <w:t>3.</w:t>
            </w:r>
          </w:p>
        </w:tc>
        <w:tc>
          <w:tcPr>
            <w:tcW w:w="2026" w:type="dxa"/>
            <w:hideMark/>
          </w:tcPr>
          <w:p w:rsidR="00A71C7E" w:rsidRDefault="00A71C7E" w:rsidP="004856CB">
            <w:pPr>
              <w:overflowPunct w:val="0"/>
              <w:autoSpaceDE w:val="0"/>
              <w:autoSpaceDN w:val="0"/>
              <w:adjustRightInd w:val="0"/>
              <w:jc w:val="both"/>
            </w:pPr>
            <w:r>
              <w:t>PN-74/E-06401</w:t>
            </w:r>
          </w:p>
        </w:tc>
        <w:tc>
          <w:tcPr>
            <w:tcW w:w="6117" w:type="dxa"/>
            <w:hideMark/>
          </w:tcPr>
          <w:p w:rsidR="00A71C7E" w:rsidRDefault="00A71C7E" w:rsidP="004856CB">
            <w:pPr>
              <w:overflowPunct w:val="0"/>
              <w:autoSpaceDE w:val="0"/>
              <w:autoSpaceDN w:val="0"/>
              <w:adjustRightInd w:val="0"/>
              <w:jc w:val="both"/>
            </w:pPr>
            <w:r>
              <w:t>Elektroenergetyczne linie kablowe. Osprzęt do kabli o napięciu znamionowym do 60 kV. Ogólne wymagania i badania.</w:t>
            </w:r>
          </w:p>
        </w:tc>
      </w:tr>
      <w:tr w:rsidR="00A71C7E" w:rsidTr="004856CB">
        <w:tc>
          <w:tcPr>
            <w:tcW w:w="496" w:type="dxa"/>
            <w:hideMark/>
          </w:tcPr>
          <w:p w:rsidR="00A71C7E" w:rsidRDefault="00A71C7E" w:rsidP="004856CB">
            <w:pPr>
              <w:overflowPunct w:val="0"/>
              <w:autoSpaceDE w:val="0"/>
              <w:autoSpaceDN w:val="0"/>
              <w:adjustRightInd w:val="0"/>
              <w:jc w:val="right"/>
            </w:pPr>
            <w:r>
              <w:t>4.</w:t>
            </w:r>
          </w:p>
        </w:tc>
        <w:tc>
          <w:tcPr>
            <w:tcW w:w="2026" w:type="dxa"/>
            <w:hideMark/>
          </w:tcPr>
          <w:p w:rsidR="00A71C7E" w:rsidRDefault="00A71C7E" w:rsidP="004856CB">
            <w:pPr>
              <w:overflowPunct w:val="0"/>
              <w:autoSpaceDE w:val="0"/>
              <w:autoSpaceDN w:val="0"/>
              <w:adjustRightInd w:val="0"/>
              <w:jc w:val="both"/>
            </w:pPr>
            <w:r>
              <w:t>PN-76/E-90250</w:t>
            </w:r>
          </w:p>
        </w:tc>
        <w:tc>
          <w:tcPr>
            <w:tcW w:w="6117" w:type="dxa"/>
            <w:hideMark/>
          </w:tcPr>
          <w:p w:rsidR="00A71C7E" w:rsidRDefault="00A71C7E" w:rsidP="004856CB">
            <w:pPr>
              <w:overflowPunct w:val="0"/>
              <w:autoSpaceDE w:val="0"/>
              <w:autoSpaceDN w:val="0"/>
              <w:adjustRightInd w:val="0"/>
              <w:jc w:val="both"/>
            </w:pPr>
            <w:r>
              <w:t>Kable elektroenergetyczne o izolacji i powłoce metalowej na napięcie znamionowe nie przekraczające 23/40 kV.</w:t>
            </w:r>
          </w:p>
        </w:tc>
      </w:tr>
      <w:tr w:rsidR="00A71C7E" w:rsidTr="004856CB">
        <w:tc>
          <w:tcPr>
            <w:tcW w:w="496" w:type="dxa"/>
            <w:hideMark/>
          </w:tcPr>
          <w:p w:rsidR="00A71C7E" w:rsidRDefault="00A71C7E" w:rsidP="004856CB">
            <w:pPr>
              <w:overflowPunct w:val="0"/>
              <w:autoSpaceDE w:val="0"/>
              <w:autoSpaceDN w:val="0"/>
              <w:adjustRightInd w:val="0"/>
              <w:jc w:val="right"/>
            </w:pPr>
            <w:r>
              <w:t>5.</w:t>
            </w:r>
          </w:p>
        </w:tc>
        <w:tc>
          <w:tcPr>
            <w:tcW w:w="2026" w:type="dxa"/>
            <w:hideMark/>
          </w:tcPr>
          <w:p w:rsidR="00A71C7E" w:rsidRDefault="00A71C7E" w:rsidP="004856CB">
            <w:pPr>
              <w:overflowPunct w:val="0"/>
              <w:autoSpaceDE w:val="0"/>
              <w:autoSpaceDN w:val="0"/>
              <w:adjustRightInd w:val="0"/>
              <w:jc w:val="both"/>
            </w:pPr>
            <w:r>
              <w:t>PN-76/E-90251</w:t>
            </w:r>
          </w:p>
        </w:tc>
        <w:tc>
          <w:tcPr>
            <w:tcW w:w="6117" w:type="dxa"/>
            <w:hideMark/>
          </w:tcPr>
          <w:p w:rsidR="00A71C7E" w:rsidRDefault="00A71C7E" w:rsidP="004856CB">
            <w:pPr>
              <w:overflowPunct w:val="0"/>
              <w:autoSpaceDE w:val="0"/>
              <w:autoSpaceDN w:val="0"/>
              <w:adjustRightInd w:val="0"/>
              <w:jc w:val="both"/>
            </w:pPr>
            <w:r>
              <w:t>Kable elektroenergetyczne o izolacji papierowej i powłoce metalowej. Kable o powłoce ołowianej na napięcie znamionowe nie przekraczające 23/40 kV.</w:t>
            </w:r>
          </w:p>
        </w:tc>
      </w:tr>
      <w:tr w:rsidR="00A71C7E" w:rsidTr="004856CB">
        <w:tc>
          <w:tcPr>
            <w:tcW w:w="496" w:type="dxa"/>
            <w:hideMark/>
          </w:tcPr>
          <w:p w:rsidR="00A71C7E" w:rsidRDefault="00A71C7E" w:rsidP="004856CB">
            <w:pPr>
              <w:overflowPunct w:val="0"/>
              <w:autoSpaceDE w:val="0"/>
              <w:autoSpaceDN w:val="0"/>
              <w:adjustRightInd w:val="0"/>
              <w:jc w:val="right"/>
            </w:pPr>
            <w:r>
              <w:t>6.</w:t>
            </w:r>
          </w:p>
        </w:tc>
        <w:tc>
          <w:tcPr>
            <w:tcW w:w="2026" w:type="dxa"/>
            <w:hideMark/>
          </w:tcPr>
          <w:p w:rsidR="00A71C7E" w:rsidRDefault="00A71C7E" w:rsidP="004856CB">
            <w:pPr>
              <w:overflowPunct w:val="0"/>
              <w:autoSpaceDE w:val="0"/>
              <w:autoSpaceDN w:val="0"/>
              <w:adjustRightInd w:val="0"/>
              <w:jc w:val="both"/>
            </w:pPr>
            <w:r>
              <w:t>PN-76/E-90300</w:t>
            </w:r>
          </w:p>
        </w:tc>
        <w:tc>
          <w:tcPr>
            <w:tcW w:w="6117" w:type="dxa"/>
            <w:hideMark/>
          </w:tcPr>
          <w:p w:rsidR="00A71C7E" w:rsidRDefault="00A71C7E" w:rsidP="004856CB">
            <w:pPr>
              <w:overflowPunct w:val="0"/>
              <w:autoSpaceDE w:val="0"/>
              <w:autoSpaceDN w:val="0"/>
              <w:adjustRightInd w:val="0"/>
              <w:jc w:val="both"/>
            </w:pPr>
            <w:r>
              <w:t>Kable elektroenergetyczne i sygnalizacyjne o izolacji z tworzyw termoplastycznych, na napięcie znamionowe nie przekraczające 18/30 kV. Ogólne wymagania i badania.</w:t>
            </w:r>
          </w:p>
        </w:tc>
      </w:tr>
      <w:tr w:rsidR="00A71C7E" w:rsidTr="004856CB">
        <w:tc>
          <w:tcPr>
            <w:tcW w:w="496" w:type="dxa"/>
            <w:hideMark/>
          </w:tcPr>
          <w:p w:rsidR="00A71C7E" w:rsidRDefault="00A71C7E" w:rsidP="004856CB">
            <w:pPr>
              <w:overflowPunct w:val="0"/>
              <w:autoSpaceDE w:val="0"/>
              <w:autoSpaceDN w:val="0"/>
              <w:adjustRightInd w:val="0"/>
              <w:jc w:val="right"/>
            </w:pPr>
            <w:r>
              <w:t>7.</w:t>
            </w:r>
          </w:p>
        </w:tc>
        <w:tc>
          <w:tcPr>
            <w:tcW w:w="2026" w:type="dxa"/>
            <w:hideMark/>
          </w:tcPr>
          <w:p w:rsidR="00A71C7E" w:rsidRDefault="00A71C7E" w:rsidP="004856CB">
            <w:pPr>
              <w:overflowPunct w:val="0"/>
              <w:autoSpaceDE w:val="0"/>
              <w:autoSpaceDN w:val="0"/>
              <w:adjustRightInd w:val="0"/>
              <w:jc w:val="both"/>
            </w:pPr>
            <w:r>
              <w:t>PN-76/E-90301</w:t>
            </w:r>
          </w:p>
        </w:tc>
        <w:tc>
          <w:tcPr>
            <w:tcW w:w="6117" w:type="dxa"/>
            <w:hideMark/>
          </w:tcPr>
          <w:p w:rsidR="00A71C7E" w:rsidRDefault="00A71C7E" w:rsidP="004856CB">
            <w:pPr>
              <w:overflowPunct w:val="0"/>
              <w:autoSpaceDE w:val="0"/>
              <w:autoSpaceDN w:val="0"/>
              <w:adjustRightInd w:val="0"/>
              <w:jc w:val="both"/>
            </w:pPr>
            <w:r>
              <w:t>Kable elektroenergetyczne o izolacji z tworzyw termoplastycznych i powłoce polwinitowej na napięcie znamionowe 0,6/1 kV.</w:t>
            </w:r>
          </w:p>
        </w:tc>
      </w:tr>
      <w:tr w:rsidR="00A71C7E" w:rsidTr="004856CB">
        <w:tc>
          <w:tcPr>
            <w:tcW w:w="496" w:type="dxa"/>
            <w:hideMark/>
          </w:tcPr>
          <w:p w:rsidR="00A71C7E" w:rsidRDefault="00A71C7E" w:rsidP="004856CB">
            <w:pPr>
              <w:overflowPunct w:val="0"/>
              <w:autoSpaceDE w:val="0"/>
              <w:autoSpaceDN w:val="0"/>
              <w:adjustRightInd w:val="0"/>
              <w:jc w:val="right"/>
            </w:pPr>
            <w:r>
              <w:t>8.</w:t>
            </w:r>
          </w:p>
        </w:tc>
        <w:tc>
          <w:tcPr>
            <w:tcW w:w="2026" w:type="dxa"/>
            <w:hideMark/>
          </w:tcPr>
          <w:p w:rsidR="00A71C7E" w:rsidRDefault="00A71C7E" w:rsidP="004856CB">
            <w:pPr>
              <w:overflowPunct w:val="0"/>
              <w:autoSpaceDE w:val="0"/>
              <w:autoSpaceDN w:val="0"/>
              <w:adjustRightInd w:val="0"/>
              <w:jc w:val="both"/>
            </w:pPr>
            <w:r>
              <w:t>PN-76/E-90304</w:t>
            </w:r>
          </w:p>
        </w:tc>
        <w:tc>
          <w:tcPr>
            <w:tcW w:w="6117" w:type="dxa"/>
            <w:hideMark/>
          </w:tcPr>
          <w:p w:rsidR="00A71C7E" w:rsidRDefault="00A71C7E" w:rsidP="004856CB">
            <w:pPr>
              <w:overflowPunct w:val="0"/>
              <w:autoSpaceDE w:val="0"/>
              <w:autoSpaceDN w:val="0"/>
              <w:adjustRightInd w:val="0"/>
              <w:jc w:val="both"/>
            </w:pPr>
            <w:r>
              <w:t>Kable sygnalizacyjne o izolacji z tworzyw termoplastycznych i powłoce polwinitowej na napięcie znamionowe 0,6/1 kV.</w:t>
            </w:r>
          </w:p>
        </w:tc>
      </w:tr>
      <w:tr w:rsidR="00A71C7E" w:rsidTr="004856CB">
        <w:tc>
          <w:tcPr>
            <w:tcW w:w="496" w:type="dxa"/>
            <w:hideMark/>
          </w:tcPr>
          <w:p w:rsidR="00A71C7E" w:rsidRDefault="00A71C7E" w:rsidP="004856CB">
            <w:pPr>
              <w:overflowPunct w:val="0"/>
              <w:autoSpaceDE w:val="0"/>
              <w:autoSpaceDN w:val="0"/>
              <w:adjustRightInd w:val="0"/>
              <w:jc w:val="right"/>
            </w:pPr>
            <w:r>
              <w:t>9.</w:t>
            </w:r>
          </w:p>
        </w:tc>
        <w:tc>
          <w:tcPr>
            <w:tcW w:w="2026" w:type="dxa"/>
            <w:hideMark/>
          </w:tcPr>
          <w:p w:rsidR="00A71C7E" w:rsidRDefault="00A71C7E" w:rsidP="004856CB">
            <w:pPr>
              <w:overflowPunct w:val="0"/>
              <w:autoSpaceDE w:val="0"/>
              <w:autoSpaceDN w:val="0"/>
              <w:adjustRightInd w:val="0"/>
              <w:jc w:val="both"/>
            </w:pPr>
            <w:r>
              <w:t>PN-76/E-90306</w:t>
            </w:r>
          </w:p>
        </w:tc>
        <w:tc>
          <w:tcPr>
            <w:tcW w:w="6117" w:type="dxa"/>
            <w:hideMark/>
          </w:tcPr>
          <w:p w:rsidR="00A71C7E" w:rsidRDefault="00A71C7E" w:rsidP="004856CB">
            <w:pPr>
              <w:overflowPunct w:val="0"/>
              <w:autoSpaceDE w:val="0"/>
              <w:autoSpaceDN w:val="0"/>
              <w:adjustRightInd w:val="0"/>
              <w:jc w:val="both"/>
            </w:pPr>
            <w:r>
              <w:t>Kable elektroenergetyczne o izolacji polietylenowej, na napięcie znamionowe powyżej 3,6/6 kV.</w:t>
            </w:r>
          </w:p>
        </w:tc>
      </w:tr>
      <w:tr w:rsidR="00A71C7E" w:rsidTr="004856CB">
        <w:tc>
          <w:tcPr>
            <w:tcW w:w="496" w:type="dxa"/>
            <w:hideMark/>
          </w:tcPr>
          <w:p w:rsidR="00A71C7E" w:rsidRDefault="00A71C7E" w:rsidP="004856CB">
            <w:pPr>
              <w:overflowPunct w:val="0"/>
              <w:autoSpaceDE w:val="0"/>
              <w:autoSpaceDN w:val="0"/>
              <w:adjustRightInd w:val="0"/>
              <w:jc w:val="right"/>
            </w:pPr>
            <w:r>
              <w:t>10.</w:t>
            </w:r>
          </w:p>
        </w:tc>
        <w:tc>
          <w:tcPr>
            <w:tcW w:w="2026" w:type="dxa"/>
            <w:hideMark/>
          </w:tcPr>
          <w:p w:rsidR="00A71C7E" w:rsidRDefault="00A71C7E" w:rsidP="004856CB">
            <w:pPr>
              <w:overflowPunct w:val="0"/>
              <w:autoSpaceDE w:val="0"/>
              <w:autoSpaceDN w:val="0"/>
              <w:adjustRightInd w:val="0"/>
              <w:jc w:val="both"/>
            </w:pPr>
            <w:r>
              <w:t>PN-65/B-14503</w:t>
            </w:r>
          </w:p>
        </w:tc>
        <w:tc>
          <w:tcPr>
            <w:tcW w:w="6117" w:type="dxa"/>
            <w:hideMark/>
          </w:tcPr>
          <w:p w:rsidR="00A71C7E" w:rsidRDefault="00A71C7E" w:rsidP="004856CB">
            <w:pPr>
              <w:overflowPunct w:val="0"/>
              <w:autoSpaceDE w:val="0"/>
              <w:autoSpaceDN w:val="0"/>
              <w:adjustRightInd w:val="0"/>
              <w:jc w:val="both"/>
            </w:pPr>
            <w:r>
              <w:t>Zaprawy budowlane cementowo-wapienne.</w:t>
            </w:r>
          </w:p>
        </w:tc>
      </w:tr>
      <w:tr w:rsidR="00A71C7E" w:rsidTr="004856CB">
        <w:tc>
          <w:tcPr>
            <w:tcW w:w="496" w:type="dxa"/>
            <w:hideMark/>
          </w:tcPr>
          <w:p w:rsidR="00A71C7E" w:rsidRDefault="00A71C7E" w:rsidP="004856CB">
            <w:pPr>
              <w:overflowPunct w:val="0"/>
              <w:autoSpaceDE w:val="0"/>
              <w:autoSpaceDN w:val="0"/>
              <w:adjustRightInd w:val="0"/>
              <w:jc w:val="right"/>
            </w:pPr>
            <w:r>
              <w:t>11.</w:t>
            </w:r>
          </w:p>
        </w:tc>
        <w:tc>
          <w:tcPr>
            <w:tcW w:w="2026" w:type="dxa"/>
            <w:hideMark/>
          </w:tcPr>
          <w:p w:rsidR="00A71C7E" w:rsidRDefault="00A71C7E" w:rsidP="004856CB">
            <w:pPr>
              <w:overflowPunct w:val="0"/>
              <w:autoSpaceDE w:val="0"/>
              <w:autoSpaceDN w:val="0"/>
              <w:adjustRightInd w:val="0"/>
              <w:jc w:val="both"/>
            </w:pPr>
            <w:r>
              <w:t>PN-80/C-89205</w:t>
            </w:r>
          </w:p>
        </w:tc>
        <w:tc>
          <w:tcPr>
            <w:tcW w:w="6117" w:type="dxa"/>
            <w:hideMark/>
          </w:tcPr>
          <w:p w:rsidR="00A71C7E" w:rsidRDefault="00A71C7E" w:rsidP="004856CB">
            <w:pPr>
              <w:overflowPunct w:val="0"/>
              <w:autoSpaceDE w:val="0"/>
              <w:autoSpaceDN w:val="0"/>
              <w:adjustRightInd w:val="0"/>
              <w:jc w:val="both"/>
            </w:pPr>
            <w:r>
              <w:t>Rury z nieplastyfikowanego polichlorku winylu.</w:t>
            </w:r>
          </w:p>
        </w:tc>
      </w:tr>
      <w:tr w:rsidR="00A71C7E" w:rsidTr="004856CB">
        <w:tc>
          <w:tcPr>
            <w:tcW w:w="496" w:type="dxa"/>
            <w:hideMark/>
          </w:tcPr>
          <w:p w:rsidR="00A71C7E" w:rsidRDefault="00A71C7E" w:rsidP="004856CB">
            <w:pPr>
              <w:overflowPunct w:val="0"/>
              <w:autoSpaceDE w:val="0"/>
              <w:autoSpaceDN w:val="0"/>
              <w:adjustRightInd w:val="0"/>
              <w:jc w:val="right"/>
            </w:pPr>
            <w:r>
              <w:t>12.</w:t>
            </w:r>
          </w:p>
        </w:tc>
        <w:tc>
          <w:tcPr>
            <w:tcW w:w="2026" w:type="dxa"/>
            <w:hideMark/>
          </w:tcPr>
          <w:p w:rsidR="00A71C7E" w:rsidRDefault="00A71C7E" w:rsidP="004856CB">
            <w:pPr>
              <w:overflowPunct w:val="0"/>
              <w:autoSpaceDE w:val="0"/>
              <w:autoSpaceDN w:val="0"/>
              <w:adjustRightInd w:val="0"/>
              <w:jc w:val="both"/>
            </w:pPr>
            <w:r>
              <w:t>PN-b0/H-74219</w:t>
            </w:r>
          </w:p>
        </w:tc>
        <w:tc>
          <w:tcPr>
            <w:tcW w:w="6117" w:type="dxa"/>
            <w:hideMark/>
          </w:tcPr>
          <w:p w:rsidR="00A71C7E" w:rsidRDefault="00A71C7E" w:rsidP="004856CB">
            <w:pPr>
              <w:overflowPunct w:val="0"/>
              <w:autoSpaceDE w:val="0"/>
              <w:autoSpaceDN w:val="0"/>
              <w:adjustRightInd w:val="0"/>
              <w:jc w:val="both"/>
            </w:pPr>
            <w:r>
              <w:t>Rury stalowe bez szwu walcowane na gorąco ogólnego zastosowania.</w:t>
            </w:r>
          </w:p>
        </w:tc>
      </w:tr>
      <w:tr w:rsidR="00A71C7E" w:rsidTr="004856CB">
        <w:tc>
          <w:tcPr>
            <w:tcW w:w="496" w:type="dxa"/>
            <w:hideMark/>
          </w:tcPr>
          <w:p w:rsidR="00A71C7E" w:rsidRDefault="00A71C7E" w:rsidP="004856CB">
            <w:pPr>
              <w:overflowPunct w:val="0"/>
              <w:autoSpaceDE w:val="0"/>
              <w:autoSpaceDN w:val="0"/>
              <w:adjustRightInd w:val="0"/>
              <w:jc w:val="right"/>
            </w:pPr>
            <w:r>
              <w:t>13.</w:t>
            </w:r>
          </w:p>
        </w:tc>
        <w:tc>
          <w:tcPr>
            <w:tcW w:w="2026" w:type="dxa"/>
            <w:hideMark/>
          </w:tcPr>
          <w:p w:rsidR="00A71C7E" w:rsidRDefault="00A71C7E" w:rsidP="004856CB">
            <w:pPr>
              <w:overflowPunct w:val="0"/>
              <w:autoSpaceDE w:val="0"/>
              <w:autoSpaceDN w:val="0"/>
              <w:adjustRightInd w:val="0"/>
              <w:jc w:val="both"/>
            </w:pPr>
            <w:r>
              <w:t>BN-64/6791-02</w:t>
            </w:r>
          </w:p>
        </w:tc>
        <w:tc>
          <w:tcPr>
            <w:tcW w:w="6117" w:type="dxa"/>
            <w:hideMark/>
          </w:tcPr>
          <w:p w:rsidR="00A71C7E" w:rsidRDefault="00A71C7E" w:rsidP="004856CB">
            <w:pPr>
              <w:overflowPunct w:val="0"/>
              <w:autoSpaceDE w:val="0"/>
              <w:autoSpaceDN w:val="0"/>
              <w:adjustRightInd w:val="0"/>
              <w:jc w:val="both"/>
            </w:pPr>
            <w:r>
              <w:t>Cegła budowlana pełna.</w:t>
            </w:r>
          </w:p>
        </w:tc>
      </w:tr>
      <w:tr w:rsidR="00A71C7E" w:rsidTr="004856CB">
        <w:tc>
          <w:tcPr>
            <w:tcW w:w="496" w:type="dxa"/>
            <w:hideMark/>
          </w:tcPr>
          <w:p w:rsidR="00A71C7E" w:rsidRDefault="00A71C7E" w:rsidP="004856CB">
            <w:pPr>
              <w:overflowPunct w:val="0"/>
              <w:autoSpaceDE w:val="0"/>
              <w:autoSpaceDN w:val="0"/>
              <w:adjustRightInd w:val="0"/>
              <w:jc w:val="right"/>
            </w:pPr>
            <w:r>
              <w:t>14.</w:t>
            </w:r>
          </w:p>
        </w:tc>
        <w:tc>
          <w:tcPr>
            <w:tcW w:w="2026" w:type="dxa"/>
            <w:hideMark/>
          </w:tcPr>
          <w:p w:rsidR="00A71C7E" w:rsidRDefault="00A71C7E" w:rsidP="004856CB">
            <w:pPr>
              <w:overflowPunct w:val="0"/>
              <w:autoSpaceDE w:val="0"/>
              <w:autoSpaceDN w:val="0"/>
              <w:adjustRightInd w:val="0"/>
              <w:jc w:val="both"/>
            </w:pPr>
            <w:r>
              <w:t>BN-72/8932-01</w:t>
            </w:r>
          </w:p>
        </w:tc>
        <w:tc>
          <w:tcPr>
            <w:tcW w:w="6117" w:type="dxa"/>
            <w:hideMark/>
          </w:tcPr>
          <w:p w:rsidR="00A71C7E" w:rsidRDefault="00A71C7E" w:rsidP="004856CB">
            <w:pPr>
              <w:overflowPunct w:val="0"/>
              <w:autoSpaceDE w:val="0"/>
              <w:autoSpaceDN w:val="0"/>
              <w:adjustRightInd w:val="0"/>
              <w:jc w:val="both"/>
            </w:pPr>
            <w:r>
              <w:t>Budowle drogowe i kolejowe. Roboty ziemne.</w:t>
            </w:r>
          </w:p>
        </w:tc>
      </w:tr>
      <w:tr w:rsidR="00A71C7E" w:rsidTr="004856CB">
        <w:tc>
          <w:tcPr>
            <w:tcW w:w="496" w:type="dxa"/>
            <w:hideMark/>
          </w:tcPr>
          <w:p w:rsidR="00A71C7E" w:rsidRDefault="00A71C7E" w:rsidP="004856CB">
            <w:pPr>
              <w:overflowPunct w:val="0"/>
              <w:autoSpaceDE w:val="0"/>
              <w:autoSpaceDN w:val="0"/>
              <w:adjustRightInd w:val="0"/>
              <w:jc w:val="right"/>
            </w:pPr>
            <w:r>
              <w:t>15.</w:t>
            </w:r>
          </w:p>
        </w:tc>
        <w:tc>
          <w:tcPr>
            <w:tcW w:w="2026" w:type="dxa"/>
            <w:hideMark/>
          </w:tcPr>
          <w:p w:rsidR="00A71C7E" w:rsidRDefault="00A71C7E" w:rsidP="004856CB">
            <w:pPr>
              <w:overflowPunct w:val="0"/>
              <w:autoSpaceDE w:val="0"/>
              <w:autoSpaceDN w:val="0"/>
              <w:adjustRightInd w:val="0"/>
              <w:jc w:val="both"/>
            </w:pPr>
            <w:r>
              <w:t>BN-68/6353-03</w:t>
            </w:r>
          </w:p>
        </w:tc>
        <w:tc>
          <w:tcPr>
            <w:tcW w:w="6117" w:type="dxa"/>
            <w:hideMark/>
          </w:tcPr>
          <w:p w:rsidR="00A71C7E" w:rsidRDefault="00A71C7E" w:rsidP="004856CB">
            <w:pPr>
              <w:overflowPunct w:val="0"/>
              <w:autoSpaceDE w:val="0"/>
              <w:autoSpaceDN w:val="0"/>
              <w:adjustRightInd w:val="0"/>
              <w:jc w:val="both"/>
            </w:pPr>
            <w:r>
              <w:t>Folia kalendrowana techniczna z uplastycznionego polichlorku winylu.</w:t>
            </w:r>
          </w:p>
        </w:tc>
      </w:tr>
      <w:tr w:rsidR="00A71C7E" w:rsidTr="004856CB">
        <w:tc>
          <w:tcPr>
            <w:tcW w:w="496" w:type="dxa"/>
            <w:hideMark/>
          </w:tcPr>
          <w:p w:rsidR="00A71C7E" w:rsidRDefault="00A71C7E" w:rsidP="004856CB">
            <w:pPr>
              <w:overflowPunct w:val="0"/>
              <w:autoSpaceDE w:val="0"/>
              <w:autoSpaceDN w:val="0"/>
              <w:adjustRightInd w:val="0"/>
              <w:jc w:val="right"/>
            </w:pPr>
            <w:r>
              <w:t>16.</w:t>
            </w:r>
          </w:p>
        </w:tc>
        <w:tc>
          <w:tcPr>
            <w:tcW w:w="2026" w:type="dxa"/>
            <w:hideMark/>
          </w:tcPr>
          <w:p w:rsidR="00A71C7E" w:rsidRDefault="00A71C7E" w:rsidP="004856CB">
            <w:pPr>
              <w:overflowPunct w:val="0"/>
              <w:autoSpaceDE w:val="0"/>
              <w:autoSpaceDN w:val="0"/>
              <w:adjustRightInd w:val="0"/>
              <w:jc w:val="both"/>
            </w:pPr>
            <w:r>
              <w:t>BN-87/6774-04</w:t>
            </w:r>
          </w:p>
        </w:tc>
        <w:tc>
          <w:tcPr>
            <w:tcW w:w="6117" w:type="dxa"/>
            <w:hideMark/>
          </w:tcPr>
          <w:p w:rsidR="00A71C7E" w:rsidRDefault="00A71C7E" w:rsidP="004856CB">
            <w:pPr>
              <w:overflowPunct w:val="0"/>
              <w:autoSpaceDE w:val="0"/>
              <w:autoSpaceDN w:val="0"/>
              <w:adjustRightInd w:val="0"/>
              <w:jc w:val="both"/>
            </w:pPr>
            <w:r>
              <w:t>Kruszywa mineralne do nawierzchni drogowych. Piasek.</w:t>
            </w:r>
          </w:p>
        </w:tc>
      </w:tr>
      <w:tr w:rsidR="00A71C7E" w:rsidTr="004856CB">
        <w:tc>
          <w:tcPr>
            <w:tcW w:w="496" w:type="dxa"/>
            <w:hideMark/>
          </w:tcPr>
          <w:p w:rsidR="00A71C7E" w:rsidRDefault="00A71C7E" w:rsidP="004856CB">
            <w:pPr>
              <w:overflowPunct w:val="0"/>
              <w:autoSpaceDE w:val="0"/>
              <w:autoSpaceDN w:val="0"/>
              <w:adjustRightInd w:val="0"/>
              <w:jc w:val="right"/>
            </w:pPr>
            <w:r>
              <w:t>17.</w:t>
            </w:r>
          </w:p>
        </w:tc>
        <w:tc>
          <w:tcPr>
            <w:tcW w:w="2026" w:type="dxa"/>
            <w:hideMark/>
          </w:tcPr>
          <w:p w:rsidR="00A71C7E" w:rsidRDefault="00A71C7E" w:rsidP="004856CB">
            <w:pPr>
              <w:overflowPunct w:val="0"/>
              <w:autoSpaceDE w:val="0"/>
              <w:autoSpaceDN w:val="0"/>
              <w:adjustRightInd w:val="0"/>
              <w:jc w:val="both"/>
            </w:pPr>
            <w:r>
              <w:t>BN-71/8976-31</w:t>
            </w:r>
          </w:p>
        </w:tc>
        <w:tc>
          <w:tcPr>
            <w:tcW w:w="6117" w:type="dxa"/>
            <w:hideMark/>
          </w:tcPr>
          <w:p w:rsidR="00A71C7E" w:rsidRDefault="00A71C7E" w:rsidP="004856CB">
            <w:pPr>
              <w:overflowPunct w:val="0"/>
              <w:autoSpaceDE w:val="0"/>
              <w:autoSpaceDN w:val="0"/>
              <w:adjustRightInd w:val="0"/>
              <w:jc w:val="both"/>
            </w:pPr>
            <w:r>
              <w:t>Odległości poziome gazociągów wysokiego ciśnienia od obiektów terenowych.</w:t>
            </w:r>
          </w:p>
        </w:tc>
      </w:tr>
      <w:tr w:rsidR="00A71C7E" w:rsidTr="004856CB">
        <w:tc>
          <w:tcPr>
            <w:tcW w:w="496" w:type="dxa"/>
            <w:hideMark/>
          </w:tcPr>
          <w:p w:rsidR="00A71C7E" w:rsidRDefault="00A71C7E" w:rsidP="004856CB">
            <w:pPr>
              <w:overflowPunct w:val="0"/>
              <w:autoSpaceDE w:val="0"/>
              <w:autoSpaceDN w:val="0"/>
              <w:adjustRightInd w:val="0"/>
              <w:jc w:val="right"/>
            </w:pPr>
            <w:r>
              <w:t>18.</w:t>
            </w:r>
          </w:p>
        </w:tc>
        <w:tc>
          <w:tcPr>
            <w:tcW w:w="2026" w:type="dxa"/>
            <w:hideMark/>
          </w:tcPr>
          <w:p w:rsidR="00A71C7E" w:rsidRDefault="00A71C7E" w:rsidP="004856CB">
            <w:pPr>
              <w:overflowPunct w:val="0"/>
              <w:autoSpaceDE w:val="0"/>
              <w:autoSpaceDN w:val="0"/>
              <w:adjustRightInd w:val="0"/>
              <w:jc w:val="both"/>
            </w:pPr>
            <w:r>
              <w:t>BN-73/3725-16</w:t>
            </w:r>
          </w:p>
        </w:tc>
        <w:tc>
          <w:tcPr>
            <w:tcW w:w="6117" w:type="dxa"/>
            <w:hideMark/>
          </w:tcPr>
          <w:p w:rsidR="00A71C7E" w:rsidRDefault="00A71C7E" w:rsidP="004856CB">
            <w:pPr>
              <w:overflowPunct w:val="0"/>
              <w:autoSpaceDE w:val="0"/>
              <w:autoSpaceDN w:val="0"/>
              <w:adjustRightInd w:val="0"/>
              <w:jc w:val="both"/>
            </w:pPr>
            <w:r>
              <w:t>Znakowanie kabli, przewodów i żył (analogia).</w:t>
            </w:r>
          </w:p>
        </w:tc>
      </w:tr>
      <w:tr w:rsidR="00A71C7E" w:rsidTr="004856CB">
        <w:tc>
          <w:tcPr>
            <w:tcW w:w="496" w:type="dxa"/>
            <w:hideMark/>
          </w:tcPr>
          <w:p w:rsidR="00A71C7E" w:rsidRDefault="00A71C7E" w:rsidP="004856CB">
            <w:pPr>
              <w:overflowPunct w:val="0"/>
              <w:autoSpaceDE w:val="0"/>
              <w:autoSpaceDN w:val="0"/>
              <w:adjustRightInd w:val="0"/>
              <w:jc w:val="right"/>
            </w:pPr>
            <w:r>
              <w:t>19.</w:t>
            </w:r>
          </w:p>
        </w:tc>
        <w:tc>
          <w:tcPr>
            <w:tcW w:w="2026" w:type="dxa"/>
            <w:hideMark/>
          </w:tcPr>
          <w:p w:rsidR="00A71C7E" w:rsidRDefault="00A71C7E" w:rsidP="004856CB">
            <w:pPr>
              <w:overflowPunct w:val="0"/>
              <w:autoSpaceDE w:val="0"/>
              <w:autoSpaceDN w:val="0"/>
              <w:adjustRightInd w:val="0"/>
              <w:jc w:val="both"/>
            </w:pPr>
            <w:r>
              <w:t>BN-74/3233-17</w:t>
            </w:r>
          </w:p>
        </w:tc>
        <w:tc>
          <w:tcPr>
            <w:tcW w:w="6117" w:type="dxa"/>
            <w:hideMark/>
          </w:tcPr>
          <w:p w:rsidR="00A71C7E" w:rsidRDefault="00A71C7E" w:rsidP="004856CB">
            <w:pPr>
              <w:overflowPunct w:val="0"/>
              <w:autoSpaceDE w:val="0"/>
              <w:autoSpaceDN w:val="0"/>
              <w:adjustRightInd w:val="0"/>
              <w:jc w:val="both"/>
            </w:pPr>
            <w:r>
              <w:t>Słupki oznaczeniowe i oznaczeniowo-pomiarowe.</w:t>
            </w:r>
          </w:p>
        </w:tc>
      </w:tr>
      <w:tr w:rsidR="00A71C7E" w:rsidTr="004856CB">
        <w:tc>
          <w:tcPr>
            <w:tcW w:w="496" w:type="dxa"/>
            <w:hideMark/>
          </w:tcPr>
          <w:p w:rsidR="00A71C7E" w:rsidRDefault="00A71C7E" w:rsidP="004856CB">
            <w:pPr>
              <w:overflowPunct w:val="0"/>
              <w:autoSpaceDE w:val="0"/>
              <w:autoSpaceDN w:val="0"/>
              <w:adjustRightInd w:val="0"/>
              <w:jc w:val="right"/>
            </w:pPr>
            <w:r>
              <w:t>20.</w:t>
            </w:r>
          </w:p>
        </w:tc>
        <w:tc>
          <w:tcPr>
            <w:tcW w:w="2026" w:type="dxa"/>
            <w:hideMark/>
          </w:tcPr>
          <w:p w:rsidR="00A71C7E" w:rsidRDefault="00A71C7E" w:rsidP="004856CB">
            <w:pPr>
              <w:overflowPunct w:val="0"/>
              <w:autoSpaceDE w:val="0"/>
              <w:autoSpaceDN w:val="0"/>
              <w:adjustRightInd w:val="0"/>
              <w:jc w:val="both"/>
            </w:pPr>
            <w:r>
              <w:t>E-16</w:t>
            </w:r>
          </w:p>
        </w:tc>
        <w:tc>
          <w:tcPr>
            <w:tcW w:w="6117" w:type="dxa"/>
            <w:hideMark/>
          </w:tcPr>
          <w:p w:rsidR="00A71C7E" w:rsidRDefault="00A71C7E" w:rsidP="004856CB">
            <w:pPr>
              <w:overflowPunct w:val="0"/>
              <w:autoSpaceDE w:val="0"/>
              <w:autoSpaceDN w:val="0"/>
              <w:adjustRightInd w:val="0"/>
              <w:jc w:val="both"/>
            </w:pPr>
            <w:r>
              <w:t>Zalewy kablowe.</w:t>
            </w:r>
          </w:p>
        </w:tc>
      </w:tr>
    </w:tbl>
    <w:p w:rsidR="00A71C7E" w:rsidRDefault="00A71C7E" w:rsidP="00A71C7E">
      <w:pPr>
        <w:spacing w:before="120" w:after="120"/>
        <w:outlineLvl w:val="1"/>
        <w:rPr>
          <w:rFonts w:ascii="PL Times New Roman" w:hAnsi="PL Times New Roman"/>
          <w:snapToGrid w:val="0"/>
        </w:rPr>
      </w:pPr>
      <w:r>
        <w:rPr>
          <w:rFonts w:ascii="PL Times New Roman" w:hAnsi="PL Times New Roman"/>
          <w:snapToGrid w:val="0"/>
        </w:rPr>
        <w:t>10.2. Inne dokumenty</w:t>
      </w:r>
    </w:p>
    <w:p w:rsidR="00A71C7E" w:rsidRDefault="00A71C7E" w:rsidP="0097494B">
      <w:pPr>
        <w:numPr>
          <w:ilvl w:val="0"/>
          <w:numId w:val="88"/>
        </w:numPr>
        <w:overflowPunct w:val="0"/>
        <w:autoSpaceDE w:val="0"/>
        <w:autoSpaceDN w:val="0"/>
        <w:adjustRightInd w:val="0"/>
        <w:jc w:val="both"/>
      </w:pPr>
      <w:r>
        <w:t>21.</w:t>
      </w:r>
      <w:r>
        <w:rPr>
          <w:sz w:val="14"/>
          <w:szCs w:val="14"/>
        </w:rPr>
        <w:t xml:space="preserve">    </w:t>
      </w:r>
      <w:r>
        <w:t>Przepisy budowy urządzeń elektrycznych. PBUE wyd. 1980 r.</w:t>
      </w:r>
    </w:p>
    <w:p w:rsidR="00A71C7E" w:rsidRDefault="00A71C7E" w:rsidP="0097494B">
      <w:pPr>
        <w:numPr>
          <w:ilvl w:val="0"/>
          <w:numId w:val="89"/>
        </w:numPr>
        <w:overflowPunct w:val="0"/>
        <w:autoSpaceDE w:val="0"/>
        <w:autoSpaceDN w:val="0"/>
        <w:adjustRightInd w:val="0"/>
        <w:jc w:val="both"/>
      </w:pPr>
      <w:r>
        <w:t>22.</w:t>
      </w:r>
      <w:r>
        <w:rPr>
          <w:sz w:val="14"/>
          <w:szCs w:val="14"/>
        </w:rPr>
        <w:t xml:space="preserve">    </w:t>
      </w:r>
      <w:r>
        <w:t>Rozporządzenie Ministra Budownictwa i Przemysłu Materiałów Budowlanych w sprawie bezpieczeństwa i higieny pracy przy wykonywaniu robót budowlano-montażowych i rozbiórkowych. Dz. U. Nr 13 z dnia 10.04.1972 r.</w:t>
      </w:r>
    </w:p>
    <w:p w:rsidR="00A71C7E" w:rsidRDefault="00A71C7E" w:rsidP="0097494B">
      <w:pPr>
        <w:numPr>
          <w:ilvl w:val="0"/>
          <w:numId w:val="89"/>
        </w:numPr>
        <w:overflowPunct w:val="0"/>
        <w:autoSpaceDE w:val="0"/>
        <w:autoSpaceDN w:val="0"/>
        <w:adjustRightInd w:val="0"/>
        <w:jc w:val="both"/>
      </w:pPr>
      <w:r>
        <w:t>23.</w:t>
      </w:r>
      <w:r>
        <w:rPr>
          <w:sz w:val="14"/>
          <w:szCs w:val="14"/>
        </w:rPr>
        <w:t xml:space="preserve">    </w:t>
      </w:r>
      <w:r>
        <w:t>Rozporządzenie Ministra Przemysłu z dnia 26.11.1990 r. w sprawie warunków technicznych, jakim powinny odpowiadać urządzenia elektroenergetyczne w zakresie ochrony przeciwporażeniowej. Dz. U. Nr 81 z dnia 26.11.1990 r.</w:t>
      </w:r>
    </w:p>
    <w:p w:rsidR="00A71C7E" w:rsidRDefault="00A71C7E" w:rsidP="0097494B">
      <w:pPr>
        <w:numPr>
          <w:ilvl w:val="0"/>
          <w:numId w:val="89"/>
        </w:numPr>
        <w:overflowPunct w:val="0"/>
        <w:autoSpaceDE w:val="0"/>
        <w:autoSpaceDN w:val="0"/>
        <w:adjustRightInd w:val="0"/>
        <w:jc w:val="both"/>
      </w:pPr>
      <w:r>
        <w:t>24.</w:t>
      </w:r>
      <w:r>
        <w:rPr>
          <w:sz w:val="14"/>
          <w:szCs w:val="14"/>
        </w:rPr>
        <w:t xml:space="preserve">    </w:t>
      </w:r>
      <w:r>
        <w:t>Zarządzenie nr 29 Ministra Górnictwa i Energetyki z dnia 17 lipca 1974 r. w sprawie doboru przewodów i kabli elektroenergetycznych do obciążeń prądem elektrycznym.</w:t>
      </w:r>
    </w:p>
    <w:p w:rsidR="00C26502" w:rsidRPr="00E561B5" w:rsidRDefault="00A71C7E" w:rsidP="00E561B5">
      <w:pPr>
        <w:ind w:left="397"/>
      </w:pPr>
      <w:r>
        <w:t>25.</w:t>
      </w:r>
      <w:r>
        <w:rPr>
          <w:sz w:val="14"/>
          <w:szCs w:val="14"/>
        </w:rPr>
        <w:t xml:space="preserve">    </w:t>
      </w:r>
      <w:r>
        <w:t>Ustawa o drogach publicznych z dnia 21.03.1985 r. Dz. U. Nr 14 z dnia 15.04.1985 </w:t>
      </w:r>
    </w:p>
    <w:p w:rsidR="00A71C7E" w:rsidRPr="00175EB3" w:rsidRDefault="00A71C7E" w:rsidP="00A71C7E">
      <w:pPr>
        <w:pStyle w:val="Nagwek1"/>
      </w:pPr>
      <w:bookmarkStart w:id="93" w:name="_Toc59404839"/>
      <w:bookmarkStart w:id="94" w:name="_Toc80100097"/>
      <w:r w:rsidRPr="00424AC7">
        <w:t>M.20.02.00.</w:t>
      </w:r>
      <w:r w:rsidRPr="00424AC7">
        <w:tab/>
        <w:t>ROBOTY ROZBIÓRKOWE</w:t>
      </w:r>
      <w:bookmarkEnd w:id="93"/>
      <w:bookmarkEnd w:id="94"/>
    </w:p>
    <w:p w:rsidR="00A71C7E" w:rsidRDefault="00A71C7E" w:rsidP="00A71C7E">
      <w:pPr>
        <w:pStyle w:val="spis"/>
      </w:pPr>
      <w:r>
        <w:t>l. WSTĘP</w:t>
      </w:r>
    </w:p>
    <w:p w:rsidR="00A71C7E" w:rsidRPr="00D13E2C" w:rsidRDefault="00A71C7E" w:rsidP="00A71C7E">
      <w:pPr>
        <w:pStyle w:val="Nagwek"/>
        <w:tabs>
          <w:tab w:val="clear" w:pos="4252"/>
          <w:tab w:val="clear" w:pos="8504"/>
          <w:tab w:val="clear" w:pos="8789"/>
        </w:tabs>
        <w:spacing w:line="240" w:lineRule="auto"/>
        <w:rPr>
          <w:rFonts w:ascii="Times New Roman" w:hAnsi="Times New Roman"/>
          <w:b/>
        </w:rPr>
      </w:pPr>
      <w:r w:rsidRPr="00D13E2C">
        <w:rPr>
          <w:rFonts w:ascii="Times New Roman" w:hAnsi="Times New Roman"/>
          <w:b/>
        </w:rPr>
        <w:t>1.1. Przedmiot specyfikacji</w:t>
      </w:r>
    </w:p>
    <w:p w:rsidR="00A71C7E" w:rsidRDefault="00A71C7E" w:rsidP="00A71C7E">
      <w:pPr>
        <w:jc w:val="both"/>
      </w:pPr>
      <w:r>
        <w:t xml:space="preserve">Przedmiotem niniejszej Specyfikacji Technicznej są wymagania dotyczące wykonania i odbioru robót związanych z przeprowadzaniem prac rozbiórkowych w </w:t>
      </w:r>
      <w:r>
        <w:rPr>
          <w:snapToGrid w:val="0"/>
        </w:rPr>
        <w:t xml:space="preserve">ramach </w:t>
      </w:r>
      <w:r>
        <w:rPr>
          <w:bCs/>
          <w:snapToGrid w:val="0"/>
        </w:rPr>
        <w:t xml:space="preserve">projektu : </w:t>
      </w:r>
      <w:r>
        <w:rPr>
          <w:bCs/>
        </w:rPr>
        <w:t>"Remont przepustu nad rzeką Postomia w ciągu drogi nr 445/k.2922 m. Wędrzyn</w:t>
      </w:r>
    </w:p>
    <w:p w:rsidR="00A71C7E" w:rsidRPr="00D13E2C" w:rsidRDefault="00A71C7E" w:rsidP="00A71C7E">
      <w:pPr>
        <w:jc w:val="both"/>
        <w:rPr>
          <w:b/>
        </w:rPr>
      </w:pPr>
      <w:r w:rsidRPr="00D13E2C">
        <w:rPr>
          <w:b/>
        </w:rPr>
        <w:t>1.2. Zakres stosowania ST</w:t>
      </w:r>
    </w:p>
    <w:p w:rsidR="00A71C7E" w:rsidRDefault="00A71C7E" w:rsidP="00A71C7E">
      <w:pPr>
        <w:jc w:val="both"/>
      </w:pPr>
      <w:r>
        <w:t>Specyfikacja techniczna jest stosowana jako dokument przetargowy i kontraktowy przy zlecaniu i realizacji robót wymienionych w punkcie 1.1.</w:t>
      </w:r>
    </w:p>
    <w:p w:rsidR="00A71C7E" w:rsidRPr="00D13E2C" w:rsidRDefault="00A71C7E" w:rsidP="00A71C7E">
      <w:pPr>
        <w:jc w:val="both"/>
        <w:rPr>
          <w:b/>
        </w:rPr>
      </w:pPr>
      <w:r w:rsidRPr="00D13E2C">
        <w:rPr>
          <w:b/>
        </w:rPr>
        <w:t>1.3. Zakres robót objętych ST</w:t>
      </w:r>
    </w:p>
    <w:p w:rsidR="00A71C7E" w:rsidRPr="00CE06BC" w:rsidRDefault="00A71C7E" w:rsidP="00A71C7E">
      <w:pPr>
        <w:pStyle w:val="Tekstpodstawowy"/>
        <w:tabs>
          <w:tab w:val="clear" w:pos="576"/>
          <w:tab w:val="clear" w:pos="1008"/>
        </w:tabs>
        <w:rPr>
          <w:b/>
        </w:rPr>
      </w:pPr>
      <w:r>
        <w:rPr>
          <w:rFonts w:ascii="Times New Roman" w:hAnsi="Times New Roman"/>
        </w:rPr>
        <w:t>Ustalenia zawarte w niniejszej specyfikacji dotyczą zasad prowadzenia robót rozbiórkowych</w:t>
      </w:r>
    </w:p>
    <w:p w:rsidR="00A71C7E" w:rsidRDefault="00A71C7E" w:rsidP="00A71C7E">
      <w:pPr>
        <w:ind w:left="360"/>
        <w:jc w:val="both"/>
        <w:rPr>
          <w:b/>
        </w:rPr>
      </w:pPr>
      <w:r>
        <w:br/>
      </w:r>
      <w:r w:rsidRPr="00290FAA">
        <w:rPr>
          <w:b/>
        </w:rPr>
        <w:t>1.4. Określenia podstawowe</w:t>
      </w:r>
    </w:p>
    <w:p w:rsidR="00A71C7E" w:rsidRPr="008A354A" w:rsidRDefault="00A71C7E" w:rsidP="00A71C7E">
      <w:pPr>
        <w:pStyle w:val="Nagwek"/>
        <w:tabs>
          <w:tab w:val="clear" w:pos="4252"/>
          <w:tab w:val="clear" w:pos="8504"/>
          <w:tab w:val="clear" w:pos="8789"/>
        </w:tabs>
        <w:spacing w:line="240" w:lineRule="auto"/>
        <w:rPr>
          <w:rFonts w:ascii="Times New Roman" w:hAnsi="Times New Roman"/>
        </w:rPr>
      </w:pPr>
      <w:r w:rsidRPr="008A354A">
        <w:rPr>
          <w:rFonts w:ascii="Times New Roman" w:hAnsi="Times New Roman"/>
        </w:rPr>
        <w:t xml:space="preserve">Określenia podane w niniejszej ST są zgodne z obowiązującymi polskimi normami, wytycznymi i </w:t>
      </w:r>
    </w:p>
    <w:p w:rsidR="00A71C7E" w:rsidRPr="008A354A" w:rsidRDefault="00A71C7E" w:rsidP="00A71C7E">
      <w:pPr>
        <w:pStyle w:val="Nagwek"/>
        <w:tabs>
          <w:tab w:val="clear" w:pos="4252"/>
          <w:tab w:val="clear" w:pos="8504"/>
          <w:tab w:val="clear" w:pos="8789"/>
        </w:tabs>
        <w:spacing w:line="240" w:lineRule="auto"/>
        <w:rPr>
          <w:rFonts w:ascii="Times New Roman" w:hAnsi="Times New Roman"/>
        </w:rPr>
      </w:pPr>
      <w:r w:rsidRPr="008A354A">
        <w:rPr>
          <w:rFonts w:ascii="Times New Roman" w:hAnsi="Times New Roman"/>
        </w:rPr>
        <w:t>określeniami podanymi w ST D-M. 00.00.00.- „Wymagania Ogólne”</w:t>
      </w:r>
    </w:p>
    <w:p w:rsidR="00A71C7E" w:rsidRDefault="00A71C7E" w:rsidP="00A71C7E">
      <w:pPr>
        <w:pStyle w:val="Nagwek"/>
        <w:tabs>
          <w:tab w:val="clear" w:pos="4252"/>
          <w:tab w:val="clear" w:pos="8504"/>
          <w:tab w:val="clear" w:pos="8789"/>
        </w:tabs>
        <w:spacing w:line="240" w:lineRule="auto"/>
        <w:rPr>
          <w:rFonts w:ascii="Times New Roman" w:hAnsi="Times New Roman"/>
        </w:rPr>
      </w:pPr>
      <w:r>
        <w:rPr>
          <w:rFonts w:ascii="Times New Roman" w:hAnsi="Times New Roman"/>
        </w:rPr>
        <w:t>Demontaż elementów - rozbiórka poszczególnych zdegradowanych elementów.</w:t>
      </w:r>
    </w:p>
    <w:p w:rsidR="00A71C7E" w:rsidRPr="00D13E2C" w:rsidRDefault="00A71C7E" w:rsidP="00A71C7E">
      <w:pPr>
        <w:jc w:val="both"/>
        <w:rPr>
          <w:b/>
        </w:rPr>
      </w:pPr>
      <w:r w:rsidRPr="00D13E2C">
        <w:rPr>
          <w:b/>
        </w:rPr>
        <w:t>1.5. Ogólne wymagania dotyczące robót</w:t>
      </w:r>
    </w:p>
    <w:p w:rsidR="00A71C7E" w:rsidRPr="008A354A" w:rsidRDefault="00A71C7E" w:rsidP="00A71C7E">
      <w:pPr>
        <w:pStyle w:val="spis"/>
        <w:spacing w:before="0" w:after="0"/>
        <w:rPr>
          <w:b w:val="0"/>
          <w:noProof w:val="0"/>
          <w:snapToGrid/>
          <w:u w:val="none"/>
        </w:rPr>
      </w:pPr>
      <w:r w:rsidRPr="008A354A">
        <w:rPr>
          <w:b w:val="0"/>
          <w:noProof w:val="0"/>
          <w:snapToGrid/>
          <w:u w:val="none"/>
        </w:rPr>
        <w:t xml:space="preserve">Wykonawca  Robót  jest  odpowiedzialny  za  jakość  wykonania  Robót  i  ich  zgodność  z Dokumentacją </w:t>
      </w:r>
    </w:p>
    <w:p w:rsidR="00A71C7E" w:rsidRDefault="00A71C7E" w:rsidP="00A71C7E">
      <w:pPr>
        <w:pStyle w:val="spis"/>
        <w:spacing w:before="0" w:after="0"/>
        <w:rPr>
          <w:b w:val="0"/>
          <w:noProof w:val="0"/>
          <w:snapToGrid/>
          <w:u w:val="none"/>
        </w:rPr>
      </w:pPr>
      <w:r w:rsidRPr="008A354A">
        <w:rPr>
          <w:b w:val="0"/>
          <w:noProof w:val="0"/>
          <w:snapToGrid/>
          <w:u w:val="none"/>
        </w:rPr>
        <w:t xml:space="preserve">Projektową,  ST  i  poleceniami  Inżyniera.  Ogólne  wymagania  dotyczące  Robót  podano  w  ST  D-M.00.00.00  - „Wymagania Ogólne”. </w:t>
      </w:r>
    </w:p>
    <w:p w:rsidR="00A71C7E" w:rsidRDefault="00A71C7E" w:rsidP="00A71C7E">
      <w:pPr>
        <w:pStyle w:val="spis"/>
      </w:pPr>
      <w:r>
        <w:t>2. MATERIAŁY</w:t>
      </w:r>
    </w:p>
    <w:p w:rsidR="00A71C7E" w:rsidRPr="00D13E2C" w:rsidRDefault="00A71C7E" w:rsidP="00A71C7E">
      <w:pPr>
        <w:pStyle w:val="Nagwek2"/>
        <w:spacing w:before="0" w:after="0"/>
        <w:rPr>
          <w:rFonts w:ascii="Times New Roman" w:hAnsi="Times New Roman"/>
          <w:b/>
        </w:rPr>
      </w:pPr>
      <w:r w:rsidRPr="00D13E2C">
        <w:rPr>
          <w:rFonts w:ascii="Times New Roman" w:hAnsi="Times New Roman"/>
          <w:b/>
        </w:rPr>
        <w:t>2.1. Ogólne wymagania dotyczące materiałów</w:t>
      </w:r>
    </w:p>
    <w:p w:rsidR="00A71C7E" w:rsidRDefault="00A71C7E" w:rsidP="00A71C7E">
      <w:pPr>
        <w:tabs>
          <w:tab w:val="right" w:leader="dot" w:pos="-1985"/>
          <w:tab w:val="left" w:pos="426"/>
          <w:tab w:val="right" w:leader="dot" w:pos="8505"/>
        </w:tabs>
      </w:pPr>
      <w:r>
        <w:t>Ogólne wymagania dotyczące materiałów, ich pozyskiwania i składowania, podano w ST D-M-00.00.00 „Wymagania ogólne”.</w:t>
      </w:r>
    </w:p>
    <w:p w:rsidR="00A71C7E" w:rsidRDefault="00A71C7E" w:rsidP="00A71C7E">
      <w:pPr>
        <w:pStyle w:val="Tekstpodstawowy"/>
        <w:tabs>
          <w:tab w:val="clear" w:pos="576"/>
          <w:tab w:val="clear" w:pos="1008"/>
        </w:tabs>
        <w:rPr>
          <w:rFonts w:ascii="Times New Roman" w:hAnsi="Times New Roman"/>
        </w:rPr>
      </w:pPr>
      <w:r w:rsidRPr="00D13E2C">
        <w:rPr>
          <w:rFonts w:ascii="Times New Roman" w:hAnsi="Times New Roman"/>
          <w:b/>
        </w:rPr>
        <w:t>2.2. Miejsce wywozu gruzu i utylizacja</w:t>
      </w:r>
      <w:r>
        <w:rPr>
          <w:rFonts w:ascii="Times New Roman" w:hAnsi="Times New Roman"/>
        </w:rPr>
        <w:t xml:space="preserve"> należy do Wykonawcy robót. Materiał z rozbiórki jest własnością Wykonawcy do niego należywywóz oraz utylizacja. Własnością Zamawiającego jest destrukt i bariery , które należy wywieść na składowisko Zamawiającego. Wykonawca ponosi koszt transportu materiału podlegającego odzyskowi na miejsce wskazane przez Zamawiającego.</w:t>
      </w:r>
    </w:p>
    <w:p w:rsidR="00A71C7E" w:rsidRDefault="00A71C7E" w:rsidP="00A71C7E">
      <w:pPr>
        <w:pStyle w:val="spis"/>
      </w:pPr>
      <w:r>
        <w:t>3. SPRZĘT</w:t>
      </w:r>
    </w:p>
    <w:p w:rsidR="00A71C7E" w:rsidRPr="00D13E2C" w:rsidRDefault="00A71C7E" w:rsidP="00A71C7E">
      <w:pPr>
        <w:pStyle w:val="Nagwek2"/>
        <w:spacing w:before="0" w:after="0"/>
        <w:rPr>
          <w:rFonts w:ascii="Times New Roman" w:hAnsi="Times New Roman"/>
          <w:b/>
        </w:rPr>
      </w:pPr>
      <w:r w:rsidRPr="00D13E2C">
        <w:rPr>
          <w:rFonts w:ascii="Times New Roman" w:hAnsi="Times New Roman"/>
          <w:b/>
        </w:rPr>
        <w:t>3.1. Ogólne wymagania dotyczące sprzętu</w:t>
      </w:r>
    </w:p>
    <w:p w:rsidR="00A71C7E" w:rsidRDefault="00A71C7E" w:rsidP="00A71C7E">
      <w:pPr>
        <w:tabs>
          <w:tab w:val="right" w:leader="dot" w:pos="-1985"/>
          <w:tab w:val="left" w:pos="426"/>
          <w:tab w:val="right" w:leader="dot" w:pos="8505"/>
        </w:tabs>
      </w:pPr>
      <w:r>
        <w:t>Ogólne wymagania dotyczące sprzętu podano w ST D-M-00.00.00 „Wymagania ogólne”.</w:t>
      </w:r>
    </w:p>
    <w:p w:rsidR="00A71C7E" w:rsidRPr="00D13E2C" w:rsidRDefault="00A71C7E" w:rsidP="00A71C7E">
      <w:pPr>
        <w:pStyle w:val="Nagwek2"/>
        <w:spacing w:before="0" w:after="0"/>
        <w:rPr>
          <w:rFonts w:ascii="Times New Roman" w:hAnsi="Times New Roman"/>
          <w:b/>
        </w:rPr>
      </w:pPr>
      <w:r w:rsidRPr="00D13E2C">
        <w:rPr>
          <w:rFonts w:ascii="Times New Roman" w:hAnsi="Times New Roman"/>
          <w:b/>
        </w:rPr>
        <w:t>3.2. Sprzęt do rozbiórki</w:t>
      </w:r>
    </w:p>
    <w:p w:rsidR="00A71C7E" w:rsidRPr="00E4649E" w:rsidRDefault="00A71C7E" w:rsidP="00A71C7E">
      <w:pPr>
        <w:pStyle w:val="Tekstpodstawowy"/>
        <w:tabs>
          <w:tab w:val="right" w:leader="dot" w:pos="-1985"/>
          <w:tab w:val="left" w:pos="426"/>
          <w:tab w:val="right" w:leader="dot" w:pos="8505"/>
        </w:tabs>
        <w:rPr>
          <w:rFonts w:ascii="Times New Roman" w:hAnsi="Times New Roman"/>
          <w:snapToGrid/>
        </w:rPr>
      </w:pPr>
      <w:r w:rsidRPr="00E4649E">
        <w:rPr>
          <w:rFonts w:ascii="Times New Roman" w:hAnsi="Times New Roman"/>
          <w:snapToGrid/>
        </w:rPr>
        <w:t xml:space="preserve">Wyklucza się możliwość  zastosowania Robót strzałowych. </w:t>
      </w:r>
    </w:p>
    <w:p w:rsidR="00A71C7E" w:rsidRPr="00E4649E" w:rsidRDefault="00A71C7E" w:rsidP="00A71C7E">
      <w:pPr>
        <w:pStyle w:val="Tekstpodstawowy"/>
        <w:tabs>
          <w:tab w:val="right" w:leader="dot" w:pos="-1985"/>
          <w:tab w:val="left" w:pos="426"/>
          <w:tab w:val="right" w:leader="dot" w:pos="8505"/>
        </w:tabs>
        <w:rPr>
          <w:rFonts w:ascii="Times New Roman" w:hAnsi="Times New Roman"/>
          <w:snapToGrid/>
        </w:rPr>
      </w:pPr>
      <w:r w:rsidRPr="00E4649E">
        <w:rPr>
          <w:rFonts w:ascii="Times New Roman" w:hAnsi="Times New Roman"/>
          <w:snapToGrid/>
        </w:rPr>
        <w:t xml:space="preserve">Prace można prowadzić przy użyciu lekkich młotów pneumatycznych lub elektrycznych. Dopuszcza się użycie </w:t>
      </w:r>
    </w:p>
    <w:p w:rsidR="00A71C7E" w:rsidRDefault="00A71C7E" w:rsidP="00A71C7E">
      <w:pPr>
        <w:pStyle w:val="Tekstpodstawowy"/>
        <w:tabs>
          <w:tab w:val="clear" w:pos="576"/>
          <w:tab w:val="clear" w:pos="1008"/>
          <w:tab w:val="right" w:leader="dot" w:pos="-1985"/>
          <w:tab w:val="left" w:pos="426"/>
          <w:tab w:val="right" w:leader="dot" w:pos="8505"/>
        </w:tabs>
        <w:rPr>
          <w:rFonts w:ascii="Times New Roman" w:hAnsi="Times New Roman"/>
          <w:snapToGrid/>
        </w:rPr>
      </w:pPr>
      <w:r w:rsidRPr="00E4649E">
        <w:rPr>
          <w:rFonts w:ascii="Times New Roman" w:hAnsi="Times New Roman"/>
          <w:snapToGrid/>
        </w:rPr>
        <w:t>lancy wodnej do rozbiórki hydrodynamicznej ( ciśnienie wody 800- 1200 barów )</w:t>
      </w:r>
      <w:r>
        <w:rPr>
          <w:rFonts w:ascii="Times New Roman" w:hAnsi="Times New Roman"/>
          <w:snapToGrid/>
        </w:rPr>
        <w:t>.</w:t>
      </w:r>
    </w:p>
    <w:p w:rsidR="00A71C7E" w:rsidRDefault="00A71C7E" w:rsidP="00A71C7E">
      <w:pPr>
        <w:pStyle w:val="Tekstpodstawowy"/>
        <w:tabs>
          <w:tab w:val="clear" w:pos="576"/>
          <w:tab w:val="clear" w:pos="1008"/>
          <w:tab w:val="right" w:leader="dot" w:pos="-1985"/>
          <w:tab w:val="left" w:pos="426"/>
          <w:tab w:val="right" w:leader="dot" w:pos="8505"/>
        </w:tabs>
        <w:rPr>
          <w:rFonts w:ascii="Times New Roman" w:hAnsi="Times New Roman"/>
          <w:snapToGrid/>
        </w:rPr>
      </w:pPr>
      <w:r>
        <w:rPr>
          <w:rFonts w:ascii="Times New Roman" w:hAnsi="Times New Roman"/>
          <w:snapToGrid/>
        </w:rPr>
        <w:t>Do wykonania robót związanych z rozbiórką elementów dróg oraz urządzeń towarzyszących może być wykorzystany sprzęt podany poniżej, lub inny zaakceptowany przez Inżyniera:</w:t>
      </w:r>
    </w:p>
    <w:p w:rsidR="00A71C7E" w:rsidRDefault="00A71C7E" w:rsidP="00A71C7E">
      <w:pPr>
        <w:numPr>
          <w:ilvl w:val="0"/>
          <w:numId w:val="1"/>
        </w:numPr>
        <w:tabs>
          <w:tab w:val="right" w:leader="dot" w:pos="-1985"/>
          <w:tab w:val="left" w:pos="426"/>
          <w:tab w:val="right" w:leader="dot" w:pos="8505"/>
        </w:tabs>
        <w:overflowPunct w:val="0"/>
        <w:autoSpaceDE w:val="0"/>
        <w:autoSpaceDN w:val="0"/>
        <w:adjustRightInd w:val="0"/>
        <w:jc w:val="both"/>
      </w:pPr>
      <w:r>
        <w:t>spycharki,</w:t>
      </w:r>
    </w:p>
    <w:p w:rsidR="00A71C7E" w:rsidRDefault="00A71C7E" w:rsidP="00A71C7E">
      <w:pPr>
        <w:numPr>
          <w:ilvl w:val="0"/>
          <w:numId w:val="1"/>
        </w:numPr>
        <w:tabs>
          <w:tab w:val="right" w:leader="dot" w:pos="-1985"/>
          <w:tab w:val="left" w:pos="426"/>
          <w:tab w:val="right" w:leader="dot" w:pos="8505"/>
        </w:tabs>
        <w:overflowPunct w:val="0"/>
        <w:autoSpaceDE w:val="0"/>
        <w:autoSpaceDN w:val="0"/>
        <w:adjustRightInd w:val="0"/>
        <w:jc w:val="both"/>
      </w:pPr>
      <w:r>
        <w:t>ładowarki,</w:t>
      </w:r>
    </w:p>
    <w:p w:rsidR="00A71C7E" w:rsidRDefault="00A71C7E" w:rsidP="00A71C7E">
      <w:pPr>
        <w:numPr>
          <w:ilvl w:val="0"/>
          <w:numId w:val="1"/>
        </w:numPr>
        <w:tabs>
          <w:tab w:val="right" w:leader="dot" w:pos="-1985"/>
          <w:tab w:val="left" w:pos="426"/>
          <w:tab w:val="right" w:leader="dot" w:pos="8505"/>
        </w:tabs>
        <w:overflowPunct w:val="0"/>
        <w:autoSpaceDE w:val="0"/>
        <w:autoSpaceDN w:val="0"/>
        <w:adjustRightInd w:val="0"/>
        <w:jc w:val="both"/>
      </w:pPr>
      <w:r>
        <w:t>żurawie samochodowe,</w:t>
      </w:r>
    </w:p>
    <w:p w:rsidR="00A71C7E" w:rsidRDefault="00A71C7E" w:rsidP="00A71C7E">
      <w:pPr>
        <w:numPr>
          <w:ilvl w:val="0"/>
          <w:numId w:val="1"/>
        </w:numPr>
        <w:tabs>
          <w:tab w:val="right" w:leader="dot" w:pos="-1985"/>
          <w:tab w:val="left" w:pos="426"/>
          <w:tab w:val="right" w:leader="dot" w:pos="8505"/>
        </w:tabs>
        <w:overflowPunct w:val="0"/>
        <w:autoSpaceDE w:val="0"/>
        <w:autoSpaceDN w:val="0"/>
        <w:adjustRightInd w:val="0"/>
        <w:jc w:val="both"/>
      </w:pPr>
      <w:r>
        <w:t>samochody ciężarowe,</w:t>
      </w:r>
    </w:p>
    <w:p w:rsidR="00A71C7E" w:rsidRDefault="00A71C7E" w:rsidP="00A71C7E">
      <w:pPr>
        <w:numPr>
          <w:ilvl w:val="0"/>
          <w:numId w:val="1"/>
        </w:numPr>
        <w:tabs>
          <w:tab w:val="right" w:leader="dot" w:pos="-1985"/>
          <w:tab w:val="left" w:pos="426"/>
          <w:tab w:val="right" w:leader="dot" w:pos="8505"/>
        </w:tabs>
        <w:overflowPunct w:val="0"/>
        <w:autoSpaceDE w:val="0"/>
        <w:autoSpaceDN w:val="0"/>
        <w:adjustRightInd w:val="0"/>
        <w:jc w:val="both"/>
      </w:pPr>
      <w:r>
        <w:t>zrywarki,</w:t>
      </w:r>
    </w:p>
    <w:p w:rsidR="00A71C7E" w:rsidRDefault="00A71C7E" w:rsidP="00A71C7E">
      <w:pPr>
        <w:numPr>
          <w:ilvl w:val="0"/>
          <w:numId w:val="1"/>
        </w:numPr>
        <w:tabs>
          <w:tab w:val="right" w:leader="dot" w:pos="-1985"/>
          <w:tab w:val="left" w:pos="426"/>
          <w:tab w:val="right" w:leader="dot" w:pos="8505"/>
        </w:tabs>
        <w:overflowPunct w:val="0"/>
        <w:autoSpaceDE w:val="0"/>
        <w:autoSpaceDN w:val="0"/>
        <w:adjustRightInd w:val="0"/>
        <w:jc w:val="both"/>
      </w:pPr>
      <w:r>
        <w:t>piły tarczowe,</w:t>
      </w:r>
    </w:p>
    <w:p w:rsidR="00A71C7E" w:rsidRDefault="00A71C7E" w:rsidP="00A71C7E">
      <w:pPr>
        <w:numPr>
          <w:ilvl w:val="0"/>
          <w:numId w:val="1"/>
        </w:numPr>
        <w:tabs>
          <w:tab w:val="right" w:leader="dot" w:pos="-1985"/>
          <w:tab w:val="left" w:pos="426"/>
          <w:tab w:val="right" w:leader="dot" w:pos="8505"/>
        </w:tabs>
        <w:overflowPunct w:val="0"/>
        <w:autoSpaceDE w:val="0"/>
        <w:autoSpaceDN w:val="0"/>
        <w:adjustRightInd w:val="0"/>
        <w:jc w:val="both"/>
      </w:pPr>
      <w:r>
        <w:t>wiertarki,</w:t>
      </w:r>
    </w:p>
    <w:p w:rsidR="00A71C7E" w:rsidRDefault="00A71C7E" w:rsidP="00A71C7E">
      <w:pPr>
        <w:numPr>
          <w:ilvl w:val="0"/>
          <w:numId w:val="1"/>
        </w:numPr>
        <w:tabs>
          <w:tab w:val="right" w:leader="dot" w:pos="-1985"/>
          <w:tab w:val="left" w:pos="426"/>
          <w:tab w:val="right" w:leader="dot" w:pos="8505"/>
        </w:tabs>
        <w:overflowPunct w:val="0"/>
        <w:autoSpaceDE w:val="0"/>
        <w:autoSpaceDN w:val="0"/>
        <w:adjustRightInd w:val="0"/>
        <w:jc w:val="both"/>
      </w:pPr>
      <w:r>
        <w:t>młoty pneumatyczne,</w:t>
      </w:r>
    </w:p>
    <w:p w:rsidR="00A71C7E" w:rsidRDefault="00A71C7E" w:rsidP="00A71C7E">
      <w:pPr>
        <w:numPr>
          <w:ilvl w:val="0"/>
          <w:numId w:val="1"/>
        </w:numPr>
        <w:tabs>
          <w:tab w:val="right" w:leader="dot" w:pos="-1985"/>
          <w:tab w:val="left" w:pos="426"/>
          <w:tab w:val="right" w:leader="dot" w:pos="8505"/>
        </w:tabs>
        <w:overflowPunct w:val="0"/>
        <w:autoSpaceDE w:val="0"/>
        <w:autoSpaceDN w:val="0"/>
        <w:adjustRightInd w:val="0"/>
        <w:jc w:val="both"/>
      </w:pPr>
      <w:r>
        <w:t>piły mechaniczne,</w:t>
      </w:r>
    </w:p>
    <w:p w:rsidR="00A71C7E" w:rsidRDefault="00A71C7E" w:rsidP="00A71C7E">
      <w:pPr>
        <w:numPr>
          <w:ilvl w:val="0"/>
          <w:numId w:val="1"/>
        </w:numPr>
        <w:tabs>
          <w:tab w:val="right" w:leader="dot" w:pos="-1985"/>
          <w:tab w:val="left" w:pos="426"/>
          <w:tab w:val="right" w:leader="dot" w:pos="8505"/>
        </w:tabs>
        <w:overflowPunct w:val="0"/>
        <w:autoSpaceDE w:val="0"/>
        <w:autoSpaceDN w:val="0"/>
        <w:adjustRightInd w:val="0"/>
        <w:jc w:val="both"/>
      </w:pPr>
      <w:r>
        <w:t>frezarki nawierzchni,</w:t>
      </w:r>
    </w:p>
    <w:p w:rsidR="00A71C7E" w:rsidRDefault="00A71C7E" w:rsidP="00A71C7E">
      <w:pPr>
        <w:numPr>
          <w:ilvl w:val="0"/>
          <w:numId w:val="1"/>
        </w:numPr>
        <w:tabs>
          <w:tab w:val="right" w:leader="dot" w:pos="-1985"/>
          <w:tab w:val="left" w:pos="426"/>
          <w:tab w:val="right" w:leader="dot" w:pos="8505"/>
        </w:tabs>
        <w:overflowPunct w:val="0"/>
        <w:autoSpaceDE w:val="0"/>
        <w:autoSpaceDN w:val="0"/>
        <w:adjustRightInd w:val="0"/>
        <w:jc w:val="both"/>
      </w:pPr>
      <w:r>
        <w:t>koparki.</w:t>
      </w:r>
    </w:p>
    <w:p w:rsidR="00A71C7E" w:rsidRDefault="00A71C7E" w:rsidP="00A71C7E">
      <w:pPr>
        <w:widowControl w:val="0"/>
        <w:spacing w:before="120" w:after="120"/>
        <w:jc w:val="both"/>
        <w:rPr>
          <w:b/>
          <w:snapToGrid w:val="0"/>
          <w:u w:val="single"/>
        </w:rPr>
      </w:pPr>
      <w:r>
        <w:rPr>
          <w:b/>
          <w:noProof/>
          <w:snapToGrid w:val="0"/>
          <w:u w:val="single"/>
        </w:rPr>
        <w:t>4.</w:t>
      </w:r>
      <w:r>
        <w:rPr>
          <w:b/>
          <w:snapToGrid w:val="0"/>
          <w:u w:val="single"/>
        </w:rPr>
        <w:t xml:space="preserve"> TRANSPORT</w:t>
      </w:r>
    </w:p>
    <w:p w:rsidR="00A71C7E" w:rsidRPr="00D13E2C" w:rsidRDefault="00A71C7E" w:rsidP="00A71C7E">
      <w:pPr>
        <w:pStyle w:val="Nagwek2"/>
        <w:spacing w:before="0" w:after="0"/>
        <w:rPr>
          <w:rFonts w:ascii="Times New Roman" w:hAnsi="Times New Roman"/>
          <w:b/>
        </w:rPr>
      </w:pPr>
      <w:r w:rsidRPr="00D13E2C">
        <w:rPr>
          <w:rFonts w:ascii="Times New Roman" w:hAnsi="Times New Roman"/>
          <w:b/>
        </w:rPr>
        <w:t>4.1. Ogólne wymagania dotyczące transportu</w:t>
      </w:r>
    </w:p>
    <w:p w:rsidR="00A71C7E" w:rsidRDefault="00A71C7E" w:rsidP="00A71C7E">
      <w:pPr>
        <w:tabs>
          <w:tab w:val="right" w:leader="dot" w:pos="-1985"/>
          <w:tab w:val="left" w:pos="426"/>
          <w:tab w:val="right" w:leader="dot" w:pos="8505"/>
        </w:tabs>
      </w:pPr>
      <w:r>
        <w:t>Ogólne wymagania dotyczące transportu podano w ST D-M-00.00.00 „Wymagania ogólne”.</w:t>
      </w:r>
    </w:p>
    <w:p w:rsidR="00A71C7E" w:rsidRPr="00D13E2C" w:rsidRDefault="00A71C7E" w:rsidP="00A71C7E">
      <w:pPr>
        <w:pStyle w:val="Nagwek2"/>
        <w:spacing w:before="0" w:after="0"/>
        <w:rPr>
          <w:rFonts w:ascii="Times New Roman" w:hAnsi="Times New Roman"/>
          <w:b/>
        </w:rPr>
      </w:pPr>
      <w:r w:rsidRPr="00D13E2C">
        <w:rPr>
          <w:rFonts w:ascii="Times New Roman" w:hAnsi="Times New Roman"/>
          <w:b/>
        </w:rPr>
        <w:t>4.2. Transport materiałów z rozbiórki</w:t>
      </w:r>
    </w:p>
    <w:p w:rsidR="00A71C7E" w:rsidRDefault="00A71C7E" w:rsidP="00A71C7E">
      <w:pPr>
        <w:tabs>
          <w:tab w:val="right" w:leader="dot" w:pos="-1985"/>
          <w:tab w:val="left" w:pos="426"/>
          <w:tab w:val="right" w:leader="dot" w:pos="8505"/>
        </w:tabs>
        <w:jc w:val="both"/>
      </w:pPr>
      <w:r>
        <w:t>Materiał z rozbiórki można przewozić dowolnym środkiem transportu dostosowanymi do rodzaju przewożonego materiału.</w:t>
      </w:r>
    </w:p>
    <w:p w:rsidR="00A71C7E" w:rsidRDefault="00A71C7E" w:rsidP="00A71C7E">
      <w:pPr>
        <w:pStyle w:val="spis"/>
      </w:pPr>
      <w:r>
        <w:t>5. WYKONANIE ROBÓT</w:t>
      </w:r>
    </w:p>
    <w:p w:rsidR="00A71C7E" w:rsidRPr="00D13E2C" w:rsidRDefault="00A71C7E" w:rsidP="00A71C7E">
      <w:pPr>
        <w:pStyle w:val="Nagwek2"/>
        <w:spacing w:before="0" w:after="0"/>
        <w:rPr>
          <w:rFonts w:ascii="Times New Roman" w:hAnsi="Times New Roman"/>
          <w:b/>
        </w:rPr>
      </w:pPr>
      <w:r w:rsidRPr="00D13E2C">
        <w:rPr>
          <w:rFonts w:ascii="Times New Roman" w:hAnsi="Times New Roman"/>
          <w:b/>
        </w:rPr>
        <w:t>5.1. Ogólne zasady wykonania robót</w:t>
      </w:r>
    </w:p>
    <w:p w:rsidR="00A71C7E" w:rsidRDefault="00A71C7E" w:rsidP="00A71C7E">
      <w:pPr>
        <w:tabs>
          <w:tab w:val="right" w:leader="dot" w:pos="-1985"/>
          <w:tab w:val="left" w:pos="426"/>
          <w:tab w:val="right" w:leader="dot" w:pos="8505"/>
        </w:tabs>
      </w:pPr>
      <w:r>
        <w:t>Ogólne zasady wykonania robót podano w ST D-M-00.00.00 „Wymagania ogólne”.</w:t>
      </w:r>
    </w:p>
    <w:p w:rsidR="00A71C7E" w:rsidRPr="00D13E2C" w:rsidRDefault="00A71C7E" w:rsidP="00A71C7E">
      <w:pPr>
        <w:pStyle w:val="Nagwek2"/>
        <w:spacing w:before="0" w:after="0"/>
        <w:rPr>
          <w:rFonts w:ascii="Times New Roman" w:hAnsi="Times New Roman"/>
          <w:b/>
        </w:rPr>
      </w:pPr>
      <w:r w:rsidRPr="00D13E2C">
        <w:rPr>
          <w:rFonts w:ascii="Times New Roman" w:hAnsi="Times New Roman"/>
          <w:b/>
        </w:rPr>
        <w:t>5.2. Wykonanie robót rozbiórkowych</w:t>
      </w:r>
    </w:p>
    <w:p w:rsidR="00A71C7E" w:rsidRDefault="00A71C7E" w:rsidP="00A71C7E">
      <w:pPr>
        <w:tabs>
          <w:tab w:val="right" w:leader="dot" w:pos="-1985"/>
          <w:tab w:val="left" w:pos="426"/>
          <w:tab w:val="right" w:leader="dot" w:pos="8505"/>
        </w:tabs>
        <w:jc w:val="both"/>
      </w:pPr>
      <w:r>
        <w:t>Roboty rozbiórkowe obejmują usunięcie z terenu budowy wszystkich elementów wymienionych w punkcie 1.3, zgodnie z dokumentacją projektową, ST lub wskazanych przez Inżyniera.</w:t>
      </w:r>
    </w:p>
    <w:p w:rsidR="00A71C7E" w:rsidRDefault="00A71C7E" w:rsidP="00A71C7E">
      <w:pPr>
        <w:pStyle w:val="Tekstpodstawowy"/>
        <w:tabs>
          <w:tab w:val="clear" w:pos="576"/>
          <w:tab w:val="clear" w:pos="1008"/>
          <w:tab w:val="right" w:leader="dot" w:pos="-1985"/>
          <w:tab w:val="left" w:pos="426"/>
          <w:tab w:val="right" w:leader="dot" w:pos="8505"/>
        </w:tabs>
        <w:rPr>
          <w:rFonts w:ascii="Times New Roman" w:hAnsi="Times New Roman"/>
          <w:snapToGrid/>
        </w:rPr>
      </w:pPr>
      <w:r>
        <w:rPr>
          <w:rFonts w:ascii="Times New Roman" w:hAnsi="Times New Roman"/>
          <w:snapToGrid/>
        </w:rPr>
        <w:t>Jeśli dokumentacja projektowa nie zawiera dokumentacji inwentaryzacyjnej rozbiórkowej, Inżynier może polecić Wykonawcy sporządzenie takiej dokumentacji, w której zostanie określony przewidziany odzysk materiałów.</w:t>
      </w:r>
    </w:p>
    <w:p w:rsidR="00A71C7E" w:rsidRDefault="00A71C7E" w:rsidP="00A71C7E">
      <w:pPr>
        <w:tabs>
          <w:tab w:val="right" w:leader="dot" w:pos="-1985"/>
          <w:tab w:val="left" w:pos="426"/>
          <w:tab w:val="right" w:leader="dot" w:pos="8505"/>
        </w:tabs>
        <w:jc w:val="both"/>
      </w:pPr>
      <w:r>
        <w:t>Roboty rozbiórkowe można wykonywać mechanicznie lub ręcznie w sposób określony w ST lub przez Inżyniera.</w:t>
      </w:r>
    </w:p>
    <w:p w:rsidR="00A71C7E" w:rsidRDefault="00A71C7E" w:rsidP="00A71C7E">
      <w:pPr>
        <w:tabs>
          <w:tab w:val="right" w:leader="dot" w:pos="-1985"/>
          <w:tab w:val="left" w:pos="426"/>
          <w:tab w:val="right" w:leader="dot" w:pos="8505"/>
        </w:tabs>
        <w:jc w:val="both"/>
      </w:pPr>
      <w:r>
        <w:t xml:space="preserve">Wykonawca przedstawi Inżynierowi do akceptacji projekt technologii Robót rozbiórkowych oraz  projekt </w:t>
      </w:r>
    </w:p>
    <w:p w:rsidR="00A71C7E" w:rsidRDefault="00A71C7E" w:rsidP="00A71C7E">
      <w:pPr>
        <w:tabs>
          <w:tab w:val="right" w:leader="dot" w:pos="-1985"/>
          <w:tab w:val="left" w:pos="426"/>
          <w:tab w:val="right" w:leader="dot" w:pos="8505"/>
        </w:tabs>
        <w:jc w:val="both"/>
      </w:pPr>
      <w:r>
        <w:t xml:space="preserve">organizacji Robót, uwzględniające wszystkie warunki  w jakich prowadzone będą roboty, </w:t>
      </w:r>
    </w:p>
    <w:p w:rsidR="00A71C7E" w:rsidRDefault="00A71C7E" w:rsidP="00A71C7E">
      <w:pPr>
        <w:tabs>
          <w:tab w:val="right" w:leader="dot" w:pos="-1985"/>
          <w:tab w:val="left" w:pos="426"/>
          <w:tab w:val="right" w:leader="dot" w:pos="8505"/>
        </w:tabs>
        <w:jc w:val="both"/>
      </w:pPr>
      <w:r>
        <w:t xml:space="preserve">Prace  rozbiórkowe    prowadzić    sposobem  wyburzenia  - lekkimi młotami pneumatycznymi, elektrycznymi </w:t>
      </w:r>
    </w:p>
    <w:p w:rsidR="00A71C7E" w:rsidRDefault="00A71C7E" w:rsidP="00A71C7E">
      <w:pPr>
        <w:tabs>
          <w:tab w:val="right" w:leader="dot" w:pos="-1985"/>
          <w:tab w:val="left" w:pos="426"/>
          <w:tab w:val="right" w:leader="dot" w:pos="8505"/>
        </w:tabs>
        <w:jc w:val="both"/>
      </w:pPr>
      <w:r>
        <w:t xml:space="preserve">względnie, gdy zezwalają na to  warunki lokalne, sposobem hydrodynamicznym.  Wyklucza się możliwość </w:t>
      </w:r>
    </w:p>
    <w:p w:rsidR="00A71C7E" w:rsidRDefault="00A71C7E" w:rsidP="00A71C7E">
      <w:pPr>
        <w:tabs>
          <w:tab w:val="right" w:leader="dot" w:pos="-1985"/>
          <w:tab w:val="left" w:pos="426"/>
          <w:tab w:val="right" w:leader="dot" w:pos="8505"/>
        </w:tabs>
        <w:jc w:val="both"/>
      </w:pPr>
      <w:r>
        <w:t>stosowania Robót strzałowych</w:t>
      </w:r>
    </w:p>
    <w:p w:rsidR="00A71C7E" w:rsidRDefault="00A71C7E" w:rsidP="00A71C7E">
      <w:pPr>
        <w:pStyle w:val="Tekstpodstawowy"/>
        <w:tabs>
          <w:tab w:val="clear" w:pos="576"/>
          <w:tab w:val="clear" w:pos="1008"/>
          <w:tab w:val="right" w:leader="dot" w:pos="-1985"/>
          <w:tab w:val="left" w:pos="426"/>
          <w:tab w:val="right" w:leader="dot" w:pos="8505"/>
        </w:tabs>
        <w:rPr>
          <w:rFonts w:ascii="Times New Roman" w:hAnsi="Times New Roman"/>
          <w:snapToGrid/>
        </w:rPr>
      </w:pPr>
      <w:r>
        <w:rPr>
          <w:rFonts w:ascii="Times New Roman" w:hAnsi="Times New Roman"/>
          <w:snapToGrid/>
        </w:rPr>
        <w:t>Wszystkie elementy możliwe do powtórnego wykorzystania powinny być usuwane bez powodowania zbędnych uszkodzeń. O ile uzyskane elementy nie stają się własnością Wykonawcy, powinien on przewieźć je na miejsce określone w niniejszej ST lub wskazane przez Inżyniera.</w:t>
      </w:r>
    </w:p>
    <w:p w:rsidR="00A71C7E" w:rsidRDefault="00A71C7E" w:rsidP="00A71C7E">
      <w:pPr>
        <w:tabs>
          <w:tab w:val="right" w:leader="dot" w:pos="-1985"/>
          <w:tab w:val="left" w:pos="426"/>
          <w:tab w:val="right" w:leader="dot" w:pos="8505"/>
        </w:tabs>
        <w:jc w:val="both"/>
      </w:pPr>
      <w:r>
        <w:t>Elementy i materiały, które zgodnie z niniejszą ST stają się własnością Wykonawcy, powinny być usunięte z terenu budowy na składowisko Wykonawcy.</w:t>
      </w:r>
    </w:p>
    <w:p w:rsidR="00A71C7E" w:rsidRDefault="00A71C7E" w:rsidP="00A71C7E">
      <w:pPr>
        <w:tabs>
          <w:tab w:val="right" w:leader="dot" w:pos="-1985"/>
          <w:tab w:val="left" w:pos="426"/>
          <w:tab w:val="right" w:leader="dot" w:pos="8505"/>
        </w:tabs>
        <w:jc w:val="both"/>
      </w:pPr>
      <w:r>
        <w:t>Doły (wykopy) powstałe po rozbiórce znajdujące się w miejscach, gdzie zgodnie z dokumentacją projektową będą wykonane wykopy drogowe, powinny być tymczasowo zabezpieczone. W szczególności należy zapobiec gromadzeniu się w nich wody opadowej.</w:t>
      </w:r>
    </w:p>
    <w:p w:rsidR="00A71C7E" w:rsidRDefault="00A71C7E" w:rsidP="00A71C7E">
      <w:pPr>
        <w:tabs>
          <w:tab w:val="right" w:leader="dot" w:pos="-1985"/>
          <w:tab w:val="left" w:pos="426"/>
          <w:tab w:val="right" w:leader="dot" w:pos="8505"/>
        </w:tabs>
        <w:jc w:val="both"/>
      </w:pPr>
      <w:r>
        <w:t>Doły w miejscach, gdzie nie przewiduje się wykonania wykopów drogowych należy wypełnić, warstwami, odpowiednim gruntem do poziomu otaczającego terenu i zagęścić zgodnie z wymaganiami określonymi w ST „Roboty ziemne”.</w:t>
      </w:r>
    </w:p>
    <w:p w:rsidR="00A71C7E" w:rsidRDefault="00A71C7E" w:rsidP="00A71C7E">
      <w:pPr>
        <w:jc w:val="both"/>
      </w:pPr>
      <w:r>
        <w:t>Ewentualne rusztowania, konstrukcje podparć i pomosty dla robót rozbiórkowych wykonawca musi wykonać na własny koszt i przedłożyć ich projekt do zatwierdzenia Inżynierowi.</w:t>
      </w:r>
    </w:p>
    <w:p w:rsidR="00A71C7E" w:rsidRDefault="00A71C7E" w:rsidP="00A71C7E">
      <w:pPr>
        <w:widowControl w:val="0"/>
        <w:spacing w:before="120" w:after="120"/>
        <w:rPr>
          <w:b/>
          <w:snapToGrid w:val="0"/>
          <w:u w:val="single"/>
        </w:rPr>
      </w:pPr>
      <w:r>
        <w:rPr>
          <w:b/>
          <w:noProof/>
          <w:snapToGrid w:val="0"/>
          <w:u w:val="single"/>
        </w:rPr>
        <w:t>6.</w:t>
      </w:r>
      <w:r>
        <w:rPr>
          <w:b/>
          <w:snapToGrid w:val="0"/>
          <w:u w:val="single"/>
        </w:rPr>
        <w:t xml:space="preserve"> KONTROLA JAKOŚCI ROBÓT</w:t>
      </w:r>
    </w:p>
    <w:p w:rsidR="00A71C7E" w:rsidRPr="00D13E2C" w:rsidRDefault="00A71C7E" w:rsidP="00A71C7E">
      <w:pPr>
        <w:pStyle w:val="Nagwek2"/>
        <w:spacing w:before="0" w:after="0"/>
        <w:rPr>
          <w:rFonts w:ascii="Times New Roman" w:hAnsi="Times New Roman"/>
          <w:b/>
        </w:rPr>
      </w:pPr>
      <w:r w:rsidRPr="00D13E2C">
        <w:rPr>
          <w:rFonts w:ascii="Times New Roman" w:hAnsi="Times New Roman"/>
          <w:b/>
        </w:rPr>
        <w:t>6.1. Ogólne zasady kontroli jakości robót</w:t>
      </w:r>
    </w:p>
    <w:p w:rsidR="00A71C7E" w:rsidRDefault="00A71C7E" w:rsidP="00A71C7E">
      <w:pPr>
        <w:tabs>
          <w:tab w:val="right" w:leader="dot" w:pos="-1985"/>
          <w:tab w:val="left" w:pos="426"/>
          <w:tab w:val="right" w:leader="dot" w:pos="8505"/>
        </w:tabs>
        <w:jc w:val="both"/>
      </w:pPr>
      <w:r>
        <w:t>Ogólne zasady kontroli jakości robót podano w ST D-M-00.00.00 „Wymagania ogólne”.</w:t>
      </w:r>
    </w:p>
    <w:p w:rsidR="00A71C7E" w:rsidRPr="00D13E2C" w:rsidRDefault="00A71C7E" w:rsidP="00A71C7E">
      <w:pPr>
        <w:pStyle w:val="Nagwek2"/>
        <w:spacing w:before="0" w:after="0"/>
        <w:jc w:val="both"/>
        <w:rPr>
          <w:rFonts w:ascii="Times New Roman" w:hAnsi="Times New Roman"/>
          <w:b/>
        </w:rPr>
      </w:pPr>
      <w:r w:rsidRPr="00D13E2C">
        <w:rPr>
          <w:rFonts w:ascii="Times New Roman" w:hAnsi="Times New Roman"/>
          <w:b/>
        </w:rPr>
        <w:t>6.2. Kontrola jakości robót rozbiórkowych</w:t>
      </w:r>
    </w:p>
    <w:p w:rsidR="00A71C7E" w:rsidRDefault="00A71C7E" w:rsidP="00A71C7E">
      <w:pPr>
        <w:tabs>
          <w:tab w:val="right" w:leader="dot" w:pos="-1985"/>
          <w:tab w:val="left" w:pos="426"/>
          <w:tab w:val="right" w:leader="dot" w:pos="8505"/>
        </w:tabs>
        <w:jc w:val="both"/>
      </w:pPr>
      <w:r>
        <w:t>Kontrola jakości robót polega na wizualnej ocenie kompletności wykonanych robót rozbiórkowych oraz sprawdzeniu stopnia uszkodzenia elementów przewidzianych do powtórnego wykorzystania.</w:t>
      </w:r>
    </w:p>
    <w:p w:rsidR="00A71C7E" w:rsidRDefault="00A71C7E" w:rsidP="00A71C7E">
      <w:pPr>
        <w:tabs>
          <w:tab w:val="right" w:leader="dot" w:pos="-1985"/>
          <w:tab w:val="left" w:pos="426"/>
          <w:tab w:val="right" w:leader="dot" w:pos="8505"/>
        </w:tabs>
        <w:jc w:val="both"/>
      </w:pPr>
      <w:r>
        <w:t>Zagęszczenie gruntu wypełniającego ewentualne doły po usuniętych elementach powinno spełniać odpowiednie wymagania określone w ST M-11.00.00 „Roboty ziemne”.</w:t>
      </w:r>
    </w:p>
    <w:p w:rsidR="00A71C7E" w:rsidRDefault="00A71C7E" w:rsidP="00A71C7E">
      <w:pPr>
        <w:widowControl w:val="0"/>
        <w:spacing w:before="120" w:after="120"/>
        <w:ind w:left="142" w:hanging="142"/>
        <w:rPr>
          <w:b/>
          <w:snapToGrid w:val="0"/>
          <w:u w:val="single"/>
        </w:rPr>
      </w:pPr>
      <w:r>
        <w:rPr>
          <w:b/>
          <w:noProof/>
          <w:snapToGrid w:val="0"/>
          <w:u w:val="single"/>
        </w:rPr>
        <w:t>7.</w:t>
      </w:r>
      <w:r>
        <w:rPr>
          <w:b/>
          <w:snapToGrid w:val="0"/>
          <w:u w:val="single"/>
        </w:rPr>
        <w:t xml:space="preserve"> OBMIAR ROBÓT</w:t>
      </w:r>
    </w:p>
    <w:p w:rsidR="00A71C7E" w:rsidRPr="00D13E2C" w:rsidRDefault="00A71C7E" w:rsidP="00A71C7E">
      <w:pPr>
        <w:pStyle w:val="Nagwek2"/>
        <w:spacing w:before="0" w:after="0"/>
        <w:rPr>
          <w:rFonts w:ascii="Times New Roman" w:hAnsi="Times New Roman"/>
          <w:b/>
        </w:rPr>
      </w:pPr>
      <w:r w:rsidRPr="00D13E2C">
        <w:rPr>
          <w:rFonts w:ascii="Times New Roman" w:hAnsi="Times New Roman"/>
          <w:b/>
        </w:rPr>
        <w:t>7.1. Ogólne zasady obmiaru robót</w:t>
      </w:r>
    </w:p>
    <w:p w:rsidR="00A71C7E" w:rsidRDefault="00A71C7E" w:rsidP="00A71C7E">
      <w:pPr>
        <w:tabs>
          <w:tab w:val="right" w:leader="dot" w:pos="-1985"/>
          <w:tab w:val="left" w:pos="426"/>
          <w:tab w:val="right" w:leader="dot" w:pos="8505"/>
        </w:tabs>
      </w:pPr>
      <w:r>
        <w:t>Ogólne zasady obmiaru robót podano w ST D-M-00.00.00 „Wymagania ogólne”.</w:t>
      </w:r>
    </w:p>
    <w:p w:rsidR="00A71C7E" w:rsidRPr="00D13E2C" w:rsidRDefault="00A71C7E" w:rsidP="00A71C7E">
      <w:pPr>
        <w:pStyle w:val="Nagwek2"/>
        <w:spacing w:before="0" w:after="0"/>
        <w:rPr>
          <w:rFonts w:ascii="Times New Roman" w:hAnsi="Times New Roman"/>
          <w:b/>
        </w:rPr>
      </w:pPr>
      <w:r w:rsidRPr="00D13E2C">
        <w:rPr>
          <w:rFonts w:ascii="Times New Roman" w:hAnsi="Times New Roman"/>
          <w:b/>
        </w:rPr>
        <w:t>7.2. Jednostka obmiarowa</w:t>
      </w:r>
    </w:p>
    <w:p w:rsidR="00A71C7E" w:rsidRDefault="00A71C7E" w:rsidP="00A71C7E">
      <w:pPr>
        <w:tabs>
          <w:tab w:val="right" w:leader="dot" w:pos="-1985"/>
          <w:tab w:val="left" w:pos="426"/>
          <w:tab w:val="right" w:leader="dot" w:pos="8505"/>
        </w:tabs>
        <w:overflowPunct w:val="0"/>
        <w:autoSpaceDE w:val="0"/>
        <w:autoSpaceDN w:val="0"/>
        <w:adjustRightInd w:val="0"/>
        <w:jc w:val="both"/>
      </w:pPr>
      <w:r>
        <w:t xml:space="preserve">Jednostka obmiarowa robót związanych z rozbiórką elementów określona jest w przedmiarze. </w:t>
      </w:r>
    </w:p>
    <w:p w:rsidR="00A71C7E" w:rsidRDefault="00A71C7E" w:rsidP="00A71C7E">
      <w:pPr>
        <w:widowControl w:val="0"/>
        <w:spacing w:before="120" w:after="120"/>
        <w:jc w:val="both"/>
        <w:rPr>
          <w:b/>
          <w:snapToGrid w:val="0"/>
          <w:u w:val="single"/>
        </w:rPr>
      </w:pPr>
      <w:r>
        <w:rPr>
          <w:b/>
          <w:noProof/>
          <w:snapToGrid w:val="0"/>
          <w:u w:val="single"/>
        </w:rPr>
        <w:t>8.</w:t>
      </w:r>
      <w:r>
        <w:rPr>
          <w:b/>
          <w:snapToGrid w:val="0"/>
          <w:u w:val="single"/>
        </w:rPr>
        <w:t xml:space="preserve"> ODBIÓR ROBÓT</w:t>
      </w:r>
    </w:p>
    <w:p w:rsidR="00A71C7E" w:rsidRDefault="00A71C7E" w:rsidP="00A71C7E">
      <w:pPr>
        <w:tabs>
          <w:tab w:val="right" w:leader="dot" w:pos="-1985"/>
          <w:tab w:val="left" w:pos="426"/>
          <w:tab w:val="right" w:leader="dot" w:pos="8505"/>
        </w:tabs>
      </w:pPr>
      <w:r>
        <w:t>Ogólne zasady odbioru robót podano w ST D-M-00.00.00 „Wymagania ogólne”.</w:t>
      </w:r>
    </w:p>
    <w:p w:rsidR="00A71C7E" w:rsidRDefault="00A71C7E" w:rsidP="00A71C7E">
      <w:pPr>
        <w:widowControl w:val="0"/>
        <w:spacing w:before="120" w:after="120"/>
        <w:rPr>
          <w:b/>
          <w:snapToGrid w:val="0"/>
          <w:u w:val="single"/>
        </w:rPr>
      </w:pPr>
      <w:r>
        <w:rPr>
          <w:b/>
          <w:noProof/>
          <w:snapToGrid w:val="0"/>
          <w:u w:val="single"/>
        </w:rPr>
        <w:t>9.</w:t>
      </w:r>
      <w:r>
        <w:rPr>
          <w:b/>
          <w:snapToGrid w:val="0"/>
          <w:u w:val="single"/>
        </w:rPr>
        <w:t xml:space="preserve"> PODSTAWA PŁATNOŚCI</w:t>
      </w:r>
    </w:p>
    <w:p w:rsidR="00A71C7E" w:rsidRPr="00D13E2C" w:rsidRDefault="00A71C7E" w:rsidP="00A71C7E">
      <w:pPr>
        <w:pStyle w:val="Nagwek2"/>
        <w:spacing w:before="0" w:after="0"/>
        <w:rPr>
          <w:rFonts w:ascii="Times New Roman" w:hAnsi="Times New Roman"/>
          <w:b/>
        </w:rPr>
      </w:pPr>
      <w:r w:rsidRPr="00D13E2C">
        <w:rPr>
          <w:rFonts w:ascii="Times New Roman" w:hAnsi="Times New Roman"/>
          <w:b/>
        </w:rPr>
        <w:t>9.1. Ogólne ustalenia dotyczące podstawy płatności</w:t>
      </w:r>
    </w:p>
    <w:p w:rsidR="00A71C7E" w:rsidRDefault="00A71C7E" w:rsidP="00A71C7E">
      <w:pPr>
        <w:tabs>
          <w:tab w:val="right" w:leader="dot" w:pos="-1985"/>
          <w:tab w:val="left" w:pos="426"/>
          <w:tab w:val="right" w:leader="dot" w:pos="8505"/>
        </w:tabs>
      </w:pPr>
      <w:r>
        <w:t>Ogólne ustalenia dotyczące podstawy płatności podano w ST D-M-00.00.00 „Wymagania ogólne”.</w:t>
      </w:r>
    </w:p>
    <w:p w:rsidR="00A71C7E" w:rsidRPr="00D13E2C" w:rsidRDefault="00A71C7E" w:rsidP="00A71C7E">
      <w:pPr>
        <w:pStyle w:val="Nagwek2"/>
        <w:spacing w:before="0" w:after="0"/>
        <w:rPr>
          <w:rFonts w:ascii="Times New Roman" w:hAnsi="Times New Roman"/>
          <w:b/>
        </w:rPr>
      </w:pPr>
      <w:r w:rsidRPr="00D13E2C">
        <w:rPr>
          <w:rFonts w:ascii="Times New Roman" w:hAnsi="Times New Roman"/>
          <w:b/>
        </w:rPr>
        <w:t>9.2. Cena jednostki obmiarowej</w:t>
      </w:r>
    </w:p>
    <w:p w:rsidR="00A71C7E" w:rsidRDefault="00A71C7E" w:rsidP="00A71C7E">
      <w:pPr>
        <w:tabs>
          <w:tab w:val="right" w:leader="dot" w:pos="-1985"/>
          <w:tab w:val="left" w:pos="426"/>
          <w:tab w:val="right" w:leader="dot" w:pos="8505"/>
        </w:tabs>
      </w:pPr>
      <w:r>
        <w:tab/>
        <w:t>Cena wykonania robót obejmuje:</w:t>
      </w:r>
    </w:p>
    <w:p w:rsidR="00A71C7E" w:rsidRDefault="00A71C7E" w:rsidP="0097494B">
      <w:pPr>
        <w:numPr>
          <w:ilvl w:val="0"/>
          <w:numId w:val="66"/>
        </w:numPr>
      </w:pPr>
      <w:r w:rsidRPr="00D13E2C">
        <w:t>prace pomiarowe i roboty przygotowawcze,</w:t>
      </w:r>
    </w:p>
    <w:p w:rsidR="00A71C7E" w:rsidRPr="00D13E2C" w:rsidRDefault="00A71C7E" w:rsidP="0097494B">
      <w:pPr>
        <w:numPr>
          <w:ilvl w:val="0"/>
          <w:numId w:val="66"/>
        </w:numPr>
      </w:pPr>
      <w:r>
        <w:t>zakup materiałów,</w:t>
      </w:r>
    </w:p>
    <w:p w:rsidR="00A71C7E" w:rsidRPr="00D13E2C" w:rsidRDefault="00A71C7E" w:rsidP="0097494B">
      <w:pPr>
        <w:numPr>
          <w:ilvl w:val="0"/>
          <w:numId w:val="66"/>
        </w:numPr>
      </w:pPr>
      <w:r w:rsidRPr="00D13E2C">
        <w:t>wykonanie rysunków roboczych pomostów i rusztowań,</w:t>
      </w:r>
    </w:p>
    <w:p w:rsidR="00A71C7E" w:rsidRPr="00D13E2C" w:rsidRDefault="00A71C7E" w:rsidP="0097494B">
      <w:pPr>
        <w:numPr>
          <w:ilvl w:val="0"/>
          <w:numId w:val="66"/>
        </w:numPr>
      </w:pPr>
      <w:r w:rsidRPr="00D13E2C">
        <w:t>wykonanie i demontaż rusztowań i pomostów roboczych,</w:t>
      </w:r>
    </w:p>
    <w:p w:rsidR="00A71C7E" w:rsidRPr="00D13E2C" w:rsidRDefault="00A71C7E" w:rsidP="0097494B">
      <w:pPr>
        <w:numPr>
          <w:ilvl w:val="0"/>
          <w:numId w:val="66"/>
        </w:numPr>
      </w:pPr>
      <w:r w:rsidRPr="00D13E2C">
        <w:t>wyznaczenie powierzchni przeznaczonej do rozbiórki,</w:t>
      </w:r>
    </w:p>
    <w:p w:rsidR="00A71C7E" w:rsidRPr="00D13E2C" w:rsidRDefault="00A71C7E" w:rsidP="0097494B">
      <w:pPr>
        <w:numPr>
          <w:ilvl w:val="0"/>
          <w:numId w:val="66"/>
        </w:numPr>
      </w:pPr>
      <w:r w:rsidRPr="00D13E2C">
        <w:t>zabezpieczenie terenu rozbiórek,</w:t>
      </w:r>
    </w:p>
    <w:p w:rsidR="00A71C7E" w:rsidRPr="00D13E2C" w:rsidRDefault="00A71C7E" w:rsidP="0097494B">
      <w:pPr>
        <w:numPr>
          <w:ilvl w:val="0"/>
          <w:numId w:val="66"/>
        </w:numPr>
      </w:pPr>
      <w:r w:rsidRPr="00D13E2C">
        <w:t>wykonanie osłon zabezpie</w:t>
      </w:r>
      <w:r>
        <w:t>czających przed spadaniem gruzu oraz pyłu</w:t>
      </w:r>
    </w:p>
    <w:p w:rsidR="00A71C7E" w:rsidRDefault="00A71C7E" w:rsidP="0097494B">
      <w:pPr>
        <w:numPr>
          <w:ilvl w:val="0"/>
          <w:numId w:val="66"/>
        </w:numPr>
      </w:pPr>
      <w:r w:rsidRPr="00D13E2C">
        <w:t>cięcie nawierzchni,</w:t>
      </w:r>
    </w:p>
    <w:p w:rsidR="00A71C7E" w:rsidRDefault="00A71C7E" w:rsidP="0097494B">
      <w:pPr>
        <w:numPr>
          <w:ilvl w:val="0"/>
          <w:numId w:val="66"/>
        </w:numPr>
      </w:pPr>
      <w:r>
        <w:t>wygrodzenia cieku lub przekładanie cieku</w:t>
      </w:r>
    </w:p>
    <w:p w:rsidR="00A71C7E" w:rsidRDefault="00A71C7E" w:rsidP="0097494B">
      <w:pPr>
        <w:numPr>
          <w:ilvl w:val="0"/>
          <w:numId w:val="66"/>
        </w:numPr>
      </w:pPr>
      <w:r>
        <w:t>pompowanie wody</w:t>
      </w:r>
    </w:p>
    <w:p w:rsidR="00A71C7E" w:rsidRPr="00D13E2C" w:rsidRDefault="00A71C7E" w:rsidP="0097494B">
      <w:pPr>
        <w:numPr>
          <w:ilvl w:val="0"/>
          <w:numId w:val="66"/>
        </w:numPr>
      </w:pPr>
      <w:r w:rsidRPr="00D13E2C">
        <w:t>rozkucie i zerwanie nawierzchni</w:t>
      </w:r>
      <w:r>
        <w:t xml:space="preserve"> wraz z cięciem nawierzchni</w:t>
      </w:r>
      <w:r w:rsidRPr="00D13E2C">
        <w:t>,</w:t>
      </w:r>
      <w:r>
        <w:t xml:space="preserve"> frezowanie nawierzchni</w:t>
      </w:r>
    </w:p>
    <w:p w:rsidR="00A71C7E" w:rsidRDefault="00A71C7E" w:rsidP="0097494B">
      <w:pPr>
        <w:numPr>
          <w:ilvl w:val="0"/>
          <w:numId w:val="66"/>
        </w:numPr>
      </w:pPr>
      <w:r w:rsidRPr="00D13E2C">
        <w:t xml:space="preserve">rozbiórka </w:t>
      </w:r>
      <w:r>
        <w:t>elementów</w:t>
      </w:r>
    </w:p>
    <w:p w:rsidR="004856CB" w:rsidRDefault="004856CB" w:rsidP="0097494B">
      <w:pPr>
        <w:numPr>
          <w:ilvl w:val="0"/>
          <w:numId w:val="66"/>
        </w:numPr>
      </w:pPr>
      <w:r>
        <w:t>karczowanie krzaków i poszycia</w:t>
      </w:r>
    </w:p>
    <w:p w:rsidR="00A71C7E" w:rsidRPr="00D13E2C" w:rsidRDefault="00A71C7E" w:rsidP="0097494B">
      <w:pPr>
        <w:numPr>
          <w:ilvl w:val="0"/>
          <w:numId w:val="66"/>
        </w:numPr>
      </w:pPr>
      <w:r>
        <w:t>złożenie w pryzmy materiałów do ponownego wykorzystania</w:t>
      </w:r>
    </w:p>
    <w:p w:rsidR="00A71C7E" w:rsidRPr="00D13E2C" w:rsidRDefault="00A71C7E" w:rsidP="0097494B">
      <w:pPr>
        <w:numPr>
          <w:ilvl w:val="0"/>
          <w:numId w:val="66"/>
        </w:numPr>
      </w:pPr>
      <w:r w:rsidRPr="00D13E2C">
        <w:t>pozostałe rozbiórki zależnie od asortymentu,</w:t>
      </w:r>
    </w:p>
    <w:p w:rsidR="00A71C7E" w:rsidRPr="00D13E2C" w:rsidRDefault="00A71C7E" w:rsidP="0097494B">
      <w:pPr>
        <w:numPr>
          <w:ilvl w:val="0"/>
          <w:numId w:val="66"/>
        </w:numPr>
      </w:pPr>
      <w:r w:rsidRPr="00D13E2C">
        <w:t>ew. przesortowanie materiału uzyskanego z rozbiórki,</w:t>
      </w:r>
    </w:p>
    <w:p w:rsidR="00A71C7E" w:rsidRDefault="00A71C7E" w:rsidP="0097494B">
      <w:pPr>
        <w:numPr>
          <w:ilvl w:val="0"/>
          <w:numId w:val="66"/>
        </w:numPr>
      </w:pPr>
      <w:r w:rsidRPr="00D13E2C">
        <w:t>załadunek, wywiezienie i wyładunek materiałów z rozbiórki,</w:t>
      </w:r>
    </w:p>
    <w:p w:rsidR="00A71C7E" w:rsidRDefault="00A71C7E" w:rsidP="0097494B">
      <w:pPr>
        <w:numPr>
          <w:ilvl w:val="0"/>
          <w:numId w:val="66"/>
        </w:numPr>
      </w:pPr>
      <w:r w:rsidRPr="00004746">
        <w:t>załadunek, wywiezienie i w</w:t>
      </w:r>
      <w:r>
        <w:t>yładunek materiałów z rozbiórki podlegających odzyskowina miejsce wskazane przez Zamawiającego</w:t>
      </w:r>
    </w:p>
    <w:p w:rsidR="00A71C7E" w:rsidRPr="00D13E2C" w:rsidRDefault="00A71C7E" w:rsidP="0097494B">
      <w:pPr>
        <w:numPr>
          <w:ilvl w:val="0"/>
          <w:numId w:val="66"/>
        </w:numPr>
      </w:pPr>
      <w:r>
        <w:t>rozbiórka i wywiezienie elementów oświetlenia zgodnie z uzgodnieniem z właścicielem</w:t>
      </w:r>
    </w:p>
    <w:p w:rsidR="00A71C7E" w:rsidRPr="00D13E2C" w:rsidRDefault="00A71C7E" w:rsidP="0097494B">
      <w:pPr>
        <w:numPr>
          <w:ilvl w:val="0"/>
          <w:numId w:val="66"/>
        </w:numPr>
      </w:pPr>
      <w:r w:rsidRPr="00D13E2C">
        <w:t>opłata za wysypisko i utylizację odpadów,</w:t>
      </w:r>
    </w:p>
    <w:p w:rsidR="00A71C7E" w:rsidRPr="00D13E2C" w:rsidRDefault="00A71C7E" w:rsidP="0097494B">
      <w:pPr>
        <w:numPr>
          <w:ilvl w:val="0"/>
          <w:numId w:val="66"/>
        </w:numPr>
      </w:pPr>
      <w:r w:rsidRPr="00D13E2C">
        <w:t>wyrównanie podłoża i uporządkowanie terenu rozbiórki,</w:t>
      </w:r>
    </w:p>
    <w:p w:rsidR="00A71C7E" w:rsidRDefault="00A71C7E" w:rsidP="00A71C7E">
      <w:pPr>
        <w:widowControl w:val="0"/>
        <w:spacing w:before="120" w:after="120"/>
        <w:rPr>
          <w:b/>
          <w:snapToGrid w:val="0"/>
          <w:u w:val="single"/>
        </w:rPr>
      </w:pPr>
      <w:r>
        <w:rPr>
          <w:b/>
          <w:noProof/>
          <w:snapToGrid w:val="0"/>
          <w:u w:val="single"/>
        </w:rPr>
        <w:t>10.</w:t>
      </w:r>
      <w:r>
        <w:rPr>
          <w:b/>
          <w:snapToGrid w:val="0"/>
          <w:u w:val="single"/>
        </w:rPr>
        <w:t xml:space="preserve"> PRZEPISY ZWIĄZANE</w:t>
      </w:r>
    </w:p>
    <w:p w:rsidR="00A71C7E" w:rsidRPr="00C07EAF" w:rsidRDefault="00A71C7E" w:rsidP="00A71C7E">
      <w:pPr>
        <w:widowControl w:val="0"/>
        <w:jc w:val="both"/>
      </w:pPr>
    </w:p>
    <w:p w:rsidR="00A71C7E" w:rsidRPr="00B2577C" w:rsidRDefault="00A71C7E" w:rsidP="00A71C7E">
      <w:pPr>
        <w:tabs>
          <w:tab w:val="right" w:leader="dot" w:pos="-1985"/>
          <w:tab w:val="left" w:pos="426"/>
          <w:tab w:val="right" w:leader="dot" w:pos="8505"/>
        </w:tabs>
        <w:jc w:val="both"/>
      </w:pPr>
      <w:r w:rsidRPr="00B2577C">
        <w:t xml:space="preserve">Ustawa z dnia 27 kwietnia 2001 r. – Prawo ochrony środowiska (Dz. U. Nr 62, poz 627, z późniejszymi </w:t>
      </w:r>
      <w:r>
        <w:t>zmianami.</w:t>
      </w:r>
    </w:p>
    <w:p w:rsidR="00A71C7E" w:rsidRPr="00B2577C" w:rsidRDefault="00A71C7E" w:rsidP="00A71C7E">
      <w:pPr>
        <w:tabs>
          <w:tab w:val="right" w:leader="dot" w:pos="-1985"/>
          <w:tab w:val="left" w:pos="426"/>
          <w:tab w:val="right" w:leader="dot" w:pos="8505"/>
        </w:tabs>
        <w:jc w:val="both"/>
      </w:pPr>
      <w:r w:rsidRPr="00B2577C">
        <w:t xml:space="preserve">Ustawa z dnia 27 kwietnia 2001 r. o odpadach (Dz. U. Nr 62, poz 628, z późniejszymi zmianami) </w:t>
      </w:r>
    </w:p>
    <w:p w:rsidR="00A71C7E" w:rsidRPr="00B2577C" w:rsidRDefault="00A71C7E" w:rsidP="00A71C7E">
      <w:pPr>
        <w:tabs>
          <w:tab w:val="right" w:leader="dot" w:pos="-1985"/>
          <w:tab w:val="left" w:pos="426"/>
          <w:tab w:val="right" w:leader="dot" w:pos="8505"/>
        </w:tabs>
        <w:jc w:val="both"/>
      </w:pPr>
      <w:r w:rsidRPr="00B2577C">
        <w:t xml:space="preserve">Rozporządzenie Ministra Środowiska z dnia 27 września 2001 r. W sprawie katalogu odpadów (Dz. U. </w:t>
      </w:r>
    </w:p>
    <w:p w:rsidR="00A71C7E" w:rsidRPr="00B2577C" w:rsidRDefault="00A71C7E" w:rsidP="00A71C7E">
      <w:pPr>
        <w:tabs>
          <w:tab w:val="right" w:leader="dot" w:pos="-1985"/>
          <w:tab w:val="left" w:pos="426"/>
          <w:tab w:val="right" w:leader="dot" w:pos="8505"/>
        </w:tabs>
        <w:jc w:val="both"/>
      </w:pPr>
      <w:r w:rsidRPr="00B2577C">
        <w:t xml:space="preserve">Nr 112, poz 1206) </w:t>
      </w:r>
    </w:p>
    <w:p w:rsidR="00A71C7E" w:rsidRPr="00B2577C" w:rsidRDefault="00A71C7E" w:rsidP="00A71C7E">
      <w:pPr>
        <w:tabs>
          <w:tab w:val="right" w:leader="dot" w:pos="-1985"/>
          <w:tab w:val="left" w:pos="426"/>
          <w:tab w:val="right" w:leader="dot" w:pos="8505"/>
        </w:tabs>
        <w:jc w:val="both"/>
      </w:pPr>
      <w:r w:rsidRPr="00B2577C">
        <w:t xml:space="preserve">Rozporządzenie Ministra Infrastruktury z dnia 6 lutego 2002 r w sprawie bezpieczeństwa i higieny pracy </w:t>
      </w:r>
    </w:p>
    <w:p w:rsidR="00A71C7E" w:rsidRPr="00B2577C" w:rsidRDefault="00A71C7E" w:rsidP="00A71C7E">
      <w:pPr>
        <w:tabs>
          <w:tab w:val="right" w:leader="dot" w:pos="-1985"/>
          <w:tab w:val="left" w:pos="426"/>
          <w:tab w:val="right" w:leader="dot" w:pos="8505"/>
        </w:tabs>
        <w:jc w:val="both"/>
      </w:pPr>
      <w:r w:rsidRPr="00B2577C">
        <w:t xml:space="preserve">podczas wykonywania robót budowlanych (Dz. U. Nr 47, poz. 401) </w:t>
      </w:r>
    </w:p>
    <w:p w:rsidR="00A71C7E" w:rsidRPr="00B2577C" w:rsidRDefault="00A71C7E" w:rsidP="00A71C7E">
      <w:pPr>
        <w:tabs>
          <w:tab w:val="right" w:leader="dot" w:pos="-1985"/>
          <w:tab w:val="left" w:pos="426"/>
          <w:tab w:val="right" w:leader="dot" w:pos="8505"/>
        </w:tabs>
        <w:jc w:val="both"/>
      </w:pPr>
      <w:r w:rsidRPr="00B2577C">
        <w:t xml:space="preserve">Rozporządzenie Ministra Infrastruktury z dnia 23 czerwca 2003 r w sprawie informacji dotyczącej </w:t>
      </w:r>
    </w:p>
    <w:p w:rsidR="00A71C7E" w:rsidRDefault="00A71C7E" w:rsidP="00A71C7E">
      <w:pPr>
        <w:tabs>
          <w:tab w:val="right" w:leader="dot" w:pos="-1985"/>
          <w:tab w:val="left" w:pos="426"/>
          <w:tab w:val="right" w:leader="dot" w:pos="8505"/>
        </w:tabs>
        <w:jc w:val="both"/>
      </w:pPr>
      <w:r w:rsidRPr="00B2577C">
        <w:t>bezpieczeństwa i ochrony zdrowia oraz planu bezpieczeństwa i ochrony zdrowia (Dz. U. Nr 120, poz. 1126)</w:t>
      </w:r>
    </w:p>
    <w:p w:rsidR="00A71C7E" w:rsidRDefault="00A71C7E" w:rsidP="00A71C7E">
      <w:r>
        <w:br w:type="page"/>
      </w:r>
    </w:p>
    <w:p w:rsidR="004856CB" w:rsidRPr="009B6525" w:rsidRDefault="004856CB" w:rsidP="004856CB">
      <w:pPr>
        <w:snapToGrid w:val="0"/>
        <w:jc w:val="both"/>
        <w:outlineLvl w:val="0"/>
        <w:rPr>
          <w:rFonts w:ascii="PL Times New Roman" w:hAnsi="PL Times New Roman"/>
          <w:b/>
          <w:bCs/>
          <w:sz w:val="26"/>
          <w:szCs w:val="26"/>
        </w:rPr>
      </w:pPr>
      <w:bookmarkStart w:id="95" w:name="_Toc7445594"/>
      <w:bookmarkStart w:id="96" w:name="_Toc59404841"/>
      <w:bookmarkStart w:id="97" w:name="_Toc80100098"/>
      <w:r w:rsidRPr="009B6525">
        <w:rPr>
          <w:rFonts w:ascii="PL Times New Roman" w:hAnsi="PL Times New Roman"/>
          <w:b/>
          <w:bCs/>
          <w:sz w:val="26"/>
          <w:szCs w:val="26"/>
        </w:rPr>
        <w:t>M.20.0</w:t>
      </w:r>
      <w:r>
        <w:rPr>
          <w:rFonts w:ascii="PL Times New Roman" w:hAnsi="PL Times New Roman"/>
          <w:b/>
          <w:bCs/>
          <w:sz w:val="26"/>
          <w:szCs w:val="26"/>
        </w:rPr>
        <w:t>2</w:t>
      </w:r>
      <w:r w:rsidRPr="009B6525">
        <w:rPr>
          <w:rFonts w:ascii="PL Times New Roman" w:hAnsi="PL Times New Roman"/>
          <w:b/>
          <w:bCs/>
          <w:sz w:val="26"/>
          <w:szCs w:val="26"/>
        </w:rPr>
        <w:t>.</w:t>
      </w:r>
      <w:r>
        <w:rPr>
          <w:rFonts w:ascii="PL Times New Roman" w:hAnsi="PL Times New Roman"/>
          <w:b/>
          <w:bCs/>
          <w:sz w:val="26"/>
          <w:szCs w:val="26"/>
        </w:rPr>
        <w:t>15</w:t>
      </w:r>
      <w:r w:rsidRPr="009B6525">
        <w:rPr>
          <w:rFonts w:ascii="PL Times New Roman" w:hAnsi="PL Times New Roman"/>
          <w:b/>
          <w:bCs/>
          <w:sz w:val="26"/>
          <w:szCs w:val="26"/>
        </w:rPr>
        <w:t xml:space="preserve">. </w:t>
      </w:r>
      <w:r w:rsidRPr="009B6525">
        <w:rPr>
          <w:rFonts w:ascii="PL Times New Roman" w:hAnsi="PL Times New Roman"/>
          <w:b/>
          <w:bCs/>
          <w:sz w:val="26"/>
          <w:szCs w:val="26"/>
        </w:rPr>
        <w:tab/>
        <w:t>ROBOTY POMIAROWE - TYCZENIE</w:t>
      </w:r>
      <w:bookmarkEnd w:id="95"/>
      <w:bookmarkEnd w:id="96"/>
      <w:bookmarkEnd w:id="97"/>
    </w:p>
    <w:p w:rsidR="004856CB" w:rsidRPr="009B6525" w:rsidRDefault="004856CB" w:rsidP="004856CB">
      <w:pPr>
        <w:widowControl w:val="0"/>
        <w:spacing w:before="120" w:after="120"/>
        <w:ind w:right="6878"/>
        <w:rPr>
          <w:b/>
          <w:szCs w:val="19"/>
          <w:u w:val="single"/>
        </w:rPr>
      </w:pPr>
      <w:r w:rsidRPr="009B6525">
        <w:rPr>
          <w:b/>
          <w:szCs w:val="19"/>
          <w:u w:val="single"/>
        </w:rPr>
        <w:t xml:space="preserve">l. WSTĘP </w:t>
      </w:r>
    </w:p>
    <w:p w:rsidR="004856CB" w:rsidRPr="009B6525" w:rsidRDefault="004856CB" w:rsidP="004856CB">
      <w:pPr>
        <w:tabs>
          <w:tab w:val="left" w:pos="1080"/>
        </w:tabs>
        <w:snapToGrid w:val="0"/>
        <w:outlineLvl w:val="1"/>
        <w:rPr>
          <w:b/>
          <w:szCs w:val="19"/>
        </w:rPr>
      </w:pPr>
      <w:r w:rsidRPr="009B6525">
        <w:rPr>
          <w:b/>
          <w:szCs w:val="19"/>
        </w:rPr>
        <w:t>1.1. Przedmiot ST</w:t>
      </w:r>
    </w:p>
    <w:p w:rsidR="004856CB" w:rsidRPr="009B6525" w:rsidRDefault="004856CB" w:rsidP="004856CB">
      <w:pPr>
        <w:jc w:val="both"/>
        <w:rPr>
          <w:b/>
          <w:szCs w:val="19"/>
        </w:rPr>
      </w:pPr>
      <w:r w:rsidRPr="009B6525">
        <w:rPr>
          <w:bCs/>
          <w:szCs w:val="19"/>
        </w:rPr>
        <w:t xml:space="preserve">Przedmiotem niniejszej Specyfikacji Technicznej są wymagania dotyczące wyznaczenia punktów wysokościowych, które zostaną wykonane </w:t>
      </w:r>
      <w:r w:rsidRPr="009B6525">
        <w:t xml:space="preserve">w ramach </w:t>
      </w:r>
      <w:r w:rsidRPr="009B6525">
        <w:rPr>
          <w:bCs/>
        </w:rPr>
        <w:t xml:space="preserve">projektu: </w:t>
      </w:r>
      <w:r>
        <w:rPr>
          <w:bCs/>
        </w:rPr>
        <w:t>"Remont przepustu nad rzeką Postomia w ciągu drogi nr 445/k.2922 m. Wędrzyn</w:t>
      </w:r>
    </w:p>
    <w:p w:rsidR="004856CB" w:rsidRPr="009B6525" w:rsidRDefault="004856CB" w:rsidP="004856CB">
      <w:pPr>
        <w:widowControl w:val="0"/>
        <w:ind w:firstLine="708"/>
        <w:jc w:val="both"/>
        <w:rPr>
          <w:bCs/>
          <w:szCs w:val="19"/>
        </w:rPr>
      </w:pPr>
      <w:r w:rsidRPr="009B6525">
        <w:rPr>
          <w:bCs/>
          <w:szCs w:val="19"/>
        </w:rPr>
        <w:t>Specyfikacja Techniczna stosowana jest jako dokument przetargowy i kontraktowy przy zlecaniu i realizacji robót wymienionych w punkcie 1.1.</w:t>
      </w:r>
    </w:p>
    <w:p w:rsidR="004856CB" w:rsidRPr="009B6525" w:rsidRDefault="004856CB" w:rsidP="004856CB">
      <w:pPr>
        <w:tabs>
          <w:tab w:val="left" w:pos="1080"/>
        </w:tabs>
        <w:snapToGrid w:val="0"/>
        <w:outlineLvl w:val="1"/>
        <w:rPr>
          <w:b/>
          <w:szCs w:val="19"/>
        </w:rPr>
      </w:pPr>
      <w:r w:rsidRPr="009B6525">
        <w:rPr>
          <w:b/>
          <w:szCs w:val="19"/>
        </w:rPr>
        <w:t>1.3. Zakres robót objętych ST</w:t>
      </w:r>
    </w:p>
    <w:p w:rsidR="004856CB" w:rsidRPr="009B6525" w:rsidRDefault="004856CB" w:rsidP="004856CB">
      <w:pPr>
        <w:tabs>
          <w:tab w:val="left" w:pos="0"/>
        </w:tabs>
        <w:suppressAutoHyphens/>
        <w:ind w:right="-11"/>
        <w:jc w:val="both"/>
        <w:rPr>
          <w:szCs w:val="19"/>
          <w:lang w:eastAsia="ar-SA"/>
        </w:rPr>
      </w:pPr>
      <w:r w:rsidRPr="009B6525">
        <w:rPr>
          <w:szCs w:val="19"/>
          <w:lang w:eastAsia="ar-SA"/>
        </w:rPr>
        <w:tab/>
        <w:t>Ustalenia zawarte w niniejszej specyfikacji dotyczą zasad prowadzenia robót związanych z wszystkimi czynnościami umożliwiającymi i mającymi na celu odtworzenie w terenie punktów wysokościowych i położenia charakterystycznych punktów niezbędnych do wykonania zadania.</w:t>
      </w:r>
    </w:p>
    <w:p w:rsidR="004856CB" w:rsidRPr="009B6525" w:rsidRDefault="004856CB" w:rsidP="004856CB">
      <w:pPr>
        <w:tabs>
          <w:tab w:val="left" w:pos="0"/>
        </w:tabs>
        <w:rPr>
          <w:szCs w:val="19"/>
        </w:rPr>
      </w:pPr>
      <w:r w:rsidRPr="009B6525">
        <w:rPr>
          <w:szCs w:val="19"/>
        </w:rPr>
        <w:tab/>
        <w:t>W zakres robót pomiarowych, związanych z odtworzeniem trasy i punktów wysokościowych wchodzą:</w:t>
      </w:r>
    </w:p>
    <w:p w:rsidR="004856CB" w:rsidRDefault="004856CB" w:rsidP="004856CB">
      <w:pPr>
        <w:tabs>
          <w:tab w:val="left" w:pos="360"/>
        </w:tabs>
        <w:overflowPunct w:val="0"/>
        <w:autoSpaceDE w:val="0"/>
        <w:ind w:left="360" w:hanging="360"/>
        <w:jc w:val="both"/>
        <w:rPr>
          <w:szCs w:val="19"/>
        </w:rPr>
      </w:pPr>
      <w:r w:rsidRPr="009B6525">
        <w:rPr>
          <w:szCs w:val="19"/>
        </w:rPr>
        <w:t>- wyznaczenie przekrojów poprzecznych,</w:t>
      </w:r>
    </w:p>
    <w:p w:rsidR="004856CB" w:rsidRDefault="004856CB" w:rsidP="004856CB">
      <w:pPr>
        <w:tabs>
          <w:tab w:val="left" w:pos="360"/>
        </w:tabs>
        <w:overflowPunct w:val="0"/>
        <w:autoSpaceDE w:val="0"/>
        <w:ind w:left="360" w:hanging="360"/>
        <w:jc w:val="both"/>
        <w:rPr>
          <w:szCs w:val="19"/>
        </w:rPr>
      </w:pPr>
      <w:r>
        <w:rPr>
          <w:szCs w:val="19"/>
        </w:rPr>
        <w:t>- pomiar stanu zerowego</w:t>
      </w:r>
    </w:p>
    <w:p w:rsidR="004856CB" w:rsidRPr="009B6525" w:rsidRDefault="004856CB" w:rsidP="004856CB">
      <w:pPr>
        <w:tabs>
          <w:tab w:val="left" w:pos="360"/>
        </w:tabs>
        <w:overflowPunct w:val="0"/>
        <w:autoSpaceDE w:val="0"/>
        <w:ind w:left="360" w:hanging="360"/>
        <w:jc w:val="both"/>
        <w:rPr>
          <w:szCs w:val="19"/>
        </w:rPr>
      </w:pPr>
      <w:r>
        <w:rPr>
          <w:szCs w:val="19"/>
        </w:rPr>
        <w:t>- wytyczenie i wyznaczenie rzędnych wysokościowych elementów wylewanych z betonu i przedłożenie do akceptacji Inżynierowi oraz projektantowi przed przystąpieniem do robót</w:t>
      </w:r>
    </w:p>
    <w:p w:rsidR="004856CB" w:rsidRPr="009B6525" w:rsidRDefault="004856CB" w:rsidP="004856CB">
      <w:pPr>
        <w:tabs>
          <w:tab w:val="left" w:pos="360"/>
        </w:tabs>
        <w:overflowPunct w:val="0"/>
        <w:autoSpaceDE w:val="0"/>
        <w:ind w:left="360" w:hanging="360"/>
        <w:jc w:val="both"/>
        <w:rPr>
          <w:szCs w:val="19"/>
        </w:rPr>
      </w:pPr>
      <w:r w:rsidRPr="009B6525">
        <w:rPr>
          <w:szCs w:val="19"/>
        </w:rPr>
        <w:t>- zastabilizowanie punktów w sposób trwały, ochrona ich przed zniszczeniem oraz oznakowanie w sposób ułatwiający odszukanie i ewentualne odtworzenie.</w:t>
      </w:r>
    </w:p>
    <w:p w:rsidR="004856CB" w:rsidRPr="009B6525" w:rsidRDefault="004856CB" w:rsidP="004856CB">
      <w:pPr>
        <w:tabs>
          <w:tab w:val="left" w:pos="360"/>
        </w:tabs>
        <w:overflowPunct w:val="0"/>
        <w:autoSpaceDE w:val="0"/>
        <w:ind w:left="360" w:hanging="360"/>
        <w:jc w:val="both"/>
        <w:rPr>
          <w:szCs w:val="19"/>
        </w:rPr>
      </w:pPr>
      <w:r w:rsidRPr="009B6525">
        <w:rPr>
          <w:szCs w:val="19"/>
        </w:rPr>
        <w:t>- wykonanie pomiarów powykonawczych</w:t>
      </w:r>
    </w:p>
    <w:p w:rsidR="004856CB" w:rsidRPr="009B6525" w:rsidRDefault="004856CB" w:rsidP="004856CB">
      <w:pPr>
        <w:tabs>
          <w:tab w:val="left" w:pos="360"/>
        </w:tabs>
        <w:overflowPunct w:val="0"/>
        <w:autoSpaceDE w:val="0"/>
        <w:ind w:left="360" w:hanging="360"/>
        <w:jc w:val="both"/>
        <w:rPr>
          <w:szCs w:val="19"/>
        </w:rPr>
      </w:pPr>
    </w:p>
    <w:p w:rsidR="004856CB" w:rsidRPr="009B6525" w:rsidRDefault="004856CB" w:rsidP="004856CB">
      <w:pPr>
        <w:tabs>
          <w:tab w:val="left" w:pos="1080"/>
        </w:tabs>
        <w:snapToGrid w:val="0"/>
        <w:outlineLvl w:val="1"/>
        <w:rPr>
          <w:b/>
          <w:szCs w:val="19"/>
        </w:rPr>
      </w:pPr>
      <w:r w:rsidRPr="009B6525">
        <w:rPr>
          <w:b/>
          <w:szCs w:val="19"/>
        </w:rPr>
        <w:t>1.4. Określenia podstawowe</w:t>
      </w:r>
    </w:p>
    <w:p w:rsidR="004856CB" w:rsidRPr="009B6525" w:rsidRDefault="004856CB" w:rsidP="004856CB">
      <w:pPr>
        <w:widowControl w:val="0"/>
        <w:jc w:val="both"/>
        <w:rPr>
          <w:szCs w:val="19"/>
        </w:rPr>
      </w:pPr>
      <w:r w:rsidRPr="009B6525">
        <w:rPr>
          <w:bCs/>
          <w:szCs w:val="19"/>
        </w:rPr>
        <w:t>l.4.1.</w:t>
      </w:r>
      <w:r w:rsidRPr="009B6525">
        <w:rPr>
          <w:szCs w:val="19"/>
        </w:rPr>
        <w:t xml:space="preserve"> Punkty główne trasy i linii- punkty załamania osi trasy, punkty kierunkowe oraz początkowe i końcowe punkty trasy.</w:t>
      </w:r>
    </w:p>
    <w:p w:rsidR="004856CB" w:rsidRPr="009B6525" w:rsidRDefault="004856CB" w:rsidP="004856CB">
      <w:pPr>
        <w:widowControl w:val="0"/>
        <w:jc w:val="both"/>
        <w:rPr>
          <w:szCs w:val="19"/>
        </w:rPr>
      </w:pPr>
      <w:r w:rsidRPr="009B6525">
        <w:rPr>
          <w:bCs/>
          <w:szCs w:val="19"/>
        </w:rPr>
        <w:t>1.4.2.</w:t>
      </w:r>
      <w:r w:rsidRPr="009B6525">
        <w:rPr>
          <w:szCs w:val="19"/>
        </w:rPr>
        <w:t xml:space="preserve"> Określenia podane w niniejszej ST są zgodne z obowiązującymi normami oraz dokumentacją techniczną.</w:t>
      </w:r>
    </w:p>
    <w:p w:rsidR="004856CB" w:rsidRPr="009B6525" w:rsidRDefault="004856CB" w:rsidP="004856CB">
      <w:pPr>
        <w:tabs>
          <w:tab w:val="left" w:pos="1080"/>
        </w:tabs>
        <w:snapToGrid w:val="0"/>
        <w:outlineLvl w:val="1"/>
        <w:rPr>
          <w:b/>
          <w:szCs w:val="19"/>
        </w:rPr>
      </w:pPr>
      <w:r w:rsidRPr="009B6525">
        <w:rPr>
          <w:b/>
          <w:szCs w:val="19"/>
        </w:rPr>
        <w:t>1.5. Ogólne wymagania dotyczące robót</w:t>
      </w:r>
    </w:p>
    <w:p w:rsidR="004856CB" w:rsidRPr="009B6525" w:rsidRDefault="004856CB" w:rsidP="004856CB">
      <w:pPr>
        <w:widowControl w:val="0"/>
        <w:ind w:firstLine="709"/>
        <w:jc w:val="both"/>
        <w:rPr>
          <w:szCs w:val="19"/>
        </w:rPr>
      </w:pPr>
      <w:r w:rsidRPr="009B6525">
        <w:rPr>
          <w:szCs w:val="19"/>
        </w:rPr>
        <w:t>Wykonawca robót jest odpowiedzialny za jakość ich wykonania oraz za zgodność z Dokumentacją Projektową, ST i poleceniami Inżyniera Ogólne wymagania dotyczące robót podano w ST D-M. 00.00.00 "Wymagania ogólne".</w:t>
      </w:r>
    </w:p>
    <w:p w:rsidR="004856CB" w:rsidRPr="009B6525" w:rsidRDefault="004856CB" w:rsidP="004856CB">
      <w:pPr>
        <w:widowControl w:val="0"/>
        <w:spacing w:before="120" w:after="120"/>
        <w:jc w:val="both"/>
        <w:rPr>
          <w:b/>
          <w:szCs w:val="19"/>
          <w:u w:val="single"/>
        </w:rPr>
      </w:pPr>
      <w:r w:rsidRPr="009B6525">
        <w:rPr>
          <w:b/>
          <w:szCs w:val="19"/>
          <w:u w:val="single"/>
        </w:rPr>
        <w:t>2. MATERIAŁY</w:t>
      </w:r>
    </w:p>
    <w:p w:rsidR="004856CB" w:rsidRPr="009B6525" w:rsidRDefault="004856CB" w:rsidP="004856CB">
      <w:pPr>
        <w:tabs>
          <w:tab w:val="left" w:pos="1080"/>
        </w:tabs>
        <w:snapToGrid w:val="0"/>
        <w:outlineLvl w:val="1"/>
        <w:rPr>
          <w:b/>
          <w:szCs w:val="19"/>
        </w:rPr>
      </w:pPr>
      <w:r w:rsidRPr="009B6525">
        <w:rPr>
          <w:b/>
          <w:szCs w:val="19"/>
        </w:rPr>
        <w:t>2.1. Ogólne wymagania dotyczące materiałów</w:t>
      </w:r>
    </w:p>
    <w:p w:rsidR="004856CB" w:rsidRPr="009B6525" w:rsidRDefault="004856CB" w:rsidP="004856CB">
      <w:pPr>
        <w:tabs>
          <w:tab w:val="left" w:pos="0"/>
        </w:tabs>
        <w:jc w:val="both"/>
        <w:rPr>
          <w:szCs w:val="19"/>
        </w:rPr>
      </w:pPr>
      <w:r w:rsidRPr="009B6525">
        <w:rPr>
          <w:b/>
          <w:szCs w:val="19"/>
        </w:rPr>
        <w:tab/>
      </w:r>
      <w:r w:rsidRPr="009B6525">
        <w:rPr>
          <w:szCs w:val="19"/>
        </w:rPr>
        <w:t>Ogólne wymagania dotyczące materiałów, ich pozyskiwania i składowania podano w ST D-M-00.00.00 „Wymagania ogólne”.</w:t>
      </w:r>
    </w:p>
    <w:p w:rsidR="004856CB" w:rsidRPr="009B6525" w:rsidRDefault="004856CB" w:rsidP="004856CB">
      <w:pPr>
        <w:tabs>
          <w:tab w:val="left" w:pos="1080"/>
        </w:tabs>
        <w:snapToGrid w:val="0"/>
        <w:outlineLvl w:val="1"/>
        <w:rPr>
          <w:b/>
          <w:szCs w:val="19"/>
        </w:rPr>
      </w:pPr>
      <w:r w:rsidRPr="009B6525">
        <w:rPr>
          <w:b/>
          <w:szCs w:val="19"/>
        </w:rPr>
        <w:t>2.2. Rodzaje materiałów</w:t>
      </w:r>
    </w:p>
    <w:p w:rsidR="004856CB" w:rsidRPr="009B6525" w:rsidRDefault="004856CB" w:rsidP="004856CB">
      <w:pPr>
        <w:tabs>
          <w:tab w:val="left" w:pos="0"/>
        </w:tabs>
        <w:jc w:val="both"/>
        <w:rPr>
          <w:szCs w:val="19"/>
        </w:rPr>
      </w:pPr>
      <w:r w:rsidRPr="009B6525">
        <w:rPr>
          <w:szCs w:val="19"/>
        </w:rPr>
        <w:tab/>
      </w:r>
    </w:p>
    <w:p w:rsidR="004856CB" w:rsidRPr="009B6525" w:rsidRDefault="004856CB" w:rsidP="004856CB">
      <w:pPr>
        <w:tabs>
          <w:tab w:val="left" w:pos="0"/>
        </w:tabs>
        <w:jc w:val="both"/>
        <w:rPr>
          <w:szCs w:val="19"/>
        </w:rPr>
      </w:pPr>
      <w:r w:rsidRPr="009B6525">
        <w:rPr>
          <w:szCs w:val="19"/>
        </w:rPr>
        <w:tab/>
        <w:t xml:space="preserve">Do stabilizacji punktów należy stosować paliki drewniane średnicy od 0,05 do 0,08 m i długości około 0,30 m, a dla punktów utrwalanych w istniejącej nawierzchni bolce stalowe średnicy 5 mm i długości od  0,04 do 0,05 m, </w:t>
      </w:r>
    </w:p>
    <w:p w:rsidR="004856CB" w:rsidRPr="009B6525" w:rsidRDefault="004856CB" w:rsidP="004856CB">
      <w:pPr>
        <w:tabs>
          <w:tab w:val="left" w:pos="0"/>
        </w:tabs>
        <w:rPr>
          <w:szCs w:val="19"/>
        </w:rPr>
      </w:pPr>
      <w:r w:rsidRPr="009B6525">
        <w:rPr>
          <w:szCs w:val="19"/>
        </w:rPr>
        <w:tab/>
      </w:r>
    </w:p>
    <w:p w:rsidR="004856CB" w:rsidRPr="009B6525" w:rsidRDefault="004856CB" w:rsidP="004856CB">
      <w:pPr>
        <w:widowControl w:val="0"/>
        <w:spacing w:before="120" w:after="120"/>
        <w:rPr>
          <w:b/>
          <w:szCs w:val="19"/>
          <w:u w:val="single"/>
        </w:rPr>
      </w:pPr>
      <w:r w:rsidRPr="009B6525">
        <w:rPr>
          <w:b/>
          <w:szCs w:val="19"/>
          <w:u w:val="single"/>
        </w:rPr>
        <w:t>3. SPRZĘT</w:t>
      </w:r>
    </w:p>
    <w:p w:rsidR="004856CB" w:rsidRPr="009B6525" w:rsidRDefault="004856CB" w:rsidP="004856CB">
      <w:pPr>
        <w:tabs>
          <w:tab w:val="left" w:pos="1080"/>
        </w:tabs>
        <w:snapToGrid w:val="0"/>
        <w:outlineLvl w:val="1"/>
        <w:rPr>
          <w:b/>
          <w:szCs w:val="19"/>
        </w:rPr>
      </w:pPr>
      <w:r w:rsidRPr="009B6525">
        <w:rPr>
          <w:b/>
          <w:szCs w:val="19"/>
        </w:rPr>
        <w:t>3.1. Ogólne wymagania dotyczące sprzętu</w:t>
      </w:r>
    </w:p>
    <w:p w:rsidR="004856CB" w:rsidRPr="009B6525" w:rsidRDefault="004856CB" w:rsidP="004856CB">
      <w:pPr>
        <w:tabs>
          <w:tab w:val="left" w:pos="0"/>
        </w:tabs>
        <w:jc w:val="both"/>
        <w:rPr>
          <w:szCs w:val="19"/>
        </w:rPr>
      </w:pPr>
      <w:r w:rsidRPr="009B6525">
        <w:rPr>
          <w:szCs w:val="19"/>
        </w:rPr>
        <w:tab/>
        <w:t>Ogólne wymagania dotyczące sprzętu podano w ST D-M-00.00.00 „Wymagania ogólne”.</w:t>
      </w:r>
    </w:p>
    <w:p w:rsidR="004856CB" w:rsidRPr="009B6525" w:rsidRDefault="004856CB" w:rsidP="004856CB">
      <w:pPr>
        <w:tabs>
          <w:tab w:val="left" w:pos="1080"/>
        </w:tabs>
        <w:snapToGrid w:val="0"/>
        <w:outlineLvl w:val="1"/>
        <w:rPr>
          <w:b/>
          <w:szCs w:val="19"/>
        </w:rPr>
      </w:pPr>
      <w:r w:rsidRPr="009B6525">
        <w:rPr>
          <w:b/>
          <w:szCs w:val="19"/>
        </w:rPr>
        <w:t>3.2. Sprzęt pomiarowy</w:t>
      </w:r>
    </w:p>
    <w:p w:rsidR="004856CB" w:rsidRPr="009B6525" w:rsidRDefault="004856CB" w:rsidP="004856CB">
      <w:pPr>
        <w:tabs>
          <w:tab w:val="left" w:pos="0"/>
        </w:tabs>
        <w:jc w:val="both"/>
        <w:rPr>
          <w:szCs w:val="19"/>
        </w:rPr>
      </w:pPr>
      <w:r w:rsidRPr="009B6525">
        <w:rPr>
          <w:szCs w:val="19"/>
        </w:rPr>
        <w:t>Wykonawca zobowiązany jest do zastosowania takiego sprzętu, który pozwoli na osiągnięcie wymaganych dokładności, zarówno przy pracach pomiarowych, jak i przy opracowaniach kartograficznych. Przy wykonywaniu prac dotyczących pomiarów należy zastosować sprzęt o dokładnościach nie mniejszych od niżej podanych:</w:t>
      </w:r>
    </w:p>
    <w:p w:rsidR="004856CB" w:rsidRPr="009B6525" w:rsidRDefault="004856CB" w:rsidP="0097494B">
      <w:pPr>
        <w:numPr>
          <w:ilvl w:val="0"/>
          <w:numId w:val="67"/>
        </w:numPr>
        <w:suppressAutoHyphens/>
        <w:ind w:left="360" w:hanging="360"/>
        <w:jc w:val="both"/>
        <w:rPr>
          <w:szCs w:val="19"/>
        </w:rPr>
      </w:pPr>
      <w:r w:rsidRPr="009B6525">
        <w:rPr>
          <w:szCs w:val="19"/>
        </w:rPr>
        <w:t>instrumenty typu Total Station o dokładności pomiaru kątów 20</w:t>
      </w:r>
      <w:r w:rsidRPr="009B6525">
        <w:rPr>
          <w:szCs w:val="19"/>
          <w:vertAlign w:val="superscript"/>
        </w:rPr>
        <w:t>CC</w:t>
      </w:r>
      <w:r w:rsidRPr="009B6525">
        <w:rPr>
          <w:szCs w:val="19"/>
        </w:rPr>
        <w:t xml:space="preserve"> oraz odległości 10 mm +- 10 mm/km,</w:t>
      </w:r>
    </w:p>
    <w:p w:rsidR="004856CB" w:rsidRPr="009B6525" w:rsidRDefault="004856CB" w:rsidP="0097494B">
      <w:pPr>
        <w:numPr>
          <w:ilvl w:val="0"/>
          <w:numId w:val="67"/>
        </w:numPr>
        <w:suppressAutoHyphens/>
        <w:ind w:left="360" w:hanging="360"/>
        <w:jc w:val="both"/>
        <w:rPr>
          <w:szCs w:val="19"/>
        </w:rPr>
      </w:pPr>
      <w:r w:rsidRPr="009B6525">
        <w:rPr>
          <w:szCs w:val="19"/>
        </w:rPr>
        <w:t>nasadki dalmiercze o dokładności pomiaru odległości 10 mm +- 10 mm/km,</w:t>
      </w:r>
    </w:p>
    <w:p w:rsidR="004856CB" w:rsidRPr="009B6525" w:rsidRDefault="004856CB" w:rsidP="0097494B">
      <w:pPr>
        <w:numPr>
          <w:ilvl w:val="0"/>
          <w:numId w:val="67"/>
        </w:numPr>
        <w:suppressAutoHyphens/>
        <w:ind w:left="360" w:hanging="360"/>
        <w:jc w:val="both"/>
        <w:rPr>
          <w:szCs w:val="19"/>
        </w:rPr>
      </w:pPr>
      <w:r w:rsidRPr="009B6525">
        <w:rPr>
          <w:szCs w:val="19"/>
        </w:rPr>
        <w:t>teodolity o dokładności pomiaru kątów 20</w:t>
      </w:r>
      <w:r w:rsidRPr="009B6525">
        <w:rPr>
          <w:szCs w:val="19"/>
          <w:vertAlign w:val="superscript"/>
        </w:rPr>
        <w:t>CC</w:t>
      </w:r>
      <w:r w:rsidRPr="009B6525">
        <w:rPr>
          <w:szCs w:val="19"/>
        </w:rPr>
        <w:t>,</w:t>
      </w:r>
    </w:p>
    <w:p w:rsidR="004856CB" w:rsidRPr="009B6525" w:rsidRDefault="004856CB" w:rsidP="0097494B">
      <w:pPr>
        <w:numPr>
          <w:ilvl w:val="0"/>
          <w:numId w:val="67"/>
        </w:numPr>
        <w:suppressAutoHyphens/>
        <w:ind w:left="360" w:hanging="360"/>
        <w:jc w:val="both"/>
        <w:rPr>
          <w:szCs w:val="19"/>
        </w:rPr>
      </w:pPr>
      <w:r w:rsidRPr="009B6525">
        <w:rPr>
          <w:szCs w:val="19"/>
        </w:rPr>
        <w:t>niwelatory o dokładności pomiaru 5 mm/km.</w:t>
      </w:r>
    </w:p>
    <w:p w:rsidR="004856CB" w:rsidRPr="009B6525" w:rsidRDefault="004856CB" w:rsidP="004856CB">
      <w:pPr>
        <w:tabs>
          <w:tab w:val="left" w:pos="0"/>
        </w:tabs>
        <w:jc w:val="both"/>
        <w:rPr>
          <w:szCs w:val="19"/>
        </w:rPr>
      </w:pPr>
      <w:r w:rsidRPr="009B6525">
        <w:rPr>
          <w:szCs w:val="19"/>
        </w:rPr>
        <w:t>Wszystkie urządzenia pomiarowe powinny posiadać atesty i aktualne świadectwa legalizacyjne wymagane odpowiednimi przepisami. Sprzęt powinien być stale utrzymywany w dobrym stanie technicznym i okresowo sprawdzany. Do prac obliczeniowych i kartograficznych zaleca się stosować sprzęt komputerowy z odpowiedni8m oprogramowaniem.</w:t>
      </w:r>
    </w:p>
    <w:p w:rsidR="004856CB" w:rsidRPr="009B6525" w:rsidRDefault="004856CB" w:rsidP="004856CB">
      <w:pPr>
        <w:widowControl w:val="0"/>
        <w:spacing w:before="120" w:after="120"/>
        <w:jc w:val="both"/>
        <w:rPr>
          <w:b/>
          <w:szCs w:val="19"/>
          <w:u w:val="single"/>
        </w:rPr>
      </w:pPr>
      <w:r w:rsidRPr="009B6525">
        <w:rPr>
          <w:b/>
          <w:szCs w:val="19"/>
          <w:u w:val="single"/>
        </w:rPr>
        <w:t>4. TRANSPORT</w:t>
      </w:r>
    </w:p>
    <w:p w:rsidR="004856CB" w:rsidRPr="009B6525" w:rsidRDefault="004856CB" w:rsidP="004856CB">
      <w:pPr>
        <w:tabs>
          <w:tab w:val="left" w:pos="1080"/>
        </w:tabs>
        <w:snapToGrid w:val="0"/>
        <w:outlineLvl w:val="1"/>
        <w:rPr>
          <w:b/>
          <w:szCs w:val="19"/>
        </w:rPr>
      </w:pPr>
      <w:r w:rsidRPr="009B6525">
        <w:rPr>
          <w:b/>
          <w:szCs w:val="19"/>
        </w:rPr>
        <w:t>4.1. Ogólne wymagania dotyczące transportu</w:t>
      </w:r>
    </w:p>
    <w:p w:rsidR="004856CB" w:rsidRPr="009B6525" w:rsidRDefault="004856CB" w:rsidP="004856CB">
      <w:pPr>
        <w:tabs>
          <w:tab w:val="left" w:pos="0"/>
        </w:tabs>
        <w:rPr>
          <w:szCs w:val="19"/>
        </w:rPr>
      </w:pPr>
      <w:r w:rsidRPr="009B6525">
        <w:rPr>
          <w:szCs w:val="19"/>
        </w:rPr>
        <w:tab/>
        <w:t>Ogólne wymagania dotyczące transportu podano w ST D-M-00.00.00 „Wymagania ogólne”.</w:t>
      </w:r>
    </w:p>
    <w:p w:rsidR="004856CB" w:rsidRPr="009B6525" w:rsidRDefault="004856CB" w:rsidP="004856CB">
      <w:pPr>
        <w:tabs>
          <w:tab w:val="left" w:pos="1080"/>
        </w:tabs>
        <w:snapToGrid w:val="0"/>
        <w:outlineLvl w:val="1"/>
        <w:rPr>
          <w:b/>
          <w:szCs w:val="19"/>
        </w:rPr>
      </w:pPr>
      <w:r w:rsidRPr="009B6525">
        <w:rPr>
          <w:b/>
          <w:szCs w:val="19"/>
        </w:rPr>
        <w:t>4.2. Transport sprzętu i materiałów</w:t>
      </w:r>
    </w:p>
    <w:p w:rsidR="004856CB" w:rsidRPr="009B6525" w:rsidRDefault="004856CB" w:rsidP="004856CB">
      <w:pPr>
        <w:tabs>
          <w:tab w:val="left" w:pos="0"/>
        </w:tabs>
        <w:rPr>
          <w:szCs w:val="19"/>
        </w:rPr>
      </w:pPr>
      <w:r w:rsidRPr="009B6525">
        <w:rPr>
          <w:szCs w:val="19"/>
        </w:rPr>
        <w:tab/>
        <w:t>Sprzęt i materiały można przewozić dowolnymi środkami transportu.</w:t>
      </w:r>
    </w:p>
    <w:p w:rsidR="004856CB" w:rsidRPr="009B6525" w:rsidRDefault="004856CB" w:rsidP="004856CB">
      <w:pPr>
        <w:widowControl w:val="0"/>
        <w:spacing w:before="120" w:after="120"/>
        <w:rPr>
          <w:b/>
          <w:szCs w:val="19"/>
          <w:u w:val="single"/>
        </w:rPr>
      </w:pPr>
      <w:r w:rsidRPr="009B6525">
        <w:rPr>
          <w:b/>
          <w:szCs w:val="19"/>
          <w:u w:val="single"/>
        </w:rPr>
        <w:t>5. WYKONANIE ROBÓT</w:t>
      </w:r>
    </w:p>
    <w:p w:rsidR="004856CB" w:rsidRPr="009B6525" w:rsidRDefault="004856CB" w:rsidP="004856CB">
      <w:pPr>
        <w:tabs>
          <w:tab w:val="left" w:pos="1080"/>
        </w:tabs>
        <w:snapToGrid w:val="0"/>
        <w:outlineLvl w:val="1"/>
        <w:rPr>
          <w:b/>
          <w:szCs w:val="19"/>
        </w:rPr>
      </w:pPr>
      <w:r w:rsidRPr="009B6525">
        <w:rPr>
          <w:b/>
          <w:szCs w:val="19"/>
        </w:rPr>
        <w:t>5.1. Ogólne warunki wykonania robót</w:t>
      </w:r>
    </w:p>
    <w:p w:rsidR="004856CB" w:rsidRPr="009B6525" w:rsidRDefault="004856CB" w:rsidP="004856CB">
      <w:pPr>
        <w:tabs>
          <w:tab w:val="left" w:pos="1080"/>
        </w:tabs>
        <w:snapToGrid w:val="0"/>
        <w:outlineLvl w:val="1"/>
        <w:rPr>
          <w:szCs w:val="19"/>
        </w:rPr>
      </w:pPr>
      <w:r w:rsidRPr="009B6525">
        <w:rPr>
          <w:szCs w:val="19"/>
        </w:rPr>
        <w:t xml:space="preserve">Ogólne warunki dotyczące wykonania robót podano w ST D-M.00.00.00. Prace pomiarowe </w:t>
      </w:r>
    </w:p>
    <w:p w:rsidR="004856CB" w:rsidRPr="009B6525" w:rsidRDefault="004856CB" w:rsidP="004856CB">
      <w:pPr>
        <w:tabs>
          <w:tab w:val="left" w:pos="1080"/>
        </w:tabs>
        <w:snapToGrid w:val="0"/>
        <w:outlineLvl w:val="1"/>
        <w:rPr>
          <w:b/>
          <w:szCs w:val="19"/>
        </w:rPr>
      </w:pPr>
      <w:r w:rsidRPr="009B6525">
        <w:rPr>
          <w:b/>
          <w:szCs w:val="19"/>
        </w:rPr>
        <w:t>5.2. Zasady wykonywania prac pomiarowych</w:t>
      </w:r>
    </w:p>
    <w:p w:rsidR="004856CB" w:rsidRPr="009B6525" w:rsidRDefault="004856CB" w:rsidP="004856CB">
      <w:pPr>
        <w:tabs>
          <w:tab w:val="left" w:pos="0"/>
        </w:tabs>
        <w:jc w:val="both"/>
        <w:rPr>
          <w:szCs w:val="19"/>
        </w:rPr>
      </w:pPr>
      <w:r w:rsidRPr="009B6525">
        <w:rPr>
          <w:szCs w:val="19"/>
        </w:rPr>
        <w:tab/>
        <w:t>Prace pomiarowe powinny być wykonane zgodnie z obowiązującymi Instrukcjami GUGiK.</w:t>
      </w:r>
    </w:p>
    <w:p w:rsidR="004856CB" w:rsidRPr="009B6525" w:rsidRDefault="004856CB" w:rsidP="004856CB">
      <w:pPr>
        <w:tabs>
          <w:tab w:val="left" w:pos="0"/>
        </w:tabs>
        <w:jc w:val="both"/>
        <w:rPr>
          <w:szCs w:val="19"/>
        </w:rPr>
      </w:pPr>
      <w:r w:rsidRPr="009B6525">
        <w:rPr>
          <w:szCs w:val="19"/>
        </w:rPr>
        <w:tab/>
        <w:t>Prace pomiarowe powinny być wykonane przez osoby posiadające odpowiednie kwalifikacje i uprawnienia.</w:t>
      </w:r>
    </w:p>
    <w:p w:rsidR="004856CB" w:rsidRPr="009B6525" w:rsidRDefault="004856CB" w:rsidP="004856CB">
      <w:pPr>
        <w:tabs>
          <w:tab w:val="left" w:pos="0"/>
        </w:tabs>
        <w:jc w:val="both"/>
        <w:rPr>
          <w:b/>
          <w:szCs w:val="19"/>
        </w:rPr>
      </w:pPr>
      <w:r w:rsidRPr="009B6525">
        <w:rPr>
          <w:szCs w:val="19"/>
        </w:rPr>
        <w:tab/>
      </w:r>
      <w:r w:rsidRPr="009B6525">
        <w:rPr>
          <w:b/>
          <w:szCs w:val="19"/>
        </w:rPr>
        <w:t>Wykonawca powinien sprawdzić czy rzędne terenu określone w dokumentacji projektowej są zgodne z rzeczywistymi rzędnymi terenu. Jeżeli Wykonawca stwierdzi, że rzeczywiste rzędne terenu istotnie różnią się od rzędnych określonych w dokumentacji projektowej, to powinien powiadomić o tym Inżyniera. Ukształtowanie terenu w takim rejonie nie powinno być zmieniane przed podjęciem odpowiedniej decyzji przez Inżyniera. Wszystkie roboty dodatkowe, wynikające z różnic rzędnych terenu podanych w dokumentacji projektowej i rzędnych rzeczywistych, akceptowane przez Inżyniera, zostaną wykonane na koszt Zamawiającego. Zaniechanie powiadomienia Inżyniera oznacza, że roboty dodatkowe w takim przypadku obciążą Wykonawcę.</w:t>
      </w:r>
    </w:p>
    <w:p w:rsidR="004856CB" w:rsidRPr="009B6525" w:rsidRDefault="004856CB" w:rsidP="004856CB">
      <w:pPr>
        <w:tabs>
          <w:tab w:val="left" w:pos="0"/>
        </w:tabs>
        <w:jc w:val="both"/>
        <w:rPr>
          <w:szCs w:val="19"/>
        </w:rPr>
      </w:pPr>
      <w:r w:rsidRPr="009B6525">
        <w:rPr>
          <w:szCs w:val="19"/>
        </w:rPr>
        <w:tab/>
        <w:t>Wszystkie roboty, które bazują na pomiarach Wykonawcy, nie mogą być rozpoczęte przed zaakceptowaniem wyników pomiarów przez Inżyniera.</w:t>
      </w:r>
    </w:p>
    <w:p w:rsidR="004856CB" w:rsidRPr="009B6525" w:rsidRDefault="004856CB" w:rsidP="004856CB">
      <w:pPr>
        <w:tabs>
          <w:tab w:val="left" w:pos="0"/>
        </w:tabs>
        <w:jc w:val="both"/>
        <w:rPr>
          <w:szCs w:val="19"/>
        </w:rPr>
      </w:pPr>
      <w:r w:rsidRPr="009B6525">
        <w:rPr>
          <w:szCs w:val="19"/>
        </w:rPr>
        <w:tab/>
      </w:r>
    </w:p>
    <w:p w:rsidR="004856CB" w:rsidRPr="009B6525" w:rsidRDefault="004856CB" w:rsidP="004856CB">
      <w:pPr>
        <w:tabs>
          <w:tab w:val="left" w:pos="0"/>
        </w:tabs>
        <w:jc w:val="both"/>
        <w:rPr>
          <w:szCs w:val="19"/>
        </w:rPr>
      </w:pPr>
      <w:r w:rsidRPr="009B6525">
        <w:rPr>
          <w:szCs w:val="19"/>
        </w:rPr>
        <w:tab/>
        <w:t>Wszystkie pozostałe prace pomiarowe konieczne dla prawidłowej realizacji robót należą do obowiązków Wykonawcy.</w:t>
      </w:r>
    </w:p>
    <w:p w:rsidR="004856CB" w:rsidRPr="009B6525" w:rsidRDefault="004856CB" w:rsidP="004856CB">
      <w:pPr>
        <w:tabs>
          <w:tab w:val="left" w:pos="1080"/>
        </w:tabs>
        <w:snapToGrid w:val="0"/>
        <w:outlineLvl w:val="1"/>
        <w:rPr>
          <w:b/>
          <w:szCs w:val="19"/>
        </w:rPr>
      </w:pPr>
      <w:r w:rsidRPr="009B6525">
        <w:rPr>
          <w:b/>
          <w:szCs w:val="19"/>
        </w:rPr>
        <w:t>5.3. Sprawdzenie wyznaczenia punktów głównych osi trasy i punktów wysokościowych</w:t>
      </w:r>
    </w:p>
    <w:p w:rsidR="004856CB" w:rsidRPr="009B6525" w:rsidRDefault="004856CB" w:rsidP="004856CB">
      <w:pPr>
        <w:tabs>
          <w:tab w:val="left" w:pos="0"/>
        </w:tabs>
        <w:jc w:val="both"/>
        <w:rPr>
          <w:szCs w:val="19"/>
        </w:rPr>
      </w:pPr>
      <w:r w:rsidRPr="009B6525">
        <w:rPr>
          <w:b/>
          <w:szCs w:val="19"/>
        </w:rPr>
        <w:tab/>
      </w:r>
    </w:p>
    <w:p w:rsidR="004856CB" w:rsidRPr="009B6525" w:rsidRDefault="004856CB" w:rsidP="004856CB">
      <w:pPr>
        <w:tabs>
          <w:tab w:val="left" w:pos="0"/>
        </w:tabs>
        <w:jc w:val="both"/>
        <w:rPr>
          <w:szCs w:val="19"/>
        </w:rPr>
      </w:pPr>
      <w:r w:rsidRPr="009B6525">
        <w:rPr>
          <w:szCs w:val="19"/>
        </w:rPr>
        <w:tab/>
        <w:t>Repery robocze należy założyć poza granicami robót związanych z wykonaniem trasy drogowej i obiektów towarzyszących. Jako repery robocze można wykorzystać punkty stałe na stabilnych, istniejących budowlach wzdłuż trasy drogowej. O ile brak takich punktów, repery robocze należy założyć w postaci słupków betonowych lub grubych kształtowników stalowych, osadzonych w gruncie w sposób wykluczający osiadanie, zaakceptowany przez Inżyniera.</w:t>
      </w:r>
    </w:p>
    <w:p w:rsidR="004856CB" w:rsidRPr="009B6525" w:rsidRDefault="004856CB" w:rsidP="004856CB">
      <w:pPr>
        <w:tabs>
          <w:tab w:val="left" w:pos="0"/>
        </w:tabs>
        <w:jc w:val="both"/>
        <w:rPr>
          <w:szCs w:val="19"/>
        </w:rPr>
      </w:pPr>
      <w:r w:rsidRPr="009B6525">
        <w:rPr>
          <w:szCs w:val="19"/>
        </w:rPr>
        <w:tab/>
        <w:t>Rzędne reperów roboczych należy określać z taką dokładnością, aby średni błąd niwelacji po wyrównaniu był mniejszy od 4 mm/km, stosując niwelację podwójną w nawiązaniu do reperów państwowych.</w:t>
      </w:r>
    </w:p>
    <w:p w:rsidR="004856CB" w:rsidRPr="009B6525" w:rsidRDefault="004856CB" w:rsidP="004856CB">
      <w:pPr>
        <w:tabs>
          <w:tab w:val="left" w:pos="0"/>
        </w:tabs>
        <w:jc w:val="both"/>
        <w:rPr>
          <w:szCs w:val="19"/>
        </w:rPr>
      </w:pPr>
      <w:r w:rsidRPr="009B6525">
        <w:rPr>
          <w:szCs w:val="19"/>
        </w:rPr>
        <w:tab/>
        <w:t>Repery robocze powinny być wyposażone w dodatkowe oznaczenia, zawierające wyraźne i jednoznaczne określenie nazwy reperu i jego rzędnej.</w:t>
      </w:r>
    </w:p>
    <w:p w:rsidR="004856CB" w:rsidRPr="009B6525" w:rsidRDefault="004856CB" w:rsidP="004856CB">
      <w:pPr>
        <w:tabs>
          <w:tab w:val="left" w:pos="1080"/>
        </w:tabs>
        <w:snapToGrid w:val="0"/>
        <w:outlineLvl w:val="1"/>
        <w:rPr>
          <w:b/>
          <w:szCs w:val="19"/>
        </w:rPr>
      </w:pPr>
      <w:r w:rsidRPr="009B6525">
        <w:rPr>
          <w:b/>
          <w:szCs w:val="19"/>
        </w:rPr>
        <w:t>5.4. Wyznaczenie przekrojów poprzecznych</w:t>
      </w:r>
    </w:p>
    <w:p w:rsidR="004856CB" w:rsidRPr="009B6525" w:rsidRDefault="004856CB" w:rsidP="004856CB">
      <w:pPr>
        <w:tabs>
          <w:tab w:val="left" w:pos="0"/>
        </w:tabs>
        <w:jc w:val="both"/>
        <w:rPr>
          <w:szCs w:val="19"/>
        </w:rPr>
      </w:pPr>
      <w:r w:rsidRPr="009B6525">
        <w:rPr>
          <w:b/>
          <w:szCs w:val="19"/>
        </w:rPr>
        <w:tab/>
      </w:r>
      <w:r w:rsidRPr="009B6525">
        <w:rPr>
          <w:szCs w:val="19"/>
        </w:rPr>
        <w:t>Wyznaczenie przekrojów poprzecznych obejmuje wyznaczenie rzędnych jezdni w miejscach dylatacji, krawężnika oraz kap chodnikowych</w:t>
      </w:r>
    </w:p>
    <w:p w:rsidR="004856CB" w:rsidRPr="009B6525" w:rsidRDefault="004856CB" w:rsidP="004856CB">
      <w:pPr>
        <w:tabs>
          <w:tab w:val="left" w:pos="0"/>
        </w:tabs>
        <w:jc w:val="both"/>
        <w:rPr>
          <w:b/>
          <w:szCs w:val="19"/>
        </w:rPr>
      </w:pPr>
      <w:r w:rsidRPr="009B6525">
        <w:rPr>
          <w:szCs w:val="19"/>
        </w:rPr>
        <w:tab/>
      </w:r>
    </w:p>
    <w:p w:rsidR="004856CB" w:rsidRPr="009B6525" w:rsidRDefault="004856CB" w:rsidP="004856CB">
      <w:pPr>
        <w:widowControl w:val="0"/>
        <w:spacing w:before="120" w:after="120"/>
        <w:rPr>
          <w:b/>
          <w:szCs w:val="19"/>
          <w:u w:val="single"/>
        </w:rPr>
      </w:pPr>
      <w:r w:rsidRPr="009B6525">
        <w:rPr>
          <w:b/>
          <w:szCs w:val="19"/>
          <w:u w:val="single"/>
        </w:rPr>
        <w:t>6. KONTROLA JAKOŚCI ROBÓT</w:t>
      </w:r>
    </w:p>
    <w:p w:rsidR="004856CB" w:rsidRPr="009B6525" w:rsidRDefault="004856CB" w:rsidP="004856CB">
      <w:pPr>
        <w:tabs>
          <w:tab w:val="left" w:pos="1080"/>
        </w:tabs>
        <w:snapToGrid w:val="0"/>
        <w:outlineLvl w:val="1"/>
        <w:rPr>
          <w:b/>
          <w:szCs w:val="19"/>
        </w:rPr>
      </w:pPr>
      <w:r w:rsidRPr="009B6525">
        <w:rPr>
          <w:b/>
          <w:szCs w:val="19"/>
        </w:rPr>
        <w:t>6.1 Ogólne zasady kontroli jakości robót</w:t>
      </w:r>
    </w:p>
    <w:p w:rsidR="004856CB" w:rsidRPr="009B6525" w:rsidRDefault="004856CB" w:rsidP="004856CB">
      <w:pPr>
        <w:widowControl w:val="0"/>
        <w:ind w:firstLine="708"/>
        <w:jc w:val="both"/>
        <w:rPr>
          <w:szCs w:val="19"/>
        </w:rPr>
      </w:pPr>
      <w:r w:rsidRPr="009B6525">
        <w:rPr>
          <w:szCs w:val="19"/>
        </w:rPr>
        <w:t>Ogólne zasady kontroli jakości robót podano w ST D - M.00.00.00 ,,Wymagania ogólne" Kontrolę jakości prac pomiarowych związanych z odtwarzaniem (wyznaczaniem) trasy i punktów wysokościowych należy prowadzić wg ogólnych zasad określonych w instrukcjach i wytycznych GUGiK</w:t>
      </w:r>
    </w:p>
    <w:p w:rsidR="004856CB" w:rsidRPr="009B6525" w:rsidRDefault="004856CB" w:rsidP="004856CB">
      <w:pPr>
        <w:tabs>
          <w:tab w:val="left" w:pos="1080"/>
        </w:tabs>
        <w:snapToGrid w:val="0"/>
        <w:outlineLvl w:val="1"/>
        <w:rPr>
          <w:b/>
          <w:szCs w:val="19"/>
        </w:rPr>
      </w:pPr>
      <w:r w:rsidRPr="009B6525">
        <w:rPr>
          <w:b/>
          <w:szCs w:val="19"/>
        </w:rPr>
        <w:t xml:space="preserve">6.2 Sprawdzanie robót pomiarowych </w:t>
      </w:r>
    </w:p>
    <w:p w:rsidR="004856CB" w:rsidRPr="009B6525" w:rsidRDefault="004856CB" w:rsidP="004856CB">
      <w:pPr>
        <w:widowControl w:val="0"/>
        <w:ind w:firstLine="708"/>
        <w:rPr>
          <w:szCs w:val="19"/>
        </w:rPr>
      </w:pPr>
      <w:r w:rsidRPr="009B6525">
        <w:rPr>
          <w:szCs w:val="19"/>
        </w:rPr>
        <w:t xml:space="preserve">Sprawdzanie robót pomiarowych należy przeprowadzić wg następujących zasad:       </w:t>
      </w:r>
    </w:p>
    <w:p w:rsidR="004856CB" w:rsidRPr="009B6525" w:rsidRDefault="004856CB" w:rsidP="0097494B">
      <w:pPr>
        <w:widowControl w:val="0"/>
        <w:numPr>
          <w:ilvl w:val="0"/>
          <w:numId w:val="68"/>
        </w:numPr>
        <w:suppressAutoHyphens/>
        <w:ind w:left="360"/>
        <w:rPr>
          <w:szCs w:val="19"/>
        </w:rPr>
      </w:pPr>
      <w:r w:rsidRPr="009B6525">
        <w:rPr>
          <w:szCs w:val="19"/>
        </w:rPr>
        <w:t>robocze punkty wysokościowe należy sprawdzić niwelatorem na całej długości budowanego odcinka,</w:t>
      </w:r>
    </w:p>
    <w:p w:rsidR="004856CB" w:rsidRPr="009B6525" w:rsidRDefault="004856CB" w:rsidP="004856CB">
      <w:pPr>
        <w:widowControl w:val="0"/>
        <w:spacing w:before="120" w:after="120"/>
        <w:ind w:left="142" w:hanging="142"/>
        <w:rPr>
          <w:b/>
          <w:szCs w:val="19"/>
          <w:u w:val="single"/>
        </w:rPr>
      </w:pPr>
      <w:r w:rsidRPr="009B6525">
        <w:rPr>
          <w:b/>
          <w:szCs w:val="19"/>
          <w:u w:val="single"/>
        </w:rPr>
        <w:t>7. OBMIAR ROBÓT</w:t>
      </w:r>
    </w:p>
    <w:p w:rsidR="004856CB" w:rsidRPr="009B6525" w:rsidRDefault="004856CB" w:rsidP="004856CB">
      <w:pPr>
        <w:tabs>
          <w:tab w:val="left" w:pos="1080"/>
        </w:tabs>
        <w:snapToGrid w:val="0"/>
        <w:outlineLvl w:val="1"/>
        <w:rPr>
          <w:b/>
          <w:szCs w:val="19"/>
        </w:rPr>
      </w:pPr>
      <w:r w:rsidRPr="009B6525">
        <w:rPr>
          <w:b/>
          <w:szCs w:val="19"/>
        </w:rPr>
        <w:t>7.1. Ogólne zasady obmiaru robót</w:t>
      </w:r>
    </w:p>
    <w:p w:rsidR="004856CB" w:rsidRPr="009B6525" w:rsidRDefault="004856CB" w:rsidP="004856CB">
      <w:pPr>
        <w:tabs>
          <w:tab w:val="left" w:pos="0"/>
        </w:tabs>
        <w:rPr>
          <w:szCs w:val="19"/>
        </w:rPr>
      </w:pPr>
      <w:r w:rsidRPr="009B6525">
        <w:rPr>
          <w:szCs w:val="19"/>
        </w:rPr>
        <w:tab/>
        <w:t>Ogólne zasady obmiaru robót podano w ST D-M-00.00.00 „Wymagania ogólne”.</w:t>
      </w:r>
    </w:p>
    <w:p w:rsidR="004856CB" w:rsidRPr="009B6525" w:rsidRDefault="004856CB" w:rsidP="004856CB">
      <w:pPr>
        <w:tabs>
          <w:tab w:val="left" w:pos="1080"/>
        </w:tabs>
        <w:snapToGrid w:val="0"/>
        <w:outlineLvl w:val="1"/>
        <w:rPr>
          <w:b/>
          <w:szCs w:val="19"/>
        </w:rPr>
      </w:pPr>
      <w:r w:rsidRPr="009B6525">
        <w:rPr>
          <w:b/>
          <w:szCs w:val="19"/>
        </w:rPr>
        <w:t>7.2. Jednostka obmiarowa</w:t>
      </w:r>
    </w:p>
    <w:p w:rsidR="004856CB" w:rsidRPr="009B6525" w:rsidRDefault="004856CB" w:rsidP="004856CB">
      <w:pPr>
        <w:tabs>
          <w:tab w:val="left" w:pos="0"/>
        </w:tabs>
        <w:rPr>
          <w:szCs w:val="19"/>
        </w:rPr>
      </w:pPr>
      <w:r w:rsidRPr="009B6525">
        <w:rPr>
          <w:szCs w:val="19"/>
        </w:rPr>
        <w:tab/>
        <w:t xml:space="preserve">Jednostką obmiarową jest rycz. Obejmujący wszystkie prace geodezyjne </w:t>
      </w:r>
    </w:p>
    <w:p w:rsidR="004856CB" w:rsidRPr="009B6525" w:rsidRDefault="004856CB" w:rsidP="004856CB">
      <w:pPr>
        <w:widowControl w:val="0"/>
        <w:spacing w:before="120" w:after="120"/>
        <w:jc w:val="both"/>
        <w:rPr>
          <w:b/>
          <w:szCs w:val="19"/>
          <w:u w:val="single"/>
        </w:rPr>
      </w:pPr>
      <w:r w:rsidRPr="009B6525">
        <w:rPr>
          <w:b/>
          <w:szCs w:val="19"/>
          <w:u w:val="single"/>
        </w:rPr>
        <w:t>8. ODBIÓR ROBÓT</w:t>
      </w:r>
    </w:p>
    <w:p w:rsidR="004856CB" w:rsidRPr="009B6525" w:rsidRDefault="004856CB" w:rsidP="004856CB">
      <w:pPr>
        <w:tabs>
          <w:tab w:val="left" w:pos="1080"/>
        </w:tabs>
        <w:snapToGrid w:val="0"/>
        <w:outlineLvl w:val="1"/>
        <w:rPr>
          <w:b/>
          <w:szCs w:val="19"/>
        </w:rPr>
      </w:pPr>
      <w:r w:rsidRPr="009B6525">
        <w:rPr>
          <w:b/>
          <w:szCs w:val="19"/>
        </w:rPr>
        <w:t>8.1. Ogólne zasady odbioru robót</w:t>
      </w:r>
    </w:p>
    <w:p w:rsidR="004856CB" w:rsidRPr="009B6525" w:rsidRDefault="004856CB" w:rsidP="004856CB">
      <w:pPr>
        <w:tabs>
          <w:tab w:val="left" w:pos="0"/>
        </w:tabs>
        <w:jc w:val="both"/>
        <w:rPr>
          <w:szCs w:val="19"/>
        </w:rPr>
      </w:pPr>
      <w:r w:rsidRPr="009B6525">
        <w:rPr>
          <w:b/>
          <w:szCs w:val="19"/>
        </w:rPr>
        <w:tab/>
      </w:r>
      <w:r w:rsidRPr="009B6525">
        <w:rPr>
          <w:szCs w:val="19"/>
        </w:rPr>
        <w:t>Ogólne zasady odbioru robót podano w ST D-M-00.00.00 „Wymagania ogólne”.</w:t>
      </w:r>
    </w:p>
    <w:p w:rsidR="004856CB" w:rsidRPr="009B6525" w:rsidRDefault="004856CB" w:rsidP="004856CB">
      <w:pPr>
        <w:tabs>
          <w:tab w:val="left" w:pos="1080"/>
        </w:tabs>
        <w:snapToGrid w:val="0"/>
        <w:outlineLvl w:val="1"/>
        <w:rPr>
          <w:b/>
          <w:szCs w:val="19"/>
        </w:rPr>
      </w:pPr>
      <w:r w:rsidRPr="009B6525">
        <w:rPr>
          <w:b/>
          <w:szCs w:val="19"/>
        </w:rPr>
        <w:t>8.2. Sposób odbioru robót</w:t>
      </w:r>
    </w:p>
    <w:p w:rsidR="004856CB" w:rsidRPr="009B6525" w:rsidRDefault="004856CB" w:rsidP="004856CB">
      <w:pPr>
        <w:tabs>
          <w:tab w:val="left" w:pos="0"/>
        </w:tabs>
        <w:suppressAutoHyphens/>
        <w:ind w:right="-11"/>
        <w:jc w:val="both"/>
        <w:rPr>
          <w:szCs w:val="19"/>
          <w:lang w:eastAsia="ar-SA"/>
        </w:rPr>
      </w:pPr>
      <w:r w:rsidRPr="009B6525">
        <w:rPr>
          <w:szCs w:val="19"/>
          <w:lang w:eastAsia="ar-SA"/>
        </w:rPr>
        <w:tab/>
        <w:t>Odbiór robót związanych z wyznaczeniem punktów wysokosciowych w terenie następuje na podstawie szkiców i dzienników pomiarów geodezyjnych lub protokółu z kontroli geodezyjnej, które Wykonawca przedkłada Inżynierowi.</w:t>
      </w:r>
    </w:p>
    <w:p w:rsidR="004856CB" w:rsidRPr="009B6525" w:rsidRDefault="004856CB" w:rsidP="004856CB">
      <w:pPr>
        <w:widowControl w:val="0"/>
        <w:spacing w:before="120" w:after="120"/>
        <w:rPr>
          <w:b/>
          <w:szCs w:val="19"/>
          <w:u w:val="single"/>
        </w:rPr>
      </w:pPr>
      <w:r w:rsidRPr="009B6525">
        <w:rPr>
          <w:b/>
          <w:szCs w:val="19"/>
          <w:u w:val="single"/>
        </w:rPr>
        <w:t>9. PODSTAWA PŁATNOŚCI</w:t>
      </w:r>
    </w:p>
    <w:p w:rsidR="004856CB" w:rsidRPr="009B6525" w:rsidRDefault="004856CB" w:rsidP="004856CB">
      <w:pPr>
        <w:widowControl w:val="0"/>
        <w:ind w:firstLine="708"/>
        <w:jc w:val="both"/>
        <w:rPr>
          <w:szCs w:val="19"/>
        </w:rPr>
      </w:pPr>
      <w:r w:rsidRPr="009B6525">
        <w:rPr>
          <w:szCs w:val="19"/>
        </w:rPr>
        <w:t xml:space="preserve">Ogólne wymagania dotyczące płatności podano w ST D - M.00.00.00. </w:t>
      </w:r>
    </w:p>
    <w:p w:rsidR="004856CB" w:rsidRPr="009B6525" w:rsidRDefault="004856CB" w:rsidP="004856CB">
      <w:pPr>
        <w:widowControl w:val="0"/>
        <w:ind w:firstLine="708"/>
        <w:jc w:val="both"/>
        <w:rPr>
          <w:szCs w:val="19"/>
        </w:rPr>
      </w:pPr>
      <w:r w:rsidRPr="009B6525">
        <w:rPr>
          <w:szCs w:val="19"/>
        </w:rPr>
        <w:t>Płatności za l rycz. należy przyjmować na podstawie szkiców i dzienników pomiarów geodezyjnych lub protokołu z kontroli geodezyjnej.</w:t>
      </w:r>
    </w:p>
    <w:p w:rsidR="004856CB" w:rsidRPr="009B6525" w:rsidRDefault="004856CB" w:rsidP="004856CB">
      <w:pPr>
        <w:widowControl w:val="0"/>
        <w:ind w:firstLine="709"/>
        <w:jc w:val="both"/>
        <w:rPr>
          <w:szCs w:val="19"/>
        </w:rPr>
      </w:pPr>
      <w:r w:rsidRPr="009B6525">
        <w:rPr>
          <w:szCs w:val="19"/>
        </w:rPr>
        <w:t>Cena wykonania robót obejmuje :</w:t>
      </w:r>
    </w:p>
    <w:p w:rsidR="004856CB" w:rsidRPr="009B6525" w:rsidRDefault="004856CB" w:rsidP="0097494B">
      <w:pPr>
        <w:numPr>
          <w:ilvl w:val="0"/>
          <w:numId w:val="69"/>
        </w:numPr>
        <w:suppressAutoHyphens/>
        <w:ind w:left="360"/>
        <w:rPr>
          <w:szCs w:val="19"/>
        </w:rPr>
      </w:pPr>
      <w:r w:rsidRPr="009B6525">
        <w:rPr>
          <w:szCs w:val="19"/>
        </w:rPr>
        <w:t>ustalenia w Ośrodku Geodezji,</w:t>
      </w:r>
    </w:p>
    <w:p w:rsidR="004856CB" w:rsidRPr="009B6525" w:rsidRDefault="004856CB" w:rsidP="0097494B">
      <w:pPr>
        <w:numPr>
          <w:ilvl w:val="0"/>
          <w:numId w:val="69"/>
        </w:numPr>
        <w:suppressAutoHyphens/>
        <w:ind w:left="360"/>
        <w:rPr>
          <w:szCs w:val="19"/>
        </w:rPr>
      </w:pPr>
      <w:r w:rsidRPr="009B6525">
        <w:rPr>
          <w:szCs w:val="19"/>
        </w:rPr>
        <w:t>zakup materiałów</w:t>
      </w:r>
    </w:p>
    <w:p w:rsidR="004856CB" w:rsidRDefault="004856CB" w:rsidP="0097494B">
      <w:pPr>
        <w:numPr>
          <w:ilvl w:val="0"/>
          <w:numId w:val="69"/>
        </w:numPr>
        <w:suppressAutoHyphens/>
        <w:ind w:left="360"/>
        <w:rPr>
          <w:szCs w:val="19"/>
        </w:rPr>
      </w:pPr>
      <w:r w:rsidRPr="009B6525">
        <w:rPr>
          <w:szCs w:val="19"/>
        </w:rPr>
        <w:t xml:space="preserve">wytyczenie przez uprawnionego geodetę rzędnych wysokościowych </w:t>
      </w:r>
    </w:p>
    <w:p w:rsidR="004856CB" w:rsidRDefault="004856CB" w:rsidP="0097494B">
      <w:pPr>
        <w:numPr>
          <w:ilvl w:val="0"/>
          <w:numId w:val="69"/>
        </w:numPr>
        <w:suppressAutoHyphens/>
        <w:ind w:left="360"/>
        <w:rPr>
          <w:szCs w:val="19"/>
        </w:rPr>
      </w:pPr>
      <w:r>
        <w:rPr>
          <w:szCs w:val="19"/>
        </w:rPr>
        <w:t>pomiar stanu zerowego</w:t>
      </w:r>
    </w:p>
    <w:p w:rsidR="004856CB" w:rsidRDefault="004856CB" w:rsidP="0097494B">
      <w:pPr>
        <w:numPr>
          <w:ilvl w:val="0"/>
          <w:numId w:val="69"/>
        </w:numPr>
        <w:suppressAutoHyphens/>
        <w:ind w:left="360"/>
        <w:rPr>
          <w:szCs w:val="19"/>
        </w:rPr>
      </w:pPr>
      <w:r>
        <w:rPr>
          <w:szCs w:val="19"/>
        </w:rPr>
        <w:t>wytyczenie i wyznaczenie rzędnych wylewanych betonówi przedłożenie do akceptacji Inżynierowi</w:t>
      </w:r>
    </w:p>
    <w:p w:rsidR="004856CB" w:rsidRDefault="004856CB" w:rsidP="0097494B">
      <w:pPr>
        <w:numPr>
          <w:ilvl w:val="0"/>
          <w:numId w:val="28"/>
        </w:numPr>
        <w:suppressAutoHyphens/>
        <w:overflowPunct w:val="0"/>
        <w:autoSpaceDE w:val="0"/>
        <w:ind w:left="360"/>
        <w:jc w:val="both"/>
        <w:rPr>
          <w:szCs w:val="19"/>
        </w:rPr>
      </w:pPr>
      <w:r w:rsidRPr="009B6525">
        <w:rPr>
          <w:szCs w:val="19"/>
        </w:rPr>
        <w:t>sprawdzenie wyznaczenia punktów głównych osi trasy i punktów wysokościowych,</w:t>
      </w:r>
    </w:p>
    <w:p w:rsidR="004856CB" w:rsidRPr="009B6525" w:rsidRDefault="004856CB" w:rsidP="0097494B">
      <w:pPr>
        <w:numPr>
          <w:ilvl w:val="0"/>
          <w:numId w:val="28"/>
        </w:numPr>
        <w:suppressAutoHyphens/>
        <w:overflowPunct w:val="0"/>
        <w:autoSpaceDE w:val="0"/>
        <w:ind w:left="360"/>
        <w:jc w:val="both"/>
        <w:rPr>
          <w:szCs w:val="19"/>
        </w:rPr>
      </w:pPr>
      <w:r>
        <w:rPr>
          <w:szCs w:val="19"/>
        </w:rPr>
        <w:t>wytyczenie rzędnych ścieków drogowych i dosposowanie ich do spadku istniejacego</w:t>
      </w:r>
    </w:p>
    <w:p w:rsidR="004856CB" w:rsidRPr="009B6525" w:rsidRDefault="004856CB" w:rsidP="0097494B">
      <w:pPr>
        <w:numPr>
          <w:ilvl w:val="0"/>
          <w:numId w:val="28"/>
        </w:numPr>
        <w:suppressAutoHyphens/>
        <w:overflowPunct w:val="0"/>
        <w:autoSpaceDE w:val="0"/>
        <w:ind w:left="360"/>
        <w:jc w:val="both"/>
        <w:rPr>
          <w:szCs w:val="19"/>
        </w:rPr>
      </w:pPr>
      <w:r w:rsidRPr="009B6525">
        <w:rPr>
          <w:szCs w:val="19"/>
        </w:rPr>
        <w:t>uzupełnienie osi trasy dodatkowymi punktami,</w:t>
      </w:r>
    </w:p>
    <w:p w:rsidR="004856CB" w:rsidRPr="009B6525" w:rsidRDefault="004856CB" w:rsidP="0097494B">
      <w:pPr>
        <w:numPr>
          <w:ilvl w:val="0"/>
          <w:numId w:val="28"/>
        </w:numPr>
        <w:suppressAutoHyphens/>
        <w:overflowPunct w:val="0"/>
        <w:autoSpaceDE w:val="0"/>
        <w:ind w:left="360"/>
        <w:jc w:val="both"/>
        <w:rPr>
          <w:szCs w:val="19"/>
        </w:rPr>
      </w:pPr>
      <w:r w:rsidRPr="009B6525">
        <w:rPr>
          <w:szCs w:val="19"/>
        </w:rPr>
        <w:t>wyznaczenie dodatkowych punktów wysokościowych,</w:t>
      </w:r>
    </w:p>
    <w:p w:rsidR="004856CB" w:rsidRPr="009B6525" w:rsidRDefault="004856CB" w:rsidP="0097494B">
      <w:pPr>
        <w:numPr>
          <w:ilvl w:val="0"/>
          <w:numId w:val="28"/>
        </w:numPr>
        <w:suppressAutoHyphens/>
        <w:overflowPunct w:val="0"/>
        <w:autoSpaceDE w:val="0"/>
        <w:ind w:left="360"/>
        <w:jc w:val="both"/>
        <w:rPr>
          <w:szCs w:val="19"/>
        </w:rPr>
      </w:pPr>
      <w:r w:rsidRPr="009B6525">
        <w:rPr>
          <w:szCs w:val="19"/>
        </w:rPr>
        <w:t>wyznaczenie przekrojów poprzecznych z ewentualnym wytyczeniem dodatkowych przekrojów,</w:t>
      </w:r>
    </w:p>
    <w:p w:rsidR="004856CB" w:rsidRPr="009B6525" w:rsidRDefault="004856CB" w:rsidP="0097494B">
      <w:pPr>
        <w:numPr>
          <w:ilvl w:val="0"/>
          <w:numId w:val="28"/>
        </w:numPr>
        <w:suppressAutoHyphens/>
        <w:overflowPunct w:val="0"/>
        <w:autoSpaceDE w:val="0"/>
        <w:ind w:left="360"/>
        <w:jc w:val="both"/>
        <w:rPr>
          <w:szCs w:val="19"/>
        </w:rPr>
      </w:pPr>
      <w:r w:rsidRPr="009B6525">
        <w:rPr>
          <w:szCs w:val="19"/>
        </w:rPr>
        <w:t>zastabilizowanie punktów w sposób trwały, ochrona ich przed zniszczeniem i oznakowanie ułatwiające odszukanie i ewentualne odtworzenie,</w:t>
      </w:r>
    </w:p>
    <w:p w:rsidR="004856CB" w:rsidRPr="009B6525" w:rsidRDefault="004856CB" w:rsidP="0097494B">
      <w:pPr>
        <w:numPr>
          <w:ilvl w:val="0"/>
          <w:numId w:val="69"/>
        </w:numPr>
        <w:suppressAutoHyphens/>
        <w:ind w:left="360"/>
        <w:rPr>
          <w:szCs w:val="19"/>
        </w:rPr>
      </w:pPr>
      <w:r w:rsidRPr="009B6525">
        <w:rPr>
          <w:szCs w:val="19"/>
        </w:rPr>
        <w:t>pomiar powykonawczy</w:t>
      </w:r>
    </w:p>
    <w:p w:rsidR="004856CB" w:rsidRPr="009B6525" w:rsidRDefault="004856CB" w:rsidP="004856CB">
      <w:pPr>
        <w:jc w:val="both"/>
        <w:rPr>
          <w:szCs w:val="19"/>
        </w:rPr>
      </w:pPr>
      <w:r w:rsidRPr="009B6525">
        <w:rPr>
          <w:szCs w:val="19"/>
        </w:rPr>
        <w:t xml:space="preserve">Podstawą ustalenia płatności jest przyjęcie przez „Zamawiającego” wykonanych robót, potwierdzone w protokole odbioru </w:t>
      </w:r>
      <w:r w:rsidRPr="009B6525">
        <w:t>końcowego</w:t>
      </w:r>
      <w:r w:rsidRPr="009B6525">
        <w:rPr>
          <w:szCs w:val="19"/>
        </w:rPr>
        <w:t>.</w:t>
      </w:r>
    </w:p>
    <w:p w:rsidR="004856CB" w:rsidRPr="009B6525" w:rsidRDefault="004856CB" w:rsidP="004856CB">
      <w:pPr>
        <w:widowControl w:val="0"/>
        <w:spacing w:before="120" w:after="120"/>
        <w:rPr>
          <w:b/>
          <w:szCs w:val="19"/>
          <w:u w:val="single"/>
        </w:rPr>
      </w:pPr>
      <w:r w:rsidRPr="009B6525">
        <w:rPr>
          <w:b/>
          <w:szCs w:val="19"/>
          <w:u w:val="single"/>
        </w:rPr>
        <w:t>10. PRZEPISY ZWIĄZANE</w:t>
      </w:r>
    </w:p>
    <w:p w:rsidR="004856CB" w:rsidRPr="009B6525" w:rsidRDefault="004856CB" w:rsidP="0097494B">
      <w:pPr>
        <w:widowControl w:val="0"/>
        <w:numPr>
          <w:ilvl w:val="0"/>
          <w:numId w:val="70"/>
        </w:numPr>
        <w:suppressAutoHyphens/>
        <w:ind w:left="720" w:right="-142"/>
        <w:rPr>
          <w:szCs w:val="19"/>
        </w:rPr>
      </w:pPr>
      <w:r w:rsidRPr="009B6525">
        <w:rPr>
          <w:szCs w:val="19"/>
        </w:rPr>
        <w:t>Instrukcja techniczna 0-1. Ogólne zasady wykonywania prac geodezyjnych.</w:t>
      </w:r>
    </w:p>
    <w:p w:rsidR="004856CB" w:rsidRPr="009B6525" w:rsidRDefault="004856CB" w:rsidP="0097494B">
      <w:pPr>
        <w:widowControl w:val="0"/>
        <w:numPr>
          <w:ilvl w:val="0"/>
          <w:numId w:val="70"/>
        </w:numPr>
        <w:suppressAutoHyphens/>
        <w:ind w:left="720" w:right="-142"/>
        <w:rPr>
          <w:szCs w:val="19"/>
        </w:rPr>
      </w:pPr>
      <w:r w:rsidRPr="009B6525">
        <w:rPr>
          <w:szCs w:val="19"/>
        </w:rPr>
        <w:t xml:space="preserve"> Instrukcja techniczna G-3. Geodezyjna obsługa inwestycji, GUGiK-1979.</w:t>
      </w:r>
    </w:p>
    <w:p w:rsidR="004856CB" w:rsidRPr="009B6525" w:rsidRDefault="004856CB" w:rsidP="0097494B">
      <w:pPr>
        <w:widowControl w:val="0"/>
        <w:numPr>
          <w:ilvl w:val="0"/>
          <w:numId w:val="70"/>
        </w:numPr>
        <w:suppressAutoHyphens/>
        <w:ind w:left="720" w:right="-142"/>
        <w:rPr>
          <w:szCs w:val="19"/>
        </w:rPr>
      </w:pPr>
      <w:r w:rsidRPr="009B6525">
        <w:rPr>
          <w:szCs w:val="19"/>
        </w:rPr>
        <w:t>Instrukcja techniczna G-1. Geodezyjna osnowa pozioma, GUGiK-1978</w:t>
      </w:r>
    </w:p>
    <w:p w:rsidR="004856CB" w:rsidRPr="009B6525" w:rsidRDefault="004856CB" w:rsidP="0097494B">
      <w:pPr>
        <w:widowControl w:val="0"/>
        <w:numPr>
          <w:ilvl w:val="0"/>
          <w:numId w:val="70"/>
        </w:numPr>
        <w:suppressAutoHyphens/>
        <w:ind w:left="720" w:right="-142"/>
        <w:rPr>
          <w:szCs w:val="19"/>
        </w:rPr>
      </w:pPr>
      <w:r w:rsidRPr="009B6525">
        <w:rPr>
          <w:szCs w:val="19"/>
        </w:rPr>
        <w:t>Instrukcja  techniczna G-2. Wysokościowa osnowa geodezyjna, GUGiK-1983</w:t>
      </w:r>
    </w:p>
    <w:p w:rsidR="004856CB" w:rsidRPr="009B6525" w:rsidRDefault="004856CB" w:rsidP="0097494B">
      <w:pPr>
        <w:widowControl w:val="0"/>
        <w:numPr>
          <w:ilvl w:val="0"/>
          <w:numId w:val="70"/>
        </w:numPr>
        <w:suppressAutoHyphens/>
        <w:ind w:left="720" w:right="-142"/>
        <w:rPr>
          <w:szCs w:val="19"/>
        </w:rPr>
      </w:pPr>
      <w:r w:rsidRPr="009B6525">
        <w:rPr>
          <w:szCs w:val="19"/>
        </w:rPr>
        <w:t>Instrukcja techniczna G-4. Pomiary sytuacyjne i wysokościowe, GLJGiK-1979</w:t>
      </w:r>
    </w:p>
    <w:p w:rsidR="004856CB" w:rsidRPr="009B6525" w:rsidRDefault="004856CB" w:rsidP="0097494B">
      <w:pPr>
        <w:widowControl w:val="0"/>
        <w:numPr>
          <w:ilvl w:val="0"/>
          <w:numId w:val="70"/>
        </w:numPr>
        <w:suppressAutoHyphens/>
        <w:ind w:left="720" w:right="-142"/>
        <w:rPr>
          <w:szCs w:val="19"/>
        </w:rPr>
      </w:pPr>
      <w:r w:rsidRPr="009B6525">
        <w:rPr>
          <w:szCs w:val="19"/>
        </w:rPr>
        <w:t>Wytyczne techniczne G-3.2. Pomiary realizacyjne, GUGiK-1983.</w:t>
      </w:r>
    </w:p>
    <w:p w:rsidR="004856CB" w:rsidRPr="009B6525" w:rsidRDefault="004856CB" w:rsidP="004856CB">
      <w:r w:rsidRPr="009B6525">
        <w:t>Wytyczne techniczne G-3. l Osnowy realizacyjne, GUGiK-1983M.11.01.00</w:t>
      </w:r>
    </w:p>
    <w:p w:rsidR="004856CB" w:rsidRDefault="004856CB" w:rsidP="004856CB">
      <w:pPr>
        <w:rPr>
          <w:rFonts w:ascii="PL Times New Roman" w:hAnsi="PL Times New Roman"/>
          <w:b/>
          <w:bCs/>
          <w:sz w:val="26"/>
          <w:szCs w:val="26"/>
        </w:rPr>
      </w:pPr>
      <w:r>
        <w:rPr>
          <w:rFonts w:ascii="PL Times New Roman" w:hAnsi="PL Times New Roman"/>
          <w:b/>
          <w:bCs/>
          <w:sz w:val="26"/>
          <w:szCs w:val="26"/>
        </w:rPr>
        <w:br w:type="page"/>
      </w:r>
    </w:p>
    <w:p w:rsidR="004856CB" w:rsidRPr="000222D0" w:rsidRDefault="004856CB" w:rsidP="004856CB">
      <w:pPr>
        <w:jc w:val="both"/>
        <w:outlineLvl w:val="0"/>
        <w:rPr>
          <w:rFonts w:ascii="PL Times New Roman" w:hAnsi="PL Times New Roman"/>
          <w:b/>
          <w:snapToGrid w:val="0"/>
          <w:sz w:val="26"/>
        </w:rPr>
      </w:pPr>
      <w:bookmarkStart w:id="98" w:name="_Toc80100099"/>
      <w:r>
        <w:rPr>
          <w:rFonts w:ascii="PL Times New Roman" w:hAnsi="PL Times New Roman"/>
          <w:b/>
          <w:snapToGrid w:val="0"/>
          <w:sz w:val="26"/>
        </w:rPr>
        <w:t>M.20.02.17. MONTAŻ REPERÓW I ZNAKÓW WYSOKOŚCIOWYCH</w:t>
      </w:r>
      <w:bookmarkEnd w:id="98"/>
    </w:p>
    <w:p w:rsidR="004856CB" w:rsidRPr="000222D0" w:rsidRDefault="004856CB" w:rsidP="004856CB">
      <w:pPr>
        <w:widowControl w:val="0"/>
        <w:spacing w:before="120" w:after="120"/>
        <w:jc w:val="both"/>
        <w:rPr>
          <w:b/>
          <w:noProof/>
          <w:snapToGrid w:val="0"/>
          <w:u w:val="single"/>
        </w:rPr>
      </w:pPr>
      <w:r w:rsidRPr="000222D0">
        <w:rPr>
          <w:b/>
          <w:noProof/>
          <w:snapToGrid w:val="0"/>
          <w:u w:val="single"/>
        </w:rPr>
        <w:t>1. WSTĘP</w:t>
      </w:r>
    </w:p>
    <w:p w:rsidR="004856CB" w:rsidRPr="000222D0" w:rsidRDefault="004856CB" w:rsidP="004856CB">
      <w:pPr>
        <w:autoSpaceDE w:val="0"/>
        <w:autoSpaceDN w:val="0"/>
        <w:adjustRightInd w:val="0"/>
        <w:rPr>
          <w:b/>
          <w:bCs/>
        </w:rPr>
      </w:pPr>
      <w:r w:rsidRPr="000222D0">
        <w:rPr>
          <w:b/>
          <w:bCs/>
        </w:rPr>
        <w:t>1.1. Przedmiot SST</w:t>
      </w:r>
    </w:p>
    <w:p w:rsidR="004856CB" w:rsidRDefault="004856CB" w:rsidP="004856CB">
      <w:pPr>
        <w:widowControl w:val="0"/>
        <w:jc w:val="both"/>
        <w:rPr>
          <w:snapToGrid w:val="0"/>
        </w:rPr>
      </w:pPr>
      <w:r w:rsidRPr="00F85B5B">
        <w:rPr>
          <w:snapToGrid w:val="0"/>
        </w:rPr>
        <w:t>Przedmiotem niniejszej Specyfikacji Technicznej są wymagania dotyczące wykonan</w:t>
      </w:r>
      <w:r>
        <w:rPr>
          <w:snapToGrid w:val="0"/>
        </w:rPr>
        <w:t xml:space="preserve">ia i odbioru robót </w:t>
      </w:r>
      <w:r w:rsidRPr="0075125F">
        <w:rPr>
          <w:snapToGrid w:val="0"/>
        </w:rPr>
        <w:t xml:space="preserve">związanych </w:t>
      </w:r>
      <w:r w:rsidRPr="007D5241">
        <w:rPr>
          <w:snapToGrid w:val="0"/>
        </w:rPr>
        <w:t xml:space="preserve">z </w:t>
      </w:r>
      <w:r w:rsidRPr="00641AB0">
        <w:rPr>
          <w:snapToGrid w:val="0"/>
        </w:rPr>
        <w:t>tyczeniem obiektu oraz założeniem punktów pomiarowo – kontrolnych</w:t>
      </w:r>
      <w:r w:rsidRPr="00F85B5B">
        <w:rPr>
          <w:snapToGrid w:val="0"/>
        </w:rPr>
        <w:t>w ramach zadania.</w:t>
      </w:r>
      <w:r>
        <w:rPr>
          <w:snapToGrid w:val="0"/>
        </w:rPr>
        <w:t xml:space="preserve">: </w:t>
      </w:r>
      <w:r>
        <w:rPr>
          <w:bCs/>
        </w:rPr>
        <w:t>"Remont przepustu nad rzeką Postomia w ciągu drogi nr 445/k.2922 m. Wędrzyn</w:t>
      </w:r>
    </w:p>
    <w:p w:rsidR="004856CB" w:rsidRPr="00F85B5B" w:rsidRDefault="004856CB" w:rsidP="004856CB">
      <w:pPr>
        <w:widowControl w:val="0"/>
        <w:jc w:val="both"/>
        <w:rPr>
          <w:snapToGrid w:val="0"/>
        </w:rPr>
      </w:pPr>
    </w:p>
    <w:p w:rsidR="004856CB" w:rsidRPr="000222D0" w:rsidRDefault="004856CB" w:rsidP="004856CB">
      <w:pPr>
        <w:autoSpaceDE w:val="0"/>
        <w:autoSpaceDN w:val="0"/>
        <w:adjustRightInd w:val="0"/>
        <w:rPr>
          <w:b/>
          <w:bCs/>
        </w:rPr>
      </w:pPr>
      <w:r w:rsidRPr="000222D0">
        <w:rPr>
          <w:b/>
          <w:bCs/>
        </w:rPr>
        <w:t>1.2. Zakres stosowania SST</w:t>
      </w:r>
    </w:p>
    <w:p w:rsidR="004856CB" w:rsidRDefault="004856CB" w:rsidP="004856CB">
      <w:pPr>
        <w:widowControl w:val="0"/>
        <w:jc w:val="both"/>
        <w:rPr>
          <w:snapToGrid w:val="0"/>
        </w:rPr>
      </w:pPr>
      <w:r w:rsidRPr="000222D0">
        <w:rPr>
          <w:snapToGrid w:val="0"/>
        </w:rPr>
        <w:t xml:space="preserve">Specyfikacja Techniczna jest stosowana jako dokument przetargowy i kontraktowy przy zlecaniu i realizacji robót wymienionych w punkcie 1.1. </w:t>
      </w:r>
    </w:p>
    <w:p w:rsidR="004856CB" w:rsidRPr="000222D0" w:rsidRDefault="004856CB" w:rsidP="004856CB">
      <w:pPr>
        <w:widowControl w:val="0"/>
        <w:jc w:val="both"/>
        <w:rPr>
          <w:snapToGrid w:val="0"/>
        </w:rPr>
      </w:pPr>
    </w:p>
    <w:p w:rsidR="004856CB" w:rsidRPr="007D5241" w:rsidRDefault="004856CB" w:rsidP="004856CB">
      <w:pPr>
        <w:autoSpaceDE w:val="0"/>
        <w:autoSpaceDN w:val="0"/>
        <w:adjustRightInd w:val="0"/>
        <w:rPr>
          <w:b/>
          <w:bCs/>
        </w:rPr>
      </w:pPr>
      <w:r w:rsidRPr="000222D0">
        <w:rPr>
          <w:b/>
          <w:bCs/>
        </w:rPr>
        <w:t>1.3. Zakres robót objętych SST</w:t>
      </w:r>
    </w:p>
    <w:p w:rsidR="004856CB" w:rsidRDefault="004856CB" w:rsidP="004856CB">
      <w:pPr>
        <w:widowControl w:val="0"/>
        <w:jc w:val="both"/>
        <w:rPr>
          <w:snapToGrid w:val="0"/>
        </w:rPr>
      </w:pPr>
    </w:p>
    <w:p w:rsidR="004856CB" w:rsidRPr="00641AB0" w:rsidRDefault="004856CB" w:rsidP="004856CB">
      <w:pPr>
        <w:widowControl w:val="0"/>
        <w:jc w:val="both"/>
        <w:rPr>
          <w:snapToGrid w:val="0"/>
        </w:rPr>
      </w:pPr>
      <w:r w:rsidRPr="00641AB0">
        <w:rPr>
          <w:snapToGrid w:val="0"/>
        </w:rPr>
        <w:t>Ustalenia zawarte w niniejszej specyfikacji dotyczą wykonania:</w:t>
      </w:r>
    </w:p>
    <w:p w:rsidR="004856CB" w:rsidRPr="00641AB0" w:rsidRDefault="004856CB" w:rsidP="004856CB">
      <w:pPr>
        <w:widowControl w:val="0"/>
        <w:ind w:firstLine="709"/>
        <w:jc w:val="both"/>
        <w:rPr>
          <w:snapToGrid w:val="0"/>
        </w:rPr>
      </w:pPr>
      <w:r>
        <w:rPr>
          <w:snapToGrid w:val="0"/>
        </w:rPr>
        <w:t xml:space="preserve">- </w:t>
      </w:r>
      <w:r w:rsidRPr="00641AB0">
        <w:rPr>
          <w:snapToGrid w:val="0"/>
        </w:rPr>
        <w:t>osadzenia znaków wysokościowych w konstrukcji obiektu</w:t>
      </w:r>
      <w:r>
        <w:rPr>
          <w:snapToGrid w:val="0"/>
        </w:rPr>
        <w:t xml:space="preserve"> szt. 6</w:t>
      </w:r>
      <w:r w:rsidRPr="00641AB0">
        <w:rPr>
          <w:snapToGrid w:val="0"/>
        </w:rPr>
        <w:t>,</w:t>
      </w:r>
    </w:p>
    <w:p w:rsidR="004856CB" w:rsidRPr="00641AB0" w:rsidRDefault="004856CB" w:rsidP="004856CB">
      <w:pPr>
        <w:widowControl w:val="0"/>
        <w:ind w:firstLine="709"/>
        <w:jc w:val="both"/>
        <w:rPr>
          <w:snapToGrid w:val="0"/>
        </w:rPr>
      </w:pPr>
      <w:r>
        <w:rPr>
          <w:snapToGrid w:val="0"/>
        </w:rPr>
        <w:t xml:space="preserve">- </w:t>
      </w:r>
      <w:r w:rsidRPr="00641AB0">
        <w:rPr>
          <w:snapToGrid w:val="0"/>
        </w:rPr>
        <w:t>wykonania znaków wysokościowych w gruncie szt. 2</w:t>
      </w:r>
    </w:p>
    <w:p w:rsidR="004856CB" w:rsidRDefault="004856CB" w:rsidP="004856CB">
      <w:pPr>
        <w:widowControl w:val="0"/>
        <w:jc w:val="both"/>
        <w:rPr>
          <w:snapToGrid w:val="0"/>
        </w:rPr>
      </w:pPr>
    </w:p>
    <w:p w:rsidR="004856CB" w:rsidRPr="008D27A8" w:rsidRDefault="004856CB" w:rsidP="004856CB">
      <w:pPr>
        <w:autoSpaceDE w:val="0"/>
        <w:autoSpaceDN w:val="0"/>
        <w:adjustRightInd w:val="0"/>
        <w:rPr>
          <w:b/>
          <w:bCs/>
        </w:rPr>
      </w:pPr>
      <w:r w:rsidRPr="008D27A8">
        <w:rPr>
          <w:b/>
          <w:bCs/>
        </w:rPr>
        <w:t>1.4. Określenia podstawowe</w:t>
      </w:r>
    </w:p>
    <w:p w:rsidR="004856CB" w:rsidRDefault="004856CB" w:rsidP="004856CB">
      <w:pPr>
        <w:widowControl w:val="0"/>
        <w:ind w:firstLine="709"/>
        <w:jc w:val="both"/>
        <w:rPr>
          <w:snapToGrid w:val="0"/>
        </w:rPr>
      </w:pPr>
      <w:r w:rsidRPr="008D27A8">
        <w:rPr>
          <w:snapToGrid w:val="0"/>
        </w:rPr>
        <w:t xml:space="preserve">Określenia podstawowe są zgodne z obowiązującymi, odpowiednimi polskimi normami i </w:t>
      </w:r>
      <w:r>
        <w:rPr>
          <w:snapToGrid w:val="0"/>
        </w:rPr>
        <w:t>z definicjami podanymi w ST</w:t>
      </w:r>
      <w:r w:rsidRPr="008D27A8">
        <w:rPr>
          <w:snapToGrid w:val="0"/>
        </w:rPr>
        <w:t xml:space="preserve"> D</w:t>
      </w:r>
      <w:r>
        <w:rPr>
          <w:snapToGrid w:val="0"/>
        </w:rPr>
        <w:t>-</w:t>
      </w:r>
      <w:r w:rsidRPr="008D27A8">
        <w:rPr>
          <w:snapToGrid w:val="0"/>
        </w:rPr>
        <w:t>M.00.00.00 „Wymagania ogólne” pkt 1.4.</w:t>
      </w:r>
    </w:p>
    <w:p w:rsidR="004856CB" w:rsidRDefault="004856CB" w:rsidP="004856CB">
      <w:pPr>
        <w:widowControl w:val="0"/>
        <w:jc w:val="both"/>
        <w:rPr>
          <w:snapToGrid w:val="0"/>
        </w:rPr>
      </w:pPr>
    </w:p>
    <w:p w:rsidR="004856CB" w:rsidRDefault="004856CB" w:rsidP="004856CB">
      <w:pPr>
        <w:widowControl w:val="0"/>
        <w:jc w:val="both"/>
        <w:rPr>
          <w:snapToGrid w:val="0"/>
        </w:rPr>
      </w:pPr>
      <w:r>
        <w:rPr>
          <w:b/>
          <w:bCs/>
        </w:rPr>
        <w:t>1.5</w:t>
      </w:r>
      <w:r w:rsidRPr="008D27A8">
        <w:rPr>
          <w:b/>
          <w:bCs/>
        </w:rPr>
        <w:t xml:space="preserve">. </w:t>
      </w:r>
      <w:r>
        <w:rPr>
          <w:b/>
          <w:bCs/>
        </w:rPr>
        <w:t>Ogólne wymagania dotyczące robót</w:t>
      </w:r>
    </w:p>
    <w:p w:rsidR="004856CB" w:rsidRDefault="004856CB" w:rsidP="004856CB">
      <w:pPr>
        <w:widowControl w:val="0"/>
        <w:ind w:firstLine="709"/>
        <w:jc w:val="both"/>
        <w:rPr>
          <w:snapToGrid w:val="0"/>
        </w:rPr>
      </w:pPr>
      <w:r w:rsidRPr="008D27A8">
        <w:rPr>
          <w:snapToGrid w:val="0"/>
        </w:rPr>
        <w:t xml:space="preserve">Ogólne wymagania </w:t>
      </w:r>
      <w:r>
        <w:rPr>
          <w:snapToGrid w:val="0"/>
        </w:rPr>
        <w:t>dotyczące robót podano w ST</w:t>
      </w:r>
      <w:r w:rsidRPr="008D27A8">
        <w:rPr>
          <w:snapToGrid w:val="0"/>
        </w:rPr>
        <w:t xml:space="preserve"> D</w:t>
      </w:r>
      <w:r>
        <w:rPr>
          <w:snapToGrid w:val="0"/>
        </w:rPr>
        <w:t>-</w:t>
      </w:r>
      <w:r w:rsidRPr="008D27A8">
        <w:rPr>
          <w:snapToGrid w:val="0"/>
        </w:rPr>
        <w:t>M.00.00.00 „Wymagania ogólne”</w:t>
      </w:r>
    </w:p>
    <w:p w:rsidR="004856CB" w:rsidRPr="00641AB0" w:rsidRDefault="004856CB" w:rsidP="004856CB">
      <w:pPr>
        <w:widowControl w:val="0"/>
        <w:ind w:firstLine="709"/>
        <w:jc w:val="both"/>
        <w:rPr>
          <w:snapToGrid w:val="0"/>
        </w:rPr>
      </w:pPr>
      <w:r w:rsidRPr="00641AB0">
        <w:rPr>
          <w:snapToGrid w:val="0"/>
        </w:rPr>
        <w:t>Wykonawca jest odpowiedzialny za jakość stosowanych materiałów, zgodną ze Szczegółową Specyfikacją Techniczną oraz zaleceniami Inspektora nadzoru.</w:t>
      </w:r>
    </w:p>
    <w:p w:rsidR="004856CB" w:rsidRPr="00641AB0" w:rsidRDefault="004856CB" w:rsidP="004856CB">
      <w:pPr>
        <w:widowControl w:val="0"/>
        <w:ind w:firstLine="709"/>
        <w:jc w:val="both"/>
        <w:rPr>
          <w:snapToGrid w:val="0"/>
        </w:rPr>
      </w:pPr>
      <w:r w:rsidRPr="00641AB0">
        <w:rPr>
          <w:snapToGrid w:val="0"/>
        </w:rPr>
        <w:t>Przy wykonywaniu zakładania punktów pomiarowo kontrolnych należy przestrzegać Dz. U. 63 „Rozporządzenie Ministra Transportu i Gospodarki Morskiej z dnia 30.05.2000r. w sprawie warunków technicznych, jakim powinny odpowiadać drogowe obiekty inżynierskie i ich usytuowanie”.</w:t>
      </w:r>
    </w:p>
    <w:p w:rsidR="004856CB" w:rsidRPr="00641AB0" w:rsidRDefault="004856CB" w:rsidP="004856CB">
      <w:pPr>
        <w:widowControl w:val="0"/>
        <w:ind w:firstLine="709"/>
        <w:jc w:val="both"/>
        <w:rPr>
          <w:snapToGrid w:val="0"/>
        </w:rPr>
      </w:pPr>
      <w:r w:rsidRPr="00641AB0">
        <w:rPr>
          <w:snapToGrid w:val="0"/>
        </w:rPr>
        <w:t xml:space="preserve">Ogólne wymagania podano w SST D.M.00.00.00. Roboty powinny być wykonane zgodnie z Dokumentacją Projektową i SST. </w:t>
      </w:r>
    </w:p>
    <w:p w:rsidR="004856CB" w:rsidRDefault="004856CB" w:rsidP="004856CB">
      <w:pPr>
        <w:widowControl w:val="0"/>
        <w:jc w:val="both"/>
        <w:rPr>
          <w:snapToGrid w:val="0"/>
        </w:rPr>
      </w:pPr>
    </w:p>
    <w:p w:rsidR="004856CB" w:rsidRDefault="004856CB" w:rsidP="004856CB">
      <w:pPr>
        <w:widowControl w:val="0"/>
        <w:spacing w:before="120" w:after="120"/>
        <w:jc w:val="both"/>
        <w:rPr>
          <w:b/>
          <w:noProof/>
          <w:snapToGrid w:val="0"/>
          <w:u w:val="single"/>
        </w:rPr>
      </w:pPr>
      <w:r w:rsidRPr="000222D0">
        <w:rPr>
          <w:b/>
          <w:noProof/>
          <w:snapToGrid w:val="0"/>
          <w:u w:val="single"/>
        </w:rPr>
        <w:t>2. MATERIAŁY</w:t>
      </w:r>
    </w:p>
    <w:p w:rsidR="004856CB" w:rsidRDefault="004856CB" w:rsidP="004856CB">
      <w:pPr>
        <w:widowControl w:val="0"/>
        <w:jc w:val="both"/>
        <w:rPr>
          <w:b/>
          <w:bCs/>
        </w:rPr>
      </w:pPr>
    </w:p>
    <w:p w:rsidR="004856CB" w:rsidRPr="00CE478B" w:rsidRDefault="004856CB" w:rsidP="004856CB">
      <w:pPr>
        <w:widowControl w:val="0"/>
        <w:ind w:firstLine="709"/>
        <w:jc w:val="both"/>
        <w:rPr>
          <w:snapToGrid w:val="0"/>
        </w:rPr>
      </w:pPr>
      <w:r w:rsidRPr="0088130F">
        <w:rPr>
          <w:snapToGrid w:val="0"/>
        </w:rPr>
        <w:t>Ogólne wymagania dotyczące materiałów, ich poz</w:t>
      </w:r>
      <w:r>
        <w:rPr>
          <w:snapToGrid w:val="0"/>
        </w:rPr>
        <w:t>yskiwania i składow., wg ST</w:t>
      </w:r>
      <w:r w:rsidRPr="0088130F">
        <w:rPr>
          <w:snapToGrid w:val="0"/>
        </w:rPr>
        <w:t xml:space="preserve"> D</w:t>
      </w:r>
      <w:r>
        <w:rPr>
          <w:snapToGrid w:val="0"/>
        </w:rPr>
        <w:t>-</w:t>
      </w:r>
      <w:r w:rsidRPr="0088130F">
        <w:rPr>
          <w:snapToGrid w:val="0"/>
        </w:rPr>
        <w:t>M.00.00.00 „Wymagania ogólne”</w:t>
      </w:r>
    </w:p>
    <w:p w:rsidR="004856CB" w:rsidRPr="00CE478B" w:rsidRDefault="004856CB" w:rsidP="004856CB">
      <w:pPr>
        <w:widowControl w:val="0"/>
        <w:ind w:firstLine="709"/>
        <w:jc w:val="both"/>
        <w:rPr>
          <w:snapToGrid w:val="0"/>
        </w:rPr>
      </w:pPr>
      <w:r w:rsidRPr="0075125F">
        <w:rPr>
          <w:snapToGrid w:val="0"/>
        </w:rPr>
        <w:t xml:space="preserve">Przed przystąpieniem do wbudowywania materiału Wykonawca zobowiązany jest do przedstawienia przy każdej dostawie deklaracji </w:t>
      </w:r>
      <w:r>
        <w:rPr>
          <w:snapToGrid w:val="0"/>
        </w:rPr>
        <w:t>właściwości</w:t>
      </w:r>
      <w:r w:rsidRPr="0075125F">
        <w:rPr>
          <w:snapToGrid w:val="0"/>
        </w:rPr>
        <w:t xml:space="preserve"> użytkowych materiału objętego normą zharmonizowaną lub europejską oceną techniczną lub europejską aprobatą techniczną, lub krajowej deklaracji </w:t>
      </w:r>
      <w:r>
        <w:rPr>
          <w:snapToGrid w:val="0"/>
        </w:rPr>
        <w:t>właściwości</w:t>
      </w:r>
      <w:r w:rsidRPr="0075125F">
        <w:rPr>
          <w:snapToGrid w:val="0"/>
        </w:rPr>
        <w:t xml:space="preserve"> użytkowych dla materiału objętego Polską Normą lub krajową oceną techniczną lub aprobatą techniczną, a także kart technicznych i instrukcji użytkowania poszczególnych materiałów. Za sprawdzenie przydatności materiałów oraz jakość wbudowania odpowiada Wykonawca.</w:t>
      </w:r>
    </w:p>
    <w:p w:rsidR="004856CB" w:rsidRDefault="004856CB" w:rsidP="004856CB">
      <w:pPr>
        <w:widowControl w:val="0"/>
        <w:jc w:val="both"/>
        <w:rPr>
          <w:b/>
          <w:bCs/>
        </w:rPr>
      </w:pPr>
    </w:p>
    <w:p w:rsidR="004856CB" w:rsidRPr="00641AB0" w:rsidRDefault="004856CB" w:rsidP="004856CB">
      <w:pPr>
        <w:widowControl w:val="0"/>
        <w:ind w:firstLine="709"/>
        <w:jc w:val="both"/>
        <w:rPr>
          <w:snapToGrid w:val="0"/>
        </w:rPr>
      </w:pPr>
      <w:r w:rsidRPr="00641AB0">
        <w:rPr>
          <w:snapToGrid w:val="0"/>
        </w:rPr>
        <w:t>Materiałami stosowanymi do zakładania punktów pomiarowo kontrolnych według zasad niniejszej SST są:</w:t>
      </w:r>
    </w:p>
    <w:p w:rsidR="004856CB" w:rsidRPr="00641AB0" w:rsidRDefault="004856CB" w:rsidP="004856CB">
      <w:pPr>
        <w:widowControl w:val="0"/>
        <w:ind w:firstLine="709"/>
        <w:jc w:val="both"/>
        <w:rPr>
          <w:snapToGrid w:val="0"/>
        </w:rPr>
      </w:pPr>
      <w:r w:rsidRPr="00641AB0">
        <w:rPr>
          <w:snapToGrid w:val="0"/>
        </w:rPr>
        <w:t>- repery stalowe wbetonowane w podpory i płytę</w:t>
      </w:r>
    </w:p>
    <w:p w:rsidR="004856CB" w:rsidRPr="00641AB0" w:rsidRDefault="004856CB" w:rsidP="004856CB">
      <w:pPr>
        <w:widowControl w:val="0"/>
        <w:ind w:firstLine="709"/>
        <w:jc w:val="both"/>
        <w:rPr>
          <w:snapToGrid w:val="0"/>
        </w:rPr>
      </w:pPr>
      <w:r w:rsidRPr="00641AB0">
        <w:rPr>
          <w:snapToGrid w:val="0"/>
        </w:rPr>
        <w:t>- świadki</w:t>
      </w:r>
    </w:p>
    <w:p w:rsidR="004856CB" w:rsidRPr="00641AB0" w:rsidRDefault="004856CB" w:rsidP="004856CB">
      <w:pPr>
        <w:widowControl w:val="0"/>
        <w:ind w:firstLine="709"/>
        <w:jc w:val="both"/>
        <w:rPr>
          <w:snapToGrid w:val="0"/>
        </w:rPr>
      </w:pPr>
      <w:r w:rsidRPr="00641AB0">
        <w:rPr>
          <w:snapToGrid w:val="0"/>
        </w:rPr>
        <w:t>- materiały do wykonania stałego znaku w gruncie</w:t>
      </w:r>
    </w:p>
    <w:p w:rsidR="004856CB" w:rsidRDefault="004856CB" w:rsidP="004856CB">
      <w:pPr>
        <w:widowControl w:val="0"/>
        <w:jc w:val="both"/>
        <w:rPr>
          <w:snapToGrid w:val="0"/>
        </w:rPr>
      </w:pPr>
      <w:r w:rsidRPr="00641AB0">
        <w:rPr>
          <w:snapToGrid w:val="0"/>
        </w:rPr>
        <w:t>bądź inne materiały akceptowane przez Inspektora Nadzoru.</w:t>
      </w:r>
    </w:p>
    <w:p w:rsidR="004856CB" w:rsidRPr="000A0506" w:rsidRDefault="004856CB" w:rsidP="004856CB">
      <w:pPr>
        <w:widowControl w:val="0"/>
        <w:jc w:val="both"/>
        <w:rPr>
          <w:snapToGrid w:val="0"/>
        </w:rPr>
      </w:pPr>
    </w:p>
    <w:p w:rsidR="004856CB" w:rsidRDefault="004856CB" w:rsidP="004856CB">
      <w:pPr>
        <w:widowControl w:val="0"/>
        <w:spacing w:before="120" w:after="120"/>
        <w:jc w:val="both"/>
        <w:rPr>
          <w:b/>
          <w:noProof/>
          <w:snapToGrid w:val="0"/>
          <w:u w:val="single"/>
        </w:rPr>
      </w:pPr>
      <w:r w:rsidRPr="000222D0">
        <w:rPr>
          <w:b/>
          <w:noProof/>
          <w:snapToGrid w:val="0"/>
          <w:u w:val="single"/>
        </w:rPr>
        <w:t>3. SPRZĘT</w:t>
      </w:r>
    </w:p>
    <w:p w:rsidR="004856CB" w:rsidRDefault="004856CB" w:rsidP="004856CB">
      <w:pPr>
        <w:widowControl w:val="0"/>
        <w:ind w:firstLine="709"/>
        <w:jc w:val="both"/>
        <w:rPr>
          <w:snapToGrid w:val="0"/>
        </w:rPr>
      </w:pPr>
      <w:r w:rsidRPr="001F1073">
        <w:rPr>
          <w:snapToGrid w:val="0"/>
        </w:rPr>
        <w:t>Do wyznaczania punktów pomiarowo kontrolnych należy stosować sprzęt:</w:t>
      </w:r>
    </w:p>
    <w:p w:rsidR="004856CB" w:rsidRPr="00566A85" w:rsidRDefault="004856CB" w:rsidP="004856CB">
      <w:pPr>
        <w:ind w:left="1069" w:firstLine="349"/>
        <w:jc w:val="both"/>
        <w:rPr>
          <w:rFonts w:ascii="Arial" w:hAnsi="Arial" w:cs="Arial"/>
        </w:rPr>
      </w:pPr>
      <w:r>
        <w:rPr>
          <w:snapToGrid w:val="0"/>
        </w:rPr>
        <w:t xml:space="preserve">- </w:t>
      </w:r>
      <w:r w:rsidRPr="001F1073">
        <w:rPr>
          <w:snapToGrid w:val="0"/>
        </w:rPr>
        <w:t>teodolity</w:t>
      </w:r>
      <w:r w:rsidRPr="00566A85">
        <w:rPr>
          <w:rFonts w:ascii="Arial" w:hAnsi="Arial" w:cs="Arial"/>
        </w:rPr>
        <w:t>,</w:t>
      </w:r>
    </w:p>
    <w:p w:rsidR="004856CB" w:rsidRPr="001F1073" w:rsidRDefault="004856CB" w:rsidP="004856CB">
      <w:pPr>
        <w:ind w:left="1069" w:firstLine="349"/>
        <w:jc w:val="both"/>
        <w:rPr>
          <w:snapToGrid w:val="0"/>
        </w:rPr>
      </w:pPr>
      <w:r>
        <w:rPr>
          <w:snapToGrid w:val="0"/>
        </w:rPr>
        <w:t xml:space="preserve">- </w:t>
      </w:r>
      <w:r w:rsidRPr="001F1073">
        <w:rPr>
          <w:snapToGrid w:val="0"/>
        </w:rPr>
        <w:t>niwelatory,</w:t>
      </w:r>
    </w:p>
    <w:p w:rsidR="004856CB" w:rsidRPr="001F1073" w:rsidRDefault="004856CB" w:rsidP="004856CB">
      <w:pPr>
        <w:ind w:left="1069" w:firstLine="349"/>
        <w:jc w:val="both"/>
        <w:rPr>
          <w:snapToGrid w:val="0"/>
        </w:rPr>
      </w:pPr>
      <w:r>
        <w:rPr>
          <w:snapToGrid w:val="0"/>
        </w:rPr>
        <w:t xml:space="preserve">- </w:t>
      </w:r>
      <w:r w:rsidRPr="001F1073">
        <w:rPr>
          <w:snapToGrid w:val="0"/>
        </w:rPr>
        <w:t>tyczki,</w:t>
      </w:r>
    </w:p>
    <w:p w:rsidR="004856CB" w:rsidRPr="001F1073" w:rsidRDefault="004856CB" w:rsidP="004856CB">
      <w:pPr>
        <w:ind w:left="1069" w:firstLine="349"/>
        <w:jc w:val="both"/>
        <w:rPr>
          <w:snapToGrid w:val="0"/>
        </w:rPr>
      </w:pPr>
      <w:r>
        <w:rPr>
          <w:snapToGrid w:val="0"/>
        </w:rPr>
        <w:t xml:space="preserve">- </w:t>
      </w:r>
      <w:r w:rsidRPr="001F1073">
        <w:rPr>
          <w:snapToGrid w:val="0"/>
        </w:rPr>
        <w:t>łaty,</w:t>
      </w:r>
    </w:p>
    <w:p w:rsidR="004856CB" w:rsidRPr="001F1073" w:rsidRDefault="004856CB" w:rsidP="004856CB">
      <w:pPr>
        <w:ind w:left="1069" w:firstLine="349"/>
        <w:jc w:val="both"/>
        <w:rPr>
          <w:snapToGrid w:val="0"/>
        </w:rPr>
      </w:pPr>
      <w:r>
        <w:rPr>
          <w:snapToGrid w:val="0"/>
        </w:rPr>
        <w:t xml:space="preserve">- </w:t>
      </w:r>
      <w:r w:rsidRPr="001F1073">
        <w:rPr>
          <w:snapToGrid w:val="0"/>
        </w:rPr>
        <w:t>taśmy stalowe, szpilki,</w:t>
      </w:r>
    </w:p>
    <w:p w:rsidR="004856CB" w:rsidRPr="001F1073" w:rsidRDefault="004856CB" w:rsidP="004856CB">
      <w:pPr>
        <w:ind w:left="1069" w:firstLine="349"/>
        <w:jc w:val="both"/>
        <w:rPr>
          <w:snapToGrid w:val="0"/>
        </w:rPr>
      </w:pPr>
      <w:r>
        <w:rPr>
          <w:snapToGrid w:val="0"/>
        </w:rPr>
        <w:t xml:space="preserve">- </w:t>
      </w:r>
      <w:r w:rsidRPr="001F1073">
        <w:rPr>
          <w:snapToGrid w:val="0"/>
        </w:rPr>
        <w:t>wiertarki,</w:t>
      </w:r>
    </w:p>
    <w:p w:rsidR="004856CB" w:rsidRPr="001F1073" w:rsidRDefault="004856CB" w:rsidP="004856CB">
      <w:pPr>
        <w:ind w:left="1069" w:firstLine="349"/>
        <w:jc w:val="both"/>
        <w:rPr>
          <w:snapToGrid w:val="0"/>
        </w:rPr>
      </w:pPr>
      <w:r>
        <w:rPr>
          <w:snapToGrid w:val="0"/>
        </w:rPr>
        <w:t xml:space="preserve">- </w:t>
      </w:r>
      <w:r w:rsidRPr="001F1073">
        <w:rPr>
          <w:snapToGrid w:val="0"/>
        </w:rPr>
        <w:t>mieszarki,</w:t>
      </w:r>
    </w:p>
    <w:p w:rsidR="004856CB" w:rsidRDefault="004856CB" w:rsidP="004856CB">
      <w:pPr>
        <w:ind w:left="1069" w:firstLine="349"/>
        <w:jc w:val="both"/>
        <w:rPr>
          <w:snapToGrid w:val="0"/>
        </w:rPr>
      </w:pPr>
      <w:r>
        <w:rPr>
          <w:snapToGrid w:val="0"/>
        </w:rPr>
        <w:t xml:space="preserve">- </w:t>
      </w:r>
      <w:r w:rsidRPr="001F1073">
        <w:rPr>
          <w:snapToGrid w:val="0"/>
        </w:rPr>
        <w:t>drobny sprzęt ręczny</w:t>
      </w:r>
    </w:p>
    <w:p w:rsidR="004856CB" w:rsidRDefault="004856CB" w:rsidP="004856CB">
      <w:pPr>
        <w:widowControl w:val="0"/>
        <w:jc w:val="both"/>
        <w:rPr>
          <w:snapToGrid w:val="0"/>
        </w:rPr>
      </w:pPr>
      <w:r w:rsidRPr="001F1073">
        <w:rPr>
          <w:snapToGrid w:val="0"/>
        </w:rPr>
        <w:t>lub inny sprzęt akceptowany przez Inspektora Nadzoru.</w:t>
      </w:r>
    </w:p>
    <w:p w:rsidR="004856CB" w:rsidRDefault="004856CB" w:rsidP="004856CB">
      <w:pPr>
        <w:widowControl w:val="0"/>
        <w:spacing w:before="120" w:after="120"/>
        <w:jc w:val="both"/>
        <w:rPr>
          <w:b/>
          <w:noProof/>
          <w:snapToGrid w:val="0"/>
          <w:u w:val="single"/>
        </w:rPr>
      </w:pPr>
      <w:r w:rsidRPr="000222D0">
        <w:rPr>
          <w:b/>
          <w:noProof/>
          <w:snapToGrid w:val="0"/>
          <w:u w:val="single"/>
        </w:rPr>
        <w:t>4. TRANSPORT</w:t>
      </w:r>
    </w:p>
    <w:p w:rsidR="004856CB" w:rsidRPr="001F1073" w:rsidRDefault="004856CB" w:rsidP="004856CB">
      <w:pPr>
        <w:widowControl w:val="0"/>
        <w:ind w:firstLine="709"/>
        <w:jc w:val="both"/>
        <w:rPr>
          <w:snapToGrid w:val="0"/>
        </w:rPr>
      </w:pPr>
      <w:r w:rsidRPr="001F1073">
        <w:rPr>
          <w:snapToGrid w:val="0"/>
        </w:rPr>
        <w:t>Ogólne wymagania dotyczące transportu podano w Specyfikacji D.M.00.00.00.</w:t>
      </w:r>
    </w:p>
    <w:p w:rsidR="004856CB" w:rsidRDefault="004856CB" w:rsidP="004856CB">
      <w:pPr>
        <w:widowControl w:val="0"/>
        <w:ind w:firstLine="709"/>
        <w:jc w:val="both"/>
        <w:rPr>
          <w:snapToGrid w:val="0"/>
        </w:rPr>
      </w:pPr>
      <w:r w:rsidRPr="001F1073">
        <w:rPr>
          <w:snapToGrid w:val="0"/>
        </w:rPr>
        <w:t>Materiały mogą być przewożone dowolnymi środkami transportu. Należy je ustawiać równomiernie na całej powierzchni ładunkowej, obok siebie i zabezpieczać przed możliwością przesuwania się podczas transportu.</w:t>
      </w:r>
    </w:p>
    <w:p w:rsidR="004856CB" w:rsidRPr="001F1073" w:rsidRDefault="004856CB" w:rsidP="004856CB">
      <w:pPr>
        <w:widowControl w:val="0"/>
        <w:spacing w:before="120" w:after="120"/>
        <w:jc w:val="both"/>
        <w:rPr>
          <w:b/>
          <w:noProof/>
          <w:snapToGrid w:val="0"/>
          <w:u w:val="single"/>
        </w:rPr>
      </w:pPr>
      <w:r w:rsidRPr="000222D0">
        <w:rPr>
          <w:b/>
          <w:noProof/>
          <w:snapToGrid w:val="0"/>
          <w:u w:val="single"/>
        </w:rPr>
        <w:t>5. WYKONANIE ROBÓT</w:t>
      </w:r>
    </w:p>
    <w:p w:rsidR="004856CB" w:rsidRPr="001F1073" w:rsidRDefault="004856CB" w:rsidP="004856CB">
      <w:pPr>
        <w:widowControl w:val="0"/>
        <w:ind w:firstLine="709"/>
        <w:jc w:val="both"/>
        <w:rPr>
          <w:snapToGrid w:val="0"/>
        </w:rPr>
      </w:pPr>
      <w:r w:rsidRPr="001F1073">
        <w:rPr>
          <w:snapToGrid w:val="0"/>
        </w:rPr>
        <w:t>Ogólne zasady wykonania robót podano w SST D.M.00.00.00.</w:t>
      </w:r>
    </w:p>
    <w:p w:rsidR="004856CB" w:rsidRPr="001F1073" w:rsidRDefault="004856CB" w:rsidP="004856CB">
      <w:pPr>
        <w:widowControl w:val="0"/>
        <w:ind w:firstLine="709"/>
        <w:jc w:val="both"/>
        <w:rPr>
          <w:snapToGrid w:val="0"/>
        </w:rPr>
      </w:pPr>
      <w:r w:rsidRPr="001F1073">
        <w:rPr>
          <w:snapToGrid w:val="0"/>
        </w:rPr>
        <w:t>Prace pomiarowe powinny być wykonane przez uprawnionego geodetę, zgodnie z obowiązującymi instrukcjami Głównego Urzędu Geodezji i Kartografii (GUGiK). Prace należy poprzedzić uzgodnieniami z GUGiK.</w:t>
      </w:r>
    </w:p>
    <w:p w:rsidR="004856CB" w:rsidRPr="001F1073" w:rsidRDefault="004856CB" w:rsidP="004856CB">
      <w:pPr>
        <w:widowControl w:val="0"/>
        <w:ind w:firstLine="709"/>
        <w:jc w:val="both"/>
        <w:rPr>
          <w:snapToGrid w:val="0"/>
        </w:rPr>
      </w:pPr>
      <w:r w:rsidRPr="001F1073">
        <w:rPr>
          <w:snapToGrid w:val="0"/>
        </w:rPr>
        <w:t>Należy wykonać i osadzić repery geodezyjne wg Dz. U. 63 „Rozporządzenie Ministra Transportu i Gospodarki Morskiej z dnia 30.05.2000r.</w:t>
      </w:r>
    </w:p>
    <w:p w:rsidR="004856CB" w:rsidRPr="001F1073" w:rsidRDefault="004856CB" w:rsidP="004856CB">
      <w:pPr>
        <w:widowControl w:val="0"/>
        <w:ind w:firstLine="709"/>
        <w:jc w:val="both"/>
        <w:rPr>
          <w:snapToGrid w:val="0"/>
        </w:rPr>
      </w:pPr>
      <w:r w:rsidRPr="001F1073">
        <w:rPr>
          <w:snapToGrid w:val="0"/>
        </w:rPr>
        <w:t xml:space="preserve">Usytuowanie reperów uzgodnić należy z Inspektorem Nadzoru. Ponadto Wykonawca umieści w pobliżu obiektu dwa stałe znaki wysokościowe (po 1 z każdej strony obiektu) dowiązane do niwelacji państwowej. Czynności te wykona geodeta uprawniony na zlecenie Wykonawcy. </w:t>
      </w:r>
    </w:p>
    <w:p w:rsidR="004856CB" w:rsidRPr="001F1073" w:rsidRDefault="004856CB" w:rsidP="004856CB">
      <w:pPr>
        <w:widowControl w:val="0"/>
        <w:ind w:firstLine="709"/>
        <w:jc w:val="both"/>
        <w:rPr>
          <w:snapToGrid w:val="0"/>
        </w:rPr>
      </w:pPr>
      <w:r w:rsidRPr="001F1073">
        <w:rPr>
          <w:snapToGrid w:val="0"/>
        </w:rPr>
        <w:t>Prace pomiarowe powinny być wykonane przez osoby posiadające odpowiednie kwalifikacje i uprawnienia.</w:t>
      </w:r>
    </w:p>
    <w:p w:rsidR="004856CB" w:rsidRPr="001F1073" w:rsidRDefault="004856CB" w:rsidP="004856CB">
      <w:pPr>
        <w:widowControl w:val="0"/>
        <w:ind w:firstLine="709"/>
        <w:jc w:val="both"/>
        <w:rPr>
          <w:snapToGrid w:val="0"/>
        </w:rPr>
      </w:pPr>
      <w:r w:rsidRPr="001F1073">
        <w:rPr>
          <w:snapToGrid w:val="0"/>
        </w:rPr>
        <w:t>W kons</w:t>
      </w:r>
      <w:r>
        <w:rPr>
          <w:snapToGrid w:val="0"/>
        </w:rPr>
        <w:t>trukcji obiektu należy osadzić 6</w:t>
      </w:r>
      <w:r w:rsidRPr="001F1073">
        <w:rPr>
          <w:snapToGrid w:val="0"/>
        </w:rPr>
        <w:t xml:space="preserve"> szt. reperów stalowych. Repery te powinny być powiązane z 2 stałymi znakami wysokościowymi (opisanymi powyżej), wykonanymi z trwałego materiału i posadowionymi na gruncie rodzimym poniżej poziomu przemarzania, poza korpusem drogi w niewielkiej odległości od obiektu.</w:t>
      </w:r>
    </w:p>
    <w:p w:rsidR="004856CB" w:rsidRPr="001F1073" w:rsidRDefault="004856CB" w:rsidP="004856CB">
      <w:pPr>
        <w:widowControl w:val="0"/>
        <w:ind w:firstLine="709"/>
        <w:jc w:val="both"/>
        <w:rPr>
          <w:snapToGrid w:val="0"/>
        </w:rPr>
      </w:pPr>
      <w:r w:rsidRPr="001F1073">
        <w:rPr>
          <w:snapToGrid w:val="0"/>
        </w:rPr>
        <w:t>Po zakończeniu robót repery należy uwzględnić w geodezyjnej dokumentacji powykonawczej opisując ich współrzędne i rzędne w układzie państwowym.</w:t>
      </w:r>
    </w:p>
    <w:p w:rsidR="004856CB" w:rsidRDefault="004856CB" w:rsidP="004856CB">
      <w:pPr>
        <w:widowControl w:val="0"/>
        <w:ind w:firstLine="709"/>
        <w:jc w:val="both"/>
        <w:rPr>
          <w:rFonts w:ascii="Arial" w:hAnsi="Arial" w:cs="Arial"/>
        </w:rPr>
      </w:pPr>
      <w:r w:rsidRPr="001F1073">
        <w:rPr>
          <w:snapToGrid w:val="0"/>
        </w:rPr>
        <w:t>Punkty wysokościowe należy wyznaczyć z dokładnością do 0,1 cm.</w:t>
      </w:r>
    </w:p>
    <w:p w:rsidR="004856CB" w:rsidRPr="001F1073" w:rsidRDefault="004856CB" w:rsidP="004856CB">
      <w:pPr>
        <w:widowControl w:val="0"/>
        <w:jc w:val="both"/>
        <w:rPr>
          <w:snapToGrid w:val="0"/>
        </w:rPr>
      </w:pPr>
      <w:r w:rsidRPr="001F1073">
        <w:rPr>
          <w:snapToGrid w:val="0"/>
        </w:rPr>
        <w:t>Sposób wykonania stałego znaku wysokościowego :</w:t>
      </w:r>
    </w:p>
    <w:p w:rsidR="004856CB" w:rsidRDefault="004856CB" w:rsidP="004856CB">
      <w:pPr>
        <w:widowControl w:val="0"/>
        <w:jc w:val="both"/>
        <w:rPr>
          <w:b/>
          <w:bCs/>
        </w:rPr>
      </w:pPr>
    </w:p>
    <w:p w:rsidR="004856CB" w:rsidRDefault="004856CB" w:rsidP="004856CB">
      <w:pPr>
        <w:widowControl w:val="0"/>
        <w:jc w:val="center"/>
        <w:rPr>
          <w:b/>
          <w:bCs/>
        </w:rPr>
      </w:pPr>
      <w:r>
        <w:rPr>
          <w:b/>
          <w:bCs/>
          <w:noProof/>
        </w:rPr>
        <w:drawing>
          <wp:inline distT="0" distB="0" distL="0" distR="0">
            <wp:extent cx="4734963" cy="3664664"/>
            <wp:effectExtent l="0" t="0" r="8890" b="0"/>
            <wp:docPr id="7" name="Obraz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735153" cy="3664811"/>
                    </a:xfrm>
                    <a:prstGeom prst="rect">
                      <a:avLst/>
                    </a:prstGeom>
                    <a:noFill/>
                    <a:ln>
                      <a:noFill/>
                    </a:ln>
                  </pic:spPr>
                </pic:pic>
              </a:graphicData>
            </a:graphic>
          </wp:inline>
        </w:drawing>
      </w:r>
    </w:p>
    <w:p w:rsidR="004856CB" w:rsidRDefault="004856CB" w:rsidP="004856CB">
      <w:pPr>
        <w:widowControl w:val="0"/>
        <w:jc w:val="both"/>
        <w:rPr>
          <w:b/>
          <w:bCs/>
        </w:rPr>
      </w:pPr>
    </w:p>
    <w:p w:rsidR="004856CB" w:rsidRDefault="004856CB" w:rsidP="004856CB">
      <w:pPr>
        <w:widowControl w:val="0"/>
        <w:jc w:val="both"/>
        <w:rPr>
          <w:b/>
          <w:bCs/>
        </w:rPr>
      </w:pPr>
    </w:p>
    <w:p w:rsidR="004856CB" w:rsidRDefault="004856CB" w:rsidP="004856CB">
      <w:pPr>
        <w:widowControl w:val="0"/>
        <w:jc w:val="both"/>
        <w:rPr>
          <w:b/>
          <w:bCs/>
        </w:rPr>
      </w:pPr>
    </w:p>
    <w:p w:rsidR="004856CB" w:rsidRPr="00346AA4" w:rsidRDefault="004856CB" w:rsidP="004856CB">
      <w:pPr>
        <w:widowControl w:val="0"/>
        <w:spacing w:before="120" w:after="120"/>
        <w:jc w:val="both"/>
        <w:rPr>
          <w:b/>
          <w:noProof/>
          <w:snapToGrid w:val="0"/>
          <w:u w:val="single"/>
        </w:rPr>
      </w:pPr>
      <w:r w:rsidRPr="000222D0">
        <w:rPr>
          <w:b/>
          <w:noProof/>
          <w:snapToGrid w:val="0"/>
          <w:u w:val="single"/>
        </w:rPr>
        <w:t>6. KONTROLA JAKOŚCI ROBÓT</w:t>
      </w:r>
    </w:p>
    <w:p w:rsidR="004856CB" w:rsidRPr="001F1073" w:rsidRDefault="004856CB" w:rsidP="004856CB">
      <w:pPr>
        <w:widowControl w:val="0"/>
        <w:ind w:firstLine="709"/>
        <w:jc w:val="both"/>
        <w:rPr>
          <w:snapToGrid w:val="0"/>
        </w:rPr>
      </w:pPr>
      <w:r w:rsidRPr="001F1073">
        <w:rPr>
          <w:snapToGrid w:val="0"/>
        </w:rPr>
        <w:t>Kontrolę jakości prac pomiarowych związanych z odtworzeniem (wyznaczeniem) trasy i punktów wysokościowych należy prowadzić wg ogólnych zasad określonych w instrukcjach i wytycznych GUGiK.</w:t>
      </w:r>
    </w:p>
    <w:p w:rsidR="004856CB" w:rsidRPr="008246C9" w:rsidRDefault="004856CB" w:rsidP="004856CB">
      <w:pPr>
        <w:widowControl w:val="0"/>
        <w:spacing w:before="120" w:after="120"/>
        <w:jc w:val="both"/>
        <w:rPr>
          <w:b/>
          <w:noProof/>
          <w:snapToGrid w:val="0"/>
          <w:u w:val="single"/>
        </w:rPr>
      </w:pPr>
      <w:r w:rsidRPr="000222D0">
        <w:rPr>
          <w:b/>
          <w:noProof/>
          <w:snapToGrid w:val="0"/>
          <w:u w:val="single"/>
        </w:rPr>
        <w:t>7. OBMIAR ROBÓT</w:t>
      </w:r>
    </w:p>
    <w:p w:rsidR="004856CB" w:rsidRPr="001F1073" w:rsidRDefault="004856CB" w:rsidP="004856CB">
      <w:pPr>
        <w:widowControl w:val="0"/>
        <w:ind w:firstLine="709"/>
        <w:jc w:val="both"/>
        <w:rPr>
          <w:snapToGrid w:val="0"/>
        </w:rPr>
      </w:pPr>
      <w:r w:rsidRPr="001F1073">
        <w:rPr>
          <w:snapToGrid w:val="0"/>
        </w:rPr>
        <w:t>Jednostka obmiaru jest zgodna z przedmiarem robót i obejmuje wszystkie roboty opisane w niniejszej SST.</w:t>
      </w:r>
    </w:p>
    <w:p w:rsidR="004856CB" w:rsidRDefault="004856CB" w:rsidP="004856CB">
      <w:pPr>
        <w:autoSpaceDE w:val="0"/>
        <w:autoSpaceDN w:val="0"/>
        <w:adjustRightInd w:val="0"/>
        <w:rPr>
          <w:b/>
          <w:noProof/>
          <w:snapToGrid w:val="0"/>
          <w:u w:val="single"/>
        </w:rPr>
      </w:pPr>
    </w:p>
    <w:p w:rsidR="004856CB" w:rsidRDefault="004856CB" w:rsidP="004856CB">
      <w:pPr>
        <w:autoSpaceDE w:val="0"/>
        <w:autoSpaceDN w:val="0"/>
        <w:adjustRightInd w:val="0"/>
        <w:rPr>
          <w:b/>
          <w:noProof/>
          <w:snapToGrid w:val="0"/>
          <w:u w:val="single"/>
        </w:rPr>
      </w:pPr>
      <w:r w:rsidRPr="000222D0">
        <w:rPr>
          <w:b/>
          <w:noProof/>
          <w:snapToGrid w:val="0"/>
          <w:u w:val="single"/>
        </w:rPr>
        <w:t>8. ODBIÓR ROBÓT</w:t>
      </w:r>
    </w:p>
    <w:p w:rsidR="004856CB" w:rsidRDefault="004856CB" w:rsidP="004856CB">
      <w:pPr>
        <w:pStyle w:val="Tekstpodstawowy"/>
        <w:tabs>
          <w:tab w:val="left" w:pos="736"/>
          <w:tab w:val="left" w:pos="1360"/>
          <w:tab w:val="left" w:pos="1700"/>
          <w:tab w:val="left" w:pos="2041"/>
          <w:tab w:val="left" w:pos="2380"/>
          <w:tab w:val="left" w:pos="2721"/>
          <w:tab w:val="left" w:pos="3061"/>
          <w:tab w:val="left" w:pos="3402"/>
          <w:tab w:val="left" w:pos="5668"/>
        </w:tabs>
        <w:ind w:left="420"/>
        <w:rPr>
          <w:rFonts w:ascii="Times New Roman" w:hAnsi="Times New Roman"/>
        </w:rPr>
      </w:pPr>
    </w:p>
    <w:p w:rsidR="004856CB" w:rsidRDefault="004856CB" w:rsidP="004856CB">
      <w:pPr>
        <w:widowControl w:val="0"/>
        <w:ind w:firstLine="709"/>
        <w:jc w:val="both"/>
        <w:rPr>
          <w:snapToGrid w:val="0"/>
        </w:rPr>
      </w:pPr>
      <w:r w:rsidRPr="003336EF">
        <w:rPr>
          <w:snapToGrid w:val="0"/>
        </w:rPr>
        <w:t xml:space="preserve">Ogólne zasady odbioru robót podano w ST D-M.00.00.00 „Wymagania ogólne” </w:t>
      </w:r>
    </w:p>
    <w:p w:rsidR="004856CB" w:rsidRDefault="004856CB" w:rsidP="004856CB">
      <w:pPr>
        <w:widowControl w:val="0"/>
        <w:ind w:firstLine="420"/>
        <w:jc w:val="both"/>
        <w:rPr>
          <w:snapToGrid w:val="0"/>
        </w:rPr>
      </w:pPr>
    </w:p>
    <w:p w:rsidR="004856CB" w:rsidRDefault="004856CB" w:rsidP="004856CB">
      <w:pPr>
        <w:widowControl w:val="0"/>
        <w:jc w:val="both"/>
        <w:rPr>
          <w:snapToGrid w:val="0"/>
        </w:rPr>
      </w:pPr>
      <w:r>
        <w:rPr>
          <w:b/>
          <w:bCs/>
        </w:rPr>
        <w:t>8.1</w:t>
      </w:r>
      <w:r w:rsidRPr="008D27A8">
        <w:rPr>
          <w:b/>
          <w:bCs/>
        </w:rPr>
        <w:t xml:space="preserve">. </w:t>
      </w:r>
      <w:r>
        <w:rPr>
          <w:b/>
          <w:bCs/>
        </w:rPr>
        <w:t>Zasady ogólne odbioru Robót</w:t>
      </w:r>
    </w:p>
    <w:p w:rsidR="004856CB" w:rsidRDefault="004856CB" w:rsidP="004856CB">
      <w:pPr>
        <w:widowControl w:val="0"/>
        <w:ind w:firstLine="709"/>
        <w:jc w:val="both"/>
        <w:rPr>
          <w:snapToGrid w:val="0"/>
        </w:rPr>
      </w:pPr>
      <w:r w:rsidRPr="003336EF">
        <w:rPr>
          <w:snapToGrid w:val="0"/>
        </w:rPr>
        <w:t>Roboty objęte niniejszymi SST podlegają dwóm etapom odbioru robót dokonanym przez Inspektora Nadzoru:</w:t>
      </w:r>
    </w:p>
    <w:p w:rsidR="004856CB" w:rsidRPr="003336EF" w:rsidRDefault="004856CB" w:rsidP="004856CB">
      <w:pPr>
        <w:widowControl w:val="0"/>
        <w:ind w:firstLine="709"/>
        <w:jc w:val="both"/>
        <w:rPr>
          <w:snapToGrid w:val="0"/>
        </w:rPr>
      </w:pPr>
      <w:r>
        <w:rPr>
          <w:snapToGrid w:val="0"/>
        </w:rPr>
        <w:t xml:space="preserve">- </w:t>
      </w:r>
      <w:r w:rsidRPr="003336EF">
        <w:rPr>
          <w:snapToGrid w:val="0"/>
        </w:rPr>
        <w:t>odbiorowi robót zanikających i ulegających zakryciu,</w:t>
      </w:r>
    </w:p>
    <w:p w:rsidR="004856CB" w:rsidRPr="003336EF" w:rsidRDefault="004856CB" w:rsidP="004856CB">
      <w:pPr>
        <w:widowControl w:val="0"/>
        <w:ind w:firstLine="709"/>
        <w:jc w:val="both"/>
        <w:rPr>
          <w:snapToGrid w:val="0"/>
        </w:rPr>
      </w:pPr>
      <w:r>
        <w:rPr>
          <w:snapToGrid w:val="0"/>
        </w:rPr>
        <w:t xml:space="preserve">- </w:t>
      </w:r>
      <w:r w:rsidRPr="003336EF">
        <w:rPr>
          <w:snapToGrid w:val="0"/>
        </w:rPr>
        <w:t>odbiorowi ostatecznemu.</w:t>
      </w:r>
    </w:p>
    <w:p w:rsidR="004856CB" w:rsidRDefault="004856CB" w:rsidP="004856CB">
      <w:pPr>
        <w:widowControl w:val="0"/>
        <w:ind w:firstLine="709"/>
        <w:jc w:val="both"/>
        <w:rPr>
          <w:snapToGrid w:val="0"/>
        </w:rPr>
      </w:pPr>
      <w:r w:rsidRPr="003336EF">
        <w:rPr>
          <w:snapToGrid w:val="0"/>
        </w:rPr>
        <w:t>Roboty powinny być wykonane zgodnie z Dokumentacją Projektową, SST oraz pisemnymi decyzjami Inspektora Nadzoru.</w:t>
      </w:r>
    </w:p>
    <w:p w:rsidR="004856CB" w:rsidRPr="003336EF" w:rsidRDefault="004856CB" w:rsidP="004856CB">
      <w:pPr>
        <w:widowControl w:val="0"/>
        <w:ind w:firstLine="709"/>
        <w:jc w:val="both"/>
        <w:rPr>
          <w:snapToGrid w:val="0"/>
        </w:rPr>
      </w:pPr>
    </w:p>
    <w:p w:rsidR="004856CB" w:rsidRDefault="004856CB" w:rsidP="004856CB">
      <w:pPr>
        <w:widowControl w:val="0"/>
        <w:jc w:val="both"/>
        <w:rPr>
          <w:snapToGrid w:val="0"/>
        </w:rPr>
      </w:pPr>
      <w:r>
        <w:rPr>
          <w:b/>
          <w:bCs/>
        </w:rPr>
        <w:t>8.2</w:t>
      </w:r>
      <w:r w:rsidRPr="008D27A8">
        <w:rPr>
          <w:b/>
          <w:bCs/>
        </w:rPr>
        <w:t xml:space="preserve">. </w:t>
      </w:r>
      <w:r>
        <w:rPr>
          <w:b/>
          <w:bCs/>
        </w:rPr>
        <w:t>Odbiór Robót zanikających lub ulegających zakryciu</w:t>
      </w:r>
    </w:p>
    <w:p w:rsidR="004856CB" w:rsidRDefault="004856CB" w:rsidP="004856CB">
      <w:pPr>
        <w:widowControl w:val="0"/>
        <w:jc w:val="both"/>
        <w:rPr>
          <w:snapToGrid w:val="0"/>
        </w:rPr>
      </w:pPr>
    </w:p>
    <w:p w:rsidR="004856CB" w:rsidRDefault="004856CB" w:rsidP="004856CB">
      <w:pPr>
        <w:widowControl w:val="0"/>
        <w:jc w:val="both"/>
        <w:rPr>
          <w:snapToGrid w:val="0"/>
        </w:rPr>
      </w:pPr>
      <w:r>
        <w:rPr>
          <w:snapToGrid w:val="0"/>
        </w:rPr>
        <w:t>8.2.1. Dokumenty i dane</w:t>
      </w:r>
    </w:p>
    <w:p w:rsidR="004856CB" w:rsidRDefault="004856CB" w:rsidP="004856CB">
      <w:pPr>
        <w:widowControl w:val="0"/>
        <w:jc w:val="both"/>
        <w:rPr>
          <w:snapToGrid w:val="0"/>
        </w:rPr>
      </w:pPr>
      <w:r w:rsidRPr="004D1227">
        <w:rPr>
          <w:snapToGrid w:val="0"/>
        </w:rPr>
        <w:t>Podstawą dokonania oceny ilości robót ulegających zakryciu są następujące dokumenty:</w:t>
      </w:r>
    </w:p>
    <w:p w:rsidR="004856CB" w:rsidRPr="004D1227" w:rsidRDefault="004856CB" w:rsidP="004856CB">
      <w:pPr>
        <w:widowControl w:val="0"/>
        <w:ind w:firstLine="709"/>
        <w:jc w:val="both"/>
        <w:rPr>
          <w:snapToGrid w:val="0"/>
        </w:rPr>
      </w:pPr>
      <w:r>
        <w:rPr>
          <w:snapToGrid w:val="0"/>
        </w:rPr>
        <w:t xml:space="preserve">- </w:t>
      </w:r>
      <w:r w:rsidRPr="004D1227">
        <w:rPr>
          <w:snapToGrid w:val="0"/>
        </w:rPr>
        <w:t>Dokumentacja Projektowa z naniesionymi na niej zmianami dokonywanymi w trakcie budowy,</w:t>
      </w:r>
    </w:p>
    <w:p w:rsidR="004856CB" w:rsidRPr="004D1227" w:rsidRDefault="004856CB" w:rsidP="004856CB">
      <w:pPr>
        <w:widowControl w:val="0"/>
        <w:ind w:firstLine="709"/>
        <w:jc w:val="both"/>
        <w:rPr>
          <w:snapToGrid w:val="0"/>
        </w:rPr>
      </w:pPr>
      <w:r>
        <w:rPr>
          <w:snapToGrid w:val="0"/>
        </w:rPr>
        <w:t xml:space="preserve">- </w:t>
      </w:r>
      <w:r w:rsidRPr="004D1227">
        <w:rPr>
          <w:snapToGrid w:val="0"/>
        </w:rPr>
        <w:t>dziennik budowy,</w:t>
      </w:r>
    </w:p>
    <w:p w:rsidR="004856CB" w:rsidRPr="004D1227" w:rsidRDefault="004856CB" w:rsidP="004856CB">
      <w:pPr>
        <w:widowControl w:val="0"/>
        <w:ind w:firstLine="709"/>
        <w:jc w:val="both"/>
        <w:rPr>
          <w:snapToGrid w:val="0"/>
        </w:rPr>
      </w:pPr>
      <w:r>
        <w:rPr>
          <w:snapToGrid w:val="0"/>
        </w:rPr>
        <w:t xml:space="preserve">- </w:t>
      </w:r>
      <w:r w:rsidRPr="004D1227">
        <w:rPr>
          <w:snapToGrid w:val="0"/>
        </w:rPr>
        <w:t>uzasadnienia dokonywania zmian,</w:t>
      </w:r>
    </w:p>
    <w:p w:rsidR="004856CB" w:rsidRDefault="004856CB" w:rsidP="004856CB">
      <w:pPr>
        <w:widowControl w:val="0"/>
        <w:ind w:firstLine="709"/>
        <w:jc w:val="both"/>
        <w:rPr>
          <w:snapToGrid w:val="0"/>
        </w:rPr>
      </w:pPr>
      <w:r>
        <w:rPr>
          <w:snapToGrid w:val="0"/>
        </w:rPr>
        <w:t xml:space="preserve">- </w:t>
      </w:r>
      <w:r w:rsidRPr="004D1227">
        <w:rPr>
          <w:snapToGrid w:val="0"/>
        </w:rPr>
        <w:t>dokumenty dotyczące jakości wbudowanych materiałów.</w:t>
      </w:r>
    </w:p>
    <w:p w:rsidR="004856CB" w:rsidRPr="004D1227" w:rsidRDefault="004856CB" w:rsidP="004856CB">
      <w:pPr>
        <w:widowControl w:val="0"/>
        <w:ind w:firstLine="709"/>
        <w:jc w:val="both"/>
        <w:rPr>
          <w:snapToGrid w:val="0"/>
        </w:rPr>
      </w:pPr>
    </w:p>
    <w:p w:rsidR="004856CB" w:rsidRDefault="004856CB" w:rsidP="004856CB">
      <w:pPr>
        <w:widowControl w:val="0"/>
        <w:jc w:val="both"/>
        <w:rPr>
          <w:snapToGrid w:val="0"/>
        </w:rPr>
      </w:pPr>
      <w:r>
        <w:rPr>
          <w:snapToGrid w:val="0"/>
        </w:rPr>
        <w:t>8.2.2. Zakres</w:t>
      </w:r>
    </w:p>
    <w:p w:rsidR="004856CB" w:rsidRPr="004D1227" w:rsidRDefault="004856CB" w:rsidP="004856CB">
      <w:pPr>
        <w:widowControl w:val="0"/>
        <w:ind w:firstLine="709"/>
        <w:jc w:val="both"/>
        <w:rPr>
          <w:snapToGrid w:val="0"/>
        </w:rPr>
      </w:pPr>
      <w:r w:rsidRPr="004D1227">
        <w:rPr>
          <w:snapToGrid w:val="0"/>
        </w:rPr>
        <w:t>Odbiór robót zanikających i ulegających zakryciu obejmuje sprawdzenie zastosowanych czynników produkcji i wykonania poszczególnych elementów podanych w poszczególnych punktach niniejszego rozdziału.</w:t>
      </w:r>
    </w:p>
    <w:p w:rsidR="004856CB" w:rsidRPr="00566A85" w:rsidRDefault="004856CB" w:rsidP="004856CB">
      <w:pPr>
        <w:widowControl w:val="0"/>
        <w:ind w:firstLine="709"/>
        <w:jc w:val="both"/>
        <w:rPr>
          <w:rFonts w:ascii="Arial" w:hAnsi="Arial" w:cs="Arial"/>
        </w:rPr>
      </w:pPr>
      <w:r w:rsidRPr="004D1227">
        <w:rPr>
          <w:snapToGrid w:val="0"/>
        </w:rPr>
        <w:t xml:space="preserve">Na podstawie wyników wg punktu 6 badań należy sporządzić protokoły odbioru. </w:t>
      </w:r>
    </w:p>
    <w:p w:rsidR="004856CB" w:rsidRPr="004D1227" w:rsidRDefault="004856CB" w:rsidP="004856CB">
      <w:pPr>
        <w:widowControl w:val="0"/>
        <w:ind w:firstLine="709"/>
        <w:jc w:val="both"/>
        <w:rPr>
          <w:snapToGrid w:val="0"/>
        </w:rPr>
      </w:pPr>
      <w:r w:rsidRPr="004D1227">
        <w:rPr>
          <w:snapToGrid w:val="0"/>
        </w:rPr>
        <w:t>Jeżeli wszystkie badania dały wyniki dodatnie, wykonane roboty należy uznać za zgodne z wymaganiami przedmiotowych norm i SST. Jeżeli choć jedno badanie dało wynik ujemny, wykonane roboty należy uznać za niezgodne z wymaganiami norm i kontraktu. W takiej sytuacji Wykonawca obowiązany jest doprowadzić roboty do zgodności z normą i przedstawić je do ponownego odbioru.</w:t>
      </w:r>
    </w:p>
    <w:p w:rsidR="004856CB" w:rsidRDefault="004856CB" w:rsidP="004856CB">
      <w:pPr>
        <w:autoSpaceDE w:val="0"/>
        <w:autoSpaceDN w:val="0"/>
        <w:adjustRightInd w:val="0"/>
        <w:rPr>
          <w:b/>
          <w:noProof/>
          <w:snapToGrid w:val="0"/>
          <w:u w:val="single"/>
        </w:rPr>
      </w:pPr>
    </w:p>
    <w:p w:rsidR="004856CB" w:rsidRPr="004D1227" w:rsidRDefault="004856CB" w:rsidP="004856CB">
      <w:pPr>
        <w:widowControl w:val="0"/>
        <w:jc w:val="both"/>
        <w:rPr>
          <w:b/>
          <w:bCs/>
        </w:rPr>
      </w:pPr>
      <w:r w:rsidRPr="004D1227">
        <w:rPr>
          <w:b/>
          <w:bCs/>
        </w:rPr>
        <w:t>8.3. Odbiór ostateczny</w:t>
      </w:r>
    </w:p>
    <w:p w:rsidR="004856CB" w:rsidRDefault="004856CB" w:rsidP="004856CB">
      <w:pPr>
        <w:autoSpaceDE w:val="0"/>
        <w:autoSpaceDN w:val="0"/>
        <w:adjustRightInd w:val="0"/>
        <w:rPr>
          <w:b/>
          <w:noProof/>
          <w:snapToGrid w:val="0"/>
          <w:u w:val="single"/>
        </w:rPr>
      </w:pPr>
    </w:p>
    <w:p w:rsidR="004856CB" w:rsidRPr="00242E69" w:rsidRDefault="004856CB" w:rsidP="004856CB">
      <w:pPr>
        <w:widowControl w:val="0"/>
        <w:jc w:val="both"/>
        <w:rPr>
          <w:rFonts w:ascii="Arial" w:hAnsi="Arial" w:cs="Arial"/>
        </w:rPr>
      </w:pPr>
      <w:r w:rsidRPr="004D1227">
        <w:rPr>
          <w:snapToGrid w:val="0"/>
        </w:rPr>
        <w:t>Wg ST D.M.00.00.00.</w:t>
      </w:r>
    </w:p>
    <w:p w:rsidR="004856CB" w:rsidRPr="00C75C91" w:rsidRDefault="004856CB" w:rsidP="004856CB">
      <w:pPr>
        <w:widowControl w:val="0"/>
        <w:spacing w:before="120" w:after="120"/>
        <w:jc w:val="both"/>
        <w:rPr>
          <w:b/>
          <w:noProof/>
          <w:snapToGrid w:val="0"/>
          <w:u w:val="single"/>
        </w:rPr>
      </w:pPr>
      <w:r w:rsidRPr="000222D0">
        <w:rPr>
          <w:b/>
          <w:noProof/>
          <w:snapToGrid w:val="0"/>
          <w:u w:val="single"/>
        </w:rPr>
        <w:t>9. PODSTAWA PŁATNOŚCI</w:t>
      </w:r>
    </w:p>
    <w:p w:rsidR="004856CB" w:rsidRPr="00242E69" w:rsidRDefault="004856CB" w:rsidP="004856CB">
      <w:pPr>
        <w:widowControl w:val="0"/>
        <w:ind w:firstLine="709"/>
        <w:jc w:val="both"/>
        <w:rPr>
          <w:snapToGrid w:val="0"/>
        </w:rPr>
      </w:pPr>
      <w:r w:rsidRPr="00242E69">
        <w:rPr>
          <w:snapToGrid w:val="0"/>
        </w:rPr>
        <w:t>Cena wykonania 1 szt. repera mocowanego w konstrukcji i 1 szt. stałego znaku wysokościowego obejmuje:</w:t>
      </w:r>
    </w:p>
    <w:p w:rsidR="004856CB" w:rsidRPr="00BB6296" w:rsidRDefault="004856CB" w:rsidP="004856CB">
      <w:pPr>
        <w:widowControl w:val="0"/>
        <w:ind w:firstLine="709"/>
        <w:jc w:val="both"/>
        <w:rPr>
          <w:snapToGrid w:val="0"/>
        </w:rPr>
      </w:pPr>
      <w:r>
        <w:rPr>
          <w:snapToGrid w:val="0"/>
        </w:rPr>
        <w:t xml:space="preserve">- </w:t>
      </w:r>
      <w:r w:rsidRPr="00BB6296">
        <w:rPr>
          <w:snapToGrid w:val="0"/>
        </w:rPr>
        <w:t>zapewnienie niezbędnych czynników produkcji,</w:t>
      </w:r>
    </w:p>
    <w:p w:rsidR="004856CB" w:rsidRPr="00BB6296" w:rsidRDefault="004856CB" w:rsidP="004856CB">
      <w:pPr>
        <w:widowControl w:val="0"/>
        <w:ind w:firstLine="709"/>
        <w:jc w:val="both"/>
        <w:rPr>
          <w:snapToGrid w:val="0"/>
        </w:rPr>
      </w:pPr>
      <w:r>
        <w:rPr>
          <w:snapToGrid w:val="0"/>
        </w:rPr>
        <w:t xml:space="preserve">- </w:t>
      </w:r>
      <w:r w:rsidRPr="00BB6296">
        <w:rPr>
          <w:snapToGrid w:val="0"/>
        </w:rPr>
        <w:t>prace przygotowawcze i pomiarowe,</w:t>
      </w:r>
    </w:p>
    <w:p w:rsidR="004856CB" w:rsidRPr="00BB6296" w:rsidRDefault="004856CB" w:rsidP="004856CB">
      <w:pPr>
        <w:widowControl w:val="0"/>
        <w:ind w:firstLine="709"/>
        <w:jc w:val="both"/>
        <w:rPr>
          <w:snapToGrid w:val="0"/>
        </w:rPr>
      </w:pPr>
      <w:r>
        <w:rPr>
          <w:snapToGrid w:val="0"/>
        </w:rPr>
        <w:t xml:space="preserve">- </w:t>
      </w:r>
      <w:r w:rsidRPr="00BB6296">
        <w:rPr>
          <w:snapToGrid w:val="0"/>
        </w:rPr>
        <w:t>trwałe osadzenie znaków wysokościowych w konstrukcji,</w:t>
      </w:r>
    </w:p>
    <w:p w:rsidR="004856CB" w:rsidRPr="00BB6296" w:rsidRDefault="004856CB" w:rsidP="004856CB">
      <w:pPr>
        <w:widowControl w:val="0"/>
        <w:ind w:firstLine="709"/>
        <w:jc w:val="both"/>
        <w:rPr>
          <w:snapToGrid w:val="0"/>
        </w:rPr>
      </w:pPr>
      <w:r>
        <w:rPr>
          <w:snapToGrid w:val="0"/>
        </w:rPr>
        <w:t xml:space="preserve">- </w:t>
      </w:r>
      <w:r w:rsidRPr="00BB6296">
        <w:rPr>
          <w:snapToGrid w:val="0"/>
        </w:rPr>
        <w:t>wniesienie znaków do geodezyjnej dokumentacji powykonawczej,</w:t>
      </w:r>
    </w:p>
    <w:p w:rsidR="004856CB" w:rsidRPr="00BB6296" w:rsidRDefault="004856CB" w:rsidP="004856CB">
      <w:pPr>
        <w:widowControl w:val="0"/>
        <w:ind w:firstLine="709"/>
        <w:jc w:val="both"/>
        <w:rPr>
          <w:snapToGrid w:val="0"/>
        </w:rPr>
      </w:pPr>
      <w:r>
        <w:rPr>
          <w:snapToGrid w:val="0"/>
        </w:rPr>
        <w:t xml:space="preserve">- </w:t>
      </w:r>
      <w:r w:rsidRPr="00BB6296">
        <w:rPr>
          <w:snapToGrid w:val="0"/>
        </w:rPr>
        <w:t>uporządkowanie terenu robót.</w:t>
      </w:r>
    </w:p>
    <w:p w:rsidR="004856CB" w:rsidRPr="00BB6296" w:rsidRDefault="004856CB" w:rsidP="004856CB">
      <w:pPr>
        <w:widowControl w:val="0"/>
        <w:ind w:firstLine="709"/>
        <w:jc w:val="both"/>
        <w:rPr>
          <w:snapToGrid w:val="0"/>
        </w:rPr>
      </w:pPr>
      <w:r>
        <w:rPr>
          <w:snapToGrid w:val="0"/>
        </w:rPr>
        <w:t xml:space="preserve">- </w:t>
      </w:r>
      <w:r w:rsidRPr="00BB6296">
        <w:rPr>
          <w:snapToGrid w:val="0"/>
        </w:rPr>
        <w:t xml:space="preserve">wniesienie znaków wysokościowych w gruncie </w:t>
      </w:r>
    </w:p>
    <w:p w:rsidR="004856CB" w:rsidRPr="00BB6296" w:rsidRDefault="004856CB" w:rsidP="004856CB">
      <w:pPr>
        <w:widowControl w:val="0"/>
        <w:ind w:firstLine="709"/>
        <w:jc w:val="both"/>
        <w:rPr>
          <w:snapToGrid w:val="0"/>
        </w:rPr>
      </w:pPr>
      <w:r>
        <w:rPr>
          <w:snapToGrid w:val="0"/>
        </w:rPr>
        <w:t xml:space="preserve">- </w:t>
      </w:r>
      <w:r w:rsidRPr="00BB6296">
        <w:rPr>
          <w:snapToGrid w:val="0"/>
        </w:rPr>
        <w:t>zapewnienie niezbędnych czynników produkcji,</w:t>
      </w:r>
    </w:p>
    <w:p w:rsidR="004856CB" w:rsidRPr="00BB6296" w:rsidRDefault="004856CB" w:rsidP="004856CB">
      <w:pPr>
        <w:widowControl w:val="0"/>
        <w:ind w:firstLine="709"/>
        <w:jc w:val="both"/>
        <w:rPr>
          <w:snapToGrid w:val="0"/>
        </w:rPr>
      </w:pPr>
      <w:r>
        <w:rPr>
          <w:snapToGrid w:val="0"/>
        </w:rPr>
        <w:t xml:space="preserve">- </w:t>
      </w:r>
      <w:r w:rsidRPr="00BB6296">
        <w:rPr>
          <w:snapToGrid w:val="0"/>
        </w:rPr>
        <w:t>prace przygotowawcze i pomiarowe,</w:t>
      </w:r>
    </w:p>
    <w:p w:rsidR="004856CB" w:rsidRPr="00BB6296" w:rsidRDefault="004856CB" w:rsidP="004856CB">
      <w:pPr>
        <w:widowControl w:val="0"/>
        <w:ind w:firstLine="709"/>
        <w:jc w:val="both"/>
        <w:rPr>
          <w:snapToGrid w:val="0"/>
        </w:rPr>
      </w:pPr>
      <w:r>
        <w:rPr>
          <w:snapToGrid w:val="0"/>
        </w:rPr>
        <w:t xml:space="preserve">- </w:t>
      </w:r>
      <w:r w:rsidRPr="00BB6296">
        <w:rPr>
          <w:snapToGrid w:val="0"/>
        </w:rPr>
        <w:t>trwałe osadzenie znaku wysokościowego w gruncie,</w:t>
      </w:r>
    </w:p>
    <w:p w:rsidR="004856CB" w:rsidRPr="00BB6296" w:rsidRDefault="004856CB" w:rsidP="004856CB">
      <w:pPr>
        <w:widowControl w:val="0"/>
        <w:ind w:firstLine="709"/>
        <w:jc w:val="both"/>
        <w:rPr>
          <w:snapToGrid w:val="0"/>
        </w:rPr>
      </w:pPr>
      <w:r>
        <w:rPr>
          <w:snapToGrid w:val="0"/>
        </w:rPr>
        <w:t xml:space="preserve">- </w:t>
      </w:r>
      <w:r w:rsidRPr="00BB6296">
        <w:rPr>
          <w:snapToGrid w:val="0"/>
        </w:rPr>
        <w:t>wykonanie operatu geodezyjnego powykonawczego,</w:t>
      </w:r>
    </w:p>
    <w:p w:rsidR="004856CB" w:rsidRPr="00BB6296" w:rsidRDefault="004856CB" w:rsidP="004856CB">
      <w:pPr>
        <w:widowControl w:val="0"/>
        <w:ind w:firstLine="709"/>
        <w:jc w:val="both"/>
        <w:rPr>
          <w:snapToGrid w:val="0"/>
        </w:rPr>
      </w:pPr>
      <w:r>
        <w:rPr>
          <w:snapToGrid w:val="0"/>
        </w:rPr>
        <w:t xml:space="preserve">- </w:t>
      </w:r>
      <w:r w:rsidRPr="00BB6296">
        <w:rPr>
          <w:snapToGrid w:val="0"/>
        </w:rPr>
        <w:t>uporządkowanie terenu robót.</w:t>
      </w:r>
    </w:p>
    <w:p w:rsidR="004856CB" w:rsidRDefault="004856CB" w:rsidP="004856CB">
      <w:pPr>
        <w:ind w:firstLine="709"/>
        <w:jc w:val="both"/>
      </w:pPr>
    </w:p>
    <w:p w:rsidR="004856CB" w:rsidRDefault="004856CB" w:rsidP="004856CB">
      <w:pPr>
        <w:widowControl w:val="0"/>
        <w:ind w:firstLine="709"/>
        <w:jc w:val="both"/>
        <w:rPr>
          <w:snapToGrid w:val="0"/>
        </w:rPr>
      </w:pPr>
      <w:r w:rsidRPr="00BB6296">
        <w:rPr>
          <w:snapToGrid w:val="0"/>
        </w:rPr>
        <w:t>Wszelkie roboty w zakresie robót geodezyjnych wykonanie tyczenia geodezyjnego obiektu oraz geodezyjnej inwentaryzacji powykonawczej obiektu i sieci uzbrojenia terenu zgodnie z obowiązującymi przepisami.</w:t>
      </w:r>
    </w:p>
    <w:p w:rsidR="004856CB" w:rsidRPr="000222D0" w:rsidRDefault="004856CB" w:rsidP="004856CB">
      <w:pPr>
        <w:widowControl w:val="0"/>
        <w:spacing w:before="120" w:after="120"/>
        <w:jc w:val="both"/>
        <w:rPr>
          <w:b/>
          <w:noProof/>
          <w:snapToGrid w:val="0"/>
          <w:u w:val="single"/>
        </w:rPr>
      </w:pPr>
      <w:r w:rsidRPr="000222D0">
        <w:rPr>
          <w:b/>
          <w:noProof/>
          <w:snapToGrid w:val="0"/>
          <w:u w:val="single"/>
        </w:rPr>
        <w:t>10. PRZEPISY ZWIĄZANE</w:t>
      </w:r>
    </w:p>
    <w:p w:rsidR="004856CB" w:rsidRPr="00BB6296" w:rsidRDefault="004856CB" w:rsidP="004856CB">
      <w:pPr>
        <w:widowControl w:val="0"/>
        <w:tabs>
          <w:tab w:val="num" w:pos="360"/>
        </w:tabs>
        <w:jc w:val="both"/>
        <w:rPr>
          <w:snapToGrid w:val="0"/>
        </w:rPr>
      </w:pPr>
      <w:r w:rsidRPr="00BB6296">
        <w:rPr>
          <w:snapToGrid w:val="0"/>
        </w:rPr>
        <w:t>Instrukcja techniczna 0-1.</w:t>
      </w:r>
      <w:r w:rsidRPr="00BB6296">
        <w:rPr>
          <w:snapToGrid w:val="0"/>
        </w:rPr>
        <w:tab/>
        <w:t>Ogólne zasady wykonywania prac geodezyjnych.</w:t>
      </w:r>
    </w:p>
    <w:p w:rsidR="004856CB" w:rsidRPr="00BB6296" w:rsidRDefault="004856CB" w:rsidP="004856CB">
      <w:pPr>
        <w:widowControl w:val="0"/>
        <w:tabs>
          <w:tab w:val="num" w:pos="360"/>
        </w:tabs>
        <w:jc w:val="both"/>
        <w:rPr>
          <w:snapToGrid w:val="0"/>
        </w:rPr>
      </w:pPr>
      <w:r w:rsidRPr="00BB6296">
        <w:rPr>
          <w:snapToGrid w:val="0"/>
        </w:rPr>
        <w:t>Instrukcja techniczna G-3.</w:t>
      </w:r>
      <w:r w:rsidRPr="00BB6296">
        <w:rPr>
          <w:snapToGrid w:val="0"/>
        </w:rPr>
        <w:tab/>
        <w:t>Geodezyjna obsługa inwestycji. Główny Urząd Geodezji i Kartografii, Warszawa, 1979</w:t>
      </w:r>
    </w:p>
    <w:p w:rsidR="004856CB" w:rsidRPr="00BB6296" w:rsidRDefault="004856CB" w:rsidP="004856CB">
      <w:pPr>
        <w:widowControl w:val="0"/>
        <w:tabs>
          <w:tab w:val="num" w:pos="360"/>
        </w:tabs>
        <w:jc w:val="both"/>
        <w:rPr>
          <w:snapToGrid w:val="0"/>
        </w:rPr>
      </w:pPr>
      <w:r w:rsidRPr="00BB6296">
        <w:rPr>
          <w:snapToGrid w:val="0"/>
        </w:rPr>
        <w:t>Instrukcja techniczna G-1.</w:t>
      </w:r>
      <w:r w:rsidRPr="00BB6296">
        <w:rPr>
          <w:snapToGrid w:val="0"/>
        </w:rPr>
        <w:tab/>
        <w:t>Geodezyjna osnowa pozioma, GUGiK, 1989</w:t>
      </w:r>
    </w:p>
    <w:p w:rsidR="004856CB" w:rsidRPr="00BB6296" w:rsidRDefault="004856CB" w:rsidP="004856CB">
      <w:pPr>
        <w:widowControl w:val="0"/>
        <w:tabs>
          <w:tab w:val="num" w:pos="360"/>
        </w:tabs>
        <w:jc w:val="both"/>
        <w:rPr>
          <w:snapToGrid w:val="0"/>
        </w:rPr>
      </w:pPr>
      <w:r w:rsidRPr="00BB6296">
        <w:rPr>
          <w:snapToGrid w:val="0"/>
        </w:rPr>
        <w:t>Instrukcja techniczna G-2.</w:t>
      </w:r>
      <w:r w:rsidRPr="00BB6296">
        <w:rPr>
          <w:snapToGrid w:val="0"/>
        </w:rPr>
        <w:tab/>
        <w:t>Wysokościowa osnowa geodezyjna, GUGiK, 1983</w:t>
      </w:r>
    </w:p>
    <w:p w:rsidR="004856CB" w:rsidRPr="00BB6296" w:rsidRDefault="004856CB" w:rsidP="004856CB">
      <w:pPr>
        <w:widowControl w:val="0"/>
        <w:tabs>
          <w:tab w:val="num" w:pos="360"/>
        </w:tabs>
        <w:jc w:val="both"/>
        <w:rPr>
          <w:snapToGrid w:val="0"/>
        </w:rPr>
      </w:pPr>
      <w:r w:rsidRPr="00BB6296">
        <w:rPr>
          <w:snapToGrid w:val="0"/>
        </w:rPr>
        <w:t>Instrukcja techniczna G-4.</w:t>
      </w:r>
      <w:r w:rsidRPr="00BB6296">
        <w:rPr>
          <w:snapToGrid w:val="0"/>
        </w:rPr>
        <w:tab/>
        <w:t>Pomiary sytuacyjne i wysokościowe, GUGiK, 1979</w:t>
      </w:r>
    </w:p>
    <w:p w:rsidR="004856CB" w:rsidRPr="00BB6296" w:rsidRDefault="004856CB" w:rsidP="004856CB">
      <w:pPr>
        <w:widowControl w:val="0"/>
        <w:tabs>
          <w:tab w:val="num" w:pos="360"/>
        </w:tabs>
        <w:jc w:val="both"/>
        <w:rPr>
          <w:snapToGrid w:val="0"/>
        </w:rPr>
      </w:pPr>
      <w:r w:rsidRPr="00BB6296">
        <w:rPr>
          <w:snapToGrid w:val="0"/>
        </w:rPr>
        <w:t>Wytyczne techniczne G-3.2</w:t>
      </w:r>
      <w:r w:rsidRPr="00BB6296">
        <w:rPr>
          <w:snapToGrid w:val="0"/>
        </w:rPr>
        <w:tab/>
        <w:t>Pomiary realizacyjne, GUGiK, 1983</w:t>
      </w:r>
    </w:p>
    <w:p w:rsidR="004856CB" w:rsidRPr="00BB6296" w:rsidRDefault="004856CB" w:rsidP="004856CB">
      <w:pPr>
        <w:widowControl w:val="0"/>
        <w:tabs>
          <w:tab w:val="num" w:pos="360"/>
        </w:tabs>
        <w:jc w:val="both"/>
        <w:rPr>
          <w:snapToGrid w:val="0"/>
        </w:rPr>
      </w:pPr>
      <w:r w:rsidRPr="00BB6296">
        <w:rPr>
          <w:snapToGrid w:val="0"/>
        </w:rPr>
        <w:t>Wytyczne techniczne G-3.1</w:t>
      </w:r>
      <w:r w:rsidRPr="00BB6296">
        <w:rPr>
          <w:snapToGrid w:val="0"/>
        </w:rPr>
        <w:tab/>
        <w:t>Osnowy realizacyjne, GUGiK, 1983.</w:t>
      </w:r>
    </w:p>
    <w:p w:rsidR="004856CB" w:rsidRDefault="004856CB" w:rsidP="004856CB">
      <w:pPr>
        <w:rPr>
          <w:rFonts w:ascii="PL Times New Roman" w:hAnsi="PL Times New Roman"/>
          <w:b/>
          <w:snapToGrid w:val="0"/>
          <w:sz w:val="26"/>
        </w:rPr>
      </w:pPr>
    </w:p>
    <w:p w:rsidR="00C26502" w:rsidRPr="00A71C7E" w:rsidRDefault="00C26502" w:rsidP="005A6CD4">
      <w:pPr>
        <w:jc w:val="both"/>
        <w:outlineLvl w:val="0"/>
        <w:rPr>
          <w:rFonts w:ascii="PL Times New Roman" w:hAnsi="PL Times New Roman"/>
          <w:b/>
          <w:snapToGrid w:val="0"/>
          <w:sz w:val="26"/>
        </w:rPr>
      </w:pPr>
    </w:p>
    <w:p w:rsidR="00C26502" w:rsidRPr="00A71C7E" w:rsidRDefault="00C26502" w:rsidP="005A6CD4">
      <w:pPr>
        <w:jc w:val="both"/>
        <w:outlineLvl w:val="0"/>
        <w:rPr>
          <w:rFonts w:ascii="PL Times New Roman" w:hAnsi="PL Times New Roman"/>
          <w:b/>
          <w:snapToGrid w:val="0"/>
          <w:sz w:val="26"/>
        </w:rPr>
      </w:pPr>
    </w:p>
    <w:p w:rsidR="00C26502" w:rsidRPr="00A71C7E" w:rsidRDefault="00C26502" w:rsidP="005A6CD4">
      <w:pPr>
        <w:jc w:val="both"/>
        <w:outlineLvl w:val="0"/>
        <w:rPr>
          <w:rFonts w:ascii="PL Times New Roman" w:hAnsi="PL Times New Roman"/>
          <w:b/>
          <w:snapToGrid w:val="0"/>
          <w:sz w:val="26"/>
        </w:rPr>
      </w:pPr>
    </w:p>
    <w:p w:rsidR="00C26502" w:rsidRPr="00A71C7E" w:rsidRDefault="00C26502" w:rsidP="005A6CD4">
      <w:pPr>
        <w:jc w:val="both"/>
        <w:outlineLvl w:val="0"/>
        <w:rPr>
          <w:rFonts w:ascii="PL Times New Roman" w:hAnsi="PL Times New Roman"/>
          <w:b/>
          <w:snapToGrid w:val="0"/>
          <w:sz w:val="26"/>
        </w:rPr>
      </w:pPr>
    </w:p>
    <w:p w:rsidR="00C26502" w:rsidRPr="00A71C7E" w:rsidRDefault="00C26502" w:rsidP="005A6CD4">
      <w:pPr>
        <w:jc w:val="both"/>
        <w:outlineLvl w:val="0"/>
        <w:rPr>
          <w:rFonts w:ascii="PL Times New Roman" w:hAnsi="PL Times New Roman"/>
          <w:b/>
          <w:snapToGrid w:val="0"/>
          <w:sz w:val="26"/>
        </w:rPr>
      </w:pPr>
    </w:p>
    <w:p w:rsidR="00C26502" w:rsidRPr="00A71C7E" w:rsidRDefault="00C26502" w:rsidP="005A6CD4">
      <w:pPr>
        <w:jc w:val="both"/>
        <w:outlineLvl w:val="0"/>
        <w:rPr>
          <w:rFonts w:ascii="PL Times New Roman" w:hAnsi="PL Times New Roman"/>
          <w:b/>
          <w:snapToGrid w:val="0"/>
          <w:sz w:val="26"/>
        </w:rPr>
      </w:pPr>
    </w:p>
    <w:p w:rsidR="00C26502" w:rsidRPr="00A71C7E" w:rsidRDefault="00C26502" w:rsidP="005A6CD4">
      <w:pPr>
        <w:jc w:val="both"/>
        <w:outlineLvl w:val="0"/>
        <w:rPr>
          <w:rFonts w:ascii="PL Times New Roman" w:hAnsi="PL Times New Roman"/>
          <w:b/>
          <w:snapToGrid w:val="0"/>
          <w:sz w:val="26"/>
        </w:rPr>
      </w:pPr>
    </w:p>
    <w:p w:rsidR="00C26502" w:rsidRPr="00A71C7E" w:rsidRDefault="00C26502" w:rsidP="005A6CD4">
      <w:pPr>
        <w:jc w:val="both"/>
        <w:outlineLvl w:val="0"/>
        <w:rPr>
          <w:rFonts w:ascii="PL Times New Roman" w:hAnsi="PL Times New Roman"/>
          <w:b/>
          <w:snapToGrid w:val="0"/>
          <w:sz w:val="26"/>
        </w:rPr>
      </w:pPr>
    </w:p>
    <w:p w:rsidR="00C26502" w:rsidRPr="00A71C7E" w:rsidRDefault="00C26502" w:rsidP="005A6CD4">
      <w:pPr>
        <w:jc w:val="both"/>
        <w:outlineLvl w:val="0"/>
        <w:rPr>
          <w:rFonts w:ascii="PL Times New Roman" w:hAnsi="PL Times New Roman"/>
          <w:b/>
          <w:snapToGrid w:val="0"/>
          <w:sz w:val="26"/>
        </w:rPr>
      </w:pPr>
    </w:p>
    <w:p w:rsidR="00C26502" w:rsidRPr="00A71C7E" w:rsidRDefault="00C26502" w:rsidP="005A6CD4">
      <w:pPr>
        <w:jc w:val="both"/>
        <w:outlineLvl w:val="0"/>
        <w:rPr>
          <w:rFonts w:ascii="PL Times New Roman" w:hAnsi="PL Times New Roman"/>
          <w:b/>
          <w:snapToGrid w:val="0"/>
          <w:sz w:val="26"/>
        </w:rPr>
      </w:pPr>
    </w:p>
    <w:p w:rsidR="00C26502" w:rsidRPr="00A71C7E" w:rsidRDefault="00C26502" w:rsidP="005A6CD4">
      <w:pPr>
        <w:jc w:val="both"/>
        <w:outlineLvl w:val="0"/>
        <w:rPr>
          <w:rFonts w:ascii="PL Times New Roman" w:hAnsi="PL Times New Roman"/>
          <w:b/>
          <w:snapToGrid w:val="0"/>
          <w:sz w:val="26"/>
        </w:rPr>
      </w:pPr>
    </w:p>
    <w:p w:rsidR="00C26502" w:rsidRPr="00A71C7E" w:rsidRDefault="00C26502" w:rsidP="005A6CD4">
      <w:pPr>
        <w:jc w:val="both"/>
        <w:outlineLvl w:val="0"/>
        <w:rPr>
          <w:rFonts w:ascii="PL Times New Roman" w:hAnsi="PL Times New Roman"/>
          <w:b/>
          <w:snapToGrid w:val="0"/>
          <w:sz w:val="26"/>
        </w:rPr>
      </w:pPr>
    </w:p>
    <w:p w:rsidR="00C26502" w:rsidRPr="00A71C7E" w:rsidRDefault="00C26502" w:rsidP="005A6CD4">
      <w:pPr>
        <w:jc w:val="both"/>
        <w:outlineLvl w:val="0"/>
        <w:rPr>
          <w:rFonts w:ascii="PL Times New Roman" w:hAnsi="PL Times New Roman"/>
          <w:b/>
          <w:snapToGrid w:val="0"/>
          <w:sz w:val="26"/>
        </w:rPr>
      </w:pPr>
    </w:p>
    <w:p w:rsidR="00C26502" w:rsidRPr="00A71C7E" w:rsidRDefault="00C26502" w:rsidP="005A6CD4">
      <w:pPr>
        <w:jc w:val="both"/>
        <w:outlineLvl w:val="0"/>
        <w:rPr>
          <w:rFonts w:ascii="PL Times New Roman" w:hAnsi="PL Times New Roman"/>
          <w:b/>
          <w:snapToGrid w:val="0"/>
          <w:sz w:val="26"/>
        </w:rPr>
      </w:pPr>
    </w:p>
    <w:p w:rsidR="00C26502" w:rsidRPr="00A71C7E" w:rsidRDefault="00C26502" w:rsidP="005A6CD4">
      <w:pPr>
        <w:jc w:val="both"/>
        <w:outlineLvl w:val="0"/>
        <w:rPr>
          <w:rFonts w:ascii="PL Times New Roman" w:hAnsi="PL Times New Roman"/>
          <w:b/>
          <w:snapToGrid w:val="0"/>
          <w:sz w:val="26"/>
        </w:rPr>
      </w:pPr>
    </w:p>
    <w:p w:rsidR="00C26502" w:rsidRPr="00A71C7E" w:rsidRDefault="00C26502" w:rsidP="005A6CD4">
      <w:pPr>
        <w:jc w:val="both"/>
        <w:outlineLvl w:val="0"/>
        <w:rPr>
          <w:rFonts w:ascii="PL Times New Roman" w:hAnsi="PL Times New Roman"/>
          <w:b/>
          <w:snapToGrid w:val="0"/>
          <w:sz w:val="26"/>
        </w:rPr>
      </w:pPr>
    </w:p>
    <w:p w:rsidR="00C26502" w:rsidRPr="00A71C7E" w:rsidRDefault="00C26502" w:rsidP="005A6CD4">
      <w:pPr>
        <w:jc w:val="both"/>
        <w:outlineLvl w:val="0"/>
        <w:rPr>
          <w:rFonts w:ascii="PL Times New Roman" w:hAnsi="PL Times New Roman"/>
          <w:b/>
          <w:snapToGrid w:val="0"/>
          <w:sz w:val="26"/>
        </w:rPr>
      </w:pPr>
    </w:p>
    <w:p w:rsidR="00C26502" w:rsidRPr="00A71C7E" w:rsidRDefault="00C26502" w:rsidP="005A6CD4">
      <w:pPr>
        <w:jc w:val="both"/>
        <w:outlineLvl w:val="0"/>
        <w:rPr>
          <w:rFonts w:ascii="PL Times New Roman" w:hAnsi="PL Times New Roman"/>
          <w:b/>
          <w:snapToGrid w:val="0"/>
          <w:sz w:val="26"/>
        </w:rPr>
      </w:pPr>
    </w:p>
    <w:p w:rsidR="00C26502" w:rsidRPr="00A71C7E" w:rsidRDefault="00C26502" w:rsidP="005A6CD4">
      <w:pPr>
        <w:jc w:val="both"/>
        <w:outlineLvl w:val="0"/>
        <w:rPr>
          <w:rFonts w:ascii="PL Times New Roman" w:hAnsi="PL Times New Roman"/>
          <w:b/>
          <w:snapToGrid w:val="0"/>
          <w:sz w:val="26"/>
        </w:rPr>
      </w:pPr>
    </w:p>
    <w:p w:rsidR="00C26502" w:rsidRPr="00A71C7E" w:rsidRDefault="00C26502" w:rsidP="005A6CD4">
      <w:pPr>
        <w:jc w:val="both"/>
        <w:outlineLvl w:val="0"/>
        <w:rPr>
          <w:rFonts w:ascii="PL Times New Roman" w:hAnsi="PL Times New Roman"/>
          <w:b/>
          <w:snapToGrid w:val="0"/>
          <w:sz w:val="26"/>
        </w:rPr>
      </w:pPr>
    </w:p>
    <w:p w:rsidR="00C26502" w:rsidRPr="00A71C7E" w:rsidRDefault="00C26502" w:rsidP="005A6CD4">
      <w:pPr>
        <w:jc w:val="both"/>
        <w:outlineLvl w:val="0"/>
        <w:rPr>
          <w:rFonts w:ascii="PL Times New Roman" w:hAnsi="PL Times New Roman"/>
          <w:b/>
          <w:snapToGrid w:val="0"/>
          <w:sz w:val="26"/>
        </w:rPr>
      </w:pPr>
    </w:p>
    <w:p w:rsidR="00C26502" w:rsidRPr="00A71C7E" w:rsidRDefault="00C26502" w:rsidP="005A6CD4">
      <w:pPr>
        <w:jc w:val="both"/>
        <w:outlineLvl w:val="0"/>
        <w:rPr>
          <w:rFonts w:ascii="PL Times New Roman" w:hAnsi="PL Times New Roman"/>
          <w:b/>
          <w:snapToGrid w:val="0"/>
          <w:sz w:val="26"/>
        </w:rPr>
      </w:pPr>
    </w:p>
    <w:p w:rsidR="00C26502" w:rsidRPr="00A71C7E" w:rsidRDefault="00C26502" w:rsidP="005A6CD4">
      <w:pPr>
        <w:jc w:val="both"/>
        <w:outlineLvl w:val="0"/>
        <w:rPr>
          <w:rFonts w:ascii="PL Times New Roman" w:hAnsi="PL Times New Roman"/>
          <w:b/>
          <w:snapToGrid w:val="0"/>
          <w:sz w:val="26"/>
        </w:rPr>
      </w:pPr>
    </w:p>
    <w:p w:rsidR="00C26502" w:rsidRPr="00A71C7E" w:rsidRDefault="00C26502" w:rsidP="005A6CD4">
      <w:pPr>
        <w:jc w:val="both"/>
        <w:outlineLvl w:val="0"/>
        <w:rPr>
          <w:rFonts w:ascii="PL Times New Roman" w:hAnsi="PL Times New Roman"/>
          <w:b/>
          <w:snapToGrid w:val="0"/>
          <w:sz w:val="26"/>
        </w:rPr>
      </w:pPr>
    </w:p>
    <w:p w:rsidR="00C26502" w:rsidRPr="00A71C7E" w:rsidRDefault="00C26502" w:rsidP="005A6CD4">
      <w:pPr>
        <w:jc w:val="both"/>
        <w:outlineLvl w:val="0"/>
        <w:rPr>
          <w:rFonts w:ascii="PL Times New Roman" w:hAnsi="PL Times New Roman"/>
          <w:b/>
          <w:snapToGrid w:val="0"/>
          <w:sz w:val="26"/>
        </w:rPr>
      </w:pPr>
    </w:p>
    <w:p w:rsidR="00C26502" w:rsidRPr="00A71C7E" w:rsidRDefault="00C26502" w:rsidP="005A6CD4">
      <w:pPr>
        <w:jc w:val="both"/>
        <w:outlineLvl w:val="0"/>
        <w:rPr>
          <w:rFonts w:ascii="PL Times New Roman" w:hAnsi="PL Times New Roman"/>
          <w:b/>
          <w:snapToGrid w:val="0"/>
          <w:sz w:val="26"/>
        </w:rPr>
      </w:pPr>
    </w:p>
    <w:p w:rsidR="00C26502" w:rsidRPr="00A71C7E" w:rsidRDefault="00C26502" w:rsidP="005A6CD4">
      <w:pPr>
        <w:jc w:val="both"/>
        <w:outlineLvl w:val="0"/>
        <w:rPr>
          <w:rFonts w:ascii="PL Times New Roman" w:hAnsi="PL Times New Roman"/>
          <w:b/>
          <w:snapToGrid w:val="0"/>
          <w:sz w:val="26"/>
        </w:rPr>
      </w:pPr>
    </w:p>
    <w:p w:rsidR="00C26502" w:rsidRPr="00A71C7E" w:rsidRDefault="00C26502" w:rsidP="005A6CD4">
      <w:pPr>
        <w:jc w:val="both"/>
        <w:outlineLvl w:val="0"/>
        <w:rPr>
          <w:rFonts w:ascii="PL Times New Roman" w:hAnsi="PL Times New Roman"/>
          <w:b/>
          <w:snapToGrid w:val="0"/>
          <w:sz w:val="26"/>
        </w:rPr>
      </w:pPr>
    </w:p>
    <w:p w:rsidR="00C26502" w:rsidRPr="00A71C7E" w:rsidRDefault="00C26502" w:rsidP="005A6CD4">
      <w:pPr>
        <w:jc w:val="both"/>
        <w:outlineLvl w:val="0"/>
        <w:rPr>
          <w:rFonts w:ascii="PL Times New Roman" w:hAnsi="PL Times New Roman"/>
          <w:b/>
          <w:snapToGrid w:val="0"/>
          <w:sz w:val="26"/>
        </w:rPr>
      </w:pPr>
    </w:p>
    <w:p w:rsidR="00C26502" w:rsidRPr="00A71C7E" w:rsidRDefault="00C26502" w:rsidP="005A6CD4">
      <w:pPr>
        <w:jc w:val="both"/>
        <w:outlineLvl w:val="0"/>
        <w:rPr>
          <w:rFonts w:ascii="PL Times New Roman" w:hAnsi="PL Times New Roman"/>
          <w:b/>
          <w:snapToGrid w:val="0"/>
          <w:sz w:val="26"/>
        </w:rPr>
      </w:pPr>
    </w:p>
    <w:p w:rsidR="00C26502" w:rsidRPr="00A71C7E" w:rsidRDefault="00C26502" w:rsidP="005A6CD4">
      <w:pPr>
        <w:jc w:val="both"/>
        <w:outlineLvl w:val="0"/>
        <w:rPr>
          <w:rFonts w:ascii="PL Times New Roman" w:hAnsi="PL Times New Roman"/>
          <w:b/>
          <w:snapToGrid w:val="0"/>
          <w:sz w:val="26"/>
        </w:rPr>
      </w:pPr>
    </w:p>
    <w:p w:rsidR="00C26502" w:rsidRPr="00A71C7E" w:rsidRDefault="00C26502" w:rsidP="005A6CD4">
      <w:pPr>
        <w:jc w:val="both"/>
        <w:outlineLvl w:val="0"/>
        <w:rPr>
          <w:rFonts w:ascii="PL Times New Roman" w:hAnsi="PL Times New Roman"/>
          <w:b/>
          <w:snapToGrid w:val="0"/>
          <w:sz w:val="26"/>
        </w:rPr>
      </w:pPr>
    </w:p>
    <w:p w:rsidR="00C26502" w:rsidRPr="00A71C7E" w:rsidRDefault="00C26502" w:rsidP="005A6CD4">
      <w:pPr>
        <w:jc w:val="both"/>
        <w:outlineLvl w:val="0"/>
        <w:rPr>
          <w:rFonts w:ascii="PL Times New Roman" w:hAnsi="PL Times New Roman"/>
          <w:b/>
          <w:snapToGrid w:val="0"/>
          <w:sz w:val="26"/>
        </w:rPr>
      </w:pPr>
    </w:p>
    <w:p w:rsidR="00C26502" w:rsidRPr="00A71C7E" w:rsidRDefault="00C26502" w:rsidP="005A6CD4">
      <w:pPr>
        <w:jc w:val="both"/>
        <w:outlineLvl w:val="0"/>
        <w:rPr>
          <w:rFonts w:ascii="PL Times New Roman" w:hAnsi="PL Times New Roman"/>
          <w:b/>
          <w:snapToGrid w:val="0"/>
          <w:sz w:val="26"/>
        </w:rPr>
      </w:pPr>
    </w:p>
    <w:p w:rsidR="00C26502" w:rsidRPr="00A71C7E" w:rsidRDefault="00C26502" w:rsidP="005A6CD4">
      <w:pPr>
        <w:jc w:val="both"/>
        <w:outlineLvl w:val="0"/>
        <w:rPr>
          <w:rFonts w:ascii="PL Times New Roman" w:hAnsi="PL Times New Roman"/>
          <w:b/>
          <w:snapToGrid w:val="0"/>
          <w:sz w:val="26"/>
        </w:rPr>
      </w:pPr>
    </w:p>
    <w:p w:rsidR="00C26502" w:rsidRPr="00A71C7E" w:rsidRDefault="00C26502" w:rsidP="005A6CD4">
      <w:pPr>
        <w:jc w:val="both"/>
        <w:outlineLvl w:val="0"/>
        <w:rPr>
          <w:rFonts w:ascii="PL Times New Roman" w:hAnsi="PL Times New Roman"/>
          <w:b/>
          <w:snapToGrid w:val="0"/>
          <w:sz w:val="26"/>
        </w:rPr>
      </w:pPr>
    </w:p>
    <w:p w:rsidR="00C26502" w:rsidRPr="00A71C7E" w:rsidRDefault="00C26502" w:rsidP="005A6CD4">
      <w:pPr>
        <w:jc w:val="both"/>
        <w:outlineLvl w:val="0"/>
        <w:rPr>
          <w:rFonts w:ascii="PL Times New Roman" w:hAnsi="PL Times New Roman"/>
          <w:b/>
          <w:snapToGrid w:val="0"/>
          <w:sz w:val="26"/>
        </w:rPr>
      </w:pPr>
    </w:p>
    <w:p w:rsidR="00C26502" w:rsidRPr="00A71C7E" w:rsidRDefault="00C26502" w:rsidP="005A6CD4">
      <w:pPr>
        <w:jc w:val="both"/>
        <w:outlineLvl w:val="0"/>
        <w:rPr>
          <w:rFonts w:ascii="PL Times New Roman" w:hAnsi="PL Times New Roman"/>
          <w:b/>
          <w:snapToGrid w:val="0"/>
          <w:sz w:val="26"/>
        </w:rPr>
      </w:pPr>
    </w:p>
    <w:p w:rsidR="00C26502" w:rsidRPr="00A71C7E" w:rsidRDefault="00C26502" w:rsidP="005A6CD4">
      <w:pPr>
        <w:jc w:val="both"/>
        <w:outlineLvl w:val="0"/>
        <w:rPr>
          <w:rFonts w:ascii="PL Times New Roman" w:hAnsi="PL Times New Roman"/>
          <w:b/>
          <w:snapToGrid w:val="0"/>
          <w:sz w:val="26"/>
        </w:rPr>
      </w:pPr>
    </w:p>
    <w:p w:rsidR="004856CB" w:rsidRPr="005151E9" w:rsidRDefault="004856CB" w:rsidP="004856CB">
      <w:pPr>
        <w:snapToGrid w:val="0"/>
        <w:jc w:val="both"/>
        <w:outlineLvl w:val="0"/>
        <w:rPr>
          <w:rFonts w:ascii="PL Times New Roman" w:hAnsi="PL Times New Roman"/>
          <w:b/>
          <w:bCs/>
          <w:sz w:val="26"/>
          <w:szCs w:val="26"/>
        </w:rPr>
      </w:pPr>
      <w:bookmarkStart w:id="99" w:name="_Toc12492247"/>
      <w:bookmarkStart w:id="100" w:name="_Toc80100100"/>
      <w:r w:rsidRPr="005151E9">
        <w:rPr>
          <w:rFonts w:ascii="PL Times New Roman" w:hAnsi="PL Times New Roman"/>
          <w:b/>
          <w:bCs/>
          <w:sz w:val="26"/>
          <w:szCs w:val="26"/>
        </w:rPr>
        <w:t>M.20.0</w:t>
      </w:r>
      <w:r>
        <w:rPr>
          <w:rFonts w:ascii="PL Times New Roman" w:hAnsi="PL Times New Roman"/>
          <w:b/>
          <w:bCs/>
          <w:sz w:val="26"/>
          <w:szCs w:val="26"/>
        </w:rPr>
        <w:t>2</w:t>
      </w:r>
      <w:r w:rsidRPr="005151E9">
        <w:rPr>
          <w:rFonts w:ascii="PL Times New Roman" w:hAnsi="PL Times New Roman"/>
          <w:b/>
          <w:bCs/>
          <w:sz w:val="26"/>
          <w:szCs w:val="26"/>
        </w:rPr>
        <w:t>.</w:t>
      </w:r>
      <w:r>
        <w:rPr>
          <w:rFonts w:ascii="PL Times New Roman" w:hAnsi="PL Times New Roman"/>
          <w:b/>
          <w:bCs/>
          <w:sz w:val="26"/>
          <w:szCs w:val="26"/>
        </w:rPr>
        <w:t>18</w:t>
      </w:r>
      <w:r w:rsidRPr="005151E9">
        <w:rPr>
          <w:rFonts w:ascii="PL Times New Roman" w:hAnsi="PL Times New Roman"/>
          <w:b/>
          <w:bCs/>
          <w:sz w:val="26"/>
          <w:szCs w:val="26"/>
        </w:rPr>
        <w:t xml:space="preserve">. </w:t>
      </w:r>
      <w:r w:rsidRPr="005151E9">
        <w:rPr>
          <w:rFonts w:ascii="PL Times New Roman" w:hAnsi="PL Times New Roman"/>
          <w:b/>
          <w:bCs/>
          <w:sz w:val="26"/>
          <w:szCs w:val="26"/>
        </w:rPr>
        <w:tab/>
        <w:t>CZASOWA ORGANIZACJA RUCHU</w:t>
      </w:r>
      <w:bookmarkEnd w:id="99"/>
      <w:bookmarkEnd w:id="100"/>
    </w:p>
    <w:p w:rsidR="004856CB" w:rsidRPr="005151E9" w:rsidRDefault="004856CB" w:rsidP="004856CB">
      <w:pPr>
        <w:widowControl w:val="0"/>
        <w:spacing w:before="120" w:after="120"/>
        <w:rPr>
          <w:b/>
          <w:snapToGrid w:val="0"/>
          <w:u w:val="single"/>
        </w:rPr>
      </w:pPr>
      <w:r w:rsidRPr="005151E9">
        <w:rPr>
          <w:b/>
          <w:snapToGrid w:val="0"/>
          <w:u w:val="single"/>
        </w:rPr>
        <w:t>l. WSTĘP</w:t>
      </w:r>
    </w:p>
    <w:p w:rsidR="004856CB" w:rsidRPr="005151E9" w:rsidRDefault="004856CB" w:rsidP="004856CB">
      <w:pPr>
        <w:tabs>
          <w:tab w:val="left" w:pos="708"/>
          <w:tab w:val="center" w:pos="4252"/>
          <w:tab w:val="right" w:pos="8504"/>
          <w:tab w:val="right" w:pos="8789"/>
        </w:tabs>
        <w:snapToGrid w:val="0"/>
        <w:jc w:val="both"/>
      </w:pPr>
      <w:r w:rsidRPr="005151E9">
        <w:t>1.1. Przedmiot specyfikacji</w:t>
      </w:r>
    </w:p>
    <w:p w:rsidR="004856CB" w:rsidRPr="005151E9" w:rsidRDefault="004856CB" w:rsidP="004856CB">
      <w:pPr>
        <w:jc w:val="both"/>
      </w:pPr>
      <w:r w:rsidRPr="005151E9">
        <w:t>Przedmiotem niniejszej Specyfikacji Technicznej są wymagania dotyczące wykonania i odbioru robót związanych ze zmianą organizacji ruchu</w:t>
      </w:r>
      <w:r w:rsidRPr="005151E9">
        <w:rPr>
          <w:snapToGrid w:val="0"/>
        </w:rPr>
        <w:t xml:space="preserve"> w ramach </w:t>
      </w:r>
      <w:r w:rsidRPr="005151E9">
        <w:rPr>
          <w:bCs/>
          <w:snapToGrid w:val="0"/>
        </w:rPr>
        <w:t xml:space="preserve">projektu : </w:t>
      </w:r>
      <w:r>
        <w:rPr>
          <w:bCs/>
        </w:rPr>
        <w:t>"Remont przepustu nad rzeką Postomia w ciągu drogi nr 445/k.2922 m. Wędrzyn"</w:t>
      </w:r>
    </w:p>
    <w:p w:rsidR="004856CB" w:rsidRPr="005151E9" w:rsidRDefault="004856CB" w:rsidP="004856CB">
      <w:pPr>
        <w:jc w:val="both"/>
        <w:rPr>
          <w:b/>
        </w:rPr>
      </w:pPr>
      <w:r w:rsidRPr="005151E9">
        <w:rPr>
          <w:b/>
        </w:rPr>
        <w:t>1.2. Zakres stosowania ST</w:t>
      </w:r>
    </w:p>
    <w:p w:rsidR="004856CB" w:rsidRPr="005151E9" w:rsidRDefault="004856CB" w:rsidP="004856CB">
      <w:pPr>
        <w:jc w:val="both"/>
      </w:pPr>
      <w:r w:rsidRPr="005151E9">
        <w:t>Specyfikacja techniczna jest stosowana jako dokument przetargowy i kontraktowy przy zlecaniu i realizacji robót wymienionych w punkcie 1.1.</w:t>
      </w:r>
    </w:p>
    <w:p w:rsidR="004856CB" w:rsidRPr="005151E9" w:rsidRDefault="004856CB" w:rsidP="004856CB">
      <w:pPr>
        <w:jc w:val="both"/>
        <w:rPr>
          <w:b/>
        </w:rPr>
      </w:pPr>
      <w:r w:rsidRPr="005151E9">
        <w:rPr>
          <w:b/>
        </w:rPr>
        <w:t>1.3. Zakres robót objętych ST</w:t>
      </w:r>
    </w:p>
    <w:p w:rsidR="004856CB" w:rsidRPr="005151E9" w:rsidRDefault="004856CB" w:rsidP="004856CB">
      <w:pPr>
        <w:tabs>
          <w:tab w:val="left" w:pos="708"/>
          <w:tab w:val="left" w:pos="1008"/>
        </w:tabs>
        <w:snapToGrid w:val="0"/>
        <w:jc w:val="both"/>
      </w:pPr>
      <w:r w:rsidRPr="005151E9">
        <w:t>Ustalenia zawarte w niniejszej specyfikacji dotyczą zasad prowadzenia robót związanych z organizacją ruchu zastępczego i ustawieniem oznakowania docelowego po wykonaniu przebudowy. Utrzymanie oznakowania podczas trwania robót należy do Wykonawcy robót. Po zakończeniu robót należy odtworzyć oznakowanie docelowe.</w:t>
      </w:r>
      <w:r w:rsidR="00F91C09">
        <w:t xml:space="preserve"> Roboty należy wykonywać przy całkowitym zamknięciu drogi.</w:t>
      </w:r>
    </w:p>
    <w:p w:rsidR="004856CB" w:rsidRPr="005151E9" w:rsidRDefault="004856CB" w:rsidP="004856CB">
      <w:pPr>
        <w:tabs>
          <w:tab w:val="left" w:pos="708"/>
          <w:tab w:val="left" w:pos="1008"/>
        </w:tabs>
        <w:snapToGrid w:val="0"/>
        <w:jc w:val="both"/>
      </w:pPr>
      <w:r w:rsidRPr="005151E9">
        <w:t>Zakres ryczałtu obejmuje:</w:t>
      </w:r>
    </w:p>
    <w:p w:rsidR="004856CB" w:rsidRDefault="004856CB" w:rsidP="004856CB">
      <w:pPr>
        <w:ind w:left="360" w:hanging="360"/>
        <w:jc w:val="both"/>
      </w:pPr>
      <w:r w:rsidRPr="005151E9">
        <w:t>- inwentaryzacja istniejącej stałej organizacji ruchu</w:t>
      </w:r>
    </w:p>
    <w:p w:rsidR="004856CB" w:rsidRDefault="004856CB" w:rsidP="004856CB">
      <w:pPr>
        <w:ind w:left="360" w:hanging="360"/>
        <w:jc w:val="both"/>
      </w:pPr>
      <w:r>
        <w:t xml:space="preserve">- opracowanie projektu czasowej organizacji ruchu, ewentualne zatwierdzenie czasowej organizacji ruchu </w:t>
      </w:r>
      <w:r w:rsidR="00F91C09">
        <w:t>(droga na której znajduję się przepust jest w zarządzie Zamawiającego)</w:t>
      </w:r>
    </w:p>
    <w:p w:rsidR="004856CB" w:rsidRDefault="004856CB" w:rsidP="004856CB">
      <w:pPr>
        <w:ind w:left="360" w:hanging="360"/>
        <w:jc w:val="both"/>
      </w:pPr>
      <w:r>
        <w:t>- wprowadzenie czasowej organizacji ruchu</w:t>
      </w:r>
    </w:p>
    <w:p w:rsidR="00F91C09" w:rsidRPr="005151E9" w:rsidRDefault="00F91C09" w:rsidP="004856CB">
      <w:pPr>
        <w:ind w:left="360" w:hanging="360"/>
        <w:jc w:val="both"/>
      </w:pPr>
      <w:r>
        <w:t>- zabezpieczenie terenu robót</w:t>
      </w:r>
    </w:p>
    <w:p w:rsidR="004856CB" w:rsidRDefault="004856CB" w:rsidP="004856CB">
      <w:pPr>
        <w:ind w:left="360" w:hanging="360"/>
        <w:jc w:val="both"/>
      </w:pPr>
      <w:r w:rsidRPr="005151E9">
        <w:t>- wykonanie znaków i ustawienie oznakowania związanych z czasową organizacją ruchu,</w:t>
      </w:r>
    </w:p>
    <w:p w:rsidR="004856CB" w:rsidRPr="005151E9" w:rsidRDefault="004856CB" w:rsidP="004856CB">
      <w:pPr>
        <w:ind w:left="360" w:hanging="360"/>
        <w:jc w:val="both"/>
      </w:pPr>
      <w:r>
        <w:t>- rozbiórka lub zasłonięcie oznakowania kolidującego</w:t>
      </w:r>
    </w:p>
    <w:p w:rsidR="004856CB" w:rsidRPr="005151E9" w:rsidRDefault="004856CB" w:rsidP="004856CB">
      <w:pPr>
        <w:ind w:left="360" w:hanging="360"/>
        <w:jc w:val="both"/>
      </w:pPr>
      <w:r w:rsidRPr="005151E9">
        <w:t>- wprowadzenie czasowej organizacji ruchu</w:t>
      </w:r>
    </w:p>
    <w:p w:rsidR="004856CB" w:rsidRPr="005151E9" w:rsidRDefault="004856CB" w:rsidP="004856CB">
      <w:pPr>
        <w:ind w:left="360" w:hanging="360"/>
        <w:jc w:val="both"/>
      </w:pPr>
      <w:r w:rsidRPr="005151E9">
        <w:t xml:space="preserve">- zabezpieczenie uskoku pionowego związanego z </w:t>
      </w:r>
      <w:r>
        <w:t>wykonywaniem robót</w:t>
      </w:r>
    </w:p>
    <w:p w:rsidR="004856CB" w:rsidRPr="005151E9" w:rsidRDefault="004856CB" w:rsidP="004856CB">
      <w:pPr>
        <w:ind w:left="360" w:hanging="360"/>
        <w:jc w:val="both"/>
      </w:pPr>
      <w:r w:rsidRPr="005151E9">
        <w:t>- po zakończeniu robót dokonanie protokolarnego przekazania,</w:t>
      </w:r>
    </w:p>
    <w:p w:rsidR="004856CB" w:rsidRPr="005151E9" w:rsidRDefault="004856CB" w:rsidP="004856CB">
      <w:pPr>
        <w:tabs>
          <w:tab w:val="num" w:pos="360"/>
          <w:tab w:val="left" w:pos="576"/>
          <w:tab w:val="left" w:pos="1008"/>
        </w:tabs>
        <w:snapToGrid w:val="0"/>
        <w:ind w:left="360" w:hanging="360"/>
        <w:jc w:val="both"/>
      </w:pPr>
      <w:r w:rsidRPr="005151E9">
        <w:t>- utrzymanie oznakowania przez czas trwania robót,</w:t>
      </w:r>
    </w:p>
    <w:p w:rsidR="004856CB" w:rsidRDefault="004856CB" w:rsidP="004856CB">
      <w:pPr>
        <w:tabs>
          <w:tab w:val="left" w:pos="360"/>
          <w:tab w:val="left" w:pos="576"/>
          <w:tab w:val="left" w:pos="1008"/>
        </w:tabs>
        <w:snapToGrid w:val="0"/>
        <w:jc w:val="both"/>
      </w:pPr>
      <w:r w:rsidRPr="005151E9">
        <w:t>- likwidacja czasowej organizacji ruchu,</w:t>
      </w:r>
    </w:p>
    <w:p w:rsidR="004856CB" w:rsidRPr="005151E9" w:rsidRDefault="004856CB" w:rsidP="004856CB">
      <w:pPr>
        <w:tabs>
          <w:tab w:val="left" w:pos="360"/>
          <w:tab w:val="left" w:pos="576"/>
          <w:tab w:val="left" w:pos="1008"/>
        </w:tabs>
        <w:snapToGrid w:val="0"/>
        <w:jc w:val="both"/>
      </w:pPr>
      <w:r>
        <w:t>- przywrócenie stałej organizacji</w:t>
      </w:r>
    </w:p>
    <w:p w:rsidR="004856CB" w:rsidRPr="005151E9" w:rsidRDefault="004856CB" w:rsidP="004856CB">
      <w:pPr>
        <w:tabs>
          <w:tab w:val="left" w:pos="360"/>
          <w:tab w:val="left" w:pos="576"/>
          <w:tab w:val="left" w:pos="1008"/>
        </w:tabs>
        <w:snapToGrid w:val="0"/>
        <w:jc w:val="both"/>
      </w:pPr>
    </w:p>
    <w:p w:rsidR="004856CB" w:rsidRPr="005151E9" w:rsidRDefault="004856CB" w:rsidP="004856CB">
      <w:pPr>
        <w:widowControl w:val="0"/>
        <w:spacing w:before="120" w:after="120"/>
        <w:jc w:val="both"/>
        <w:rPr>
          <w:b/>
          <w:snapToGrid w:val="0"/>
          <w:u w:val="single"/>
        </w:rPr>
      </w:pPr>
      <w:r w:rsidRPr="005151E9">
        <w:rPr>
          <w:b/>
          <w:noProof/>
          <w:snapToGrid w:val="0"/>
          <w:u w:val="single"/>
        </w:rPr>
        <w:t>2.</w:t>
      </w:r>
      <w:r w:rsidRPr="005151E9">
        <w:rPr>
          <w:b/>
          <w:snapToGrid w:val="0"/>
          <w:u w:val="single"/>
        </w:rPr>
        <w:t xml:space="preserve"> MATERIAŁY</w:t>
      </w:r>
    </w:p>
    <w:p w:rsidR="004856CB" w:rsidRPr="005151E9" w:rsidRDefault="004856CB" w:rsidP="004856CB">
      <w:pPr>
        <w:jc w:val="both"/>
      </w:pPr>
      <w:r w:rsidRPr="005151E9">
        <w:t>Każdy materiał do wykonania pionowego znaku drogowego, na który nie ma normy,  winien posiadać aprobatę techniczną wydaną przez uprawnioną jednostkę. Znaki drogowe powinny mieć certyfikat bezpieczeństwa (znak „B”) nadany przez uprawnioną jednostkę. Oznakowanie należy wykonać według zatwierdzonego projektu organizacji ruchu. Przewiduje się duże znaki odblaskowe zgodnie z zatwierdzonym projektem czasowej organizacji ruchu.</w:t>
      </w:r>
    </w:p>
    <w:p w:rsidR="004856CB" w:rsidRPr="005151E9" w:rsidRDefault="004856CB" w:rsidP="004856CB">
      <w:pPr>
        <w:widowControl w:val="0"/>
        <w:spacing w:before="120" w:after="120"/>
        <w:rPr>
          <w:b/>
          <w:snapToGrid w:val="0"/>
          <w:u w:val="single"/>
        </w:rPr>
      </w:pPr>
      <w:r w:rsidRPr="005151E9">
        <w:rPr>
          <w:b/>
          <w:noProof/>
          <w:snapToGrid w:val="0"/>
          <w:u w:val="single"/>
        </w:rPr>
        <w:t>3.</w:t>
      </w:r>
      <w:r w:rsidRPr="005151E9">
        <w:rPr>
          <w:b/>
          <w:snapToGrid w:val="0"/>
          <w:u w:val="single"/>
        </w:rPr>
        <w:t xml:space="preserve"> SPRZĘT</w:t>
      </w:r>
    </w:p>
    <w:p w:rsidR="004856CB" w:rsidRPr="005151E9" w:rsidRDefault="004856CB" w:rsidP="004856CB">
      <w:pPr>
        <w:tabs>
          <w:tab w:val="left" w:pos="708"/>
          <w:tab w:val="left" w:pos="1008"/>
        </w:tabs>
        <w:snapToGrid w:val="0"/>
        <w:jc w:val="both"/>
      </w:pPr>
      <w:r w:rsidRPr="005151E9">
        <w:t>Wykonawca przystępujący do wykonania oznakowania pionowego powinien wykazać się możliwością korzystania z następującego sprzętu:</w:t>
      </w:r>
    </w:p>
    <w:p w:rsidR="004856CB" w:rsidRPr="005151E9" w:rsidRDefault="004856CB" w:rsidP="004856CB">
      <w:pPr>
        <w:tabs>
          <w:tab w:val="num" w:pos="360"/>
        </w:tabs>
        <w:ind w:left="360" w:hanging="360"/>
      </w:pPr>
      <w:r w:rsidRPr="005151E9">
        <w:t>koparek kołowych, np. 0,15 m</w:t>
      </w:r>
      <w:r w:rsidRPr="005151E9">
        <w:rPr>
          <w:vertAlign w:val="superscript"/>
        </w:rPr>
        <w:t>3</w:t>
      </w:r>
      <w:r w:rsidRPr="005151E9">
        <w:t xml:space="preserve"> lub koparek gąsienicowych, np. 0,25 m</w:t>
      </w:r>
      <w:r w:rsidRPr="005151E9">
        <w:rPr>
          <w:vertAlign w:val="superscript"/>
        </w:rPr>
        <w:t>3</w:t>
      </w:r>
      <w:r w:rsidRPr="005151E9">
        <w:t>,</w:t>
      </w:r>
    </w:p>
    <w:p w:rsidR="004856CB" w:rsidRPr="005151E9" w:rsidRDefault="004856CB" w:rsidP="004856CB">
      <w:pPr>
        <w:tabs>
          <w:tab w:val="num" w:pos="360"/>
        </w:tabs>
        <w:ind w:left="360" w:hanging="360"/>
      </w:pPr>
      <w:r w:rsidRPr="005151E9">
        <w:t>żurawi samochodowych o udźwigu do 4 t,</w:t>
      </w:r>
    </w:p>
    <w:p w:rsidR="004856CB" w:rsidRPr="005151E9" w:rsidRDefault="004856CB" w:rsidP="004856CB">
      <w:pPr>
        <w:tabs>
          <w:tab w:val="num" w:pos="360"/>
        </w:tabs>
        <w:ind w:left="360" w:hanging="360"/>
      </w:pPr>
      <w:r w:rsidRPr="005151E9">
        <w:t>ewentualnie wiertnic do wykonywania dołów pod słupki w gruncie spoistym,</w:t>
      </w:r>
    </w:p>
    <w:p w:rsidR="004856CB" w:rsidRPr="005151E9" w:rsidRDefault="004856CB" w:rsidP="004856CB">
      <w:pPr>
        <w:tabs>
          <w:tab w:val="num" w:pos="360"/>
        </w:tabs>
        <w:ind w:left="360" w:hanging="360"/>
      </w:pPr>
      <w:r w:rsidRPr="005151E9">
        <w:t>betoniarek przewoźnych do wykonywania fundamentów betonowych „na mokro”,</w:t>
      </w:r>
    </w:p>
    <w:p w:rsidR="004856CB" w:rsidRPr="005151E9" w:rsidRDefault="004856CB" w:rsidP="004856CB">
      <w:pPr>
        <w:tabs>
          <w:tab w:val="num" w:pos="360"/>
        </w:tabs>
        <w:ind w:left="360" w:hanging="360"/>
      </w:pPr>
      <w:r w:rsidRPr="005151E9">
        <w:t>środków transportowych do przewozu materiałów,</w:t>
      </w:r>
    </w:p>
    <w:p w:rsidR="004856CB" w:rsidRPr="005151E9" w:rsidRDefault="004856CB" w:rsidP="004856CB">
      <w:pPr>
        <w:tabs>
          <w:tab w:val="num" w:pos="360"/>
        </w:tabs>
        <w:ind w:left="360" w:hanging="360"/>
      </w:pPr>
      <w:r w:rsidRPr="005151E9">
        <w:t>przewoźnych zbiorników na wodę,</w:t>
      </w:r>
    </w:p>
    <w:p w:rsidR="004856CB" w:rsidRPr="005151E9" w:rsidRDefault="004856CB" w:rsidP="004856CB">
      <w:pPr>
        <w:tabs>
          <w:tab w:val="num" w:pos="360"/>
        </w:tabs>
        <w:ind w:left="360" w:hanging="360"/>
      </w:pPr>
      <w:r w:rsidRPr="005151E9">
        <w:t>sprzętu spawalniczego, itp.</w:t>
      </w:r>
    </w:p>
    <w:p w:rsidR="004856CB" w:rsidRPr="005151E9" w:rsidRDefault="004856CB" w:rsidP="004856CB">
      <w:pPr>
        <w:widowControl w:val="0"/>
        <w:spacing w:before="120" w:after="120"/>
        <w:jc w:val="both"/>
        <w:rPr>
          <w:b/>
          <w:snapToGrid w:val="0"/>
          <w:u w:val="single"/>
        </w:rPr>
      </w:pPr>
      <w:r w:rsidRPr="005151E9">
        <w:rPr>
          <w:b/>
          <w:noProof/>
          <w:snapToGrid w:val="0"/>
          <w:u w:val="single"/>
        </w:rPr>
        <w:t>4.</w:t>
      </w:r>
      <w:r w:rsidRPr="005151E9">
        <w:rPr>
          <w:b/>
          <w:snapToGrid w:val="0"/>
          <w:u w:val="single"/>
        </w:rPr>
        <w:t xml:space="preserve"> TRANSPORT</w:t>
      </w:r>
    </w:p>
    <w:p w:rsidR="004856CB" w:rsidRPr="005151E9" w:rsidRDefault="004856CB" w:rsidP="004856CB">
      <w:pPr>
        <w:tabs>
          <w:tab w:val="left" w:pos="708"/>
          <w:tab w:val="left" w:pos="1008"/>
        </w:tabs>
        <w:snapToGrid w:val="0"/>
        <w:jc w:val="both"/>
      </w:pPr>
      <w:r w:rsidRPr="005151E9">
        <w:t>Transport znaków, konstrukcji wsporczych i sprzętu (uchwyty, śruby, nakrętki itp.) powinien się odbywać środkami transportowymi w sposób uniemożliwiający ich przesuwanie się w czasie transportu i uszkodzenie.</w:t>
      </w:r>
    </w:p>
    <w:p w:rsidR="004856CB" w:rsidRPr="005151E9" w:rsidRDefault="004856CB" w:rsidP="004856CB">
      <w:pPr>
        <w:widowControl w:val="0"/>
        <w:spacing w:before="120" w:after="120"/>
        <w:rPr>
          <w:b/>
          <w:snapToGrid w:val="0"/>
          <w:u w:val="single"/>
        </w:rPr>
      </w:pPr>
      <w:r w:rsidRPr="005151E9">
        <w:rPr>
          <w:b/>
          <w:noProof/>
          <w:snapToGrid w:val="0"/>
          <w:u w:val="single"/>
        </w:rPr>
        <w:t>5.</w:t>
      </w:r>
      <w:r w:rsidRPr="005151E9">
        <w:rPr>
          <w:b/>
          <w:snapToGrid w:val="0"/>
          <w:u w:val="single"/>
        </w:rPr>
        <w:t xml:space="preserve"> WYKONANIE ROBÓT</w:t>
      </w:r>
    </w:p>
    <w:p w:rsidR="004856CB" w:rsidRDefault="004856CB" w:rsidP="004856CB">
      <w:pPr>
        <w:jc w:val="both"/>
      </w:pPr>
      <w:r w:rsidRPr="005151E9">
        <w:t>Należy wprowadzić czasową organizację ruchu zgodnie z</w:t>
      </w:r>
      <w:r w:rsidR="006C3242">
        <w:t xml:space="preserve"> opracowanym i </w:t>
      </w:r>
      <w:r w:rsidRPr="005151E9">
        <w:t xml:space="preserve"> zatwierdzonym projektem. Zakres prac obejmuje: wykonanie i montaż znaków na słupkach, wyłączenie kolidującego oznakowania, utrzymanie oznakowania podczas trwania robót oraz demontaż po zakończeniu robót</w:t>
      </w:r>
      <w:r w:rsidR="005D7358">
        <w:t>,</w:t>
      </w:r>
      <w:r w:rsidRPr="005151E9">
        <w:t>, przywrócenie oznakowania docelowego pionow</w:t>
      </w:r>
      <w:r w:rsidR="005D7358">
        <w:t>ego i poziomego, zabezpieczenie miejsca prowadzenia robót</w:t>
      </w:r>
      <w:r>
        <w:t>.</w:t>
      </w:r>
    </w:p>
    <w:p w:rsidR="004856CB" w:rsidRPr="005151E9" w:rsidRDefault="004856CB" w:rsidP="004856CB">
      <w:pPr>
        <w:jc w:val="both"/>
        <w:rPr>
          <w:b/>
        </w:rPr>
      </w:pPr>
    </w:p>
    <w:p w:rsidR="004856CB" w:rsidRPr="005151E9" w:rsidRDefault="004856CB" w:rsidP="004856CB">
      <w:pPr>
        <w:widowControl w:val="0"/>
        <w:spacing w:before="120" w:after="120"/>
        <w:rPr>
          <w:b/>
          <w:snapToGrid w:val="0"/>
          <w:u w:val="single"/>
        </w:rPr>
      </w:pPr>
      <w:r w:rsidRPr="005151E9">
        <w:rPr>
          <w:b/>
          <w:noProof/>
          <w:snapToGrid w:val="0"/>
          <w:u w:val="single"/>
        </w:rPr>
        <w:t>6.</w:t>
      </w:r>
      <w:r w:rsidRPr="005151E9">
        <w:rPr>
          <w:b/>
          <w:snapToGrid w:val="0"/>
          <w:u w:val="single"/>
        </w:rPr>
        <w:t xml:space="preserve"> KONTROLA JAKOŚCI ROBÓT</w:t>
      </w:r>
    </w:p>
    <w:p w:rsidR="004856CB" w:rsidRPr="005151E9" w:rsidRDefault="004856CB" w:rsidP="004856CB">
      <w:pPr>
        <w:jc w:val="both"/>
      </w:pPr>
      <w:r w:rsidRPr="005151E9">
        <w:t>Zgodnie z zatwierdzonym projektem organizacji ruchu.</w:t>
      </w:r>
    </w:p>
    <w:p w:rsidR="004856CB" w:rsidRPr="005151E9" w:rsidRDefault="004856CB" w:rsidP="004856CB">
      <w:pPr>
        <w:jc w:val="both"/>
      </w:pPr>
    </w:p>
    <w:p w:rsidR="004856CB" w:rsidRPr="005151E9" w:rsidRDefault="004856CB" w:rsidP="004856CB">
      <w:pPr>
        <w:tabs>
          <w:tab w:val="left" w:pos="360"/>
          <w:tab w:val="left" w:pos="576"/>
          <w:tab w:val="left" w:pos="1008"/>
        </w:tabs>
        <w:snapToGrid w:val="0"/>
        <w:jc w:val="both"/>
        <w:rPr>
          <w:b/>
        </w:rPr>
      </w:pPr>
      <w:r w:rsidRPr="005151E9">
        <w:rPr>
          <w:b/>
        </w:rPr>
        <w:t xml:space="preserve">6.1. Wymagania wobec oznakowania poziomego  </w:t>
      </w:r>
    </w:p>
    <w:p w:rsidR="004856CB" w:rsidRPr="005151E9" w:rsidRDefault="004856CB" w:rsidP="004856CB">
      <w:pPr>
        <w:tabs>
          <w:tab w:val="left" w:pos="360"/>
          <w:tab w:val="left" w:pos="576"/>
          <w:tab w:val="left" w:pos="1008"/>
        </w:tabs>
        <w:snapToGrid w:val="0"/>
        <w:jc w:val="both"/>
      </w:pPr>
      <w:r w:rsidRPr="005151E9">
        <w:t>6.1.1. Zasady</w:t>
      </w:r>
    </w:p>
    <w:p w:rsidR="004856CB" w:rsidRPr="005151E9" w:rsidRDefault="004856CB" w:rsidP="004856CB">
      <w:pPr>
        <w:tabs>
          <w:tab w:val="left" w:pos="360"/>
          <w:tab w:val="left" w:pos="576"/>
          <w:tab w:val="left" w:pos="1008"/>
        </w:tabs>
        <w:snapToGrid w:val="0"/>
        <w:jc w:val="both"/>
      </w:pPr>
      <w:r w:rsidRPr="005151E9">
        <w:t xml:space="preserve">Wymagania sprecyzowano przede wszystkim w celu określenia właściwości oznakowania dróg w czasie ich użytkowania. Wymagania określa się kilkoma parametrami reprezentującymi różne aspekty właściwości oznakowania dróg według PN-EN 1436:2007+A1:2008 [4]. Badania wstępne, dla których określono pierwsze wymaganie, są wykonywane w celu kontroli przed odbiorem. Powinny być wykonane w terminie od 14 do 30 dnia po wykonaniu. Kolejne badania kontrolne należy wykonywać po okresie od 1 do 6 miesięcy po wykonaniu i przed upływem 1 roku. </w:t>
      </w:r>
    </w:p>
    <w:p w:rsidR="004856CB" w:rsidRPr="005151E9" w:rsidRDefault="004856CB" w:rsidP="004856CB">
      <w:pPr>
        <w:tabs>
          <w:tab w:val="left" w:pos="360"/>
          <w:tab w:val="left" w:pos="576"/>
          <w:tab w:val="left" w:pos="1008"/>
        </w:tabs>
        <w:snapToGrid w:val="0"/>
        <w:jc w:val="both"/>
      </w:pPr>
    </w:p>
    <w:p w:rsidR="004856CB" w:rsidRPr="005151E9" w:rsidRDefault="004856CB" w:rsidP="004856CB">
      <w:pPr>
        <w:tabs>
          <w:tab w:val="left" w:pos="360"/>
          <w:tab w:val="left" w:pos="576"/>
          <w:tab w:val="left" w:pos="1008"/>
        </w:tabs>
        <w:snapToGrid w:val="0"/>
        <w:jc w:val="both"/>
      </w:pPr>
      <w:r w:rsidRPr="005151E9">
        <w:t>6.1.2. Widzialność w dzień</w:t>
      </w:r>
    </w:p>
    <w:p w:rsidR="004856CB" w:rsidRPr="005151E9" w:rsidRDefault="004856CB" w:rsidP="004856CB">
      <w:pPr>
        <w:tabs>
          <w:tab w:val="left" w:pos="360"/>
          <w:tab w:val="left" w:pos="576"/>
          <w:tab w:val="left" w:pos="1008"/>
        </w:tabs>
        <w:snapToGrid w:val="0"/>
        <w:jc w:val="both"/>
      </w:pPr>
      <w:r w:rsidRPr="005151E9">
        <w:t xml:space="preserve">Widzialność oznakowania w dzień jest określona współczynnikiem luminancji β i barwą oznakowania wyrażoną współrzędnymi chromatyczności. </w:t>
      </w:r>
    </w:p>
    <w:p w:rsidR="004856CB" w:rsidRPr="005151E9" w:rsidRDefault="004856CB" w:rsidP="004856CB">
      <w:pPr>
        <w:tabs>
          <w:tab w:val="left" w:pos="360"/>
          <w:tab w:val="left" w:pos="576"/>
          <w:tab w:val="left" w:pos="1008"/>
        </w:tabs>
        <w:snapToGrid w:val="0"/>
        <w:jc w:val="both"/>
      </w:pPr>
    </w:p>
    <w:p w:rsidR="004856CB" w:rsidRPr="005151E9" w:rsidRDefault="004856CB" w:rsidP="004856CB">
      <w:pPr>
        <w:tabs>
          <w:tab w:val="left" w:pos="360"/>
          <w:tab w:val="left" w:pos="576"/>
          <w:tab w:val="left" w:pos="1008"/>
        </w:tabs>
        <w:snapToGrid w:val="0"/>
        <w:jc w:val="both"/>
      </w:pPr>
      <w:r w:rsidRPr="005151E9">
        <w:t xml:space="preserve">Wartości współczynnika luminancji β powinny wynosić dla oznakowania nowego </w:t>
      </w:r>
    </w:p>
    <w:p w:rsidR="004856CB" w:rsidRPr="005151E9" w:rsidRDefault="004856CB" w:rsidP="004856CB">
      <w:pPr>
        <w:tabs>
          <w:tab w:val="left" w:pos="360"/>
          <w:tab w:val="left" w:pos="576"/>
          <w:tab w:val="left" w:pos="1008"/>
        </w:tabs>
        <w:snapToGrid w:val="0"/>
        <w:jc w:val="both"/>
      </w:pPr>
      <w:r w:rsidRPr="005151E9">
        <w:t>w terminie od 14 do 30 dnia po wykonaniu, barwy:</w:t>
      </w:r>
    </w:p>
    <w:p w:rsidR="004856CB" w:rsidRPr="005151E9" w:rsidRDefault="004856CB" w:rsidP="004856CB">
      <w:pPr>
        <w:tabs>
          <w:tab w:val="left" w:pos="360"/>
          <w:tab w:val="left" w:pos="576"/>
          <w:tab w:val="left" w:pos="1008"/>
        </w:tabs>
        <w:snapToGrid w:val="0"/>
        <w:jc w:val="both"/>
      </w:pPr>
      <w:r w:rsidRPr="005151E9">
        <w:t>o</w:t>
      </w:r>
      <w:r w:rsidRPr="005151E9">
        <w:tab/>
        <w:t>białej, co najmniej 0,40, klasa B3</w:t>
      </w:r>
    </w:p>
    <w:p w:rsidR="004856CB" w:rsidRPr="005151E9" w:rsidRDefault="004856CB" w:rsidP="004856CB">
      <w:pPr>
        <w:tabs>
          <w:tab w:val="left" w:pos="360"/>
          <w:tab w:val="left" w:pos="576"/>
          <w:tab w:val="left" w:pos="1008"/>
        </w:tabs>
        <w:snapToGrid w:val="0"/>
        <w:jc w:val="both"/>
      </w:pPr>
      <w:r w:rsidRPr="005151E9">
        <w:t>Wartości współczynnika luminancji β powinny wynosić po 30 dniu od wykonania dla całego okresu użytkowania oznakowania, barwy:</w:t>
      </w:r>
    </w:p>
    <w:p w:rsidR="004856CB" w:rsidRPr="005151E9" w:rsidRDefault="004856CB" w:rsidP="004856CB">
      <w:pPr>
        <w:tabs>
          <w:tab w:val="left" w:pos="360"/>
          <w:tab w:val="left" w:pos="576"/>
          <w:tab w:val="left" w:pos="1008"/>
        </w:tabs>
        <w:snapToGrid w:val="0"/>
        <w:jc w:val="both"/>
      </w:pPr>
      <w:r w:rsidRPr="005151E9">
        <w:t>o</w:t>
      </w:r>
      <w:r w:rsidRPr="005151E9">
        <w:tab/>
        <w:t>białej, co najmniej 0,30, klasa B2</w:t>
      </w:r>
    </w:p>
    <w:p w:rsidR="004856CB" w:rsidRPr="005151E9" w:rsidRDefault="004856CB" w:rsidP="004856CB">
      <w:pPr>
        <w:tabs>
          <w:tab w:val="left" w:pos="360"/>
          <w:tab w:val="left" w:pos="576"/>
          <w:tab w:val="left" w:pos="1008"/>
        </w:tabs>
        <w:snapToGrid w:val="0"/>
        <w:jc w:val="both"/>
      </w:pPr>
    </w:p>
    <w:p w:rsidR="004856CB" w:rsidRPr="005151E9" w:rsidRDefault="004856CB" w:rsidP="004856CB">
      <w:pPr>
        <w:tabs>
          <w:tab w:val="left" w:pos="360"/>
          <w:tab w:val="left" w:pos="576"/>
          <w:tab w:val="left" w:pos="1008"/>
        </w:tabs>
        <w:snapToGrid w:val="0"/>
        <w:jc w:val="both"/>
      </w:pPr>
      <w:r w:rsidRPr="005151E9">
        <w:t>Barwa oznakowania powinna być określona wg PN-EN 1436:2007+A1:2008 [4] przez współrzędne chromatyczności x i y, które dla suchego oznakowania powinny leżeć w obszarze zdefiniowanym przez cztery punkty narożne:</w:t>
      </w:r>
    </w:p>
    <w:p w:rsidR="004856CB" w:rsidRPr="005151E9" w:rsidRDefault="004856CB" w:rsidP="004856CB">
      <w:pPr>
        <w:tabs>
          <w:tab w:val="left" w:pos="360"/>
          <w:tab w:val="left" w:pos="576"/>
          <w:tab w:val="left" w:pos="1008"/>
        </w:tabs>
        <w:snapToGrid w:val="0"/>
        <w:jc w:val="both"/>
      </w:pPr>
      <w:r w:rsidRPr="005151E9">
        <w:t>Punkt narożny</w:t>
      </w:r>
      <w:r w:rsidRPr="005151E9">
        <w:tab/>
      </w:r>
      <w:r w:rsidRPr="005151E9">
        <w:tab/>
      </w:r>
      <w:r w:rsidRPr="005151E9">
        <w:tab/>
        <w:t>1</w:t>
      </w:r>
      <w:r w:rsidRPr="005151E9">
        <w:tab/>
        <w:t>2</w:t>
      </w:r>
      <w:r w:rsidRPr="005151E9">
        <w:tab/>
        <w:t>3</w:t>
      </w:r>
      <w:r w:rsidRPr="005151E9">
        <w:tab/>
        <w:t>4</w:t>
      </w:r>
    </w:p>
    <w:p w:rsidR="004856CB" w:rsidRPr="005151E9" w:rsidRDefault="004856CB" w:rsidP="004856CB">
      <w:pPr>
        <w:tabs>
          <w:tab w:val="left" w:pos="360"/>
          <w:tab w:val="left" w:pos="576"/>
          <w:tab w:val="left" w:pos="1008"/>
        </w:tabs>
        <w:snapToGrid w:val="0"/>
        <w:jc w:val="both"/>
      </w:pPr>
      <w:r w:rsidRPr="005151E9">
        <w:t>Oznakowanie białe:</w:t>
      </w:r>
      <w:r w:rsidRPr="005151E9">
        <w:tab/>
      </w:r>
      <w:r w:rsidRPr="005151E9">
        <w:tab/>
        <w:t>x</w:t>
      </w:r>
      <w:r w:rsidRPr="005151E9">
        <w:tab/>
        <w:t>0,355</w:t>
      </w:r>
      <w:r w:rsidRPr="005151E9">
        <w:tab/>
        <w:t>0,305</w:t>
      </w:r>
      <w:r w:rsidRPr="005151E9">
        <w:tab/>
        <w:t>0,285</w:t>
      </w:r>
      <w:r w:rsidRPr="005151E9">
        <w:tab/>
        <w:t>0,335</w:t>
      </w:r>
    </w:p>
    <w:p w:rsidR="004856CB" w:rsidRPr="005151E9" w:rsidRDefault="004856CB" w:rsidP="004856CB">
      <w:pPr>
        <w:tabs>
          <w:tab w:val="left" w:pos="360"/>
          <w:tab w:val="left" w:pos="576"/>
          <w:tab w:val="left" w:pos="1008"/>
        </w:tabs>
        <w:snapToGrid w:val="0"/>
        <w:jc w:val="both"/>
      </w:pPr>
      <w:r w:rsidRPr="005151E9">
        <w:t>y</w:t>
      </w:r>
      <w:r w:rsidRPr="005151E9">
        <w:tab/>
        <w:t>0,355</w:t>
      </w:r>
      <w:r w:rsidRPr="005151E9">
        <w:tab/>
        <w:t>0,305</w:t>
      </w:r>
      <w:r w:rsidRPr="005151E9">
        <w:tab/>
        <w:t>0,325</w:t>
      </w:r>
      <w:r w:rsidRPr="005151E9">
        <w:tab/>
        <w:t>0,375</w:t>
      </w:r>
    </w:p>
    <w:p w:rsidR="004856CB" w:rsidRPr="005151E9" w:rsidRDefault="004856CB" w:rsidP="004856CB">
      <w:pPr>
        <w:tabs>
          <w:tab w:val="left" w:pos="360"/>
          <w:tab w:val="left" w:pos="576"/>
          <w:tab w:val="left" w:pos="1008"/>
        </w:tabs>
        <w:snapToGrid w:val="0"/>
        <w:jc w:val="both"/>
      </w:pPr>
      <w:r w:rsidRPr="005151E9">
        <w:t>Pomiar współrzędnych chromatyczności wykonuje się wyłącznie na oznakowaniu gładkim, pokrywającym nawierzchnię na 100% badanej powierzchni (pomiaru nie wykonuje się na oznakowaniach: strukturalnym, Spotflex, itp.).</w:t>
      </w:r>
    </w:p>
    <w:p w:rsidR="004856CB" w:rsidRPr="005151E9" w:rsidRDefault="004856CB" w:rsidP="004856CB">
      <w:pPr>
        <w:tabs>
          <w:tab w:val="left" w:pos="360"/>
          <w:tab w:val="left" w:pos="576"/>
          <w:tab w:val="left" w:pos="1008"/>
        </w:tabs>
        <w:snapToGrid w:val="0"/>
        <w:jc w:val="both"/>
      </w:pPr>
      <w:r w:rsidRPr="005151E9">
        <w:t>Pomiar współczynnika luminancji β może być zastąpiony pomiarem współczynnik luminancji w świetle rozproszonym Qd wg PN-EN 1436:2007+A1:2008 [4].</w:t>
      </w:r>
    </w:p>
    <w:p w:rsidR="004856CB" w:rsidRPr="005151E9" w:rsidRDefault="004856CB" w:rsidP="004856CB">
      <w:pPr>
        <w:tabs>
          <w:tab w:val="left" w:pos="360"/>
          <w:tab w:val="left" w:pos="576"/>
          <w:tab w:val="left" w:pos="1008"/>
        </w:tabs>
        <w:snapToGrid w:val="0"/>
        <w:jc w:val="both"/>
      </w:pPr>
      <w:r w:rsidRPr="005151E9">
        <w:t>Wartość współczynnika Qd powinna wynosić dla oznakowania świeżego (od 14 do 30 dnia), barwy:</w:t>
      </w:r>
    </w:p>
    <w:p w:rsidR="004856CB" w:rsidRPr="005151E9" w:rsidRDefault="004856CB" w:rsidP="004856CB">
      <w:pPr>
        <w:tabs>
          <w:tab w:val="left" w:pos="360"/>
          <w:tab w:val="left" w:pos="576"/>
          <w:tab w:val="left" w:pos="1008"/>
        </w:tabs>
        <w:snapToGrid w:val="0"/>
        <w:jc w:val="both"/>
      </w:pPr>
      <w:r w:rsidRPr="005151E9">
        <w:t>•</w:t>
      </w:r>
      <w:r w:rsidRPr="005151E9">
        <w:tab/>
        <w:t>białej, co najmniej 130 mcd·m-2·lx-1, klasa Q3</w:t>
      </w:r>
    </w:p>
    <w:p w:rsidR="004856CB" w:rsidRPr="005151E9" w:rsidRDefault="004856CB" w:rsidP="004856CB">
      <w:pPr>
        <w:tabs>
          <w:tab w:val="left" w:pos="360"/>
          <w:tab w:val="left" w:pos="576"/>
          <w:tab w:val="left" w:pos="1008"/>
        </w:tabs>
        <w:snapToGrid w:val="0"/>
        <w:jc w:val="both"/>
      </w:pPr>
      <w:r w:rsidRPr="005151E9">
        <w:t>Wartość współczynnika Qd powinna wynosić dla oznakowania eksploatowanego po 30 dniu od wykonania, w ciągu całego okresu użytkowania,  barwy:</w:t>
      </w:r>
    </w:p>
    <w:p w:rsidR="004856CB" w:rsidRPr="005151E9" w:rsidRDefault="004856CB" w:rsidP="004856CB">
      <w:pPr>
        <w:tabs>
          <w:tab w:val="left" w:pos="360"/>
          <w:tab w:val="left" w:pos="576"/>
          <w:tab w:val="left" w:pos="1008"/>
        </w:tabs>
        <w:snapToGrid w:val="0"/>
        <w:jc w:val="both"/>
      </w:pPr>
      <w:r w:rsidRPr="005151E9">
        <w:t>•</w:t>
      </w:r>
      <w:r w:rsidRPr="005151E9">
        <w:tab/>
        <w:t>białej, co najmniej 100 mcd·m-2·lx-1, klasa Q2,</w:t>
      </w:r>
    </w:p>
    <w:p w:rsidR="004856CB" w:rsidRPr="005151E9" w:rsidRDefault="004856CB" w:rsidP="004856CB">
      <w:pPr>
        <w:tabs>
          <w:tab w:val="left" w:pos="360"/>
          <w:tab w:val="left" w:pos="576"/>
          <w:tab w:val="left" w:pos="1008"/>
        </w:tabs>
        <w:snapToGrid w:val="0"/>
        <w:jc w:val="both"/>
      </w:pPr>
    </w:p>
    <w:p w:rsidR="004856CB" w:rsidRPr="005151E9" w:rsidRDefault="004856CB" w:rsidP="004856CB">
      <w:pPr>
        <w:tabs>
          <w:tab w:val="left" w:pos="360"/>
          <w:tab w:val="left" w:pos="576"/>
          <w:tab w:val="left" w:pos="1008"/>
        </w:tabs>
        <w:snapToGrid w:val="0"/>
        <w:jc w:val="both"/>
      </w:pPr>
      <w:r w:rsidRPr="005151E9">
        <w:t>6.1.3. Widzialność w nocy Za miarę widzialności w nocy przyjęto powierzchniowy współczynnik odblasku RL, określany wg PN-EN 1436:2007+A1:2008 [4].</w:t>
      </w:r>
    </w:p>
    <w:p w:rsidR="004856CB" w:rsidRPr="005151E9" w:rsidRDefault="004856CB" w:rsidP="004856CB">
      <w:pPr>
        <w:tabs>
          <w:tab w:val="left" w:pos="360"/>
          <w:tab w:val="left" w:pos="576"/>
          <w:tab w:val="left" w:pos="1008"/>
        </w:tabs>
        <w:snapToGrid w:val="0"/>
        <w:jc w:val="both"/>
      </w:pPr>
      <w:r w:rsidRPr="005151E9">
        <w:t>Wartość współczynnika RL powinna wynosić dla oznakowania świeżego w stanie suchym w ciągu 14 - 30 dni po wykonaniu, barwy:</w:t>
      </w:r>
    </w:p>
    <w:p w:rsidR="004856CB" w:rsidRPr="005151E9" w:rsidRDefault="004856CB" w:rsidP="004856CB">
      <w:pPr>
        <w:tabs>
          <w:tab w:val="left" w:pos="360"/>
          <w:tab w:val="left" w:pos="576"/>
          <w:tab w:val="left" w:pos="1008"/>
        </w:tabs>
        <w:snapToGrid w:val="0"/>
        <w:jc w:val="both"/>
      </w:pPr>
      <w:r w:rsidRPr="005151E9">
        <w:t>•</w:t>
      </w:r>
      <w:r w:rsidRPr="005151E9">
        <w:tab/>
        <w:t>białej, co najmniej 200 mcd·m-2·lx-1, klasa R4</w:t>
      </w:r>
    </w:p>
    <w:p w:rsidR="004856CB" w:rsidRPr="005151E9" w:rsidRDefault="004856CB" w:rsidP="004856CB">
      <w:pPr>
        <w:tabs>
          <w:tab w:val="left" w:pos="360"/>
          <w:tab w:val="left" w:pos="576"/>
          <w:tab w:val="left" w:pos="1008"/>
        </w:tabs>
        <w:snapToGrid w:val="0"/>
        <w:jc w:val="both"/>
      </w:pPr>
      <w:r w:rsidRPr="005151E9">
        <w:t>Wartość współczynnika RL powinna wynosić dla oznakowania używanego:</w:t>
      </w:r>
    </w:p>
    <w:p w:rsidR="004856CB" w:rsidRPr="005151E9" w:rsidRDefault="004856CB" w:rsidP="004856CB">
      <w:pPr>
        <w:tabs>
          <w:tab w:val="left" w:pos="360"/>
          <w:tab w:val="left" w:pos="576"/>
          <w:tab w:val="left" w:pos="1008"/>
        </w:tabs>
        <w:snapToGrid w:val="0"/>
        <w:jc w:val="both"/>
      </w:pPr>
      <w:r w:rsidRPr="005151E9">
        <w:t>a)  od 1 do 6 miesięcy,  barwy:</w:t>
      </w:r>
    </w:p>
    <w:p w:rsidR="004856CB" w:rsidRPr="005151E9" w:rsidRDefault="004856CB" w:rsidP="004856CB">
      <w:pPr>
        <w:tabs>
          <w:tab w:val="left" w:pos="360"/>
          <w:tab w:val="left" w:pos="576"/>
          <w:tab w:val="left" w:pos="1008"/>
        </w:tabs>
        <w:snapToGrid w:val="0"/>
        <w:jc w:val="both"/>
      </w:pPr>
      <w:r w:rsidRPr="005151E9">
        <w:t>•</w:t>
      </w:r>
      <w:r w:rsidRPr="005151E9">
        <w:tab/>
        <w:t>białej, co najmniej 150 mcd·m-2·lx-1, klasa R3,</w:t>
      </w:r>
    </w:p>
    <w:p w:rsidR="004856CB" w:rsidRPr="005151E9" w:rsidRDefault="004856CB" w:rsidP="004856CB">
      <w:pPr>
        <w:tabs>
          <w:tab w:val="left" w:pos="360"/>
          <w:tab w:val="left" w:pos="576"/>
          <w:tab w:val="left" w:pos="1008"/>
        </w:tabs>
        <w:snapToGrid w:val="0"/>
        <w:jc w:val="both"/>
      </w:pPr>
      <w:r w:rsidRPr="005151E9">
        <w:t>b)  ponad 6 miesięcy,  barwy:</w:t>
      </w:r>
    </w:p>
    <w:p w:rsidR="004856CB" w:rsidRPr="005151E9" w:rsidRDefault="004856CB" w:rsidP="004856CB">
      <w:pPr>
        <w:tabs>
          <w:tab w:val="left" w:pos="360"/>
          <w:tab w:val="left" w:pos="576"/>
          <w:tab w:val="left" w:pos="1008"/>
        </w:tabs>
        <w:snapToGrid w:val="0"/>
        <w:jc w:val="both"/>
      </w:pPr>
      <w:r w:rsidRPr="005151E9">
        <w:t>•</w:t>
      </w:r>
      <w:r w:rsidRPr="005151E9">
        <w:tab/>
        <w:t>białej, co najmniej 100 mcd·m-2·lx-1, klasa R2,</w:t>
      </w:r>
    </w:p>
    <w:p w:rsidR="004856CB" w:rsidRPr="005151E9" w:rsidRDefault="004856CB" w:rsidP="004856CB">
      <w:pPr>
        <w:tabs>
          <w:tab w:val="left" w:pos="360"/>
          <w:tab w:val="left" w:pos="576"/>
          <w:tab w:val="left" w:pos="1008"/>
        </w:tabs>
        <w:snapToGrid w:val="0"/>
        <w:jc w:val="both"/>
      </w:pPr>
      <w:r w:rsidRPr="005151E9">
        <w:t>Wykonywanie pomiarów odblaskowości na oznakowaniach strukturalnych, z uwagi na jego niecałkowite i niejednorodne pokrycie powierzchni oznakowania, jest obarczone większym błędem niż na oznakowaniach pełnych. Dlatego podczas odbioru czy kontroli, należy przyjąć jako dopuszczalne wartości współczynnika odblasku o 20 % niższe od przyjętych w SST.</w:t>
      </w:r>
    </w:p>
    <w:p w:rsidR="004856CB" w:rsidRPr="005151E9" w:rsidRDefault="004856CB" w:rsidP="004856CB">
      <w:pPr>
        <w:tabs>
          <w:tab w:val="left" w:pos="360"/>
          <w:tab w:val="left" w:pos="576"/>
          <w:tab w:val="left" w:pos="1008"/>
        </w:tabs>
        <w:snapToGrid w:val="0"/>
        <w:jc w:val="both"/>
      </w:pPr>
    </w:p>
    <w:p w:rsidR="004856CB" w:rsidRPr="005151E9" w:rsidRDefault="004856CB" w:rsidP="004856CB">
      <w:pPr>
        <w:tabs>
          <w:tab w:val="left" w:pos="360"/>
          <w:tab w:val="left" w:pos="576"/>
          <w:tab w:val="left" w:pos="1008"/>
        </w:tabs>
        <w:snapToGrid w:val="0"/>
        <w:jc w:val="both"/>
      </w:pPr>
      <w:r w:rsidRPr="005151E9">
        <w:t>6.1.4. Szorstkość oznakowania</w:t>
      </w:r>
    </w:p>
    <w:p w:rsidR="004856CB" w:rsidRPr="005151E9" w:rsidRDefault="004856CB" w:rsidP="004856CB">
      <w:pPr>
        <w:tabs>
          <w:tab w:val="left" w:pos="360"/>
          <w:tab w:val="left" w:pos="576"/>
          <w:tab w:val="left" w:pos="1008"/>
        </w:tabs>
        <w:snapToGrid w:val="0"/>
        <w:jc w:val="both"/>
      </w:pPr>
      <w:r w:rsidRPr="005151E9">
        <w:t>Miarą szorstkości oznakowania jest wartość wskaźnika szorstkości SRT (SkidResistance Tester) mierzona wahadłem angielskim, wg PN-EN 1436:2007+A1:2008 [4] lub metodą równoważną do metody wahadła angielskiego np. T2GO. Wartość SRT symuluje warunki, w których pojazd wyposażony w typowe opony hamuje z blokadą kół przy prędkości 50 km/h na mokrej nawierzchni.</w:t>
      </w:r>
    </w:p>
    <w:p w:rsidR="004856CB" w:rsidRPr="005151E9" w:rsidRDefault="004856CB" w:rsidP="004856CB">
      <w:pPr>
        <w:tabs>
          <w:tab w:val="left" w:pos="360"/>
          <w:tab w:val="left" w:pos="576"/>
          <w:tab w:val="left" w:pos="1008"/>
        </w:tabs>
        <w:snapToGrid w:val="0"/>
        <w:jc w:val="both"/>
      </w:pPr>
      <w:r w:rsidRPr="005151E9">
        <w:t xml:space="preserve">Wymaga się, aby wartość wskaźnika szorstkości SRT wynosiła na oznakowaniu </w:t>
      </w:r>
    </w:p>
    <w:p w:rsidR="004856CB" w:rsidRPr="005151E9" w:rsidRDefault="004856CB" w:rsidP="004856CB">
      <w:pPr>
        <w:tabs>
          <w:tab w:val="left" w:pos="360"/>
          <w:tab w:val="left" w:pos="576"/>
          <w:tab w:val="left" w:pos="1008"/>
        </w:tabs>
        <w:snapToGrid w:val="0"/>
        <w:jc w:val="both"/>
      </w:pPr>
      <w:r w:rsidRPr="005151E9">
        <w:t>co najmniej 45 jednostek SRT.</w:t>
      </w:r>
    </w:p>
    <w:p w:rsidR="004856CB" w:rsidRPr="005151E9" w:rsidRDefault="004856CB" w:rsidP="004856CB">
      <w:pPr>
        <w:tabs>
          <w:tab w:val="left" w:pos="360"/>
          <w:tab w:val="left" w:pos="576"/>
          <w:tab w:val="left" w:pos="1008"/>
        </w:tabs>
        <w:snapToGrid w:val="0"/>
        <w:jc w:val="both"/>
      </w:pPr>
      <w:r w:rsidRPr="005151E9">
        <w:t>Pomiar dotyczy linii gładkich (pomiaru nie wykonuje się na oznakowaniach: strukturalnym, Spotflex, itp.)</w:t>
      </w:r>
    </w:p>
    <w:p w:rsidR="004856CB" w:rsidRPr="005151E9" w:rsidRDefault="004856CB" w:rsidP="004856CB">
      <w:pPr>
        <w:jc w:val="both"/>
      </w:pPr>
    </w:p>
    <w:p w:rsidR="004856CB" w:rsidRPr="005151E9" w:rsidRDefault="004856CB" w:rsidP="004856CB">
      <w:pPr>
        <w:widowControl w:val="0"/>
        <w:spacing w:before="120" w:after="120"/>
        <w:ind w:left="142" w:hanging="142"/>
        <w:rPr>
          <w:b/>
          <w:snapToGrid w:val="0"/>
          <w:u w:val="single"/>
        </w:rPr>
      </w:pPr>
      <w:r w:rsidRPr="005151E9">
        <w:rPr>
          <w:b/>
          <w:noProof/>
          <w:snapToGrid w:val="0"/>
          <w:u w:val="single"/>
        </w:rPr>
        <w:t>7.</w:t>
      </w:r>
      <w:r w:rsidRPr="005151E9">
        <w:rPr>
          <w:b/>
          <w:snapToGrid w:val="0"/>
          <w:u w:val="single"/>
        </w:rPr>
        <w:t xml:space="preserve"> OBMIAR ROBÓT</w:t>
      </w:r>
    </w:p>
    <w:p w:rsidR="004856CB" w:rsidRPr="005151E9" w:rsidRDefault="004856CB" w:rsidP="004856CB">
      <w:pPr>
        <w:jc w:val="both"/>
      </w:pPr>
      <w:r w:rsidRPr="005151E9">
        <w:t>Ryczałt.</w:t>
      </w:r>
    </w:p>
    <w:p w:rsidR="004856CB" w:rsidRPr="005151E9" w:rsidRDefault="004856CB" w:rsidP="004856CB">
      <w:pPr>
        <w:widowControl w:val="0"/>
        <w:spacing w:before="120" w:after="120"/>
        <w:jc w:val="both"/>
        <w:rPr>
          <w:b/>
          <w:snapToGrid w:val="0"/>
          <w:u w:val="single"/>
        </w:rPr>
      </w:pPr>
      <w:r w:rsidRPr="005151E9">
        <w:rPr>
          <w:b/>
          <w:noProof/>
          <w:snapToGrid w:val="0"/>
          <w:u w:val="single"/>
        </w:rPr>
        <w:t>8.</w:t>
      </w:r>
      <w:r w:rsidRPr="005151E9">
        <w:rPr>
          <w:b/>
          <w:snapToGrid w:val="0"/>
          <w:u w:val="single"/>
        </w:rPr>
        <w:t xml:space="preserve"> ODBIÓR ROBÓT</w:t>
      </w:r>
    </w:p>
    <w:p w:rsidR="004856CB" w:rsidRPr="005151E9" w:rsidRDefault="004856CB" w:rsidP="004856CB">
      <w:pPr>
        <w:tabs>
          <w:tab w:val="right" w:leader="dot" w:pos="-1985"/>
          <w:tab w:val="left" w:pos="426"/>
          <w:tab w:val="right" w:leader="dot" w:pos="8505"/>
        </w:tabs>
      </w:pPr>
      <w:r w:rsidRPr="005151E9">
        <w:t>Ogólne zasady odbioru robót podano w ST D-M-00.00.00 „Wymagania ogólne”.</w:t>
      </w:r>
    </w:p>
    <w:p w:rsidR="004856CB" w:rsidRPr="005151E9" w:rsidRDefault="004856CB" w:rsidP="004856CB">
      <w:pPr>
        <w:widowControl w:val="0"/>
        <w:spacing w:before="120" w:after="120"/>
        <w:rPr>
          <w:b/>
          <w:snapToGrid w:val="0"/>
          <w:u w:val="single"/>
        </w:rPr>
      </w:pPr>
      <w:r w:rsidRPr="005151E9">
        <w:rPr>
          <w:b/>
          <w:noProof/>
          <w:snapToGrid w:val="0"/>
          <w:u w:val="single"/>
        </w:rPr>
        <w:t>9.</w:t>
      </w:r>
      <w:r w:rsidRPr="005151E9">
        <w:rPr>
          <w:b/>
          <w:snapToGrid w:val="0"/>
          <w:u w:val="single"/>
        </w:rPr>
        <w:t xml:space="preserve"> PODSTAWA PŁATNOŚCI</w:t>
      </w:r>
    </w:p>
    <w:p w:rsidR="004856CB" w:rsidRPr="005151E9" w:rsidRDefault="004856CB" w:rsidP="004856CB">
      <w:pPr>
        <w:jc w:val="both"/>
      </w:pPr>
      <w:r w:rsidRPr="005151E9">
        <w:t>Cena wykonania robót obejmuje wszystkie prace zgodnie z projektem czasowej organizacji m.in.:</w:t>
      </w:r>
    </w:p>
    <w:p w:rsidR="004856CB" w:rsidRPr="005151E9" w:rsidRDefault="004856CB" w:rsidP="0097494B">
      <w:pPr>
        <w:numPr>
          <w:ilvl w:val="0"/>
          <w:numId w:val="39"/>
        </w:numPr>
        <w:jc w:val="both"/>
      </w:pPr>
      <w:r w:rsidRPr="005151E9">
        <w:t>roboty pomiarowe i przygotowawcze,</w:t>
      </w:r>
    </w:p>
    <w:p w:rsidR="004856CB" w:rsidRDefault="004856CB" w:rsidP="0097494B">
      <w:pPr>
        <w:numPr>
          <w:ilvl w:val="0"/>
          <w:numId w:val="39"/>
        </w:numPr>
        <w:jc w:val="both"/>
      </w:pPr>
      <w:r w:rsidRPr="005151E9">
        <w:t>zakup materiałów,</w:t>
      </w:r>
    </w:p>
    <w:p w:rsidR="004856CB" w:rsidRDefault="004856CB" w:rsidP="0097494B">
      <w:pPr>
        <w:numPr>
          <w:ilvl w:val="0"/>
          <w:numId w:val="39"/>
        </w:numPr>
        <w:jc w:val="both"/>
      </w:pPr>
      <w:r>
        <w:t xml:space="preserve">poinformowanie </w:t>
      </w:r>
      <w:r w:rsidR="005D7358">
        <w:t>instytucje wskazane przez Zamawiającego</w:t>
      </w:r>
      <w:r>
        <w:t xml:space="preserve"> o wprowadzon</w:t>
      </w:r>
      <w:r w:rsidR="005D7358">
        <w:t>ym zamknięciu.</w:t>
      </w:r>
    </w:p>
    <w:p w:rsidR="004856CB" w:rsidRDefault="004856CB" w:rsidP="0097494B">
      <w:pPr>
        <w:numPr>
          <w:ilvl w:val="0"/>
          <w:numId w:val="39"/>
        </w:numPr>
        <w:jc w:val="both"/>
      </w:pPr>
      <w:r w:rsidRPr="005151E9">
        <w:t>inwentaryzacje istniejącej stałej organizacji ruchu,</w:t>
      </w:r>
    </w:p>
    <w:p w:rsidR="004856CB" w:rsidRDefault="004856CB" w:rsidP="0097494B">
      <w:pPr>
        <w:numPr>
          <w:ilvl w:val="0"/>
          <w:numId w:val="39"/>
        </w:numPr>
        <w:jc w:val="both"/>
      </w:pPr>
      <w:r>
        <w:t>oprawcowanie, zatwierdzenie projektu czasowej organizacji ruchu</w:t>
      </w:r>
    </w:p>
    <w:p w:rsidR="004856CB" w:rsidRPr="005151E9" w:rsidRDefault="004856CB" w:rsidP="0097494B">
      <w:pPr>
        <w:numPr>
          <w:ilvl w:val="0"/>
          <w:numId w:val="39"/>
        </w:numPr>
        <w:jc w:val="both"/>
      </w:pPr>
      <w:r>
        <w:t>wprowadzenie czasowej organizacji ruchu</w:t>
      </w:r>
    </w:p>
    <w:p w:rsidR="004856CB" w:rsidRPr="005151E9" w:rsidRDefault="004856CB" w:rsidP="0097494B">
      <w:pPr>
        <w:numPr>
          <w:ilvl w:val="0"/>
          <w:numId w:val="39"/>
        </w:numPr>
        <w:jc w:val="both"/>
      </w:pPr>
      <w:r w:rsidRPr="005151E9">
        <w:t>inwentaryzację sprawdzającą istniejące oznakowania,</w:t>
      </w:r>
    </w:p>
    <w:p w:rsidR="004856CB" w:rsidRPr="005151E9" w:rsidRDefault="004856CB" w:rsidP="0097494B">
      <w:pPr>
        <w:numPr>
          <w:ilvl w:val="0"/>
          <w:numId w:val="39"/>
        </w:numPr>
        <w:jc w:val="both"/>
      </w:pPr>
      <w:r w:rsidRPr="005151E9">
        <w:t>transport i składowanie materiałów do wykonania robót,</w:t>
      </w:r>
    </w:p>
    <w:p w:rsidR="004856CB" w:rsidRPr="005151E9" w:rsidRDefault="004856CB" w:rsidP="0097494B">
      <w:pPr>
        <w:numPr>
          <w:ilvl w:val="0"/>
          <w:numId w:val="39"/>
        </w:numPr>
        <w:jc w:val="both"/>
      </w:pPr>
      <w:r w:rsidRPr="005151E9">
        <w:t>wykonanie tablic i konstrukcji wsporczych,</w:t>
      </w:r>
    </w:p>
    <w:p w:rsidR="004856CB" w:rsidRPr="005151E9" w:rsidRDefault="004856CB" w:rsidP="0097494B">
      <w:pPr>
        <w:numPr>
          <w:ilvl w:val="0"/>
          <w:numId w:val="39"/>
        </w:numPr>
        <w:jc w:val="both"/>
      </w:pPr>
      <w:r w:rsidRPr="005151E9">
        <w:t>montaż znaków, tablic i konstrukcji wsporczych,</w:t>
      </w:r>
    </w:p>
    <w:p w:rsidR="004856CB" w:rsidRPr="005151E9" w:rsidRDefault="004856CB" w:rsidP="0097494B">
      <w:pPr>
        <w:numPr>
          <w:ilvl w:val="0"/>
          <w:numId w:val="39"/>
        </w:numPr>
        <w:jc w:val="both"/>
      </w:pPr>
      <w:r w:rsidRPr="005151E9">
        <w:t>wyłączenie oznakowania kolidującego,</w:t>
      </w:r>
    </w:p>
    <w:p w:rsidR="004856CB" w:rsidRPr="005151E9" w:rsidRDefault="004856CB" w:rsidP="0097494B">
      <w:pPr>
        <w:numPr>
          <w:ilvl w:val="0"/>
          <w:numId w:val="39"/>
        </w:numPr>
        <w:jc w:val="both"/>
      </w:pPr>
      <w:r w:rsidRPr="005151E9">
        <w:t>utrzymanie oznakowania przez cały czas trwania robót,</w:t>
      </w:r>
    </w:p>
    <w:p w:rsidR="004856CB" w:rsidRPr="005151E9" w:rsidRDefault="004856CB" w:rsidP="0097494B">
      <w:pPr>
        <w:numPr>
          <w:ilvl w:val="0"/>
          <w:numId w:val="39"/>
        </w:numPr>
        <w:jc w:val="both"/>
      </w:pPr>
      <w:r w:rsidRPr="005151E9">
        <w:t>rozbiórkę i odwiezienie oznakowania tymczasowego,</w:t>
      </w:r>
    </w:p>
    <w:p w:rsidR="004856CB" w:rsidRPr="005151E9" w:rsidRDefault="004856CB" w:rsidP="0097494B">
      <w:pPr>
        <w:numPr>
          <w:ilvl w:val="0"/>
          <w:numId w:val="39"/>
        </w:numPr>
        <w:jc w:val="both"/>
      </w:pPr>
      <w:r w:rsidRPr="005151E9">
        <w:t>montaż stałego oznakowania pionowego i poziomego po zakończeniu robót,</w:t>
      </w:r>
    </w:p>
    <w:p w:rsidR="004856CB" w:rsidRDefault="004856CB" w:rsidP="0097494B">
      <w:pPr>
        <w:numPr>
          <w:ilvl w:val="0"/>
          <w:numId w:val="39"/>
        </w:numPr>
        <w:jc w:val="both"/>
      </w:pPr>
      <w:r w:rsidRPr="005151E9">
        <w:t>uprzątnięcie terenu robót,</w:t>
      </w:r>
    </w:p>
    <w:p w:rsidR="004856CB" w:rsidRPr="005151E9" w:rsidRDefault="004856CB" w:rsidP="0097494B">
      <w:pPr>
        <w:numPr>
          <w:ilvl w:val="0"/>
          <w:numId w:val="39"/>
        </w:numPr>
        <w:jc w:val="both"/>
      </w:pPr>
      <w:r>
        <w:t>opracowanie, zatwierdzenie i wprowadzenie nowej organizacji ruchu ( w razie woli Wykonawcy)</w:t>
      </w:r>
    </w:p>
    <w:p w:rsidR="004856CB" w:rsidRPr="005151E9" w:rsidRDefault="004856CB" w:rsidP="0097494B">
      <w:pPr>
        <w:numPr>
          <w:ilvl w:val="0"/>
          <w:numId w:val="39"/>
        </w:numPr>
        <w:jc w:val="both"/>
      </w:pPr>
      <w:r w:rsidRPr="005151E9">
        <w:t>aktualizacja tymczasowego projektu organizacji ruchu (w razie konieczności)</w:t>
      </w:r>
    </w:p>
    <w:p w:rsidR="004856CB" w:rsidRPr="005151E9" w:rsidRDefault="004856CB" w:rsidP="0097494B">
      <w:pPr>
        <w:numPr>
          <w:ilvl w:val="0"/>
          <w:numId w:val="39"/>
        </w:numPr>
        <w:contextualSpacing/>
      </w:pPr>
      <w:r w:rsidRPr="005151E9">
        <w:t>aktualizacja tymczasowego projektu organizacji ruchu w przypadku innego etapowania robót</w:t>
      </w:r>
    </w:p>
    <w:p w:rsidR="004856CB" w:rsidRPr="005151E9" w:rsidRDefault="004856CB" w:rsidP="0097494B">
      <w:pPr>
        <w:numPr>
          <w:ilvl w:val="0"/>
          <w:numId w:val="39"/>
        </w:numPr>
        <w:jc w:val="both"/>
      </w:pPr>
      <w:r w:rsidRPr="005151E9">
        <w:t>wprowadzenie aktualizacji do  tymczasowej organizacji ruchu (w razie konieczności)</w:t>
      </w:r>
    </w:p>
    <w:p w:rsidR="004856CB" w:rsidRPr="005151E9" w:rsidRDefault="004856CB" w:rsidP="004856CB">
      <w:pPr>
        <w:ind w:left="360"/>
        <w:jc w:val="both"/>
      </w:pPr>
    </w:p>
    <w:p w:rsidR="004856CB" w:rsidRPr="005151E9" w:rsidRDefault="004856CB" w:rsidP="004856CB">
      <w:pPr>
        <w:widowControl w:val="0"/>
        <w:spacing w:before="120" w:after="120"/>
        <w:rPr>
          <w:b/>
          <w:snapToGrid w:val="0"/>
          <w:u w:val="single"/>
        </w:rPr>
      </w:pPr>
      <w:r w:rsidRPr="005151E9">
        <w:rPr>
          <w:b/>
          <w:noProof/>
          <w:snapToGrid w:val="0"/>
          <w:u w:val="single"/>
        </w:rPr>
        <w:t>10.</w:t>
      </w:r>
      <w:r w:rsidRPr="005151E9">
        <w:rPr>
          <w:b/>
          <w:snapToGrid w:val="0"/>
          <w:u w:val="single"/>
        </w:rPr>
        <w:t xml:space="preserve"> PRZEPISY ZWIĄZANE</w:t>
      </w:r>
    </w:p>
    <w:p w:rsidR="004856CB" w:rsidRPr="005151E9" w:rsidRDefault="004856CB" w:rsidP="0097494B">
      <w:pPr>
        <w:numPr>
          <w:ilvl w:val="0"/>
          <w:numId w:val="40"/>
        </w:numPr>
        <w:tabs>
          <w:tab w:val="center" w:pos="4252"/>
          <w:tab w:val="right" w:pos="8504"/>
          <w:tab w:val="right" w:pos="8789"/>
        </w:tabs>
        <w:snapToGrid w:val="0"/>
        <w:jc w:val="both"/>
      </w:pPr>
      <w:r w:rsidRPr="005151E9">
        <w:t>Rozporządzeniem Ministra Infrastruktury z dnia 3 lipca 2003 r. w sprawie szczegółowych warunków technicznych dla znaków i sygnałów drogowych oraz urządzeń bezpieczeństwa ruchu drogowego i warunków ich umieszczania na drogach (</w:t>
      </w:r>
      <w:r w:rsidRPr="005151E9">
        <w:rPr>
          <w:bCs/>
        </w:rPr>
        <w:t>Dz.U.03.220.2181</w:t>
      </w:r>
      <w:r w:rsidRPr="005151E9">
        <w:t>)</w:t>
      </w:r>
    </w:p>
    <w:p w:rsidR="004856CB" w:rsidRPr="005151E9" w:rsidRDefault="004856CB" w:rsidP="0097494B">
      <w:pPr>
        <w:numPr>
          <w:ilvl w:val="0"/>
          <w:numId w:val="40"/>
        </w:numPr>
        <w:tabs>
          <w:tab w:val="center" w:pos="4252"/>
          <w:tab w:val="right" w:pos="8504"/>
          <w:tab w:val="right" w:pos="8789"/>
        </w:tabs>
        <w:snapToGrid w:val="0"/>
        <w:jc w:val="both"/>
      </w:pPr>
      <w:r w:rsidRPr="005151E9">
        <w:t>Rozporządzeniem Ministra Infrastruktury z dnia 23 września 2003 r.  w sprawie szczegółowych warunków zarządzania ruchem na drogach oraz wykonywania nadzoru nad tym zarządzaniem (Dz.U.03.177.1729).</w:t>
      </w:r>
    </w:p>
    <w:p w:rsidR="004856CB" w:rsidRPr="005151E9" w:rsidRDefault="004856CB" w:rsidP="004856CB">
      <w:pPr>
        <w:overflowPunct w:val="0"/>
        <w:autoSpaceDE w:val="0"/>
        <w:autoSpaceDN w:val="0"/>
        <w:adjustRightInd w:val="0"/>
        <w:jc w:val="both"/>
      </w:pPr>
      <w:r w:rsidRPr="005151E9">
        <w:t>Rozporządzenie Ministrów Infrastruktury oraz Spraw Wewnętrznych i Administracji z dnia 31. lipca 2002 r. w sprawie znaków i sygnałów drogowych (Dz.U.02.170.1393).</w:t>
      </w:r>
    </w:p>
    <w:p w:rsidR="004856CB" w:rsidRPr="00BF002A" w:rsidRDefault="004856CB" w:rsidP="004856CB"/>
    <w:p w:rsidR="00C26502" w:rsidRPr="00A71C7E" w:rsidRDefault="00C26502" w:rsidP="005A6CD4">
      <w:pPr>
        <w:jc w:val="both"/>
        <w:outlineLvl w:val="0"/>
        <w:rPr>
          <w:rFonts w:ascii="PL Times New Roman" w:hAnsi="PL Times New Roman"/>
          <w:b/>
          <w:snapToGrid w:val="0"/>
          <w:sz w:val="26"/>
        </w:rPr>
      </w:pPr>
    </w:p>
    <w:p w:rsidR="001D0788" w:rsidRDefault="001D0788" w:rsidP="0097494B">
      <w:pPr>
        <w:numPr>
          <w:ilvl w:val="0"/>
          <w:numId w:val="65"/>
        </w:numPr>
        <w:tabs>
          <w:tab w:val="clear" w:pos="720"/>
          <w:tab w:val="num" w:pos="360"/>
          <w:tab w:val="num" w:pos="1440"/>
        </w:tabs>
        <w:ind w:left="360"/>
        <w:jc w:val="both"/>
        <w:rPr>
          <w:rFonts w:ascii="Arial" w:hAnsi="Arial" w:cs="Arial"/>
        </w:rPr>
      </w:pPr>
      <w:r w:rsidRPr="00566A85">
        <w:rPr>
          <w:rFonts w:ascii="Arial" w:hAnsi="Arial" w:cs="Arial"/>
        </w:rPr>
        <w:t>nowy realizacyjne, GUGiK, 1983.</w:t>
      </w:r>
    </w:p>
    <w:sectPr w:rsidR="001D0788" w:rsidSect="002C4839">
      <w:headerReference w:type="even" r:id="rId60"/>
      <w:headerReference w:type="default" r:id="rId61"/>
      <w:footerReference w:type="even" r:id="rId62"/>
      <w:footerReference w:type="default" r:id="rId63"/>
      <w:pgSz w:w="11907" w:h="16840" w:code="9"/>
      <w:pgMar w:top="1134" w:right="927" w:bottom="1418" w:left="851" w:header="709" w:footer="851" w:gutter="1134"/>
      <w:paperSrc w:other="1"/>
      <w:pgNumType w:start="1"/>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64F24" w:rsidRDefault="00A64F24">
      <w:r>
        <w:separator/>
      </w:r>
    </w:p>
  </w:endnote>
  <w:endnote w:type="continuationSeparator" w:id="0">
    <w:p w:rsidR="00A64F24" w:rsidRDefault="00A64F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EE"/>
    <w:family w:val="modern"/>
    <w:pitch w:val="fixed"/>
    <w:sig w:usb0="E0002AFF" w:usb1="C0007843" w:usb2="00000009" w:usb3="00000000" w:csb0="000001FF" w:csb1="00000000"/>
  </w:font>
  <w:font w:name="Times New Roman">
    <w:panose1 w:val="02020603050405020304"/>
    <w:charset w:val="EE"/>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OpenSymbol">
    <w:panose1 w:val="05010000000000000000"/>
    <w:charset w:val="00"/>
    <w:family w:val="auto"/>
    <w:pitch w:val="variable"/>
    <w:sig w:usb0="800000AF" w:usb1="1001ECEA" w:usb2="00000000" w:usb3="00000000" w:csb0="00000001" w:csb1="00000000"/>
  </w:font>
  <w:font w:name="Arial">
    <w:panose1 w:val="020B0604020202020204"/>
    <w:charset w:val="EE"/>
    <w:family w:val="swiss"/>
    <w:pitch w:val="variable"/>
    <w:sig w:usb0="E0002AFF" w:usb1="C0007843" w:usb2="00000009" w:usb3="00000000" w:csb0="000001FF" w:csb1="00000000"/>
  </w:font>
  <w:font w:name="PL Times New Roman">
    <w:altName w:val="Times New Roman"/>
    <w:panose1 w:val="00000000000000000000"/>
    <w:charset w:val="00"/>
    <w:family w:val="roman"/>
    <w:notTrueType/>
    <w:pitch w:val="variable"/>
    <w:sig w:usb0="00000003" w:usb1="00000000" w:usb2="00000000" w:usb3="00000000" w:csb0="00000001" w:csb1="00000000"/>
  </w:font>
  <w:font w:name="Bookman Old Style">
    <w:panose1 w:val="02050604050505020204"/>
    <w:charset w:val="EE"/>
    <w:family w:val="roman"/>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00002FF" w:usb1="4000ACFF" w:usb2="00000001" w:usb3="00000000" w:csb0="0000019F" w:csb1="00000000"/>
  </w:font>
  <w:font w:name="Mangal">
    <w:panose1 w:val="02040503050203030202"/>
    <w:charset w:val="00"/>
    <w:family w:val="roman"/>
    <w:pitch w:val="variable"/>
    <w:sig w:usb0="00008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EE"/>
    <w:family w:val="swiss"/>
    <w:pitch w:val="variable"/>
    <w:sig w:usb0="E10022FF" w:usb1="C000E47F" w:usb2="00000029" w:usb3="00000000" w:csb0="000001DF" w:csb1="00000000"/>
  </w:font>
  <w:font w:name="Cambria">
    <w:panose1 w:val="02040503050406030204"/>
    <w:charset w:val="EE"/>
    <w:family w:val="roman"/>
    <w:pitch w:val="variable"/>
    <w:sig w:usb0="E00002FF" w:usb1="400004FF" w:usb2="00000000" w:usb3="00000000" w:csb0="0000019F" w:csb1="00000000"/>
  </w:font>
  <w:font w:name="Casablanca">
    <w:altName w:val="Times New Roman"/>
    <w:charset w:val="00"/>
    <w:family w:val="roman"/>
    <w:pitch w:val="variable"/>
  </w:font>
  <w:font w:name="Open Sans">
    <w:altName w:val="Times New Roman"/>
    <w:panose1 w:val="00000000000000000000"/>
    <w:charset w:val="00"/>
    <w:family w:val="roman"/>
    <w:notTrueType/>
    <w:pitch w:val="default"/>
  </w:font>
  <w:font w:name="TimesNewRoman">
    <w:altName w:val="Arial Unicode MS"/>
    <w:panose1 w:val="00000000000000000000"/>
    <w:charset w:val="80"/>
    <w:family w:val="auto"/>
    <w:notTrueType/>
    <w:pitch w:val="default"/>
    <w:sig w:usb0="00000005" w:usb1="08070000" w:usb2="00000010" w:usb3="00000000" w:csb0="00020002"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058D" w:rsidRDefault="0063058D">
    <w:pPr>
      <w:pStyle w:val="Stopka"/>
      <w:framePr w:wrap="around" w:vAnchor="text" w:hAnchor="margin" w:xAlign="center" w:y="1"/>
      <w:rPr>
        <w:rStyle w:val="Numerstrony"/>
      </w:rPr>
    </w:pPr>
    <w:r>
      <w:rPr>
        <w:rStyle w:val="Numerstrony"/>
      </w:rPr>
      <w:fldChar w:fldCharType="begin"/>
    </w:r>
    <w:r>
      <w:rPr>
        <w:rStyle w:val="Numerstrony"/>
      </w:rPr>
      <w:instrText xml:space="preserve">PAGE  </w:instrText>
    </w:r>
    <w:r>
      <w:rPr>
        <w:rStyle w:val="Numerstrony"/>
      </w:rPr>
      <w:fldChar w:fldCharType="separate"/>
    </w:r>
    <w:r>
      <w:rPr>
        <w:rStyle w:val="Numerstrony"/>
        <w:noProof/>
      </w:rPr>
      <w:t>120</w:t>
    </w:r>
    <w:r>
      <w:rPr>
        <w:rStyle w:val="Numerstrony"/>
      </w:rPr>
      <w:fldChar w:fldCharType="end"/>
    </w:r>
  </w:p>
  <w:p w:rsidR="0063058D" w:rsidRDefault="0063058D">
    <w:pPr>
      <w:pStyle w:val="Stopka"/>
      <w:pBdr>
        <w:top w:val="single" w:sz="6" w:space="1" w:color="auto"/>
      </w:pBdr>
      <w:ind w:right="360" w:firstLine="360"/>
      <w:rPr>
        <w:rFonts w:ascii="Times New Roman" w:hAnsi="Times New Roman"/>
        <w:i/>
        <w:sz w:val="18"/>
      </w:rPr>
    </w:pPr>
    <w:r>
      <w:rPr>
        <w:rFonts w:ascii="Times New Roman" w:hAnsi="Times New Roman"/>
        <w:i/>
        <w:sz w:val="18"/>
      </w:rPr>
      <w:t>„Promost” spółka z o.o.</w:t>
    </w:r>
    <w:r>
      <w:rPr>
        <w:rFonts w:ascii="Times New Roman" w:hAnsi="Times New Roman"/>
        <w:i/>
        <w:sz w:val="18"/>
      </w:rPr>
      <w:tab/>
    </w:r>
    <w:r>
      <w:rPr>
        <w:rFonts w:ascii="Times New Roman" w:hAnsi="Times New Roman"/>
        <w:i/>
        <w:sz w:val="18"/>
      </w:rPr>
      <w:tab/>
      <w:t>Droga krajowa nr 2 m.Rzepin – rz. Ilanka</w:t>
    </w:r>
    <w:r>
      <w:rPr>
        <w:rFonts w:ascii="Times New Roman" w:hAnsi="Times New Roman"/>
        <w:vanish/>
      </w:rPr>
      <w:pgNum/>
    </w:r>
  </w:p>
  <w:p w:rsidR="0063058D" w:rsidRDefault="0063058D">
    <w:pPr>
      <w:pStyle w:val="Stopka"/>
      <w:pBdr>
        <w:top w:val="single" w:sz="6" w:space="1" w:color="auto"/>
      </w:pBdr>
      <w:ind w:right="360" w:firstLine="360"/>
      <w:rPr>
        <w:rFonts w:ascii="Times New Roman" w:hAnsi="Times New Roman"/>
        <w:i/>
        <w:sz w:val="18"/>
      </w:rPr>
    </w:pPr>
  </w:p>
  <w:p w:rsidR="0063058D" w:rsidRDefault="0063058D">
    <w:r>
      <w:rPr>
        <w:i/>
        <w:vanish/>
        <w:sz w:val="18"/>
      </w:rPr>
      <w:pgNum/>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058D" w:rsidRDefault="0063058D">
    <w:pPr>
      <w:pStyle w:val="Stopka"/>
      <w:framePr w:wrap="around" w:vAnchor="text" w:hAnchor="margin" w:xAlign="center" w:y="1"/>
      <w:rPr>
        <w:rStyle w:val="Numerstrony"/>
      </w:rPr>
    </w:pPr>
  </w:p>
  <w:p w:rsidR="0063058D" w:rsidRDefault="0063058D">
    <w:pPr>
      <w:pStyle w:val="Stopka"/>
      <w:framePr w:wrap="around" w:vAnchor="text" w:hAnchor="margin" w:xAlign="center" w:y="1"/>
      <w:jc w:val="center"/>
      <w:rPr>
        <w:rStyle w:val="Numerstrony"/>
      </w:rPr>
    </w:pPr>
    <w:r>
      <w:rPr>
        <w:rStyle w:val="Numerstrony"/>
      </w:rPr>
      <w:fldChar w:fldCharType="begin"/>
    </w:r>
    <w:r>
      <w:rPr>
        <w:rStyle w:val="Numerstrony"/>
      </w:rPr>
      <w:instrText xml:space="preserve">PAGE  </w:instrText>
    </w:r>
    <w:r>
      <w:rPr>
        <w:rStyle w:val="Numerstrony"/>
      </w:rPr>
      <w:fldChar w:fldCharType="separate"/>
    </w:r>
    <w:r w:rsidR="00A4565F">
      <w:rPr>
        <w:rStyle w:val="Numerstrony"/>
        <w:noProof/>
      </w:rPr>
      <w:t>1</w:t>
    </w:r>
    <w:r>
      <w:rPr>
        <w:rStyle w:val="Numerstrony"/>
      </w:rPr>
      <w:fldChar w:fldCharType="end"/>
    </w:r>
  </w:p>
  <w:p w:rsidR="0063058D" w:rsidRDefault="0063058D">
    <w:pPr>
      <w:pStyle w:val="Stopka"/>
      <w:framePr w:wrap="auto" w:vAnchor="text" w:hAnchor="margin" w:xAlign="outside" w:y="1"/>
      <w:rPr>
        <w:rStyle w:val="Numerstrony"/>
      </w:rPr>
    </w:pPr>
  </w:p>
  <w:p w:rsidR="0063058D" w:rsidRDefault="0063058D">
    <w:pPr>
      <w:pStyle w:val="Stopka"/>
      <w:pBdr>
        <w:top w:val="single" w:sz="4" w:space="1" w:color="auto"/>
      </w:pBdr>
      <w:ind w:right="360" w:firstLine="360"/>
      <w:rPr>
        <w:rFonts w:ascii="Times New Roman" w:hAnsi="Times New Roman"/>
        <w:i/>
        <w:sz w:val="18"/>
      </w:rPr>
    </w:pPr>
    <w:r>
      <w:rPr>
        <w:rFonts w:ascii="Times New Roman" w:hAnsi="Times New Roman"/>
        <w:i/>
        <w:sz w:val="18"/>
      </w:rPr>
      <w:tab/>
    </w:r>
    <w:r>
      <w:rPr>
        <w:rFonts w:ascii="Times New Roman" w:hAnsi="Times New Roman"/>
        <w:i/>
        <w:sz w:val="18"/>
      </w:rPr>
      <w:tab/>
    </w:r>
  </w:p>
  <w:p w:rsidR="0063058D" w:rsidRDefault="0063058D"/>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64F24" w:rsidRDefault="00A64F24">
      <w:r>
        <w:separator/>
      </w:r>
    </w:p>
  </w:footnote>
  <w:footnote w:type="continuationSeparator" w:id="0">
    <w:p w:rsidR="00A64F24" w:rsidRDefault="00A64F2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058D" w:rsidRDefault="0063058D">
    <w:pPr>
      <w:pStyle w:val="Nagwek"/>
      <w:framePr w:wrap="around" w:vAnchor="text" w:hAnchor="margin" w:xAlign="right" w:y="1"/>
      <w:rPr>
        <w:rStyle w:val="Numerstrony"/>
      </w:rPr>
    </w:pPr>
    <w:r>
      <w:rPr>
        <w:rStyle w:val="Numerstrony"/>
      </w:rPr>
      <w:fldChar w:fldCharType="begin"/>
    </w:r>
    <w:r>
      <w:rPr>
        <w:rStyle w:val="Numerstrony"/>
      </w:rPr>
      <w:instrText xml:space="preserve">PAGE  </w:instrText>
    </w:r>
    <w:r>
      <w:rPr>
        <w:rStyle w:val="Numerstrony"/>
      </w:rPr>
      <w:fldChar w:fldCharType="separate"/>
    </w:r>
    <w:r>
      <w:rPr>
        <w:rStyle w:val="Numerstrony"/>
        <w:noProof/>
      </w:rPr>
      <w:t>120</w:t>
    </w:r>
    <w:r>
      <w:rPr>
        <w:rStyle w:val="Numerstrony"/>
      </w:rPr>
      <w:fldChar w:fldCharType="end"/>
    </w:r>
  </w:p>
  <w:p w:rsidR="0063058D" w:rsidRDefault="0063058D">
    <w:pPr>
      <w:pBdr>
        <w:bottom w:val="single" w:sz="6" w:space="1" w:color="auto"/>
      </w:pBdr>
      <w:tabs>
        <w:tab w:val="left" w:pos="3969"/>
        <w:tab w:val="left" w:pos="5670"/>
      </w:tabs>
      <w:ind w:right="360"/>
      <w:rPr>
        <w:i/>
        <w:sz w:val="18"/>
      </w:rPr>
    </w:pPr>
    <w:r>
      <w:rPr>
        <w:rStyle w:val="Numerstrony"/>
        <w:i/>
        <w:sz w:val="18"/>
        <w:lang w:val="en-GB"/>
      </w:rPr>
      <w:tab/>
    </w:r>
    <w:r>
      <w:rPr>
        <w:rStyle w:val="Numerstrony"/>
        <w:i/>
        <w:sz w:val="18"/>
        <w:lang w:val="en-GB"/>
      </w:rPr>
      <w:tab/>
    </w:r>
    <w:r>
      <w:rPr>
        <w:rStyle w:val="Numerstrony"/>
        <w:i/>
        <w:sz w:val="18"/>
        <w:lang w:val="en-GB"/>
      </w:rPr>
      <w:tab/>
    </w:r>
    <w:r>
      <w:rPr>
        <w:rStyle w:val="Numerstrony"/>
        <w:i/>
        <w:sz w:val="18"/>
        <w:lang w:val="en-GB"/>
      </w:rPr>
      <w:tab/>
    </w:r>
    <w:r>
      <w:rPr>
        <w:i/>
        <w:sz w:val="18"/>
      </w:rPr>
      <w:t>Specyfikacje techniczne</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058D" w:rsidRDefault="0063058D">
    <w:pPr>
      <w:pStyle w:val="Table"/>
      <w:tabs>
        <w:tab w:val="left" w:pos="3969"/>
        <w:tab w:val="left" w:pos="5670"/>
      </w:tabs>
      <w:spacing w:after="0"/>
      <w:rPr>
        <w:i/>
        <w:sz w:val="18"/>
      </w:rPr>
    </w:pPr>
    <w:r>
      <w:rPr>
        <w:rStyle w:val="Numerstrony"/>
      </w:rPr>
      <w:t>SPECYFIKACJE TECHNICZNE</w:t>
    </w:r>
  </w:p>
  <w:p w:rsidR="0063058D" w:rsidRDefault="0063058D">
    <w:pPr>
      <w:pBdr>
        <w:bottom w:val="single" w:sz="6" w:space="1" w:color="auto"/>
      </w:pBdr>
      <w:tabs>
        <w:tab w:val="left" w:pos="3969"/>
        <w:tab w:val="left" w:pos="5670"/>
      </w:tabs>
    </w:pPr>
  </w:p>
  <w:p w:rsidR="0063058D" w:rsidRDefault="0063058D">
    <w:pPr>
      <w:pBdr>
        <w:bottom w:val="single" w:sz="6" w:space="1" w:color="auto"/>
      </w:pBdr>
      <w:tabs>
        <w:tab w:val="left" w:pos="2694"/>
      </w:tabs>
      <w:ind w:right="360" w:firstLine="360"/>
      <w:rPr>
        <w:sz w:val="24"/>
      </w:rPr>
    </w:pPr>
    <w:r>
      <w:rPr>
        <w:i/>
      </w:rPr>
      <w:tab/>
    </w:r>
    <w:r w:rsidRPr="00A044C0">
      <w:rPr>
        <w:i/>
      </w:rPr>
      <w:object w:dxaOrig="9105" w:dyaOrig="1577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6.75pt;height:789pt" o:ole="">
          <v:imagedata r:id="rId1" o:title=""/>
        </v:shape>
        <o:OLEObject Type="Embed" ProgID="Word.Document.8" ShapeID="_x0000_i1025" DrawAspect="Content" ObjectID="_1690781612" r:id="rId2">
          <o:FieldCodes>\s</o:FieldCodes>
        </o:OLEObject>
      </w:object>
    </w:r>
    <w:r>
      <w:rPr>
        <w:i/>
      </w:rPr>
      <w:tab/>
    </w:r>
    <w:r>
      <w:rPr>
        <w:i/>
      </w:rPr>
      <w:tab/>
    </w:r>
    <w:r>
      <w:rPr>
        <w:i/>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lvl>
  </w:abstractNum>
  <w:abstractNum w:abstractNumId="1">
    <w:nsid w:val="00000001"/>
    <w:multiLevelType w:val="multilevel"/>
    <w:tmpl w:val="00000001"/>
    <w:lvl w:ilvl="0">
      <w:start w:val="1"/>
      <w:numFmt w:val="none"/>
      <w:suff w:val="nothing"/>
      <w:lvlText w:val=""/>
      <w:lvlJc w:val="left"/>
      <w:pPr>
        <w:tabs>
          <w:tab w:val="num" w:pos="0"/>
        </w:tabs>
        <w:ind w:left="0" w:firstLine="0"/>
      </w:pPr>
      <w:rPr>
        <w:rFonts w:ascii="Courier New" w:eastAsia="Courier New" w:hAnsi="Courier New" w:cs="Courier New"/>
      </w:rPr>
    </w:lvl>
    <w:lvl w:ilvl="1">
      <w:start w:val="1"/>
      <w:numFmt w:val="none"/>
      <w:suff w:val="nothing"/>
      <w:lvlText w:val=""/>
      <w:lvlJc w:val="left"/>
      <w:pPr>
        <w:tabs>
          <w:tab w:val="num" w:pos="0"/>
        </w:tabs>
        <w:ind w:left="0" w:firstLine="0"/>
      </w:pPr>
      <w:rPr>
        <w:rFonts w:ascii="Courier New" w:eastAsia="Courier New" w:hAnsi="Courier New" w:cs="Courier New"/>
      </w:r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nsid w:val="00000002"/>
    <w:multiLevelType w:val="singleLevel"/>
    <w:tmpl w:val="00000002"/>
    <w:name w:val="WW8Num2"/>
    <w:lvl w:ilvl="0">
      <w:start w:val="10"/>
      <w:numFmt w:val="decimal"/>
      <w:lvlText w:val="1.4.%1. "/>
      <w:lvlJc w:val="left"/>
      <w:pPr>
        <w:tabs>
          <w:tab w:val="num" w:pos="283"/>
        </w:tabs>
        <w:ind w:left="0" w:firstLine="0"/>
      </w:pPr>
      <w:rPr>
        <w:rFonts w:ascii="Times New Roman" w:hAnsi="Times New Roman" w:cs="Times New Roman"/>
        <w:b w:val="0"/>
        <w:i w:val="0"/>
        <w:strike w:val="0"/>
        <w:dstrike w:val="0"/>
        <w:sz w:val="20"/>
        <w:u w:val="none"/>
      </w:rPr>
    </w:lvl>
  </w:abstractNum>
  <w:abstractNum w:abstractNumId="3">
    <w:nsid w:val="00000003"/>
    <w:multiLevelType w:val="singleLevel"/>
    <w:tmpl w:val="00000003"/>
    <w:name w:val="WW8Num3"/>
    <w:lvl w:ilvl="0">
      <w:start w:val="1"/>
      <w:numFmt w:val="bullet"/>
      <w:lvlText w:val="–"/>
      <w:lvlJc w:val="left"/>
      <w:pPr>
        <w:tabs>
          <w:tab w:val="num" w:pos="340"/>
        </w:tabs>
        <w:ind w:left="0" w:firstLine="0"/>
      </w:pPr>
      <w:rPr>
        <w:rFonts w:ascii="Times New Roman" w:hAnsi="Times New Roman"/>
        <w:sz w:val="20"/>
      </w:rPr>
    </w:lvl>
  </w:abstractNum>
  <w:abstractNum w:abstractNumId="4">
    <w:nsid w:val="00000004"/>
    <w:multiLevelType w:val="singleLevel"/>
    <w:tmpl w:val="00000004"/>
    <w:name w:val="WW8Num4"/>
    <w:lvl w:ilvl="0">
      <w:start w:val="1"/>
      <w:numFmt w:val="bullet"/>
      <w:lvlText w:val="–"/>
      <w:lvlJc w:val="left"/>
      <w:pPr>
        <w:tabs>
          <w:tab w:val="num" w:pos="340"/>
        </w:tabs>
      </w:pPr>
      <w:rPr>
        <w:rFonts w:ascii="Times New Roman" w:hAnsi="Times New Roman"/>
        <w:sz w:val="20"/>
      </w:rPr>
    </w:lvl>
  </w:abstractNum>
  <w:abstractNum w:abstractNumId="5">
    <w:nsid w:val="00000007"/>
    <w:multiLevelType w:val="singleLevel"/>
    <w:tmpl w:val="00000007"/>
    <w:name w:val="WW8Num7"/>
    <w:lvl w:ilvl="0">
      <w:start w:val="1"/>
      <w:numFmt w:val="decimal"/>
      <w:lvlText w:val="%1."/>
      <w:lvlJc w:val="left"/>
      <w:pPr>
        <w:tabs>
          <w:tab w:val="num" w:pos="1800"/>
        </w:tabs>
      </w:pPr>
    </w:lvl>
  </w:abstractNum>
  <w:abstractNum w:abstractNumId="6">
    <w:nsid w:val="00000009"/>
    <w:multiLevelType w:val="singleLevel"/>
    <w:tmpl w:val="00000009"/>
    <w:name w:val="WW8Num9"/>
    <w:lvl w:ilvl="0">
      <w:start w:val="3"/>
      <w:numFmt w:val="bullet"/>
      <w:lvlText w:val="-"/>
      <w:lvlJc w:val="left"/>
      <w:pPr>
        <w:tabs>
          <w:tab w:val="num" w:pos="360"/>
        </w:tabs>
        <w:ind w:left="0" w:firstLine="0"/>
      </w:pPr>
      <w:rPr>
        <w:rFonts w:ascii="Times New Roman" w:hAnsi="Times New Roman"/>
      </w:rPr>
    </w:lvl>
  </w:abstractNum>
  <w:abstractNum w:abstractNumId="7">
    <w:nsid w:val="0000000A"/>
    <w:multiLevelType w:val="multilevel"/>
    <w:tmpl w:val="0000000A"/>
    <w:name w:val="WW8Num10"/>
    <w:lvl w:ilvl="0">
      <w:start w:val="1"/>
      <w:numFmt w:val="bullet"/>
      <w:lvlText w:val=""/>
      <w:lvlJc w:val="left"/>
      <w:pPr>
        <w:tabs>
          <w:tab w:val="num" w:pos="340"/>
        </w:tabs>
        <w:ind w:left="0" w:firstLine="0"/>
      </w:pPr>
      <w:rPr>
        <w:rFonts w:ascii="Wingdings" w:hAnsi="Wingdings" w:cs="Times New Roman"/>
        <w:b/>
        <w:i w:val="0"/>
        <w:strike w:val="0"/>
        <w:dstrike w:val="0"/>
        <w:sz w:val="20"/>
        <w:u w:val="none"/>
      </w:rPr>
    </w:lvl>
    <w:lvl w:ilvl="1">
      <w:start w:val="3"/>
      <w:numFmt w:val="bullet"/>
      <w:lvlText w:val="-"/>
      <w:lvlJc w:val="left"/>
      <w:pPr>
        <w:tabs>
          <w:tab w:val="num" w:pos="1440"/>
        </w:tabs>
        <w:ind w:left="0" w:firstLine="0"/>
      </w:pPr>
      <w:rPr>
        <w:rFonts w:ascii="Times New Roman" w:hAnsi="Times New Roman"/>
      </w:rPr>
    </w:lvl>
    <w:lvl w:ilvl="2">
      <w:start w:val="1"/>
      <w:numFmt w:val="bullet"/>
      <w:lvlText w:val=""/>
      <w:lvlJc w:val="left"/>
      <w:pPr>
        <w:tabs>
          <w:tab w:val="num" w:pos="2160"/>
        </w:tabs>
        <w:ind w:left="0" w:firstLine="0"/>
      </w:pPr>
      <w:rPr>
        <w:rFonts w:ascii="Wingdings" w:hAnsi="Wingdings" w:cs="Times New Roman"/>
        <w:b/>
        <w:i w:val="0"/>
        <w:strike w:val="0"/>
        <w:dstrike w:val="0"/>
        <w:sz w:val="20"/>
        <w:u w:val="none"/>
      </w:rPr>
    </w:lvl>
    <w:lvl w:ilvl="3">
      <w:start w:val="1"/>
      <w:numFmt w:val="bullet"/>
      <w:lvlText w:val=""/>
      <w:lvlJc w:val="left"/>
      <w:pPr>
        <w:tabs>
          <w:tab w:val="num" w:pos="2880"/>
        </w:tabs>
        <w:ind w:left="0" w:firstLine="0"/>
      </w:pPr>
      <w:rPr>
        <w:rFonts w:ascii="Symbol" w:hAnsi="Symbol"/>
      </w:rPr>
    </w:lvl>
    <w:lvl w:ilvl="4">
      <w:start w:val="1"/>
      <w:numFmt w:val="bullet"/>
      <w:lvlText w:val="o"/>
      <w:lvlJc w:val="left"/>
      <w:pPr>
        <w:tabs>
          <w:tab w:val="num" w:pos="3600"/>
        </w:tabs>
        <w:ind w:left="0" w:firstLine="0"/>
      </w:pPr>
      <w:rPr>
        <w:rFonts w:ascii="Courier New" w:hAnsi="Courier New" w:cs="Courier New"/>
      </w:rPr>
    </w:lvl>
    <w:lvl w:ilvl="5">
      <w:start w:val="1"/>
      <w:numFmt w:val="bullet"/>
      <w:lvlText w:val=""/>
      <w:lvlJc w:val="left"/>
      <w:pPr>
        <w:tabs>
          <w:tab w:val="num" w:pos="4320"/>
        </w:tabs>
        <w:ind w:left="0" w:firstLine="0"/>
      </w:pPr>
      <w:rPr>
        <w:rFonts w:ascii="Wingdings" w:hAnsi="Wingdings" w:cs="Times New Roman"/>
        <w:b/>
        <w:i w:val="0"/>
        <w:strike w:val="0"/>
        <w:dstrike w:val="0"/>
        <w:sz w:val="20"/>
        <w:u w:val="none"/>
      </w:rPr>
    </w:lvl>
    <w:lvl w:ilvl="6">
      <w:start w:val="1"/>
      <w:numFmt w:val="bullet"/>
      <w:lvlText w:val=""/>
      <w:lvlJc w:val="left"/>
      <w:pPr>
        <w:tabs>
          <w:tab w:val="num" w:pos="5040"/>
        </w:tabs>
        <w:ind w:left="0" w:firstLine="0"/>
      </w:pPr>
      <w:rPr>
        <w:rFonts w:ascii="Symbol" w:hAnsi="Symbol"/>
      </w:rPr>
    </w:lvl>
    <w:lvl w:ilvl="7">
      <w:start w:val="1"/>
      <w:numFmt w:val="bullet"/>
      <w:lvlText w:val="o"/>
      <w:lvlJc w:val="left"/>
      <w:pPr>
        <w:tabs>
          <w:tab w:val="num" w:pos="5760"/>
        </w:tabs>
        <w:ind w:left="0" w:firstLine="0"/>
      </w:pPr>
      <w:rPr>
        <w:rFonts w:ascii="Courier New" w:hAnsi="Courier New" w:cs="Courier New"/>
      </w:rPr>
    </w:lvl>
    <w:lvl w:ilvl="8">
      <w:start w:val="1"/>
      <w:numFmt w:val="bullet"/>
      <w:lvlText w:val=""/>
      <w:lvlJc w:val="left"/>
      <w:pPr>
        <w:tabs>
          <w:tab w:val="num" w:pos="6480"/>
        </w:tabs>
        <w:ind w:left="0" w:firstLine="0"/>
      </w:pPr>
      <w:rPr>
        <w:rFonts w:ascii="Wingdings" w:hAnsi="Wingdings" w:cs="Times New Roman"/>
        <w:b/>
        <w:i w:val="0"/>
        <w:strike w:val="0"/>
        <w:dstrike w:val="0"/>
        <w:sz w:val="20"/>
        <w:u w:val="none"/>
      </w:rPr>
    </w:lvl>
  </w:abstractNum>
  <w:abstractNum w:abstractNumId="8">
    <w:nsid w:val="0000000B"/>
    <w:multiLevelType w:val="singleLevel"/>
    <w:tmpl w:val="0000000B"/>
    <w:name w:val="WW8Num11"/>
    <w:lvl w:ilvl="0">
      <w:start w:val="3"/>
      <w:numFmt w:val="bullet"/>
      <w:lvlText w:val="-"/>
      <w:lvlJc w:val="left"/>
      <w:pPr>
        <w:tabs>
          <w:tab w:val="num" w:pos="360"/>
        </w:tabs>
        <w:ind w:left="0" w:firstLine="0"/>
      </w:pPr>
      <w:rPr>
        <w:rFonts w:ascii="Times New Roman" w:hAnsi="Times New Roman" w:cs="Times New Roman"/>
      </w:rPr>
    </w:lvl>
  </w:abstractNum>
  <w:abstractNum w:abstractNumId="9">
    <w:nsid w:val="0000000C"/>
    <w:multiLevelType w:val="singleLevel"/>
    <w:tmpl w:val="0000000C"/>
    <w:name w:val="WW8Num12"/>
    <w:lvl w:ilvl="0">
      <w:start w:val="3"/>
      <w:numFmt w:val="bullet"/>
      <w:lvlText w:val="-"/>
      <w:lvlJc w:val="left"/>
      <w:pPr>
        <w:tabs>
          <w:tab w:val="num" w:pos="360"/>
        </w:tabs>
        <w:ind w:left="0" w:firstLine="0"/>
      </w:pPr>
      <w:rPr>
        <w:rFonts w:ascii="Times New Roman" w:hAnsi="Times New Roman" w:cs="Times New Roman"/>
        <w:b/>
        <w:i w:val="0"/>
        <w:sz w:val="20"/>
        <w:u w:val="none"/>
      </w:rPr>
    </w:lvl>
  </w:abstractNum>
  <w:abstractNum w:abstractNumId="10">
    <w:nsid w:val="0000000D"/>
    <w:multiLevelType w:val="singleLevel"/>
    <w:tmpl w:val="0000000D"/>
    <w:name w:val="WW8Num13"/>
    <w:lvl w:ilvl="0">
      <w:start w:val="1"/>
      <w:numFmt w:val="lowerLetter"/>
      <w:lvlText w:val="%1)"/>
      <w:lvlJc w:val="left"/>
      <w:pPr>
        <w:tabs>
          <w:tab w:val="num" w:pos="283"/>
        </w:tabs>
        <w:ind w:left="0" w:firstLine="0"/>
      </w:pPr>
    </w:lvl>
  </w:abstractNum>
  <w:abstractNum w:abstractNumId="11">
    <w:nsid w:val="0000000F"/>
    <w:multiLevelType w:val="singleLevel"/>
    <w:tmpl w:val="0000000F"/>
    <w:name w:val="WW8Num15"/>
    <w:lvl w:ilvl="0">
      <w:start w:val="3"/>
      <w:numFmt w:val="bullet"/>
      <w:lvlText w:val="-"/>
      <w:lvlJc w:val="left"/>
      <w:pPr>
        <w:tabs>
          <w:tab w:val="num" w:pos="360"/>
        </w:tabs>
        <w:ind w:left="0" w:firstLine="0"/>
      </w:pPr>
      <w:rPr>
        <w:rFonts w:ascii="Times New Roman" w:hAnsi="Times New Roman" w:cs="Times New Roman"/>
      </w:rPr>
    </w:lvl>
  </w:abstractNum>
  <w:abstractNum w:abstractNumId="12">
    <w:nsid w:val="00000010"/>
    <w:multiLevelType w:val="singleLevel"/>
    <w:tmpl w:val="00000010"/>
    <w:name w:val="WW8Num16"/>
    <w:lvl w:ilvl="0">
      <w:start w:val="1"/>
      <w:numFmt w:val="decimal"/>
      <w:lvlText w:val="%1."/>
      <w:lvlJc w:val="left"/>
      <w:pPr>
        <w:tabs>
          <w:tab w:val="num" w:pos="720"/>
        </w:tabs>
        <w:ind w:left="0" w:firstLine="0"/>
      </w:pPr>
    </w:lvl>
  </w:abstractNum>
  <w:abstractNum w:abstractNumId="13">
    <w:nsid w:val="00000012"/>
    <w:multiLevelType w:val="singleLevel"/>
    <w:tmpl w:val="00000012"/>
    <w:name w:val="WW8Num14"/>
    <w:lvl w:ilvl="0">
      <w:start w:val="1"/>
      <w:numFmt w:val="bullet"/>
      <w:lvlText w:val=""/>
      <w:lvlJc w:val="left"/>
      <w:pPr>
        <w:tabs>
          <w:tab w:val="num" w:pos="360"/>
        </w:tabs>
        <w:ind w:left="0" w:firstLine="0"/>
      </w:pPr>
      <w:rPr>
        <w:rFonts w:ascii="Wingdings 2" w:hAnsi="Wingdings 2" w:cs="OpenSymbol"/>
      </w:rPr>
    </w:lvl>
  </w:abstractNum>
  <w:abstractNum w:abstractNumId="14">
    <w:nsid w:val="00000013"/>
    <w:multiLevelType w:val="singleLevel"/>
    <w:tmpl w:val="00000013"/>
    <w:name w:val="WW8Num19"/>
    <w:lvl w:ilvl="0">
      <w:start w:val="3"/>
      <w:numFmt w:val="bullet"/>
      <w:lvlText w:val="-"/>
      <w:lvlJc w:val="left"/>
      <w:pPr>
        <w:tabs>
          <w:tab w:val="num" w:pos="360"/>
        </w:tabs>
        <w:ind w:left="0" w:firstLine="0"/>
      </w:pPr>
      <w:rPr>
        <w:rFonts w:ascii="Times New Roman" w:hAnsi="Times New Roman" w:cs="Times New Roman"/>
      </w:rPr>
    </w:lvl>
  </w:abstractNum>
  <w:abstractNum w:abstractNumId="15">
    <w:nsid w:val="00000016"/>
    <w:multiLevelType w:val="singleLevel"/>
    <w:tmpl w:val="00000016"/>
    <w:name w:val="WW8Num22"/>
    <w:lvl w:ilvl="0">
      <w:start w:val="1"/>
      <w:numFmt w:val="bullet"/>
      <w:lvlText w:val="–"/>
      <w:lvlJc w:val="left"/>
      <w:pPr>
        <w:tabs>
          <w:tab w:val="num" w:pos="340"/>
        </w:tabs>
        <w:ind w:left="0" w:firstLine="0"/>
      </w:pPr>
      <w:rPr>
        <w:rFonts w:ascii="Times New Roman" w:hAnsi="Times New Roman"/>
      </w:rPr>
    </w:lvl>
  </w:abstractNum>
  <w:abstractNum w:abstractNumId="16">
    <w:nsid w:val="00000017"/>
    <w:multiLevelType w:val="singleLevel"/>
    <w:tmpl w:val="00000017"/>
    <w:name w:val="WW8Num23"/>
    <w:lvl w:ilvl="0">
      <w:start w:val="1"/>
      <w:numFmt w:val="lowerLetter"/>
      <w:lvlText w:val="%1)"/>
      <w:lvlJc w:val="left"/>
      <w:pPr>
        <w:tabs>
          <w:tab w:val="num" w:pos="360"/>
        </w:tabs>
        <w:ind w:left="0" w:firstLine="0"/>
      </w:pPr>
    </w:lvl>
  </w:abstractNum>
  <w:abstractNum w:abstractNumId="17">
    <w:nsid w:val="00000018"/>
    <w:multiLevelType w:val="singleLevel"/>
    <w:tmpl w:val="00000018"/>
    <w:name w:val="WW8Num24"/>
    <w:lvl w:ilvl="0">
      <w:start w:val="1"/>
      <w:numFmt w:val="lowerLetter"/>
      <w:lvlText w:val="%1)"/>
      <w:lvlJc w:val="left"/>
      <w:pPr>
        <w:tabs>
          <w:tab w:val="num" w:pos="283"/>
        </w:tabs>
        <w:ind w:left="0" w:firstLine="0"/>
      </w:pPr>
    </w:lvl>
  </w:abstractNum>
  <w:abstractNum w:abstractNumId="18">
    <w:nsid w:val="00000019"/>
    <w:multiLevelType w:val="singleLevel"/>
    <w:tmpl w:val="00000019"/>
    <w:name w:val="WW8Num25"/>
    <w:lvl w:ilvl="0">
      <w:start w:val="1"/>
      <w:numFmt w:val="bullet"/>
      <w:lvlText w:val="–"/>
      <w:lvlJc w:val="left"/>
      <w:pPr>
        <w:tabs>
          <w:tab w:val="num" w:pos="340"/>
        </w:tabs>
        <w:ind w:left="0" w:firstLine="0"/>
      </w:pPr>
      <w:rPr>
        <w:rFonts w:ascii="Times New Roman" w:hAnsi="Times New Roman"/>
      </w:rPr>
    </w:lvl>
  </w:abstractNum>
  <w:abstractNum w:abstractNumId="19">
    <w:nsid w:val="0000001B"/>
    <w:multiLevelType w:val="singleLevel"/>
    <w:tmpl w:val="0000001B"/>
    <w:name w:val="WW8Num27"/>
    <w:lvl w:ilvl="0">
      <w:start w:val="3"/>
      <w:numFmt w:val="bullet"/>
      <w:lvlText w:val="-"/>
      <w:lvlJc w:val="left"/>
      <w:pPr>
        <w:tabs>
          <w:tab w:val="num" w:pos="360"/>
        </w:tabs>
        <w:ind w:left="0" w:firstLine="0"/>
      </w:pPr>
      <w:rPr>
        <w:rFonts w:ascii="Times New Roman" w:hAnsi="Times New Roman"/>
      </w:rPr>
    </w:lvl>
  </w:abstractNum>
  <w:abstractNum w:abstractNumId="20">
    <w:nsid w:val="0000001C"/>
    <w:multiLevelType w:val="singleLevel"/>
    <w:tmpl w:val="0000001C"/>
    <w:name w:val="WW8Num28"/>
    <w:lvl w:ilvl="0">
      <w:start w:val="3"/>
      <w:numFmt w:val="bullet"/>
      <w:lvlText w:val="-"/>
      <w:lvlJc w:val="left"/>
      <w:pPr>
        <w:tabs>
          <w:tab w:val="num" w:pos="360"/>
        </w:tabs>
        <w:ind w:left="0" w:firstLine="0"/>
      </w:pPr>
      <w:rPr>
        <w:rFonts w:ascii="Times New Roman" w:hAnsi="Times New Roman"/>
      </w:rPr>
    </w:lvl>
  </w:abstractNum>
  <w:abstractNum w:abstractNumId="21">
    <w:nsid w:val="0000001D"/>
    <w:multiLevelType w:val="singleLevel"/>
    <w:tmpl w:val="0000001D"/>
    <w:name w:val="WW8Num29"/>
    <w:lvl w:ilvl="0">
      <w:start w:val="1"/>
      <w:numFmt w:val="bullet"/>
      <w:lvlText w:val="–"/>
      <w:lvlJc w:val="left"/>
      <w:pPr>
        <w:tabs>
          <w:tab w:val="num" w:pos="340"/>
        </w:tabs>
        <w:ind w:left="0" w:firstLine="0"/>
      </w:pPr>
      <w:rPr>
        <w:rFonts w:ascii="Times New Roman" w:hAnsi="Times New Roman" w:cs="Times New Roman"/>
        <w:b/>
        <w:i w:val="0"/>
        <w:strike w:val="0"/>
        <w:dstrike w:val="0"/>
        <w:sz w:val="20"/>
        <w:u w:val="none"/>
      </w:rPr>
    </w:lvl>
  </w:abstractNum>
  <w:abstractNum w:abstractNumId="22">
    <w:nsid w:val="0000001E"/>
    <w:multiLevelType w:val="multilevel"/>
    <w:tmpl w:val="0000001E"/>
    <w:name w:val="WW8Num30"/>
    <w:lvl w:ilvl="0">
      <w:start w:val="1"/>
      <w:numFmt w:val="lowerLetter"/>
      <w:lvlText w:val="%1)"/>
      <w:lvlJc w:val="left"/>
      <w:pPr>
        <w:tabs>
          <w:tab w:val="num" w:pos="360"/>
        </w:tabs>
        <w:ind w:left="0" w:firstLine="0"/>
      </w:pPr>
    </w:lvl>
    <w:lvl w:ilvl="1">
      <w:start w:val="1"/>
      <w:numFmt w:val="lowerLetter"/>
      <w:lvlText w:val="%2."/>
      <w:lvlJc w:val="left"/>
      <w:pPr>
        <w:tabs>
          <w:tab w:val="num" w:pos="720"/>
        </w:tabs>
        <w:ind w:left="0" w:firstLine="0"/>
      </w:pPr>
    </w:lvl>
    <w:lvl w:ilvl="2">
      <w:start w:val="1"/>
      <w:numFmt w:val="lowerRoman"/>
      <w:lvlText w:val="%3."/>
      <w:lvlJc w:val="left"/>
      <w:pPr>
        <w:tabs>
          <w:tab w:val="num" w:pos="900"/>
        </w:tabs>
        <w:ind w:left="0" w:firstLine="0"/>
      </w:pPr>
    </w:lvl>
    <w:lvl w:ilvl="3">
      <w:start w:val="1"/>
      <w:numFmt w:val="decimal"/>
      <w:lvlText w:val="%4."/>
      <w:lvlJc w:val="left"/>
      <w:pPr>
        <w:tabs>
          <w:tab w:val="num" w:pos="1260"/>
        </w:tabs>
        <w:ind w:left="0" w:firstLine="0"/>
      </w:pPr>
    </w:lvl>
    <w:lvl w:ilvl="4">
      <w:start w:val="1"/>
      <w:numFmt w:val="lowerLetter"/>
      <w:lvlText w:val="%5."/>
      <w:lvlJc w:val="left"/>
      <w:pPr>
        <w:tabs>
          <w:tab w:val="num" w:pos="1620"/>
        </w:tabs>
        <w:ind w:left="0" w:firstLine="0"/>
      </w:pPr>
    </w:lvl>
    <w:lvl w:ilvl="5">
      <w:start w:val="1"/>
      <w:numFmt w:val="lowerRoman"/>
      <w:lvlText w:val="%6."/>
      <w:lvlJc w:val="left"/>
      <w:pPr>
        <w:tabs>
          <w:tab w:val="num" w:pos="1800"/>
        </w:tabs>
        <w:ind w:left="0" w:firstLine="0"/>
      </w:pPr>
    </w:lvl>
    <w:lvl w:ilvl="6">
      <w:start w:val="1"/>
      <w:numFmt w:val="decimal"/>
      <w:lvlText w:val="%7."/>
      <w:lvlJc w:val="left"/>
      <w:pPr>
        <w:tabs>
          <w:tab w:val="num" w:pos="2160"/>
        </w:tabs>
        <w:ind w:left="0" w:firstLine="0"/>
      </w:pPr>
    </w:lvl>
    <w:lvl w:ilvl="7">
      <w:start w:val="1"/>
      <w:numFmt w:val="lowerLetter"/>
      <w:lvlText w:val="%8."/>
      <w:lvlJc w:val="left"/>
      <w:pPr>
        <w:tabs>
          <w:tab w:val="num" w:pos="2520"/>
        </w:tabs>
        <w:ind w:left="0" w:firstLine="0"/>
      </w:pPr>
    </w:lvl>
    <w:lvl w:ilvl="8">
      <w:start w:val="1"/>
      <w:numFmt w:val="lowerRoman"/>
      <w:lvlText w:val="%9."/>
      <w:lvlJc w:val="left"/>
      <w:pPr>
        <w:tabs>
          <w:tab w:val="num" w:pos="2700"/>
        </w:tabs>
        <w:ind w:left="0" w:firstLine="0"/>
      </w:pPr>
    </w:lvl>
  </w:abstractNum>
  <w:abstractNum w:abstractNumId="23">
    <w:nsid w:val="00000020"/>
    <w:multiLevelType w:val="singleLevel"/>
    <w:tmpl w:val="00000020"/>
    <w:name w:val="WW8Num32"/>
    <w:lvl w:ilvl="0">
      <w:start w:val="1"/>
      <w:numFmt w:val="lowerLetter"/>
      <w:lvlText w:val="%1)"/>
      <w:lvlJc w:val="left"/>
      <w:pPr>
        <w:tabs>
          <w:tab w:val="num" w:pos="283"/>
        </w:tabs>
        <w:ind w:left="0" w:firstLine="0"/>
      </w:pPr>
    </w:lvl>
  </w:abstractNum>
  <w:abstractNum w:abstractNumId="24">
    <w:nsid w:val="00000022"/>
    <w:multiLevelType w:val="singleLevel"/>
    <w:tmpl w:val="00000022"/>
    <w:name w:val="WW8Num34"/>
    <w:lvl w:ilvl="0">
      <w:start w:val="1"/>
      <w:numFmt w:val="lowerLetter"/>
      <w:lvlText w:val="%1)"/>
      <w:lvlJc w:val="left"/>
      <w:pPr>
        <w:tabs>
          <w:tab w:val="num" w:pos="283"/>
        </w:tabs>
        <w:ind w:left="0" w:firstLine="0"/>
      </w:pPr>
    </w:lvl>
  </w:abstractNum>
  <w:abstractNum w:abstractNumId="25">
    <w:nsid w:val="00000025"/>
    <w:multiLevelType w:val="singleLevel"/>
    <w:tmpl w:val="00000025"/>
    <w:name w:val="WW8Num37"/>
    <w:lvl w:ilvl="0">
      <w:start w:val="1"/>
      <w:numFmt w:val="bullet"/>
      <w:lvlText w:val="–"/>
      <w:lvlJc w:val="left"/>
      <w:pPr>
        <w:tabs>
          <w:tab w:val="num" w:pos="340"/>
        </w:tabs>
        <w:ind w:left="0" w:firstLine="0"/>
      </w:pPr>
      <w:rPr>
        <w:rFonts w:ascii="Times New Roman" w:hAnsi="Times New Roman" w:cs="Times New Roman"/>
        <w:b w:val="0"/>
        <w:i w:val="0"/>
        <w:strike w:val="0"/>
        <w:dstrike w:val="0"/>
        <w:sz w:val="20"/>
        <w:u w:val="none"/>
      </w:rPr>
    </w:lvl>
  </w:abstractNum>
  <w:abstractNum w:abstractNumId="26">
    <w:nsid w:val="00000026"/>
    <w:multiLevelType w:val="singleLevel"/>
    <w:tmpl w:val="00000026"/>
    <w:name w:val="WW8Num38"/>
    <w:lvl w:ilvl="0">
      <w:start w:val="1"/>
      <w:numFmt w:val="lowerLetter"/>
      <w:lvlText w:val="%1)"/>
      <w:lvlJc w:val="left"/>
      <w:pPr>
        <w:tabs>
          <w:tab w:val="num" w:pos="283"/>
        </w:tabs>
        <w:ind w:left="0" w:firstLine="0"/>
      </w:pPr>
    </w:lvl>
  </w:abstractNum>
  <w:abstractNum w:abstractNumId="27">
    <w:nsid w:val="00000029"/>
    <w:multiLevelType w:val="singleLevel"/>
    <w:tmpl w:val="00000029"/>
    <w:name w:val="WW8Num41"/>
    <w:lvl w:ilvl="0">
      <w:start w:val="1"/>
      <w:numFmt w:val="lowerLetter"/>
      <w:lvlText w:val="%1)"/>
      <w:lvlJc w:val="left"/>
      <w:pPr>
        <w:tabs>
          <w:tab w:val="num" w:pos="360"/>
        </w:tabs>
        <w:ind w:left="0" w:firstLine="0"/>
      </w:pPr>
    </w:lvl>
  </w:abstractNum>
  <w:abstractNum w:abstractNumId="28">
    <w:nsid w:val="0000002A"/>
    <w:multiLevelType w:val="singleLevel"/>
    <w:tmpl w:val="0000002A"/>
    <w:name w:val="WW8Num70"/>
    <w:lvl w:ilvl="0">
      <w:start w:val="1"/>
      <w:numFmt w:val="lowerLetter"/>
      <w:lvlText w:val="%1)"/>
      <w:lvlJc w:val="left"/>
      <w:pPr>
        <w:tabs>
          <w:tab w:val="num" w:pos="360"/>
        </w:tabs>
        <w:ind w:left="0" w:firstLine="0"/>
      </w:pPr>
    </w:lvl>
  </w:abstractNum>
  <w:abstractNum w:abstractNumId="29">
    <w:nsid w:val="0000002B"/>
    <w:multiLevelType w:val="singleLevel"/>
    <w:tmpl w:val="0000002B"/>
    <w:name w:val="WW8Num43"/>
    <w:lvl w:ilvl="0">
      <w:start w:val="3"/>
      <w:numFmt w:val="bullet"/>
      <w:lvlText w:val="-"/>
      <w:lvlJc w:val="left"/>
      <w:pPr>
        <w:tabs>
          <w:tab w:val="num" w:pos="360"/>
        </w:tabs>
        <w:ind w:left="0" w:firstLine="0"/>
      </w:pPr>
      <w:rPr>
        <w:rFonts w:ascii="Times New Roman" w:hAnsi="Times New Roman" w:cs="Times New Roman"/>
      </w:rPr>
    </w:lvl>
  </w:abstractNum>
  <w:abstractNum w:abstractNumId="30">
    <w:nsid w:val="0000002D"/>
    <w:multiLevelType w:val="singleLevel"/>
    <w:tmpl w:val="0000002D"/>
    <w:name w:val="WW8Num45"/>
    <w:lvl w:ilvl="0">
      <w:start w:val="1"/>
      <w:numFmt w:val="lowerLetter"/>
      <w:lvlText w:val="%1)"/>
      <w:lvlJc w:val="left"/>
      <w:pPr>
        <w:tabs>
          <w:tab w:val="num" w:pos="283"/>
        </w:tabs>
        <w:ind w:left="0" w:firstLine="0"/>
      </w:pPr>
    </w:lvl>
  </w:abstractNum>
  <w:abstractNum w:abstractNumId="31">
    <w:nsid w:val="0000002E"/>
    <w:multiLevelType w:val="singleLevel"/>
    <w:tmpl w:val="0000002E"/>
    <w:name w:val="WW8Num46"/>
    <w:lvl w:ilvl="0">
      <w:start w:val="1"/>
      <w:numFmt w:val="bullet"/>
      <w:lvlText w:val="–"/>
      <w:lvlJc w:val="left"/>
      <w:pPr>
        <w:tabs>
          <w:tab w:val="num" w:pos="340"/>
        </w:tabs>
        <w:ind w:left="0" w:firstLine="0"/>
      </w:pPr>
      <w:rPr>
        <w:rFonts w:ascii="Times New Roman" w:hAnsi="Times New Roman"/>
      </w:rPr>
    </w:lvl>
  </w:abstractNum>
  <w:abstractNum w:abstractNumId="32">
    <w:nsid w:val="0000002F"/>
    <w:multiLevelType w:val="multilevel"/>
    <w:tmpl w:val="0000002F"/>
    <w:name w:val="WW8Num47"/>
    <w:lvl w:ilvl="0">
      <w:start w:val="1"/>
      <w:numFmt w:val="decimal"/>
      <w:lvlText w:val="%1."/>
      <w:lvlJc w:val="left"/>
      <w:pPr>
        <w:tabs>
          <w:tab w:val="num" w:pos="720"/>
        </w:tabs>
        <w:ind w:left="0" w:firstLine="0"/>
      </w:pPr>
    </w:lvl>
    <w:lvl w:ilvl="1">
      <w:start w:val="1"/>
      <w:numFmt w:val="lowerLetter"/>
      <w:lvlText w:val="%2."/>
      <w:lvlJc w:val="left"/>
      <w:pPr>
        <w:tabs>
          <w:tab w:val="num" w:pos="1440"/>
        </w:tabs>
        <w:ind w:left="0" w:firstLine="0"/>
      </w:pPr>
    </w:lvl>
    <w:lvl w:ilvl="2">
      <w:start w:val="1"/>
      <w:numFmt w:val="lowerRoman"/>
      <w:lvlText w:val="%3."/>
      <w:lvlJc w:val="left"/>
      <w:pPr>
        <w:tabs>
          <w:tab w:val="num" w:pos="2160"/>
        </w:tabs>
        <w:ind w:left="0" w:firstLine="0"/>
      </w:pPr>
    </w:lvl>
    <w:lvl w:ilvl="3">
      <w:start w:val="1"/>
      <w:numFmt w:val="decimal"/>
      <w:lvlText w:val="%4."/>
      <w:lvlJc w:val="left"/>
      <w:pPr>
        <w:tabs>
          <w:tab w:val="num" w:pos="2880"/>
        </w:tabs>
        <w:ind w:left="0" w:firstLine="0"/>
      </w:pPr>
    </w:lvl>
    <w:lvl w:ilvl="4">
      <w:start w:val="1"/>
      <w:numFmt w:val="lowerLetter"/>
      <w:lvlText w:val="%5."/>
      <w:lvlJc w:val="left"/>
      <w:pPr>
        <w:tabs>
          <w:tab w:val="num" w:pos="3600"/>
        </w:tabs>
        <w:ind w:left="0" w:firstLine="0"/>
      </w:pPr>
    </w:lvl>
    <w:lvl w:ilvl="5">
      <w:start w:val="1"/>
      <w:numFmt w:val="lowerRoman"/>
      <w:lvlText w:val="%6."/>
      <w:lvlJc w:val="left"/>
      <w:pPr>
        <w:tabs>
          <w:tab w:val="num" w:pos="4320"/>
        </w:tabs>
        <w:ind w:left="0" w:firstLine="0"/>
      </w:pPr>
    </w:lvl>
    <w:lvl w:ilvl="6">
      <w:start w:val="1"/>
      <w:numFmt w:val="decimal"/>
      <w:lvlText w:val="%7."/>
      <w:lvlJc w:val="left"/>
      <w:pPr>
        <w:tabs>
          <w:tab w:val="num" w:pos="5040"/>
        </w:tabs>
        <w:ind w:left="0" w:firstLine="0"/>
      </w:pPr>
    </w:lvl>
    <w:lvl w:ilvl="7">
      <w:start w:val="1"/>
      <w:numFmt w:val="lowerLetter"/>
      <w:lvlText w:val="%8."/>
      <w:lvlJc w:val="left"/>
      <w:pPr>
        <w:tabs>
          <w:tab w:val="num" w:pos="5760"/>
        </w:tabs>
        <w:ind w:left="0" w:firstLine="0"/>
      </w:pPr>
    </w:lvl>
    <w:lvl w:ilvl="8">
      <w:start w:val="1"/>
      <w:numFmt w:val="lowerRoman"/>
      <w:lvlText w:val="%9."/>
      <w:lvlJc w:val="left"/>
      <w:pPr>
        <w:tabs>
          <w:tab w:val="num" w:pos="6480"/>
        </w:tabs>
        <w:ind w:left="0" w:firstLine="0"/>
      </w:pPr>
    </w:lvl>
  </w:abstractNum>
  <w:abstractNum w:abstractNumId="33">
    <w:nsid w:val="00000030"/>
    <w:multiLevelType w:val="singleLevel"/>
    <w:tmpl w:val="00000030"/>
    <w:name w:val="WW8Num48"/>
    <w:lvl w:ilvl="0">
      <w:start w:val="23"/>
      <w:numFmt w:val="decimal"/>
      <w:lvlText w:val="%1."/>
      <w:lvlJc w:val="left"/>
      <w:pPr>
        <w:tabs>
          <w:tab w:val="num" w:pos="1800"/>
        </w:tabs>
        <w:ind w:left="0" w:firstLine="0"/>
      </w:pPr>
    </w:lvl>
  </w:abstractNum>
  <w:abstractNum w:abstractNumId="34">
    <w:nsid w:val="00000031"/>
    <w:multiLevelType w:val="singleLevel"/>
    <w:tmpl w:val="00000031"/>
    <w:name w:val="WW8Num49"/>
    <w:lvl w:ilvl="0">
      <w:start w:val="1"/>
      <w:numFmt w:val="bullet"/>
      <w:lvlText w:val="–"/>
      <w:lvlJc w:val="left"/>
      <w:pPr>
        <w:tabs>
          <w:tab w:val="num" w:pos="340"/>
        </w:tabs>
        <w:ind w:left="0" w:firstLine="0"/>
      </w:pPr>
      <w:rPr>
        <w:rFonts w:ascii="Times New Roman" w:hAnsi="Times New Roman" w:cs="Times New Roman"/>
      </w:rPr>
    </w:lvl>
  </w:abstractNum>
  <w:abstractNum w:abstractNumId="35">
    <w:nsid w:val="00000034"/>
    <w:multiLevelType w:val="singleLevel"/>
    <w:tmpl w:val="00000034"/>
    <w:name w:val="WW8Num52"/>
    <w:lvl w:ilvl="0">
      <w:start w:val="3"/>
      <w:numFmt w:val="bullet"/>
      <w:lvlText w:val="-"/>
      <w:lvlJc w:val="left"/>
      <w:pPr>
        <w:tabs>
          <w:tab w:val="num" w:pos="360"/>
        </w:tabs>
        <w:ind w:left="0" w:firstLine="0"/>
      </w:pPr>
      <w:rPr>
        <w:rFonts w:ascii="Times New Roman" w:hAnsi="Times New Roman" w:cs="Times New Roman"/>
      </w:rPr>
    </w:lvl>
  </w:abstractNum>
  <w:abstractNum w:abstractNumId="36">
    <w:nsid w:val="00000035"/>
    <w:multiLevelType w:val="singleLevel"/>
    <w:tmpl w:val="00000035"/>
    <w:name w:val="WW8Num53"/>
    <w:lvl w:ilvl="0">
      <w:start w:val="1"/>
      <w:numFmt w:val="bullet"/>
      <w:lvlText w:val="–"/>
      <w:lvlJc w:val="left"/>
      <w:pPr>
        <w:tabs>
          <w:tab w:val="num" w:pos="340"/>
        </w:tabs>
        <w:ind w:left="0" w:firstLine="0"/>
      </w:pPr>
      <w:rPr>
        <w:rFonts w:ascii="Times New Roman" w:hAnsi="Times New Roman" w:cs="Times New Roman"/>
      </w:rPr>
    </w:lvl>
  </w:abstractNum>
  <w:abstractNum w:abstractNumId="37">
    <w:nsid w:val="00000036"/>
    <w:multiLevelType w:val="singleLevel"/>
    <w:tmpl w:val="00000036"/>
    <w:name w:val="WW8Num54"/>
    <w:lvl w:ilvl="0">
      <w:start w:val="1"/>
      <w:numFmt w:val="lowerLetter"/>
      <w:lvlText w:val="%1)"/>
      <w:lvlJc w:val="left"/>
      <w:pPr>
        <w:tabs>
          <w:tab w:val="num" w:pos="283"/>
        </w:tabs>
        <w:ind w:left="0" w:firstLine="0"/>
      </w:pPr>
    </w:lvl>
  </w:abstractNum>
  <w:abstractNum w:abstractNumId="38">
    <w:nsid w:val="00000038"/>
    <w:multiLevelType w:val="singleLevel"/>
    <w:tmpl w:val="00000038"/>
    <w:name w:val="WW8Num56"/>
    <w:lvl w:ilvl="0">
      <w:start w:val="1"/>
      <w:numFmt w:val="bullet"/>
      <w:lvlText w:val="–"/>
      <w:lvlJc w:val="left"/>
      <w:pPr>
        <w:tabs>
          <w:tab w:val="num" w:pos="340"/>
        </w:tabs>
        <w:ind w:left="0" w:firstLine="0"/>
      </w:pPr>
      <w:rPr>
        <w:rFonts w:ascii="Times New Roman" w:hAnsi="Times New Roman"/>
        <w:b/>
        <w:i w:val="0"/>
        <w:sz w:val="20"/>
      </w:rPr>
    </w:lvl>
  </w:abstractNum>
  <w:abstractNum w:abstractNumId="39">
    <w:nsid w:val="0000003B"/>
    <w:multiLevelType w:val="singleLevel"/>
    <w:tmpl w:val="0000003B"/>
    <w:name w:val="WW8Num59"/>
    <w:lvl w:ilvl="0">
      <w:numFmt w:val="bullet"/>
      <w:lvlText w:val=""/>
      <w:lvlJc w:val="left"/>
      <w:pPr>
        <w:tabs>
          <w:tab w:val="num" w:pos="283"/>
        </w:tabs>
        <w:ind w:left="0" w:firstLine="0"/>
      </w:pPr>
      <w:rPr>
        <w:rFonts w:ascii="Symbol" w:hAnsi="Symbol" w:cs="Times New Roman"/>
      </w:rPr>
    </w:lvl>
  </w:abstractNum>
  <w:abstractNum w:abstractNumId="40">
    <w:nsid w:val="0000003D"/>
    <w:multiLevelType w:val="multilevel"/>
    <w:tmpl w:val="0000003D"/>
    <w:name w:val="WW8Num61"/>
    <w:lvl w:ilvl="0">
      <w:start w:val="1"/>
      <w:numFmt w:val="lowerLetter"/>
      <w:lvlText w:val="%1)"/>
      <w:lvlJc w:val="left"/>
      <w:pPr>
        <w:tabs>
          <w:tab w:val="num" w:pos="283"/>
        </w:tabs>
        <w:ind w:left="0" w:firstLine="0"/>
      </w:pPr>
    </w:lvl>
    <w:lvl w:ilvl="1">
      <w:start w:val="1"/>
      <w:numFmt w:val="decimal"/>
      <w:lvlText w:val="%2."/>
      <w:lvlJc w:val="left"/>
      <w:pPr>
        <w:tabs>
          <w:tab w:val="num" w:pos="1080"/>
        </w:tabs>
        <w:ind w:left="0" w:firstLine="0"/>
      </w:pPr>
    </w:lvl>
    <w:lvl w:ilvl="2">
      <w:start w:val="1"/>
      <w:numFmt w:val="decimal"/>
      <w:lvlText w:val="%3."/>
      <w:lvlJc w:val="left"/>
      <w:pPr>
        <w:tabs>
          <w:tab w:val="num" w:pos="1440"/>
        </w:tabs>
        <w:ind w:left="0" w:firstLine="0"/>
      </w:pPr>
    </w:lvl>
    <w:lvl w:ilvl="3">
      <w:start w:val="1"/>
      <w:numFmt w:val="decimal"/>
      <w:lvlText w:val="%4."/>
      <w:lvlJc w:val="left"/>
      <w:pPr>
        <w:tabs>
          <w:tab w:val="num" w:pos="1800"/>
        </w:tabs>
        <w:ind w:left="0" w:firstLine="0"/>
      </w:pPr>
    </w:lvl>
    <w:lvl w:ilvl="4">
      <w:start w:val="1"/>
      <w:numFmt w:val="decimal"/>
      <w:lvlText w:val="%5."/>
      <w:lvlJc w:val="left"/>
      <w:pPr>
        <w:tabs>
          <w:tab w:val="num" w:pos="2160"/>
        </w:tabs>
        <w:ind w:left="0" w:firstLine="0"/>
      </w:pPr>
    </w:lvl>
    <w:lvl w:ilvl="5">
      <w:start w:val="1"/>
      <w:numFmt w:val="decimal"/>
      <w:lvlText w:val="%6."/>
      <w:lvlJc w:val="left"/>
      <w:pPr>
        <w:tabs>
          <w:tab w:val="num" w:pos="2520"/>
        </w:tabs>
        <w:ind w:left="0" w:firstLine="0"/>
      </w:pPr>
    </w:lvl>
    <w:lvl w:ilvl="6">
      <w:start w:val="1"/>
      <w:numFmt w:val="decimal"/>
      <w:lvlText w:val="%7."/>
      <w:lvlJc w:val="left"/>
      <w:pPr>
        <w:tabs>
          <w:tab w:val="num" w:pos="2880"/>
        </w:tabs>
        <w:ind w:left="0" w:firstLine="0"/>
      </w:pPr>
    </w:lvl>
    <w:lvl w:ilvl="7">
      <w:start w:val="1"/>
      <w:numFmt w:val="decimal"/>
      <w:lvlText w:val="%8."/>
      <w:lvlJc w:val="left"/>
      <w:pPr>
        <w:tabs>
          <w:tab w:val="num" w:pos="3240"/>
        </w:tabs>
        <w:ind w:left="0" w:firstLine="0"/>
      </w:pPr>
    </w:lvl>
    <w:lvl w:ilvl="8">
      <w:start w:val="1"/>
      <w:numFmt w:val="decimal"/>
      <w:lvlText w:val="%9."/>
      <w:lvlJc w:val="left"/>
      <w:pPr>
        <w:tabs>
          <w:tab w:val="num" w:pos="3600"/>
        </w:tabs>
        <w:ind w:left="0" w:firstLine="0"/>
      </w:pPr>
    </w:lvl>
  </w:abstractNum>
  <w:abstractNum w:abstractNumId="41">
    <w:nsid w:val="0000003E"/>
    <w:multiLevelType w:val="multilevel"/>
    <w:tmpl w:val="0000003E"/>
    <w:name w:val="WW8Num62"/>
    <w:lvl w:ilvl="0">
      <w:start w:val="1"/>
      <w:numFmt w:val="decimal"/>
      <w:lvlText w:val="%1)"/>
      <w:lvlJc w:val="left"/>
      <w:pPr>
        <w:tabs>
          <w:tab w:val="num" w:pos="283"/>
        </w:tabs>
        <w:ind w:left="0" w:firstLine="0"/>
      </w:pPr>
    </w:lvl>
    <w:lvl w:ilvl="1">
      <w:start w:val="1"/>
      <w:numFmt w:val="decimal"/>
      <w:lvlText w:val="%2."/>
      <w:lvlJc w:val="left"/>
      <w:pPr>
        <w:tabs>
          <w:tab w:val="num" w:pos="1080"/>
        </w:tabs>
        <w:ind w:left="0" w:firstLine="0"/>
      </w:pPr>
    </w:lvl>
    <w:lvl w:ilvl="2">
      <w:start w:val="1"/>
      <w:numFmt w:val="decimal"/>
      <w:lvlText w:val="%3."/>
      <w:lvlJc w:val="left"/>
      <w:pPr>
        <w:tabs>
          <w:tab w:val="num" w:pos="1440"/>
        </w:tabs>
        <w:ind w:left="0" w:firstLine="0"/>
      </w:pPr>
    </w:lvl>
    <w:lvl w:ilvl="3">
      <w:start w:val="1"/>
      <w:numFmt w:val="decimal"/>
      <w:lvlText w:val="%4."/>
      <w:lvlJc w:val="left"/>
      <w:pPr>
        <w:tabs>
          <w:tab w:val="num" w:pos="1800"/>
        </w:tabs>
        <w:ind w:left="0" w:firstLine="0"/>
      </w:pPr>
    </w:lvl>
    <w:lvl w:ilvl="4">
      <w:start w:val="1"/>
      <w:numFmt w:val="decimal"/>
      <w:lvlText w:val="%5."/>
      <w:lvlJc w:val="left"/>
      <w:pPr>
        <w:tabs>
          <w:tab w:val="num" w:pos="2160"/>
        </w:tabs>
        <w:ind w:left="0" w:firstLine="0"/>
      </w:pPr>
    </w:lvl>
    <w:lvl w:ilvl="5">
      <w:start w:val="1"/>
      <w:numFmt w:val="decimal"/>
      <w:lvlText w:val="%6."/>
      <w:lvlJc w:val="left"/>
      <w:pPr>
        <w:tabs>
          <w:tab w:val="num" w:pos="2520"/>
        </w:tabs>
        <w:ind w:left="0" w:firstLine="0"/>
      </w:pPr>
    </w:lvl>
    <w:lvl w:ilvl="6">
      <w:start w:val="1"/>
      <w:numFmt w:val="decimal"/>
      <w:lvlText w:val="%7."/>
      <w:lvlJc w:val="left"/>
      <w:pPr>
        <w:tabs>
          <w:tab w:val="num" w:pos="2880"/>
        </w:tabs>
        <w:ind w:left="0" w:firstLine="0"/>
      </w:pPr>
    </w:lvl>
    <w:lvl w:ilvl="7">
      <w:start w:val="1"/>
      <w:numFmt w:val="decimal"/>
      <w:lvlText w:val="%8."/>
      <w:lvlJc w:val="left"/>
      <w:pPr>
        <w:tabs>
          <w:tab w:val="num" w:pos="3240"/>
        </w:tabs>
        <w:ind w:left="0" w:firstLine="0"/>
      </w:pPr>
    </w:lvl>
    <w:lvl w:ilvl="8">
      <w:start w:val="1"/>
      <w:numFmt w:val="decimal"/>
      <w:lvlText w:val="%9."/>
      <w:lvlJc w:val="left"/>
      <w:pPr>
        <w:tabs>
          <w:tab w:val="num" w:pos="3600"/>
        </w:tabs>
        <w:ind w:left="0" w:firstLine="0"/>
      </w:pPr>
    </w:lvl>
  </w:abstractNum>
  <w:abstractNum w:abstractNumId="42">
    <w:nsid w:val="0000003F"/>
    <w:multiLevelType w:val="multilevel"/>
    <w:tmpl w:val="0000003F"/>
    <w:name w:val="WW8Num63"/>
    <w:lvl w:ilvl="0">
      <w:start w:val="1"/>
      <w:numFmt w:val="lowerLetter"/>
      <w:lvlText w:val="%1)"/>
      <w:lvlJc w:val="left"/>
      <w:pPr>
        <w:tabs>
          <w:tab w:val="num" w:pos="283"/>
        </w:tabs>
        <w:ind w:left="0" w:firstLine="0"/>
      </w:pPr>
    </w:lvl>
    <w:lvl w:ilvl="1">
      <w:start w:val="1"/>
      <w:numFmt w:val="decimal"/>
      <w:lvlText w:val="%2."/>
      <w:lvlJc w:val="left"/>
      <w:pPr>
        <w:tabs>
          <w:tab w:val="num" w:pos="1080"/>
        </w:tabs>
        <w:ind w:left="0" w:firstLine="0"/>
      </w:pPr>
    </w:lvl>
    <w:lvl w:ilvl="2">
      <w:start w:val="1"/>
      <w:numFmt w:val="decimal"/>
      <w:lvlText w:val="%3."/>
      <w:lvlJc w:val="left"/>
      <w:pPr>
        <w:tabs>
          <w:tab w:val="num" w:pos="1440"/>
        </w:tabs>
        <w:ind w:left="0" w:firstLine="0"/>
      </w:pPr>
    </w:lvl>
    <w:lvl w:ilvl="3">
      <w:start w:val="1"/>
      <w:numFmt w:val="decimal"/>
      <w:lvlText w:val="%4."/>
      <w:lvlJc w:val="left"/>
      <w:pPr>
        <w:tabs>
          <w:tab w:val="num" w:pos="1800"/>
        </w:tabs>
        <w:ind w:left="0" w:firstLine="0"/>
      </w:pPr>
    </w:lvl>
    <w:lvl w:ilvl="4">
      <w:start w:val="1"/>
      <w:numFmt w:val="decimal"/>
      <w:lvlText w:val="%5."/>
      <w:lvlJc w:val="left"/>
      <w:pPr>
        <w:tabs>
          <w:tab w:val="num" w:pos="2160"/>
        </w:tabs>
        <w:ind w:left="0" w:firstLine="0"/>
      </w:pPr>
    </w:lvl>
    <w:lvl w:ilvl="5">
      <w:start w:val="1"/>
      <w:numFmt w:val="decimal"/>
      <w:lvlText w:val="%6."/>
      <w:lvlJc w:val="left"/>
      <w:pPr>
        <w:tabs>
          <w:tab w:val="num" w:pos="2520"/>
        </w:tabs>
        <w:ind w:left="0" w:firstLine="0"/>
      </w:pPr>
    </w:lvl>
    <w:lvl w:ilvl="6">
      <w:start w:val="1"/>
      <w:numFmt w:val="decimal"/>
      <w:lvlText w:val="%7."/>
      <w:lvlJc w:val="left"/>
      <w:pPr>
        <w:tabs>
          <w:tab w:val="num" w:pos="2880"/>
        </w:tabs>
        <w:ind w:left="0" w:firstLine="0"/>
      </w:pPr>
    </w:lvl>
    <w:lvl w:ilvl="7">
      <w:start w:val="1"/>
      <w:numFmt w:val="decimal"/>
      <w:lvlText w:val="%8."/>
      <w:lvlJc w:val="left"/>
      <w:pPr>
        <w:tabs>
          <w:tab w:val="num" w:pos="3240"/>
        </w:tabs>
        <w:ind w:left="0" w:firstLine="0"/>
      </w:pPr>
    </w:lvl>
    <w:lvl w:ilvl="8">
      <w:start w:val="1"/>
      <w:numFmt w:val="decimal"/>
      <w:lvlText w:val="%9."/>
      <w:lvlJc w:val="left"/>
      <w:pPr>
        <w:tabs>
          <w:tab w:val="num" w:pos="3600"/>
        </w:tabs>
        <w:ind w:left="0" w:firstLine="0"/>
      </w:pPr>
    </w:lvl>
  </w:abstractNum>
  <w:abstractNum w:abstractNumId="43">
    <w:nsid w:val="00000045"/>
    <w:multiLevelType w:val="singleLevel"/>
    <w:tmpl w:val="00000045"/>
    <w:name w:val="WW8Num150"/>
    <w:lvl w:ilvl="0">
      <w:start w:val="1"/>
      <w:numFmt w:val="lowerLetter"/>
      <w:lvlText w:val="%1)"/>
      <w:lvlJc w:val="left"/>
      <w:pPr>
        <w:tabs>
          <w:tab w:val="num" w:pos="360"/>
        </w:tabs>
        <w:ind w:left="360" w:hanging="360"/>
      </w:pPr>
    </w:lvl>
  </w:abstractNum>
  <w:abstractNum w:abstractNumId="44">
    <w:nsid w:val="0000004A"/>
    <w:multiLevelType w:val="multilevel"/>
    <w:tmpl w:val="0000004A"/>
    <w:name w:val="WW8Num165"/>
    <w:lvl w:ilvl="0">
      <w:start w:val="1"/>
      <w:numFmt w:val="lowerLetter"/>
      <w:lvlText w:val="%1)"/>
      <w:lvlJc w:val="left"/>
      <w:pPr>
        <w:tabs>
          <w:tab w:val="num" w:pos="717"/>
        </w:tabs>
        <w:ind w:left="717" w:hanging="360"/>
      </w:pPr>
    </w:lvl>
    <w:lvl w:ilvl="1">
      <w:start w:val="1"/>
      <w:numFmt w:val="decimal"/>
      <w:lvlText w:val="%2)"/>
      <w:lvlJc w:val="left"/>
      <w:pPr>
        <w:tabs>
          <w:tab w:val="num" w:pos="1437"/>
        </w:tabs>
        <w:ind w:left="1437" w:hanging="360"/>
      </w:pPr>
    </w:lvl>
    <w:lvl w:ilvl="2">
      <w:start w:val="1"/>
      <w:numFmt w:val="lowerLetter"/>
      <w:lvlText w:val="(%3)"/>
      <w:lvlJc w:val="left"/>
      <w:pPr>
        <w:tabs>
          <w:tab w:val="num" w:pos="2337"/>
        </w:tabs>
        <w:ind w:left="2337" w:hanging="360"/>
      </w:pPr>
    </w:lvl>
    <w:lvl w:ilvl="3">
      <w:start w:val="1"/>
      <w:numFmt w:val="bullet"/>
      <w:lvlText w:val=""/>
      <w:lvlJc w:val="left"/>
      <w:pPr>
        <w:tabs>
          <w:tab w:val="num" w:pos="2877"/>
        </w:tabs>
        <w:ind w:left="2877" w:hanging="360"/>
      </w:pPr>
      <w:rPr>
        <w:rFonts w:ascii="Symbol" w:hAnsi="Symbol"/>
      </w:rPr>
    </w:lvl>
    <w:lvl w:ilvl="4">
      <w:start w:val="1"/>
      <w:numFmt w:val="lowerLetter"/>
      <w:lvlText w:val="%5."/>
      <w:lvlJc w:val="left"/>
      <w:pPr>
        <w:tabs>
          <w:tab w:val="num" w:pos="3597"/>
        </w:tabs>
        <w:ind w:left="3597" w:hanging="360"/>
      </w:pPr>
    </w:lvl>
    <w:lvl w:ilvl="5">
      <w:start w:val="1"/>
      <w:numFmt w:val="lowerRoman"/>
      <w:lvlText w:val="%6."/>
      <w:lvlJc w:val="left"/>
      <w:pPr>
        <w:tabs>
          <w:tab w:val="num" w:pos="4317"/>
        </w:tabs>
        <w:ind w:left="4317" w:hanging="180"/>
      </w:pPr>
    </w:lvl>
    <w:lvl w:ilvl="6">
      <w:start w:val="1"/>
      <w:numFmt w:val="decimal"/>
      <w:lvlText w:val="%7."/>
      <w:lvlJc w:val="left"/>
      <w:pPr>
        <w:tabs>
          <w:tab w:val="num" w:pos="5037"/>
        </w:tabs>
        <w:ind w:left="5037" w:hanging="360"/>
      </w:pPr>
    </w:lvl>
    <w:lvl w:ilvl="7">
      <w:start w:val="1"/>
      <w:numFmt w:val="lowerLetter"/>
      <w:lvlText w:val="%8."/>
      <w:lvlJc w:val="left"/>
      <w:pPr>
        <w:tabs>
          <w:tab w:val="num" w:pos="5757"/>
        </w:tabs>
        <w:ind w:left="5757" w:hanging="360"/>
      </w:pPr>
    </w:lvl>
    <w:lvl w:ilvl="8">
      <w:start w:val="1"/>
      <w:numFmt w:val="lowerRoman"/>
      <w:lvlText w:val="%9."/>
      <w:lvlJc w:val="left"/>
      <w:pPr>
        <w:tabs>
          <w:tab w:val="num" w:pos="6477"/>
        </w:tabs>
        <w:ind w:left="6477" w:hanging="180"/>
      </w:pPr>
    </w:lvl>
  </w:abstractNum>
  <w:abstractNum w:abstractNumId="45">
    <w:nsid w:val="0000004B"/>
    <w:multiLevelType w:val="multilevel"/>
    <w:tmpl w:val="EFF4EA38"/>
    <w:name w:val="WW8Num169"/>
    <w:lvl w:ilvl="0">
      <w:start w:val="1"/>
      <w:numFmt w:val="bullet"/>
      <w:lvlText w:val=""/>
      <w:lvlJc w:val="left"/>
      <w:pPr>
        <w:tabs>
          <w:tab w:val="num" w:pos="360"/>
        </w:tabs>
        <w:ind w:left="360" w:hanging="360"/>
      </w:pPr>
      <w:rPr>
        <w:rFonts w:ascii="Symbol" w:hAnsi="Symbol" w:hint="default"/>
      </w:rPr>
    </w:lvl>
    <w:lvl w:ilvl="1">
      <w:start w:val="6"/>
      <w:numFmt w:val="decimal"/>
      <w:lvlText w:val="%1.%2."/>
      <w:lvlJc w:val="left"/>
      <w:pPr>
        <w:tabs>
          <w:tab w:val="num" w:pos="360"/>
        </w:tabs>
        <w:ind w:left="360" w:hanging="36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46">
    <w:nsid w:val="0000004E"/>
    <w:multiLevelType w:val="singleLevel"/>
    <w:tmpl w:val="0000004E"/>
    <w:name w:val="WW8Num174"/>
    <w:lvl w:ilvl="0">
      <w:start w:val="1"/>
      <w:numFmt w:val="bullet"/>
      <w:lvlText w:val="-"/>
      <w:lvlJc w:val="left"/>
      <w:pPr>
        <w:tabs>
          <w:tab w:val="num" w:pos="360"/>
        </w:tabs>
        <w:ind w:left="360" w:hanging="360"/>
      </w:pPr>
      <w:rPr>
        <w:rFonts w:ascii="Times New Roman" w:hAnsi="Times New Roman"/>
      </w:rPr>
    </w:lvl>
  </w:abstractNum>
  <w:abstractNum w:abstractNumId="47">
    <w:nsid w:val="00000051"/>
    <w:multiLevelType w:val="singleLevel"/>
    <w:tmpl w:val="00000051"/>
    <w:name w:val="WW8Num195"/>
    <w:lvl w:ilvl="0">
      <w:start w:val="1"/>
      <w:numFmt w:val="decimal"/>
      <w:lvlText w:val="%1."/>
      <w:lvlJc w:val="left"/>
      <w:pPr>
        <w:tabs>
          <w:tab w:val="num" w:pos="720"/>
        </w:tabs>
        <w:ind w:left="720" w:hanging="360"/>
      </w:pPr>
    </w:lvl>
  </w:abstractNum>
  <w:abstractNum w:abstractNumId="48">
    <w:nsid w:val="00000053"/>
    <w:multiLevelType w:val="singleLevel"/>
    <w:tmpl w:val="00000053"/>
    <w:name w:val="WW8Num200"/>
    <w:lvl w:ilvl="0">
      <w:start w:val="1"/>
      <w:numFmt w:val="bullet"/>
      <w:lvlText w:val=""/>
      <w:lvlJc w:val="left"/>
      <w:pPr>
        <w:tabs>
          <w:tab w:val="num" w:pos="720"/>
        </w:tabs>
        <w:ind w:left="720" w:hanging="360"/>
      </w:pPr>
      <w:rPr>
        <w:rFonts w:ascii="Wingdings 2" w:hAnsi="Wingdings 2" w:cs="OpenSymbol"/>
      </w:rPr>
    </w:lvl>
  </w:abstractNum>
  <w:abstractNum w:abstractNumId="49">
    <w:nsid w:val="00000057"/>
    <w:multiLevelType w:val="singleLevel"/>
    <w:tmpl w:val="00000057"/>
    <w:name w:val="WW8Num208"/>
    <w:lvl w:ilvl="0">
      <w:start w:val="1"/>
      <w:numFmt w:val="lowerLetter"/>
      <w:lvlText w:val="%1)"/>
      <w:lvlJc w:val="left"/>
      <w:pPr>
        <w:tabs>
          <w:tab w:val="num" w:pos="360"/>
        </w:tabs>
        <w:ind w:left="360" w:hanging="360"/>
      </w:pPr>
    </w:lvl>
  </w:abstractNum>
  <w:abstractNum w:abstractNumId="50">
    <w:nsid w:val="00000058"/>
    <w:multiLevelType w:val="singleLevel"/>
    <w:tmpl w:val="00000058"/>
    <w:name w:val="WW8Num210"/>
    <w:lvl w:ilvl="0">
      <w:start w:val="1"/>
      <w:numFmt w:val="lowerLetter"/>
      <w:lvlText w:val="%1)"/>
      <w:lvlJc w:val="left"/>
      <w:pPr>
        <w:tabs>
          <w:tab w:val="num" w:pos="0"/>
        </w:tabs>
        <w:ind w:left="283" w:hanging="283"/>
      </w:pPr>
    </w:lvl>
  </w:abstractNum>
  <w:abstractNum w:abstractNumId="51">
    <w:nsid w:val="0000005A"/>
    <w:multiLevelType w:val="multilevel"/>
    <w:tmpl w:val="0000005A"/>
    <w:name w:val="WW8Num213"/>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lef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52">
    <w:nsid w:val="0000005E"/>
    <w:multiLevelType w:val="singleLevel"/>
    <w:tmpl w:val="0000005E"/>
    <w:name w:val="WW8Num230"/>
    <w:lvl w:ilvl="0">
      <w:start w:val="1"/>
      <w:numFmt w:val="bullet"/>
      <w:lvlText w:val=""/>
      <w:lvlJc w:val="left"/>
      <w:pPr>
        <w:tabs>
          <w:tab w:val="num" w:pos="0"/>
        </w:tabs>
        <w:ind w:left="283" w:hanging="283"/>
      </w:pPr>
      <w:rPr>
        <w:rFonts w:ascii="Wingdings 2" w:hAnsi="Wingdings 2" w:cs="OpenSymbol"/>
      </w:rPr>
    </w:lvl>
  </w:abstractNum>
  <w:abstractNum w:abstractNumId="53">
    <w:nsid w:val="0000005F"/>
    <w:multiLevelType w:val="singleLevel"/>
    <w:tmpl w:val="0000005F"/>
    <w:name w:val="WW8Num224"/>
    <w:lvl w:ilvl="0">
      <w:start w:val="1"/>
      <w:numFmt w:val="bullet"/>
      <w:lvlText w:val=""/>
      <w:lvlJc w:val="left"/>
      <w:pPr>
        <w:tabs>
          <w:tab w:val="num" w:pos="720"/>
        </w:tabs>
        <w:ind w:left="720" w:hanging="360"/>
      </w:pPr>
      <w:rPr>
        <w:rFonts w:ascii="Wingdings 2" w:hAnsi="Wingdings 2" w:cs="OpenSymbol"/>
      </w:rPr>
    </w:lvl>
  </w:abstractNum>
  <w:abstractNum w:abstractNumId="54">
    <w:nsid w:val="00000061"/>
    <w:multiLevelType w:val="singleLevel"/>
    <w:tmpl w:val="00000061"/>
    <w:name w:val="WW8Num96"/>
    <w:lvl w:ilvl="0">
      <w:numFmt w:val="bullet"/>
      <w:lvlText w:val=""/>
      <w:lvlJc w:val="left"/>
      <w:pPr>
        <w:tabs>
          <w:tab w:val="num" w:pos="283"/>
        </w:tabs>
        <w:ind w:left="283" w:hanging="283"/>
      </w:pPr>
      <w:rPr>
        <w:rFonts w:ascii="Symbol" w:hAnsi="Symbol"/>
      </w:rPr>
    </w:lvl>
  </w:abstractNum>
  <w:abstractNum w:abstractNumId="55">
    <w:nsid w:val="00000062"/>
    <w:multiLevelType w:val="singleLevel"/>
    <w:tmpl w:val="00000062"/>
    <w:name w:val="WW8Num97"/>
    <w:lvl w:ilvl="0">
      <w:numFmt w:val="bullet"/>
      <w:lvlText w:val=""/>
      <w:lvlJc w:val="left"/>
      <w:pPr>
        <w:tabs>
          <w:tab w:val="num" w:pos="283"/>
        </w:tabs>
        <w:ind w:left="283" w:hanging="283"/>
      </w:pPr>
      <w:rPr>
        <w:rFonts w:ascii="Symbol" w:hAnsi="Symbol"/>
      </w:rPr>
    </w:lvl>
  </w:abstractNum>
  <w:abstractNum w:abstractNumId="56">
    <w:nsid w:val="00000065"/>
    <w:multiLevelType w:val="singleLevel"/>
    <w:tmpl w:val="00000065"/>
    <w:name w:val="WW8Num234"/>
    <w:lvl w:ilvl="0">
      <w:start w:val="1"/>
      <w:numFmt w:val="bullet"/>
      <w:lvlText w:val="–"/>
      <w:lvlJc w:val="left"/>
      <w:pPr>
        <w:tabs>
          <w:tab w:val="num" w:pos="340"/>
        </w:tabs>
        <w:ind w:left="340" w:hanging="340"/>
      </w:pPr>
      <w:rPr>
        <w:rFonts w:ascii="Times New Roman" w:hAnsi="Times New Roman" w:cs="Times New Roman"/>
      </w:rPr>
    </w:lvl>
  </w:abstractNum>
  <w:abstractNum w:abstractNumId="57">
    <w:nsid w:val="00000067"/>
    <w:multiLevelType w:val="singleLevel"/>
    <w:tmpl w:val="00000067"/>
    <w:name w:val="WW8Num236"/>
    <w:lvl w:ilvl="0">
      <w:start w:val="1"/>
      <w:numFmt w:val="bullet"/>
      <w:lvlText w:val="-"/>
      <w:lvlJc w:val="left"/>
      <w:pPr>
        <w:tabs>
          <w:tab w:val="num" w:pos="360"/>
        </w:tabs>
        <w:ind w:left="360" w:hanging="360"/>
      </w:pPr>
      <w:rPr>
        <w:rFonts w:ascii="Times New Roman" w:hAnsi="Times New Roman"/>
      </w:rPr>
    </w:lvl>
  </w:abstractNum>
  <w:abstractNum w:abstractNumId="58">
    <w:nsid w:val="00000068"/>
    <w:multiLevelType w:val="singleLevel"/>
    <w:tmpl w:val="00000068"/>
    <w:name w:val="WW8Num239"/>
    <w:lvl w:ilvl="0">
      <w:start w:val="1"/>
      <w:numFmt w:val="bullet"/>
      <w:lvlText w:val="-"/>
      <w:lvlJc w:val="left"/>
      <w:pPr>
        <w:tabs>
          <w:tab w:val="num" w:pos="360"/>
        </w:tabs>
        <w:ind w:left="360" w:hanging="360"/>
      </w:pPr>
      <w:rPr>
        <w:rFonts w:ascii="Times New Roman" w:hAnsi="Times New Roman"/>
      </w:rPr>
    </w:lvl>
  </w:abstractNum>
  <w:abstractNum w:abstractNumId="59">
    <w:nsid w:val="0000006A"/>
    <w:multiLevelType w:val="singleLevel"/>
    <w:tmpl w:val="0000006A"/>
    <w:name w:val="WW8Num241"/>
    <w:lvl w:ilvl="0">
      <w:start w:val="1"/>
      <w:numFmt w:val="bullet"/>
      <w:lvlText w:val="-"/>
      <w:lvlJc w:val="left"/>
      <w:pPr>
        <w:tabs>
          <w:tab w:val="num" w:pos="360"/>
        </w:tabs>
        <w:ind w:left="360" w:hanging="360"/>
      </w:pPr>
      <w:rPr>
        <w:rFonts w:ascii="Times New Roman" w:hAnsi="Times New Roman"/>
      </w:rPr>
    </w:lvl>
  </w:abstractNum>
  <w:abstractNum w:abstractNumId="60">
    <w:nsid w:val="0000006B"/>
    <w:multiLevelType w:val="singleLevel"/>
    <w:tmpl w:val="0000006B"/>
    <w:name w:val="WW8Num242"/>
    <w:lvl w:ilvl="0">
      <w:start w:val="1"/>
      <w:numFmt w:val="bullet"/>
      <w:lvlText w:val=""/>
      <w:lvlJc w:val="left"/>
      <w:pPr>
        <w:tabs>
          <w:tab w:val="num" w:pos="720"/>
        </w:tabs>
        <w:ind w:left="720" w:hanging="360"/>
      </w:pPr>
      <w:rPr>
        <w:rFonts w:ascii="Wingdings 2" w:hAnsi="Wingdings 2" w:cs="OpenSymbol"/>
      </w:rPr>
    </w:lvl>
  </w:abstractNum>
  <w:abstractNum w:abstractNumId="61">
    <w:nsid w:val="0000006D"/>
    <w:multiLevelType w:val="singleLevel"/>
    <w:tmpl w:val="0000006D"/>
    <w:name w:val="WW8Num367"/>
    <w:lvl w:ilvl="0">
      <w:start w:val="1"/>
      <w:numFmt w:val="decimal"/>
      <w:lvlText w:val="%1."/>
      <w:lvlJc w:val="left"/>
      <w:pPr>
        <w:tabs>
          <w:tab w:val="num" w:pos="720"/>
        </w:tabs>
        <w:ind w:left="720" w:hanging="360"/>
      </w:pPr>
    </w:lvl>
  </w:abstractNum>
  <w:abstractNum w:abstractNumId="62">
    <w:nsid w:val="0000006E"/>
    <w:multiLevelType w:val="singleLevel"/>
    <w:tmpl w:val="0000006E"/>
    <w:name w:val="WW8Num342"/>
    <w:lvl w:ilvl="0">
      <w:start w:val="1"/>
      <w:numFmt w:val="lowerLetter"/>
      <w:lvlText w:val="%1)"/>
      <w:lvlJc w:val="left"/>
      <w:pPr>
        <w:tabs>
          <w:tab w:val="num" w:pos="360"/>
        </w:tabs>
        <w:ind w:left="360" w:hanging="360"/>
      </w:pPr>
    </w:lvl>
  </w:abstractNum>
  <w:abstractNum w:abstractNumId="63">
    <w:nsid w:val="0000006F"/>
    <w:multiLevelType w:val="singleLevel"/>
    <w:tmpl w:val="0000006F"/>
    <w:name w:val="WW8Num243"/>
    <w:lvl w:ilvl="0">
      <w:start w:val="1"/>
      <w:numFmt w:val="decimal"/>
      <w:lvlText w:val="%1)"/>
      <w:lvlJc w:val="left"/>
      <w:pPr>
        <w:tabs>
          <w:tab w:val="num" w:pos="360"/>
        </w:tabs>
        <w:ind w:left="360" w:hanging="360"/>
      </w:pPr>
    </w:lvl>
  </w:abstractNum>
  <w:abstractNum w:abstractNumId="64">
    <w:nsid w:val="00000070"/>
    <w:multiLevelType w:val="singleLevel"/>
    <w:tmpl w:val="00000070"/>
    <w:name w:val="WW8Num267"/>
    <w:lvl w:ilvl="0">
      <w:start w:val="1"/>
      <w:numFmt w:val="bullet"/>
      <w:lvlText w:val=""/>
      <w:lvlJc w:val="left"/>
      <w:pPr>
        <w:tabs>
          <w:tab w:val="num" w:pos="360"/>
        </w:tabs>
        <w:ind w:left="360" w:hanging="360"/>
      </w:pPr>
      <w:rPr>
        <w:rFonts w:ascii="Wingdings 2" w:hAnsi="Wingdings 2" w:cs="OpenSymbol"/>
      </w:rPr>
    </w:lvl>
  </w:abstractNum>
  <w:abstractNum w:abstractNumId="65">
    <w:nsid w:val="00000071"/>
    <w:multiLevelType w:val="singleLevel"/>
    <w:tmpl w:val="00000071"/>
    <w:name w:val="WW8Num258"/>
    <w:lvl w:ilvl="0">
      <w:start w:val="1"/>
      <w:numFmt w:val="decimal"/>
      <w:lvlText w:val="%1)"/>
      <w:lvlJc w:val="left"/>
      <w:pPr>
        <w:tabs>
          <w:tab w:val="num" w:pos="360"/>
        </w:tabs>
        <w:ind w:left="360" w:hanging="360"/>
      </w:pPr>
    </w:lvl>
  </w:abstractNum>
  <w:abstractNum w:abstractNumId="66">
    <w:nsid w:val="00000072"/>
    <w:multiLevelType w:val="singleLevel"/>
    <w:tmpl w:val="00000072"/>
    <w:name w:val="WW8Num271"/>
    <w:lvl w:ilvl="0">
      <w:start w:val="1"/>
      <w:numFmt w:val="bullet"/>
      <w:lvlText w:val="-"/>
      <w:lvlJc w:val="left"/>
      <w:pPr>
        <w:tabs>
          <w:tab w:val="num" w:pos="360"/>
        </w:tabs>
        <w:ind w:left="360" w:hanging="360"/>
      </w:pPr>
      <w:rPr>
        <w:rFonts w:ascii="Times New Roman" w:hAnsi="Times New Roman"/>
      </w:rPr>
    </w:lvl>
  </w:abstractNum>
  <w:abstractNum w:abstractNumId="67">
    <w:nsid w:val="0000007B"/>
    <w:multiLevelType w:val="singleLevel"/>
    <w:tmpl w:val="0000007B"/>
    <w:name w:val="WW8Num315"/>
    <w:lvl w:ilvl="0">
      <w:start w:val="1"/>
      <w:numFmt w:val="bullet"/>
      <w:lvlText w:val=""/>
      <w:lvlJc w:val="left"/>
      <w:pPr>
        <w:tabs>
          <w:tab w:val="num" w:pos="284"/>
        </w:tabs>
        <w:ind w:left="255" w:hanging="255"/>
      </w:pPr>
      <w:rPr>
        <w:rFonts w:ascii="Symbol" w:hAnsi="Symbol"/>
      </w:rPr>
    </w:lvl>
  </w:abstractNum>
  <w:abstractNum w:abstractNumId="68">
    <w:nsid w:val="0000007C"/>
    <w:multiLevelType w:val="singleLevel"/>
    <w:tmpl w:val="0000007C"/>
    <w:name w:val="WW8Num311"/>
    <w:lvl w:ilvl="0">
      <w:start w:val="1"/>
      <w:numFmt w:val="bullet"/>
      <w:lvlText w:val=""/>
      <w:lvlJc w:val="left"/>
      <w:pPr>
        <w:tabs>
          <w:tab w:val="num" w:pos="284"/>
        </w:tabs>
        <w:ind w:left="255" w:hanging="255"/>
      </w:pPr>
      <w:rPr>
        <w:rFonts w:ascii="Symbol" w:hAnsi="Symbol"/>
      </w:rPr>
    </w:lvl>
  </w:abstractNum>
  <w:abstractNum w:abstractNumId="69">
    <w:nsid w:val="0000007D"/>
    <w:multiLevelType w:val="singleLevel"/>
    <w:tmpl w:val="0000007D"/>
    <w:name w:val="WW8Num362"/>
    <w:lvl w:ilvl="0">
      <w:start w:val="1"/>
      <w:numFmt w:val="bullet"/>
      <w:lvlText w:val=""/>
      <w:lvlJc w:val="left"/>
      <w:pPr>
        <w:tabs>
          <w:tab w:val="num" w:pos="284"/>
        </w:tabs>
        <w:ind w:left="255" w:hanging="255"/>
      </w:pPr>
      <w:rPr>
        <w:rFonts w:ascii="Symbol" w:hAnsi="Symbol"/>
      </w:rPr>
    </w:lvl>
  </w:abstractNum>
  <w:abstractNum w:abstractNumId="70">
    <w:nsid w:val="00000080"/>
    <w:multiLevelType w:val="singleLevel"/>
    <w:tmpl w:val="00000080"/>
    <w:name w:val="WW8Num247"/>
    <w:lvl w:ilvl="0">
      <w:start w:val="1"/>
      <w:numFmt w:val="bullet"/>
      <w:lvlText w:val="-"/>
      <w:lvlJc w:val="left"/>
      <w:pPr>
        <w:tabs>
          <w:tab w:val="num" w:pos="360"/>
        </w:tabs>
        <w:ind w:left="360" w:hanging="360"/>
      </w:pPr>
      <w:rPr>
        <w:rFonts w:ascii="Times New Roman" w:hAnsi="Times New Roman"/>
      </w:rPr>
    </w:lvl>
  </w:abstractNum>
  <w:abstractNum w:abstractNumId="71">
    <w:nsid w:val="00000094"/>
    <w:multiLevelType w:val="multilevel"/>
    <w:tmpl w:val="00000094"/>
    <w:name w:val="WW8Num293"/>
    <w:lvl w:ilvl="0">
      <w:start w:val="1"/>
      <w:numFmt w:val="lowerLetter"/>
      <w:lvlText w:val="%1)"/>
      <w:lvlJc w:val="left"/>
      <w:pPr>
        <w:tabs>
          <w:tab w:val="num" w:pos="0"/>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2">
    <w:nsid w:val="00000095"/>
    <w:multiLevelType w:val="multilevel"/>
    <w:tmpl w:val="00000095"/>
    <w:name w:val="WW8Num294"/>
    <w:lvl w:ilvl="0">
      <w:start w:val="1"/>
      <w:numFmt w:val="lowerLetter"/>
      <w:lvlText w:val="%1)"/>
      <w:lvlJc w:val="left"/>
      <w:pPr>
        <w:tabs>
          <w:tab w:val="num" w:pos="0"/>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3">
    <w:nsid w:val="00000097"/>
    <w:multiLevelType w:val="multilevel"/>
    <w:tmpl w:val="00000097"/>
    <w:name w:val="WW8Num296"/>
    <w:lvl w:ilvl="0">
      <w:start w:val="1"/>
      <w:numFmt w:val="bullet"/>
      <w:lvlText w:val=""/>
      <w:lvlJc w:val="left"/>
      <w:pPr>
        <w:tabs>
          <w:tab w:val="num" w:pos="720"/>
        </w:tabs>
        <w:ind w:left="720" w:hanging="360"/>
      </w:pPr>
      <w:rPr>
        <w:rFonts w:ascii="Wingdings 2" w:hAnsi="Wingdings 2"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Wingdings 2" w:hAnsi="Wingdings 2"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Wingdings 2" w:hAnsi="Wingdings 2"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74">
    <w:nsid w:val="00000098"/>
    <w:multiLevelType w:val="multilevel"/>
    <w:tmpl w:val="00000098"/>
    <w:name w:val="WW8Num297"/>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75">
    <w:nsid w:val="000000DB"/>
    <w:multiLevelType w:val="singleLevel"/>
    <w:tmpl w:val="000000DB"/>
    <w:name w:val="WW8Num219"/>
    <w:lvl w:ilvl="0">
      <w:start w:val="1"/>
      <w:numFmt w:val="bullet"/>
      <w:lvlText w:val=""/>
      <w:lvlJc w:val="left"/>
      <w:pPr>
        <w:tabs>
          <w:tab w:val="num" w:pos="284"/>
        </w:tabs>
        <w:ind w:left="255" w:hanging="255"/>
      </w:pPr>
      <w:rPr>
        <w:rFonts w:ascii="Symbol" w:hAnsi="Symbol"/>
      </w:rPr>
    </w:lvl>
  </w:abstractNum>
  <w:abstractNum w:abstractNumId="76">
    <w:nsid w:val="01332599"/>
    <w:multiLevelType w:val="hybridMultilevel"/>
    <w:tmpl w:val="3EA22940"/>
    <w:lvl w:ilvl="0" w:tplc="A52C0FEA">
      <w:start w:val="1"/>
      <w:numFmt w:val="bullet"/>
      <w:lvlText w:val=""/>
      <w:lvlJc w:val="left"/>
      <w:pPr>
        <w:tabs>
          <w:tab w:val="num" w:pos="1440"/>
        </w:tabs>
        <w:ind w:left="1440" w:hanging="360"/>
      </w:pPr>
      <w:rPr>
        <w:rFonts w:ascii="Symbol" w:hAnsi="Symbol" w:hint="default"/>
        <w:sz w:val="20"/>
      </w:rPr>
    </w:lvl>
    <w:lvl w:ilvl="1" w:tplc="54745322">
      <w:start w:val="1"/>
      <w:numFmt w:val="bullet"/>
      <w:lvlText w:val=""/>
      <w:lvlJc w:val="left"/>
      <w:pPr>
        <w:tabs>
          <w:tab w:val="num" w:pos="1440"/>
        </w:tabs>
        <w:ind w:left="1366" w:hanging="286"/>
      </w:pPr>
      <w:rPr>
        <w:rFonts w:ascii="Symbol" w:hAnsi="Symbol" w:hint="default"/>
        <w:sz w:val="20"/>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77">
    <w:nsid w:val="039D58C1"/>
    <w:multiLevelType w:val="hybridMultilevel"/>
    <w:tmpl w:val="49969776"/>
    <w:lvl w:ilvl="0" w:tplc="A7141FE4">
      <w:start w:val="3"/>
      <w:numFmt w:val="bullet"/>
      <w:lvlText w:val="-"/>
      <w:lvlJc w:val="left"/>
      <w:pPr>
        <w:tabs>
          <w:tab w:val="num" w:pos="720"/>
        </w:tabs>
        <w:ind w:left="720" w:hanging="360"/>
      </w:pPr>
      <w:rPr>
        <w:rFonts w:ascii="Times New Roman" w:hAnsi="Times New Roman" w:hint="default"/>
      </w:rPr>
    </w:lvl>
    <w:lvl w:ilvl="1" w:tplc="04150003" w:tentative="1">
      <w:start w:val="1"/>
      <w:numFmt w:val="bullet"/>
      <w:lvlText w:val="o"/>
      <w:lvlJc w:val="left"/>
      <w:pPr>
        <w:tabs>
          <w:tab w:val="num" w:pos="1418"/>
        </w:tabs>
        <w:ind w:left="1418" w:hanging="360"/>
      </w:pPr>
      <w:rPr>
        <w:rFonts w:ascii="Courier New" w:hAnsi="Courier New" w:hint="default"/>
      </w:rPr>
    </w:lvl>
    <w:lvl w:ilvl="2" w:tplc="04150005" w:tentative="1">
      <w:start w:val="1"/>
      <w:numFmt w:val="bullet"/>
      <w:lvlText w:val=""/>
      <w:lvlJc w:val="left"/>
      <w:pPr>
        <w:tabs>
          <w:tab w:val="num" w:pos="2138"/>
        </w:tabs>
        <w:ind w:left="2138" w:hanging="360"/>
      </w:pPr>
      <w:rPr>
        <w:rFonts w:ascii="Wingdings" w:hAnsi="Wingdings" w:hint="default"/>
      </w:rPr>
    </w:lvl>
    <w:lvl w:ilvl="3" w:tplc="04150001" w:tentative="1">
      <w:start w:val="1"/>
      <w:numFmt w:val="bullet"/>
      <w:lvlText w:val=""/>
      <w:lvlJc w:val="left"/>
      <w:pPr>
        <w:tabs>
          <w:tab w:val="num" w:pos="2858"/>
        </w:tabs>
        <w:ind w:left="2858" w:hanging="360"/>
      </w:pPr>
      <w:rPr>
        <w:rFonts w:ascii="Symbol" w:hAnsi="Symbol" w:hint="default"/>
      </w:rPr>
    </w:lvl>
    <w:lvl w:ilvl="4" w:tplc="04150003" w:tentative="1">
      <w:start w:val="1"/>
      <w:numFmt w:val="bullet"/>
      <w:lvlText w:val="o"/>
      <w:lvlJc w:val="left"/>
      <w:pPr>
        <w:tabs>
          <w:tab w:val="num" w:pos="3578"/>
        </w:tabs>
        <w:ind w:left="3578" w:hanging="360"/>
      </w:pPr>
      <w:rPr>
        <w:rFonts w:ascii="Courier New" w:hAnsi="Courier New" w:hint="default"/>
      </w:rPr>
    </w:lvl>
    <w:lvl w:ilvl="5" w:tplc="04150005" w:tentative="1">
      <w:start w:val="1"/>
      <w:numFmt w:val="bullet"/>
      <w:lvlText w:val=""/>
      <w:lvlJc w:val="left"/>
      <w:pPr>
        <w:tabs>
          <w:tab w:val="num" w:pos="4298"/>
        </w:tabs>
        <w:ind w:left="4298" w:hanging="360"/>
      </w:pPr>
      <w:rPr>
        <w:rFonts w:ascii="Wingdings" w:hAnsi="Wingdings" w:hint="default"/>
      </w:rPr>
    </w:lvl>
    <w:lvl w:ilvl="6" w:tplc="04150001" w:tentative="1">
      <w:start w:val="1"/>
      <w:numFmt w:val="bullet"/>
      <w:lvlText w:val=""/>
      <w:lvlJc w:val="left"/>
      <w:pPr>
        <w:tabs>
          <w:tab w:val="num" w:pos="5018"/>
        </w:tabs>
        <w:ind w:left="5018" w:hanging="360"/>
      </w:pPr>
      <w:rPr>
        <w:rFonts w:ascii="Symbol" w:hAnsi="Symbol" w:hint="default"/>
      </w:rPr>
    </w:lvl>
    <w:lvl w:ilvl="7" w:tplc="04150003" w:tentative="1">
      <w:start w:val="1"/>
      <w:numFmt w:val="bullet"/>
      <w:lvlText w:val="o"/>
      <w:lvlJc w:val="left"/>
      <w:pPr>
        <w:tabs>
          <w:tab w:val="num" w:pos="5738"/>
        </w:tabs>
        <w:ind w:left="5738" w:hanging="360"/>
      </w:pPr>
      <w:rPr>
        <w:rFonts w:ascii="Courier New" w:hAnsi="Courier New" w:hint="default"/>
      </w:rPr>
    </w:lvl>
    <w:lvl w:ilvl="8" w:tplc="04150005" w:tentative="1">
      <w:start w:val="1"/>
      <w:numFmt w:val="bullet"/>
      <w:lvlText w:val=""/>
      <w:lvlJc w:val="left"/>
      <w:pPr>
        <w:tabs>
          <w:tab w:val="num" w:pos="6458"/>
        </w:tabs>
        <w:ind w:left="6458" w:hanging="360"/>
      </w:pPr>
      <w:rPr>
        <w:rFonts w:ascii="Wingdings" w:hAnsi="Wingdings" w:hint="default"/>
      </w:rPr>
    </w:lvl>
  </w:abstractNum>
  <w:abstractNum w:abstractNumId="78">
    <w:nsid w:val="0596052D"/>
    <w:multiLevelType w:val="hybridMultilevel"/>
    <w:tmpl w:val="A3C40C10"/>
    <w:lvl w:ilvl="0" w:tplc="A7141FE4">
      <w:start w:val="3"/>
      <w:numFmt w:val="bullet"/>
      <w:lvlText w:val="-"/>
      <w:lvlJc w:val="left"/>
      <w:pPr>
        <w:tabs>
          <w:tab w:val="num" w:pos="360"/>
        </w:tabs>
        <w:ind w:left="360" w:hanging="360"/>
      </w:pPr>
      <w:rPr>
        <w:rFonts w:ascii="Times New Roman" w:hAnsi="Times New Roman"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79">
    <w:nsid w:val="06E52A72"/>
    <w:multiLevelType w:val="hybridMultilevel"/>
    <w:tmpl w:val="0B62FD30"/>
    <w:lvl w:ilvl="0" w:tplc="B4188720">
      <w:start w:val="1"/>
      <w:numFmt w:val="bullet"/>
      <w:lvlText w:val=""/>
      <w:lvlJc w:val="left"/>
      <w:pPr>
        <w:tabs>
          <w:tab w:val="num" w:pos="170"/>
        </w:tabs>
        <w:ind w:left="36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80">
    <w:nsid w:val="078C37AA"/>
    <w:multiLevelType w:val="hybridMultilevel"/>
    <w:tmpl w:val="4CA6139A"/>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81">
    <w:nsid w:val="096E6AC1"/>
    <w:multiLevelType w:val="hybridMultilevel"/>
    <w:tmpl w:val="6C66DC2A"/>
    <w:lvl w:ilvl="0" w:tplc="FFFFFFFF">
      <w:start w:val="1"/>
      <w:numFmt w:val="bullet"/>
      <w:lvlText w:val=""/>
      <w:lvlJc w:val="left"/>
      <w:pPr>
        <w:ind w:left="720" w:hanging="360"/>
      </w:pPr>
      <w:rPr>
        <w:rFonts w:ascii="Symbol" w:hAnsi="Symbol" w:hint="default"/>
        <w:sz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2">
    <w:nsid w:val="0A005469"/>
    <w:multiLevelType w:val="hybridMultilevel"/>
    <w:tmpl w:val="233AC1A6"/>
    <w:lvl w:ilvl="0" w:tplc="0000005B">
      <w:start w:val="1"/>
      <w:numFmt w:val="bullet"/>
      <w:lvlText w:val="–"/>
      <w:lvlJc w:val="left"/>
      <w:pPr>
        <w:tabs>
          <w:tab w:val="num" w:pos="340"/>
        </w:tabs>
      </w:pPr>
      <w:rPr>
        <w:rFonts w:ascii="Times New Roman" w:hAnsi="Times New Roman" w:cs="Times New Roman"/>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83">
    <w:nsid w:val="0C705460"/>
    <w:multiLevelType w:val="hybridMultilevel"/>
    <w:tmpl w:val="111CB418"/>
    <w:lvl w:ilvl="0" w:tplc="6A22058A">
      <w:start w:val="1"/>
      <w:numFmt w:val="decimal"/>
      <w:lvlText w:val="%1."/>
      <w:lvlJc w:val="left"/>
      <w:pPr>
        <w:tabs>
          <w:tab w:val="num" w:pos="720"/>
        </w:tabs>
        <w:ind w:left="720" w:hanging="360"/>
      </w:pPr>
      <w:rPr>
        <w:rFonts w:hint="default"/>
        <w:sz w:val="20"/>
        <w:szCs w:val="20"/>
      </w:rPr>
    </w:lvl>
    <w:lvl w:ilvl="1" w:tplc="50E8569E">
      <w:numFmt w:val="none"/>
      <w:lvlText w:val=""/>
      <w:lvlJc w:val="left"/>
      <w:pPr>
        <w:tabs>
          <w:tab w:val="num" w:pos="360"/>
        </w:tabs>
      </w:pPr>
    </w:lvl>
    <w:lvl w:ilvl="2" w:tplc="858026D4">
      <w:numFmt w:val="none"/>
      <w:lvlText w:val=""/>
      <w:lvlJc w:val="left"/>
      <w:pPr>
        <w:tabs>
          <w:tab w:val="num" w:pos="360"/>
        </w:tabs>
      </w:pPr>
    </w:lvl>
    <w:lvl w:ilvl="3" w:tplc="0876F076">
      <w:start w:val="1"/>
      <w:numFmt w:val="decimal"/>
      <w:lvlText w:val="%4."/>
      <w:lvlJc w:val="left"/>
      <w:pPr>
        <w:tabs>
          <w:tab w:val="num" w:pos="720"/>
        </w:tabs>
        <w:ind w:left="720" w:hanging="360"/>
      </w:pPr>
    </w:lvl>
    <w:lvl w:ilvl="4" w:tplc="96F260E6">
      <w:numFmt w:val="none"/>
      <w:lvlText w:val=""/>
      <w:lvlJc w:val="left"/>
      <w:pPr>
        <w:tabs>
          <w:tab w:val="num" w:pos="360"/>
        </w:tabs>
      </w:pPr>
    </w:lvl>
    <w:lvl w:ilvl="5" w:tplc="D05E328E">
      <w:numFmt w:val="none"/>
      <w:lvlText w:val=""/>
      <w:lvlJc w:val="left"/>
      <w:pPr>
        <w:tabs>
          <w:tab w:val="num" w:pos="360"/>
        </w:tabs>
      </w:pPr>
    </w:lvl>
    <w:lvl w:ilvl="6" w:tplc="CFC2BFF0">
      <w:numFmt w:val="none"/>
      <w:lvlText w:val=""/>
      <w:lvlJc w:val="left"/>
      <w:pPr>
        <w:tabs>
          <w:tab w:val="num" w:pos="360"/>
        </w:tabs>
      </w:pPr>
    </w:lvl>
    <w:lvl w:ilvl="7" w:tplc="F58CC1DE">
      <w:numFmt w:val="none"/>
      <w:lvlText w:val=""/>
      <w:lvlJc w:val="left"/>
      <w:pPr>
        <w:tabs>
          <w:tab w:val="num" w:pos="360"/>
        </w:tabs>
      </w:pPr>
    </w:lvl>
    <w:lvl w:ilvl="8" w:tplc="0142830A">
      <w:numFmt w:val="none"/>
      <w:lvlText w:val=""/>
      <w:lvlJc w:val="left"/>
      <w:pPr>
        <w:tabs>
          <w:tab w:val="num" w:pos="360"/>
        </w:tabs>
      </w:pPr>
    </w:lvl>
  </w:abstractNum>
  <w:abstractNum w:abstractNumId="84">
    <w:nsid w:val="0E1148F3"/>
    <w:multiLevelType w:val="hybridMultilevel"/>
    <w:tmpl w:val="95BCC2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5">
    <w:nsid w:val="12921248"/>
    <w:multiLevelType w:val="hybridMultilevel"/>
    <w:tmpl w:val="097641FC"/>
    <w:lvl w:ilvl="0" w:tplc="462A2F42">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86">
    <w:nsid w:val="12EA509B"/>
    <w:multiLevelType w:val="hybridMultilevel"/>
    <w:tmpl w:val="0F5C9564"/>
    <w:lvl w:ilvl="0" w:tplc="B4188720">
      <w:start w:val="1"/>
      <w:numFmt w:val="bullet"/>
      <w:lvlText w:val=""/>
      <w:lvlJc w:val="left"/>
      <w:pPr>
        <w:tabs>
          <w:tab w:val="num" w:pos="53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87">
    <w:nsid w:val="15A46BD6"/>
    <w:multiLevelType w:val="singleLevel"/>
    <w:tmpl w:val="3D684386"/>
    <w:lvl w:ilvl="0">
      <w:start w:val="6"/>
      <w:numFmt w:val="bullet"/>
      <w:lvlText w:val="-"/>
      <w:lvlJc w:val="left"/>
      <w:pPr>
        <w:tabs>
          <w:tab w:val="num" w:pos="360"/>
        </w:tabs>
        <w:ind w:left="0" w:firstLine="0"/>
      </w:pPr>
      <w:rPr>
        <w:rFonts w:ascii="Times New Roman" w:hAnsi="Times New Roman" w:hint="default"/>
      </w:rPr>
    </w:lvl>
  </w:abstractNum>
  <w:abstractNum w:abstractNumId="88">
    <w:nsid w:val="18F11D03"/>
    <w:multiLevelType w:val="hybridMultilevel"/>
    <w:tmpl w:val="3AD42ADE"/>
    <w:lvl w:ilvl="0" w:tplc="92BEE5C6">
      <w:start w:val="1"/>
      <w:numFmt w:val="lowerLetter"/>
      <w:lvlText w:val="%1)"/>
      <w:lvlJc w:val="left"/>
      <w:pPr>
        <w:tabs>
          <w:tab w:val="num" w:pos="720"/>
        </w:tabs>
        <w:ind w:left="720" w:hanging="360"/>
      </w:pPr>
    </w:lvl>
    <w:lvl w:ilvl="1" w:tplc="7D0A56CA">
      <w:start w:val="1"/>
      <w:numFmt w:val="bullet"/>
      <w:lvlText w:val="–"/>
      <w:lvlJc w:val="left"/>
      <w:pPr>
        <w:tabs>
          <w:tab w:val="num" w:pos="1477"/>
        </w:tabs>
        <w:ind w:left="1477" w:hanging="397"/>
      </w:pPr>
      <w:rPr>
        <w:rFonts w:ascii="Times New Roman" w:hAnsi="Times New Roman" w:cs="Times New Roman" w:hint="default"/>
      </w:r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89">
    <w:nsid w:val="194C38F3"/>
    <w:multiLevelType w:val="hybridMultilevel"/>
    <w:tmpl w:val="F5C047D0"/>
    <w:lvl w:ilvl="0" w:tplc="00000002">
      <w:start w:val="3"/>
      <w:numFmt w:val="bullet"/>
      <w:lvlText w:val="-"/>
      <w:lvlJc w:val="left"/>
      <w:pPr>
        <w:ind w:left="720" w:hanging="360"/>
      </w:pPr>
      <w:rPr>
        <w:rFonts w:ascii="Times New Roman" w:hAnsi="Times New Roman"/>
        <w:b/>
        <w:bCs/>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0">
    <w:nsid w:val="1A097472"/>
    <w:multiLevelType w:val="hybridMultilevel"/>
    <w:tmpl w:val="2DBAC8EA"/>
    <w:lvl w:ilvl="0" w:tplc="B4188720">
      <w:start w:val="1"/>
      <w:numFmt w:val="bullet"/>
      <w:lvlText w:val=""/>
      <w:lvlJc w:val="left"/>
      <w:pPr>
        <w:tabs>
          <w:tab w:val="num" w:pos="53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91">
    <w:nsid w:val="1CAC2B71"/>
    <w:multiLevelType w:val="hybridMultilevel"/>
    <w:tmpl w:val="A352F5A2"/>
    <w:name w:val="WW8Num8"/>
    <w:lvl w:ilvl="0" w:tplc="F976BA00">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92">
    <w:nsid w:val="1D8770B2"/>
    <w:multiLevelType w:val="hybridMultilevel"/>
    <w:tmpl w:val="5D34119C"/>
    <w:lvl w:ilvl="0" w:tplc="A7141FE4">
      <w:start w:val="3"/>
      <w:numFmt w:val="bullet"/>
      <w:lvlText w:val="-"/>
      <w:lvlJc w:val="left"/>
      <w:pPr>
        <w:tabs>
          <w:tab w:val="num" w:pos="360"/>
        </w:tabs>
        <w:ind w:left="360" w:hanging="360"/>
      </w:pPr>
      <w:rPr>
        <w:rFonts w:ascii="Times New Roman" w:hAnsi="Times New Roman"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93">
    <w:nsid w:val="1E74047A"/>
    <w:multiLevelType w:val="multilevel"/>
    <w:tmpl w:val="5A6445E2"/>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nsid w:val="1FC44949"/>
    <w:multiLevelType w:val="hybridMultilevel"/>
    <w:tmpl w:val="573E81AA"/>
    <w:lvl w:ilvl="0" w:tplc="A7141FE4">
      <w:start w:val="3"/>
      <w:numFmt w:val="bullet"/>
      <w:lvlText w:val="-"/>
      <w:lvlJc w:val="left"/>
      <w:pPr>
        <w:tabs>
          <w:tab w:val="num" w:pos="360"/>
        </w:tabs>
        <w:ind w:left="360" w:hanging="360"/>
      </w:pPr>
      <w:rPr>
        <w:rFonts w:ascii="Times New Roman" w:hAnsi="Times New Roman" w:cs="Times New Roman"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95">
    <w:nsid w:val="23D255B9"/>
    <w:multiLevelType w:val="multilevel"/>
    <w:tmpl w:val="87A07F38"/>
    <w:lvl w:ilvl="0">
      <w:start w:val="1"/>
      <w:numFmt w:val="decimal"/>
      <w:pStyle w:val="PABNagwek1"/>
      <w:lvlText w:val="%1."/>
      <w:lvlJc w:val="left"/>
      <w:pPr>
        <w:tabs>
          <w:tab w:val="num" w:pos="851"/>
        </w:tabs>
        <w:ind w:left="851" w:hanging="851"/>
      </w:pPr>
      <w:rPr>
        <w:rFonts w:cs="Times New Roman"/>
      </w:rPr>
    </w:lvl>
    <w:lvl w:ilvl="1">
      <w:start w:val="1"/>
      <w:numFmt w:val="decimal"/>
      <w:pStyle w:val="PABNagwek2"/>
      <w:lvlText w:val="%1.%2."/>
      <w:lvlJc w:val="left"/>
      <w:pPr>
        <w:tabs>
          <w:tab w:val="num" w:pos="851"/>
        </w:tabs>
        <w:ind w:left="851" w:hanging="851"/>
      </w:pPr>
      <w:rPr>
        <w:rFonts w:cs="Times New Roman"/>
      </w:rPr>
    </w:lvl>
    <w:lvl w:ilvl="2">
      <w:start w:val="1"/>
      <w:numFmt w:val="decimal"/>
      <w:pStyle w:val="PABNagwek3"/>
      <w:lvlText w:val="%1.%2.%3."/>
      <w:lvlJc w:val="left"/>
      <w:pPr>
        <w:tabs>
          <w:tab w:val="num" w:pos="851"/>
        </w:tabs>
        <w:ind w:left="851" w:hanging="851"/>
      </w:pPr>
      <w:rPr>
        <w:rFonts w:cs="Times New Roman"/>
      </w:rPr>
    </w:lvl>
    <w:lvl w:ilvl="3">
      <w:start w:val="1"/>
      <w:numFmt w:val="decimal"/>
      <w:lvlText w:val="%1.%2.%3.%4."/>
      <w:lvlJc w:val="left"/>
      <w:pPr>
        <w:tabs>
          <w:tab w:val="num" w:pos="851"/>
        </w:tabs>
        <w:ind w:left="851" w:hanging="851"/>
      </w:pPr>
      <w:rPr>
        <w:rFonts w:cs="Times New Roman"/>
      </w:rPr>
    </w:lvl>
    <w:lvl w:ilvl="4">
      <w:start w:val="1"/>
      <w:numFmt w:val="decimal"/>
      <w:lvlText w:val="%1.%2.%3.%4.%5."/>
      <w:lvlJc w:val="left"/>
      <w:pPr>
        <w:tabs>
          <w:tab w:val="num" w:pos="288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960"/>
        </w:tabs>
        <w:ind w:left="3240" w:hanging="1080"/>
      </w:pPr>
      <w:rPr>
        <w:rFonts w:cs="Times New Roman"/>
      </w:rPr>
    </w:lvl>
    <w:lvl w:ilvl="7">
      <w:start w:val="1"/>
      <w:numFmt w:val="decimal"/>
      <w:lvlText w:val="%1.%2.%3.%4.%5.%6.%7.%8."/>
      <w:lvlJc w:val="left"/>
      <w:pPr>
        <w:tabs>
          <w:tab w:val="num" w:pos="468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abstractNum w:abstractNumId="96">
    <w:nsid w:val="28CA004F"/>
    <w:multiLevelType w:val="hybridMultilevel"/>
    <w:tmpl w:val="E03ABF7C"/>
    <w:lvl w:ilvl="0" w:tplc="8BE2E3DA">
      <w:start w:val="1"/>
      <w:numFmt w:val="decimal"/>
      <w:lvlText w:val="%1)"/>
      <w:lvlJc w:val="left"/>
      <w:pPr>
        <w:tabs>
          <w:tab w:val="num" w:pos="681"/>
        </w:tabs>
        <w:ind w:left="681" w:hanging="227"/>
      </w:pPr>
      <w:rPr>
        <w:rFonts w:ascii="Times New Roman" w:hAnsi="Times New Roman" w:cs="Times New Roman" w:hint="default"/>
        <w:b w:val="0"/>
        <w:i w:val="0"/>
        <w:strike w:val="0"/>
        <w:dstrike w:val="0"/>
        <w:sz w:val="20"/>
        <w:u w:val="none"/>
        <w:effect w:val="none"/>
        <w:vertAlign w:val="superscript"/>
      </w:r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97">
    <w:nsid w:val="29902E3C"/>
    <w:multiLevelType w:val="hybridMultilevel"/>
    <w:tmpl w:val="C4801CC6"/>
    <w:lvl w:ilvl="0" w:tplc="B4188720">
      <w:start w:val="1"/>
      <w:numFmt w:val="bullet"/>
      <w:lvlText w:val=""/>
      <w:lvlJc w:val="left"/>
      <w:pPr>
        <w:tabs>
          <w:tab w:val="num" w:pos="53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98">
    <w:nsid w:val="30AF5A83"/>
    <w:multiLevelType w:val="hybridMultilevel"/>
    <w:tmpl w:val="2F7E3EF4"/>
    <w:lvl w:ilvl="0" w:tplc="B4188720">
      <w:start w:val="1"/>
      <w:numFmt w:val="bullet"/>
      <w:lvlText w:val=""/>
      <w:lvlJc w:val="left"/>
      <w:pPr>
        <w:tabs>
          <w:tab w:val="num" w:pos="53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99">
    <w:nsid w:val="31A832A5"/>
    <w:multiLevelType w:val="hybridMultilevel"/>
    <w:tmpl w:val="63A056B2"/>
    <w:lvl w:ilvl="0" w:tplc="8508F9D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0">
    <w:nsid w:val="34C77D75"/>
    <w:multiLevelType w:val="hybridMultilevel"/>
    <w:tmpl w:val="E3AE0E30"/>
    <w:lvl w:ilvl="0" w:tplc="BBECC10E">
      <w:start w:val="1"/>
      <w:numFmt w:val="lowerLetter"/>
      <w:lvlText w:val="%1)"/>
      <w:lvlJc w:val="left"/>
      <w:pPr>
        <w:tabs>
          <w:tab w:val="num" w:pos="717"/>
        </w:tabs>
        <w:ind w:left="717" w:hanging="360"/>
      </w:pPr>
      <w:rPr>
        <w:rFonts w:hint="default"/>
      </w:rPr>
    </w:lvl>
    <w:lvl w:ilvl="1" w:tplc="38E077C8">
      <w:start w:val="1"/>
      <w:numFmt w:val="decimal"/>
      <w:lvlText w:val="%2)"/>
      <w:lvlJc w:val="left"/>
      <w:pPr>
        <w:tabs>
          <w:tab w:val="num" w:pos="1437"/>
        </w:tabs>
        <w:ind w:left="1437" w:hanging="360"/>
      </w:pPr>
      <w:rPr>
        <w:rFonts w:hint="default"/>
      </w:rPr>
    </w:lvl>
    <w:lvl w:ilvl="2" w:tplc="A9F6BCEE">
      <w:start w:val="1"/>
      <w:numFmt w:val="lowerLetter"/>
      <w:lvlText w:val="(%3)"/>
      <w:lvlJc w:val="left"/>
      <w:pPr>
        <w:tabs>
          <w:tab w:val="num" w:pos="2337"/>
        </w:tabs>
        <w:ind w:left="2337" w:hanging="360"/>
      </w:pPr>
      <w:rPr>
        <w:rFonts w:hint="default"/>
      </w:rPr>
    </w:lvl>
    <w:lvl w:ilvl="3" w:tplc="04150001">
      <w:start w:val="1"/>
      <w:numFmt w:val="bullet"/>
      <w:lvlText w:val=""/>
      <w:lvlJc w:val="left"/>
      <w:pPr>
        <w:tabs>
          <w:tab w:val="num" w:pos="2877"/>
        </w:tabs>
        <w:ind w:left="2877" w:hanging="360"/>
      </w:pPr>
      <w:rPr>
        <w:rFonts w:ascii="Symbol" w:hAnsi="Symbol" w:hint="default"/>
      </w:rPr>
    </w:lvl>
    <w:lvl w:ilvl="4" w:tplc="04150019" w:tentative="1">
      <w:start w:val="1"/>
      <w:numFmt w:val="lowerLetter"/>
      <w:lvlText w:val="%5."/>
      <w:lvlJc w:val="left"/>
      <w:pPr>
        <w:tabs>
          <w:tab w:val="num" w:pos="3597"/>
        </w:tabs>
        <w:ind w:left="3597" w:hanging="360"/>
      </w:pPr>
    </w:lvl>
    <w:lvl w:ilvl="5" w:tplc="0415001B" w:tentative="1">
      <w:start w:val="1"/>
      <w:numFmt w:val="lowerRoman"/>
      <w:lvlText w:val="%6."/>
      <w:lvlJc w:val="right"/>
      <w:pPr>
        <w:tabs>
          <w:tab w:val="num" w:pos="4317"/>
        </w:tabs>
        <w:ind w:left="4317" w:hanging="180"/>
      </w:pPr>
    </w:lvl>
    <w:lvl w:ilvl="6" w:tplc="0415000F" w:tentative="1">
      <w:start w:val="1"/>
      <w:numFmt w:val="decimal"/>
      <w:lvlText w:val="%7."/>
      <w:lvlJc w:val="left"/>
      <w:pPr>
        <w:tabs>
          <w:tab w:val="num" w:pos="5037"/>
        </w:tabs>
        <w:ind w:left="5037" w:hanging="360"/>
      </w:pPr>
    </w:lvl>
    <w:lvl w:ilvl="7" w:tplc="04150019" w:tentative="1">
      <w:start w:val="1"/>
      <w:numFmt w:val="lowerLetter"/>
      <w:lvlText w:val="%8."/>
      <w:lvlJc w:val="left"/>
      <w:pPr>
        <w:tabs>
          <w:tab w:val="num" w:pos="5757"/>
        </w:tabs>
        <w:ind w:left="5757" w:hanging="360"/>
      </w:pPr>
    </w:lvl>
    <w:lvl w:ilvl="8" w:tplc="0415001B" w:tentative="1">
      <w:start w:val="1"/>
      <w:numFmt w:val="lowerRoman"/>
      <w:lvlText w:val="%9."/>
      <w:lvlJc w:val="right"/>
      <w:pPr>
        <w:tabs>
          <w:tab w:val="num" w:pos="6477"/>
        </w:tabs>
        <w:ind w:left="6477" w:hanging="180"/>
      </w:pPr>
    </w:lvl>
  </w:abstractNum>
  <w:abstractNum w:abstractNumId="101">
    <w:nsid w:val="363C69C2"/>
    <w:multiLevelType w:val="hybridMultilevel"/>
    <w:tmpl w:val="FAD68FB0"/>
    <w:lvl w:ilvl="0" w:tplc="8654B30A">
      <w:start w:val="1"/>
      <w:numFmt w:val="bullet"/>
      <w:lvlText w:val=""/>
      <w:lvlJc w:val="left"/>
      <w:pPr>
        <w:tabs>
          <w:tab w:val="num" w:pos="338"/>
        </w:tabs>
        <w:ind w:left="309" w:hanging="255"/>
      </w:pPr>
      <w:rPr>
        <w:rFonts w:ascii="Symbol" w:hAnsi="Symbol" w:hint="default"/>
      </w:rPr>
    </w:lvl>
    <w:lvl w:ilvl="1" w:tplc="04150003" w:tentative="1">
      <w:start w:val="1"/>
      <w:numFmt w:val="bullet"/>
      <w:lvlText w:val="o"/>
      <w:lvlJc w:val="left"/>
      <w:pPr>
        <w:tabs>
          <w:tab w:val="num" w:pos="1494"/>
        </w:tabs>
        <w:ind w:left="1494" w:hanging="360"/>
      </w:pPr>
      <w:rPr>
        <w:rFonts w:ascii="Courier New" w:hAnsi="Courier New" w:cs="Courier New" w:hint="default"/>
      </w:rPr>
    </w:lvl>
    <w:lvl w:ilvl="2" w:tplc="04150005" w:tentative="1">
      <w:start w:val="1"/>
      <w:numFmt w:val="bullet"/>
      <w:lvlText w:val=""/>
      <w:lvlJc w:val="left"/>
      <w:pPr>
        <w:tabs>
          <w:tab w:val="num" w:pos="2214"/>
        </w:tabs>
        <w:ind w:left="2214" w:hanging="360"/>
      </w:pPr>
      <w:rPr>
        <w:rFonts w:ascii="Wingdings" w:hAnsi="Wingdings" w:hint="default"/>
      </w:rPr>
    </w:lvl>
    <w:lvl w:ilvl="3" w:tplc="04150001" w:tentative="1">
      <w:start w:val="1"/>
      <w:numFmt w:val="bullet"/>
      <w:lvlText w:val=""/>
      <w:lvlJc w:val="left"/>
      <w:pPr>
        <w:tabs>
          <w:tab w:val="num" w:pos="2934"/>
        </w:tabs>
        <w:ind w:left="2934" w:hanging="360"/>
      </w:pPr>
      <w:rPr>
        <w:rFonts w:ascii="Symbol" w:hAnsi="Symbol" w:hint="default"/>
      </w:rPr>
    </w:lvl>
    <w:lvl w:ilvl="4" w:tplc="04150003" w:tentative="1">
      <w:start w:val="1"/>
      <w:numFmt w:val="bullet"/>
      <w:lvlText w:val="o"/>
      <w:lvlJc w:val="left"/>
      <w:pPr>
        <w:tabs>
          <w:tab w:val="num" w:pos="3654"/>
        </w:tabs>
        <w:ind w:left="3654" w:hanging="360"/>
      </w:pPr>
      <w:rPr>
        <w:rFonts w:ascii="Courier New" w:hAnsi="Courier New" w:cs="Courier New" w:hint="default"/>
      </w:rPr>
    </w:lvl>
    <w:lvl w:ilvl="5" w:tplc="04150005" w:tentative="1">
      <w:start w:val="1"/>
      <w:numFmt w:val="bullet"/>
      <w:lvlText w:val=""/>
      <w:lvlJc w:val="left"/>
      <w:pPr>
        <w:tabs>
          <w:tab w:val="num" w:pos="4374"/>
        </w:tabs>
        <w:ind w:left="4374" w:hanging="360"/>
      </w:pPr>
      <w:rPr>
        <w:rFonts w:ascii="Wingdings" w:hAnsi="Wingdings" w:hint="default"/>
      </w:rPr>
    </w:lvl>
    <w:lvl w:ilvl="6" w:tplc="04150001" w:tentative="1">
      <w:start w:val="1"/>
      <w:numFmt w:val="bullet"/>
      <w:lvlText w:val=""/>
      <w:lvlJc w:val="left"/>
      <w:pPr>
        <w:tabs>
          <w:tab w:val="num" w:pos="5094"/>
        </w:tabs>
        <w:ind w:left="5094" w:hanging="360"/>
      </w:pPr>
      <w:rPr>
        <w:rFonts w:ascii="Symbol" w:hAnsi="Symbol" w:hint="default"/>
      </w:rPr>
    </w:lvl>
    <w:lvl w:ilvl="7" w:tplc="04150003" w:tentative="1">
      <w:start w:val="1"/>
      <w:numFmt w:val="bullet"/>
      <w:lvlText w:val="o"/>
      <w:lvlJc w:val="left"/>
      <w:pPr>
        <w:tabs>
          <w:tab w:val="num" w:pos="5814"/>
        </w:tabs>
        <w:ind w:left="5814" w:hanging="360"/>
      </w:pPr>
      <w:rPr>
        <w:rFonts w:ascii="Courier New" w:hAnsi="Courier New" w:cs="Courier New" w:hint="default"/>
      </w:rPr>
    </w:lvl>
    <w:lvl w:ilvl="8" w:tplc="04150005" w:tentative="1">
      <w:start w:val="1"/>
      <w:numFmt w:val="bullet"/>
      <w:lvlText w:val=""/>
      <w:lvlJc w:val="left"/>
      <w:pPr>
        <w:tabs>
          <w:tab w:val="num" w:pos="6534"/>
        </w:tabs>
        <w:ind w:left="6534" w:hanging="360"/>
      </w:pPr>
      <w:rPr>
        <w:rFonts w:ascii="Wingdings" w:hAnsi="Wingdings" w:hint="default"/>
      </w:rPr>
    </w:lvl>
  </w:abstractNum>
  <w:abstractNum w:abstractNumId="102">
    <w:nsid w:val="36702F90"/>
    <w:multiLevelType w:val="hybridMultilevel"/>
    <w:tmpl w:val="45A8AE80"/>
    <w:lvl w:ilvl="0" w:tplc="25442A9E">
      <w:start w:val="1"/>
      <w:numFmt w:val="bullet"/>
      <w:pStyle w:val="skrel"/>
      <w:lvlText w:val=""/>
      <w:lvlJc w:val="left"/>
      <w:pPr>
        <w:tabs>
          <w:tab w:val="num" w:pos="113"/>
        </w:tabs>
        <w:ind w:left="360" w:hanging="360"/>
      </w:pPr>
      <w:rPr>
        <w:rFonts w:ascii="Symbol" w:hAnsi="Symbol" w:hint="default"/>
      </w:rPr>
    </w:lvl>
    <w:lvl w:ilvl="1" w:tplc="0415000F">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103">
    <w:nsid w:val="37591049"/>
    <w:multiLevelType w:val="hybridMultilevel"/>
    <w:tmpl w:val="65144652"/>
    <w:lvl w:ilvl="0" w:tplc="C4906F98">
      <w:start w:val="64"/>
      <w:numFmt w:val="decimal"/>
      <w:lvlText w:val="%1."/>
      <w:lvlJc w:val="left"/>
      <w:pPr>
        <w:tabs>
          <w:tab w:val="num" w:pos="397"/>
        </w:tabs>
        <w:ind w:left="397" w:hanging="397"/>
      </w:pPr>
      <w:rPr>
        <w:rFonts w:ascii="Times New Roman" w:hAnsi="Times New Roman" w:hint="default"/>
        <w:b w:val="0"/>
        <w:i w:val="0"/>
        <w:sz w:val="20"/>
        <w:szCs w:val="2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04">
    <w:nsid w:val="382F22DA"/>
    <w:multiLevelType w:val="hybridMultilevel"/>
    <w:tmpl w:val="8C54E026"/>
    <w:lvl w:ilvl="0" w:tplc="F74A9C7E">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05">
    <w:nsid w:val="3B9051ED"/>
    <w:multiLevelType w:val="hybridMultilevel"/>
    <w:tmpl w:val="83D05CDA"/>
    <w:lvl w:ilvl="0" w:tplc="0415000F">
      <w:start w:val="1"/>
      <w:numFmt w:val="decimal"/>
      <w:lvlText w:val="%1."/>
      <w:lvlJc w:val="left"/>
      <w:pPr>
        <w:tabs>
          <w:tab w:val="num" w:pos="720"/>
        </w:tabs>
        <w:ind w:left="720" w:hanging="360"/>
      </w:pPr>
      <w:rPr>
        <w:rFonts w:cs="Times New Roman"/>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06">
    <w:nsid w:val="3C6F401F"/>
    <w:multiLevelType w:val="hybridMultilevel"/>
    <w:tmpl w:val="5ED21AEE"/>
    <w:lvl w:ilvl="0" w:tplc="B4188720">
      <w:start w:val="1"/>
      <w:numFmt w:val="bullet"/>
      <w:lvlText w:val=""/>
      <w:lvlJc w:val="left"/>
      <w:pPr>
        <w:tabs>
          <w:tab w:val="num" w:pos="53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07">
    <w:nsid w:val="3DE07A82"/>
    <w:multiLevelType w:val="hybridMultilevel"/>
    <w:tmpl w:val="BCE0902A"/>
    <w:lvl w:ilvl="0" w:tplc="C624E332">
      <w:start w:val="1"/>
      <w:numFmt w:val="bullet"/>
      <w:lvlText w:val=""/>
      <w:lvlJc w:val="left"/>
      <w:pPr>
        <w:tabs>
          <w:tab w:val="num" w:pos="1275"/>
        </w:tabs>
        <w:ind w:left="1275" w:hanging="425"/>
      </w:pPr>
      <w:rPr>
        <w:rFonts w:ascii="Symbol" w:hAnsi="Symbol" w:hint="default"/>
        <w:sz w:val="16"/>
      </w:rPr>
    </w:lvl>
    <w:lvl w:ilvl="1" w:tplc="04150003" w:tentative="1">
      <w:start w:val="1"/>
      <w:numFmt w:val="bullet"/>
      <w:lvlText w:val="o"/>
      <w:lvlJc w:val="left"/>
      <w:pPr>
        <w:tabs>
          <w:tab w:val="num" w:pos="2376"/>
        </w:tabs>
        <w:ind w:left="2376" w:hanging="360"/>
      </w:pPr>
      <w:rPr>
        <w:rFonts w:ascii="Courier New" w:hAnsi="Courier New" w:hint="default"/>
      </w:rPr>
    </w:lvl>
    <w:lvl w:ilvl="2" w:tplc="04150005" w:tentative="1">
      <w:start w:val="1"/>
      <w:numFmt w:val="bullet"/>
      <w:lvlText w:val=""/>
      <w:lvlJc w:val="left"/>
      <w:pPr>
        <w:tabs>
          <w:tab w:val="num" w:pos="3096"/>
        </w:tabs>
        <w:ind w:left="3096" w:hanging="360"/>
      </w:pPr>
      <w:rPr>
        <w:rFonts w:ascii="Wingdings" w:hAnsi="Wingdings" w:hint="default"/>
      </w:rPr>
    </w:lvl>
    <w:lvl w:ilvl="3" w:tplc="04150001" w:tentative="1">
      <w:start w:val="1"/>
      <w:numFmt w:val="bullet"/>
      <w:lvlText w:val=""/>
      <w:lvlJc w:val="left"/>
      <w:pPr>
        <w:tabs>
          <w:tab w:val="num" w:pos="3816"/>
        </w:tabs>
        <w:ind w:left="3816" w:hanging="360"/>
      </w:pPr>
      <w:rPr>
        <w:rFonts w:ascii="Symbol" w:hAnsi="Symbol" w:hint="default"/>
      </w:rPr>
    </w:lvl>
    <w:lvl w:ilvl="4" w:tplc="04150003" w:tentative="1">
      <w:start w:val="1"/>
      <w:numFmt w:val="bullet"/>
      <w:lvlText w:val="o"/>
      <w:lvlJc w:val="left"/>
      <w:pPr>
        <w:tabs>
          <w:tab w:val="num" w:pos="4536"/>
        </w:tabs>
        <w:ind w:left="4536" w:hanging="360"/>
      </w:pPr>
      <w:rPr>
        <w:rFonts w:ascii="Courier New" w:hAnsi="Courier New" w:hint="default"/>
      </w:rPr>
    </w:lvl>
    <w:lvl w:ilvl="5" w:tplc="04150005" w:tentative="1">
      <w:start w:val="1"/>
      <w:numFmt w:val="bullet"/>
      <w:lvlText w:val=""/>
      <w:lvlJc w:val="left"/>
      <w:pPr>
        <w:tabs>
          <w:tab w:val="num" w:pos="5256"/>
        </w:tabs>
        <w:ind w:left="5256" w:hanging="360"/>
      </w:pPr>
      <w:rPr>
        <w:rFonts w:ascii="Wingdings" w:hAnsi="Wingdings" w:hint="default"/>
      </w:rPr>
    </w:lvl>
    <w:lvl w:ilvl="6" w:tplc="04150001" w:tentative="1">
      <w:start w:val="1"/>
      <w:numFmt w:val="bullet"/>
      <w:lvlText w:val=""/>
      <w:lvlJc w:val="left"/>
      <w:pPr>
        <w:tabs>
          <w:tab w:val="num" w:pos="5976"/>
        </w:tabs>
        <w:ind w:left="5976" w:hanging="360"/>
      </w:pPr>
      <w:rPr>
        <w:rFonts w:ascii="Symbol" w:hAnsi="Symbol" w:hint="default"/>
      </w:rPr>
    </w:lvl>
    <w:lvl w:ilvl="7" w:tplc="04150003" w:tentative="1">
      <w:start w:val="1"/>
      <w:numFmt w:val="bullet"/>
      <w:lvlText w:val="o"/>
      <w:lvlJc w:val="left"/>
      <w:pPr>
        <w:tabs>
          <w:tab w:val="num" w:pos="6696"/>
        </w:tabs>
        <w:ind w:left="6696" w:hanging="360"/>
      </w:pPr>
      <w:rPr>
        <w:rFonts w:ascii="Courier New" w:hAnsi="Courier New" w:hint="default"/>
      </w:rPr>
    </w:lvl>
    <w:lvl w:ilvl="8" w:tplc="04150005" w:tentative="1">
      <w:start w:val="1"/>
      <w:numFmt w:val="bullet"/>
      <w:lvlText w:val=""/>
      <w:lvlJc w:val="left"/>
      <w:pPr>
        <w:tabs>
          <w:tab w:val="num" w:pos="7416"/>
        </w:tabs>
        <w:ind w:left="7416" w:hanging="360"/>
      </w:pPr>
      <w:rPr>
        <w:rFonts w:ascii="Wingdings" w:hAnsi="Wingdings" w:hint="default"/>
      </w:rPr>
    </w:lvl>
  </w:abstractNum>
  <w:abstractNum w:abstractNumId="108">
    <w:nsid w:val="3F5B386E"/>
    <w:multiLevelType w:val="hybridMultilevel"/>
    <w:tmpl w:val="0B38A544"/>
    <w:lvl w:ilvl="0" w:tplc="B4188720">
      <w:start w:val="1"/>
      <w:numFmt w:val="bullet"/>
      <w:lvlText w:val=""/>
      <w:lvlJc w:val="left"/>
      <w:pPr>
        <w:tabs>
          <w:tab w:val="num" w:pos="53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09">
    <w:nsid w:val="3F780F27"/>
    <w:multiLevelType w:val="hybridMultilevel"/>
    <w:tmpl w:val="C34826EA"/>
    <w:lvl w:ilvl="0" w:tplc="6D6679CA">
      <w:start w:val="1"/>
      <w:numFmt w:val="lowerLetter"/>
      <w:lvlText w:val="%1)"/>
      <w:lvlJc w:val="left"/>
      <w:pPr>
        <w:tabs>
          <w:tab w:val="num" w:pos="720"/>
        </w:tabs>
        <w:ind w:left="720" w:hanging="360"/>
      </w:pPr>
      <w:rPr>
        <w:rFonts w:hint="default"/>
      </w:rPr>
    </w:lvl>
    <w:lvl w:ilvl="1" w:tplc="6D141250">
      <w:start w:val="1"/>
      <w:numFmt w:val="lowerLetter"/>
      <w:lvlText w:val="(%2)"/>
      <w:lvlJc w:val="left"/>
      <w:pPr>
        <w:tabs>
          <w:tab w:val="num" w:pos="1440"/>
        </w:tabs>
        <w:ind w:left="1440" w:hanging="360"/>
      </w:pPr>
      <w:rPr>
        <w:rFonts w:hint="default"/>
      </w:rPr>
    </w:lvl>
    <w:lvl w:ilvl="2" w:tplc="54720AC6">
      <w:start w:val="1"/>
      <w:numFmt w:val="decimal"/>
      <w:lvlText w:val="%3."/>
      <w:lvlJc w:val="left"/>
      <w:pPr>
        <w:tabs>
          <w:tab w:val="num" w:pos="2340"/>
        </w:tabs>
        <w:ind w:left="2340" w:hanging="360"/>
      </w:pPr>
      <w:rPr>
        <w:rFonts w:hint="default"/>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10">
    <w:nsid w:val="408035B5"/>
    <w:multiLevelType w:val="hybridMultilevel"/>
    <w:tmpl w:val="539E455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1">
    <w:nsid w:val="417565F9"/>
    <w:multiLevelType w:val="hybridMultilevel"/>
    <w:tmpl w:val="B6CADAA2"/>
    <w:lvl w:ilvl="0" w:tplc="D35AB624">
      <w:start w:val="1"/>
      <w:numFmt w:val="bullet"/>
      <w:lvlText w:val="–"/>
      <w:lvlJc w:val="left"/>
      <w:pPr>
        <w:ind w:left="720" w:hanging="360"/>
      </w:pPr>
      <w:rPr>
        <w:rFonts w:ascii="Times New Roman" w:hAnsi="Times New Roman" w:cs="Times New Roman" w:hint="default"/>
        <w:sz w:val="16"/>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2">
    <w:nsid w:val="436950E0"/>
    <w:multiLevelType w:val="hybridMultilevel"/>
    <w:tmpl w:val="D5CA206E"/>
    <w:lvl w:ilvl="0" w:tplc="A7141FE4">
      <w:start w:val="3"/>
      <w:numFmt w:val="bullet"/>
      <w:lvlText w:val="-"/>
      <w:lvlJc w:val="left"/>
      <w:pPr>
        <w:tabs>
          <w:tab w:val="num" w:pos="709"/>
        </w:tabs>
        <w:ind w:left="709" w:hanging="360"/>
      </w:pPr>
      <w:rPr>
        <w:rFonts w:ascii="Times New Roman" w:hAnsi="Times New Roman" w:hint="default"/>
      </w:rPr>
    </w:lvl>
    <w:lvl w:ilvl="1" w:tplc="04150003" w:tentative="1">
      <w:start w:val="1"/>
      <w:numFmt w:val="bullet"/>
      <w:lvlText w:val="o"/>
      <w:lvlJc w:val="left"/>
      <w:pPr>
        <w:tabs>
          <w:tab w:val="num" w:pos="1429"/>
        </w:tabs>
        <w:ind w:left="1429" w:hanging="360"/>
      </w:pPr>
      <w:rPr>
        <w:rFonts w:ascii="Courier New" w:hAnsi="Courier New" w:hint="default"/>
      </w:rPr>
    </w:lvl>
    <w:lvl w:ilvl="2" w:tplc="04150005" w:tentative="1">
      <w:start w:val="1"/>
      <w:numFmt w:val="bullet"/>
      <w:lvlText w:val=""/>
      <w:lvlJc w:val="left"/>
      <w:pPr>
        <w:tabs>
          <w:tab w:val="num" w:pos="2149"/>
        </w:tabs>
        <w:ind w:left="2149" w:hanging="360"/>
      </w:pPr>
      <w:rPr>
        <w:rFonts w:ascii="Wingdings" w:hAnsi="Wingdings" w:hint="default"/>
      </w:rPr>
    </w:lvl>
    <w:lvl w:ilvl="3" w:tplc="04150001" w:tentative="1">
      <w:start w:val="1"/>
      <w:numFmt w:val="bullet"/>
      <w:lvlText w:val=""/>
      <w:lvlJc w:val="left"/>
      <w:pPr>
        <w:tabs>
          <w:tab w:val="num" w:pos="2869"/>
        </w:tabs>
        <w:ind w:left="2869" w:hanging="360"/>
      </w:pPr>
      <w:rPr>
        <w:rFonts w:ascii="Symbol" w:hAnsi="Symbol" w:hint="default"/>
      </w:rPr>
    </w:lvl>
    <w:lvl w:ilvl="4" w:tplc="04150003" w:tentative="1">
      <w:start w:val="1"/>
      <w:numFmt w:val="bullet"/>
      <w:lvlText w:val="o"/>
      <w:lvlJc w:val="left"/>
      <w:pPr>
        <w:tabs>
          <w:tab w:val="num" w:pos="3589"/>
        </w:tabs>
        <w:ind w:left="3589" w:hanging="360"/>
      </w:pPr>
      <w:rPr>
        <w:rFonts w:ascii="Courier New" w:hAnsi="Courier New" w:hint="default"/>
      </w:rPr>
    </w:lvl>
    <w:lvl w:ilvl="5" w:tplc="04150005" w:tentative="1">
      <w:start w:val="1"/>
      <w:numFmt w:val="bullet"/>
      <w:lvlText w:val=""/>
      <w:lvlJc w:val="left"/>
      <w:pPr>
        <w:tabs>
          <w:tab w:val="num" w:pos="4309"/>
        </w:tabs>
        <w:ind w:left="4309" w:hanging="360"/>
      </w:pPr>
      <w:rPr>
        <w:rFonts w:ascii="Wingdings" w:hAnsi="Wingdings" w:hint="default"/>
      </w:rPr>
    </w:lvl>
    <w:lvl w:ilvl="6" w:tplc="04150001" w:tentative="1">
      <w:start w:val="1"/>
      <w:numFmt w:val="bullet"/>
      <w:lvlText w:val=""/>
      <w:lvlJc w:val="left"/>
      <w:pPr>
        <w:tabs>
          <w:tab w:val="num" w:pos="5029"/>
        </w:tabs>
        <w:ind w:left="5029" w:hanging="360"/>
      </w:pPr>
      <w:rPr>
        <w:rFonts w:ascii="Symbol" w:hAnsi="Symbol" w:hint="default"/>
      </w:rPr>
    </w:lvl>
    <w:lvl w:ilvl="7" w:tplc="04150003" w:tentative="1">
      <w:start w:val="1"/>
      <w:numFmt w:val="bullet"/>
      <w:lvlText w:val="o"/>
      <w:lvlJc w:val="left"/>
      <w:pPr>
        <w:tabs>
          <w:tab w:val="num" w:pos="5749"/>
        </w:tabs>
        <w:ind w:left="5749" w:hanging="360"/>
      </w:pPr>
      <w:rPr>
        <w:rFonts w:ascii="Courier New" w:hAnsi="Courier New" w:hint="default"/>
      </w:rPr>
    </w:lvl>
    <w:lvl w:ilvl="8" w:tplc="04150005" w:tentative="1">
      <w:start w:val="1"/>
      <w:numFmt w:val="bullet"/>
      <w:lvlText w:val=""/>
      <w:lvlJc w:val="left"/>
      <w:pPr>
        <w:tabs>
          <w:tab w:val="num" w:pos="6469"/>
        </w:tabs>
        <w:ind w:left="6469" w:hanging="360"/>
      </w:pPr>
      <w:rPr>
        <w:rFonts w:ascii="Wingdings" w:hAnsi="Wingdings" w:hint="default"/>
      </w:rPr>
    </w:lvl>
  </w:abstractNum>
  <w:abstractNum w:abstractNumId="113">
    <w:nsid w:val="43C364E0"/>
    <w:multiLevelType w:val="hybridMultilevel"/>
    <w:tmpl w:val="51EA1338"/>
    <w:lvl w:ilvl="0" w:tplc="0DEC9BB4">
      <w:start w:val="1"/>
      <w:numFmt w:val="bullet"/>
      <w:lvlText w:val=""/>
      <w:lvlJc w:val="left"/>
      <w:pPr>
        <w:tabs>
          <w:tab w:val="num" w:pos="113"/>
        </w:tabs>
        <w:ind w:left="36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14">
    <w:nsid w:val="48BD2CB5"/>
    <w:multiLevelType w:val="hybridMultilevel"/>
    <w:tmpl w:val="8B583284"/>
    <w:lvl w:ilvl="0" w:tplc="7D0A56CA">
      <w:start w:val="1"/>
      <w:numFmt w:val="bullet"/>
      <w:lvlText w:val="–"/>
      <w:lvlJc w:val="left"/>
      <w:pPr>
        <w:tabs>
          <w:tab w:val="num" w:pos="397"/>
        </w:tabs>
        <w:ind w:left="397" w:hanging="397"/>
      </w:pPr>
      <w:rPr>
        <w:rFonts w:ascii="Times New Roman" w:hAnsi="Times New Roman" w:cs="Times New Roman"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15">
    <w:nsid w:val="49406F17"/>
    <w:multiLevelType w:val="hybridMultilevel"/>
    <w:tmpl w:val="45622400"/>
    <w:lvl w:ilvl="0" w:tplc="A7141FE4">
      <w:start w:val="3"/>
      <w:numFmt w:val="bullet"/>
      <w:lvlText w:val="-"/>
      <w:lvlJc w:val="left"/>
      <w:pPr>
        <w:tabs>
          <w:tab w:val="num" w:pos="360"/>
        </w:tabs>
        <w:ind w:left="360" w:hanging="360"/>
      </w:pPr>
      <w:rPr>
        <w:rFonts w:ascii="Times New Roman" w:hAnsi="Times New Roman"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16">
    <w:nsid w:val="4C150C04"/>
    <w:multiLevelType w:val="hybridMultilevel"/>
    <w:tmpl w:val="62E2E93E"/>
    <w:lvl w:ilvl="0" w:tplc="B4188720">
      <w:start w:val="1"/>
      <w:numFmt w:val="bullet"/>
      <w:lvlText w:val=""/>
      <w:lvlJc w:val="left"/>
      <w:pPr>
        <w:tabs>
          <w:tab w:val="num" w:pos="53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17">
    <w:nsid w:val="4CBE5F9E"/>
    <w:multiLevelType w:val="hybridMultilevel"/>
    <w:tmpl w:val="DA3CBCE4"/>
    <w:lvl w:ilvl="0" w:tplc="7D0A56CA">
      <w:start w:val="1"/>
      <w:numFmt w:val="bullet"/>
      <w:lvlText w:val="–"/>
      <w:lvlJc w:val="left"/>
      <w:pPr>
        <w:tabs>
          <w:tab w:val="num" w:pos="397"/>
        </w:tabs>
        <w:ind w:left="397" w:hanging="397"/>
      </w:pPr>
      <w:rPr>
        <w:rFonts w:ascii="Times New Roman" w:hAnsi="Times New Roman" w:cs="Times New Roman"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18">
    <w:nsid w:val="4EA969D3"/>
    <w:multiLevelType w:val="hybridMultilevel"/>
    <w:tmpl w:val="1B3AD8EE"/>
    <w:lvl w:ilvl="0" w:tplc="A7141FE4">
      <w:start w:val="3"/>
      <w:numFmt w:val="bullet"/>
      <w:lvlText w:val="-"/>
      <w:lvlJc w:val="left"/>
      <w:pPr>
        <w:tabs>
          <w:tab w:val="num" w:pos="720"/>
        </w:tabs>
        <w:ind w:left="720" w:hanging="360"/>
      </w:pPr>
      <w:rPr>
        <w:rFonts w:ascii="Times New Roman" w:hAnsi="Times New Roman"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19">
    <w:nsid w:val="4EEC0AB1"/>
    <w:multiLevelType w:val="hybridMultilevel"/>
    <w:tmpl w:val="CDD4F296"/>
    <w:lvl w:ilvl="0" w:tplc="B4188720">
      <w:start w:val="1"/>
      <w:numFmt w:val="bullet"/>
      <w:lvlText w:val=""/>
      <w:lvlJc w:val="left"/>
      <w:pPr>
        <w:tabs>
          <w:tab w:val="num" w:pos="53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20">
    <w:nsid w:val="4EF70D46"/>
    <w:multiLevelType w:val="hybridMultilevel"/>
    <w:tmpl w:val="837A504A"/>
    <w:lvl w:ilvl="0" w:tplc="8654B30A">
      <w:start w:val="1"/>
      <w:numFmt w:val="bullet"/>
      <w:lvlText w:val=""/>
      <w:lvlJc w:val="left"/>
      <w:pPr>
        <w:tabs>
          <w:tab w:val="num" w:pos="284"/>
        </w:tabs>
        <w:ind w:left="255" w:hanging="255"/>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21">
    <w:nsid w:val="4FDE3AD9"/>
    <w:multiLevelType w:val="hybridMultilevel"/>
    <w:tmpl w:val="1B7CC7B6"/>
    <w:lvl w:ilvl="0" w:tplc="D35AB624">
      <w:start w:val="1"/>
      <w:numFmt w:val="bullet"/>
      <w:lvlText w:val="–"/>
      <w:lvlJc w:val="left"/>
      <w:pPr>
        <w:ind w:left="720" w:hanging="360"/>
      </w:pPr>
      <w:rPr>
        <w:rFonts w:ascii="Times New Roman" w:hAnsi="Times New Roman" w:cs="Times New Roman" w:hint="default"/>
        <w:sz w:val="16"/>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2">
    <w:nsid w:val="509103F4"/>
    <w:multiLevelType w:val="hybridMultilevel"/>
    <w:tmpl w:val="B7862462"/>
    <w:lvl w:ilvl="0" w:tplc="A7141FE4">
      <w:start w:val="3"/>
      <w:numFmt w:val="bullet"/>
      <w:lvlText w:val="-"/>
      <w:lvlJc w:val="left"/>
      <w:pPr>
        <w:tabs>
          <w:tab w:val="num" w:pos="360"/>
        </w:tabs>
        <w:ind w:left="360" w:hanging="360"/>
      </w:pPr>
      <w:rPr>
        <w:rFonts w:ascii="Times New Roman" w:hAnsi="Times New Roman"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23">
    <w:nsid w:val="52A01DFA"/>
    <w:multiLevelType w:val="hybridMultilevel"/>
    <w:tmpl w:val="8912F392"/>
    <w:lvl w:ilvl="0" w:tplc="A7141FE4">
      <w:start w:val="3"/>
      <w:numFmt w:val="bullet"/>
      <w:lvlText w:val="-"/>
      <w:lvlJc w:val="left"/>
      <w:pPr>
        <w:tabs>
          <w:tab w:val="num" w:pos="720"/>
        </w:tabs>
        <w:ind w:left="720" w:hanging="360"/>
      </w:pPr>
      <w:rPr>
        <w:rFonts w:ascii="Times New Roman" w:hAnsi="Times New Roman"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24">
    <w:nsid w:val="52DF7765"/>
    <w:multiLevelType w:val="hybridMultilevel"/>
    <w:tmpl w:val="72AA7C70"/>
    <w:lvl w:ilvl="0" w:tplc="8508F9D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5">
    <w:nsid w:val="5376171E"/>
    <w:multiLevelType w:val="hybridMultilevel"/>
    <w:tmpl w:val="E43EB302"/>
    <w:lvl w:ilvl="0" w:tplc="00000003">
      <w:start w:val="1"/>
      <w:numFmt w:val="bullet"/>
      <w:lvlText w:val=""/>
      <w:lvlJc w:val="left"/>
      <w:pPr>
        <w:ind w:left="720" w:hanging="360"/>
      </w:pPr>
      <w:rPr>
        <w:rFonts w:ascii="Symbol" w:hAnsi="Symbol" w:cs="Times New Roman"/>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6">
    <w:nsid w:val="543C598E"/>
    <w:multiLevelType w:val="hybridMultilevel"/>
    <w:tmpl w:val="76AC4446"/>
    <w:lvl w:ilvl="0" w:tplc="B4188720">
      <w:start w:val="1"/>
      <w:numFmt w:val="bullet"/>
      <w:lvlText w:val=""/>
      <w:lvlJc w:val="left"/>
      <w:pPr>
        <w:tabs>
          <w:tab w:val="num" w:pos="53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27">
    <w:nsid w:val="572B4421"/>
    <w:multiLevelType w:val="hybridMultilevel"/>
    <w:tmpl w:val="F64ECA7A"/>
    <w:lvl w:ilvl="0" w:tplc="7D0A56CA">
      <w:start w:val="1"/>
      <w:numFmt w:val="bullet"/>
      <w:lvlText w:val="–"/>
      <w:lvlJc w:val="left"/>
      <w:pPr>
        <w:tabs>
          <w:tab w:val="num" w:pos="397"/>
        </w:tabs>
        <w:ind w:left="397" w:hanging="397"/>
      </w:pPr>
      <w:rPr>
        <w:rFonts w:ascii="Times New Roman" w:hAnsi="Times New Roman" w:cs="Times New Roman"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28">
    <w:nsid w:val="59CD44A0"/>
    <w:multiLevelType w:val="hybridMultilevel"/>
    <w:tmpl w:val="643474BE"/>
    <w:lvl w:ilvl="0" w:tplc="E42C2D52">
      <w:start w:val="1"/>
      <w:numFmt w:val="lowerLetter"/>
      <w:lvlText w:val="%1)"/>
      <w:lvlJc w:val="left"/>
      <w:pPr>
        <w:tabs>
          <w:tab w:val="num" w:pos="720"/>
        </w:tabs>
        <w:ind w:left="720" w:hanging="360"/>
      </w:pPr>
      <w:rPr>
        <w:rFonts w:hint="default"/>
      </w:rPr>
    </w:lvl>
    <w:lvl w:ilvl="1" w:tplc="134CC1DC">
      <w:start w:val="1"/>
      <w:numFmt w:val="decimal"/>
      <w:lvlText w:val="%2."/>
      <w:lvlJc w:val="left"/>
      <w:pPr>
        <w:tabs>
          <w:tab w:val="num" w:pos="1440"/>
        </w:tabs>
        <w:ind w:left="1440" w:hanging="360"/>
      </w:pPr>
      <w:rPr>
        <w:rFonts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29">
    <w:nsid w:val="5C353A20"/>
    <w:multiLevelType w:val="hybridMultilevel"/>
    <w:tmpl w:val="4726F8D8"/>
    <w:lvl w:ilvl="0" w:tplc="A7141FE4">
      <w:start w:val="3"/>
      <w:numFmt w:val="bullet"/>
      <w:lvlText w:val="-"/>
      <w:lvlJc w:val="left"/>
      <w:pPr>
        <w:tabs>
          <w:tab w:val="num" w:pos="360"/>
        </w:tabs>
        <w:ind w:left="360" w:hanging="360"/>
      </w:pPr>
      <w:rPr>
        <w:rFonts w:ascii="Times New Roman" w:hAnsi="Times New Roman" w:hint="default"/>
      </w:rPr>
    </w:lvl>
    <w:lvl w:ilvl="1" w:tplc="1F8EFE44">
      <w:start w:val="1"/>
      <w:numFmt w:val="bullet"/>
      <w:lvlText w:val=""/>
      <w:lvlJc w:val="left"/>
      <w:pPr>
        <w:tabs>
          <w:tab w:val="num" w:pos="360"/>
        </w:tabs>
        <w:ind w:left="340" w:hanging="340"/>
      </w:pPr>
      <w:rPr>
        <w:rFonts w:ascii="Wingdings" w:hAnsi="Wingdings"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30">
    <w:nsid w:val="5C851C53"/>
    <w:multiLevelType w:val="hybridMultilevel"/>
    <w:tmpl w:val="B908F112"/>
    <w:lvl w:ilvl="0" w:tplc="D35AB624">
      <w:start w:val="1"/>
      <w:numFmt w:val="bullet"/>
      <w:lvlText w:val="–"/>
      <w:lvlJc w:val="left"/>
      <w:pPr>
        <w:ind w:left="720" w:hanging="360"/>
      </w:pPr>
      <w:rPr>
        <w:rFonts w:ascii="Times New Roman" w:hAnsi="Times New Roman" w:cs="Times New Roman" w:hint="default"/>
        <w:sz w:val="16"/>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131">
    <w:nsid w:val="5FFE5AEB"/>
    <w:multiLevelType w:val="hybridMultilevel"/>
    <w:tmpl w:val="3B3CD050"/>
    <w:lvl w:ilvl="0" w:tplc="D9BC9418">
      <w:start w:val="1"/>
      <w:numFmt w:val="bullet"/>
      <w:lvlText w:val="−"/>
      <w:lvlJc w:val="left"/>
      <w:pPr>
        <w:tabs>
          <w:tab w:val="num" w:pos="1276"/>
        </w:tabs>
        <w:ind w:left="1276" w:hanging="425"/>
      </w:pPr>
      <w:rPr>
        <w:rFonts w:ascii="Times New Roman" w:hAnsi="Times New Roman" w:cs="Times New Roman" w:hint="default"/>
      </w:rPr>
    </w:lvl>
    <w:lvl w:ilvl="1" w:tplc="36FCC8B6">
      <w:start w:val="1"/>
      <w:numFmt w:val="bullet"/>
      <w:lvlText w:val="–"/>
      <w:lvlJc w:val="left"/>
      <w:pPr>
        <w:tabs>
          <w:tab w:val="num" w:pos="1364"/>
        </w:tabs>
        <w:ind w:left="1364" w:hanging="284"/>
      </w:pPr>
      <w:rPr>
        <w:rFonts w:ascii="Times New Roman" w:hAnsi="Times New Roman" w:cs="Times New Roman" w:hint="default"/>
      </w:r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132">
    <w:nsid w:val="61496AFE"/>
    <w:multiLevelType w:val="multilevel"/>
    <w:tmpl w:val="32DA3640"/>
    <w:lvl w:ilvl="0">
      <w:start w:val="1"/>
      <w:numFmt w:val="decimal"/>
      <w:lvlText w:val="%1."/>
      <w:lvlJc w:val="left"/>
      <w:pPr>
        <w:tabs>
          <w:tab w:val="num" w:pos="1429"/>
        </w:tabs>
        <w:ind w:left="1429" w:hanging="360"/>
      </w:pPr>
    </w:lvl>
    <w:lvl w:ilvl="1">
      <w:start w:val="2"/>
      <w:numFmt w:val="decimal"/>
      <w:isLgl/>
      <w:lvlText w:val="%1.%2."/>
      <w:lvlJc w:val="left"/>
      <w:pPr>
        <w:ind w:left="1429" w:hanging="360"/>
      </w:pPr>
      <w:rPr>
        <w:rFonts w:hint="default"/>
      </w:rPr>
    </w:lvl>
    <w:lvl w:ilvl="2">
      <w:start w:val="1"/>
      <w:numFmt w:val="decimal"/>
      <w:isLgl/>
      <w:lvlText w:val="%1.%2.%3."/>
      <w:lvlJc w:val="left"/>
      <w:pPr>
        <w:ind w:left="1789" w:hanging="720"/>
      </w:pPr>
      <w:rPr>
        <w:rFonts w:hint="default"/>
      </w:rPr>
    </w:lvl>
    <w:lvl w:ilvl="3">
      <w:start w:val="1"/>
      <w:numFmt w:val="decimalZero"/>
      <w:isLgl/>
      <w:lvlText w:val="%1.%2.%3.%4."/>
      <w:lvlJc w:val="left"/>
      <w:pPr>
        <w:ind w:left="1789" w:hanging="72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149" w:hanging="1080"/>
      </w:pPr>
      <w:rPr>
        <w:rFonts w:hint="default"/>
      </w:rPr>
    </w:lvl>
    <w:lvl w:ilvl="6">
      <w:start w:val="1"/>
      <w:numFmt w:val="decimal"/>
      <w:isLgl/>
      <w:lvlText w:val="%1.%2.%3.%4.%5.%6.%7."/>
      <w:lvlJc w:val="left"/>
      <w:pPr>
        <w:ind w:left="2149" w:hanging="1080"/>
      </w:pPr>
      <w:rPr>
        <w:rFonts w:hint="default"/>
      </w:rPr>
    </w:lvl>
    <w:lvl w:ilvl="7">
      <w:start w:val="1"/>
      <w:numFmt w:val="decimal"/>
      <w:isLgl/>
      <w:lvlText w:val="%1.%2.%3.%4.%5.%6.%7.%8."/>
      <w:lvlJc w:val="left"/>
      <w:pPr>
        <w:ind w:left="2509" w:hanging="1440"/>
      </w:pPr>
      <w:rPr>
        <w:rFonts w:hint="default"/>
      </w:rPr>
    </w:lvl>
    <w:lvl w:ilvl="8">
      <w:start w:val="1"/>
      <w:numFmt w:val="decimal"/>
      <w:isLgl/>
      <w:lvlText w:val="%1.%2.%3.%4.%5.%6.%7.%8.%9."/>
      <w:lvlJc w:val="left"/>
      <w:pPr>
        <w:ind w:left="2509" w:hanging="1440"/>
      </w:pPr>
      <w:rPr>
        <w:rFonts w:hint="default"/>
      </w:rPr>
    </w:lvl>
  </w:abstractNum>
  <w:abstractNum w:abstractNumId="133">
    <w:nsid w:val="620C3686"/>
    <w:multiLevelType w:val="hybridMultilevel"/>
    <w:tmpl w:val="D87C99F8"/>
    <w:lvl w:ilvl="0" w:tplc="7D0A56CA">
      <w:start w:val="1"/>
      <w:numFmt w:val="bullet"/>
      <w:lvlText w:val="–"/>
      <w:lvlJc w:val="left"/>
      <w:pPr>
        <w:tabs>
          <w:tab w:val="num" w:pos="397"/>
        </w:tabs>
        <w:ind w:left="397" w:hanging="397"/>
      </w:pPr>
      <w:rPr>
        <w:rFonts w:ascii="Times New Roman" w:hAnsi="Times New Roman" w:cs="Times New Roman"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134">
    <w:nsid w:val="64CA6F35"/>
    <w:multiLevelType w:val="hybridMultilevel"/>
    <w:tmpl w:val="0644A99A"/>
    <w:lvl w:ilvl="0" w:tplc="6A54ABE2">
      <w:start w:val="1"/>
      <w:numFmt w:val="lowerLetter"/>
      <w:lvlText w:val="%1)"/>
      <w:lvlJc w:val="left"/>
      <w:pPr>
        <w:tabs>
          <w:tab w:val="num" w:pos="720"/>
        </w:tabs>
        <w:ind w:left="720" w:hanging="360"/>
      </w:pPr>
      <w:rPr>
        <w:rFonts w:hint="default"/>
      </w:rPr>
    </w:lvl>
    <w:lvl w:ilvl="1" w:tplc="E6FC17DE">
      <w:start w:val="1"/>
      <w:numFmt w:val="bullet"/>
      <w:lvlText w:val="-"/>
      <w:lvlJc w:val="left"/>
      <w:pPr>
        <w:tabs>
          <w:tab w:val="num" w:pos="1440"/>
        </w:tabs>
        <w:ind w:left="1440" w:hanging="360"/>
      </w:pPr>
      <w:rPr>
        <w:rFonts w:ascii="Arial" w:eastAsia="Times New Roman" w:hAnsi="Arial" w:cs="Arial"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35">
    <w:nsid w:val="670870CF"/>
    <w:multiLevelType w:val="hybridMultilevel"/>
    <w:tmpl w:val="B790AF24"/>
    <w:lvl w:ilvl="0" w:tplc="D1C62682">
      <w:start w:val="1"/>
      <w:numFmt w:val="lowerLetter"/>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36">
    <w:nsid w:val="692336E2"/>
    <w:multiLevelType w:val="hybridMultilevel"/>
    <w:tmpl w:val="F4DE6A78"/>
    <w:lvl w:ilvl="0" w:tplc="B57866CC">
      <w:start w:val="67"/>
      <w:numFmt w:val="decimal"/>
      <w:lvlText w:val="%1."/>
      <w:lvlJc w:val="left"/>
      <w:pPr>
        <w:tabs>
          <w:tab w:val="num" w:pos="397"/>
        </w:tabs>
        <w:ind w:left="397" w:hanging="397"/>
      </w:pPr>
      <w:rPr>
        <w:rFonts w:ascii="Times New Roman" w:hAnsi="Times New Roman" w:hint="default"/>
        <w:b w:val="0"/>
        <w:i w:val="0"/>
        <w:sz w:val="20"/>
        <w:szCs w:val="2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37">
    <w:nsid w:val="695D549C"/>
    <w:multiLevelType w:val="hybridMultilevel"/>
    <w:tmpl w:val="533A4480"/>
    <w:lvl w:ilvl="0" w:tplc="54720AC6">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38">
    <w:nsid w:val="696F0532"/>
    <w:multiLevelType w:val="multilevel"/>
    <w:tmpl w:val="4B961EEE"/>
    <w:lvl w:ilvl="0">
      <w:start w:val="1"/>
      <w:numFmt w:val="decimal"/>
      <w:lvlText w:val="%1."/>
      <w:lvlJc w:val="left"/>
      <w:pPr>
        <w:tabs>
          <w:tab w:val="num" w:pos="360"/>
        </w:tabs>
        <w:ind w:left="36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39">
    <w:nsid w:val="69FA77AD"/>
    <w:multiLevelType w:val="hybridMultilevel"/>
    <w:tmpl w:val="CDB67A24"/>
    <w:lvl w:ilvl="0" w:tplc="A7141FE4">
      <w:start w:val="3"/>
      <w:numFmt w:val="bullet"/>
      <w:lvlText w:val="-"/>
      <w:lvlJc w:val="left"/>
      <w:pPr>
        <w:tabs>
          <w:tab w:val="num" w:pos="360"/>
        </w:tabs>
        <w:ind w:left="360" w:hanging="360"/>
      </w:pPr>
      <w:rPr>
        <w:rFonts w:ascii="Times New Roman" w:hAnsi="Times New Roman"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40">
    <w:nsid w:val="6EA57188"/>
    <w:multiLevelType w:val="hybridMultilevel"/>
    <w:tmpl w:val="5A2E2452"/>
    <w:lvl w:ilvl="0" w:tplc="A7141FE4">
      <w:start w:val="3"/>
      <w:numFmt w:val="bullet"/>
      <w:lvlText w:val="-"/>
      <w:lvlJc w:val="left"/>
      <w:pPr>
        <w:tabs>
          <w:tab w:val="num" w:pos="360"/>
        </w:tabs>
        <w:ind w:left="360" w:hanging="360"/>
      </w:pPr>
      <w:rPr>
        <w:rFonts w:ascii="Times New Roman" w:hAnsi="Times New Roman" w:hint="default"/>
      </w:rPr>
    </w:lvl>
    <w:lvl w:ilvl="1" w:tplc="EE408F84">
      <w:start w:val="1"/>
      <w:numFmt w:val="decimal"/>
      <w:lvlText w:val="%2."/>
      <w:lvlJc w:val="left"/>
      <w:pPr>
        <w:tabs>
          <w:tab w:val="num" w:pos="1440"/>
        </w:tabs>
        <w:ind w:left="1440" w:hanging="360"/>
      </w:pPr>
      <w:rPr>
        <w:rFonts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41">
    <w:nsid w:val="71D66FA7"/>
    <w:multiLevelType w:val="multilevel"/>
    <w:tmpl w:val="F0C65DD8"/>
    <w:lvl w:ilvl="0">
      <w:start w:val="1"/>
      <w:numFmt w:val="decimal"/>
      <w:lvlText w:val="%1."/>
      <w:lvlJc w:val="left"/>
      <w:pPr>
        <w:tabs>
          <w:tab w:val="num" w:pos="720"/>
        </w:tabs>
        <w:ind w:left="720" w:hanging="360"/>
      </w:pPr>
      <w:rPr>
        <w:rFonts w:hint="default"/>
      </w:rPr>
    </w:lvl>
    <w:lvl w:ilvl="1">
      <w:start w:val="2"/>
      <w:numFmt w:val="decimal"/>
      <w:isLgl/>
      <w:lvlText w:val="%1.%2."/>
      <w:lvlJc w:val="left"/>
      <w:pPr>
        <w:ind w:left="720" w:hanging="360"/>
      </w:pPr>
      <w:rPr>
        <w:rFonts w:hint="default"/>
      </w:rPr>
    </w:lvl>
    <w:lvl w:ilvl="2">
      <w:start w:val="1"/>
      <w:numFmt w:val="decimalZero"/>
      <w:isLgl/>
      <w:lvlText w:val="%1.%2.%3."/>
      <w:lvlJc w:val="left"/>
      <w:pPr>
        <w:ind w:left="1080" w:hanging="720"/>
      </w:pPr>
      <w:rPr>
        <w:rFonts w:hint="default"/>
      </w:rPr>
    </w:lvl>
    <w:lvl w:ilvl="3">
      <w:start w:val="1"/>
      <w:numFmt w:val="decimalZero"/>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42">
    <w:nsid w:val="77490F24"/>
    <w:multiLevelType w:val="singleLevel"/>
    <w:tmpl w:val="04150017"/>
    <w:lvl w:ilvl="0">
      <w:start w:val="1"/>
      <w:numFmt w:val="lowerLetter"/>
      <w:lvlText w:val="%1)"/>
      <w:lvlJc w:val="left"/>
      <w:pPr>
        <w:tabs>
          <w:tab w:val="num" w:pos="360"/>
        </w:tabs>
        <w:ind w:left="360" w:hanging="360"/>
      </w:pPr>
    </w:lvl>
  </w:abstractNum>
  <w:abstractNum w:abstractNumId="143">
    <w:nsid w:val="79045DBF"/>
    <w:multiLevelType w:val="hybridMultilevel"/>
    <w:tmpl w:val="771A86A8"/>
    <w:lvl w:ilvl="0" w:tplc="A7141FE4">
      <w:start w:val="3"/>
      <w:numFmt w:val="bullet"/>
      <w:lvlText w:val="-"/>
      <w:lvlJc w:val="left"/>
      <w:pPr>
        <w:tabs>
          <w:tab w:val="num" w:pos="360"/>
        </w:tabs>
        <w:ind w:left="360" w:hanging="360"/>
      </w:pPr>
      <w:rPr>
        <w:rFonts w:ascii="Times New Roman" w:hAnsi="Times New Roman"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44">
    <w:nsid w:val="799B7DC0"/>
    <w:multiLevelType w:val="singleLevel"/>
    <w:tmpl w:val="0D48DA5A"/>
    <w:lvl w:ilvl="0">
      <w:start w:val="21"/>
      <w:numFmt w:val="decimal"/>
      <w:lvlText w:val="%1."/>
      <w:legacy w:legacy="1" w:legacySpace="0" w:legacyIndent="340"/>
      <w:lvlJc w:val="left"/>
      <w:pPr>
        <w:ind w:left="453" w:hanging="340"/>
      </w:pPr>
    </w:lvl>
  </w:abstractNum>
  <w:abstractNum w:abstractNumId="145">
    <w:nsid w:val="7CCC7079"/>
    <w:multiLevelType w:val="hybridMultilevel"/>
    <w:tmpl w:val="322644B4"/>
    <w:lvl w:ilvl="0" w:tplc="FFFFFFFF">
      <w:start w:val="3"/>
      <w:numFmt w:val="bullet"/>
      <w:lvlText w:val="-"/>
      <w:lvlJc w:val="left"/>
      <w:pPr>
        <w:tabs>
          <w:tab w:val="num" w:pos="360"/>
        </w:tabs>
        <w:ind w:left="360" w:hanging="360"/>
      </w:pPr>
      <w:rPr>
        <w:rFonts w:ascii="Times New Roman" w:hAnsi="Times New Roman"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num w:numId="1">
    <w:abstractNumId w:val="0"/>
    <w:lvlOverride w:ilvl="0">
      <w:lvl w:ilvl="0">
        <w:start w:val="1"/>
        <w:numFmt w:val="bullet"/>
        <w:lvlText w:val=""/>
        <w:legacy w:legacy="1" w:legacySpace="0" w:legacyIndent="283"/>
        <w:lvlJc w:val="left"/>
        <w:pPr>
          <w:ind w:left="283" w:hanging="283"/>
        </w:pPr>
        <w:rPr>
          <w:rFonts w:ascii="Symbol" w:hAnsi="Symbol" w:hint="default"/>
          <w:sz w:val="20"/>
        </w:rPr>
      </w:lvl>
    </w:lvlOverride>
  </w:num>
  <w:num w:numId="2">
    <w:abstractNumId w:val="102"/>
  </w:num>
  <w:num w:numId="3">
    <w:abstractNumId w:val="5"/>
  </w:num>
  <w:num w:numId="4">
    <w:abstractNumId w:val="2"/>
  </w:num>
  <w:num w:numId="5">
    <w:abstractNumId w:val="3"/>
  </w:num>
  <w:num w:numId="6">
    <w:abstractNumId w:val="10"/>
  </w:num>
  <w:num w:numId="7">
    <w:abstractNumId w:val="15"/>
  </w:num>
  <w:num w:numId="8">
    <w:abstractNumId w:val="16"/>
  </w:num>
  <w:num w:numId="9">
    <w:abstractNumId w:val="17"/>
  </w:num>
  <w:num w:numId="10">
    <w:abstractNumId w:val="18"/>
  </w:num>
  <w:num w:numId="11">
    <w:abstractNumId w:val="21"/>
  </w:num>
  <w:num w:numId="12">
    <w:abstractNumId w:val="22"/>
  </w:num>
  <w:num w:numId="13">
    <w:abstractNumId w:val="23"/>
  </w:num>
  <w:num w:numId="14">
    <w:abstractNumId w:val="24"/>
  </w:num>
  <w:num w:numId="15">
    <w:abstractNumId w:val="25"/>
  </w:num>
  <w:num w:numId="16">
    <w:abstractNumId w:val="26"/>
  </w:num>
  <w:num w:numId="17">
    <w:abstractNumId w:val="27"/>
  </w:num>
  <w:num w:numId="18">
    <w:abstractNumId w:val="30"/>
  </w:num>
  <w:num w:numId="19">
    <w:abstractNumId w:val="31"/>
  </w:num>
  <w:num w:numId="20">
    <w:abstractNumId w:val="32"/>
  </w:num>
  <w:num w:numId="21">
    <w:abstractNumId w:val="34"/>
  </w:num>
  <w:num w:numId="22">
    <w:abstractNumId w:val="36"/>
  </w:num>
  <w:num w:numId="23">
    <w:abstractNumId w:val="37"/>
  </w:num>
  <w:num w:numId="24">
    <w:abstractNumId w:val="38"/>
  </w:num>
  <w:num w:numId="25">
    <w:abstractNumId w:val="39"/>
  </w:num>
  <w:num w:numId="26">
    <w:abstractNumId w:val="1"/>
  </w:num>
  <w:num w:numId="27">
    <w:abstractNumId w:val="125"/>
  </w:num>
  <w:num w:numId="28">
    <w:abstractNumId w:val="14"/>
  </w:num>
  <w:num w:numId="29">
    <w:abstractNumId w:val="95"/>
  </w:num>
  <w:num w:numId="30">
    <w:abstractNumId w:val="108"/>
  </w:num>
  <w:num w:numId="31">
    <w:abstractNumId w:val="106"/>
  </w:num>
  <w:num w:numId="32">
    <w:abstractNumId w:val="116"/>
  </w:num>
  <w:num w:numId="33">
    <w:abstractNumId w:val="119"/>
  </w:num>
  <w:num w:numId="34">
    <w:abstractNumId w:val="97"/>
  </w:num>
  <w:num w:numId="35">
    <w:abstractNumId w:val="90"/>
  </w:num>
  <w:num w:numId="36">
    <w:abstractNumId w:val="98"/>
  </w:num>
  <w:num w:numId="37">
    <w:abstractNumId w:val="86"/>
  </w:num>
  <w:num w:numId="38">
    <w:abstractNumId w:val="126"/>
  </w:num>
  <w:num w:numId="39">
    <w:abstractNumId w:val="140"/>
    <w:lvlOverride w:ilvl="0"/>
    <w:lvlOverride w:ilvl="1">
      <w:startOverride w:val="1"/>
    </w:lvlOverride>
    <w:lvlOverride w:ilvl="2"/>
    <w:lvlOverride w:ilvl="3"/>
    <w:lvlOverride w:ilvl="4"/>
    <w:lvlOverride w:ilvl="5"/>
    <w:lvlOverride w:ilvl="6"/>
    <w:lvlOverride w:ilvl="7"/>
    <w:lvlOverride w:ilvl="8"/>
  </w:num>
  <w:num w:numId="40">
    <w:abstractNumId w:val="1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01"/>
  </w:num>
  <w:num w:numId="42">
    <w:abstractNumId w:val="120"/>
  </w:num>
  <w:num w:numId="43">
    <w:abstractNumId w:val="104"/>
  </w:num>
  <w:num w:numId="44">
    <w:abstractNumId w:val="113"/>
  </w:num>
  <w:num w:numId="45">
    <w:abstractNumId w:val="138"/>
  </w:num>
  <w:num w:numId="46">
    <w:abstractNumId w:val="122"/>
  </w:num>
  <w:num w:numId="47">
    <w:abstractNumId w:val="139"/>
  </w:num>
  <w:num w:numId="48">
    <w:abstractNumId w:val="129"/>
  </w:num>
  <w:num w:numId="49">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8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43"/>
  </w:num>
  <w:num w:numId="54">
    <w:abstractNumId w:val="115"/>
  </w:num>
  <w:num w:numId="55">
    <w:abstractNumId w:val="124"/>
  </w:num>
  <w:num w:numId="56">
    <w:abstractNumId w:val="99"/>
  </w:num>
  <w:num w:numId="57">
    <w:abstractNumId w:val="142"/>
  </w:num>
  <w:num w:numId="58">
    <w:abstractNumId w:val="87"/>
  </w:num>
  <w:num w:numId="59">
    <w:abstractNumId w:val="92"/>
  </w:num>
  <w:num w:numId="60">
    <w:abstractNumId w:val="81"/>
  </w:num>
  <w:num w:numId="61">
    <w:abstractNumId w:val="131"/>
  </w:num>
  <w:num w:numId="62">
    <w:abstractNumId w:val="107"/>
  </w:num>
  <w:num w:numId="63">
    <w:abstractNumId w:val="78"/>
  </w:num>
  <w:num w:numId="64">
    <w:abstractNumId w:val="145"/>
  </w:num>
  <w:num w:numId="65">
    <w:abstractNumId w:val="80"/>
  </w:num>
  <w:num w:numId="66">
    <w:abstractNumId w:val="79"/>
  </w:num>
  <w:num w:numId="67">
    <w:abstractNumId w:val="35"/>
  </w:num>
  <w:num w:numId="68">
    <w:abstractNumId w:val="29"/>
  </w:num>
  <w:num w:numId="69">
    <w:abstractNumId w:val="20"/>
  </w:num>
  <w:num w:numId="70">
    <w:abstractNumId w:val="12"/>
    <w:lvlOverride w:ilvl="0">
      <w:startOverride w:val="1"/>
    </w:lvlOverride>
  </w:num>
  <w:num w:numId="71">
    <w:abstractNumId w:val="85"/>
  </w:num>
  <w:num w:numId="72">
    <w:abstractNumId w:val="88"/>
  </w:num>
  <w:num w:numId="73">
    <w:abstractNumId w:val="133"/>
  </w:num>
  <w:num w:numId="74">
    <w:abstractNumId w:val="127"/>
  </w:num>
  <w:num w:numId="75">
    <w:abstractNumId w:val="117"/>
  </w:num>
  <w:num w:numId="76">
    <w:abstractNumId w:val="114"/>
  </w:num>
  <w:num w:numId="77">
    <w:abstractNumId w:val="103"/>
  </w:num>
  <w:num w:numId="78">
    <w:abstractNumId w:val="136"/>
  </w:num>
  <w:num w:numId="79">
    <w:abstractNumId w:val="111"/>
  </w:num>
  <w:num w:numId="80">
    <w:abstractNumId w:val="121"/>
  </w:num>
  <w:num w:numId="81">
    <w:abstractNumId w:val="82"/>
  </w:num>
  <w:num w:numId="82">
    <w:abstractNumId w:val="89"/>
  </w:num>
  <w:num w:numId="83">
    <w:abstractNumId w:val="132"/>
  </w:num>
  <w:num w:numId="84">
    <w:abstractNumId w:val="84"/>
  </w:num>
  <w:num w:numId="85">
    <w:abstractNumId w:val="110"/>
  </w:num>
  <w:num w:numId="86">
    <w:abstractNumId w:val="105"/>
  </w:num>
  <w:num w:numId="87">
    <w:abstractNumId w:val="94"/>
  </w:num>
  <w:num w:numId="88">
    <w:abstractNumId w:val="144"/>
    <w:lvlOverride w:ilvl="0">
      <w:startOverride w:val="21"/>
    </w:lvlOverride>
  </w:num>
  <w:num w:numId="89">
    <w:abstractNumId w:val="144"/>
    <w:lvlOverride w:ilvl="0">
      <w:lvl w:ilvl="0">
        <w:start w:val="21"/>
        <w:numFmt w:val="decimal"/>
        <w:lvlText w:val="%1."/>
        <w:legacy w:legacy="1" w:legacySpace="0" w:legacyIndent="340"/>
        <w:lvlJc w:val="left"/>
        <w:pPr>
          <w:ind w:left="453" w:hanging="340"/>
        </w:pPr>
      </w:lvl>
    </w:lvlOverride>
  </w:num>
  <w:num w:numId="90">
    <w:abstractNumId w:val="83"/>
  </w:num>
  <w:num w:numId="91">
    <w:abstractNumId w:val="134"/>
  </w:num>
  <w:num w:numId="92">
    <w:abstractNumId w:val="135"/>
  </w:num>
  <w:num w:numId="93">
    <w:abstractNumId w:val="100"/>
  </w:num>
  <w:num w:numId="94">
    <w:abstractNumId w:val="109"/>
  </w:num>
  <w:num w:numId="95">
    <w:abstractNumId w:val="128"/>
  </w:num>
  <w:num w:numId="96">
    <w:abstractNumId w:val="76"/>
  </w:num>
  <w:num w:numId="97">
    <w:abstractNumId w:val="118"/>
  </w:num>
  <w:num w:numId="98">
    <w:abstractNumId w:val="77"/>
  </w:num>
  <w:num w:numId="99">
    <w:abstractNumId w:val="123"/>
  </w:num>
  <w:num w:numId="100">
    <w:abstractNumId w:val="137"/>
  </w:num>
  <w:num w:numId="101">
    <w:abstractNumId w:val="112"/>
  </w:num>
  <w:num w:numId="102">
    <w:abstractNumId w:val="93"/>
  </w:num>
  <w:numIdMacAtCleanup w:val="10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hideSpellingErrors/>
  <w:hideGrammaticalErrors/>
  <w:activeWritingStyle w:appName="MSWord" w:lang="pl-PL" w:vendorID="12" w:dllVersion="512" w:checkStyle="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36615D"/>
    <w:rsid w:val="000004B8"/>
    <w:rsid w:val="00000967"/>
    <w:rsid w:val="00000BA6"/>
    <w:rsid w:val="000015EB"/>
    <w:rsid w:val="000019D1"/>
    <w:rsid w:val="00002B7C"/>
    <w:rsid w:val="00002FC0"/>
    <w:rsid w:val="00004174"/>
    <w:rsid w:val="00004374"/>
    <w:rsid w:val="00004746"/>
    <w:rsid w:val="000061A5"/>
    <w:rsid w:val="00006C2F"/>
    <w:rsid w:val="00010686"/>
    <w:rsid w:val="00010854"/>
    <w:rsid w:val="00012AFB"/>
    <w:rsid w:val="00015D14"/>
    <w:rsid w:val="000175B4"/>
    <w:rsid w:val="000212A4"/>
    <w:rsid w:val="000219B1"/>
    <w:rsid w:val="000222D0"/>
    <w:rsid w:val="00023024"/>
    <w:rsid w:val="0002330B"/>
    <w:rsid w:val="000244C3"/>
    <w:rsid w:val="00024B2B"/>
    <w:rsid w:val="00024C94"/>
    <w:rsid w:val="000269C8"/>
    <w:rsid w:val="00026C83"/>
    <w:rsid w:val="00026FE3"/>
    <w:rsid w:val="00027ADE"/>
    <w:rsid w:val="00031D85"/>
    <w:rsid w:val="00031F9F"/>
    <w:rsid w:val="00033314"/>
    <w:rsid w:val="00033682"/>
    <w:rsid w:val="00033AB1"/>
    <w:rsid w:val="000355C4"/>
    <w:rsid w:val="00036E8D"/>
    <w:rsid w:val="00036EEB"/>
    <w:rsid w:val="000374F6"/>
    <w:rsid w:val="00037834"/>
    <w:rsid w:val="00040F79"/>
    <w:rsid w:val="00041A9A"/>
    <w:rsid w:val="00041D1A"/>
    <w:rsid w:val="00041D63"/>
    <w:rsid w:val="00041D91"/>
    <w:rsid w:val="000420FE"/>
    <w:rsid w:val="0004210D"/>
    <w:rsid w:val="000428F4"/>
    <w:rsid w:val="00044874"/>
    <w:rsid w:val="00044B86"/>
    <w:rsid w:val="00045428"/>
    <w:rsid w:val="00046DD0"/>
    <w:rsid w:val="00046F79"/>
    <w:rsid w:val="0005020F"/>
    <w:rsid w:val="00050A2D"/>
    <w:rsid w:val="0005103A"/>
    <w:rsid w:val="00051793"/>
    <w:rsid w:val="0005227F"/>
    <w:rsid w:val="000537B4"/>
    <w:rsid w:val="000558D7"/>
    <w:rsid w:val="00055C48"/>
    <w:rsid w:val="00055F59"/>
    <w:rsid w:val="00060077"/>
    <w:rsid w:val="00060974"/>
    <w:rsid w:val="00060AA3"/>
    <w:rsid w:val="00062E56"/>
    <w:rsid w:val="000638F8"/>
    <w:rsid w:val="00063C3B"/>
    <w:rsid w:val="00063F51"/>
    <w:rsid w:val="0006580B"/>
    <w:rsid w:val="00067037"/>
    <w:rsid w:val="00067EC7"/>
    <w:rsid w:val="00070277"/>
    <w:rsid w:val="0007038C"/>
    <w:rsid w:val="00070999"/>
    <w:rsid w:val="000721A1"/>
    <w:rsid w:val="00073880"/>
    <w:rsid w:val="00073F7C"/>
    <w:rsid w:val="00074EDD"/>
    <w:rsid w:val="00076CA2"/>
    <w:rsid w:val="000772C7"/>
    <w:rsid w:val="000774AB"/>
    <w:rsid w:val="00080203"/>
    <w:rsid w:val="00080B01"/>
    <w:rsid w:val="0008153D"/>
    <w:rsid w:val="00081C1D"/>
    <w:rsid w:val="00081F05"/>
    <w:rsid w:val="000826C8"/>
    <w:rsid w:val="0008354C"/>
    <w:rsid w:val="000838AC"/>
    <w:rsid w:val="000845EA"/>
    <w:rsid w:val="00084F39"/>
    <w:rsid w:val="00085CB9"/>
    <w:rsid w:val="00090A02"/>
    <w:rsid w:val="000926AE"/>
    <w:rsid w:val="0009292F"/>
    <w:rsid w:val="00092F56"/>
    <w:rsid w:val="000931B3"/>
    <w:rsid w:val="00094C3C"/>
    <w:rsid w:val="00095335"/>
    <w:rsid w:val="00096466"/>
    <w:rsid w:val="00096BB0"/>
    <w:rsid w:val="00096E46"/>
    <w:rsid w:val="0009768A"/>
    <w:rsid w:val="00097802"/>
    <w:rsid w:val="000A0506"/>
    <w:rsid w:val="000A1255"/>
    <w:rsid w:val="000A389E"/>
    <w:rsid w:val="000A3EF6"/>
    <w:rsid w:val="000A41A2"/>
    <w:rsid w:val="000A68F6"/>
    <w:rsid w:val="000A6998"/>
    <w:rsid w:val="000A7B78"/>
    <w:rsid w:val="000A7D02"/>
    <w:rsid w:val="000B0329"/>
    <w:rsid w:val="000B0AD7"/>
    <w:rsid w:val="000B115F"/>
    <w:rsid w:val="000B1586"/>
    <w:rsid w:val="000B16A2"/>
    <w:rsid w:val="000B16E6"/>
    <w:rsid w:val="000B2065"/>
    <w:rsid w:val="000B24C7"/>
    <w:rsid w:val="000B26BD"/>
    <w:rsid w:val="000B3063"/>
    <w:rsid w:val="000B4128"/>
    <w:rsid w:val="000B484B"/>
    <w:rsid w:val="000B5C0C"/>
    <w:rsid w:val="000B5FB6"/>
    <w:rsid w:val="000B60EA"/>
    <w:rsid w:val="000B6848"/>
    <w:rsid w:val="000B7792"/>
    <w:rsid w:val="000C0151"/>
    <w:rsid w:val="000C02D7"/>
    <w:rsid w:val="000C4520"/>
    <w:rsid w:val="000C65C0"/>
    <w:rsid w:val="000C6D26"/>
    <w:rsid w:val="000C7B6F"/>
    <w:rsid w:val="000C7D16"/>
    <w:rsid w:val="000D2597"/>
    <w:rsid w:val="000D33E3"/>
    <w:rsid w:val="000D3749"/>
    <w:rsid w:val="000D3DA4"/>
    <w:rsid w:val="000D3F4F"/>
    <w:rsid w:val="000D4123"/>
    <w:rsid w:val="000D4BE6"/>
    <w:rsid w:val="000D6334"/>
    <w:rsid w:val="000D7DD9"/>
    <w:rsid w:val="000E074E"/>
    <w:rsid w:val="000E1414"/>
    <w:rsid w:val="000E1FB1"/>
    <w:rsid w:val="000E2085"/>
    <w:rsid w:val="000E209C"/>
    <w:rsid w:val="000E57FE"/>
    <w:rsid w:val="000F1E08"/>
    <w:rsid w:val="000F21BA"/>
    <w:rsid w:val="000F262E"/>
    <w:rsid w:val="000F3440"/>
    <w:rsid w:val="000F3C7D"/>
    <w:rsid w:val="000F4705"/>
    <w:rsid w:val="000F4896"/>
    <w:rsid w:val="000F4F50"/>
    <w:rsid w:val="000F5F72"/>
    <w:rsid w:val="000F622B"/>
    <w:rsid w:val="000F6CF4"/>
    <w:rsid w:val="00100389"/>
    <w:rsid w:val="001006AA"/>
    <w:rsid w:val="00102B16"/>
    <w:rsid w:val="00103B18"/>
    <w:rsid w:val="00104632"/>
    <w:rsid w:val="001047DF"/>
    <w:rsid w:val="001055B4"/>
    <w:rsid w:val="00106A05"/>
    <w:rsid w:val="00106C27"/>
    <w:rsid w:val="00106D5D"/>
    <w:rsid w:val="0010717A"/>
    <w:rsid w:val="00107432"/>
    <w:rsid w:val="00110464"/>
    <w:rsid w:val="00111226"/>
    <w:rsid w:val="0011152C"/>
    <w:rsid w:val="00111DF8"/>
    <w:rsid w:val="00113977"/>
    <w:rsid w:val="00113B49"/>
    <w:rsid w:val="0011443E"/>
    <w:rsid w:val="00114DD2"/>
    <w:rsid w:val="00115005"/>
    <w:rsid w:val="00115BE4"/>
    <w:rsid w:val="00115C37"/>
    <w:rsid w:val="0011722A"/>
    <w:rsid w:val="001177BA"/>
    <w:rsid w:val="001202B2"/>
    <w:rsid w:val="00123400"/>
    <w:rsid w:val="0012342F"/>
    <w:rsid w:val="00123A13"/>
    <w:rsid w:val="00123E44"/>
    <w:rsid w:val="00124550"/>
    <w:rsid w:val="00124AF0"/>
    <w:rsid w:val="00124B9E"/>
    <w:rsid w:val="0012588B"/>
    <w:rsid w:val="00125D2F"/>
    <w:rsid w:val="00126351"/>
    <w:rsid w:val="001264CA"/>
    <w:rsid w:val="0012651D"/>
    <w:rsid w:val="001267F1"/>
    <w:rsid w:val="001269BE"/>
    <w:rsid w:val="001273A2"/>
    <w:rsid w:val="00127697"/>
    <w:rsid w:val="00127798"/>
    <w:rsid w:val="00127F8C"/>
    <w:rsid w:val="0013024B"/>
    <w:rsid w:val="00131646"/>
    <w:rsid w:val="001319E0"/>
    <w:rsid w:val="001327FC"/>
    <w:rsid w:val="00133102"/>
    <w:rsid w:val="001335E0"/>
    <w:rsid w:val="00133A7A"/>
    <w:rsid w:val="0013424D"/>
    <w:rsid w:val="00134812"/>
    <w:rsid w:val="00135797"/>
    <w:rsid w:val="00135E29"/>
    <w:rsid w:val="00136A6C"/>
    <w:rsid w:val="00140767"/>
    <w:rsid w:val="00140AF0"/>
    <w:rsid w:val="001410A3"/>
    <w:rsid w:val="00142877"/>
    <w:rsid w:val="00142904"/>
    <w:rsid w:val="00142D95"/>
    <w:rsid w:val="001451C1"/>
    <w:rsid w:val="00146E61"/>
    <w:rsid w:val="00147864"/>
    <w:rsid w:val="00147D42"/>
    <w:rsid w:val="0015067D"/>
    <w:rsid w:val="0015080F"/>
    <w:rsid w:val="00151FEF"/>
    <w:rsid w:val="00152DB1"/>
    <w:rsid w:val="001532C2"/>
    <w:rsid w:val="00153CEC"/>
    <w:rsid w:val="00154087"/>
    <w:rsid w:val="0015440B"/>
    <w:rsid w:val="00155290"/>
    <w:rsid w:val="001572A8"/>
    <w:rsid w:val="001615EF"/>
    <w:rsid w:val="001629F8"/>
    <w:rsid w:val="0016453C"/>
    <w:rsid w:val="001653E3"/>
    <w:rsid w:val="00165ACB"/>
    <w:rsid w:val="00165F39"/>
    <w:rsid w:val="00166E50"/>
    <w:rsid w:val="00167A49"/>
    <w:rsid w:val="0017016C"/>
    <w:rsid w:val="00170A38"/>
    <w:rsid w:val="00171BD3"/>
    <w:rsid w:val="00171C09"/>
    <w:rsid w:val="001728A3"/>
    <w:rsid w:val="00173101"/>
    <w:rsid w:val="00173707"/>
    <w:rsid w:val="00173760"/>
    <w:rsid w:val="00175408"/>
    <w:rsid w:val="00175BFE"/>
    <w:rsid w:val="00175EB3"/>
    <w:rsid w:val="00176D11"/>
    <w:rsid w:val="001779D1"/>
    <w:rsid w:val="001812BA"/>
    <w:rsid w:val="001812CC"/>
    <w:rsid w:val="00181A3D"/>
    <w:rsid w:val="00181D27"/>
    <w:rsid w:val="00181E85"/>
    <w:rsid w:val="001822D7"/>
    <w:rsid w:val="0018239A"/>
    <w:rsid w:val="0018246E"/>
    <w:rsid w:val="00182914"/>
    <w:rsid w:val="00184247"/>
    <w:rsid w:val="00185BC6"/>
    <w:rsid w:val="0018601D"/>
    <w:rsid w:val="00186E5A"/>
    <w:rsid w:val="00187CE8"/>
    <w:rsid w:val="001901B6"/>
    <w:rsid w:val="00190D8F"/>
    <w:rsid w:val="001910DA"/>
    <w:rsid w:val="00191231"/>
    <w:rsid w:val="00194B73"/>
    <w:rsid w:val="00194C42"/>
    <w:rsid w:val="00194F68"/>
    <w:rsid w:val="00196074"/>
    <w:rsid w:val="00196CE4"/>
    <w:rsid w:val="00197EB1"/>
    <w:rsid w:val="001A151F"/>
    <w:rsid w:val="001A2022"/>
    <w:rsid w:val="001A2B2A"/>
    <w:rsid w:val="001A3675"/>
    <w:rsid w:val="001A367A"/>
    <w:rsid w:val="001A4A46"/>
    <w:rsid w:val="001A4CEB"/>
    <w:rsid w:val="001A55A7"/>
    <w:rsid w:val="001A5694"/>
    <w:rsid w:val="001A5FA6"/>
    <w:rsid w:val="001B00B4"/>
    <w:rsid w:val="001B02DC"/>
    <w:rsid w:val="001B0828"/>
    <w:rsid w:val="001B23E8"/>
    <w:rsid w:val="001B2FC9"/>
    <w:rsid w:val="001B7B24"/>
    <w:rsid w:val="001B7B27"/>
    <w:rsid w:val="001B7BF3"/>
    <w:rsid w:val="001B7CB6"/>
    <w:rsid w:val="001C06C5"/>
    <w:rsid w:val="001C168B"/>
    <w:rsid w:val="001C1905"/>
    <w:rsid w:val="001C22B6"/>
    <w:rsid w:val="001C22E1"/>
    <w:rsid w:val="001C230D"/>
    <w:rsid w:val="001C29BC"/>
    <w:rsid w:val="001C2C1E"/>
    <w:rsid w:val="001C2D72"/>
    <w:rsid w:val="001C3AC7"/>
    <w:rsid w:val="001C484A"/>
    <w:rsid w:val="001C4C46"/>
    <w:rsid w:val="001C5A0D"/>
    <w:rsid w:val="001C62C2"/>
    <w:rsid w:val="001D0066"/>
    <w:rsid w:val="001D0788"/>
    <w:rsid w:val="001D17CD"/>
    <w:rsid w:val="001D33B5"/>
    <w:rsid w:val="001D3980"/>
    <w:rsid w:val="001D409F"/>
    <w:rsid w:val="001D4328"/>
    <w:rsid w:val="001D52E4"/>
    <w:rsid w:val="001D62BC"/>
    <w:rsid w:val="001E00E8"/>
    <w:rsid w:val="001E027A"/>
    <w:rsid w:val="001E031E"/>
    <w:rsid w:val="001E0690"/>
    <w:rsid w:val="001E1360"/>
    <w:rsid w:val="001E3306"/>
    <w:rsid w:val="001E4871"/>
    <w:rsid w:val="001E518F"/>
    <w:rsid w:val="001E52BE"/>
    <w:rsid w:val="001E569A"/>
    <w:rsid w:val="001E5A23"/>
    <w:rsid w:val="001E65D6"/>
    <w:rsid w:val="001E713B"/>
    <w:rsid w:val="001F1073"/>
    <w:rsid w:val="001F1BE3"/>
    <w:rsid w:val="001F5DFA"/>
    <w:rsid w:val="001F6783"/>
    <w:rsid w:val="001F6819"/>
    <w:rsid w:val="002011A6"/>
    <w:rsid w:val="00201A97"/>
    <w:rsid w:val="00202184"/>
    <w:rsid w:val="00202750"/>
    <w:rsid w:val="00202FB7"/>
    <w:rsid w:val="00203C75"/>
    <w:rsid w:val="00203E96"/>
    <w:rsid w:val="00204B62"/>
    <w:rsid w:val="00205022"/>
    <w:rsid w:val="00207261"/>
    <w:rsid w:val="00207F96"/>
    <w:rsid w:val="00210633"/>
    <w:rsid w:val="0021083F"/>
    <w:rsid w:val="00211062"/>
    <w:rsid w:val="002110F5"/>
    <w:rsid w:val="002125BC"/>
    <w:rsid w:val="0021382A"/>
    <w:rsid w:val="00215C68"/>
    <w:rsid w:val="002166BF"/>
    <w:rsid w:val="00216D75"/>
    <w:rsid w:val="0021709C"/>
    <w:rsid w:val="00217D9A"/>
    <w:rsid w:val="00223323"/>
    <w:rsid w:val="00224739"/>
    <w:rsid w:val="002249C6"/>
    <w:rsid w:val="002252E8"/>
    <w:rsid w:val="00225474"/>
    <w:rsid w:val="00227178"/>
    <w:rsid w:val="00227953"/>
    <w:rsid w:val="00230598"/>
    <w:rsid w:val="00230E9C"/>
    <w:rsid w:val="00232546"/>
    <w:rsid w:val="002333E5"/>
    <w:rsid w:val="00234A2A"/>
    <w:rsid w:val="00235BC7"/>
    <w:rsid w:val="0023789D"/>
    <w:rsid w:val="00240D9E"/>
    <w:rsid w:val="00241023"/>
    <w:rsid w:val="00241578"/>
    <w:rsid w:val="00242887"/>
    <w:rsid w:val="00242E69"/>
    <w:rsid w:val="0024302E"/>
    <w:rsid w:val="002430B9"/>
    <w:rsid w:val="0024391D"/>
    <w:rsid w:val="002446F7"/>
    <w:rsid w:val="00245ABD"/>
    <w:rsid w:val="00246CE2"/>
    <w:rsid w:val="00252257"/>
    <w:rsid w:val="002522CD"/>
    <w:rsid w:val="00252B31"/>
    <w:rsid w:val="0025351F"/>
    <w:rsid w:val="00253BE4"/>
    <w:rsid w:val="00253F06"/>
    <w:rsid w:val="00253F5B"/>
    <w:rsid w:val="002548B9"/>
    <w:rsid w:val="00254F24"/>
    <w:rsid w:val="00255379"/>
    <w:rsid w:val="00257F53"/>
    <w:rsid w:val="00260265"/>
    <w:rsid w:val="00260BFE"/>
    <w:rsid w:val="00260F3A"/>
    <w:rsid w:val="002615FB"/>
    <w:rsid w:val="00261C43"/>
    <w:rsid w:val="002623A5"/>
    <w:rsid w:val="0026294E"/>
    <w:rsid w:val="00263D64"/>
    <w:rsid w:val="00264EE4"/>
    <w:rsid w:val="00265060"/>
    <w:rsid w:val="0026510B"/>
    <w:rsid w:val="002651BA"/>
    <w:rsid w:val="00265A26"/>
    <w:rsid w:val="00265BE2"/>
    <w:rsid w:val="00266B04"/>
    <w:rsid w:val="00267623"/>
    <w:rsid w:val="002708BA"/>
    <w:rsid w:val="00271942"/>
    <w:rsid w:val="00271F30"/>
    <w:rsid w:val="002725E0"/>
    <w:rsid w:val="002727DD"/>
    <w:rsid w:val="00272B50"/>
    <w:rsid w:val="00272D42"/>
    <w:rsid w:val="0027358B"/>
    <w:rsid w:val="00273664"/>
    <w:rsid w:val="002748F8"/>
    <w:rsid w:val="00274981"/>
    <w:rsid w:val="00274D81"/>
    <w:rsid w:val="00277DFD"/>
    <w:rsid w:val="002814F7"/>
    <w:rsid w:val="002820AA"/>
    <w:rsid w:val="002826AD"/>
    <w:rsid w:val="00282F1B"/>
    <w:rsid w:val="002835F6"/>
    <w:rsid w:val="00283BB3"/>
    <w:rsid w:val="00283BBD"/>
    <w:rsid w:val="00286794"/>
    <w:rsid w:val="00286978"/>
    <w:rsid w:val="00286A25"/>
    <w:rsid w:val="00290221"/>
    <w:rsid w:val="00290549"/>
    <w:rsid w:val="0029090D"/>
    <w:rsid w:val="00290F63"/>
    <w:rsid w:val="00290FAA"/>
    <w:rsid w:val="00291107"/>
    <w:rsid w:val="002913D1"/>
    <w:rsid w:val="00291A97"/>
    <w:rsid w:val="00291C57"/>
    <w:rsid w:val="00291E55"/>
    <w:rsid w:val="0029223F"/>
    <w:rsid w:val="00292439"/>
    <w:rsid w:val="00292972"/>
    <w:rsid w:val="00295191"/>
    <w:rsid w:val="00295427"/>
    <w:rsid w:val="00295504"/>
    <w:rsid w:val="002A163D"/>
    <w:rsid w:val="002A1FFD"/>
    <w:rsid w:val="002A20D7"/>
    <w:rsid w:val="002A350D"/>
    <w:rsid w:val="002A3C5A"/>
    <w:rsid w:val="002A5EE9"/>
    <w:rsid w:val="002A66CC"/>
    <w:rsid w:val="002A68CD"/>
    <w:rsid w:val="002A6F7F"/>
    <w:rsid w:val="002A701B"/>
    <w:rsid w:val="002A7026"/>
    <w:rsid w:val="002B2248"/>
    <w:rsid w:val="002B2BC1"/>
    <w:rsid w:val="002B2D58"/>
    <w:rsid w:val="002B41CD"/>
    <w:rsid w:val="002B4578"/>
    <w:rsid w:val="002B7013"/>
    <w:rsid w:val="002B75D3"/>
    <w:rsid w:val="002B7874"/>
    <w:rsid w:val="002C04F1"/>
    <w:rsid w:val="002C1191"/>
    <w:rsid w:val="002C2024"/>
    <w:rsid w:val="002C27CE"/>
    <w:rsid w:val="002C2F9F"/>
    <w:rsid w:val="002C3420"/>
    <w:rsid w:val="002C4284"/>
    <w:rsid w:val="002C43DE"/>
    <w:rsid w:val="002C4839"/>
    <w:rsid w:val="002C5FF8"/>
    <w:rsid w:val="002C6FDA"/>
    <w:rsid w:val="002C7C9B"/>
    <w:rsid w:val="002C7D33"/>
    <w:rsid w:val="002D025D"/>
    <w:rsid w:val="002D3586"/>
    <w:rsid w:val="002D3F09"/>
    <w:rsid w:val="002D4BE6"/>
    <w:rsid w:val="002D4D01"/>
    <w:rsid w:val="002D5811"/>
    <w:rsid w:val="002D5C58"/>
    <w:rsid w:val="002D6FB7"/>
    <w:rsid w:val="002D7DBC"/>
    <w:rsid w:val="002E0D8E"/>
    <w:rsid w:val="002E19A7"/>
    <w:rsid w:val="002E284A"/>
    <w:rsid w:val="002E3DF8"/>
    <w:rsid w:val="002E4676"/>
    <w:rsid w:val="002E5F4D"/>
    <w:rsid w:val="002E6891"/>
    <w:rsid w:val="002E75D3"/>
    <w:rsid w:val="002F0787"/>
    <w:rsid w:val="002F174E"/>
    <w:rsid w:val="002F19B8"/>
    <w:rsid w:val="002F1D90"/>
    <w:rsid w:val="002F209C"/>
    <w:rsid w:val="002F33FE"/>
    <w:rsid w:val="002F34F7"/>
    <w:rsid w:val="002F4D24"/>
    <w:rsid w:val="002F56C2"/>
    <w:rsid w:val="002F5955"/>
    <w:rsid w:val="002F62BF"/>
    <w:rsid w:val="002F6F04"/>
    <w:rsid w:val="002F717A"/>
    <w:rsid w:val="00300566"/>
    <w:rsid w:val="0030087F"/>
    <w:rsid w:val="003009B1"/>
    <w:rsid w:val="00302EDE"/>
    <w:rsid w:val="00303431"/>
    <w:rsid w:val="00304394"/>
    <w:rsid w:val="003043F7"/>
    <w:rsid w:val="0030451E"/>
    <w:rsid w:val="003048A3"/>
    <w:rsid w:val="00305AA0"/>
    <w:rsid w:val="0030693A"/>
    <w:rsid w:val="00306EF1"/>
    <w:rsid w:val="00307AAD"/>
    <w:rsid w:val="00310CDC"/>
    <w:rsid w:val="0031129D"/>
    <w:rsid w:val="0031148B"/>
    <w:rsid w:val="0031191E"/>
    <w:rsid w:val="00311D52"/>
    <w:rsid w:val="00312152"/>
    <w:rsid w:val="00312F46"/>
    <w:rsid w:val="00313E4D"/>
    <w:rsid w:val="00314157"/>
    <w:rsid w:val="00316579"/>
    <w:rsid w:val="003174F6"/>
    <w:rsid w:val="0031789A"/>
    <w:rsid w:val="0031794D"/>
    <w:rsid w:val="00320EBB"/>
    <w:rsid w:val="00321C65"/>
    <w:rsid w:val="00321D7B"/>
    <w:rsid w:val="00322265"/>
    <w:rsid w:val="00322288"/>
    <w:rsid w:val="00323613"/>
    <w:rsid w:val="00324030"/>
    <w:rsid w:val="0032431B"/>
    <w:rsid w:val="00325768"/>
    <w:rsid w:val="00325FC3"/>
    <w:rsid w:val="003277F1"/>
    <w:rsid w:val="0033019B"/>
    <w:rsid w:val="00330D20"/>
    <w:rsid w:val="003322D1"/>
    <w:rsid w:val="00332D35"/>
    <w:rsid w:val="00332DA9"/>
    <w:rsid w:val="003336EF"/>
    <w:rsid w:val="00335446"/>
    <w:rsid w:val="00335B4A"/>
    <w:rsid w:val="003374E7"/>
    <w:rsid w:val="003378EE"/>
    <w:rsid w:val="003403C3"/>
    <w:rsid w:val="00340867"/>
    <w:rsid w:val="003418EC"/>
    <w:rsid w:val="00343A45"/>
    <w:rsid w:val="003458C5"/>
    <w:rsid w:val="00346828"/>
    <w:rsid w:val="00346AA4"/>
    <w:rsid w:val="00347033"/>
    <w:rsid w:val="003475F1"/>
    <w:rsid w:val="00350482"/>
    <w:rsid w:val="00350565"/>
    <w:rsid w:val="00352C40"/>
    <w:rsid w:val="00357EA1"/>
    <w:rsid w:val="0036084A"/>
    <w:rsid w:val="00360F13"/>
    <w:rsid w:val="00361295"/>
    <w:rsid w:val="003614CE"/>
    <w:rsid w:val="00362397"/>
    <w:rsid w:val="00363D15"/>
    <w:rsid w:val="00365294"/>
    <w:rsid w:val="0036615D"/>
    <w:rsid w:val="003670CF"/>
    <w:rsid w:val="00367B7C"/>
    <w:rsid w:val="00371CB2"/>
    <w:rsid w:val="00372400"/>
    <w:rsid w:val="00373099"/>
    <w:rsid w:val="003753DE"/>
    <w:rsid w:val="00376738"/>
    <w:rsid w:val="0037682E"/>
    <w:rsid w:val="003778AE"/>
    <w:rsid w:val="00380CD7"/>
    <w:rsid w:val="00381437"/>
    <w:rsid w:val="0038191D"/>
    <w:rsid w:val="00381FAD"/>
    <w:rsid w:val="00382142"/>
    <w:rsid w:val="0038225F"/>
    <w:rsid w:val="00382324"/>
    <w:rsid w:val="00382688"/>
    <w:rsid w:val="003831D2"/>
    <w:rsid w:val="00383978"/>
    <w:rsid w:val="003848EB"/>
    <w:rsid w:val="0038556A"/>
    <w:rsid w:val="003855FC"/>
    <w:rsid w:val="00385AD4"/>
    <w:rsid w:val="003862C9"/>
    <w:rsid w:val="0038721F"/>
    <w:rsid w:val="00390832"/>
    <w:rsid w:val="00392927"/>
    <w:rsid w:val="00393251"/>
    <w:rsid w:val="00393B40"/>
    <w:rsid w:val="00397037"/>
    <w:rsid w:val="003973C6"/>
    <w:rsid w:val="003A07AE"/>
    <w:rsid w:val="003A2208"/>
    <w:rsid w:val="003A3E64"/>
    <w:rsid w:val="003A3F17"/>
    <w:rsid w:val="003A4252"/>
    <w:rsid w:val="003A50C2"/>
    <w:rsid w:val="003A6080"/>
    <w:rsid w:val="003A661E"/>
    <w:rsid w:val="003A69F5"/>
    <w:rsid w:val="003A6CC5"/>
    <w:rsid w:val="003B00BE"/>
    <w:rsid w:val="003B02B5"/>
    <w:rsid w:val="003B3107"/>
    <w:rsid w:val="003B47F3"/>
    <w:rsid w:val="003B6E42"/>
    <w:rsid w:val="003B6F2C"/>
    <w:rsid w:val="003B7C1A"/>
    <w:rsid w:val="003C01C1"/>
    <w:rsid w:val="003C06C1"/>
    <w:rsid w:val="003C0B20"/>
    <w:rsid w:val="003C1DF8"/>
    <w:rsid w:val="003C3E0B"/>
    <w:rsid w:val="003C3EA1"/>
    <w:rsid w:val="003C45F8"/>
    <w:rsid w:val="003C5236"/>
    <w:rsid w:val="003C787E"/>
    <w:rsid w:val="003D04E8"/>
    <w:rsid w:val="003D0D34"/>
    <w:rsid w:val="003D1001"/>
    <w:rsid w:val="003D1914"/>
    <w:rsid w:val="003D1FFB"/>
    <w:rsid w:val="003D24CB"/>
    <w:rsid w:val="003D2A5B"/>
    <w:rsid w:val="003D328E"/>
    <w:rsid w:val="003D3387"/>
    <w:rsid w:val="003D41E3"/>
    <w:rsid w:val="003D5090"/>
    <w:rsid w:val="003D525F"/>
    <w:rsid w:val="003D605A"/>
    <w:rsid w:val="003D6584"/>
    <w:rsid w:val="003D684B"/>
    <w:rsid w:val="003D6A36"/>
    <w:rsid w:val="003E0804"/>
    <w:rsid w:val="003E1008"/>
    <w:rsid w:val="003E1554"/>
    <w:rsid w:val="003E267F"/>
    <w:rsid w:val="003E2A6F"/>
    <w:rsid w:val="003E3D07"/>
    <w:rsid w:val="003E3D7C"/>
    <w:rsid w:val="003F04D0"/>
    <w:rsid w:val="003F0CE4"/>
    <w:rsid w:val="003F0D38"/>
    <w:rsid w:val="003F1A6E"/>
    <w:rsid w:val="003F1FB9"/>
    <w:rsid w:val="003F3235"/>
    <w:rsid w:val="003F3430"/>
    <w:rsid w:val="003F3C0A"/>
    <w:rsid w:val="003F5726"/>
    <w:rsid w:val="003F5BFF"/>
    <w:rsid w:val="003F6722"/>
    <w:rsid w:val="003F73EA"/>
    <w:rsid w:val="003F7D5D"/>
    <w:rsid w:val="00400195"/>
    <w:rsid w:val="0040123F"/>
    <w:rsid w:val="00403F25"/>
    <w:rsid w:val="00406B80"/>
    <w:rsid w:val="00406E21"/>
    <w:rsid w:val="00406F20"/>
    <w:rsid w:val="00412D9B"/>
    <w:rsid w:val="00413281"/>
    <w:rsid w:val="00413347"/>
    <w:rsid w:val="004137D3"/>
    <w:rsid w:val="00413852"/>
    <w:rsid w:val="0041387E"/>
    <w:rsid w:val="00414319"/>
    <w:rsid w:val="004154D7"/>
    <w:rsid w:val="00415DD9"/>
    <w:rsid w:val="00420BE0"/>
    <w:rsid w:val="00421397"/>
    <w:rsid w:val="004221CD"/>
    <w:rsid w:val="00422A00"/>
    <w:rsid w:val="00423451"/>
    <w:rsid w:val="00423A6C"/>
    <w:rsid w:val="00423C74"/>
    <w:rsid w:val="00424AC7"/>
    <w:rsid w:val="004259D4"/>
    <w:rsid w:val="0042766E"/>
    <w:rsid w:val="0043127D"/>
    <w:rsid w:val="0043195C"/>
    <w:rsid w:val="004329F3"/>
    <w:rsid w:val="00434846"/>
    <w:rsid w:val="00434C74"/>
    <w:rsid w:val="00435A49"/>
    <w:rsid w:val="00435BF3"/>
    <w:rsid w:val="00436169"/>
    <w:rsid w:val="004361B8"/>
    <w:rsid w:val="0043682D"/>
    <w:rsid w:val="004371D7"/>
    <w:rsid w:val="004376F6"/>
    <w:rsid w:val="00443B8D"/>
    <w:rsid w:val="00443F82"/>
    <w:rsid w:val="00445DC8"/>
    <w:rsid w:val="00446B98"/>
    <w:rsid w:val="00447A9E"/>
    <w:rsid w:val="00447EEA"/>
    <w:rsid w:val="0045007A"/>
    <w:rsid w:val="0045094F"/>
    <w:rsid w:val="00451105"/>
    <w:rsid w:val="00451F7E"/>
    <w:rsid w:val="00453047"/>
    <w:rsid w:val="0045328A"/>
    <w:rsid w:val="00453959"/>
    <w:rsid w:val="00454DDA"/>
    <w:rsid w:val="004554D2"/>
    <w:rsid w:val="004557B2"/>
    <w:rsid w:val="00456028"/>
    <w:rsid w:val="0045662F"/>
    <w:rsid w:val="00456E6B"/>
    <w:rsid w:val="004579C3"/>
    <w:rsid w:val="00461871"/>
    <w:rsid w:val="00461ACD"/>
    <w:rsid w:val="0046292F"/>
    <w:rsid w:val="004629E5"/>
    <w:rsid w:val="00464132"/>
    <w:rsid w:val="0046447B"/>
    <w:rsid w:val="004662DD"/>
    <w:rsid w:val="0046650A"/>
    <w:rsid w:val="00466535"/>
    <w:rsid w:val="0046749A"/>
    <w:rsid w:val="0047012B"/>
    <w:rsid w:val="0047153C"/>
    <w:rsid w:val="004716BA"/>
    <w:rsid w:val="00471CC1"/>
    <w:rsid w:val="0047306C"/>
    <w:rsid w:val="004757C0"/>
    <w:rsid w:val="00475B43"/>
    <w:rsid w:val="00480034"/>
    <w:rsid w:val="00481392"/>
    <w:rsid w:val="004814B4"/>
    <w:rsid w:val="004816C8"/>
    <w:rsid w:val="00481AE8"/>
    <w:rsid w:val="0048286A"/>
    <w:rsid w:val="00483366"/>
    <w:rsid w:val="00484AAC"/>
    <w:rsid w:val="00484F3B"/>
    <w:rsid w:val="00485497"/>
    <w:rsid w:val="004855F8"/>
    <w:rsid w:val="00485649"/>
    <w:rsid w:val="004856CB"/>
    <w:rsid w:val="0048644F"/>
    <w:rsid w:val="00486B13"/>
    <w:rsid w:val="004875E7"/>
    <w:rsid w:val="00491CA0"/>
    <w:rsid w:val="00495239"/>
    <w:rsid w:val="00495542"/>
    <w:rsid w:val="00496624"/>
    <w:rsid w:val="00497C12"/>
    <w:rsid w:val="004A0076"/>
    <w:rsid w:val="004A0344"/>
    <w:rsid w:val="004A0962"/>
    <w:rsid w:val="004A1CA5"/>
    <w:rsid w:val="004A2053"/>
    <w:rsid w:val="004A271E"/>
    <w:rsid w:val="004A3302"/>
    <w:rsid w:val="004A3B57"/>
    <w:rsid w:val="004A466A"/>
    <w:rsid w:val="004A4B28"/>
    <w:rsid w:val="004A52AD"/>
    <w:rsid w:val="004A534A"/>
    <w:rsid w:val="004A5EBD"/>
    <w:rsid w:val="004B041D"/>
    <w:rsid w:val="004B17EC"/>
    <w:rsid w:val="004B18F1"/>
    <w:rsid w:val="004B3F2F"/>
    <w:rsid w:val="004B51C1"/>
    <w:rsid w:val="004B56AA"/>
    <w:rsid w:val="004C06F9"/>
    <w:rsid w:val="004C1EAE"/>
    <w:rsid w:val="004C1F63"/>
    <w:rsid w:val="004C2675"/>
    <w:rsid w:val="004C2731"/>
    <w:rsid w:val="004C2BC5"/>
    <w:rsid w:val="004C4189"/>
    <w:rsid w:val="004C4A8E"/>
    <w:rsid w:val="004C571A"/>
    <w:rsid w:val="004C5B58"/>
    <w:rsid w:val="004C5CAB"/>
    <w:rsid w:val="004C6E0F"/>
    <w:rsid w:val="004C7EAD"/>
    <w:rsid w:val="004D0BBD"/>
    <w:rsid w:val="004D1227"/>
    <w:rsid w:val="004D1998"/>
    <w:rsid w:val="004D2D46"/>
    <w:rsid w:val="004D38DD"/>
    <w:rsid w:val="004D407F"/>
    <w:rsid w:val="004D6E0E"/>
    <w:rsid w:val="004E145A"/>
    <w:rsid w:val="004E1A3C"/>
    <w:rsid w:val="004E1A92"/>
    <w:rsid w:val="004E276C"/>
    <w:rsid w:val="004E3667"/>
    <w:rsid w:val="004E3E83"/>
    <w:rsid w:val="004E5008"/>
    <w:rsid w:val="004E5043"/>
    <w:rsid w:val="004E6B2E"/>
    <w:rsid w:val="004E738F"/>
    <w:rsid w:val="004E74CE"/>
    <w:rsid w:val="004E7F42"/>
    <w:rsid w:val="004F0958"/>
    <w:rsid w:val="004F0BD8"/>
    <w:rsid w:val="004F1575"/>
    <w:rsid w:val="004F1B9F"/>
    <w:rsid w:val="004F5BBF"/>
    <w:rsid w:val="004F6AE1"/>
    <w:rsid w:val="004F6CAB"/>
    <w:rsid w:val="004F71C5"/>
    <w:rsid w:val="004F7A18"/>
    <w:rsid w:val="00500990"/>
    <w:rsid w:val="00500DDA"/>
    <w:rsid w:val="00502020"/>
    <w:rsid w:val="00502047"/>
    <w:rsid w:val="00502361"/>
    <w:rsid w:val="00502BC3"/>
    <w:rsid w:val="00504923"/>
    <w:rsid w:val="00505060"/>
    <w:rsid w:val="0050535E"/>
    <w:rsid w:val="0050559D"/>
    <w:rsid w:val="0050632B"/>
    <w:rsid w:val="0050718B"/>
    <w:rsid w:val="00507725"/>
    <w:rsid w:val="00511574"/>
    <w:rsid w:val="00512994"/>
    <w:rsid w:val="00512CD3"/>
    <w:rsid w:val="005134FB"/>
    <w:rsid w:val="0051453C"/>
    <w:rsid w:val="005148AC"/>
    <w:rsid w:val="005151E9"/>
    <w:rsid w:val="00516D9D"/>
    <w:rsid w:val="00516DC9"/>
    <w:rsid w:val="0051713D"/>
    <w:rsid w:val="00517A3B"/>
    <w:rsid w:val="00517CE3"/>
    <w:rsid w:val="00520A9E"/>
    <w:rsid w:val="00520B4B"/>
    <w:rsid w:val="00520F49"/>
    <w:rsid w:val="00522AF1"/>
    <w:rsid w:val="00523DFB"/>
    <w:rsid w:val="00524DED"/>
    <w:rsid w:val="005255F3"/>
    <w:rsid w:val="0052586A"/>
    <w:rsid w:val="0052671F"/>
    <w:rsid w:val="0052783B"/>
    <w:rsid w:val="005303AB"/>
    <w:rsid w:val="005307D6"/>
    <w:rsid w:val="00530863"/>
    <w:rsid w:val="00531E21"/>
    <w:rsid w:val="00531F03"/>
    <w:rsid w:val="00531F32"/>
    <w:rsid w:val="00532A03"/>
    <w:rsid w:val="00535AFF"/>
    <w:rsid w:val="00535C9E"/>
    <w:rsid w:val="00537F3B"/>
    <w:rsid w:val="0054075E"/>
    <w:rsid w:val="00541226"/>
    <w:rsid w:val="00541D27"/>
    <w:rsid w:val="00542884"/>
    <w:rsid w:val="00542E21"/>
    <w:rsid w:val="00544F92"/>
    <w:rsid w:val="00545781"/>
    <w:rsid w:val="00545850"/>
    <w:rsid w:val="00546468"/>
    <w:rsid w:val="00550CE2"/>
    <w:rsid w:val="00550DE0"/>
    <w:rsid w:val="00554CA2"/>
    <w:rsid w:val="00554D7B"/>
    <w:rsid w:val="005550ED"/>
    <w:rsid w:val="00555AAC"/>
    <w:rsid w:val="0055717B"/>
    <w:rsid w:val="00557741"/>
    <w:rsid w:val="005606BF"/>
    <w:rsid w:val="005610BF"/>
    <w:rsid w:val="005624B4"/>
    <w:rsid w:val="00565F9E"/>
    <w:rsid w:val="00566342"/>
    <w:rsid w:val="00566700"/>
    <w:rsid w:val="005669D6"/>
    <w:rsid w:val="0056710A"/>
    <w:rsid w:val="005705F2"/>
    <w:rsid w:val="005716DE"/>
    <w:rsid w:val="00571751"/>
    <w:rsid w:val="00571F49"/>
    <w:rsid w:val="00572352"/>
    <w:rsid w:val="00572D43"/>
    <w:rsid w:val="00573E1E"/>
    <w:rsid w:val="00574581"/>
    <w:rsid w:val="00574992"/>
    <w:rsid w:val="00577177"/>
    <w:rsid w:val="005802D8"/>
    <w:rsid w:val="005820F2"/>
    <w:rsid w:val="005820FD"/>
    <w:rsid w:val="00582AEA"/>
    <w:rsid w:val="0058326B"/>
    <w:rsid w:val="00583D9E"/>
    <w:rsid w:val="0058500C"/>
    <w:rsid w:val="00585D0E"/>
    <w:rsid w:val="00585E4E"/>
    <w:rsid w:val="005863AF"/>
    <w:rsid w:val="00587E83"/>
    <w:rsid w:val="00591400"/>
    <w:rsid w:val="00592715"/>
    <w:rsid w:val="00593149"/>
    <w:rsid w:val="00593170"/>
    <w:rsid w:val="00593273"/>
    <w:rsid w:val="005945F6"/>
    <w:rsid w:val="00594BB2"/>
    <w:rsid w:val="00596230"/>
    <w:rsid w:val="005A051B"/>
    <w:rsid w:val="005A1554"/>
    <w:rsid w:val="005A1B3F"/>
    <w:rsid w:val="005A1BC5"/>
    <w:rsid w:val="005A1D57"/>
    <w:rsid w:val="005A256F"/>
    <w:rsid w:val="005A258D"/>
    <w:rsid w:val="005A3A32"/>
    <w:rsid w:val="005A3D57"/>
    <w:rsid w:val="005A504D"/>
    <w:rsid w:val="005A5C18"/>
    <w:rsid w:val="005A6CD4"/>
    <w:rsid w:val="005B11FE"/>
    <w:rsid w:val="005B14DA"/>
    <w:rsid w:val="005B164C"/>
    <w:rsid w:val="005B2711"/>
    <w:rsid w:val="005B3987"/>
    <w:rsid w:val="005B4220"/>
    <w:rsid w:val="005B44B2"/>
    <w:rsid w:val="005B5207"/>
    <w:rsid w:val="005B5274"/>
    <w:rsid w:val="005B549C"/>
    <w:rsid w:val="005B573D"/>
    <w:rsid w:val="005B58A1"/>
    <w:rsid w:val="005B6353"/>
    <w:rsid w:val="005B71B9"/>
    <w:rsid w:val="005B774C"/>
    <w:rsid w:val="005C046E"/>
    <w:rsid w:val="005C1A82"/>
    <w:rsid w:val="005C1E81"/>
    <w:rsid w:val="005C1E87"/>
    <w:rsid w:val="005C2268"/>
    <w:rsid w:val="005C2397"/>
    <w:rsid w:val="005C3D94"/>
    <w:rsid w:val="005C4522"/>
    <w:rsid w:val="005C49B9"/>
    <w:rsid w:val="005C51AD"/>
    <w:rsid w:val="005C6AE8"/>
    <w:rsid w:val="005C73A4"/>
    <w:rsid w:val="005C7EF8"/>
    <w:rsid w:val="005D138E"/>
    <w:rsid w:val="005D31AA"/>
    <w:rsid w:val="005D359D"/>
    <w:rsid w:val="005D5B3C"/>
    <w:rsid w:val="005D5E27"/>
    <w:rsid w:val="005D6760"/>
    <w:rsid w:val="005D6B44"/>
    <w:rsid w:val="005D6EF6"/>
    <w:rsid w:val="005D7358"/>
    <w:rsid w:val="005E1DDA"/>
    <w:rsid w:val="005E1ED4"/>
    <w:rsid w:val="005E205A"/>
    <w:rsid w:val="005E2C42"/>
    <w:rsid w:val="005E3D39"/>
    <w:rsid w:val="005E5579"/>
    <w:rsid w:val="005E5ED2"/>
    <w:rsid w:val="005E72DC"/>
    <w:rsid w:val="005E74C4"/>
    <w:rsid w:val="005F0539"/>
    <w:rsid w:val="005F06FA"/>
    <w:rsid w:val="005F3DC7"/>
    <w:rsid w:val="005F46C4"/>
    <w:rsid w:val="005F4EC0"/>
    <w:rsid w:val="005F519A"/>
    <w:rsid w:val="005F672F"/>
    <w:rsid w:val="005F6F7B"/>
    <w:rsid w:val="005F6FF6"/>
    <w:rsid w:val="00600CEF"/>
    <w:rsid w:val="006012B8"/>
    <w:rsid w:val="00602DDF"/>
    <w:rsid w:val="00603F43"/>
    <w:rsid w:val="00604B4C"/>
    <w:rsid w:val="00604E77"/>
    <w:rsid w:val="006051A4"/>
    <w:rsid w:val="00607D6F"/>
    <w:rsid w:val="00611B48"/>
    <w:rsid w:val="00612B64"/>
    <w:rsid w:val="00613905"/>
    <w:rsid w:val="0061393F"/>
    <w:rsid w:val="0061643B"/>
    <w:rsid w:val="00616C71"/>
    <w:rsid w:val="00617F21"/>
    <w:rsid w:val="006208BC"/>
    <w:rsid w:val="00620E8E"/>
    <w:rsid w:val="00621A69"/>
    <w:rsid w:val="006220FB"/>
    <w:rsid w:val="006224B8"/>
    <w:rsid w:val="00623CE7"/>
    <w:rsid w:val="00623DCE"/>
    <w:rsid w:val="00625468"/>
    <w:rsid w:val="006256D0"/>
    <w:rsid w:val="00625FD1"/>
    <w:rsid w:val="00626F30"/>
    <w:rsid w:val="00627104"/>
    <w:rsid w:val="0063058D"/>
    <w:rsid w:val="00631500"/>
    <w:rsid w:val="00632D06"/>
    <w:rsid w:val="00632D2B"/>
    <w:rsid w:val="006335B4"/>
    <w:rsid w:val="00633E5B"/>
    <w:rsid w:val="00633F9E"/>
    <w:rsid w:val="00634B3D"/>
    <w:rsid w:val="00636C2B"/>
    <w:rsid w:val="00637D49"/>
    <w:rsid w:val="00637F9D"/>
    <w:rsid w:val="006400D8"/>
    <w:rsid w:val="00640F2B"/>
    <w:rsid w:val="0064118F"/>
    <w:rsid w:val="00641AB0"/>
    <w:rsid w:val="00643F68"/>
    <w:rsid w:val="006456A6"/>
    <w:rsid w:val="00645BA0"/>
    <w:rsid w:val="00645FD9"/>
    <w:rsid w:val="00646134"/>
    <w:rsid w:val="00646246"/>
    <w:rsid w:val="006475A1"/>
    <w:rsid w:val="00650E23"/>
    <w:rsid w:val="006511E2"/>
    <w:rsid w:val="00651E0A"/>
    <w:rsid w:val="006520AA"/>
    <w:rsid w:val="006547F4"/>
    <w:rsid w:val="006554DE"/>
    <w:rsid w:val="00655646"/>
    <w:rsid w:val="0065647F"/>
    <w:rsid w:val="006607A5"/>
    <w:rsid w:val="006610A5"/>
    <w:rsid w:val="006613C6"/>
    <w:rsid w:val="0066341C"/>
    <w:rsid w:val="006634B7"/>
    <w:rsid w:val="006638B3"/>
    <w:rsid w:val="00663A8E"/>
    <w:rsid w:val="00663F18"/>
    <w:rsid w:val="0066686F"/>
    <w:rsid w:val="006669F1"/>
    <w:rsid w:val="00672971"/>
    <w:rsid w:val="00673457"/>
    <w:rsid w:val="00673CA3"/>
    <w:rsid w:val="00674887"/>
    <w:rsid w:val="00674BEF"/>
    <w:rsid w:val="006763EA"/>
    <w:rsid w:val="0068017A"/>
    <w:rsid w:val="00681987"/>
    <w:rsid w:val="00682C3E"/>
    <w:rsid w:val="00683BDC"/>
    <w:rsid w:val="00683D07"/>
    <w:rsid w:val="006841AF"/>
    <w:rsid w:val="00684DB6"/>
    <w:rsid w:val="006866B5"/>
    <w:rsid w:val="00686B91"/>
    <w:rsid w:val="00686C1B"/>
    <w:rsid w:val="00686F7B"/>
    <w:rsid w:val="0068767E"/>
    <w:rsid w:val="006923D1"/>
    <w:rsid w:val="0069243E"/>
    <w:rsid w:val="00693B3F"/>
    <w:rsid w:val="00693B65"/>
    <w:rsid w:val="006943C1"/>
    <w:rsid w:val="006969F7"/>
    <w:rsid w:val="00697152"/>
    <w:rsid w:val="00697751"/>
    <w:rsid w:val="00697921"/>
    <w:rsid w:val="006A0043"/>
    <w:rsid w:val="006A2AF4"/>
    <w:rsid w:val="006A2BA8"/>
    <w:rsid w:val="006A2FD9"/>
    <w:rsid w:val="006A365A"/>
    <w:rsid w:val="006A7B46"/>
    <w:rsid w:val="006B2203"/>
    <w:rsid w:val="006B325C"/>
    <w:rsid w:val="006B3F74"/>
    <w:rsid w:val="006B4CE8"/>
    <w:rsid w:val="006B5E82"/>
    <w:rsid w:val="006B6D6E"/>
    <w:rsid w:val="006B7E82"/>
    <w:rsid w:val="006C06B4"/>
    <w:rsid w:val="006C0A49"/>
    <w:rsid w:val="006C1C5F"/>
    <w:rsid w:val="006C1CD5"/>
    <w:rsid w:val="006C2C4E"/>
    <w:rsid w:val="006C3034"/>
    <w:rsid w:val="006C3242"/>
    <w:rsid w:val="006C33E6"/>
    <w:rsid w:val="006C41B6"/>
    <w:rsid w:val="006C4B7A"/>
    <w:rsid w:val="006C5230"/>
    <w:rsid w:val="006C636B"/>
    <w:rsid w:val="006C7F54"/>
    <w:rsid w:val="006D0313"/>
    <w:rsid w:val="006D1445"/>
    <w:rsid w:val="006D1BB1"/>
    <w:rsid w:val="006D299F"/>
    <w:rsid w:val="006D4AFC"/>
    <w:rsid w:val="006D64B8"/>
    <w:rsid w:val="006D6B14"/>
    <w:rsid w:val="006D6C1D"/>
    <w:rsid w:val="006E2CE4"/>
    <w:rsid w:val="006E340C"/>
    <w:rsid w:val="006E47CC"/>
    <w:rsid w:val="006E5960"/>
    <w:rsid w:val="006E6074"/>
    <w:rsid w:val="006E625F"/>
    <w:rsid w:val="006E6F1F"/>
    <w:rsid w:val="006E7156"/>
    <w:rsid w:val="006E73CF"/>
    <w:rsid w:val="006F0AE8"/>
    <w:rsid w:val="006F1097"/>
    <w:rsid w:val="006F124C"/>
    <w:rsid w:val="006F22F0"/>
    <w:rsid w:val="006F2EE6"/>
    <w:rsid w:val="006F3D57"/>
    <w:rsid w:val="006F4073"/>
    <w:rsid w:val="006F42E3"/>
    <w:rsid w:val="006F48E0"/>
    <w:rsid w:val="006F4A35"/>
    <w:rsid w:val="006F5D6D"/>
    <w:rsid w:val="007003DF"/>
    <w:rsid w:val="00700BB9"/>
    <w:rsid w:val="007027DF"/>
    <w:rsid w:val="0070447B"/>
    <w:rsid w:val="00704B3C"/>
    <w:rsid w:val="00704CC6"/>
    <w:rsid w:val="0070554D"/>
    <w:rsid w:val="0070673F"/>
    <w:rsid w:val="00707029"/>
    <w:rsid w:val="007070E2"/>
    <w:rsid w:val="00707AF9"/>
    <w:rsid w:val="00711DC8"/>
    <w:rsid w:val="007126D5"/>
    <w:rsid w:val="007140A8"/>
    <w:rsid w:val="007203C0"/>
    <w:rsid w:val="00722B9B"/>
    <w:rsid w:val="00724A43"/>
    <w:rsid w:val="00724AB2"/>
    <w:rsid w:val="00724F4A"/>
    <w:rsid w:val="007256E5"/>
    <w:rsid w:val="00727830"/>
    <w:rsid w:val="0073021B"/>
    <w:rsid w:val="00730AE9"/>
    <w:rsid w:val="00731E0E"/>
    <w:rsid w:val="00732878"/>
    <w:rsid w:val="00732F1D"/>
    <w:rsid w:val="00732FFC"/>
    <w:rsid w:val="00733B15"/>
    <w:rsid w:val="007356FA"/>
    <w:rsid w:val="007358AD"/>
    <w:rsid w:val="0073598A"/>
    <w:rsid w:val="00735E71"/>
    <w:rsid w:val="00737D81"/>
    <w:rsid w:val="007403A8"/>
    <w:rsid w:val="0074052C"/>
    <w:rsid w:val="00741813"/>
    <w:rsid w:val="00741C0C"/>
    <w:rsid w:val="007424F4"/>
    <w:rsid w:val="0074477F"/>
    <w:rsid w:val="00744CB1"/>
    <w:rsid w:val="00745B4B"/>
    <w:rsid w:val="00745E77"/>
    <w:rsid w:val="00746AE8"/>
    <w:rsid w:val="00746C7E"/>
    <w:rsid w:val="007501AF"/>
    <w:rsid w:val="00750228"/>
    <w:rsid w:val="00750615"/>
    <w:rsid w:val="0075125F"/>
    <w:rsid w:val="00753EE3"/>
    <w:rsid w:val="00754578"/>
    <w:rsid w:val="00754AF2"/>
    <w:rsid w:val="00754FB8"/>
    <w:rsid w:val="00755024"/>
    <w:rsid w:val="00756201"/>
    <w:rsid w:val="007563C8"/>
    <w:rsid w:val="00756FEE"/>
    <w:rsid w:val="00757482"/>
    <w:rsid w:val="007603CE"/>
    <w:rsid w:val="00760CC2"/>
    <w:rsid w:val="00762D3D"/>
    <w:rsid w:val="007633E3"/>
    <w:rsid w:val="00763E7F"/>
    <w:rsid w:val="0076464B"/>
    <w:rsid w:val="0076488C"/>
    <w:rsid w:val="00764D05"/>
    <w:rsid w:val="0076572D"/>
    <w:rsid w:val="00765D3D"/>
    <w:rsid w:val="00765EC0"/>
    <w:rsid w:val="00765F70"/>
    <w:rsid w:val="00766647"/>
    <w:rsid w:val="00767DB3"/>
    <w:rsid w:val="00770BDD"/>
    <w:rsid w:val="0077139E"/>
    <w:rsid w:val="00772436"/>
    <w:rsid w:val="0077455B"/>
    <w:rsid w:val="0078012B"/>
    <w:rsid w:val="00781358"/>
    <w:rsid w:val="00782C34"/>
    <w:rsid w:val="00783114"/>
    <w:rsid w:val="0078380F"/>
    <w:rsid w:val="0078529B"/>
    <w:rsid w:val="00785975"/>
    <w:rsid w:val="00790A34"/>
    <w:rsid w:val="0079129E"/>
    <w:rsid w:val="007918CB"/>
    <w:rsid w:val="007936D6"/>
    <w:rsid w:val="007937B1"/>
    <w:rsid w:val="007941DB"/>
    <w:rsid w:val="0079456A"/>
    <w:rsid w:val="00794DB5"/>
    <w:rsid w:val="0079592A"/>
    <w:rsid w:val="00795FD5"/>
    <w:rsid w:val="007976A9"/>
    <w:rsid w:val="007A03FD"/>
    <w:rsid w:val="007A08BD"/>
    <w:rsid w:val="007A1DCE"/>
    <w:rsid w:val="007A3DB6"/>
    <w:rsid w:val="007A3EDE"/>
    <w:rsid w:val="007A4A26"/>
    <w:rsid w:val="007A569E"/>
    <w:rsid w:val="007A6003"/>
    <w:rsid w:val="007A6E21"/>
    <w:rsid w:val="007A78F4"/>
    <w:rsid w:val="007B0483"/>
    <w:rsid w:val="007B1123"/>
    <w:rsid w:val="007B320B"/>
    <w:rsid w:val="007B45A5"/>
    <w:rsid w:val="007B59EC"/>
    <w:rsid w:val="007B6169"/>
    <w:rsid w:val="007B6330"/>
    <w:rsid w:val="007B67C7"/>
    <w:rsid w:val="007B7514"/>
    <w:rsid w:val="007C0E53"/>
    <w:rsid w:val="007C134A"/>
    <w:rsid w:val="007C27A0"/>
    <w:rsid w:val="007C30FF"/>
    <w:rsid w:val="007C3180"/>
    <w:rsid w:val="007C3331"/>
    <w:rsid w:val="007D28C5"/>
    <w:rsid w:val="007D2F5C"/>
    <w:rsid w:val="007D39AB"/>
    <w:rsid w:val="007D3F51"/>
    <w:rsid w:val="007D4C81"/>
    <w:rsid w:val="007D5241"/>
    <w:rsid w:val="007D6B84"/>
    <w:rsid w:val="007E046C"/>
    <w:rsid w:val="007E187C"/>
    <w:rsid w:val="007E1E5E"/>
    <w:rsid w:val="007E1FBF"/>
    <w:rsid w:val="007E2E93"/>
    <w:rsid w:val="007E2F10"/>
    <w:rsid w:val="007E2F70"/>
    <w:rsid w:val="007E321D"/>
    <w:rsid w:val="007E3AD0"/>
    <w:rsid w:val="007E4AE3"/>
    <w:rsid w:val="007E4F28"/>
    <w:rsid w:val="007E581A"/>
    <w:rsid w:val="007E6328"/>
    <w:rsid w:val="007E654E"/>
    <w:rsid w:val="007E7AF2"/>
    <w:rsid w:val="007F0D36"/>
    <w:rsid w:val="007F1E86"/>
    <w:rsid w:val="007F20A4"/>
    <w:rsid w:val="007F299B"/>
    <w:rsid w:val="007F4884"/>
    <w:rsid w:val="007F5019"/>
    <w:rsid w:val="007F520C"/>
    <w:rsid w:val="007F6BEA"/>
    <w:rsid w:val="007F7F8D"/>
    <w:rsid w:val="008011A6"/>
    <w:rsid w:val="00801BDD"/>
    <w:rsid w:val="00802373"/>
    <w:rsid w:val="00804B7C"/>
    <w:rsid w:val="008061AD"/>
    <w:rsid w:val="00806A79"/>
    <w:rsid w:val="00807A28"/>
    <w:rsid w:val="00813974"/>
    <w:rsid w:val="008144A0"/>
    <w:rsid w:val="00814AA3"/>
    <w:rsid w:val="00814E25"/>
    <w:rsid w:val="00816B46"/>
    <w:rsid w:val="0081791D"/>
    <w:rsid w:val="0082010D"/>
    <w:rsid w:val="00820E50"/>
    <w:rsid w:val="0082115B"/>
    <w:rsid w:val="00822087"/>
    <w:rsid w:val="00822612"/>
    <w:rsid w:val="00822C1D"/>
    <w:rsid w:val="008246C9"/>
    <w:rsid w:val="00824DA7"/>
    <w:rsid w:val="00824DB0"/>
    <w:rsid w:val="008254D0"/>
    <w:rsid w:val="00825C3C"/>
    <w:rsid w:val="00826070"/>
    <w:rsid w:val="00826416"/>
    <w:rsid w:val="008272EA"/>
    <w:rsid w:val="008278E3"/>
    <w:rsid w:val="00827F89"/>
    <w:rsid w:val="0083050A"/>
    <w:rsid w:val="0083127B"/>
    <w:rsid w:val="008313BF"/>
    <w:rsid w:val="00832783"/>
    <w:rsid w:val="008327FA"/>
    <w:rsid w:val="0083299B"/>
    <w:rsid w:val="00832BBF"/>
    <w:rsid w:val="00834D26"/>
    <w:rsid w:val="00835503"/>
    <w:rsid w:val="0083615B"/>
    <w:rsid w:val="008362DA"/>
    <w:rsid w:val="00837983"/>
    <w:rsid w:val="008400AD"/>
    <w:rsid w:val="00841044"/>
    <w:rsid w:val="008424D0"/>
    <w:rsid w:val="0084370A"/>
    <w:rsid w:val="00844A3C"/>
    <w:rsid w:val="00844A9B"/>
    <w:rsid w:val="0084500B"/>
    <w:rsid w:val="00845676"/>
    <w:rsid w:val="00846353"/>
    <w:rsid w:val="00847D9B"/>
    <w:rsid w:val="00850F23"/>
    <w:rsid w:val="00854F37"/>
    <w:rsid w:val="00856E86"/>
    <w:rsid w:val="00857009"/>
    <w:rsid w:val="00860326"/>
    <w:rsid w:val="00860F0B"/>
    <w:rsid w:val="00861FFF"/>
    <w:rsid w:val="00863731"/>
    <w:rsid w:val="0086607D"/>
    <w:rsid w:val="0086726B"/>
    <w:rsid w:val="00871167"/>
    <w:rsid w:val="0087124E"/>
    <w:rsid w:val="008714B1"/>
    <w:rsid w:val="008715B7"/>
    <w:rsid w:val="00872212"/>
    <w:rsid w:val="008727BA"/>
    <w:rsid w:val="008730F5"/>
    <w:rsid w:val="00873269"/>
    <w:rsid w:val="008736F3"/>
    <w:rsid w:val="0087374C"/>
    <w:rsid w:val="00873E4B"/>
    <w:rsid w:val="00874C7D"/>
    <w:rsid w:val="0087571D"/>
    <w:rsid w:val="00875C24"/>
    <w:rsid w:val="008806F9"/>
    <w:rsid w:val="0088130F"/>
    <w:rsid w:val="00882FA9"/>
    <w:rsid w:val="00883748"/>
    <w:rsid w:val="00883893"/>
    <w:rsid w:val="0088392C"/>
    <w:rsid w:val="0088496A"/>
    <w:rsid w:val="00884F0C"/>
    <w:rsid w:val="00885CBC"/>
    <w:rsid w:val="00885D24"/>
    <w:rsid w:val="00886E41"/>
    <w:rsid w:val="0088799C"/>
    <w:rsid w:val="008901F5"/>
    <w:rsid w:val="00890688"/>
    <w:rsid w:val="00892CA3"/>
    <w:rsid w:val="00893D01"/>
    <w:rsid w:val="00894A92"/>
    <w:rsid w:val="008957D2"/>
    <w:rsid w:val="008960F2"/>
    <w:rsid w:val="00896EFF"/>
    <w:rsid w:val="00897569"/>
    <w:rsid w:val="00897C48"/>
    <w:rsid w:val="00897D36"/>
    <w:rsid w:val="008A00C5"/>
    <w:rsid w:val="008A0839"/>
    <w:rsid w:val="008A0BAC"/>
    <w:rsid w:val="008A132D"/>
    <w:rsid w:val="008A18E1"/>
    <w:rsid w:val="008A1941"/>
    <w:rsid w:val="008A312C"/>
    <w:rsid w:val="008A354A"/>
    <w:rsid w:val="008A4087"/>
    <w:rsid w:val="008A4B53"/>
    <w:rsid w:val="008A500B"/>
    <w:rsid w:val="008A557E"/>
    <w:rsid w:val="008A58FB"/>
    <w:rsid w:val="008A71B0"/>
    <w:rsid w:val="008B0B9B"/>
    <w:rsid w:val="008B1F07"/>
    <w:rsid w:val="008B2C0C"/>
    <w:rsid w:val="008B2DC1"/>
    <w:rsid w:val="008B312B"/>
    <w:rsid w:val="008B3BC0"/>
    <w:rsid w:val="008B4172"/>
    <w:rsid w:val="008B41D2"/>
    <w:rsid w:val="008B5582"/>
    <w:rsid w:val="008B639A"/>
    <w:rsid w:val="008B7887"/>
    <w:rsid w:val="008C1CB8"/>
    <w:rsid w:val="008C4537"/>
    <w:rsid w:val="008C4C25"/>
    <w:rsid w:val="008C56EA"/>
    <w:rsid w:val="008C663B"/>
    <w:rsid w:val="008C7540"/>
    <w:rsid w:val="008D0AB1"/>
    <w:rsid w:val="008D1005"/>
    <w:rsid w:val="008D27A8"/>
    <w:rsid w:val="008D3618"/>
    <w:rsid w:val="008D3CC6"/>
    <w:rsid w:val="008D6551"/>
    <w:rsid w:val="008D6B2A"/>
    <w:rsid w:val="008D7804"/>
    <w:rsid w:val="008E0011"/>
    <w:rsid w:val="008E0BE8"/>
    <w:rsid w:val="008E10D5"/>
    <w:rsid w:val="008E1448"/>
    <w:rsid w:val="008E1656"/>
    <w:rsid w:val="008E1E1D"/>
    <w:rsid w:val="008E2138"/>
    <w:rsid w:val="008E244B"/>
    <w:rsid w:val="008E2837"/>
    <w:rsid w:val="008E2FCD"/>
    <w:rsid w:val="008E3B92"/>
    <w:rsid w:val="008E4A8E"/>
    <w:rsid w:val="008E690E"/>
    <w:rsid w:val="008E75A3"/>
    <w:rsid w:val="008E773A"/>
    <w:rsid w:val="008F071F"/>
    <w:rsid w:val="008F09E7"/>
    <w:rsid w:val="008F0A93"/>
    <w:rsid w:val="008F0D18"/>
    <w:rsid w:val="008F102A"/>
    <w:rsid w:val="008F3332"/>
    <w:rsid w:val="008F3CCA"/>
    <w:rsid w:val="008F3ED7"/>
    <w:rsid w:val="008F4579"/>
    <w:rsid w:val="008F46AA"/>
    <w:rsid w:val="008F47A3"/>
    <w:rsid w:val="008F4ADC"/>
    <w:rsid w:val="008F6339"/>
    <w:rsid w:val="009000BD"/>
    <w:rsid w:val="00900905"/>
    <w:rsid w:val="009025A1"/>
    <w:rsid w:val="009026E3"/>
    <w:rsid w:val="00903280"/>
    <w:rsid w:val="009033FF"/>
    <w:rsid w:val="00903640"/>
    <w:rsid w:val="00903A38"/>
    <w:rsid w:val="00904A20"/>
    <w:rsid w:val="00904BD7"/>
    <w:rsid w:val="00905C08"/>
    <w:rsid w:val="00907F74"/>
    <w:rsid w:val="00911563"/>
    <w:rsid w:val="0091290E"/>
    <w:rsid w:val="00912A2C"/>
    <w:rsid w:val="0091388D"/>
    <w:rsid w:val="00913C2B"/>
    <w:rsid w:val="00913E33"/>
    <w:rsid w:val="00914C6E"/>
    <w:rsid w:val="00914D26"/>
    <w:rsid w:val="009175D9"/>
    <w:rsid w:val="00917C5E"/>
    <w:rsid w:val="00920BF8"/>
    <w:rsid w:val="0092151A"/>
    <w:rsid w:val="00923B59"/>
    <w:rsid w:val="00924D67"/>
    <w:rsid w:val="0092596D"/>
    <w:rsid w:val="00925B98"/>
    <w:rsid w:val="00927880"/>
    <w:rsid w:val="00931006"/>
    <w:rsid w:val="009340E0"/>
    <w:rsid w:val="00934699"/>
    <w:rsid w:val="00935BB5"/>
    <w:rsid w:val="0093717A"/>
    <w:rsid w:val="00937448"/>
    <w:rsid w:val="00941324"/>
    <w:rsid w:val="00941695"/>
    <w:rsid w:val="0094182C"/>
    <w:rsid w:val="00941FE2"/>
    <w:rsid w:val="00942546"/>
    <w:rsid w:val="009426FF"/>
    <w:rsid w:val="00943778"/>
    <w:rsid w:val="0094593B"/>
    <w:rsid w:val="00945EDD"/>
    <w:rsid w:val="0094600E"/>
    <w:rsid w:val="00946464"/>
    <w:rsid w:val="00946C7F"/>
    <w:rsid w:val="00946FD9"/>
    <w:rsid w:val="00950AA7"/>
    <w:rsid w:val="00950C17"/>
    <w:rsid w:val="00952F59"/>
    <w:rsid w:val="00955022"/>
    <w:rsid w:val="00956D82"/>
    <w:rsid w:val="00957404"/>
    <w:rsid w:val="00957792"/>
    <w:rsid w:val="0095784D"/>
    <w:rsid w:val="009609D2"/>
    <w:rsid w:val="00961EF6"/>
    <w:rsid w:val="00961F76"/>
    <w:rsid w:val="009628AD"/>
    <w:rsid w:val="00962A4C"/>
    <w:rsid w:val="00962B8C"/>
    <w:rsid w:val="00962F71"/>
    <w:rsid w:val="00963004"/>
    <w:rsid w:val="0096362C"/>
    <w:rsid w:val="00964381"/>
    <w:rsid w:val="009662D9"/>
    <w:rsid w:val="009663F0"/>
    <w:rsid w:val="00967250"/>
    <w:rsid w:val="0096732D"/>
    <w:rsid w:val="00970D59"/>
    <w:rsid w:val="00971639"/>
    <w:rsid w:val="00971DD6"/>
    <w:rsid w:val="00972206"/>
    <w:rsid w:val="00972C57"/>
    <w:rsid w:val="0097377E"/>
    <w:rsid w:val="009748B8"/>
    <w:rsid w:val="0097494B"/>
    <w:rsid w:val="00974CE4"/>
    <w:rsid w:val="00975157"/>
    <w:rsid w:val="00975E39"/>
    <w:rsid w:val="009764B8"/>
    <w:rsid w:val="00976ABE"/>
    <w:rsid w:val="009778EE"/>
    <w:rsid w:val="00980151"/>
    <w:rsid w:val="00983F40"/>
    <w:rsid w:val="00985EEF"/>
    <w:rsid w:val="009867FE"/>
    <w:rsid w:val="00986941"/>
    <w:rsid w:val="00986FEA"/>
    <w:rsid w:val="00990C68"/>
    <w:rsid w:val="009928C1"/>
    <w:rsid w:val="00992AF7"/>
    <w:rsid w:val="00992C1C"/>
    <w:rsid w:val="00993196"/>
    <w:rsid w:val="009942C4"/>
    <w:rsid w:val="0099453B"/>
    <w:rsid w:val="009946EB"/>
    <w:rsid w:val="00994D8E"/>
    <w:rsid w:val="00994F3A"/>
    <w:rsid w:val="00996C9E"/>
    <w:rsid w:val="00997517"/>
    <w:rsid w:val="009A00AE"/>
    <w:rsid w:val="009A0130"/>
    <w:rsid w:val="009A0A8D"/>
    <w:rsid w:val="009A26F4"/>
    <w:rsid w:val="009A3AC3"/>
    <w:rsid w:val="009B0E69"/>
    <w:rsid w:val="009B1C94"/>
    <w:rsid w:val="009B3BF7"/>
    <w:rsid w:val="009B45DA"/>
    <w:rsid w:val="009B4926"/>
    <w:rsid w:val="009B5726"/>
    <w:rsid w:val="009B6525"/>
    <w:rsid w:val="009B6A86"/>
    <w:rsid w:val="009B7DE1"/>
    <w:rsid w:val="009C1019"/>
    <w:rsid w:val="009C1155"/>
    <w:rsid w:val="009C18A8"/>
    <w:rsid w:val="009C1979"/>
    <w:rsid w:val="009C1A8A"/>
    <w:rsid w:val="009C1BB0"/>
    <w:rsid w:val="009C2C87"/>
    <w:rsid w:val="009C44DE"/>
    <w:rsid w:val="009C5264"/>
    <w:rsid w:val="009C5455"/>
    <w:rsid w:val="009C5CF2"/>
    <w:rsid w:val="009C6059"/>
    <w:rsid w:val="009C6E25"/>
    <w:rsid w:val="009D0C3E"/>
    <w:rsid w:val="009D1B0E"/>
    <w:rsid w:val="009D3182"/>
    <w:rsid w:val="009D3BBB"/>
    <w:rsid w:val="009D3D21"/>
    <w:rsid w:val="009D3E13"/>
    <w:rsid w:val="009D53B6"/>
    <w:rsid w:val="009D5E96"/>
    <w:rsid w:val="009D695D"/>
    <w:rsid w:val="009D7D00"/>
    <w:rsid w:val="009E07E7"/>
    <w:rsid w:val="009E0DC7"/>
    <w:rsid w:val="009E1C48"/>
    <w:rsid w:val="009E3AF6"/>
    <w:rsid w:val="009E5484"/>
    <w:rsid w:val="009E5D6A"/>
    <w:rsid w:val="009E6177"/>
    <w:rsid w:val="009E6F75"/>
    <w:rsid w:val="009F1551"/>
    <w:rsid w:val="009F1EA8"/>
    <w:rsid w:val="009F26A7"/>
    <w:rsid w:val="009F3080"/>
    <w:rsid w:val="009F321C"/>
    <w:rsid w:val="009F4D64"/>
    <w:rsid w:val="009F6807"/>
    <w:rsid w:val="009F6B06"/>
    <w:rsid w:val="009F78B2"/>
    <w:rsid w:val="00A00F57"/>
    <w:rsid w:val="00A0197F"/>
    <w:rsid w:val="00A02002"/>
    <w:rsid w:val="00A0267B"/>
    <w:rsid w:val="00A0277D"/>
    <w:rsid w:val="00A032C8"/>
    <w:rsid w:val="00A040B2"/>
    <w:rsid w:val="00A044C0"/>
    <w:rsid w:val="00A04E87"/>
    <w:rsid w:val="00A05499"/>
    <w:rsid w:val="00A05D32"/>
    <w:rsid w:val="00A068A6"/>
    <w:rsid w:val="00A07148"/>
    <w:rsid w:val="00A0776F"/>
    <w:rsid w:val="00A07BD4"/>
    <w:rsid w:val="00A07BF6"/>
    <w:rsid w:val="00A07D04"/>
    <w:rsid w:val="00A11638"/>
    <w:rsid w:val="00A11BD2"/>
    <w:rsid w:val="00A124D3"/>
    <w:rsid w:val="00A12566"/>
    <w:rsid w:val="00A139D7"/>
    <w:rsid w:val="00A13BD3"/>
    <w:rsid w:val="00A15088"/>
    <w:rsid w:val="00A176CE"/>
    <w:rsid w:val="00A17802"/>
    <w:rsid w:val="00A17843"/>
    <w:rsid w:val="00A20002"/>
    <w:rsid w:val="00A20B5F"/>
    <w:rsid w:val="00A21459"/>
    <w:rsid w:val="00A21DFF"/>
    <w:rsid w:val="00A23C2D"/>
    <w:rsid w:val="00A245A9"/>
    <w:rsid w:val="00A27D56"/>
    <w:rsid w:val="00A30038"/>
    <w:rsid w:val="00A30197"/>
    <w:rsid w:val="00A30A27"/>
    <w:rsid w:val="00A35818"/>
    <w:rsid w:val="00A3593E"/>
    <w:rsid w:val="00A35EB7"/>
    <w:rsid w:val="00A375E1"/>
    <w:rsid w:val="00A40ACF"/>
    <w:rsid w:val="00A41539"/>
    <w:rsid w:val="00A41929"/>
    <w:rsid w:val="00A41D13"/>
    <w:rsid w:val="00A426E2"/>
    <w:rsid w:val="00A42894"/>
    <w:rsid w:val="00A43738"/>
    <w:rsid w:val="00A4391D"/>
    <w:rsid w:val="00A44755"/>
    <w:rsid w:val="00A4565F"/>
    <w:rsid w:val="00A463DD"/>
    <w:rsid w:val="00A4645F"/>
    <w:rsid w:val="00A47444"/>
    <w:rsid w:val="00A50CA2"/>
    <w:rsid w:val="00A5187E"/>
    <w:rsid w:val="00A51EF3"/>
    <w:rsid w:val="00A51F41"/>
    <w:rsid w:val="00A51FD5"/>
    <w:rsid w:val="00A52897"/>
    <w:rsid w:val="00A52ABA"/>
    <w:rsid w:val="00A536C7"/>
    <w:rsid w:val="00A5378C"/>
    <w:rsid w:val="00A54159"/>
    <w:rsid w:val="00A54512"/>
    <w:rsid w:val="00A54C64"/>
    <w:rsid w:val="00A55C06"/>
    <w:rsid w:val="00A56687"/>
    <w:rsid w:val="00A57390"/>
    <w:rsid w:val="00A57565"/>
    <w:rsid w:val="00A577DC"/>
    <w:rsid w:val="00A603C9"/>
    <w:rsid w:val="00A61484"/>
    <w:rsid w:val="00A61C4B"/>
    <w:rsid w:val="00A62A47"/>
    <w:rsid w:val="00A62E87"/>
    <w:rsid w:val="00A634E4"/>
    <w:rsid w:val="00A63B9E"/>
    <w:rsid w:val="00A63DAF"/>
    <w:rsid w:val="00A64F24"/>
    <w:rsid w:val="00A6539D"/>
    <w:rsid w:val="00A67E79"/>
    <w:rsid w:val="00A7090B"/>
    <w:rsid w:val="00A71C7E"/>
    <w:rsid w:val="00A730E2"/>
    <w:rsid w:val="00A74B10"/>
    <w:rsid w:val="00A75ECA"/>
    <w:rsid w:val="00A77BA7"/>
    <w:rsid w:val="00A8001F"/>
    <w:rsid w:val="00A80380"/>
    <w:rsid w:val="00A80576"/>
    <w:rsid w:val="00A80C6D"/>
    <w:rsid w:val="00A80E62"/>
    <w:rsid w:val="00A8103F"/>
    <w:rsid w:val="00A8112E"/>
    <w:rsid w:val="00A8241B"/>
    <w:rsid w:val="00A83438"/>
    <w:rsid w:val="00A85BC7"/>
    <w:rsid w:val="00A87C96"/>
    <w:rsid w:val="00A87E34"/>
    <w:rsid w:val="00A87F08"/>
    <w:rsid w:val="00A91C17"/>
    <w:rsid w:val="00A9272C"/>
    <w:rsid w:val="00A92FEF"/>
    <w:rsid w:val="00A930D7"/>
    <w:rsid w:val="00A937C5"/>
    <w:rsid w:val="00A95C52"/>
    <w:rsid w:val="00A96940"/>
    <w:rsid w:val="00AA20FC"/>
    <w:rsid w:val="00AA252F"/>
    <w:rsid w:val="00AA2D3F"/>
    <w:rsid w:val="00AA3ECB"/>
    <w:rsid w:val="00AA4D85"/>
    <w:rsid w:val="00AA557D"/>
    <w:rsid w:val="00AA6196"/>
    <w:rsid w:val="00AA6593"/>
    <w:rsid w:val="00AA6606"/>
    <w:rsid w:val="00AA6AA4"/>
    <w:rsid w:val="00AA6D0B"/>
    <w:rsid w:val="00AB16C1"/>
    <w:rsid w:val="00AB1BAC"/>
    <w:rsid w:val="00AB2C75"/>
    <w:rsid w:val="00AB2D1F"/>
    <w:rsid w:val="00AB45F0"/>
    <w:rsid w:val="00AB4B84"/>
    <w:rsid w:val="00AB5A60"/>
    <w:rsid w:val="00AB5CAA"/>
    <w:rsid w:val="00AB5E65"/>
    <w:rsid w:val="00AB7268"/>
    <w:rsid w:val="00AB7A07"/>
    <w:rsid w:val="00AC109F"/>
    <w:rsid w:val="00AC14CC"/>
    <w:rsid w:val="00AC1812"/>
    <w:rsid w:val="00AC1D0A"/>
    <w:rsid w:val="00AC1D47"/>
    <w:rsid w:val="00AC24F8"/>
    <w:rsid w:val="00AC2D49"/>
    <w:rsid w:val="00AC2EE7"/>
    <w:rsid w:val="00AC327C"/>
    <w:rsid w:val="00AC35C4"/>
    <w:rsid w:val="00AC38FF"/>
    <w:rsid w:val="00AC54CD"/>
    <w:rsid w:val="00AC55E9"/>
    <w:rsid w:val="00AC5F24"/>
    <w:rsid w:val="00AC63DC"/>
    <w:rsid w:val="00AC7AB4"/>
    <w:rsid w:val="00AD0861"/>
    <w:rsid w:val="00AD0F02"/>
    <w:rsid w:val="00AD128B"/>
    <w:rsid w:val="00AD14E4"/>
    <w:rsid w:val="00AD27F5"/>
    <w:rsid w:val="00AD3145"/>
    <w:rsid w:val="00AD4441"/>
    <w:rsid w:val="00AD5093"/>
    <w:rsid w:val="00AD6960"/>
    <w:rsid w:val="00AD7071"/>
    <w:rsid w:val="00AD71D0"/>
    <w:rsid w:val="00AD788E"/>
    <w:rsid w:val="00AD7CE5"/>
    <w:rsid w:val="00AE0A20"/>
    <w:rsid w:val="00AE0A7D"/>
    <w:rsid w:val="00AE230F"/>
    <w:rsid w:val="00AE26D4"/>
    <w:rsid w:val="00AE2AE0"/>
    <w:rsid w:val="00AE3316"/>
    <w:rsid w:val="00AE3336"/>
    <w:rsid w:val="00AE4A85"/>
    <w:rsid w:val="00AE4CFD"/>
    <w:rsid w:val="00AE569D"/>
    <w:rsid w:val="00AE598F"/>
    <w:rsid w:val="00AE6E62"/>
    <w:rsid w:val="00AF25F5"/>
    <w:rsid w:val="00AF43D9"/>
    <w:rsid w:val="00AF5673"/>
    <w:rsid w:val="00AF623B"/>
    <w:rsid w:val="00AF66FB"/>
    <w:rsid w:val="00AF67D1"/>
    <w:rsid w:val="00AF6C21"/>
    <w:rsid w:val="00AF7DCC"/>
    <w:rsid w:val="00B00FBF"/>
    <w:rsid w:val="00B01B9C"/>
    <w:rsid w:val="00B01D57"/>
    <w:rsid w:val="00B028B7"/>
    <w:rsid w:val="00B02F21"/>
    <w:rsid w:val="00B0334D"/>
    <w:rsid w:val="00B03D5A"/>
    <w:rsid w:val="00B047C1"/>
    <w:rsid w:val="00B061E3"/>
    <w:rsid w:val="00B0716A"/>
    <w:rsid w:val="00B07AAB"/>
    <w:rsid w:val="00B07F1E"/>
    <w:rsid w:val="00B1140C"/>
    <w:rsid w:val="00B11B89"/>
    <w:rsid w:val="00B12396"/>
    <w:rsid w:val="00B123EA"/>
    <w:rsid w:val="00B13470"/>
    <w:rsid w:val="00B139D3"/>
    <w:rsid w:val="00B13AB7"/>
    <w:rsid w:val="00B14B13"/>
    <w:rsid w:val="00B1572B"/>
    <w:rsid w:val="00B17488"/>
    <w:rsid w:val="00B204AC"/>
    <w:rsid w:val="00B20884"/>
    <w:rsid w:val="00B210A8"/>
    <w:rsid w:val="00B21319"/>
    <w:rsid w:val="00B21BAF"/>
    <w:rsid w:val="00B22966"/>
    <w:rsid w:val="00B22D25"/>
    <w:rsid w:val="00B22D81"/>
    <w:rsid w:val="00B22E2C"/>
    <w:rsid w:val="00B23CC8"/>
    <w:rsid w:val="00B2422B"/>
    <w:rsid w:val="00B24DAE"/>
    <w:rsid w:val="00B2577C"/>
    <w:rsid w:val="00B266F8"/>
    <w:rsid w:val="00B271C8"/>
    <w:rsid w:val="00B278D0"/>
    <w:rsid w:val="00B30586"/>
    <w:rsid w:val="00B31065"/>
    <w:rsid w:val="00B31326"/>
    <w:rsid w:val="00B31476"/>
    <w:rsid w:val="00B328A6"/>
    <w:rsid w:val="00B33533"/>
    <w:rsid w:val="00B345FC"/>
    <w:rsid w:val="00B3548C"/>
    <w:rsid w:val="00B3557C"/>
    <w:rsid w:val="00B361E7"/>
    <w:rsid w:val="00B36FDF"/>
    <w:rsid w:val="00B37227"/>
    <w:rsid w:val="00B41755"/>
    <w:rsid w:val="00B41B0E"/>
    <w:rsid w:val="00B41B39"/>
    <w:rsid w:val="00B41B64"/>
    <w:rsid w:val="00B41B95"/>
    <w:rsid w:val="00B44FC4"/>
    <w:rsid w:val="00B4523E"/>
    <w:rsid w:val="00B45312"/>
    <w:rsid w:val="00B46010"/>
    <w:rsid w:val="00B51210"/>
    <w:rsid w:val="00B51F8F"/>
    <w:rsid w:val="00B5294E"/>
    <w:rsid w:val="00B529D2"/>
    <w:rsid w:val="00B53885"/>
    <w:rsid w:val="00B554C6"/>
    <w:rsid w:val="00B555EB"/>
    <w:rsid w:val="00B568DD"/>
    <w:rsid w:val="00B57FD3"/>
    <w:rsid w:val="00B605B4"/>
    <w:rsid w:val="00B610A1"/>
    <w:rsid w:val="00B618E6"/>
    <w:rsid w:val="00B61C5A"/>
    <w:rsid w:val="00B62DE8"/>
    <w:rsid w:val="00B6308E"/>
    <w:rsid w:val="00B6327A"/>
    <w:rsid w:val="00B64A07"/>
    <w:rsid w:val="00B6593B"/>
    <w:rsid w:val="00B659F0"/>
    <w:rsid w:val="00B65D7F"/>
    <w:rsid w:val="00B6724A"/>
    <w:rsid w:val="00B67F14"/>
    <w:rsid w:val="00B703C8"/>
    <w:rsid w:val="00B707D2"/>
    <w:rsid w:val="00B70BDC"/>
    <w:rsid w:val="00B71507"/>
    <w:rsid w:val="00B71701"/>
    <w:rsid w:val="00B7177B"/>
    <w:rsid w:val="00B71D5E"/>
    <w:rsid w:val="00B73696"/>
    <w:rsid w:val="00B751AC"/>
    <w:rsid w:val="00B75ABE"/>
    <w:rsid w:val="00B75AD6"/>
    <w:rsid w:val="00B76985"/>
    <w:rsid w:val="00B777F8"/>
    <w:rsid w:val="00B80300"/>
    <w:rsid w:val="00B807CE"/>
    <w:rsid w:val="00B818BC"/>
    <w:rsid w:val="00B82AD2"/>
    <w:rsid w:val="00B833AC"/>
    <w:rsid w:val="00B840CD"/>
    <w:rsid w:val="00B841B9"/>
    <w:rsid w:val="00B845A0"/>
    <w:rsid w:val="00B84F01"/>
    <w:rsid w:val="00B85C93"/>
    <w:rsid w:val="00B863ED"/>
    <w:rsid w:val="00B8720F"/>
    <w:rsid w:val="00B875EE"/>
    <w:rsid w:val="00B918ED"/>
    <w:rsid w:val="00B91F30"/>
    <w:rsid w:val="00B948FD"/>
    <w:rsid w:val="00B94EC9"/>
    <w:rsid w:val="00B95285"/>
    <w:rsid w:val="00B9561B"/>
    <w:rsid w:val="00B95873"/>
    <w:rsid w:val="00B95B3C"/>
    <w:rsid w:val="00B976A2"/>
    <w:rsid w:val="00B9773C"/>
    <w:rsid w:val="00B97A7C"/>
    <w:rsid w:val="00B97F14"/>
    <w:rsid w:val="00BA091B"/>
    <w:rsid w:val="00BA0CC7"/>
    <w:rsid w:val="00BA0D4C"/>
    <w:rsid w:val="00BA13A5"/>
    <w:rsid w:val="00BA1A9D"/>
    <w:rsid w:val="00BA2E5D"/>
    <w:rsid w:val="00BA35F8"/>
    <w:rsid w:val="00BA4319"/>
    <w:rsid w:val="00BA43AA"/>
    <w:rsid w:val="00BA4C88"/>
    <w:rsid w:val="00BA7B22"/>
    <w:rsid w:val="00BB135A"/>
    <w:rsid w:val="00BB17BB"/>
    <w:rsid w:val="00BB2DFC"/>
    <w:rsid w:val="00BB418D"/>
    <w:rsid w:val="00BB4DA6"/>
    <w:rsid w:val="00BB5D4A"/>
    <w:rsid w:val="00BB5F49"/>
    <w:rsid w:val="00BB6296"/>
    <w:rsid w:val="00BB630A"/>
    <w:rsid w:val="00BB7685"/>
    <w:rsid w:val="00BB7E6F"/>
    <w:rsid w:val="00BB7E84"/>
    <w:rsid w:val="00BB7EC6"/>
    <w:rsid w:val="00BC02BB"/>
    <w:rsid w:val="00BC1473"/>
    <w:rsid w:val="00BC1CA9"/>
    <w:rsid w:val="00BC5E77"/>
    <w:rsid w:val="00BC722D"/>
    <w:rsid w:val="00BD014F"/>
    <w:rsid w:val="00BD14B9"/>
    <w:rsid w:val="00BD21B4"/>
    <w:rsid w:val="00BD58D5"/>
    <w:rsid w:val="00BD5C1D"/>
    <w:rsid w:val="00BD5CCE"/>
    <w:rsid w:val="00BD6395"/>
    <w:rsid w:val="00BD6E42"/>
    <w:rsid w:val="00BD7152"/>
    <w:rsid w:val="00BE0BFF"/>
    <w:rsid w:val="00BE1CA5"/>
    <w:rsid w:val="00BE2271"/>
    <w:rsid w:val="00BE2EB7"/>
    <w:rsid w:val="00BE3D08"/>
    <w:rsid w:val="00BE4E21"/>
    <w:rsid w:val="00BE5B4F"/>
    <w:rsid w:val="00BE638E"/>
    <w:rsid w:val="00BE7060"/>
    <w:rsid w:val="00BE7168"/>
    <w:rsid w:val="00BE77EE"/>
    <w:rsid w:val="00BF002A"/>
    <w:rsid w:val="00BF1A74"/>
    <w:rsid w:val="00BF2082"/>
    <w:rsid w:val="00BF283C"/>
    <w:rsid w:val="00BF29D5"/>
    <w:rsid w:val="00BF2D0D"/>
    <w:rsid w:val="00BF45ED"/>
    <w:rsid w:val="00BF4CC0"/>
    <w:rsid w:val="00BF4FDF"/>
    <w:rsid w:val="00BF51DB"/>
    <w:rsid w:val="00BF7304"/>
    <w:rsid w:val="00BF7A92"/>
    <w:rsid w:val="00C00BAC"/>
    <w:rsid w:val="00C01274"/>
    <w:rsid w:val="00C01D79"/>
    <w:rsid w:val="00C02B6B"/>
    <w:rsid w:val="00C04229"/>
    <w:rsid w:val="00C04609"/>
    <w:rsid w:val="00C054B5"/>
    <w:rsid w:val="00C0562E"/>
    <w:rsid w:val="00C060A4"/>
    <w:rsid w:val="00C06F2A"/>
    <w:rsid w:val="00C0708F"/>
    <w:rsid w:val="00C07563"/>
    <w:rsid w:val="00C07638"/>
    <w:rsid w:val="00C07963"/>
    <w:rsid w:val="00C07E68"/>
    <w:rsid w:val="00C1100A"/>
    <w:rsid w:val="00C1138E"/>
    <w:rsid w:val="00C156AE"/>
    <w:rsid w:val="00C15C6B"/>
    <w:rsid w:val="00C15E28"/>
    <w:rsid w:val="00C16BEE"/>
    <w:rsid w:val="00C172BA"/>
    <w:rsid w:val="00C173B8"/>
    <w:rsid w:val="00C20C6B"/>
    <w:rsid w:val="00C20C9B"/>
    <w:rsid w:val="00C211DF"/>
    <w:rsid w:val="00C2196D"/>
    <w:rsid w:val="00C22FE9"/>
    <w:rsid w:val="00C23F75"/>
    <w:rsid w:val="00C242C9"/>
    <w:rsid w:val="00C246E5"/>
    <w:rsid w:val="00C24ADF"/>
    <w:rsid w:val="00C26502"/>
    <w:rsid w:val="00C26B83"/>
    <w:rsid w:val="00C26C75"/>
    <w:rsid w:val="00C32D30"/>
    <w:rsid w:val="00C33EF1"/>
    <w:rsid w:val="00C345CB"/>
    <w:rsid w:val="00C35879"/>
    <w:rsid w:val="00C35C9B"/>
    <w:rsid w:val="00C36B7D"/>
    <w:rsid w:val="00C36C32"/>
    <w:rsid w:val="00C37104"/>
    <w:rsid w:val="00C3728C"/>
    <w:rsid w:val="00C374EC"/>
    <w:rsid w:val="00C379B0"/>
    <w:rsid w:val="00C403B2"/>
    <w:rsid w:val="00C40DBD"/>
    <w:rsid w:val="00C4120D"/>
    <w:rsid w:val="00C420C1"/>
    <w:rsid w:val="00C42F0D"/>
    <w:rsid w:val="00C452A2"/>
    <w:rsid w:val="00C4532B"/>
    <w:rsid w:val="00C46DCC"/>
    <w:rsid w:val="00C479EB"/>
    <w:rsid w:val="00C50402"/>
    <w:rsid w:val="00C50F08"/>
    <w:rsid w:val="00C511DC"/>
    <w:rsid w:val="00C51E5A"/>
    <w:rsid w:val="00C52C7B"/>
    <w:rsid w:val="00C52FA3"/>
    <w:rsid w:val="00C5301C"/>
    <w:rsid w:val="00C55B5E"/>
    <w:rsid w:val="00C56B43"/>
    <w:rsid w:val="00C5710C"/>
    <w:rsid w:val="00C572EF"/>
    <w:rsid w:val="00C60B57"/>
    <w:rsid w:val="00C611F4"/>
    <w:rsid w:val="00C62D13"/>
    <w:rsid w:val="00C63C9C"/>
    <w:rsid w:val="00C63CCD"/>
    <w:rsid w:val="00C655B9"/>
    <w:rsid w:val="00C66EB0"/>
    <w:rsid w:val="00C675B1"/>
    <w:rsid w:val="00C70775"/>
    <w:rsid w:val="00C70C63"/>
    <w:rsid w:val="00C71605"/>
    <w:rsid w:val="00C71886"/>
    <w:rsid w:val="00C71922"/>
    <w:rsid w:val="00C72066"/>
    <w:rsid w:val="00C726A0"/>
    <w:rsid w:val="00C72806"/>
    <w:rsid w:val="00C73AA7"/>
    <w:rsid w:val="00C744EB"/>
    <w:rsid w:val="00C74744"/>
    <w:rsid w:val="00C7522F"/>
    <w:rsid w:val="00C7553C"/>
    <w:rsid w:val="00C75C91"/>
    <w:rsid w:val="00C76B05"/>
    <w:rsid w:val="00C7779E"/>
    <w:rsid w:val="00C77800"/>
    <w:rsid w:val="00C81562"/>
    <w:rsid w:val="00C816E0"/>
    <w:rsid w:val="00C819D8"/>
    <w:rsid w:val="00C81BB0"/>
    <w:rsid w:val="00C81E7B"/>
    <w:rsid w:val="00C845D2"/>
    <w:rsid w:val="00C850B4"/>
    <w:rsid w:val="00C85DA3"/>
    <w:rsid w:val="00C869B1"/>
    <w:rsid w:val="00C86B23"/>
    <w:rsid w:val="00C86DF0"/>
    <w:rsid w:val="00C87264"/>
    <w:rsid w:val="00C87665"/>
    <w:rsid w:val="00C908A7"/>
    <w:rsid w:val="00C90E43"/>
    <w:rsid w:val="00C93096"/>
    <w:rsid w:val="00C93959"/>
    <w:rsid w:val="00C93D7C"/>
    <w:rsid w:val="00C95313"/>
    <w:rsid w:val="00C96347"/>
    <w:rsid w:val="00C96539"/>
    <w:rsid w:val="00C97C6E"/>
    <w:rsid w:val="00CA0A44"/>
    <w:rsid w:val="00CA1410"/>
    <w:rsid w:val="00CA1983"/>
    <w:rsid w:val="00CA3D70"/>
    <w:rsid w:val="00CA508C"/>
    <w:rsid w:val="00CA5B50"/>
    <w:rsid w:val="00CA5C68"/>
    <w:rsid w:val="00CA5E90"/>
    <w:rsid w:val="00CA6398"/>
    <w:rsid w:val="00CA686E"/>
    <w:rsid w:val="00CA72F1"/>
    <w:rsid w:val="00CA7A06"/>
    <w:rsid w:val="00CA7BF5"/>
    <w:rsid w:val="00CB0294"/>
    <w:rsid w:val="00CB0854"/>
    <w:rsid w:val="00CB150F"/>
    <w:rsid w:val="00CB1876"/>
    <w:rsid w:val="00CB2770"/>
    <w:rsid w:val="00CB4555"/>
    <w:rsid w:val="00CB4ADC"/>
    <w:rsid w:val="00CB4B8A"/>
    <w:rsid w:val="00CB77D9"/>
    <w:rsid w:val="00CB7F9F"/>
    <w:rsid w:val="00CC11A2"/>
    <w:rsid w:val="00CC124C"/>
    <w:rsid w:val="00CC2094"/>
    <w:rsid w:val="00CC43D5"/>
    <w:rsid w:val="00CC4C2D"/>
    <w:rsid w:val="00CC788D"/>
    <w:rsid w:val="00CD0801"/>
    <w:rsid w:val="00CD162F"/>
    <w:rsid w:val="00CD18CF"/>
    <w:rsid w:val="00CD1F9E"/>
    <w:rsid w:val="00CD291C"/>
    <w:rsid w:val="00CD3177"/>
    <w:rsid w:val="00CD36AA"/>
    <w:rsid w:val="00CD3E8E"/>
    <w:rsid w:val="00CD468C"/>
    <w:rsid w:val="00CD4BAD"/>
    <w:rsid w:val="00CD59BD"/>
    <w:rsid w:val="00CD59DC"/>
    <w:rsid w:val="00CD5C5F"/>
    <w:rsid w:val="00CD6E0B"/>
    <w:rsid w:val="00CE06BC"/>
    <w:rsid w:val="00CE446B"/>
    <w:rsid w:val="00CE478B"/>
    <w:rsid w:val="00CE4F46"/>
    <w:rsid w:val="00CE56D5"/>
    <w:rsid w:val="00CE7B04"/>
    <w:rsid w:val="00CF0F3A"/>
    <w:rsid w:val="00CF1010"/>
    <w:rsid w:val="00CF22C4"/>
    <w:rsid w:val="00CF3E21"/>
    <w:rsid w:val="00CF44C6"/>
    <w:rsid w:val="00CF4BAA"/>
    <w:rsid w:val="00CF4C08"/>
    <w:rsid w:val="00CF6643"/>
    <w:rsid w:val="00CF6691"/>
    <w:rsid w:val="00CF7B2A"/>
    <w:rsid w:val="00D004B4"/>
    <w:rsid w:val="00D00707"/>
    <w:rsid w:val="00D0081D"/>
    <w:rsid w:val="00D01C07"/>
    <w:rsid w:val="00D021A0"/>
    <w:rsid w:val="00D02F5D"/>
    <w:rsid w:val="00D035A4"/>
    <w:rsid w:val="00D03F35"/>
    <w:rsid w:val="00D05709"/>
    <w:rsid w:val="00D061A9"/>
    <w:rsid w:val="00D064BD"/>
    <w:rsid w:val="00D114BE"/>
    <w:rsid w:val="00D12713"/>
    <w:rsid w:val="00D13E2C"/>
    <w:rsid w:val="00D13F84"/>
    <w:rsid w:val="00D14C3B"/>
    <w:rsid w:val="00D14E41"/>
    <w:rsid w:val="00D15182"/>
    <w:rsid w:val="00D1548B"/>
    <w:rsid w:val="00D15749"/>
    <w:rsid w:val="00D1579D"/>
    <w:rsid w:val="00D16A31"/>
    <w:rsid w:val="00D16B15"/>
    <w:rsid w:val="00D16CA8"/>
    <w:rsid w:val="00D17507"/>
    <w:rsid w:val="00D21103"/>
    <w:rsid w:val="00D22280"/>
    <w:rsid w:val="00D2241A"/>
    <w:rsid w:val="00D23BDB"/>
    <w:rsid w:val="00D24056"/>
    <w:rsid w:val="00D2440E"/>
    <w:rsid w:val="00D2494A"/>
    <w:rsid w:val="00D24D82"/>
    <w:rsid w:val="00D26E8B"/>
    <w:rsid w:val="00D274B7"/>
    <w:rsid w:val="00D27E3C"/>
    <w:rsid w:val="00D302BD"/>
    <w:rsid w:val="00D31CEE"/>
    <w:rsid w:val="00D3256D"/>
    <w:rsid w:val="00D32C28"/>
    <w:rsid w:val="00D339A2"/>
    <w:rsid w:val="00D34309"/>
    <w:rsid w:val="00D346D2"/>
    <w:rsid w:val="00D367DC"/>
    <w:rsid w:val="00D36E16"/>
    <w:rsid w:val="00D3769F"/>
    <w:rsid w:val="00D37708"/>
    <w:rsid w:val="00D40399"/>
    <w:rsid w:val="00D43B77"/>
    <w:rsid w:val="00D44494"/>
    <w:rsid w:val="00D4780A"/>
    <w:rsid w:val="00D47A25"/>
    <w:rsid w:val="00D54520"/>
    <w:rsid w:val="00D551A7"/>
    <w:rsid w:val="00D55607"/>
    <w:rsid w:val="00D55837"/>
    <w:rsid w:val="00D55A5D"/>
    <w:rsid w:val="00D562FC"/>
    <w:rsid w:val="00D570AF"/>
    <w:rsid w:val="00D571CF"/>
    <w:rsid w:val="00D572D1"/>
    <w:rsid w:val="00D57917"/>
    <w:rsid w:val="00D608F1"/>
    <w:rsid w:val="00D6094D"/>
    <w:rsid w:val="00D60CC3"/>
    <w:rsid w:val="00D6257E"/>
    <w:rsid w:val="00D6298A"/>
    <w:rsid w:val="00D644F3"/>
    <w:rsid w:val="00D64526"/>
    <w:rsid w:val="00D65BF4"/>
    <w:rsid w:val="00D65C73"/>
    <w:rsid w:val="00D66F68"/>
    <w:rsid w:val="00D67E8D"/>
    <w:rsid w:val="00D70500"/>
    <w:rsid w:val="00D70940"/>
    <w:rsid w:val="00D713EB"/>
    <w:rsid w:val="00D741B1"/>
    <w:rsid w:val="00D745E4"/>
    <w:rsid w:val="00D74883"/>
    <w:rsid w:val="00D7539B"/>
    <w:rsid w:val="00D75930"/>
    <w:rsid w:val="00D760B3"/>
    <w:rsid w:val="00D7669F"/>
    <w:rsid w:val="00D77298"/>
    <w:rsid w:val="00D777DB"/>
    <w:rsid w:val="00D80760"/>
    <w:rsid w:val="00D80E28"/>
    <w:rsid w:val="00D80F6A"/>
    <w:rsid w:val="00D81301"/>
    <w:rsid w:val="00D8199C"/>
    <w:rsid w:val="00D81AC8"/>
    <w:rsid w:val="00D82889"/>
    <w:rsid w:val="00D841F0"/>
    <w:rsid w:val="00D84305"/>
    <w:rsid w:val="00D84679"/>
    <w:rsid w:val="00D84C78"/>
    <w:rsid w:val="00D84FD9"/>
    <w:rsid w:val="00D8510D"/>
    <w:rsid w:val="00D8570F"/>
    <w:rsid w:val="00D85CE9"/>
    <w:rsid w:val="00D85E3C"/>
    <w:rsid w:val="00D872C1"/>
    <w:rsid w:val="00D90D8F"/>
    <w:rsid w:val="00D94889"/>
    <w:rsid w:val="00D94F18"/>
    <w:rsid w:val="00D958BE"/>
    <w:rsid w:val="00D95DA3"/>
    <w:rsid w:val="00D95F47"/>
    <w:rsid w:val="00DA0D09"/>
    <w:rsid w:val="00DA0F63"/>
    <w:rsid w:val="00DA11F0"/>
    <w:rsid w:val="00DA1235"/>
    <w:rsid w:val="00DA138E"/>
    <w:rsid w:val="00DA3E63"/>
    <w:rsid w:val="00DA4518"/>
    <w:rsid w:val="00DA469E"/>
    <w:rsid w:val="00DA4AED"/>
    <w:rsid w:val="00DA4EC4"/>
    <w:rsid w:val="00DA526F"/>
    <w:rsid w:val="00DA59A6"/>
    <w:rsid w:val="00DA5CF4"/>
    <w:rsid w:val="00DA79B2"/>
    <w:rsid w:val="00DA7A7F"/>
    <w:rsid w:val="00DB02B5"/>
    <w:rsid w:val="00DB0885"/>
    <w:rsid w:val="00DB0F86"/>
    <w:rsid w:val="00DB1FC6"/>
    <w:rsid w:val="00DB282C"/>
    <w:rsid w:val="00DB2960"/>
    <w:rsid w:val="00DB3FE8"/>
    <w:rsid w:val="00DB5007"/>
    <w:rsid w:val="00DB50CB"/>
    <w:rsid w:val="00DB5175"/>
    <w:rsid w:val="00DB55C4"/>
    <w:rsid w:val="00DB7523"/>
    <w:rsid w:val="00DC05CA"/>
    <w:rsid w:val="00DC2E09"/>
    <w:rsid w:val="00DC3048"/>
    <w:rsid w:val="00DC3746"/>
    <w:rsid w:val="00DC5D94"/>
    <w:rsid w:val="00DC5F2A"/>
    <w:rsid w:val="00DC68D5"/>
    <w:rsid w:val="00DD083A"/>
    <w:rsid w:val="00DD1002"/>
    <w:rsid w:val="00DD1ADD"/>
    <w:rsid w:val="00DD2343"/>
    <w:rsid w:val="00DD242B"/>
    <w:rsid w:val="00DD2498"/>
    <w:rsid w:val="00DD25F5"/>
    <w:rsid w:val="00DD3E41"/>
    <w:rsid w:val="00DD4787"/>
    <w:rsid w:val="00DD55B8"/>
    <w:rsid w:val="00DD6002"/>
    <w:rsid w:val="00DE063E"/>
    <w:rsid w:val="00DE08CE"/>
    <w:rsid w:val="00DE0BF8"/>
    <w:rsid w:val="00DE34A9"/>
    <w:rsid w:val="00DE3EC6"/>
    <w:rsid w:val="00DE4B8A"/>
    <w:rsid w:val="00DE4F7C"/>
    <w:rsid w:val="00DE59E4"/>
    <w:rsid w:val="00DE5BFB"/>
    <w:rsid w:val="00DE6B0C"/>
    <w:rsid w:val="00DE6FAC"/>
    <w:rsid w:val="00DE76F9"/>
    <w:rsid w:val="00DE7C1F"/>
    <w:rsid w:val="00DF0159"/>
    <w:rsid w:val="00DF0756"/>
    <w:rsid w:val="00DF0824"/>
    <w:rsid w:val="00DF0A7B"/>
    <w:rsid w:val="00DF1EFD"/>
    <w:rsid w:val="00DF2BFE"/>
    <w:rsid w:val="00DF3025"/>
    <w:rsid w:val="00DF36DA"/>
    <w:rsid w:val="00DF3BBC"/>
    <w:rsid w:val="00DF3E0E"/>
    <w:rsid w:val="00DF45B2"/>
    <w:rsid w:val="00DF7A20"/>
    <w:rsid w:val="00DF7AC6"/>
    <w:rsid w:val="00E020B4"/>
    <w:rsid w:val="00E020BC"/>
    <w:rsid w:val="00E04C3A"/>
    <w:rsid w:val="00E06772"/>
    <w:rsid w:val="00E06AD9"/>
    <w:rsid w:val="00E06D2D"/>
    <w:rsid w:val="00E10775"/>
    <w:rsid w:val="00E11A04"/>
    <w:rsid w:val="00E11A3E"/>
    <w:rsid w:val="00E12F32"/>
    <w:rsid w:val="00E13288"/>
    <w:rsid w:val="00E1480F"/>
    <w:rsid w:val="00E15165"/>
    <w:rsid w:val="00E1700D"/>
    <w:rsid w:val="00E17945"/>
    <w:rsid w:val="00E20601"/>
    <w:rsid w:val="00E206D8"/>
    <w:rsid w:val="00E21A7B"/>
    <w:rsid w:val="00E2278B"/>
    <w:rsid w:val="00E229EE"/>
    <w:rsid w:val="00E2369D"/>
    <w:rsid w:val="00E23D1D"/>
    <w:rsid w:val="00E24A41"/>
    <w:rsid w:val="00E24A69"/>
    <w:rsid w:val="00E24D5A"/>
    <w:rsid w:val="00E25052"/>
    <w:rsid w:val="00E26693"/>
    <w:rsid w:val="00E27330"/>
    <w:rsid w:val="00E27ACD"/>
    <w:rsid w:val="00E3146E"/>
    <w:rsid w:val="00E3177D"/>
    <w:rsid w:val="00E32262"/>
    <w:rsid w:val="00E32918"/>
    <w:rsid w:val="00E34BEF"/>
    <w:rsid w:val="00E35025"/>
    <w:rsid w:val="00E370F0"/>
    <w:rsid w:val="00E37E86"/>
    <w:rsid w:val="00E40AEC"/>
    <w:rsid w:val="00E430E1"/>
    <w:rsid w:val="00E4504B"/>
    <w:rsid w:val="00E4573E"/>
    <w:rsid w:val="00E45793"/>
    <w:rsid w:val="00E45F33"/>
    <w:rsid w:val="00E4649E"/>
    <w:rsid w:val="00E46A0D"/>
    <w:rsid w:val="00E5057C"/>
    <w:rsid w:val="00E50637"/>
    <w:rsid w:val="00E50C4A"/>
    <w:rsid w:val="00E50CFC"/>
    <w:rsid w:val="00E514DC"/>
    <w:rsid w:val="00E51593"/>
    <w:rsid w:val="00E52B86"/>
    <w:rsid w:val="00E53CA5"/>
    <w:rsid w:val="00E5450D"/>
    <w:rsid w:val="00E55748"/>
    <w:rsid w:val="00E55773"/>
    <w:rsid w:val="00E55B34"/>
    <w:rsid w:val="00E561B5"/>
    <w:rsid w:val="00E5620B"/>
    <w:rsid w:val="00E564E2"/>
    <w:rsid w:val="00E568CB"/>
    <w:rsid w:val="00E577B3"/>
    <w:rsid w:val="00E6057B"/>
    <w:rsid w:val="00E62D49"/>
    <w:rsid w:val="00E6484E"/>
    <w:rsid w:val="00E64B1B"/>
    <w:rsid w:val="00E64FA0"/>
    <w:rsid w:val="00E650E1"/>
    <w:rsid w:val="00E664D0"/>
    <w:rsid w:val="00E66DBC"/>
    <w:rsid w:val="00E67525"/>
    <w:rsid w:val="00E67F4A"/>
    <w:rsid w:val="00E70F20"/>
    <w:rsid w:val="00E71563"/>
    <w:rsid w:val="00E7213B"/>
    <w:rsid w:val="00E73698"/>
    <w:rsid w:val="00E736C0"/>
    <w:rsid w:val="00E73F2A"/>
    <w:rsid w:val="00E75F23"/>
    <w:rsid w:val="00E76DD6"/>
    <w:rsid w:val="00E77908"/>
    <w:rsid w:val="00E77D1E"/>
    <w:rsid w:val="00E8142A"/>
    <w:rsid w:val="00E82C11"/>
    <w:rsid w:val="00E8400D"/>
    <w:rsid w:val="00E8432F"/>
    <w:rsid w:val="00E850EA"/>
    <w:rsid w:val="00E858F0"/>
    <w:rsid w:val="00E85AD9"/>
    <w:rsid w:val="00E864FA"/>
    <w:rsid w:val="00E868CD"/>
    <w:rsid w:val="00E86DAE"/>
    <w:rsid w:val="00E8726D"/>
    <w:rsid w:val="00E90057"/>
    <w:rsid w:val="00E90627"/>
    <w:rsid w:val="00E91CB3"/>
    <w:rsid w:val="00E91DAC"/>
    <w:rsid w:val="00E92B7A"/>
    <w:rsid w:val="00E94CFF"/>
    <w:rsid w:val="00E94F30"/>
    <w:rsid w:val="00E951E4"/>
    <w:rsid w:val="00E969F0"/>
    <w:rsid w:val="00EA05B0"/>
    <w:rsid w:val="00EA0EB9"/>
    <w:rsid w:val="00EA22C1"/>
    <w:rsid w:val="00EA36B3"/>
    <w:rsid w:val="00EA521E"/>
    <w:rsid w:val="00EA605E"/>
    <w:rsid w:val="00EA60EA"/>
    <w:rsid w:val="00EB0EE0"/>
    <w:rsid w:val="00EB19D2"/>
    <w:rsid w:val="00EB2B1E"/>
    <w:rsid w:val="00EB2C3D"/>
    <w:rsid w:val="00EB4EF1"/>
    <w:rsid w:val="00EB5FAE"/>
    <w:rsid w:val="00EB633A"/>
    <w:rsid w:val="00EB6825"/>
    <w:rsid w:val="00EC0415"/>
    <w:rsid w:val="00EC0641"/>
    <w:rsid w:val="00EC2172"/>
    <w:rsid w:val="00EC37B6"/>
    <w:rsid w:val="00EC3A72"/>
    <w:rsid w:val="00EC463E"/>
    <w:rsid w:val="00EC610E"/>
    <w:rsid w:val="00EC6812"/>
    <w:rsid w:val="00EC6DA2"/>
    <w:rsid w:val="00ED0179"/>
    <w:rsid w:val="00ED0F5C"/>
    <w:rsid w:val="00ED1AA6"/>
    <w:rsid w:val="00ED2167"/>
    <w:rsid w:val="00ED2330"/>
    <w:rsid w:val="00ED261E"/>
    <w:rsid w:val="00ED2B58"/>
    <w:rsid w:val="00ED344D"/>
    <w:rsid w:val="00ED5245"/>
    <w:rsid w:val="00ED66FA"/>
    <w:rsid w:val="00ED6B6A"/>
    <w:rsid w:val="00ED6EE6"/>
    <w:rsid w:val="00ED7914"/>
    <w:rsid w:val="00ED7A8D"/>
    <w:rsid w:val="00EE0A5E"/>
    <w:rsid w:val="00EE0EF7"/>
    <w:rsid w:val="00EE105D"/>
    <w:rsid w:val="00EE206F"/>
    <w:rsid w:val="00EE2502"/>
    <w:rsid w:val="00EE29D4"/>
    <w:rsid w:val="00EE504C"/>
    <w:rsid w:val="00EE53B2"/>
    <w:rsid w:val="00EE59F2"/>
    <w:rsid w:val="00EE6D81"/>
    <w:rsid w:val="00EF00EA"/>
    <w:rsid w:val="00EF1803"/>
    <w:rsid w:val="00EF1817"/>
    <w:rsid w:val="00EF2C2D"/>
    <w:rsid w:val="00EF2DC2"/>
    <w:rsid w:val="00EF30E0"/>
    <w:rsid w:val="00EF34DC"/>
    <w:rsid w:val="00EF4C71"/>
    <w:rsid w:val="00EF5CF9"/>
    <w:rsid w:val="00EF64B8"/>
    <w:rsid w:val="00EF6A0C"/>
    <w:rsid w:val="00EF777C"/>
    <w:rsid w:val="00F00BD6"/>
    <w:rsid w:val="00F01E8F"/>
    <w:rsid w:val="00F0344D"/>
    <w:rsid w:val="00F03A9C"/>
    <w:rsid w:val="00F04EFB"/>
    <w:rsid w:val="00F05F01"/>
    <w:rsid w:val="00F05F41"/>
    <w:rsid w:val="00F06646"/>
    <w:rsid w:val="00F076CD"/>
    <w:rsid w:val="00F114F5"/>
    <w:rsid w:val="00F121C6"/>
    <w:rsid w:val="00F1280A"/>
    <w:rsid w:val="00F136FB"/>
    <w:rsid w:val="00F13BDD"/>
    <w:rsid w:val="00F140B1"/>
    <w:rsid w:val="00F152E7"/>
    <w:rsid w:val="00F16346"/>
    <w:rsid w:val="00F1713E"/>
    <w:rsid w:val="00F216F0"/>
    <w:rsid w:val="00F220A3"/>
    <w:rsid w:val="00F245A0"/>
    <w:rsid w:val="00F25573"/>
    <w:rsid w:val="00F2681A"/>
    <w:rsid w:val="00F2765B"/>
    <w:rsid w:val="00F3116D"/>
    <w:rsid w:val="00F321E4"/>
    <w:rsid w:val="00F32662"/>
    <w:rsid w:val="00F32ABE"/>
    <w:rsid w:val="00F33FD7"/>
    <w:rsid w:val="00F35A0F"/>
    <w:rsid w:val="00F36A8F"/>
    <w:rsid w:val="00F4119C"/>
    <w:rsid w:val="00F41D17"/>
    <w:rsid w:val="00F4213E"/>
    <w:rsid w:val="00F43D98"/>
    <w:rsid w:val="00F44AFB"/>
    <w:rsid w:val="00F45AF3"/>
    <w:rsid w:val="00F45BCC"/>
    <w:rsid w:val="00F502DE"/>
    <w:rsid w:val="00F50401"/>
    <w:rsid w:val="00F509B0"/>
    <w:rsid w:val="00F50F64"/>
    <w:rsid w:val="00F5166D"/>
    <w:rsid w:val="00F51C78"/>
    <w:rsid w:val="00F520BC"/>
    <w:rsid w:val="00F530F6"/>
    <w:rsid w:val="00F545D1"/>
    <w:rsid w:val="00F54B2E"/>
    <w:rsid w:val="00F5561B"/>
    <w:rsid w:val="00F5629A"/>
    <w:rsid w:val="00F5723D"/>
    <w:rsid w:val="00F57AC6"/>
    <w:rsid w:val="00F60128"/>
    <w:rsid w:val="00F6023D"/>
    <w:rsid w:val="00F61ED2"/>
    <w:rsid w:val="00F62DF6"/>
    <w:rsid w:val="00F630C8"/>
    <w:rsid w:val="00F64019"/>
    <w:rsid w:val="00F64BBE"/>
    <w:rsid w:val="00F65B19"/>
    <w:rsid w:val="00F71E82"/>
    <w:rsid w:val="00F72014"/>
    <w:rsid w:val="00F73F5A"/>
    <w:rsid w:val="00F743C4"/>
    <w:rsid w:val="00F74C71"/>
    <w:rsid w:val="00F75E53"/>
    <w:rsid w:val="00F772FB"/>
    <w:rsid w:val="00F7780B"/>
    <w:rsid w:val="00F7789B"/>
    <w:rsid w:val="00F77FEF"/>
    <w:rsid w:val="00F8089A"/>
    <w:rsid w:val="00F80B45"/>
    <w:rsid w:val="00F8118E"/>
    <w:rsid w:val="00F811DF"/>
    <w:rsid w:val="00F81234"/>
    <w:rsid w:val="00F81A68"/>
    <w:rsid w:val="00F81AF9"/>
    <w:rsid w:val="00F81E1C"/>
    <w:rsid w:val="00F82E30"/>
    <w:rsid w:val="00F84666"/>
    <w:rsid w:val="00F852A3"/>
    <w:rsid w:val="00F85B5B"/>
    <w:rsid w:val="00F85EDA"/>
    <w:rsid w:val="00F868CC"/>
    <w:rsid w:val="00F86E12"/>
    <w:rsid w:val="00F913A0"/>
    <w:rsid w:val="00F9178A"/>
    <w:rsid w:val="00F91C09"/>
    <w:rsid w:val="00F91C5E"/>
    <w:rsid w:val="00F92155"/>
    <w:rsid w:val="00F92C50"/>
    <w:rsid w:val="00F93712"/>
    <w:rsid w:val="00F937AA"/>
    <w:rsid w:val="00F939F3"/>
    <w:rsid w:val="00F947EC"/>
    <w:rsid w:val="00F953B8"/>
    <w:rsid w:val="00F95FEB"/>
    <w:rsid w:val="00F96C6B"/>
    <w:rsid w:val="00F96FC4"/>
    <w:rsid w:val="00F97343"/>
    <w:rsid w:val="00FA0FC0"/>
    <w:rsid w:val="00FA14AF"/>
    <w:rsid w:val="00FA17B6"/>
    <w:rsid w:val="00FA1EA5"/>
    <w:rsid w:val="00FA1F41"/>
    <w:rsid w:val="00FA2827"/>
    <w:rsid w:val="00FA3162"/>
    <w:rsid w:val="00FA343F"/>
    <w:rsid w:val="00FA50E7"/>
    <w:rsid w:val="00FA5654"/>
    <w:rsid w:val="00FA78CB"/>
    <w:rsid w:val="00FB05D9"/>
    <w:rsid w:val="00FB0AE5"/>
    <w:rsid w:val="00FB3016"/>
    <w:rsid w:val="00FB4F38"/>
    <w:rsid w:val="00FB5095"/>
    <w:rsid w:val="00FB55FC"/>
    <w:rsid w:val="00FB58A4"/>
    <w:rsid w:val="00FB75D3"/>
    <w:rsid w:val="00FB7C14"/>
    <w:rsid w:val="00FC199D"/>
    <w:rsid w:val="00FC2668"/>
    <w:rsid w:val="00FC2E09"/>
    <w:rsid w:val="00FC3846"/>
    <w:rsid w:val="00FC41AB"/>
    <w:rsid w:val="00FC581D"/>
    <w:rsid w:val="00FC7EE0"/>
    <w:rsid w:val="00FD0C06"/>
    <w:rsid w:val="00FD0F2C"/>
    <w:rsid w:val="00FD148D"/>
    <w:rsid w:val="00FD19C7"/>
    <w:rsid w:val="00FD1CB0"/>
    <w:rsid w:val="00FD26B1"/>
    <w:rsid w:val="00FD2765"/>
    <w:rsid w:val="00FD2941"/>
    <w:rsid w:val="00FD3044"/>
    <w:rsid w:val="00FD45A4"/>
    <w:rsid w:val="00FD45E0"/>
    <w:rsid w:val="00FD5437"/>
    <w:rsid w:val="00FD5534"/>
    <w:rsid w:val="00FD58C6"/>
    <w:rsid w:val="00FD6DFB"/>
    <w:rsid w:val="00FD6F30"/>
    <w:rsid w:val="00FD7A08"/>
    <w:rsid w:val="00FE1C16"/>
    <w:rsid w:val="00FE2220"/>
    <w:rsid w:val="00FE4462"/>
    <w:rsid w:val="00FE4817"/>
    <w:rsid w:val="00FE53BA"/>
    <w:rsid w:val="00FE6AB5"/>
    <w:rsid w:val="00FE6D73"/>
    <w:rsid w:val="00FE7106"/>
    <w:rsid w:val="00FF0D85"/>
    <w:rsid w:val="00FF34B4"/>
    <w:rsid w:val="00FF401F"/>
    <w:rsid w:val="00FF53AF"/>
    <w:rsid w:val="00FF63F6"/>
    <w:rsid w:val="00FF68FF"/>
    <w:rsid w:val="00FF6AB4"/>
    <w:rsid w:val="00FF6D10"/>
    <w:rsid w:val="00FF7330"/>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index 1"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annotation text" w:uiPriority="0"/>
    <w:lsdException w:name="header" w:uiPriority="0" w:qFormat="1"/>
    <w:lsdException w:name="footer" w:uiPriority="0"/>
    <w:lsdException w:name="index heading" w:uiPriority="0"/>
    <w:lsdException w:name="caption" w:semiHidden="0" w:uiPriority="0" w:unhideWhenUsed="0" w:qFormat="1"/>
    <w:lsdException w:name="envelope address" w:uiPriority="0"/>
    <w:lsdException w:name="footnote reference" w:uiPriority="0"/>
    <w:lsdException w:name="annotation reference" w:uiPriority="0"/>
    <w:lsdException w:name="page number" w:uiPriority="0"/>
    <w:lsdException w:name="toa heading" w:uiPriority="0"/>
    <w:lsdException w:name="List"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Normal (Web)" w:uiPriority="0"/>
    <w:lsdException w:name="HTML Preformatted"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C37104"/>
  </w:style>
  <w:style w:type="paragraph" w:styleId="Nagwek1">
    <w:name w:val="heading 1"/>
    <w:aliases w:val="Stanluks naglowek 1,Stanluks 1"/>
    <w:basedOn w:val="Normalny"/>
    <w:next w:val="Normalny"/>
    <w:link w:val="Nagwek1Znak"/>
    <w:qFormat/>
    <w:rsid w:val="004A0344"/>
    <w:pPr>
      <w:outlineLvl w:val="0"/>
    </w:pPr>
    <w:rPr>
      <w:rFonts w:ascii="PL Times New Roman" w:hAnsi="PL Times New Roman"/>
      <w:b/>
      <w:snapToGrid w:val="0"/>
      <w:sz w:val="26"/>
    </w:rPr>
  </w:style>
  <w:style w:type="paragraph" w:styleId="Nagwek2">
    <w:name w:val="heading 2"/>
    <w:basedOn w:val="Normalny"/>
    <w:next w:val="Normalny"/>
    <w:link w:val="Nagwek2Znak1"/>
    <w:qFormat/>
    <w:rsid w:val="00A044C0"/>
    <w:pPr>
      <w:spacing w:before="120" w:after="120"/>
      <w:outlineLvl w:val="1"/>
    </w:pPr>
    <w:rPr>
      <w:rFonts w:ascii="PL Times New Roman" w:hAnsi="PL Times New Roman"/>
      <w:snapToGrid w:val="0"/>
    </w:rPr>
  </w:style>
  <w:style w:type="paragraph" w:styleId="Nagwek3">
    <w:name w:val="heading 3"/>
    <w:basedOn w:val="Normalny"/>
    <w:next w:val="Wcicienormalne"/>
    <w:qFormat/>
    <w:rsid w:val="00A044C0"/>
    <w:pPr>
      <w:spacing w:before="120" w:after="120"/>
      <w:outlineLvl w:val="2"/>
    </w:pPr>
    <w:rPr>
      <w:rFonts w:ascii="PL Times New Roman" w:hAnsi="PL Times New Roman"/>
      <w:snapToGrid w:val="0"/>
    </w:rPr>
  </w:style>
  <w:style w:type="paragraph" w:styleId="Nagwek4">
    <w:name w:val="heading 4"/>
    <w:basedOn w:val="Normalny"/>
    <w:next w:val="Wcicienormalne"/>
    <w:link w:val="Nagwek4Znak"/>
    <w:qFormat/>
    <w:rsid w:val="00A044C0"/>
    <w:pPr>
      <w:keepNext/>
      <w:keepLines/>
      <w:spacing w:before="120" w:line="240" w:lineRule="atLeast"/>
      <w:ind w:left="567" w:hanging="567"/>
      <w:jc w:val="both"/>
      <w:outlineLvl w:val="3"/>
    </w:pPr>
    <w:rPr>
      <w:rFonts w:ascii="PL Times New Roman" w:hAnsi="PL Times New Roman"/>
      <w:snapToGrid w:val="0"/>
      <w:lang w:val="en-GB"/>
    </w:rPr>
  </w:style>
  <w:style w:type="paragraph" w:styleId="Nagwek5">
    <w:name w:val="heading 5"/>
    <w:basedOn w:val="Normalny"/>
    <w:next w:val="Wcicienormalne"/>
    <w:link w:val="Nagwek5Znak"/>
    <w:qFormat/>
    <w:rsid w:val="00A044C0"/>
    <w:pPr>
      <w:keepNext/>
      <w:keepLines/>
      <w:spacing w:before="120" w:line="240" w:lineRule="atLeast"/>
      <w:ind w:left="505" w:hanging="505"/>
      <w:jc w:val="both"/>
      <w:outlineLvl w:val="4"/>
    </w:pPr>
    <w:rPr>
      <w:rFonts w:ascii="PL Times New Roman" w:hAnsi="PL Times New Roman"/>
      <w:snapToGrid w:val="0"/>
      <w:lang w:val="en-GB"/>
    </w:rPr>
  </w:style>
  <w:style w:type="paragraph" w:styleId="Nagwek6">
    <w:name w:val="heading 6"/>
    <w:basedOn w:val="Normalny"/>
    <w:next w:val="Wcicienormalne"/>
    <w:link w:val="Nagwek6Znak"/>
    <w:qFormat/>
    <w:rsid w:val="00A044C0"/>
    <w:pPr>
      <w:keepNext/>
      <w:keepLines/>
      <w:spacing w:before="120" w:line="240" w:lineRule="atLeast"/>
      <w:ind w:left="567" w:hanging="567"/>
      <w:jc w:val="both"/>
      <w:outlineLvl w:val="5"/>
    </w:pPr>
    <w:rPr>
      <w:rFonts w:ascii="PL Times New Roman" w:hAnsi="PL Times New Roman"/>
      <w:snapToGrid w:val="0"/>
      <w:lang w:val="en-GB"/>
    </w:rPr>
  </w:style>
  <w:style w:type="paragraph" w:styleId="Nagwek7">
    <w:name w:val="heading 7"/>
    <w:basedOn w:val="Normalny"/>
    <w:next w:val="Normalny"/>
    <w:link w:val="Nagwek7Znak"/>
    <w:qFormat/>
    <w:rsid w:val="00A044C0"/>
    <w:pPr>
      <w:keepNext/>
      <w:outlineLvl w:val="6"/>
    </w:pPr>
    <w:rPr>
      <w:b/>
      <w:bCs/>
      <w:sz w:val="22"/>
    </w:rPr>
  </w:style>
  <w:style w:type="paragraph" w:styleId="Nagwek8">
    <w:name w:val="heading 8"/>
    <w:basedOn w:val="Normalny"/>
    <w:next w:val="Normalny"/>
    <w:link w:val="Nagwek8Znak"/>
    <w:qFormat/>
    <w:rsid w:val="00A044C0"/>
    <w:pPr>
      <w:keepNext/>
      <w:spacing w:before="120" w:after="120"/>
      <w:jc w:val="both"/>
      <w:outlineLvl w:val="7"/>
    </w:pPr>
    <w:rPr>
      <w:b/>
      <w:sz w:val="26"/>
    </w:rPr>
  </w:style>
  <w:style w:type="paragraph" w:styleId="Nagwek9">
    <w:name w:val="heading 9"/>
    <w:basedOn w:val="Normalny"/>
    <w:next w:val="Normalny"/>
    <w:link w:val="Nagwek9Znak"/>
    <w:qFormat/>
    <w:rsid w:val="00A044C0"/>
    <w:pPr>
      <w:keepNext/>
      <w:widowControl w:val="0"/>
      <w:snapToGrid w:val="0"/>
      <w:outlineLvl w:val="8"/>
    </w:pPr>
    <w:rPr>
      <w:b/>
      <w:bCs/>
      <w:color w:val="0000FF"/>
      <w:sz w:val="22"/>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Stanluks naglowek 1 Znak,Stanluks 1 Znak"/>
    <w:link w:val="Nagwek1"/>
    <w:rsid w:val="004A0344"/>
    <w:rPr>
      <w:rFonts w:ascii="PL Times New Roman" w:hAnsi="PL Times New Roman"/>
      <w:b/>
      <w:snapToGrid w:val="0"/>
      <w:sz w:val="26"/>
      <w:lang w:val="pl-PL" w:eastAsia="pl-PL" w:bidi="ar-SA"/>
    </w:rPr>
  </w:style>
  <w:style w:type="paragraph" w:styleId="Wcicienormalne">
    <w:name w:val="Normal Indent"/>
    <w:basedOn w:val="Normalny"/>
    <w:rsid w:val="00A044C0"/>
    <w:pPr>
      <w:ind w:left="851"/>
    </w:pPr>
    <w:rPr>
      <w:rFonts w:ascii="PL Times New Roman" w:hAnsi="PL Times New Roman"/>
      <w:snapToGrid w:val="0"/>
    </w:rPr>
  </w:style>
  <w:style w:type="paragraph" w:styleId="Tytu">
    <w:name w:val="Title"/>
    <w:basedOn w:val="Normalny"/>
    <w:link w:val="TytuZnak"/>
    <w:qFormat/>
    <w:rsid w:val="00A044C0"/>
    <w:pPr>
      <w:tabs>
        <w:tab w:val="left" w:pos="-720"/>
      </w:tabs>
      <w:jc w:val="center"/>
    </w:pPr>
    <w:rPr>
      <w:rFonts w:ascii="Arial" w:hAnsi="Arial"/>
      <w:b/>
      <w:snapToGrid w:val="0"/>
      <w:spacing w:val="-3"/>
      <w:sz w:val="28"/>
      <w:u w:val="single"/>
    </w:rPr>
  </w:style>
  <w:style w:type="paragraph" w:customStyle="1" w:styleId="StylIwony">
    <w:name w:val="Styl Iwony"/>
    <w:basedOn w:val="Normalny"/>
    <w:rsid w:val="00A044C0"/>
    <w:pPr>
      <w:spacing w:before="120" w:after="120"/>
      <w:jc w:val="both"/>
    </w:pPr>
    <w:rPr>
      <w:rFonts w:ascii="Bookman Old Style" w:hAnsi="Bookman Old Style"/>
      <w:sz w:val="24"/>
    </w:rPr>
  </w:style>
  <w:style w:type="paragraph" w:styleId="Nagwek">
    <w:name w:val="header"/>
    <w:aliases w:val="Nagłówek strony nieparzystej,Nagłówek strony nieparzystej1,Nagłówek strony nieparzystej2,Nagłówek strony nieparzystej3,Nagłówek strony nieparzystej4,Nagłówek strony nieparzystej5,Nagłówek strony nieparzystej6,ROZDZIAŁY,Nagłówek strony"/>
    <w:basedOn w:val="Normalny"/>
    <w:link w:val="NagwekZnak1"/>
    <w:qFormat/>
    <w:rsid w:val="00A044C0"/>
    <w:pPr>
      <w:tabs>
        <w:tab w:val="center" w:pos="4252"/>
        <w:tab w:val="right" w:pos="8504"/>
        <w:tab w:val="right" w:pos="8789"/>
      </w:tabs>
      <w:spacing w:line="240" w:lineRule="atLeast"/>
      <w:jc w:val="both"/>
    </w:pPr>
    <w:rPr>
      <w:rFonts w:ascii="PL Times New Roman" w:hAnsi="PL Times New Roman"/>
      <w:snapToGrid w:val="0"/>
    </w:rPr>
  </w:style>
  <w:style w:type="paragraph" w:styleId="Tekstpodstawowy">
    <w:name w:val="Body Text"/>
    <w:basedOn w:val="Normalny"/>
    <w:link w:val="TekstpodstawowyZnak1"/>
    <w:rsid w:val="00A044C0"/>
    <w:pPr>
      <w:tabs>
        <w:tab w:val="left" w:pos="576"/>
        <w:tab w:val="left" w:pos="1008"/>
      </w:tabs>
      <w:jc w:val="both"/>
    </w:pPr>
    <w:rPr>
      <w:rFonts w:ascii="Arial" w:hAnsi="Arial"/>
      <w:snapToGrid w:val="0"/>
    </w:rPr>
  </w:style>
  <w:style w:type="paragraph" w:customStyle="1" w:styleId="tekstost">
    <w:name w:val="tekst ost"/>
    <w:basedOn w:val="Normalny"/>
    <w:rsid w:val="00A044C0"/>
    <w:pPr>
      <w:jc w:val="both"/>
    </w:pPr>
    <w:rPr>
      <w:rFonts w:ascii="PL Times New Roman" w:hAnsi="PL Times New Roman"/>
    </w:rPr>
  </w:style>
  <w:style w:type="paragraph" w:styleId="Tekstpodstawowy3">
    <w:name w:val="Body Text 3"/>
    <w:basedOn w:val="Normalny"/>
    <w:semiHidden/>
    <w:rsid w:val="00A044C0"/>
    <w:pPr>
      <w:jc w:val="both"/>
    </w:pPr>
    <w:rPr>
      <w:b/>
      <w:snapToGrid w:val="0"/>
      <w:sz w:val="26"/>
    </w:rPr>
  </w:style>
  <w:style w:type="paragraph" w:styleId="Indeks1">
    <w:name w:val="index 1"/>
    <w:basedOn w:val="Normalny"/>
    <w:next w:val="Normalny"/>
    <w:autoRedefine/>
    <w:rsid w:val="00A044C0"/>
    <w:pPr>
      <w:ind w:left="200" w:hanging="200"/>
    </w:pPr>
  </w:style>
  <w:style w:type="paragraph" w:styleId="Nagwekindeksu">
    <w:name w:val="index heading"/>
    <w:basedOn w:val="Normalny"/>
    <w:next w:val="Indeks1"/>
    <w:rsid w:val="00A044C0"/>
    <w:rPr>
      <w:rFonts w:ascii="PL Times New Roman" w:hAnsi="PL Times New Roman"/>
      <w:snapToGrid w:val="0"/>
    </w:rPr>
  </w:style>
  <w:style w:type="paragraph" w:styleId="Tekstpodstawowywcity">
    <w:name w:val="Body Text Indent"/>
    <w:basedOn w:val="Normalny"/>
    <w:rsid w:val="00A044C0"/>
    <w:pPr>
      <w:ind w:left="720" w:hanging="720"/>
      <w:jc w:val="both"/>
    </w:pPr>
    <w:rPr>
      <w:rFonts w:ascii="Arial" w:hAnsi="Arial"/>
      <w:snapToGrid w:val="0"/>
    </w:rPr>
  </w:style>
  <w:style w:type="paragraph" w:customStyle="1" w:styleId="Table">
    <w:name w:val="Table"/>
    <w:basedOn w:val="Normalny"/>
    <w:rsid w:val="00A044C0"/>
    <w:pPr>
      <w:spacing w:after="120"/>
      <w:jc w:val="center"/>
    </w:pPr>
    <w:rPr>
      <w:rFonts w:ascii="PL Times New Roman" w:hAnsi="PL Times New Roman"/>
      <w:snapToGrid w:val="0"/>
    </w:rPr>
  </w:style>
  <w:style w:type="paragraph" w:customStyle="1" w:styleId="Equation">
    <w:name w:val="Equation"/>
    <w:basedOn w:val="Normalny"/>
    <w:rsid w:val="00A044C0"/>
    <w:pPr>
      <w:tabs>
        <w:tab w:val="center" w:pos="3969"/>
        <w:tab w:val="right" w:pos="9072"/>
      </w:tabs>
      <w:spacing w:line="240" w:lineRule="atLeast"/>
      <w:ind w:right="-1"/>
      <w:jc w:val="both"/>
    </w:pPr>
    <w:rPr>
      <w:rFonts w:ascii="PL Times New Roman" w:hAnsi="PL Times New Roman"/>
      <w:snapToGrid w:val="0"/>
      <w:lang w:val="en-GB"/>
    </w:rPr>
  </w:style>
  <w:style w:type="paragraph" w:styleId="Tekstpodstawowywcity3">
    <w:name w:val="Body Text Indent 3"/>
    <w:basedOn w:val="Normalny"/>
    <w:rsid w:val="00A044C0"/>
    <w:pPr>
      <w:spacing w:before="120" w:after="120"/>
      <w:ind w:left="2160" w:hanging="2160"/>
    </w:pPr>
    <w:rPr>
      <w:rFonts w:ascii="Arial" w:hAnsi="Arial"/>
      <w:b/>
      <w:snapToGrid w:val="0"/>
      <w:sz w:val="26"/>
    </w:rPr>
  </w:style>
  <w:style w:type="character" w:styleId="Numerstrony">
    <w:name w:val="page number"/>
    <w:basedOn w:val="Domylnaczcionkaakapitu"/>
    <w:rsid w:val="00A044C0"/>
  </w:style>
  <w:style w:type="paragraph" w:styleId="Stopka">
    <w:name w:val="footer"/>
    <w:basedOn w:val="Normalny"/>
    <w:rsid w:val="00A044C0"/>
    <w:pPr>
      <w:tabs>
        <w:tab w:val="center" w:pos="4252"/>
        <w:tab w:val="right" w:pos="8504"/>
      </w:tabs>
    </w:pPr>
    <w:rPr>
      <w:rFonts w:ascii="PL Times New Roman" w:hAnsi="PL Times New Roman"/>
      <w:snapToGrid w:val="0"/>
    </w:rPr>
  </w:style>
  <w:style w:type="paragraph" w:styleId="Tekstpodstawowy2">
    <w:name w:val="Body Text 2"/>
    <w:basedOn w:val="Normalny"/>
    <w:link w:val="Tekstpodstawowy2Znak"/>
    <w:rsid w:val="00A044C0"/>
    <w:pPr>
      <w:ind w:right="-11"/>
      <w:jc w:val="both"/>
    </w:pPr>
    <w:rPr>
      <w:rFonts w:ascii="Arial" w:hAnsi="Arial"/>
    </w:rPr>
  </w:style>
  <w:style w:type="paragraph" w:customStyle="1" w:styleId="Standardowytekst">
    <w:name w:val="Standardowy.tekst"/>
    <w:link w:val="StandardowytekstZnak"/>
    <w:rsid w:val="00A044C0"/>
    <w:pPr>
      <w:overflowPunct w:val="0"/>
      <w:autoSpaceDE w:val="0"/>
      <w:autoSpaceDN w:val="0"/>
      <w:adjustRightInd w:val="0"/>
      <w:jc w:val="both"/>
    </w:pPr>
  </w:style>
  <w:style w:type="paragraph" w:styleId="Tekstpodstawowywcity2">
    <w:name w:val="Body Text Indent 2"/>
    <w:basedOn w:val="Normalny"/>
    <w:link w:val="Tekstpodstawowywcity2Znak"/>
    <w:rsid w:val="00A044C0"/>
    <w:pPr>
      <w:overflowPunct w:val="0"/>
      <w:autoSpaceDE w:val="0"/>
      <w:autoSpaceDN w:val="0"/>
      <w:adjustRightInd w:val="0"/>
      <w:ind w:firstLine="709"/>
      <w:jc w:val="both"/>
    </w:pPr>
    <w:rPr>
      <w:rFonts w:ascii="Arial" w:hAnsi="Arial" w:cs="Arial"/>
    </w:rPr>
  </w:style>
  <w:style w:type="paragraph" w:styleId="Tekstkomentarza">
    <w:name w:val="annotation text"/>
    <w:basedOn w:val="Normalny"/>
    <w:link w:val="TekstkomentarzaZnak"/>
    <w:semiHidden/>
    <w:rsid w:val="00A044C0"/>
    <w:pPr>
      <w:widowControl w:val="0"/>
      <w:overflowPunct w:val="0"/>
      <w:autoSpaceDE w:val="0"/>
      <w:autoSpaceDN w:val="0"/>
      <w:adjustRightInd w:val="0"/>
      <w:textAlignment w:val="baseline"/>
    </w:pPr>
  </w:style>
  <w:style w:type="paragraph" w:styleId="Tekstdymka">
    <w:name w:val="Balloon Text"/>
    <w:basedOn w:val="Normalny"/>
    <w:rsid w:val="00A044C0"/>
    <w:rPr>
      <w:rFonts w:ascii="Tahoma" w:hAnsi="Tahoma" w:cs="Tahoma"/>
      <w:sz w:val="16"/>
      <w:szCs w:val="16"/>
    </w:rPr>
  </w:style>
  <w:style w:type="paragraph" w:styleId="Tekstprzypisudolnego">
    <w:name w:val="footnote text"/>
    <w:basedOn w:val="Normalny"/>
    <w:rsid w:val="00A044C0"/>
  </w:style>
  <w:style w:type="paragraph" w:styleId="Tekstblokowy">
    <w:name w:val="Block Text"/>
    <w:basedOn w:val="Normalny"/>
    <w:semiHidden/>
    <w:rsid w:val="00A044C0"/>
    <w:pPr>
      <w:widowControl w:val="0"/>
      <w:tabs>
        <w:tab w:val="left" w:pos="1418"/>
      </w:tabs>
      <w:snapToGrid w:val="0"/>
      <w:spacing w:before="180" w:line="280" w:lineRule="atLeast"/>
      <w:ind w:left="567" w:right="-126"/>
      <w:jc w:val="both"/>
    </w:pPr>
    <w:rPr>
      <w:sz w:val="24"/>
    </w:rPr>
  </w:style>
  <w:style w:type="paragraph" w:styleId="Zwykytekst">
    <w:name w:val="Plain Text"/>
    <w:basedOn w:val="Normalny"/>
    <w:link w:val="ZwykytekstZnak"/>
    <w:rsid w:val="00A044C0"/>
    <w:rPr>
      <w:rFonts w:ascii="Courier New" w:hAnsi="Courier New"/>
    </w:rPr>
  </w:style>
  <w:style w:type="paragraph" w:styleId="Legenda">
    <w:name w:val="caption"/>
    <w:basedOn w:val="Normalny"/>
    <w:next w:val="Normalny"/>
    <w:link w:val="LegendaZnak"/>
    <w:qFormat/>
    <w:rsid w:val="00A044C0"/>
    <w:pPr>
      <w:tabs>
        <w:tab w:val="left" w:pos="284"/>
        <w:tab w:val="left" w:pos="426"/>
        <w:tab w:val="left" w:pos="851"/>
      </w:tabs>
      <w:spacing w:before="120" w:after="120"/>
      <w:jc w:val="both"/>
    </w:pPr>
    <w:rPr>
      <w:i/>
      <w:color w:val="0000FF"/>
      <w:sz w:val="24"/>
      <w:szCs w:val="24"/>
    </w:rPr>
  </w:style>
  <w:style w:type="character" w:customStyle="1" w:styleId="LegendaZnak">
    <w:name w:val="Legenda Znak"/>
    <w:link w:val="Legenda"/>
    <w:rsid w:val="00000BA6"/>
    <w:rPr>
      <w:i/>
      <w:color w:val="0000FF"/>
      <w:sz w:val="24"/>
      <w:szCs w:val="24"/>
      <w:lang w:val="pl-PL" w:eastAsia="pl-PL" w:bidi="ar-SA"/>
    </w:rPr>
  </w:style>
  <w:style w:type="paragraph" w:styleId="Spistreci7">
    <w:name w:val="toc 7"/>
    <w:basedOn w:val="Normalny"/>
    <w:next w:val="Normalny"/>
    <w:uiPriority w:val="39"/>
    <w:rsid w:val="00A044C0"/>
    <w:pPr>
      <w:tabs>
        <w:tab w:val="right" w:leader="dot" w:pos="7371"/>
      </w:tabs>
      <w:overflowPunct w:val="0"/>
      <w:autoSpaceDE w:val="0"/>
      <w:autoSpaceDN w:val="0"/>
      <w:adjustRightInd w:val="0"/>
      <w:ind w:left="1200"/>
      <w:textAlignment w:val="baseline"/>
    </w:pPr>
    <w:rPr>
      <w:sz w:val="18"/>
    </w:rPr>
  </w:style>
  <w:style w:type="paragraph" w:customStyle="1" w:styleId="Tekstpodstawowy21">
    <w:name w:val="Tekst podstawowy 21"/>
    <w:basedOn w:val="Normalny"/>
    <w:rsid w:val="00A044C0"/>
    <w:pPr>
      <w:overflowPunct w:val="0"/>
      <w:autoSpaceDE w:val="0"/>
      <w:autoSpaceDN w:val="0"/>
      <w:adjustRightInd w:val="0"/>
      <w:ind w:firstLine="283"/>
      <w:jc w:val="both"/>
      <w:textAlignment w:val="baseline"/>
    </w:pPr>
  </w:style>
  <w:style w:type="paragraph" w:customStyle="1" w:styleId="Tekstpodstawowywcity31">
    <w:name w:val="Tekst podstawowy wcięty 31"/>
    <w:basedOn w:val="Normalny"/>
    <w:rsid w:val="00A044C0"/>
    <w:pPr>
      <w:tabs>
        <w:tab w:val="left" w:pos="964"/>
      </w:tabs>
      <w:overflowPunct w:val="0"/>
      <w:autoSpaceDE w:val="0"/>
      <w:autoSpaceDN w:val="0"/>
      <w:adjustRightInd w:val="0"/>
      <w:spacing w:after="120"/>
      <w:ind w:left="964" w:hanging="964"/>
      <w:jc w:val="both"/>
      <w:textAlignment w:val="baseline"/>
    </w:pPr>
  </w:style>
  <w:style w:type="paragraph" w:styleId="Tematkomentarza">
    <w:name w:val="annotation subject"/>
    <w:basedOn w:val="Tekstkomentarza"/>
    <w:next w:val="Tekstkomentarza"/>
    <w:link w:val="TematkomentarzaZnak"/>
    <w:rsid w:val="00A044C0"/>
    <w:pPr>
      <w:widowControl/>
      <w:overflowPunct/>
      <w:autoSpaceDE/>
      <w:autoSpaceDN/>
      <w:adjustRightInd/>
      <w:textAlignment w:val="auto"/>
    </w:pPr>
    <w:rPr>
      <w:b/>
      <w:bCs/>
    </w:rPr>
  </w:style>
  <w:style w:type="paragraph" w:styleId="Spistreci2">
    <w:name w:val="toc 2"/>
    <w:basedOn w:val="Normalny"/>
    <w:next w:val="Normalny"/>
    <w:autoRedefine/>
    <w:uiPriority w:val="39"/>
    <w:qFormat/>
    <w:rsid w:val="00A044C0"/>
    <w:pPr>
      <w:tabs>
        <w:tab w:val="right" w:pos="9072"/>
      </w:tabs>
      <w:ind w:right="56"/>
      <w:jc w:val="both"/>
    </w:pPr>
    <w:rPr>
      <w:rFonts w:ascii="Arial" w:hAnsi="Arial" w:cs="Arial"/>
      <w:snapToGrid w:val="0"/>
    </w:rPr>
  </w:style>
  <w:style w:type="paragraph" w:styleId="Spistreci1">
    <w:name w:val="toc 1"/>
    <w:next w:val="Adresnakopercie"/>
    <w:autoRedefine/>
    <w:uiPriority w:val="39"/>
    <w:qFormat/>
    <w:rsid w:val="001E0690"/>
    <w:pPr>
      <w:tabs>
        <w:tab w:val="left" w:pos="1440"/>
        <w:tab w:val="left" w:leader="dot" w:pos="9000"/>
      </w:tabs>
    </w:pPr>
    <w:rPr>
      <w:b/>
      <w:i/>
      <w:noProof/>
      <w:snapToGrid w:val="0"/>
    </w:rPr>
  </w:style>
  <w:style w:type="paragraph" w:styleId="Adresnakopercie">
    <w:name w:val="envelope address"/>
    <w:basedOn w:val="Normalny"/>
    <w:rsid w:val="00C2196D"/>
    <w:pPr>
      <w:framePr w:w="7920" w:h="1980" w:hRule="exact" w:hSpace="141" w:wrap="auto" w:hAnchor="page" w:xAlign="center" w:yAlign="bottom"/>
      <w:ind w:left="2880"/>
    </w:pPr>
    <w:rPr>
      <w:rFonts w:ascii="Arial" w:hAnsi="Arial" w:cs="Arial"/>
      <w:sz w:val="24"/>
      <w:szCs w:val="24"/>
    </w:rPr>
  </w:style>
  <w:style w:type="paragraph" w:customStyle="1" w:styleId="Wstpniesformatowany">
    <w:name w:val="Wstępnie sformatowany"/>
    <w:basedOn w:val="Normalny"/>
    <w:rsid w:val="00A044C0"/>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snapToGrid w:val="0"/>
    </w:rPr>
  </w:style>
  <w:style w:type="character" w:styleId="Hipercze">
    <w:name w:val="Hyperlink"/>
    <w:uiPriority w:val="99"/>
    <w:rsid w:val="00A044C0"/>
    <w:rPr>
      <w:color w:val="0000FF"/>
      <w:u w:val="single"/>
    </w:rPr>
  </w:style>
  <w:style w:type="character" w:styleId="UyteHipercze">
    <w:name w:val="FollowedHyperlink"/>
    <w:rsid w:val="00A044C0"/>
    <w:rPr>
      <w:color w:val="800080"/>
      <w:u w:val="single"/>
    </w:rPr>
  </w:style>
  <w:style w:type="paragraph" w:styleId="Spistreci3">
    <w:name w:val="toc 3"/>
    <w:basedOn w:val="Normalny"/>
    <w:uiPriority w:val="39"/>
    <w:qFormat/>
    <w:rsid w:val="00A044C0"/>
    <w:pPr>
      <w:tabs>
        <w:tab w:val="right" w:leader="dot" w:pos="7371"/>
      </w:tabs>
      <w:overflowPunct w:val="0"/>
      <w:autoSpaceDE w:val="0"/>
      <w:autoSpaceDN w:val="0"/>
      <w:adjustRightInd w:val="0"/>
      <w:ind w:left="400"/>
    </w:pPr>
  </w:style>
  <w:style w:type="paragraph" w:styleId="Spistreci4">
    <w:name w:val="toc 4"/>
    <w:basedOn w:val="Normalny"/>
    <w:uiPriority w:val="39"/>
    <w:rsid w:val="00A044C0"/>
    <w:pPr>
      <w:tabs>
        <w:tab w:val="right" w:leader="dot" w:pos="7371"/>
      </w:tabs>
      <w:overflowPunct w:val="0"/>
      <w:autoSpaceDE w:val="0"/>
      <w:autoSpaceDN w:val="0"/>
      <w:adjustRightInd w:val="0"/>
      <w:ind w:left="600"/>
    </w:pPr>
    <w:rPr>
      <w:sz w:val="18"/>
    </w:rPr>
  </w:style>
  <w:style w:type="paragraph" w:styleId="Spistreci5">
    <w:name w:val="toc 5"/>
    <w:basedOn w:val="Normalny"/>
    <w:uiPriority w:val="39"/>
    <w:rsid w:val="00A044C0"/>
    <w:pPr>
      <w:tabs>
        <w:tab w:val="right" w:leader="dot" w:pos="7371"/>
      </w:tabs>
      <w:overflowPunct w:val="0"/>
      <w:autoSpaceDE w:val="0"/>
      <w:autoSpaceDN w:val="0"/>
      <w:adjustRightInd w:val="0"/>
      <w:ind w:left="800"/>
    </w:pPr>
    <w:rPr>
      <w:sz w:val="18"/>
    </w:rPr>
  </w:style>
  <w:style w:type="paragraph" w:styleId="Spistreci6">
    <w:name w:val="toc 6"/>
    <w:basedOn w:val="Normalny"/>
    <w:uiPriority w:val="39"/>
    <w:rsid w:val="00A044C0"/>
    <w:pPr>
      <w:tabs>
        <w:tab w:val="right" w:leader="dot" w:pos="7371"/>
      </w:tabs>
      <w:overflowPunct w:val="0"/>
      <w:autoSpaceDE w:val="0"/>
      <w:autoSpaceDN w:val="0"/>
      <w:adjustRightInd w:val="0"/>
      <w:ind w:left="1000"/>
    </w:pPr>
    <w:rPr>
      <w:sz w:val="18"/>
    </w:rPr>
  </w:style>
  <w:style w:type="paragraph" w:styleId="Spistreci8">
    <w:name w:val="toc 8"/>
    <w:basedOn w:val="Normalny"/>
    <w:uiPriority w:val="39"/>
    <w:rsid w:val="00A044C0"/>
    <w:pPr>
      <w:tabs>
        <w:tab w:val="right" w:leader="dot" w:pos="7371"/>
      </w:tabs>
      <w:overflowPunct w:val="0"/>
      <w:autoSpaceDE w:val="0"/>
      <w:autoSpaceDN w:val="0"/>
      <w:adjustRightInd w:val="0"/>
      <w:ind w:left="1400"/>
    </w:pPr>
    <w:rPr>
      <w:sz w:val="18"/>
    </w:rPr>
  </w:style>
  <w:style w:type="paragraph" w:styleId="Spistreci9">
    <w:name w:val="toc 9"/>
    <w:basedOn w:val="Normalny"/>
    <w:uiPriority w:val="39"/>
    <w:rsid w:val="00A044C0"/>
    <w:pPr>
      <w:tabs>
        <w:tab w:val="right" w:leader="dot" w:pos="7371"/>
      </w:tabs>
      <w:overflowPunct w:val="0"/>
      <w:autoSpaceDE w:val="0"/>
      <w:autoSpaceDN w:val="0"/>
      <w:adjustRightInd w:val="0"/>
      <w:ind w:left="1600"/>
    </w:pPr>
    <w:rPr>
      <w:sz w:val="18"/>
    </w:rPr>
  </w:style>
  <w:style w:type="paragraph" w:styleId="NormalnyWeb">
    <w:name w:val="Normal (Web)"/>
    <w:basedOn w:val="Normalny"/>
    <w:rsid w:val="00A044C0"/>
    <w:pPr>
      <w:spacing w:before="100" w:beforeAutospacing="1" w:after="100" w:afterAutospacing="1"/>
    </w:pPr>
    <w:rPr>
      <w:sz w:val="24"/>
      <w:szCs w:val="24"/>
    </w:rPr>
  </w:style>
  <w:style w:type="character" w:styleId="Odwoaniedokomentarza">
    <w:name w:val="annotation reference"/>
    <w:semiHidden/>
    <w:rsid w:val="00A044C0"/>
    <w:rPr>
      <w:sz w:val="16"/>
      <w:szCs w:val="16"/>
    </w:rPr>
  </w:style>
  <w:style w:type="paragraph" w:customStyle="1" w:styleId="Standardowytekst1">
    <w:name w:val="Standardowy.tekst1"/>
    <w:rsid w:val="00A044C0"/>
    <w:pPr>
      <w:overflowPunct w:val="0"/>
      <w:autoSpaceDE w:val="0"/>
      <w:autoSpaceDN w:val="0"/>
      <w:adjustRightInd w:val="0"/>
      <w:jc w:val="both"/>
    </w:pPr>
  </w:style>
  <w:style w:type="paragraph" w:customStyle="1" w:styleId="Tekstpodstawowywcity21">
    <w:name w:val="Tekst podstawowy wcięty 21"/>
    <w:basedOn w:val="Normalny"/>
    <w:rsid w:val="00A044C0"/>
    <w:pPr>
      <w:overflowPunct w:val="0"/>
      <w:autoSpaceDE w:val="0"/>
      <w:autoSpaceDN w:val="0"/>
      <w:adjustRightInd w:val="0"/>
      <w:ind w:left="284" w:hanging="284"/>
      <w:jc w:val="both"/>
    </w:pPr>
  </w:style>
  <w:style w:type="paragraph" w:customStyle="1" w:styleId="FR1">
    <w:name w:val="FR1"/>
    <w:rsid w:val="00A044C0"/>
    <w:pPr>
      <w:widowControl w:val="0"/>
      <w:autoSpaceDE w:val="0"/>
      <w:autoSpaceDN w:val="0"/>
      <w:adjustRightInd w:val="0"/>
      <w:spacing w:line="300" w:lineRule="auto"/>
    </w:pPr>
    <w:rPr>
      <w:rFonts w:ascii="Arial" w:hAnsi="Arial" w:cs="Arial"/>
      <w:sz w:val="22"/>
      <w:szCs w:val="22"/>
    </w:rPr>
  </w:style>
  <w:style w:type="character" w:customStyle="1" w:styleId="Odsyaczprzypisudolnego">
    <w:name w:val="Odsyłacz przypisu dolnego"/>
    <w:rsid w:val="00A044C0"/>
    <w:rPr>
      <w:sz w:val="20"/>
      <w:vertAlign w:val="superscript"/>
    </w:rPr>
  </w:style>
  <w:style w:type="paragraph" w:customStyle="1" w:styleId="FR2">
    <w:name w:val="FR2"/>
    <w:semiHidden/>
    <w:rsid w:val="00873E4B"/>
    <w:pPr>
      <w:widowControl w:val="0"/>
      <w:autoSpaceDE w:val="0"/>
      <w:autoSpaceDN w:val="0"/>
      <w:adjustRightInd w:val="0"/>
      <w:spacing w:before="440"/>
    </w:pPr>
    <w:rPr>
      <w:b/>
      <w:bCs/>
      <w:sz w:val="12"/>
      <w:szCs w:val="12"/>
    </w:rPr>
  </w:style>
  <w:style w:type="paragraph" w:styleId="Akapitzlist">
    <w:name w:val="List Paragraph"/>
    <w:basedOn w:val="Normalny"/>
    <w:uiPriority w:val="34"/>
    <w:qFormat/>
    <w:rsid w:val="00AC55E9"/>
    <w:pPr>
      <w:ind w:left="720"/>
      <w:contextualSpacing/>
    </w:pPr>
    <w:rPr>
      <w:sz w:val="24"/>
      <w:szCs w:val="24"/>
    </w:rPr>
  </w:style>
  <w:style w:type="paragraph" w:styleId="Listapunktowana">
    <w:name w:val="List Bullet"/>
    <w:basedOn w:val="Normalny"/>
    <w:semiHidden/>
    <w:rsid w:val="00763E7F"/>
    <w:pPr>
      <w:spacing w:line="360" w:lineRule="auto"/>
      <w:ind w:left="360" w:hanging="360"/>
    </w:pPr>
    <w:rPr>
      <w:sz w:val="24"/>
    </w:rPr>
  </w:style>
  <w:style w:type="paragraph" w:customStyle="1" w:styleId="Styl1">
    <w:name w:val="Styl1"/>
    <w:basedOn w:val="Normalny"/>
    <w:rsid w:val="004855F8"/>
    <w:pPr>
      <w:widowControl w:val="0"/>
      <w:spacing w:before="120" w:after="120"/>
      <w:ind w:right="6878"/>
    </w:pPr>
    <w:rPr>
      <w:b/>
      <w:snapToGrid w:val="0"/>
      <w:u w:val="single"/>
    </w:rPr>
  </w:style>
  <w:style w:type="paragraph" w:customStyle="1" w:styleId="1">
    <w:name w:val="1"/>
    <w:basedOn w:val="Normalny"/>
    <w:semiHidden/>
    <w:rsid w:val="004855F8"/>
    <w:pPr>
      <w:widowControl w:val="0"/>
      <w:spacing w:before="120" w:after="120"/>
      <w:ind w:right="6878"/>
    </w:pPr>
    <w:rPr>
      <w:b/>
      <w:snapToGrid w:val="0"/>
      <w:u w:val="single"/>
    </w:rPr>
  </w:style>
  <w:style w:type="character" w:customStyle="1" w:styleId="Styl11ptPogrubieniePodkrelenie">
    <w:name w:val="Styl 11 pt Pogrubienie Podkreślenie"/>
    <w:semiHidden/>
    <w:rsid w:val="004855F8"/>
    <w:rPr>
      <w:rFonts w:ascii="Times New Roman" w:hAnsi="Times New Roman"/>
      <w:b/>
      <w:bCs/>
      <w:sz w:val="20"/>
      <w:u w:val="single"/>
    </w:rPr>
  </w:style>
  <w:style w:type="character" w:customStyle="1" w:styleId="Styl10ptPogrubieniePodkrelenie1">
    <w:name w:val="Styl 10 pt Pogrubienie Podkreślenie1"/>
    <w:semiHidden/>
    <w:rsid w:val="004855F8"/>
    <w:rPr>
      <w:b/>
      <w:bCs/>
      <w:sz w:val="20"/>
      <w:u w:val="single"/>
    </w:rPr>
  </w:style>
  <w:style w:type="character" w:customStyle="1" w:styleId="Styl11ptPogrubieniePodkrelenie1">
    <w:name w:val="Styl 11 pt Pogrubienie Podkreślenie1"/>
    <w:rsid w:val="004855F8"/>
    <w:rPr>
      <w:b/>
      <w:bCs/>
      <w:sz w:val="20"/>
      <w:u w:val="single"/>
    </w:rPr>
  </w:style>
  <w:style w:type="paragraph" w:customStyle="1" w:styleId="Styl2">
    <w:name w:val="Styl2"/>
    <w:basedOn w:val="1"/>
    <w:rsid w:val="004855F8"/>
    <w:rPr>
      <w:bCs/>
    </w:rPr>
  </w:style>
  <w:style w:type="paragraph" w:customStyle="1" w:styleId="spis">
    <w:name w:val="spis"/>
    <w:basedOn w:val="Normalny"/>
    <w:link w:val="spisZnak"/>
    <w:rsid w:val="004855F8"/>
    <w:pPr>
      <w:widowControl w:val="0"/>
      <w:spacing w:before="120" w:after="120"/>
      <w:jc w:val="both"/>
    </w:pPr>
    <w:rPr>
      <w:b/>
      <w:noProof/>
      <w:snapToGrid w:val="0"/>
      <w:u w:val="single"/>
    </w:rPr>
  </w:style>
  <w:style w:type="character" w:customStyle="1" w:styleId="spisZnak">
    <w:name w:val="spis Znak"/>
    <w:link w:val="spis"/>
    <w:rsid w:val="00507725"/>
    <w:rPr>
      <w:b/>
      <w:noProof/>
      <w:snapToGrid w:val="0"/>
      <w:u w:val="single"/>
      <w:lang w:val="pl-PL" w:eastAsia="pl-PL" w:bidi="ar-SA"/>
    </w:rPr>
  </w:style>
  <w:style w:type="paragraph" w:customStyle="1" w:styleId="Styl3">
    <w:name w:val="Styl3"/>
    <w:basedOn w:val="Normalny"/>
    <w:rsid w:val="004855F8"/>
    <w:pPr>
      <w:widowControl w:val="0"/>
      <w:spacing w:before="120" w:after="120"/>
    </w:pPr>
    <w:rPr>
      <w:b/>
      <w:noProof/>
      <w:snapToGrid w:val="0"/>
      <w:u w:val="single"/>
    </w:rPr>
  </w:style>
  <w:style w:type="paragraph" w:customStyle="1" w:styleId="Styl4">
    <w:name w:val="Styl4"/>
    <w:basedOn w:val="Normalny"/>
    <w:link w:val="Styl4Znak"/>
    <w:rsid w:val="00500DDA"/>
    <w:rPr>
      <w:b/>
    </w:rPr>
  </w:style>
  <w:style w:type="character" w:customStyle="1" w:styleId="Styl4Znak">
    <w:name w:val="Styl4 Znak"/>
    <w:link w:val="Styl4"/>
    <w:rsid w:val="000558D7"/>
    <w:rPr>
      <w:b/>
      <w:lang w:val="pl-PL" w:eastAsia="pl-PL" w:bidi="ar-SA"/>
    </w:rPr>
  </w:style>
  <w:style w:type="paragraph" w:customStyle="1" w:styleId="nagwek0">
    <w:name w:val="nagłówek"/>
    <w:basedOn w:val="Nagwek1"/>
    <w:rsid w:val="00C379B0"/>
  </w:style>
  <w:style w:type="paragraph" w:customStyle="1" w:styleId="Styl11111">
    <w:name w:val="Styl11111"/>
    <w:basedOn w:val="Normalny"/>
    <w:rsid w:val="00127F8C"/>
    <w:pPr>
      <w:overflowPunct w:val="0"/>
      <w:autoSpaceDE w:val="0"/>
      <w:autoSpaceDN w:val="0"/>
      <w:adjustRightInd w:val="0"/>
      <w:jc w:val="both"/>
    </w:pPr>
  </w:style>
  <w:style w:type="paragraph" w:customStyle="1" w:styleId="skrel">
    <w:name w:val="skreśl"/>
    <w:basedOn w:val="Styl11111"/>
    <w:rsid w:val="00127F8C"/>
    <w:pPr>
      <w:numPr>
        <w:numId w:val="2"/>
      </w:numPr>
    </w:pPr>
    <w:rPr>
      <w:strike/>
    </w:rPr>
  </w:style>
  <w:style w:type="paragraph" w:customStyle="1" w:styleId="Styl5">
    <w:name w:val="Styl5"/>
    <w:basedOn w:val="Normalny"/>
    <w:rsid w:val="009340E0"/>
    <w:pPr>
      <w:widowControl w:val="0"/>
      <w:spacing w:before="120" w:after="120"/>
    </w:pPr>
    <w:rPr>
      <w:b/>
      <w:noProof/>
      <w:snapToGrid w:val="0"/>
      <w:u w:val="single"/>
    </w:rPr>
  </w:style>
  <w:style w:type="character" w:customStyle="1" w:styleId="WW8Num99z0">
    <w:name w:val="WW8Num99z0"/>
    <w:rsid w:val="009340E0"/>
    <w:rPr>
      <w:rFonts w:ascii="Times New Roman" w:hAnsi="Times New Roman" w:cs="Times New Roman"/>
    </w:rPr>
  </w:style>
  <w:style w:type="character" w:customStyle="1" w:styleId="TekstpodstawowyZnak">
    <w:name w:val="Tekst podstawowy Znak"/>
    <w:locked/>
    <w:rsid w:val="00B707D2"/>
    <w:rPr>
      <w:rFonts w:ascii="Arial" w:hAnsi="Arial"/>
      <w:snapToGrid w:val="0"/>
      <w:lang w:val="pl-PL" w:eastAsia="pl-PL" w:bidi="ar-SA"/>
    </w:rPr>
  </w:style>
  <w:style w:type="character" w:customStyle="1" w:styleId="Tekstpodstawowy3Znak">
    <w:name w:val="Tekst podstawowy 3 Znak"/>
    <w:locked/>
    <w:rsid w:val="00B707D2"/>
    <w:rPr>
      <w:b/>
      <w:snapToGrid w:val="0"/>
      <w:sz w:val="26"/>
      <w:lang w:val="pl-PL" w:eastAsia="pl-PL" w:bidi="ar-SA"/>
    </w:rPr>
  </w:style>
  <w:style w:type="character" w:customStyle="1" w:styleId="TekstpodstawowywcityZnak">
    <w:name w:val="Tekst podstawowy wcięty Znak"/>
    <w:locked/>
    <w:rsid w:val="00B707D2"/>
    <w:rPr>
      <w:rFonts w:ascii="Arial" w:hAnsi="Arial"/>
      <w:snapToGrid w:val="0"/>
      <w:lang w:val="pl-PL" w:eastAsia="pl-PL" w:bidi="ar-SA"/>
    </w:rPr>
  </w:style>
  <w:style w:type="character" w:customStyle="1" w:styleId="Tekstpodstawowywcity3Znak">
    <w:name w:val="Tekst podstawowy wcięty 3 Znak"/>
    <w:locked/>
    <w:rsid w:val="00B707D2"/>
    <w:rPr>
      <w:rFonts w:ascii="Arial" w:hAnsi="Arial"/>
      <w:b/>
      <w:snapToGrid w:val="0"/>
      <w:sz w:val="26"/>
      <w:lang w:val="pl-PL" w:eastAsia="pl-PL" w:bidi="ar-SA"/>
    </w:rPr>
  </w:style>
  <w:style w:type="character" w:customStyle="1" w:styleId="TekstprzypisudolnegoZnak">
    <w:name w:val="Tekst przypisu dolnego Znak"/>
    <w:locked/>
    <w:rsid w:val="00B707D2"/>
    <w:rPr>
      <w:lang w:val="pl-PL" w:eastAsia="pl-PL" w:bidi="ar-SA"/>
    </w:rPr>
  </w:style>
  <w:style w:type="paragraph" w:customStyle="1" w:styleId="Normalny1">
    <w:name w:val="Normalny1"/>
    <w:aliases w:val="tekst"/>
    <w:rsid w:val="00B707D2"/>
    <w:pPr>
      <w:overflowPunct w:val="0"/>
      <w:autoSpaceDE w:val="0"/>
      <w:autoSpaceDN w:val="0"/>
      <w:adjustRightInd w:val="0"/>
      <w:jc w:val="both"/>
    </w:pPr>
  </w:style>
  <w:style w:type="character" w:customStyle="1" w:styleId="Styl12pt">
    <w:name w:val="Styl 12 pt"/>
    <w:rsid w:val="00B707D2"/>
    <w:rPr>
      <w:rFonts w:ascii="Times New Roman" w:hAnsi="Times New Roman" w:cs="Times New Roman" w:hint="default"/>
      <w:sz w:val="20"/>
      <w:szCs w:val="20"/>
    </w:rPr>
  </w:style>
  <w:style w:type="paragraph" w:customStyle="1" w:styleId="10">
    <w:name w:val="10"/>
    <w:basedOn w:val="Tekstpodstawowy"/>
    <w:rsid w:val="00B707D2"/>
    <w:pPr>
      <w:tabs>
        <w:tab w:val="clear" w:pos="576"/>
        <w:tab w:val="clear" w:pos="1008"/>
      </w:tabs>
    </w:pPr>
    <w:rPr>
      <w:rFonts w:ascii="Times New Roman" w:hAnsi="Times New Roman"/>
      <w:snapToGrid/>
    </w:rPr>
  </w:style>
  <w:style w:type="paragraph" w:customStyle="1" w:styleId="Styl12ptWyjustowany">
    <w:name w:val="Styl 12 pt Wyjustowany"/>
    <w:basedOn w:val="Normalny"/>
    <w:autoRedefine/>
    <w:rsid w:val="00B707D2"/>
    <w:pPr>
      <w:jc w:val="both"/>
    </w:pPr>
  </w:style>
  <w:style w:type="paragraph" w:customStyle="1" w:styleId="podpkt11">
    <w:name w:val="pod_pkt1.1"/>
    <w:basedOn w:val="Normalny"/>
    <w:rsid w:val="00B707D2"/>
    <w:pPr>
      <w:keepNext/>
      <w:spacing w:after="120"/>
      <w:ind w:left="425" w:hanging="425"/>
    </w:pPr>
    <w:rPr>
      <w:sz w:val="24"/>
    </w:rPr>
  </w:style>
  <w:style w:type="paragraph" w:customStyle="1" w:styleId="100">
    <w:name w:val="_10"/>
    <w:basedOn w:val="Normalny"/>
    <w:rsid w:val="00B707D2"/>
    <w:pPr>
      <w:ind w:right="-57"/>
      <w:jc w:val="both"/>
    </w:pPr>
    <w:rPr>
      <w:color w:val="000000"/>
    </w:rPr>
  </w:style>
  <w:style w:type="character" w:customStyle="1" w:styleId="tekstostZnak">
    <w:name w:val="tekst ost Znak"/>
    <w:rsid w:val="00B707D2"/>
    <w:rPr>
      <w:lang w:val="pl-PL" w:eastAsia="pl-PL" w:bidi="ar-SA"/>
    </w:rPr>
  </w:style>
  <w:style w:type="character" w:customStyle="1" w:styleId="Nagwek2Znak">
    <w:name w:val="Nagłówek 2 Znak"/>
    <w:locked/>
    <w:rsid w:val="00B707D2"/>
    <w:rPr>
      <w:rFonts w:ascii="PL Times New Roman" w:hAnsi="PL Times New Roman"/>
      <w:snapToGrid w:val="0"/>
      <w:lang w:val="pl-PL" w:eastAsia="pl-PL" w:bidi="ar-SA"/>
    </w:rPr>
  </w:style>
  <w:style w:type="character" w:customStyle="1" w:styleId="Nagwek3Znak">
    <w:name w:val="Nagłówek 3 Znak"/>
    <w:locked/>
    <w:rsid w:val="00B707D2"/>
    <w:rPr>
      <w:rFonts w:ascii="PL Times New Roman" w:hAnsi="PL Times New Roman"/>
      <w:snapToGrid w:val="0"/>
      <w:lang w:val="pl-PL" w:eastAsia="pl-PL" w:bidi="ar-SA"/>
    </w:rPr>
  </w:style>
  <w:style w:type="character" w:customStyle="1" w:styleId="NagwekZnak">
    <w:name w:val="Nagłówek Znak"/>
    <w:aliases w:val="ROZDZIAŁY Znak"/>
    <w:locked/>
    <w:rsid w:val="00B707D2"/>
    <w:rPr>
      <w:rFonts w:ascii="PL Times New Roman" w:hAnsi="PL Times New Roman"/>
      <w:snapToGrid w:val="0"/>
      <w:lang w:val="pl-PL" w:eastAsia="pl-PL" w:bidi="ar-SA"/>
    </w:rPr>
  </w:style>
  <w:style w:type="character" w:customStyle="1" w:styleId="StopkaZnak">
    <w:name w:val="Stopka Znak"/>
    <w:locked/>
    <w:rsid w:val="00B707D2"/>
    <w:rPr>
      <w:rFonts w:ascii="PL Times New Roman" w:hAnsi="PL Times New Roman"/>
      <w:snapToGrid w:val="0"/>
      <w:lang w:val="pl-PL" w:eastAsia="pl-PL" w:bidi="ar-SA"/>
    </w:rPr>
  </w:style>
  <w:style w:type="character" w:customStyle="1" w:styleId="TekstdymkaZnak">
    <w:name w:val="Tekst dymka Znak"/>
    <w:locked/>
    <w:rsid w:val="00B707D2"/>
    <w:rPr>
      <w:rFonts w:ascii="Tahoma" w:hAnsi="Tahoma" w:cs="Tahoma"/>
      <w:sz w:val="16"/>
      <w:szCs w:val="16"/>
      <w:lang w:val="pl-PL" w:eastAsia="pl-PL" w:bidi="ar-SA"/>
    </w:rPr>
  </w:style>
  <w:style w:type="character" w:customStyle="1" w:styleId="TekstprzypisukocowegoZnak">
    <w:name w:val="Tekst przypisu końcowego Znak"/>
    <w:link w:val="Tekstprzypisukocowego"/>
    <w:locked/>
    <w:rsid w:val="00B707D2"/>
    <w:rPr>
      <w:lang w:val="pl-PL" w:eastAsia="pl-PL" w:bidi="ar-SA"/>
    </w:rPr>
  </w:style>
  <w:style w:type="paragraph" w:customStyle="1" w:styleId="western">
    <w:name w:val="western"/>
    <w:basedOn w:val="Normalny"/>
    <w:rsid w:val="00B707D2"/>
    <w:pPr>
      <w:spacing w:before="100" w:beforeAutospacing="1" w:after="100" w:afterAutospacing="1"/>
      <w:jc w:val="both"/>
    </w:pPr>
    <w:rPr>
      <w:sz w:val="24"/>
      <w:szCs w:val="24"/>
    </w:rPr>
  </w:style>
  <w:style w:type="paragraph" w:customStyle="1" w:styleId="BodySingle">
    <w:name w:val="Body Single"/>
    <w:rsid w:val="00B707D2"/>
    <w:pPr>
      <w:keepLines/>
      <w:overflowPunct w:val="0"/>
      <w:autoSpaceDE w:val="0"/>
      <w:autoSpaceDN w:val="0"/>
      <w:adjustRightInd w:val="0"/>
      <w:spacing w:before="43" w:after="100"/>
      <w:ind w:left="686" w:hanging="686"/>
      <w:jc w:val="both"/>
      <w:textAlignment w:val="baseline"/>
    </w:pPr>
    <w:rPr>
      <w:color w:val="000000"/>
      <w:sz w:val="24"/>
    </w:rPr>
  </w:style>
  <w:style w:type="paragraph" w:customStyle="1" w:styleId="Bullet">
    <w:name w:val="Bullet"/>
    <w:rsid w:val="00B707D2"/>
    <w:pPr>
      <w:overflowPunct w:val="0"/>
      <w:autoSpaceDE w:val="0"/>
      <w:autoSpaceDN w:val="0"/>
      <w:adjustRightInd w:val="0"/>
      <w:spacing w:after="144"/>
      <w:ind w:left="680" w:hanging="680"/>
      <w:jc w:val="both"/>
      <w:textAlignment w:val="baseline"/>
    </w:pPr>
    <w:rPr>
      <w:b/>
      <w:color w:val="000000"/>
      <w:sz w:val="24"/>
    </w:rPr>
  </w:style>
  <w:style w:type="paragraph" w:customStyle="1" w:styleId="Bullet1">
    <w:name w:val="Bullet 1"/>
    <w:rsid w:val="00B707D2"/>
    <w:pPr>
      <w:overflowPunct w:val="0"/>
      <w:autoSpaceDE w:val="0"/>
      <w:autoSpaceDN w:val="0"/>
      <w:adjustRightInd w:val="0"/>
      <w:spacing w:after="43"/>
      <w:ind w:left="453" w:hanging="453"/>
      <w:jc w:val="both"/>
      <w:textAlignment w:val="baseline"/>
    </w:pPr>
    <w:rPr>
      <w:color w:val="000000"/>
      <w:spacing w:val="-12"/>
      <w:sz w:val="24"/>
    </w:rPr>
  </w:style>
  <w:style w:type="paragraph" w:customStyle="1" w:styleId="Subhead">
    <w:name w:val="Subhead"/>
    <w:rsid w:val="00B707D2"/>
    <w:pPr>
      <w:overflowPunct w:val="0"/>
      <w:autoSpaceDE w:val="0"/>
      <w:autoSpaceDN w:val="0"/>
      <w:adjustRightInd w:val="0"/>
      <w:spacing w:after="288"/>
      <w:ind w:left="567" w:hanging="567"/>
      <w:jc w:val="both"/>
      <w:textAlignment w:val="baseline"/>
    </w:pPr>
    <w:rPr>
      <w:b/>
      <w:color w:val="000000"/>
      <w:sz w:val="24"/>
    </w:rPr>
  </w:style>
  <w:style w:type="character" w:customStyle="1" w:styleId="WW8Num3z4">
    <w:name w:val="WW8Num3z4"/>
    <w:rsid w:val="00B707D2"/>
    <w:rPr>
      <w:rFonts w:ascii="Courier New" w:hAnsi="Courier New"/>
    </w:rPr>
  </w:style>
  <w:style w:type="paragraph" w:styleId="HTML-wstpniesformatowany">
    <w:name w:val="HTML Preformatted"/>
    <w:basedOn w:val="Normalny"/>
    <w:link w:val="HTML-wstpniesformatowanyZnak"/>
    <w:rsid w:val="00B707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styleId="Odwoanieprzypisudolnego">
    <w:name w:val="footnote reference"/>
    <w:semiHidden/>
    <w:rsid w:val="00956D82"/>
    <w:rPr>
      <w:vertAlign w:val="superscript"/>
    </w:rPr>
  </w:style>
  <w:style w:type="character" w:customStyle="1" w:styleId="TekstkomentarzaZnak">
    <w:name w:val="Tekst komentarza Znak"/>
    <w:link w:val="Tekstkomentarza"/>
    <w:semiHidden/>
    <w:rsid w:val="00956D82"/>
    <w:rPr>
      <w:lang w:val="pl-PL" w:eastAsia="pl-PL" w:bidi="ar-SA"/>
    </w:rPr>
  </w:style>
  <w:style w:type="character" w:customStyle="1" w:styleId="TematkomentarzaZnak">
    <w:name w:val="Temat komentarza Znak"/>
    <w:link w:val="Tematkomentarza"/>
    <w:rsid w:val="00956D82"/>
    <w:rPr>
      <w:b/>
      <w:bCs/>
      <w:lang w:val="pl-PL" w:eastAsia="pl-PL" w:bidi="ar-SA"/>
    </w:rPr>
  </w:style>
  <w:style w:type="character" w:customStyle="1" w:styleId="Nagwek2Znak1">
    <w:name w:val="Nagłówek 2 Znak1"/>
    <w:link w:val="Nagwek2"/>
    <w:rsid w:val="00956D82"/>
    <w:rPr>
      <w:rFonts w:ascii="PL Times New Roman" w:hAnsi="PL Times New Roman"/>
      <w:snapToGrid w:val="0"/>
      <w:lang w:val="pl-PL" w:eastAsia="pl-PL" w:bidi="ar-SA"/>
    </w:rPr>
  </w:style>
  <w:style w:type="paragraph" w:styleId="Poprawka">
    <w:name w:val="Revision"/>
    <w:hidden/>
    <w:uiPriority w:val="99"/>
    <w:semiHidden/>
    <w:rsid w:val="00A87F08"/>
  </w:style>
  <w:style w:type="character" w:customStyle="1" w:styleId="NagwekZnak1">
    <w:name w:val="Nagłówek Znak1"/>
    <w:aliases w:val="Nagłówek strony nieparzystej Znak1,Nagłówek strony nieparzystej1 Znak1,Nagłówek strony nieparzystej2 Znak1,Nagłówek strony nieparzystej3 Znak1,Nagłówek strony nieparzystej4 Znak1,Nagłówek strony nieparzystej5 Znak1,ROZDZIAŁY Znak1"/>
    <w:link w:val="Nagwek"/>
    <w:rsid w:val="00D57917"/>
    <w:rPr>
      <w:rFonts w:ascii="PL Times New Roman" w:hAnsi="PL Times New Roman"/>
      <w:snapToGrid w:val="0"/>
      <w:lang w:val="pl-PL" w:eastAsia="pl-PL" w:bidi="ar-SA"/>
    </w:rPr>
  </w:style>
  <w:style w:type="character" w:styleId="Pogrubienie">
    <w:name w:val="Strong"/>
    <w:qFormat/>
    <w:rsid w:val="007976A9"/>
    <w:rPr>
      <w:b/>
      <w:bCs/>
    </w:rPr>
  </w:style>
  <w:style w:type="character" w:customStyle="1" w:styleId="10ZnakZnakZnakZnakZnak">
    <w:name w:val="_10 Znak Znak Znak Znak Znak"/>
    <w:link w:val="10ZnakZnakZnakZnak"/>
    <w:locked/>
    <w:rsid w:val="00BF51DB"/>
    <w:rPr>
      <w:lang w:val="pl-PL" w:eastAsia="pl-PL" w:bidi="ar-SA"/>
    </w:rPr>
  </w:style>
  <w:style w:type="paragraph" w:customStyle="1" w:styleId="10ZnakZnakZnakZnak">
    <w:name w:val="_10 Znak Znak Znak Znak"/>
    <w:basedOn w:val="Tekstpodstawowy"/>
    <w:link w:val="10ZnakZnakZnakZnakZnak"/>
    <w:autoRedefine/>
    <w:rsid w:val="00BF51DB"/>
    <w:pPr>
      <w:tabs>
        <w:tab w:val="clear" w:pos="576"/>
        <w:tab w:val="clear" w:pos="1008"/>
        <w:tab w:val="left" w:pos="0"/>
      </w:tabs>
    </w:pPr>
    <w:rPr>
      <w:rFonts w:ascii="Times New Roman" w:hAnsi="Times New Roman"/>
      <w:snapToGrid/>
    </w:rPr>
  </w:style>
  <w:style w:type="table" w:styleId="Tabela-Siatka">
    <w:name w:val="Table Grid"/>
    <w:basedOn w:val="Standardowy"/>
    <w:rsid w:val="000D33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link w:val="DefaultZnak"/>
    <w:uiPriority w:val="99"/>
    <w:rsid w:val="00854F37"/>
    <w:pPr>
      <w:widowControl w:val="0"/>
      <w:autoSpaceDE w:val="0"/>
      <w:autoSpaceDN w:val="0"/>
      <w:adjustRightInd w:val="0"/>
    </w:pPr>
    <w:rPr>
      <w:color w:val="000000"/>
      <w:sz w:val="24"/>
      <w:szCs w:val="24"/>
    </w:rPr>
  </w:style>
  <w:style w:type="paragraph" w:customStyle="1" w:styleId="CM16">
    <w:name w:val="CM16"/>
    <w:basedOn w:val="Default"/>
    <w:next w:val="Default"/>
    <w:rsid w:val="00854F37"/>
    <w:pPr>
      <w:spacing w:after="350"/>
    </w:pPr>
    <w:rPr>
      <w:rFonts w:ascii="Arial" w:hAnsi="Arial" w:cs="Arial"/>
      <w:color w:val="auto"/>
    </w:rPr>
  </w:style>
  <w:style w:type="paragraph" w:customStyle="1" w:styleId="CM17">
    <w:name w:val="CM17"/>
    <w:basedOn w:val="Default"/>
    <w:next w:val="Default"/>
    <w:rsid w:val="00854F37"/>
    <w:pPr>
      <w:spacing w:after="123"/>
    </w:pPr>
    <w:rPr>
      <w:rFonts w:ascii="Arial" w:hAnsi="Arial" w:cs="Arial"/>
      <w:color w:val="auto"/>
    </w:rPr>
  </w:style>
  <w:style w:type="paragraph" w:customStyle="1" w:styleId="CM5">
    <w:name w:val="CM5"/>
    <w:basedOn w:val="Default"/>
    <w:next w:val="Default"/>
    <w:rsid w:val="00854F37"/>
    <w:pPr>
      <w:spacing w:line="320" w:lineRule="atLeast"/>
    </w:pPr>
    <w:rPr>
      <w:rFonts w:ascii="Arial" w:hAnsi="Arial" w:cs="Arial"/>
      <w:color w:val="auto"/>
    </w:rPr>
  </w:style>
  <w:style w:type="paragraph" w:customStyle="1" w:styleId="CM18">
    <w:name w:val="CM18"/>
    <w:basedOn w:val="Default"/>
    <w:next w:val="Default"/>
    <w:rsid w:val="00854F37"/>
    <w:pPr>
      <w:spacing w:after="510"/>
    </w:pPr>
    <w:rPr>
      <w:rFonts w:ascii="Arial" w:hAnsi="Arial" w:cs="Arial"/>
      <w:color w:val="auto"/>
    </w:rPr>
  </w:style>
  <w:style w:type="paragraph" w:customStyle="1" w:styleId="CM7">
    <w:name w:val="CM7"/>
    <w:basedOn w:val="Default"/>
    <w:next w:val="Default"/>
    <w:rsid w:val="00854F37"/>
    <w:pPr>
      <w:spacing w:line="320" w:lineRule="atLeast"/>
    </w:pPr>
    <w:rPr>
      <w:rFonts w:ascii="Arial" w:hAnsi="Arial" w:cs="Arial"/>
      <w:color w:val="auto"/>
    </w:rPr>
  </w:style>
  <w:style w:type="paragraph" w:customStyle="1" w:styleId="CM19">
    <w:name w:val="CM19"/>
    <w:basedOn w:val="Default"/>
    <w:next w:val="Default"/>
    <w:rsid w:val="00854F37"/>
    <w:pPr>
      <w:spacing w:after="280"/>
    </w:pPr>
    <w:rPr>
      <w:rFonts w:ascii="Arial" w:hAnsi="Arial" w:cs="Arial"/>
      <w:color w:val="auto"/>
    </w:rPr>
  </w:style>
  <w:style w:type="paragraph" w:customStyle="1" w:styleId="CM10">
    <w:name w:val="CM10"/>
    <w:basedOn w:val="Default"/>
    <w:next w:val="Default"/>
    <w:rsid w:val="00854F37"/>
    <w:pPr>
      <w:spacing w:line="320" w:lineRule="atLeast"/>
    </w:pPr>
    <w:rPr>
      <w:rFonts w:ascii="Arial" w:hAnsi="Arial" w:cs="Arial"/>
      <w:color w:val="auto"/>
    </w:rPr>
  </w:style>
  <w:style w:type="paragraph" w:customStyle="1" w:styleId="CM20">
    <w:name w:val="CM20"/>
    <w:basedOn w:val="Default"/>
    <w:next w:val="Default"/>
    <w:rsid w:val="00854F37"/>
    <w:pPr>
      <w:spacing w:after="595"/>
    </w:pPr>
    <w:rPr>
      <w:rFonts w:ascii="Arial" w:hAnsi="Arial" w:cs="Arial"/>
      <w:color w:val="auto"/>
    </w:rPr>
  </w:style>
  <w:style w:type="paragraph" w:customStyle="1" w:styleId="CM13">
    <w:name w:val="CM13"/>
    <w:basedOn w:val="Default"/>
    <w:next w:val="Default"/>
    <w:rsid w:val="00854F37"/>
    <w:rPr>
      <w:rFonts w:ascii="Arial" w:hAnsi="Arial" w:cs="Arial"/>
      <w:color w:val="auto"/>
    </w:rPr>
  </w:style>
  <w:style w:type="paragraph" w:customStyle="1" w:styleId="CM21">
    <w:name w:val="CM21"/>
    <w:basedOn w:val="Default"/>
    <w:next w:val="Default"/>
    <w:rsid w:val="00854F37"/>
    <w:pPr>
      <w:spacing w:after="178"/>
    </w:pPr>
    <w:rPr>
      <w:rFonts w:ascii="Arial" w:hAnsi="Arial" w:cs="Arial"/>
      <w:color w:val="auto"/>
    </w:rPr>
  </w:style>
  <w:style w:type="paragraph" w:customStyle="1" w:styleId="CM22">
    <w:name w:val="CM22"/>
    <w:basedOn w:val="Default"/>
    <w:next w:val="Default"/>
    <w:rsid w:val="00854F37"/>
    <w:pPr>
      <w:spacing w:after="400"/>
    </w:pPr>
    <w:rPr>
      <w:rFonts w:ascii="Arial" w:hAnsi="Arial" w:cs="Arial"/>
      <w:color w:val="auto"/>
    </w:rPr>
  </w:style>
  <w:style w:type="paragraph" w:customStyle="1" w:styleId="CM2">
    <w:name w:val="CM2"/>
    <w:basedOn w:val="Default"/>
    <w:next w:val="Default"/>
    <w:rsid w:val="00854F37"/>
    <w:pPr>
      <w:spacing w:line="323" w:lineRule="atLeast"/>
    </w:pPr>
    <w:rPr>
      <w:rFonts w:ascii="Arial" w:hAnsi="Arial" w:cs="Arial"/>
      <w:color w:val="auto"/>
    </w:rPr>
  </w:style>
  <w:style w:type="paragraph" w:customStyle="1" w:styleId="CM15">
    <w:name w:val="CM15"/>
    <w:basedOn w:val="Default"/>
    <w:next w:val="Default"/>
    <w:rsid w:val="00854F37"/>
    <w:pPr>
      <w:spacing w:line="320" w:lineRule="atLeast"/>
    </w:pPr>
    <w:rPr>
      <w:rFonts w:ascii="Arial" w:hAnsi="Arial" w:cs="Arial"/>
      <w:color w:val="auto"/>
    </w:rPr>
  </w:style>
  <w:style w:type="character" w:customStyle="1" w:styleId="NagwekstronynieparzystejZnak">
    <w:name w:val="Nagłówek strony nieparzystej Znak"/>
    <w:aliases w:val="Nagłówek strony nieparzystej1 Znak,Nagłówek strony nieparzystej2 Znak,Nagłówek strony nieparzystej3 Znak,Nagłówek strony nieparzystej4 Znak,Nagłówek strony nieparzystej5 Znak,Nagłówek strony nieparzystej6 Znak Znak"/>
    <w:semiHidden/>
    <w:locked/>
    <w:rsid w:val="00227178"/>
    <w:rPr>
      <w:rFonts w:ascii="Arial" w:hAnsi="Arial"/>
      <w:lang w:bidi="ar-SA"/>
    </w:rPr>
  </w:style>
  <w:style w:type="character" w:customStyle="1" w:styleId="podpunkt">
    <w:name w:val="podpunkt"/>
    <w:rsid w:val="00227178"/>
    <w:rPr>
      <w:rFonts w:ascii="Times New Roman" w:hAnsi="Times New Roman"/>
      <w:b/>
    </w:rPr>
  </w:style>
  <w:style w:type="paragraph" w:customStyle="1" w:styleId="Zwykytekst1">
    <w:name w:val="Zwykły tekst1"/>
    <w:basedOn w:val="Normalny"/>
    <w:rsid w:val="00961F76"/>
    <w:pPr>
      <w:suppressAutoHyphens/>
    </w:pPr>
    <w:rPr>
      <w:rFonts w:ascii="Courier New" w:hAnsi="Courier New"/>
      <w:lang w:eastAsia="ar-SA"/>
    </w:rPr>
  </w:style>
  <w:style w:type="paragraph" w:customStyle="1" w:styleId="Tekstpodstawowy31">
    <w:name w:val="Tekst podstawowy 31"/>
    <w:basedOn w:val="Normalny"/>
    <w:rsid w:val="00C5710C"/>
    <w:pPr>
      <w:suppressAutoHyphens/>
      <w:jc w:val="both"/>
    </w:pPr>
    <w:rPr>
      <w:b/>
      <w:sz w:val="26"/>
      <w:lang w:eastAsia="ar-SA"/>
    </w:rPr>
  </w:style>
  <w:style w:type="paragraph" w:customStyle="1" w:styleId="Tekstpodstawowy211">
    <w:name w:val="Tekst podstawowy 211"/>
    <w:basedOn w:val="Normalny"/>
    <w:rsid w:val="00C5710C"/>
    <w:pPr>
      <w:suppressAutoHyphens/>
      <w:ind w:right="-11"/>
      <w:jc w:val="both"/>
    </w:pPr>
    <w:rPr>
      <w:rFonts w:ascii="Arial" w:hAnsi="Arial"/>
      <w:lang w:eastAsia="ar-SA"/>
    </w:rPr>
  </w:style>
  <w:style w:type="paragraph" w:customStyle="1" w:styleId="Tekstpodstawowywcity211">
    <w:name w:val="Tekst podstawowy wcięty 211"/>
    <w:basedOn w:val="Normalny"/>
    <w:rsid w:val="009C2C87"/>
    <w:pPr>
      <w:suppressAutoHyphens/>
      <w:overflowPunct w:val="0"/>
      <w:autoSpaceDE w:val="0"/>
      <w:ind w:firstLine="709"/>
      <w:jc w:val="both"/>
    </w:pPr>
    <w:rPr>
      <w:rFonts w:ascii="Arial" w:hAnsi="Arial" w:cs="Arial"/>
      <w:lang w:eastAsia="ar-SA"/>
    </w:rPr>
  </w:style>
  <w:style w:type="paragraph" w:customStyle="1" w:styleId="Nagwek10">
    <w:name w:val="Nagłówek1"/>
    <w:basedOn w:val="Normalny"/>
    <w:next w:val="Tekstpodstawowy"/>
    <w:rsid w:val="00504923"/>
    <w:pPr>
      <w:tabs>
        <w:tab w:val="center" w:pos="4252"/>
        <w:tab w:val="right" w:pos="8504"/>
        <w:tab w:val="right" w:pos="8789"/>
      </w:tabs>
      <w:suppressAutoHyphens/>
      <w:spacing w:line="240" w:lineRule="atLeast"/>
      <w:jc w:val="both"/>
    </w:pPr>
    <w:rPr>
      <w:rFonts w:ascii="PL Times New Roman" w:hAnsi="PL Times New Roman"/>
      <w:lang w:eastAsia="ar-SA"/>
    </w:rPr>
  </w:style>
  <w:style w:type="character" w:styleId="Uwydatnienie">
    <w:name w:val="Emphasis"/>
    <w:qFormat/>
    <w:rsid w:val="00D064BD"/>
    <w:rPr>
      <w:i/>
      <w:iCs/>
    </w:rPr>
  </w:style>
  <w:style w:type="character" w:customStyle="1" w:styleId="ZnakZnak5">
    <w:name w:val="Znak Znak5"/>
    <w:rsid w:val="00B833AC"/>
    <w:rPr>
      <w:rFonts w:ascii="PL Times New Roman" w:hAnsi="PL Times New Roman"/>
      <w:b/>
      <w:snapToGrid w:val="0"/>
      <w:sz w:val="26"/>
      <w:lang w:val="pl-PL" w:eastAsia="pl-PL" w:bidi="ar-SA"/>
    </w:rPr>
  </w:style>
  <w:style w:type="numbering" w:customStyle="1" w:styleId="Bezlisty1">
    <w:name w:val="Bez listy1"/>
    <w:next w:val="Bezlisty"/>
    <w:uiPriority w:val="99"/>
    <w:semiHidden/>
    <w:unhideWhenUsed/>
    <w:rsid w:val="00F97343"/>
  </w:style>
  <w:style w:type="character" w:customStyle="1" w:styleId="Nagwek4Znak">
    <w:name w:val="Nagłówek 4 Znak"/>
    <w:link w:val="Nagwek4"/>
    <w:rsid w:val="00F97343"/>
    <w:rPr>
      <w:rFonts w:ascii="PL Times New Roman" w:hAnsi="PL Times New Roman"/>
      <w:snapToGrid w:val="0"/>
      <w:lang w:val="en-GB"/>
    </w:rPr>
  </w:style>
  <w:style w:type="character" w:customStyle="1" w:styleId="Nagwek5Znak">
    <w:name w:val="Nagłówek 5 Znak"/>
    <w:link w:val="Nagwek5"/>
    <w:rsid w:val="00F97343"/>
    <w:rPr>
      <w:rFonts w:ascii="PL Times New Roman" w:hAnsi="PL Times New Roman"/>
      <w:snapToGrid w:val="0"/>
      <w:lang w:val="en-GB"/>
    </w:rPr>
  </w:style>
  <w:style w:type="character" w:customStyle="1" w:styleId="Nagwek6Znak">
    <w:name w:val="Nagłówek 6 Znak"/>
    <w:link w:val="Nagwek6"/>
    <w:rsid w:val="00F97343"/>
    <w:rPr>
      <w:rFonts w:ascii="PL Times New Roman" w:hAnsi="PL Times New Roman"/>
      <w:snapToGrid w:val="0"/>
      <w:lang w:val="en-GB"/>
    </w:rPr>
  </w:style>
  <w:style w:type="character" w:customStyle="1" w:styleId="Nagwek7Znak">
    <w:name w:val="Nagłówek 7 Znak"/>
    <w:link w:val="Nagwek7"/>
    <w:rsid w:val="00F97343"/>
    <w:rPr>
      <w:b/>
      <w:bCs/>
      <w:sz w:val="22"/>
    </w:rPr>
  </w:style>
  <w:style w:type="character" w:customStyle="1" w:styleId="Nagwek8Znak">
    <w:name w:val="Nagłówek 8 Znak"/>
    <w:link w:val="Nagwek8"/>
    <w:rsid w:val="00F97343"/>
    <w:rPr>
      <w:b/>
      <w:sz w:val="26"/>
    </w:rPr>
  </w:style>
  <w:style w:type="character" w:customStyle="1" w:styleId="Nagwek9Znak">
    <w:name w:val="Nagłówek 9 Znak"/>
    <w:link w:val="Nagwek9"/>
    <w:rsid w:val="00F97343"/>
    <w:rPr>
      <w:b/>
      <w:bCs/>
      <w:color w:val="0000FF"/>
      <w:sz w:val="22"/>
      <w:szCs w:val="24"/>
    </w:rPr>
  </w:style>
  <w:style w:type="paragraph" w:customStyle="1" w:styleId="111111111111">
    <w:name w:val="111111111111"/>
    <w:basedOn w:val="Normalny"/>
    <w:rsid w:val="00F97343"/>
    <w:pPr>
      <w:widowControl w:val="0"/>
      <w:suppressAutoHyphens/>
      <w:spacing w:before="120" w:after="120"/>
      <w:ind w:right="6878"/>
      <w:jc w:val="both"/>
    </w:pPr>
    <w:rPr>
      <w:b/>
      <w:u w:val="single"/>
      <w:lang w:eastAsia="ar-SA"/>
    </w:rPr>
  </w:style>
  <w:style w:type="paragraph" w:customStyle="1" w:styleId="222222222222222">
    <w:name w:val="222222222222222"/>
    <w:basedOn w:val="Normalny"/>
    <w:rsid w:val="00F97343"/>
    <w:pPr>
      <w:suppressAutoHyphens/>
      <w:jc w:val="both"/>
    </w:pPr>
    <w:rPr>
      <w:b/>
      <w:lang w:eastAsia="ar-SA"/>
    </w:rPr>
  </w:style>
  <w:style w:type="paragraph" w:customStyle="1" w:styleId="33333333333">
    <w:name w:val="33333333333"/>
    <w:basedOn w:val="Normalny"/>
    <w:link w:val="33333333333Znak"/>
    <w:rsid w:val="00F97343"/>
    <w:pPr>
      <w:suppressAutoHyphens/>
    </w:pPr>
    <w:rPr>
      <w:lang w:eastAsia="ar-SA"/>
    </w:rPr>
  </w:style>
  <w:style w:type="character" w:customStyle="1" w:styleId="33333333333Znak">
    <w:name w:val="33333333333 Znak"/>
    <w:link w:val="33333333333"/>
    <w:rsid w:val="00F97343"/>
    <w:rPr>
      <w:lang w:eastAsia="ar-SA"/>
    </w:rPr>
  </w:style>
  <w:style w:type="character" w:customStyle="1" w:styleId="apple-converted-space">
    <w:name w:val="apple-converted-space"/>
    <w:rsid w:val="00A00F57"/>
  </w:style>
  <w:style w:type="paragraph" w:customStyle="1" w:styleId="ROZD3">
    <w:name w:val="ROZD 3"/>
    <w:basedOn w:val="Nagwek"/>
    <w:link w:val="ROZD3Znak"/>
    <w:autoRedefine/>
    <w:qFormat/>
    <w:rsid w:val="00271F30"/>
    <w:pPr>
      <w:tabs>
        <w:tab w:val="clear" w:pos="4252"/>
        <w:tab w:val="clear" w:pos="8504"/>
        <w:tab w:val="clear" w:pos="8789"/>
        <w:tab w:val="center" w:pos="4536"/>
        <w:tab w:val="right" w:pos="9072"/>
      </w:tabs>
      <w:suppressAutoHyphens/>
      <w:spacing w:line="276" w:lineRule="auto"/>
    </w:pPr>
    <w:rPr>
      <w:rFonts w:ascii="Arial" w:hAnsi="Arial"/>
      <w:snapToGrid/>
      <w:sz w:val="24"/>
      <w:lang w:eastAsia="ar-SA"/>
    </w:rPr>
  </w:style>
  <w:style w:type="character" w:customStyle="1" w:styleId="ROZD3Znak">
    <w:name w:val="ROZD 3 Znak"/>
    <w:link w:val="ROZD3"/>
    <w:rsid w:val="00271F30"/>
    <w:rPr>
      <w:rFonts w:ascii="Arial" w:hAnsi="Arial"/>
      <w:sz w:val="24"/>
      <w:lang w:eastAsia="ar-SA"/>
    </w:rPr>
  </w:style>
  <w:style w:type="paragraph" w:customStyle="1" w:styleId="ROZD2">
    <w:name w:val="ROZD 2"/>
    <w:basedOn w:val="Nagwek"/>
    <w:autoRedefine/>
    <w:qFormat/>
    <w:rsid w:val="00271F30"/>
    <w:pPr>
      <w:tabs>
        <w:tab w:val="clear" w:pos="4252"/>
        <w:tab w:val="clear" w:pos="8504"/>
        <w:tab w:val="clear" w:pos="8789"/>
        <w:tab w:val="center" w:pos="4536"/>
        <w:tab w:val="right" w:pos="9072"/>
      </w:tabs>
      <w:suppressAutoHyphens/>
      <w:spacing w:line="276" w:lineRule="auto"/>
    </w:pPr>
    <w:rPr>
      <w:rFonts w:ascii="Arial" w:hAnsi="Arial"/>
      <w:snapToGrid/>
      <w:sz w:val="24"/>
      <w:lang w:eastAsia="ar-SA"/>
    </w:rPr>
  </w:style>
  <w:style w:type="paragraph" w:styleId="Bezodstpw">
    <w:name w:val="No Spacing"/>
    <w:link w:val="BezodstpwZnak"/>
    <w:uiPriority w:val="1"/>
    <w:qFormat/>
    <w:rsid w:val="00271F30"/>
    <w:rPr>
      <w:rFonts w:ascii="Calibri" w:hAnsi="Calibri"/>
      <w:sz w:val="22"/>
      <w:szCs w:val="22"/>
      <w:lang w:eastAsia="en-US"/>
    </w:rPr>
  </w:style>
  <w:style w:type="character" w:customStyle="1" w:styleId="BezodstpwZnak">
    <w:name w:val="Bez odstępów Znak"/>
    <w:link w:val="Bezodstpw"/>
    <w:uiPriority w:val="1"/>
    <w:rsid w:val="00271F30"/>
    <w:rPr>
      <w:rFonts w:ascii="Calibri" w:hAnsi="Calibri"/>
      <w:sz w:val="22"/>
      <w:szCs w:val="22"/>
      <w:lang w:eastAsia="en-US"/>
    </w:rPr>
  </w:style>
  <w:style w:type="character" w:customStyle="1" w:styleId="WW8Num8z0">
    <w:name w:val="WW8Num8z0"/>
    <w:rsid w:val="00271F30"/>
    <w:rPr>
      <w:rFonts w:ascii="Symbol" w:hAnsi="Symbol"/>
      <w:sz w:val="20"/>
    </w:rPr>
  </w:style>
  <w:style w:type="character" w:customStyle="1" w:styleId="WW8Num8z2">
    <w:name w:val="WW8Num8z2"/>
    <w:rsid w:val="00271F30"/>
    <w:rPr>
      <w:rFonts w:ascii="Wingdings" w:hAnsi="Wingdings"/>
    </w:rPr>
  </w:style>
  <w:style w:type="character" w:customStyle="1" w:styleId="WW8Num8z3">
    <w:name w:val="WW8Num8z3"/>
    <w:rsid w:val="00271F30"/>
    <w:rPr>
      <w:rFonts w:ascii="Symbol" w:hAnsi="Symbol"/>
    </w:rPr>
  </w:style>
  <w:style w:type="character" w:customStyle="1" w:styleId="WW8Num8z4">
    <w:name w:val="WW8Num8z4"/>
    <w:rsid w:val="00271F30"/>
    <w:rPr>
      <w:rFonts w:ascii="Courier New" w:hAnsi="Courier New"/>
    </w:rPr>
  </w:style>
  <w:style w:type="character" w:customStyle="1" w:styleId="WW8Num9z0">
    <w:name w:val="WW8Num9z0"/>
    <w:rsid w:val="00271F30"/>
    <w:rPr>
      <w:rFonts w:ascii="Times New Roman" w:hAnsi="Times New Roman"/>
      <w:sz w:val="20"/>
    </w:rPr>
  </w:style>
  <w:style w:type="character" w:customStyle="1" w:styleId="WW8Num10z0">
    <w:name w:val="WW8Num10z0"/>
    <w:rsid w:val="00271F30"/>
    <w:rPr>
      <w:rFonts w:ascii="Times New Roman" w:hAnsi="Times New Roman"/>
      <w:sz w:val="20"/>
    </w:rPr>
  </w:style>
  <w:style w:type="character" w:customStyle="1" w:styleId="WW8Num11z0">
    <w:name w:val="WW8Num11z0"/>
    <w:rsid w:val="00271F30"/>
    <w:rPr>
      <w:rFonts w:ascii="Times New Roman" w:hAnsi="Times New Roman" w:cs="Times New Roman"/>
      <w:b/>
      <w:i w:val="0"/>
      <w:strike w:val="0"/>
      <w:dstrike w:val="0"/>
      <w:sz w:val="20"/>
      <w:u w:val="none"/>
    </w:rPr>
  </w:style>
  <w:style w:type="character" w:customStyle="1" w:styleId="WW8Num13z0">
    <w:name w:val="WW8Num13z0"/>
    <w:rsid w:val="00271F30"/>
    <w:rPr>
      <w:rFonts w:ascii="Times New Roman" w:hAnsi="Times New Roman" w:cs="Times New Roman"/>
    </w:rPr>
  </w:style>
  <w:style w:type="character" w:customStyle="1" w:styleId="WW8Num14z0">
    <w:name w:val="WW8Num14z0"/>
    <w:rsid w:val="00271F30"/>
    <w:rPr>
      <w:rFonts w:ascii="Times New Roman" w:hAnsi="Times New Roman"/>
    </w:rPr>
  </w:style>
  <w:style w:type="character" w:customStyle="1" w:styleId="WW8Num15z0">
    <w:name w:val="WW8Num15z0"/>
    <w:rsid w:val="00271F30"/>
    <w:rPr>
      <w:rFonts w:ascii="Times New Roman" w:hAnsi="Times New Roman" w:cs="Times New Roman"/>
      <w:b/>
      <w:i w:val="0"/>
      <w:strike w:val="0"/>
      <w:dstrike w:val="0"/>
      <w:sz w:val="20"/>
      <w:u w:val="none"/>
    </w:rPr>
  </w:style>
  <w:style w:type="character" w:customStyle="1" w:styleId="WW8Num16z0">
    <w:name w:val="WW8Num16z0"/>
    <w:rsid w:val="00271F30"/>
    <w:rPr>
      <w:rFonts w:ascii="Times New Roman" w:hAnsi="Times New Roman" w:cs="Times New Roman"/>
    </w:rPr>
  </w:style>
  <w:style w:type="character" w:customStyle="1" w:styleId="WW8Num18z0">
    <w:name w:val="WW8Num18z0"/>
    <w:rsid w:val="00271F30"/>
    <w:rPr>
      <w:rFonts w:ascii="Times New Roman" w:hAnsi="Times New Roman" w:cs="Times New Roman"/>
    </w:rPr>
  </w:style>
  <w:style w:type="character" w:customStyle="1" w:styleId="WW8Num20z0">
    <w:name w:val="WW8Num20z0"/>
    <w:rsid w:val="00271F30"/>
    <w:rPr>
      <w:rFonts w:ascii="Times New Roman" w:hAnsi="Times New Roman" w:cs="Times New Roman"/>
    </w:rPr>
  </w:style>
  <w:style w:type="character" w:customStyle="1" w:styleId="WW8Num21z0">
    <w:name w:val="WW8Num21z0"/>
    <w:rsid w:val="00271F30"/>
    <w:rPr>
      <w:rFonts w:ascii="Times New Roman" w:hAnsi="Times New Roman" w:cs="Times New Roman"/>
    </w:rPr>
  </w:style>
  <w:style w:type="character" w:customStyle="1" w:styleId="WW8Num22z0">
    <w:name w:val="WW8Num22z0"/>
    <w:rsid w:val="00271F30"/>
    <w:rPr>
      <w:rFonts w:ascii="Wingdings" w:hAnsi="Wingdings" w:cs="Times New Roman"/>
    </w:rPr>
  </w:style>
  <w:style w:type="character" w:customStyle="1" w:styleId="WW8Num22z1">
    <w:name w:val="WW8Num22z1"/>
    <w:rsid w:val="00271F30"/>
    <w:rPr>
      <w:rFonts w:ascii="Times New Roman" w:hAnsi="Times New Roman"/>
    </w:rPr>
  </w:style>
  <w:style w:type="character" w:customStyle="1" w:styleId="WW8Num22z3">
    <w:name w:val="WW8Num22z3"/>
    <w:rsid w:val="00271F30"/>
    <w:rPr>
      <w:rFonts w:ascii="Symbol" w:hAnsi="Symbol"/>
    </w:rPr>
  </w:style>
  <w:style w:type="character" w:customStyle="1" w:styleId="WW8Num22z4">
    <w:name w:val="WW8Num22z4"/>
    <w:rsid w:val="00271F30"/>
    <w:rPr>
      <w:rFonts w:ascii="Courier New" w:hAnsi="Courier New" w:cs="Courier New"/>
    </w:rPr>
  </w:style>
  <w:style w:type="character" w:customStyle="1" w:styleId="WW8Num23z0">
    <w:name w:val="WW8Num23z0"/>
    <w:rsid w:val="00271F30"/>
    <w:rPr>
      <w:rFonts w:ascii="Times New Roman" w:hAnsi="Times New Roman"/>
    </w:rPr>
  </w:style>
  <w:style w:type="character" w:customStyle="1" w:styleId="WW8Num24z0">
    <w:name w:val="WW8Num24z0"/>
    <w:rsid w:val="00271F30"/>
    <w:rPr>
      <w:rFonts w:ascii="Times New Roman" w:hAnsi="Times New Roman" w:cs="Times New Roman"/>
    </w:rPr>
  </w:style>
  <w:style w:type="character" w:customStyle="1" w:styleId="WW8Num26z0">
    <w:name w:val="WW8Num26z0"/>
    <w:rsid w:val="00271F30"/>
    <w:rPr>
      <w:rFonts w:ascii="Times New Roman" w:hAnsi="Times New Roman" w:cs="Times New Roman"/>
    </w:rPr>
  </w:style>
  <w:style w:type="character" w:customStyle="1" w:styleId="WW8Num27z0">
    <w:name w:val="WW8Num27z0"/>
    <w:rsid w:val="00271F30"/>
    <w:rPr>
      <w:rFonts w:ascii="Times New Roman" w:hAnsi="Times New Roman"/>
    </w:rPr>
  </w:style>
  <w:style w:type="character" w:customStyle="1" w:styleId="WW8Num28z0">
    <w:name w:val="WW8Num28z0"/>
    <w:rsid w:val="00271F30"/>
    <w:rPr>
      <w:rFonts w:ascii="Times New Roman" w:hAnsi="Times New Roman" w:cs="Times New Roman"/>
      <w:b/>
      <w:i w:val="0"/>
      <w:strike w:val="0"/>
      <w:dstrike w:val="0"/>
      <w:sz w:val="20"/>
      <w:u w:val="none"/>
    </w:rPr>
  </w:style>
  <w:style w:type="character" w:customStyle="1" w:styleId="WW8Num30z0">
    <w:name w:val="WW8Num30z0"/>
    <w:rsid w:val="00271F30"/>
    <w:rPr>
      <w:rFonts w:ascii="Times New Roman" w:hAnsi="Times New Roman"/>
    </w:rPr>
  </w:style>
  <w:style w:type="character" w:customStyle="1" w:styleId="WW8Num33z0">
    <w:name w:val="WW8Num33z0"/>
    <w:rsid w:val="00271F30"/>
    <w:rPr>
      <w:rFonts w:ascii="Times New Roman" w:hAnsi="Times New Roman"/>
    </w:rPr>
  </w:style>
  <w:style w:type="character" w:customStyle="1" w:styleId="WW8Num34z0">
    <w:name w:val="WW8Num34z0"/>
    <w:rsid w:val="00271F30"/>
    <w:rPr>
      <w:rFonts w:ascii="Times New Roman" w:hAnsi="Times New Roman" w:cs="Times New Roman"/>
      <w:b/>
      <w:i w:val="0"/>
      <w:strike w:val="0"/>
      <w:dstrike w:val="0"/>
      <w:sz w:val="20"/>
      <w:u w:val="none"/>
    </w:rPr>
  </w:style>
  <w:style w:type="character" w:customStyle="1" w:styleId="WW8Num35z0">
    <w:name w:val="WW8Num35z0"/>
    <w:rsid w:val="00271F30"/>
    <w:rPr>
      <w:rFonts w:ascii="Times New Roman" w:hAnsi="Times New Roman" w:cs="Times New Roman"/>
    </w:rPr>
  </w:style>
  <w:style w:type="character" w:customStyle="1" w:styleId="WW8Num36z0">
    <w:name w:val="WW8Num36z0"/>
    <w:rsid w:val="00271F30"/>
    <w:rPr>
      <w:rFonts w:ascii="Times New Roman" w:hAnsi="Times New Roman"/>
    </w:rPr>
  </w:style>
  <w:style w:type="character" w:customStyle="1" w:styleId="WW8Num37z0">
    <w:name w:val="WW8Num37z0"/>
    <w:rsid w:val="00271F30"/>
    <w:rPr>
      <w:rFonts w:ascii="Times New Roman" w:hAnsi="Times New Roman" w:cs="Times New Roman"/>
    </w:rPr>
  </w:style>
  <w:style w:type="character" w:customStyle="1" w:styleId="WW8Num38z0">
    <w:name w:val="WW8Num38z0"/>
    <w:rsid w:val="00271F30"/>
    <w:rPr>
      <w:rFonts w:ascii="Times New Roman" w:hAnsi="Times New Roman"/>
      <w:b/>
      <w:i w:val="0"/>
      <w:sz w:val="20"/>
    </w:rPr>
  </w:style>
  <w:style w:type="character" w:customStyle="1" w:styleId="WW8Num39z0">
    <w:name w:val="WW8Num39z0"/>
    <w:rsid w:val="00271F30"/>
    <w:rPr>
      <w:rFonts w:ascii="Times New Roman" w:hAnsi="Times New Roman" w:cs="Times New Roman"/>
      <w:b w:val="0"/>
      <w:i w:val="0"/>
      <w:strike w:val="0"/>
      <w:dstrike w:val="0"/>
      <w:sz w:val="20"/>
      <w:u w:val="none"/>
    </w:rPr>
  </w:style>
  <w:style w:type="character" w:customStyle="1" w:styleId="WW8Num40z3">
    <w:name w:val="WW8Num40z3"/>
    <w:rsid w:val="00271F30"/>
    <w:rPr>
      <w:rFonts w:ascii="Symbol" w:hAnsi="Symbol"/>
    </w:rPr>
  </w:style>
  <w:style w:type="character" w:customStyle="1" w:styleId="WW8Num41z0">
    <w:name w:val="WW8Num41z0"/>
    <w:rsid w:val="00271F30"/>
    <w:rPr>
      <w:rFonts w:ascii="Times New Roman" w:hAnsi="Times New Roman" w:cs="Times New Roman"/>
    </w:rPr>
  </w:style>
  <w:style w:type="character" w:customStyle="1" w:styleId="WW8Num43z0">
    <w:name w:val="WW8Num43z0"/>
    <w:rsid w:val="00271F30"/>
    <w:rPr>
      <w:rFonts w:ascii="Times New Roman" w:hAnsi="Times New Roman" w:cs="Times New Roman"/>
    </w:rPr>
  </w:style>
  <w:style w:type="character" w:customStyle="1" w:styleId="WW8Num44z0">
    <w:name w:val="WW8Num44z0"/>
    <w:rsid w:val="00271F30"/>
    <w:rPr>
      <w:rFonts w:ascii="Times New Roman" w:hAnsi="Times New Roman"/>
      <w:b w:val="0"/>
      <w:i w:val="0"/>
      <w:sz w:val="20"/>
    </w:rPr>
  </w:style>
  <w:style w:type="character" w:customStyle="1" w:styleId="WW8Num45z0">
    <w:name w:val="WW8Num45z0"/>
    <w:rsid w:val="00271F30"/>
    <w:rPr>
      <w:rFonts w:ascii="Times New Roman" w:hAnsi="Times New Roman" w:cs="Times New Roman"/>
    </w:rPr>
  </w:style>
  <w:style w:type="character" w:customStyle="1" w:styleId="WW8Num49z0">
    <w:name w:val="WW8Num49z0"/>
    <w:rsid w:val="00271F30"/>
    <w:rPr>
      <w:rFonts w:ascii="Times New Roman" w:hAnsi="Times New Roman"/>
    </w:rPr>
  </w:style>
  <w:style w:type="character" w:customStyle="1" w:styleId="WW8Num50z0">
    <w:name w:val="WW8Num50z0"/>
    <w:rsid w:val="00271F30"/>
    <w:rPr>
      <w:rFonts w:ascii="Times New Roman" w:hAnsi="Times New Roman" w:cs="Times New Roman"/>
    </w:rPr>
  </w:style>
  <w:style w:type="character" w:customStyle="1" w:styleId="WW8Num51z0">
    <w:name w:val="WW8Num51z0"/>
    <w:rsid w:val="00271F30"/>
    <w:rPr>
      <w:rFonts w:ascii="Times New Roman" w:hAnsi="Times New Roman"/>
    </w:rPr>
  </w:style>
  <w:style w:type="character" w:customStyle="1" w:styleId="WW8Num53z0">
    <w:name w:val="WW8Num53z0"/>
    <w:rsid w:val="00271F30"/>
    <w:rPr>
      <w:rFonts w:ascii="Times New Roman" w:hAnsi="Times New Roman" w:cs="Times New Roman"/>
      <w:b/>
      <w:i w:val="0"/>
      <w:strike w:val="0"/>
      <w:dstrike w:val="0"/>
      <w:sz w:val="20"/>
      <w:u w:val="none"/>
    </w:rPr>
  </w:style>
  <w:style w:type="character" w:customStyle="1" w:styleId="WW8Num55z0">
    <w:name w:val="WW8Num55z0"/>
    <w:rsid w:val="00271F30"/>
    <w:rPr>
      <w:rFonts w:ascii="Times New Roman" w:hAnsi="Times New Roman" w:cs="Times New Roman"/>
    </w:rPr>
  </w:style>
  <w:style w:type="character" w:customStyle="1" w:styleId="WW8Num56z0">
    <w:name w:val="WW8Num56z0"/>
    <w:rsid w:val="00271F30"/>
    <w:rPr>
      <w:rFonts w:ascii="Times New Roman" w:hAnsi="Times New Roman" w:cs="Times New Roman"/>
    </w:rPr>
  </w:style>
  <w:style w:type="character" w:customStyle="1" w:styleId="WW8Num57z0">
    <w:name w:val="WW8Num57z0"/>
    <w:rsid w:val="00271F30"/>
    <w:rPr>
      <w:rFonts w:ascii="Times New Roman" w:hAnsi="Times New Roman" w:cs="Times New Roman"/>
    </w:rPr>
  </w:style>
  <w:style w:type="character" w:customStyle="1" w:styleId="WW8Num58z0">
    <w:name w:val="WW8Num58z0"/>
    <w:rsid w:val="00271F30"/>
    <w:rPr>
      <w:rFonts w:ascii="Times New Roman" w:hAnsi="Times New Roman" w:cs="Times New Roman"/>
    </w:rPr>
  </w:style>
  <w:style w:type="character" w:customStyle="1" w:styleId="WW8Num59z0">
    <w:name w:val="WW8Num59z0"/>
    <w:rsid w:val="00271F30"/>
    <w:rPr>
      <w:rFonts w:ascii="Times New Roman" w:hAnsi="Times New Roman" w:cs="Times New Roman"/>
      <w:b/>
      <w:i w:val="0"/>
      <w:strike w:val="0"/>
      <w:dstrike w:val="0"/>
      <w:sz w:val="20"/>
      <w:u w:val="none"/>
    </w:rPr>
  </w:style>
  <w:style w:type="character" w:customStyle="1" w:styleId="WW8Num62z0">
    <w:name w:val="WW8Num62z0"/>
    <w:rsid w:val="00271F30"/>
    <w:rPr>
      <w:rFonts w:ascii="Times New Roman" w:hAnsi="Times New Roman" w:cs="Times New Roman"/>
    </w:rPr>
  </w:style>
  <w:style w:type="character" w:customStyle="1" w:styleId="WW8Num63z0">
    <w:name w:val="WW8Num63z0"/>
    <w:rsid w:val="00271F30"/>
    <w:rPr>
      <w:rFonts w:ascii="Times New Roman" w:hAnsi="Times New Roman" w:cs="Times New Roman"/>
      <w:b/>
      <w:i w:val="0"/>
      <w:strike w:val="0"/>
      <w:dstrike w:val="0"/>
      <w:sz w:val="20"/>
      <w:u w:val="none"/>
    </w:rPr>
  </w:style>
  <w:style w:type="character" w:customStyle="1" w:styleId="WW8Num64z0">
    <w:name w:val="WW8Num64z0"/>
    <w:rsid w:val="00271F30"/>
    <w:rPr>
      <w:rFonts w:ascii="Times New Roman" w:hAnsi="Times New Roman" w:cs="Times New Roman"/>
    </w:rPr>
  </w:style>
  <w:style w:type="character" w:customStyle="1" w:styleId="WW8Num66z0">
    <w:name w:val="WW8Num66z0"/>
    <w:rsid w:val="00271F30"/>
    <w:rPr>
      <w:rFonts w:ascii="Times New Roman" w:hAnsi="Times New Roman" w:cs="Times New Roman"/>
      <w:b/>
      <w:i w:val="0"/>
      <w:strike w:val="0"/>
      <w:dstrike w:val="0"/>
      <w:sz w:val="20"/>
      <w:u w:val="none"/>
    </w:rPr>
  </w:style>
  <w:style w:type="character" w:customStyle="1" w:styleId="WW8Num69z0">
    <w:name w:val="WW8Num69z0"/>
    <w:rsid w:val="00271F30"/>
    <w:rPr>
      <w:rFonts w:ascii="Times New Roman" w:hAnsi="Times New Roman"/>
    </w:rPr>
  </w:style>
  <w:style w:type="character" w:customStyle="1" w:styleId="WW8Num74z0">
    <w:name w:val="WW8Num74z0"/>
    <w:rsid w:val="00271F30"/>
    <w:rPr>
      <w:rFonts w:ascii="Times New Roman" w:hAnsi="Times New Roman" w:cs="Times New Roman"/>
    </w:rPr>
  </w:style>
  <w:style w:type="character" w:customStyle="1" w:styleId="WW8Num78z0">
    <w:name w:val="WW8Num78z0"/>
    <w:rsid w:val="00271F30"/>
    <w:rPr>
      <w:rFonts w:ascii="Times New Roman" w:hAnsi="Times New Roman" w:cs="Times New Roman"/>
    </w:rPr>
  </w:style>
  <w:style w:type="character" w:customStyle="1" w:styleId="WW8Num80z0">
    <w:name w:val="WW8Num80z0"/>
    <w:rsid w:val="00271F30"/>
    <w:rPr>
      <w:rFonts w:ascii="Times New Roman" w:hAnsi="Times New Roman"/>
    </w:rPr>
  </w:style>
  <w:style w:type="character" w:customStyle="1" w:styleId="WW8Num85z0">
    <w:name w:val="WW8Num85z0"/>
    <w:rsid w:val="00271F30"/>
    <w:rPr>
      <w:rFonts w:ascii="Times New Roman" w:hAnsi="Times New Roman"/>
    </w:rPr>
  </w:style>
  <w:style w:type="character" w:customStyle="1" w:styleId="WW8Num90z0">
    <w:name w:val="WW8Num90z0"/>
    <w:rsid w:val="00271F30"/>
    <w:rPr>
      <w:rFonts w:ascii="Times New Roman" w:hAnsi="Times New Roman" w:cs="Times New Roman"/>
    </w:rPr>
  </w:style>
  <w:style w:type="character" w:customStyle="1" w:styleId="WW8Num93z0">
    <w:name w:val="WW8Num93z0"/>
    <w:rsid w:val="00271F30"/>
    <w:rPr>
      <w:rFonts w:ascii="Times New Roman" w:hAnsi="Times New Roman"/>
    </w:rPr>
  </w:style>
  <w:style w:type="character" w:customStyle="1" w:styleId="WW8Num96z0">
    <w:name w:val="WW8Num96z0"/>
    <w:rsid w:val="00271F30"/>
    <w:rPr>
      <w:rFonts w:ascii="Times New Roman" w:hAnsi="Times New Roman" w:cs="Times New Roman"/>
    </w:rPr>
  </w:style>
  <w:style w:type="character" w:customStyle="1" w:styleId="WW8Num97z0">
    <w:name w:val="WW8Num97z0"/>
    <w:rsid w:val="00271F30"/>
    <w:rPr>
      <w:rFonts w:ascii="Times New Roman" w:hAnsi="Times New Roman" w:cs="Times New Roman"/>
    </w:rPr>
  </w:style>
  <w:style w:type="character" w:customStyle="1" w:styleId="WW8Num98z0">
    <w:name w:val="WW8Num98z0"/>
    <w:rsid w:val="00271F30"/>
    <w:rPr>
      <w:rFonts w:ascii="Times New Roman" w:hAnsi="Times New Roman"/>
    </w:rPr>
  </w:style>
  <w:style w:type="character" w:customStyle="1" w:styleId="WW8Num100z0">
    <w:name w:val="WW8Num100z0"/>
    <w:rsid w:val="00271F30"/>
    <w:rPr>
      <w:rFonts w:ascii="Times New Roman" w:hAnsi="Times New Roman" w:cs="Times New Roman"/>
    </w:rPr>
  </w:style>
  <w:style w:type="character" w:customStyle="1" w:styleId="WW8Num102z0">
    <w:name w:val="WW8Num102z0"/>
    <w:rsid w:val="00271F30"/>
    <w:rPr>
      <w:rFonts w:ascii="Times New Roman" w:hAnsi="Times New Roman" w:cs="Times New Roman"/>
    </w:rPr>
  </w:style>
  <w:style w:type="character" w:customStyle="1" w:styleId="WW8Num103z0">
    <w:name w:val="WW8Num103z0"/>
    <w:rsid w:val="00271F30"/>
    <w:rPr>
      <w:rFonts w:ascii="Times New Roman" w:hAnsi="Times New Roman" w:cs="Times New Roman"/>
    </w:rPr>
  </w:style>
  <w:style w:type="character" w:customStyle="1" w:styleId="WW8Num104z0">
    <w:name w:val="WW8Num104z0"/>
    <w:rsid w:val="00271F30"/>
    <w:rPr>
      <w:rFonts w:ascii="Times New Roman" w:hAnsi="Times New Roman" w:cs="Times New Roman"/>
    </w:rPr>
  </w:style>
  <w:style w:type="character" w:customStyle="1" w:styleId="WW8Num105z0">
    <w:name w:val="WW8Num105z0"/>
    <w:rsid w:val="00271F30"/>
    <w:rPr>
      <w:rFonts w:ascii="Times New Roman" w:hAnsi="Times New Roman" w:cs="Times New Roman"/>
    </w:rPr>
  </w:style>
  <w:style w:type="character" w:customStyle="1" w:styleId="WW8Num106z0">
    <w:name w:val="WW8Num106z0"/>
    <w:rsid w:val="00271F30"/>
    <w:rPr>
      <w:rFonts w:ascii="Symbol" w:hAnsi="Symbol" w:cs="Times New Roman"/>
    </w:rPr>
  </w:style>
  <w:style w:type="character" w:customStyle="1" w:styleId="WW8Num107z0">
    <w:name w:val="WW8Num107z0"/>
    <w:rsid w:val="00271F30"/>
    <w:rPr>
      <w:rFonts w:ascii="Symbol" w:hAnsi="Symbol"/>
    </w:rPr>
  </w:style>
  <w:style w:type="character" w:customStyle="1" w:styleId="WW8Num108z0">
    <w:name w:val="WW8Num108z0"/>
    <w:rsid w:val="00271F30"/>
    <w:rPr>
      <w:rFonts w:ascii="Symbol" w:hAnsi="Symbol" w:cs="Times New Roman"/>
    </w:rPr>
  </w:style>
  <w:style w:type="character" w:customStyle="1" w:styleId="WW8Num109z0">
    <w:name w:val="WW8Num109z0"/>
    <w:rsid w:val="00271F30"/>
    <w:rPr>
      <w:rFonts w:ascii="Symbol" w:hAnsi="Symbol"/>
      <w:b/>
      <w:i w:val="0"/>
      <w:sz w:val="20"/>
    </w:rPr>
  </w:style>
  <w:style w:type="character" w:customStyle="1" w:styleId="WW8Num110z0">
    <w:name w:val="WW8Num110z0"/>
    <w:rsid w:val="00271F30"/>
    <w:rPr>
      <w:rFonts w:ascii="Times New Roman" w:hAnsi="Times New Roman" w:cs="Times New Roman"/>
    </w:rPr>
  </w:style>
  <w:style w:type="character" w:customStyle="1" w:styleId="WW8Num113z0">
    <w:name w:val="WW8Num113z0"/>
    <w:rsid w:val="00271F30"/>
    <w:rPr>
      <w:rFonts w:ascii="Times New Roman" w:hAnsi="Times New Roman" w:cs="Times New Roman"/>
      <w:b w:val="0"/>
      <w:i w:val="0"/>
      <w:strike w:val="0"/>
      <w:dstrike w:val="0"/>
      <w:sz w:val="20"/>
      <w:u w:val="none"/>
    </w:rPr>
  </w:style>
  <w:style w:type="character" w:customStyle="1" w:styleId="WW8Num122z0">
    <w:name w:val="WW8Num122z0"/>
    <w:rsid w:val="00271F30"/>
    <w:rPr>
      <w:rFonts w:ascii="Times New Roman" w:hAnsi="Times New Roman" w:cs="Times New Roman"/>
    </w:rPr>
  </w:style>
  <w:style w:type="character" w:customStyle="1" w:styleId="WW8Num123z0">
    <w:name w:val="WW8Num123z0"/>
    <w:rsid w:val="00271F30"/>
    <w:rPr>
      <w:rFonts w:ascii="Times New Roman" w:hAnsi="Times New Roman" w:cs="Times New Roman"/>
      <w:b/>
      <w:i w:val="0"/>
      <w:strike w:val="0"/>
      <w:dstrike w:val="0"/>
      <w:sz w:val="20"/>
      <w:u w:val="none"/>
    </w:rPr>
  </w:style>
  <w:style w:type="character" w:customStyle="1" w:styleId="WW8Num124z0">
    <w:name w:val="WW8Num124z0"/>
    <w:rsid w:val="00271F30"/>
    <w:rPr>
      <w:rFonts w:ascii="Times New Roman" w:hAnsi="Times New Roman" w:cs="Times New Roman"/>
    </w:rPr>
  </w:style>
  <w:style w:type="character" w:customStyle="1" w:styleId="WW8Num125z0">
    <w:name w:val="WW8Num125z0"/>
    <w:rsid w:val="00271F30"/>
    <w:rPr>
      <w:rFonts w:ascii="Times New Roman" w:hAnsi="Times New Roman" w:cs="Times New Roman"/>
    </w:rPr>
  </w:style>
  <w:style w:type="character" w:customStyle="1" w:styleId="WW8Num126z0">
    <w:name w:val="WW8Num126z0"/>
    <w:rsid w:val="00271F30"/>
    <w:rPr>
      <w:rFonts w:ascii="Times New Roman" w:hAnsi="Times New Roman"/>
    </w:rPr>
  </w:style>
  <w:style w:type="character" w:customStyle="1" w:styleId="WW8Num129z0">
    <w:name w:val="WW8Num129z0"/>
    <w:rsid w:val="00271F30"/>
    <w:rPr>
      <w:rFonts w:ascii="Times New Roman" w:hAnsi="Times New Roman" w:cs="Times New Roman"/>
    </w:rPr>
  </w:style>
  <w:style w:type="character" w:customStyle="1" w:styleId="WW8Num131z0">
    <w:name w:val="WW8Num131z0"/>
    <w:rsid w:val="00271F30"/>
    <w:rPr>
      <w:rFonts w:ascii="Times New Roman" w:hAnsi="Times New Roman" w:cs="Times New Roman"/>
    </w:rPr>
  </w:style>
  <w:style w:type="character" w:customStyle="1" w:styleId="WW8Num132z0">
    <w:name w:val="WW8Num132z0"/>
    <w:rsid w:val="00271F30"/>
    <w:rPr>
      <w:b/>
      <w:i w:val="0"/>
      <w:sz w:val="20"/>
    </w:rPr>
  </w:style>
  <w:style w:type="character" w:customStyle="1" w:styleId="WW8Num133z0">
    <w:name w:val="WW8Num133z0"/>
    <w:rsid w:val="00271F30"/>
    <w:rPr>
      <w:rFonts w:ascii="Times New Roman" w:hAnsi="Times New Roman" w:cs="Times New Roman"/>
      <w:b w:val="0"/>
      <w:i w:val="0"/>
      <w:strike w:val="0"/>
      <w:dstrike w:val="0"/>
      <w:sz w:val="20"/>
      <w:u w:val="none"/>
    </w:rPr>
  </w:style>
  <w:style w:type="character" w:customStyle="1" w:styleId="WW8Num134z0">
    <w:name w:val="WW8Num134z0"/>
    <w:rsid w:val="00271F30"/>
    <w:rPr>
      <w:rFonts w:ascii="Times New Roman" w:hAnsi="Times New Roman" w:cs="Times New Roman"/>
    </w:rPr>
  </w:style>
  <w:style w:type="character" w:customStyle="1" w:styleId="WW8Num137z0">
    <w:name w:val="WW8Num137z0"/>
    <w:rsid w:val="00271F30"/>
    <w:rPr>
      <w:rFonts w:ascii="Symbol" w:hAnsi="Symbol"/>
      <w:sz w:val="20"/>
    </w:rPr>
  </w:style>
  <w:style w:type="character" w:customStyle="1" w:styleId="WW8Num137z2">
    <w:name w:val="WW8Num137z2"/>
    <w:rsid w:val="00271F30"/>
    <w:rPr>
      <w:rFonts w:ascii="Wingdings" w:hAnsi="Wingdings"/>
    </w:rPr>
  </w:style>
  <w:style w:type="character" w:customStyle="1" w:styleId="WW8Num137z3">
    <w:name w:val="WW8Num137z3"/>
    <w:rsid w:val="00271F30"/>
    <w:rPr>
      <w:rFonts w:ascii="Symbol" w:hAnsi="Symbol"/>
    </w:rPr>
  </w:style>
  <w:style w:type="character" w:customStyle="1" w:styleId="WW8Num137z4">
    <w:name w:val="WW8Num137z4"/>
    <w:rsid w:val="00271F30"/>
    <w:rPr>
      <w:rFonts w:ascii="Courier New" w:hAnsi="Courier New"/>
    </w:rPr>
  </w:style>
  <w:style w:type="character" w:customStyle="1" w:styleId="WW8Num139z0">
    <w:name w:val="WW8Num139z0"/>
    <w:rsid w:val="00271F30"/>
    <w:rPr>
      <w:rFonts w:ascii="Times New Roman" w:hAnsi="Times New Roman" w:cs="Times New Roman"/>
      <w:b/>
      <w:i w:val="0"/>
      <w:strike w:val="0"/>
      <w:dstrike w:val="0"/>
      <w:sz w:val="20"/>
      <w:u w:val="none"/>
    </w:rPr>
  </w:style>
  <w:style w:type="character" w:customStyle="1" w:styleId="WW8Num140z0">
    <w:name w:val="WW8Num140z0"/>
    <w:rsid w:val="00271F30"/>
    <w:rPr>
      <w:rFonts w:ascii="Times New Roman" w:hAnsi="Times New Roman"/>
    </w:rPr>
  </w:style>
  <w:style w:type="character" w:customStyle="1" w:styleId="WW8Num140z1">
    <w:name w:val="WW8Num140z1"/>
    <w:rsid w:val="00271F30"/>
    <w:rPr>
      <w:rFonts w:ascii="Courier New" w:hAnsi="Courier New"/>
    </w:rPr>
  </w:style>
  <w:style w:type="character" w:customStyle="1" w:styleId="WW8Num140z2">
    <w:name w:val="WW8Num140z2"/>
    <w:rsid w:val="00271F30"/>
    <w:rPr>
      <w:rFonts w:ascii="Wingdings" w:hAnsi="Wingdings"/>
    </w:rPr>
  </w:style>
  <w:style w:type="character" w:customStyle="1" w:styleId="WW8Num140z3">
    <w:name w:val="WW8Num140z3"/>
    <w:rsid w:val="00271F30"/>
    <w:rPr>
      <w:rFonts w:ascii="Symbol" w:hAnsi="Symbol"/>
    </w:rPr>
  </w:style>
  <w:style w:type="character" w:customStyle="1" w:styleId="WW8Num141z0">
    <w:name w:val="WW8Num141z0"/>
    <w:rsid w:val="00271F30"/>
    <w:rPr>
      <w:rFonts w:ascii="Times New Roman" w:hAnsi="Times New Roman"/>
    </w:rPr>
  </w:style>
  <w:style w:type="character" w:customStyle="1" w:styleId="WW8Num141z1">
    <w:name w:val="WW8Num141z1"/>
    <w:rsid w:val="00271F30"/>
    <w:rPr>
      <w:rFonts w:ascii="Courier New" w:hAnsi="Courier New" w:cs="Courier New"/>
    </w:rPr>
  </w:style>
  <w:style w:type="character" w:customStyle="1" w:styleId="WW8Num141z2">
    <w:name w:val="WW8Num141z2"/>
    <w:rsid w:val="00271F30"/>
    <w:rPr>
      <w:rFonts w:ascii="Wingdings" w:hAnsi="Wingdings"/>
    </w:rPr>
  </w:style>
  <w:style w:type="character" w:customStyle="1" w:styleId="WW8Num141z3">
    <w:name w:val="WW8Num141z3"/>
    <w:rsid w:val="00271F30"/>
    <w:rPr>
      <w:rFonts w:ascii="Symbol" w:hAnsi="Symbol"/>
    </w:rPr>
  </w:style>
  <w:style w:type="character" w:customStyle="1" w:styleId="WW8Num142z0">
    <w:name w:val="WW8Num142z0"/>
    <w:rsid w:val="00271F30"/>
    <w:rPr>
      <w:rFonts w:ascii="Times New Roman" w:hAnsi="Times New Roman"/>
    </w:rPr>
  </w:style>
  <w:style w:type="character" w:customStyle="1" w:styleId="WW8Num142z1">
    <w:name w:val="WW8Num142z1"/>
    <w:rsid w:val="00271F30"/>
    <w:rPr>
      <w:rFonts w:ascii="Courier New" w:hAnsi="Courier New" w:cs="Courier New"/>
    </w:rPr>
  </w:style>
  <w:style w:type="character" w:customStyle="1" w:styleId="WW8Num142z2">
    <w:name w:val="WW8Num142z2"/>
    <w:rsid w:val="00271F30"/>
    <w:rPr>
      <w:rFonts w:ascii="Wingdings" w:hAnsi="Wingdings"/>
    </w:rPr>
  </w:style>
  <w:style w:type="character" w:customStyle="1" w:styleId="WW8Num142z3">
    <w:name w:val="WW8Num142z3"/>
    <w:rsid w:val="00271F30"/>
    <w:rPr>
      <w:rFonts w:ascii="Symbol" w:hAnsi="Symbol"/>
    </w:rPr>
  </w:style>
  <w:style w:type="character" w:customStyle="1" w:styleId="WW8Num146z0">
    <w:name w:val="WW8Num146z0"/>
    <w:rsid w:val="00271F30"/>
    <w:rPr>
      <w:rFonts w:ascii="Times New Roman" w:hAnsi="Times New Roman"/>
    </w:rPr>
  </w:style>
  <w:style w:type="character" w:customStyle="1" w:styleId="WW8Num146z1">
    <w:name w:val="WW8Num146z1"/>
    <w:rsid w:val="00271F30"/>
    <w:rPr>
      <w:rFonts w:ascii="Courier New" w:hAnsi="Courier New" w:cs="Courier New"/>
    </w:rPr>
  </w:style>
  <w:style w:type="character" w:customStyle="1" w:styleId="WW8Num146z2">
    <w:name w:val="WW8Num146z2"/>
    <w:rsid w:val="00271F30"/>
    <w:rPr>
      <w:rFonts w:ascii="Wingdings" w:hAnsi="Wingdings"/>
    </w:rPr>
  </w:style>
  <w:style w:type="character" w:customStyle="1" w:styleId="WW8Num146z3">
    <w:name w:val="WW8Num146z3"/>
    <w:rsid w:val="00271F30"/>
    <w:rPr>
      <w:rFonts w:ascii="Symbol" w:hAnsi="Symbol"/>
    </w:rPr>
  </w:style>
  <w:style w:type="character" w:customStyle="1" w:styleId="WW8Num147z0">
    <w:name w:val="WW8Num147z0"/>
    <w:rsid w:val="00271F30"/>
    <w:rPr>
      <w:rFonts w:ascii="Times New Roman" w:hAnsi="Times New Roman"/>
    </w:rPr>
  </w:style>
  <w:style w:type="character" w:customStyle="1" w:styleId="WW8Num147z1">
    <w:name w:val="WW8Num147z1"/>
    <w:rsid w:val="00271F30"/>
    <w:rPr>
      <w:rFonts w:ascii="Courier New" w:hAnsi="Courier New" w:cs="Courier New"/>
    </w:rPr>
  </w:style>
  <w:style w:type="character" w:customStyle="1" w:styleId="WW8Num147z2">
    <w:name w:val="WW8Num147z2"/>
    <w:rsid w:val="00271F30"/>
    <w:rPr>
      <w:rFonts w:ascii="Wingdings" w:hAnsi="Wingdings"/>
    </w:rPr>
  </w:style>
  <w:style w:type="character" w:customStyle="1" w:styleId="WW8Num147z3">
    <w:name w:val="WW8Num147z3"/>
    <w:rsid w:val="00271F30"/>
    <w:rPr>
      <w:rFonts w:ascii="Symbol" w:hAnsi="Symbol"/>
    </w:rPr>
  </w:style>
  <w:style w:type="character" w:customStyle="1" w:styleId="WW8Num150z0">
    <w:name w:val="WW8Num150z0"/>
    <w:rsid w:val="00271F30"/>
    <w:rPr>
      <w:rFonts w:ascii="Times New Roman" w:hAnsi="Times New Roman"/>
    </w:rPr>
  </w:style>
  <w:style w:type="character" w:customStyle="1" w:styleId="WW8Num150z1">
    <w:name w:val="WW8Num150z1"/>
    <w:rsid w:val="00271F30"/>
    <w:rPr>
      <w:rFonts w:ascii="Courier New" w:hAnsi="Courier New" w:cs="Courier New"/>
    </w:rPr>
  </w:style>
  <w:style w:type="character" w:customStyle="1" w:styleId="WW8Num150z2">
    <w:name w:val="WW8Num150z2"/>
    <w:rsid w:val="00271F30"/>
    <w:rPr>
      <w:rFonts w:ascii="Wingdings" w:hAnsi="Wingdings"/>
    </w:rPr>
  </w:style>
  <w:style w:type="character" w:customStyle="1" w:styleId="WW8Num150z3">
    <w:name w:val="WW8Num150z3"/>
    <w:rsid w:val="00271F30"/>
    <w:rPr>
      <w:rFonts w:ascii="Symbol" w:hAnsi="Symbol"/>
    </w:rPr>
  </w:style>
  <w:style w:type="character" w:customStyle="1" w:styleId="WW8Num151z0">
    <w:name w:val="WW8Num151z0"/>
    <w:rsid w:val="00271F30"/>
    <w:rPr>
      <w:rFonts w:ascii="Times New Roman" w:hAnsi="Times New Roman"/>
    </w:rPr>
  </w:style>
  <w:style w:type="character" w:customStyle="1" w:styleId="WW8Num151z1">
    <w:name w:val="WW8Num151z1"/>
    <w:rsid w:val="00271F30"/>
    <w:rPr>
      <w:rFonts w:ascii="Courier New" w:hAnsi="Courier New" w:cs="Courier New"/>
    </w:rPr>
  </w:style>
  <w:style w:type="character" w:customStyle="1" w:styleId="WW8Num151z2">
    <w:name w:val="WW8Num151z2"/>
    <w:rsid w:val="00271F30"/>
    <w:rPr>
      <w:rFonts w:ascii="Wingdings" w:hAnsi="Wingdings"/>
    </w:rPr>
  </w:style>
  <w:style w:type="character" w:customStyle="1" w:styleId="WW8Num151z3">
    <w:name w:val="WW8Num151z3"/>
    <w:rsid w:val="00271F30"/>
    <w:rPr>
      <w:rFonts w:ascii="Symbol" w:hAnsi="Symbol"/>
    </w:rPr>
  </w:style>
  <w:style w:type="character" w:customStyle="1" w:styleId="WW8Num153z0">
    <w:name w:val="WW8Num153z0"/>
    <w:rsid w:val="00271F30"/>
    <w:rPr>
      <w:rFonts w:ascii="Times New Roman" w:hAnsi="Times New Roman"/>
    </w:rPr>
  </w:style>
  <w:style w:type="character" w:customStyle="1" w:styleId="WW8Num155z0">
    <w:name w:val="WW8Num155z0"/>
    <w:rsid w:val="00271F30"/>
    <w:rPr>
      <w:rFonts w:ascii="Times New Roman" w:hAnsi="Times New Roman"/>
    </w:rPr>
  </w:style>
  <w:style w:type="character" w:customStyle="1" w:styleId="WW8Num155z1">
    <w:name w:val="WW8Num155z1"/>
    <w:rsid w:val="00271F30"/>
    <w:rPr>
      <w:rFonts w:ascii="Courier New" w:hAnsi="Courier New" w:cs="Courier New"/>
    </w:rPr>
  </w:style>
  <w:style w:type="character" w:customStyle="1" w:styleId="WW8Num155z2">
    <w:name w:val="WW8Num155z2"/>
    <w:rsid w:val="00271F30"/>
    <w:rPr>
      <w:rFonts w:ascii="Wingdings" w:hAnsi="Wingdings"/>
    </w:rPr>
  </w:style>
  <w:style w:type="character" w:customStyle="1" w:styleId="WW8Num155z3">
    <w:name w:val="WW8Num155z3"/>
    <w:rsid w:val="00271F30"/>
    <w:rPr>
      <w:rFonts w:ascii="Symbol" w:hAnsi="Symbol"/>
    </w:rPr>
  </w:style>
  <w:style w:type="character" w:customStyle="1" w:styleId="WW8Num156z0">
    <w:name w:val="WW8Num156z0"/>
    <w:rsid w:val="00271F30"/>
    <w:rPr>
      <w:rFonts w:ascii="Times New Roman" w:hAnsi="Times New Roman" w:cs="Times New Roman"/>
    </w:rPr>
  </w:style>
  <w:style w:type="character" w:customStyle="1" w:styleId="WW8Num160z0">
    <w:name w:val="WW8Num160z0"/>
    <w:rsid w:val="00271F30"/>
    <w:rPr>
      <w:rFonts w:ascii="Times New Roman" w:hAnsi="Times New Roman"/>
    </w:rPr>
  </w:style>
  <w:style w:type="character" w:customStyle="1" w:styleId="WW8Num160z1">
    <w:name w:val="WW8Num160z1"/>
    <w:rsid w:val="00271F30"/>
    <w:rPr>
      <w:rFonts w:ascii="Courier New" w:hAnsi="Courier New" w:cs="Courier New"/>
    </w:rPr>
  </w:style>
  <w:style w:type="character" w:customStyle="1" w:styleId="WW8Num160z2">
    <w:name w:val="WW8Num160z2"/>
    <w:rsid w:val="00271F30"/>
    <w:rPr>
      <w:rFonts w:ascii="Wingdings" w:hAnsi="Wingdings"/>
    </w:rPr>
  </w:style>
  <w:style w:type="character" w:customStyle="1" w:styleId="WW8Num160z3">
    <w:name w:val="WW8Num160z3"/>
    <w:rsid w:val="00271F30"/>
    <w:rPr>
      <w:rFonts w:ascii="Symbol" w:hAnsi="Symbol"/>
    </w:rPr>
  </w:style>
  <w:style w:type="character" w:customStyle="1" w:styleId="WW8Num163z0">
    <w:name w:val="WW8Num163z0"/>
    <w:rsid w:val="00271F30"/>
    <w:rPr>
      <w:rFonts w:ascii="Times New Roman" w:hAnsi="Times New Roman" w:cs="Times New Roman"/>
    </w:rPr>
  </w:style>
  <w:style w:type="character" w:customStyle="1" w:styleId="WW8Num168z0">
    <w:name w:val="WW8Num168z0"/>
    <w:rsid w:val="00271F30"/>
    <w:rPr>
      <w:rFonts w:ascii="Times New Roman" w:hAnsi="Times New Roman" w:cs="Times New Roman"/>
    </w:rPr>
  </w:style>
  <w:style w:type="character" w:customStyle="1" w:styleId="WW8Num171z0">
    <w:name w:val="WW8Num171z0"/>
    <w:rsid w:val="00271F30"/>
    <w:rPr>
      <w:rFonts w:ascii="Times New Roman" w:hAnsi="Times New Roman"/>
    </w:rPr>
  </w:style>
  <w:style w:type="character" w:customStyle="1" w:styleId="WW8Num171z1">
    <w:name w:val="WW8Num171z1"/>
    <w:rsid w:val="00271F30"/>
    <w:rPr>
      <w:rFonts w:ascii="Courier New" w:hAnsi="Courier New" w:cs="Courier New"/>
    </w:rPr>
  </w:style>
  <w:style w:type="character" w:customStyle="1" w:styleId="WW8Num171z2">
    <w:name w:val="WW8Num171z2"/>
    <w:rsid w:val="00271F30"/>
    <w:rPr>
      <w:rFonts w:ascii="Wingdings" w:hAnsi="Wingdings"/>
    </w:rPr>
  </w:style>
  <w:style w:type="character" w:customStyle="1" w:styleId="WW8Num171z3">
    <w:name w:val="WW8Num171z3"/>
    <w:rsid w:val="00271F30"/>
    <w:rPr>
      <w:rFonts w:ascii="Symbol" w:hAnsi="Symbol"/>
    </w:rPr>
  </w:style>
  <w:style w:type="character" w:customStyle="1" w:styleId="WW8Num172z0">
    <w:name w:val="WW8Num172z0"/>
    <w:rsid w:val="00271F30"/>
    <w:rPr>
      <w:rFonts w:ascii="Times New Roman" w:hAnsi="Times New Roman"/>
    </w:rPr>
  </w:style>
  <w:style w:type="character" w:customStyle="1" w:styleId="WW8Num172z1">
    <w:name w:val="WW8Num172z1"/>
    <w:rsid w:val="00271F30"/>
    <w:rPr>
      <w:rFonts w:ascii="Courier New" w:hAnsi="Courier New" w:cs="Courier New"/>
    </w:rPr>
  </w:style>
  <w:style w:type="character" w:customStyle="1" w:styleId="WW8Num172z2">
    <w:name w:val="WW8Num172z2"/>
    <w:rsid w:val="00271F30"/>
    <w:rPr>
      <w:rFonts w:ascii="Wingdings" w:hAnsi="Wingdings"/>
    </w:rPr>
  </w:style>
  <w:style w:type="character" w:customStyle="1" w:styleId="WW8Num172z3">
    <w:name w:val="WW8Num172z3"/>
    <w:rsid w:val="00271F30"/>
    <w:rPr>
      <w:rFonts w:ascii="Symbol" w:hAnsi="Symbol"/>
    </w:rPr>
  </w:style>
  <w:style w:type="character" w:customStyle="1" w:styleId="WW8Num173z0">
    <w:name w:val="WW8Num173z0"/>
    <w:rsid w:val="00271F30"/>
    <w:rPr>
      <w:rFonts w:ascii="Times New Roman" w:hAnsi="Times New Roman" w:cs="Times New Roman"/>
    </w:rPr>
  </w:style>
  <w:style w:type="character" w:customStyle="1" w:styleId="WW8Num174z0">
    <w:name w:val="WW8Num174z0"/>
    <w:rsid w:val="00271F30"/>
    <w:rPr>
      <w:rFonts w:ascii="Times New Roman" w:hAnsi="Times New Roman"/>
    </w:rPr>
  </w:style>
  <w:style w:type="character" w:customStyle="1" w:styleId="WW8Num174z1">
    <w:name w:val="WW8Num174z1"/>
    <w:rsid w:val="00271F30"/>
    <w:rPr>
      <w:rFonts w:ascii="Courier New" w:hAnsi="Courier New" w:cs="Courier New"/>
    </w:rPr>
  </w:style>
  <w:style w:type="character" w:customStyle="1" w:styleId="WW8Num174z2">
    <w:name w:val="WW8Num174z2"/>
    <w:rsid w:val="00271F30"/>
    <w:rPr>
      <w:rFonts w:ascii="Wingdings" w:hAnsi="Wingdings"/>
    </w:rPr>
  </w:style>
  <w:style w:type="character" w:customStyle="1" w:styleId="WW8Num174z3">
    <w:name w:val="WW8Num174z3"/>
    <w:rsid w:val="00271F30"/>
    <w:rPr>
      <w:rFonts w:ascii="Symbol" w:hAnsi="Symbol"/>
    </w:rPr>
  </w:style>
  <w:style w:type="character" w:customStyle="1" w:styleId="WW8Num177z0">
    <w:name w:val="WW8Num177z0"/>
    <w:rsid w:val="00271F30"/>
    <w:rPr>
      <w:rFonts w:ascii="Times New Roman" w:hAnsi="Times New Roman" w:cs="Times New Roman"/>
      <w:b/>
      <w:i w:val="0"/>
      <w:strike w:val="0"/>
      <w:dstrike w:val="0"/>
      <w:sz w:val="20"/>
      <w:u w:val="none"/>
    </w:rPr>
  </w:style>
  <w:style w:type="character" w:customStyle="1" w:styleId="WW8Num179z3">
    <w:name w:val="WW8Num179z3"/>
    <w:rsid w:val="00271F30"/>
    <w:rPr>
      <w:rFonts w:ascii="Symbol" w:hAnsi="Symbol"/>
    </w:rPr>
  </w:style>
  <w:style w:type="character" w:customStyle="1" w:styleId="WW8Num180z0">
    <w:name w:val="WW8Num180z0"/>
    <w:rsid w:val="00271F30"/>
    <w:rPr>
      <w:rFonts w:ascii="Times New Roman" w:hAnsi="Times New Roman" w:cs="Times New Roman"/>
    </w:rPr>
  </w:style>
  <w:style w:type="character" w:customStyle="1" w:styleId="WW8Num181z0">
    <w:name w:val="WW8Num181z0"/>
    <w:rsid w:val="00271F30"/>
    <w:rPr>
      <w:rFonts w:ascii="Times New Roman" w:hAnsi="Times New Roman"/>
    </w:rPr>
  </w:style>
  <w:style w:type="character" w:customStyle="1" w:styleId="WW8Num181z1">
    <w:name w:val="WW8Num181z1"/>
    <w:rsid w:val="00271F30"/>
    <w:rPr>
      <w:rFonts w:ascii="Courier New" w:hAnsi="Courier New" w:cs="Courier New"/>
    </w:rPr>
  </w:style>
  <w:style w:type="character" w:customStyle="1" w:styleId="WW8Num181z2">
    <w:name w:val="WW8Num181z2"/>
    <w:rsid w:val="00271F30"/>
    <w:rPr>
      <w:rFonts w:ascii="Wingdings" w:hAnsi="Wingdings"/>
    </w:rPr>
  </w:style>
  <w:style w:type="character" w:customStyle="1" w:styleId="WW8Num181z3">
    <w:name w:val="WW8Num181z3"/>
    <w:rsid w:val="00271F30"/>
    <w:rPr>
      <w:rFonts w:ascii="Symbol" w:hAnsi="Symbol"/>
    </w:rPr>
  </w:style>
  <w:style w:type="character" w:customStyle="1" w:styleId="WW8Num182z0">
    <w:name w:val="WW8Num182z0"/>
    <w:rsid w:val="00271F30"/>
    <w:rPr>
      <w:rFonts w:ascii="Times New Roman" w:eastAsia="Times New Roman" w:hAnsi="Times New Roman" w:cs="Times New Roman"/>
    </w:rPr>
  </w:style>
  <w:style w:type="character" w:customStyle="1" w:styleId="WW8Num183z0">
    <w:name w:val="WW8Num183z0"/>
    <w:rsid w:val="00271F30"/>
    <w:rPr>
      <w:rFonts w:ascii="Times New Roman" w:hAnsi="Times New Roman" w:cs="Times New Roman"/>
      <w:b/>
      <w:i w:val="0"/>
      <w:strike w:val="0"/>
      <w:dstrike w:val="0"/>
      <w:sz w:val="20"/>
      <w:u w:val="none"/>
    </w:rPr>
  </w:style>
  <w:style w:type="character" w:customStyle="1" w:styleId="WW8Num186z0">
    <w:name w:val="WW8Num186z0"/>
    <w:rsid w:val="00271F30"/>
    <w:rPr>
      <w:rFonts w:ascii="Times New Roman" w:hAnsi="Times New Roman" w:cs="Times New Roman"/>
      <w:b/>
      <w:i w:val="0"/>
      <w:strike w:val="0"/>
      <w:dstrike w:val="0"/>
      <w:sz w:val="20"/>
      <w:u w:val="none"/>
    </w:rPr>
  </w:style>
  <w:style w:type="character" w:customStyle="1" w:styleId="WW8Num187z0">
    <w:name w:val="WW8Num187z0"/>
    <w:rsid w:val="00271F30"/>
    <w:rPr>
      <w:rFonts w:ascii="Times New Roman" w:hAnsi="Times New Roman" w:cs="Times New Roman"/>
      <w:b/>
      <w:i w:val="0"/>
      <w:strike w:val="0"/>
      <w:dstrike w:val="0"/>
      <w:sz w:val="20"/>
      <w:u w:val="none"/>
    </w:rPr>
  </w:style>
  <w:style w:type="character" w:customStyle="1" w:styleId="WW8Num193z0">
    <w:name w:val="WW8Num193z0"/>
    <w:rsid w:val="00271F30"/>
    <w:rPr>
      <w:rFonts w:ascii="Times New Roman" w:hAnsi="Times New Roman"/>
    </w:rPr>
  </w:style>
  <w:style w:type="character" w:customStyle="1" w:styleId="WW8Num193z1">
    <w:name w:val="WW8Num193z1"/>
    <w:rsid w:val="00271F30"/>
    <w:rPr>
      <w:rFonts w:ascii="Courier New" w:hAnsi="Courier New"/>
    </w:rPr>
  </w:style>
  <w:style w:type="character" w:customStyle="1" w:styleId="WW8Num193z2">
    <w:name w:val="WW8Num193z2"/>
    <w:rsid w:val="00271F30"/>
    <w:rPr>
      <w:rFonts w:ascii="Wingdings" w:hAnsi="Wingdings"/>
    </w:rPr>
  </w:style>
  <w:style w:type="character" w:customStyle="1" w:styleId="WW8Num193z3">
    <w:name w:val="WW8Num193z3"/>
    <w:rsid w:val="00271F30"/>
    <w:rPr>
      <w:rFonts w:ascii="Symbol" w:hAnsi="Symbol"/>
    </w:rPr>
  </w:style>
  <w:style w:type="character" w:customStyle="1" w:styleId="WW8Num194z0">
    <w:name w:val="WW8Num194z0"/>
    <w:rsid w:val="00271F30"/>
    <w:rPr>
      <w:rFonts w:ascii="Times New Roman" w:hAnsi="Times New Roman"/>
    </w:rPr>
  </w:style>
  <w:style w:type="character" w:customStyle="1" w:styleId="WW8Num194z1">
    <w:name w:val="WW8Num194z1"/>
    <w:rsid w:val="00271F30"/>
    <w:rPr>
      <w:rFonts w:ascii="Courier New" w:hAnsi="Courier New"/>
    </w:rPr>
  </w:style>
  <w:style w:type="character" w:customStyle="1" w:styleId="WW8Num194z2">
    <w:name w:val="WW8Num194z2"/>
    <w:rsid w:val="00271F30"/>
    <w:rPr>
      <w:rFonts w:ascii="Wingdings" w:hAnsi="Wingdings"/>
    </w:rPr>
  </w:style>
  <w:style w:type="character" w:customStyle="1" w:styleId="WW8Num194z3">
    <w:name w:val="WW8Num194z3"/>
    <w:rsid w:val="00271F30"/>
    <w:rPr>
      <w:rFonts w:ascii="Symbol" w:hAnsi="Symbol"/>
    </w:rPr>
  </w:style>
  <w:style w:type="character" w:customStyle="1" w:styleId="WW8Num195z0">
    <w:name w:val="WW8Num195z0"/>
    <w:rsid w:val="00271F30"/>
    <w:rPr>
      <w:rFonts w:ascii="Times New Roman" w:hAnsi="Times New Roman" w:cs="Times New Roman"/>
    </w:rPr>
  </w:style>
  <w:style w:type="character" w:customStyle="1" w:styleId="WW8Num200z0">
    <w:name w:val="WW8Num200z0"/>
    <w:rsid w:val="00271F30"/>
    <w:rPr>
      <w:rFonts w:ascii="Times New Roman" w:hAnsi="Times New Roman"/>
    </w:rPr>
  </w:style>
  <w:style w:type="character" w:customStyle="1" w:styleId="WW8Num200z1">
    <w:name w:val="WW8Num200z1"/>
    <w:rsid w:val="00271F30"/>
    <w:rPr>
      <w:rFonts w:ascii="Courier New" w:hAnsi="Courier New"/>
    </w:rPr>
  </w:style>
  <w:style w:type="character" w:customStyle="1" w:styleId="WW8Num200z2">
    <w:name w:val="WW8Num200z2"/>
    <w:rsid w:val="00271F30"/>
    <w:rPr>
      <w:rFonts w:ascii="Wingdings" w:hAnsi="Wingdings"/>
    </w:rPr>
  </w:style>
  <w:style w:type="character" w:customStyle="1" w:styleId="WW8Num200z3">
    <w:name w:val="WW8Num200z3"/>
    <w:rsid w:val="00271F30"/>
    <w:rPr>
      <w:rFonts w:ascii="Symbol" w:hAnsi="Symbol"/>
    </w:rPr>
  </w:style>
  <w:style w:type="character" w:customStyle="1" w:styleId="WW8Num202z0">
    <w:name w:val="WW8Num202z0"/>
    <w:rsid w:val="00271F30"/>
    <w:rPr>
      <w:rFonts w:ascii="Times New Roman" w:hAnsi="Times New Roman"/>
    </w:rPr>
  </w:style>
  <w:style w:type="character" w:customStyle="1" w:styleId="WW8Num202z1">
    <w:name w:val="WW8Num202z1"/>
    <w:rsid w:val="00271F30"/>
    <w:rPr>
      <w:rFonts w:ascii="Courier New" w:hAnsi="Courier New"/>
    </w:rPr>
  </w:style>
  <w:style w:type="character" w:customStyle="1" w:styleId="WW8Num202z2">
    <w:name w:val="WW8Num202z2"/>
    <w:rsid w:val="00271F30"/>
    <w:rPr>
      <w:rFonts w:ascii="Wingdings" w:hAnsi="Wingdings"/>
    </w:rPr>
  </w:style>
  <w:style w:type="character" w:customStyle="1" w:styleId="WW8Num202z3">
    <w:name w:val="WW8Num202z3"/>
    <w:rsid w:val="00271F30"/>
    <w:rPr>
      <w:rFonts w:ascii="Symbol" w:hAnsi="Symbol"/>
    </w:rPr>
  </w:style>
  <w:style w:type="character" w:customStyle="1" w:styleId="WW8Num204z0">
    <w:name w:val="WW8Num204z0"/>
    <w:rsid w:val="00271F30"/>
    <w:rPr>
      <w:rFonts w:ascii="Times New Roman" w:hAnsi="Times New Roman"/>
    </w:rPr>
  </w:style>
  <w:style w:type="character" w:customStyle="1" w:styleId="WW8Num204z1">
    <w:name w:val="WW8Num204z1"/>
    <w:rsid w:val="00271F30"/>
    <w:rPr>
      <w:rFonts w:ascii="Courier New" w:hAnsi="Courier New"/>
    </w:rPr>
  </w:style>
  <w:style w:type="character" w:customStyle="1" w:styleId="WW8Num204z2">
    <w:name w:val="WW8Num204z2"/>
    <w:rsid w:val="00271F30"/>
    <w:rPr>
      <w:rFonts w:ascii="Wingdings" w:hAnsi="Wingdings"/>
    </w:rPr>
  </w:style>
  <w:style w:type="character" w:customStyle="1" w:styleId="WW8Num204z3">
    <w:name w:val="WW8Num204z3"/>
    <w:rsid w:val="00271F30"/>
    <w:rPr>
      <w:rFonts w:ascii="Symbol" w:hAnsi="Symbol"/>
    </w:rPr>
  </w:style>
  <w:style w:type="character" w:customStyle="1" w:styleId="WW8Num207z0">
    <w:name w:val="WW8Num207z0"/>
    <w:rsid w:val="00271F30"/>
    <w:rPr>
      <w:rFonts w:ascii="Times New Roman" w:hAnsi="Times New Roman"/>
    </w:rPr>
  </w:style>
  <w:style w:type="character" w:customStyle="1" w:styleId="WW8Num207z1">
    <w:name w:val="WW8Num207z1"/>
    <w:rsid w:val="00271F30"/>
    <w:rPr>
      <w:rFonts w:ascii="Courier New" w:hAnsi="Courier New"/>
    </w:rPr>
  </w:style>
  <w:style w:type="character" w:customStyle="1" w:styleId="WW8Num207z2">
    <w:name w:val="WW8Num207z2"/>
    <w:rsid w:val="00271F30"/>
    <w:rPr>
      <w:rFonts w:ascii="Wingdings" w:hAnsi="Wingdings"/>
    </w:rPr>
  </w:style>
  <w:style w:type="character" w:customStyle="1" w:styleId="WW8Num207z3">
    <w:name w:val="WW8Num207z3"/>
    <w:rsid w:val="00271F30"/>
    <w:rPr>
      <w:rFonts w:ascii="Symbol" w:hAnsi="Symbol"/>
    </w:rPr>
  </w:style>
  <w:style w:type="character" w:customStyle="1" w:styleId="WW8Num208z0">
    <w:name w:val="WW8Num208z0"/>
    <w:rsid w:val="00271F30"/>
    <w:rPr>
      <w:rFonts w:ascii="Times New Roman" w:eastAsia="Times New Roman" w:hAnsi="Times New Roman" w:cs="Times New Roman"/>
    </w:rPr>
  </w:style>
  <w:style w:type="character" w:customStyle="1" w:styleId="WW8Num208z1">
    <w:name w:val="WW8Num208z1"/>
    <w:rsid w:val="00271F30"/>
    <w:rPr>
      <w:rFonts w:ascii="Courier New" w:hAnsi="Courier New"/>
    </w:rPr>
  </w:style>
  <w:style w:type="character" w:customStyle="1" w:styleId="WW8Num208z2">
    <w:name w:val="WW8Num208z2"/>
    <w:rsid w:val="00271F30"/>
    <w:rPr>
      <w:rFonts w:ascii="Wingdings" w:hAnsi="Wingdings"/>
    </w:rPr>
  </w:style>
  <w:style w:type="character" w:customStyle="1" w:styleId="WW8Num208z3">
    <w:name w:val="WW8Num208z3"/>
    <w:rsid w:val="00271F30"/>
    <w:rPr>
      <w:rFonts w:ascii="Symbol" w:hAnsi="Symbol"/>
    </w:rPr>
  </w:style>
  <w:style w:type="character" w:customStyle="1" w:styleId="WW8Num211z0">
    <w:name w:val="WW8Num211z0"/>
    <w:rsid w:val="00271F30"/>
    <w:rPr>
      <w:rFonts w:ascii="Times New Roman" w:hAnsi="Times New Roman" w:cs="Times New Roman"/>
    </w:rPr>
  </w:style>
  <w:style w:type="character" w:customStyle="1" w:styleId="WW8Num213z0">
    <w:name w:val="WW8Num213z0"/>
    <w:rsid w:val="00271F30"/>
    <w:rPr>
      <w:rFonts w:ascii="Times New Roman" w:hAnsi="Times New Roman"/>
    </w:rPr>
  </w:style>
  <w:style w:type="character" w:customStyle="1" w:styleId="WW8Num213z1">
    <w:name w:val="WW8Num213z1"/>
    <w:rsid w:val="00271F30"/>
    <w:rPr>
      <w:rFonts w:ascii="Wingdings" w:hAnsi="Wingdings"/>
    </w:rPr>
  </w:style>
  <w:style w:type="character" w:customStyle="1" w:styleId="WW8Num213z3">
    <w:name w:val="WW8Num213z3"/>
    <w:rsid w:val="00271F30"/>
    <w:rPr>
      <w:rFonts w:ascii="Symbol" w:hAnsi="Symbol"/>
    </w:rPr>
  </w:style>
  <w:style w:type="character" w:customStyle="1" w:styleId="WW8Num213z4">
    <w:name w:val="WW8Num213z4"/>
    <w:rsid w:val="00271F30"/>
    <w:rPr>
      <w:rFonts w:ascii="Courier New" w:hAnsi="Courier New"/>
    </w:rPr>
  </w:style>
  <w:style w:type="character" w:customStyle="1" w:styleId="WW8Num214z0">
    <w:name w:val="WW8Num214z0"/>
    <w:rsid w:val="00271F30"/>
    <w:rPr>
      <w:rFonts w:ascii="Times New Roman" w:hAnsi="Times New Roman" w:cs="Times New Roman"/>
    </w:rPr>
  </w:style>
  <w:style w:type="character" w:customStyle="1" w:styleId="WW8Num217z0">
    <w:name w:val="WW8Num217z0"/>
    <w:rsid w:val="00271F30"/>
    <w:rPr>
      <w:rFonts w:ascii="Times New Roman" w:hAnsi="Times New Roman" w:cs="Times New Roman"/>
    </w:rPr>
  </w:style>
  <w:style w:type="character" w:customStyle="1" w:styleId="WW8Num220z1">
    <w:name w:val="WW8Num220z1"/>
    <w:rsid w:val="00271F30"/>
    <w:rPr>
      <w:rFonts w:ascii="Arial" w:eastAsia="Times New Roman" w:hAnsi="Arial" w:cs="Arial"/>
    </w:rPr>
  </w:style>
  <w:style w:type="character" w:customStyle="1" w:styleId="WW8Num225z0">
    <w:name w:val="WW8Num225z0"/>
    <w:rsid w:val="00271F30"/>
    <w:rPr>
      <w:rFonts w:ascii="Times New Roman" w:hAnsi="Times New Roman" w:cs="Times New Roman"/>
    </w:rPr>
  </w:style>
  <w:style w:type="character" w:customStyle="1" w:styleId="WW8Num227z0">
    <w:name w:val="WW8Num227z0"/>
    <w:rsid w:val="00271F30"/>
    <w:rPr>
      <w:rFonts w:ascii="Times New Roman" w:hAnsi="Times New Roman"/>
    </w:rPr>
  </w:style>
  <w:style w:type="character" w:customStyle="1" w:styleId="WW8Num227z1">
    <w:name w:val="WW8Num227z1"/>
    <w:rsid w:val="00271F30"/>
    <w:rPr>
      <w:rFonts w:ascii="Courier New" w:hAnsi="Courier New" w:cs="Courier New"/>
    </w:rPr>
  </w:style>
  <w:style w:type="character" w:customStyle="1" w:styleId="WW8Num227z2">
    <w:name w:val="WW8Num227z2"/>
    <w:rsid w:val="00271F30"/>
    <w:rPr>
      <w:rFonts w:ascii="Wingdings" w:hAnsi="Wingdings"/>
    </w:rPr>
  </w:style>
  <w:style w:type="character" w:customStyle="1" w:styleId="WW8Num227z3">
    <w:name w:val="WW8Num227z3"/>
    <w:rsid w:val="00271F30"/>
    <w:rPr>
      <w:rFonts w:ascii="Symbol" w:hAnsi="Symbol"/>
    </w:rPr>
  </w:style>
  <w:style w:type="character" w:customStyle="1" w:styleId="WW8Num228z0">
    <w:name w:val="WW8Num228z0"/>
    <w:rsid w:val="00271F30"/>
    <w:rPr>
      <w:rFonts w:ascii="Times New Roman" w:hAnsi="Times New Roman"/>
    </w:rPr>
  </w:style>
  <w:style w:type="character" w:customStyle="1" w:styleId="WW8Num228z1">
    <w:name w:val="WW8Num228z1"/>
    <w:rsid w:val="00271F30"/>
    <w:rPr>
      <w:rFonts w:ascii="Courier New" w:hAnsi="Courier New"/>
    </w:rPr>
  </w:style>
  <w:style w:type="character" w:customStyle="1" w:styleId="WW8Num228z2">
    <w:name w:val="WW8Num228z2"/>
    <w:rsid w:val="00271F30"/>
    <w:rPr>
      <w:rFonts w:ascii="Wingdings" w:hAnsi="Wingdings"/>
    </w:rPr>
  </w:style>
  <w:style w:type="character" w:customStyle="1" w:styleId="WW8Num228z3">
    <w:name w:val="WW8Num228z3"/>
    <w:rsid w:val="00271F30"/>
    <w:rPr>
      <w:rFonts w:ascii="Symbol" w:hAnsi="Symbol"/>
    </w:rPr>
  </w:style>
  <w:style w:type="character" w:customStyle="1" w:styleId="WW8Num229z0">
    <w:name w:val="WW8Num229z0"/>
    <w:rsid w:val="00271F30"/>
    <w:rPr>
      <w:rFonts w:ascii="Times New Roman" w:hAnsi="Times New Roman"/>
    </w:rPr>
  </w:style>
  <w:style w:type="character" w:customStyle="1" w:styleId="WW8Num229z1">
    <w:name w:val="WW8Num229z1"/>
    <w:rsid w:val="00271F30"/>
    <w:rPr>
      <w:rFonts w:ascii="Courier New" w:hAnsi="Courier New" w:cs="Courier New"/>
    </w:rPr>
  </w:style>
  <w:style w:type="character" w:customStyle="1" w:styleId="WW8Num229z2">
    <w:name w:val="WW8Num229z2"/>
    <w:rsid w:val="00271F30"/>
    <w:rPr>
      <w:rFonts w:ascii="Wingdings" w:hAnsi="Wingdings"/>
    </w:rPr>
  </w:style>
  <w:style w:type="character" w:customStyle="1" w:styleId="WW8Num229z3">
    <w:name w:val="WW8Num229z3"/>
    <w:rsid w:val="00271F30"/>
    <w:rPr>
      <w:rFonts w:ascii="Symbol" w:hAnsi="Symbol"/>
    </w:rPr>
  </w:style>
  <w:style w:type="character" w:customStyle="1" w:styleId="WW8Num230z0">
    <w:name w:val="WW8Num230z0"/>
    <w:rsid w:val="00271F30"/>
    <w:rPr>
      <w:rFonts w:ascii="Times New Roman" w:hAnsi="Times New Roman" w:cs="Times New Roman"/>
      <w:b/>
      <w:i w:val="0"/>
      <w:strike w:val="0"/>
      <w:dstrike w:val="0"/>
      <w:sz w:val="20"/>
      <w:u w:val="none"/>
    </w:rPr>
  </w:style>
  <w:style w:type="character" w:customStyle="1" w:styleId="WW8Num231z0">
    <w:name w:val="WW8Num231z0"/>
    <w:rsid w:val="00271F30"/>
    <w:rPr>
      <w:rFonts w:ascii="Times New Roman" w:hAnsi="Times New Roman" w:cs="Times New Roman"/>
    </w:rPr>
  </w:style>
  <w:style w:type="character" w:customStyle="1" w:styleId="WW8Num232z0">
    <w:name w:val="WW8Num232z0"/>
    <w:rsid w:val="00271F30"/>
    <w:rPr>
      <w:rFonts w:ascii="Times New Roman" w:hAnsi="Times New Roman"/>
    </w:rPr>
  </w:style>
  <w:style w:type="character" w:customStyle="1" w:styleId="WW8Num232z2">
    <w:name w:val="WW8Num232z2"/>
    <w:rsid w:val="00271F30"/>
    <w:rPr>
      <w:rFonts w:ascii="Wingdings" w:hAnsi="Wingdings"/>
    </w:rPr>
  </w:style>
  <w:style w:type="character" w:customStyle="1" w:styleId="WW8Num232z3">
    <w:name w:val="WW8Num232z3"/>
    <w:rsid w:val="00271F30"/>
    <w:rPr>
      <w:rFonts w:ascii="Symbol" w:hAnsi="Symbol"/>
    </w:rPr>
  </w:style>
  <w:style w:type="character" w:customStyle="1" w:styleId="WW8Num232z4">
    <w:name w:val="WW8Num232z4"/>
    <w:rsid w:val="00271F30"/>
    <w:rPr>
      <w:rFonts w:ascii="Courier New" w:hAnsi="Courier New" w:cs="Courier New"/>
    </w:rPr>
  </w:style>
  <w:style w:type="character" w:customStyle="1" w:styleId="WW8Num234z0">
    <w:name w:val="WW8Num234z0"/>
    <w:rsid w:val="00271F30"/>
    <w:rPr>
      <w:rFonts w:ascii="Times New Roman" w:hAnsi="Times New Roman"/>
    </w:rPr>
  </w:style>
  <w:style w:type="character" w:customStyle="1" w:styleId="WW8Num234z1">
    <w:name w:val="WW8Num234z1"/>
    <w:rsid w:val="00271F30"/>
    <w:rPr>
      <w:rFonts w:ascii="Courier New" w:hAnsi="Courier New" w:cs="Courier New"/>
    </w:rPr>
  </w:style>
  <w:style w:type="character" w:customStyle="1" w:styleId="WW8Num234z2">
    <w:name w:val="WW8Num234z2"/>
    <w:rsid w:val="00271F30"/>
    <w:rPr>
      <w:rFonts w:ascii="Wingdings" w:hAnsi="Wingdings"/>
    </w:rPr>
  </w:style>
  <w:style w:type="character" w:customStyle="1" w:styleId="WW8Num234z3">
    <w:name w:val="WW8Num234z3"/>
    <w:rsid w:val="00271F30"/>
    <w:rPr>
      <w:rFonts w:ascii="Symbol" w:hAnsi="Symbol"/>
    </w:rPr>
  </w:style>
  <w:style w:type="character" w:customStyle="1" w:styleId="WW8Num235z0">
    <w:name w:val="WW8Num235z0"/>
    <w:rsid w:val="00271F30"/>
    <w:rPr>
      <w:rFonts w:ascii="Times New Roman" w:hAnsi="Times New Roman" w:cs="Times New Roman"/>
    </w:rPr>
  </w:style>
  <w:style w:type="character" w:customStyle="1" w:styleId="WW8Num238z0">
    <w:name w:val="WW8Num238z0"/>
    <w:rsid w:val="00271F30"/>
    <w:rPr>
      <w:rFonts w:ascii="Times New Roman" w:hAnsi="Times New Roman"/>
    </w:rPr>
  </w:style>
  <w:style w:type="character" w:customStyle="1" w:styleId="WW8Num241z0">
    <w:name w:val="WW8Num241z0"/>
    <w:rsid w:val="00271F30"/>
    <w:rPr>
      <w:rFonts w:ascii="Times New Roman" w:hAnsi="Times New Roman" w:cs="Times New Roman"/>
    </w:rPr>
  </w:style>
  <w:style w:type="character" w:customStyle="1" w:styleId="WW8NumSt3z0">
    <w:name w:val="WW8NumSt3z0"/>
    <w:rsid w:val="00271F30"/>
    <w:rPr>
      <w:rFonts w:ascii="Symbol" w:hAnsi="Symbol"/>
      <w:sz w:val="20"/>
    </w:rPr>
  </w:style>
  <w:style w:type="character" w:customStyle="1" w:styleId="WW8NumSt32z0">
    <w:name w:val="WW8NumSt32z0"/>
    <w:rsid w:val="00271F30"/>
    <w:rPr>
      <w:rFonts w:ascii="Bookman Old Style" w:hAnsi="Bookman Old Style"/>
      <w:sz w:val="24"/>
    </w:rPr>
  </w:style>
  <w:style w:type="character" w:customStyle="1" w:styleId="WW8NumSt43z0">
    <w:name w:val="WW8NumSt43z0"/>
    <w:rsid w:val="00271F30"/>
    <w:rPr>
      <w:rFonts w:ascii="Times New Roman" w:hAnsi="Times New Roman" w:cs="Times New Roman"/>
      <w:b/>
      <w:i w:val="0"/>
      <w:strike w:val="0"/>
      <w:dstrike w:val="0"/>
      <w:sz w:val="20"/>
      <w:u w:val="none"/>
    </w:rPr>
  </w:style>
  <w:style w:type="character" w:customStyle="1" w:styleId="Domylnaczcionkaakapitu1">
    <w:name w:val="Domyślna czcionka akapitu1"/>
    <w:rsid w:val="00271F30"/>
  </w:style>
  <w:style w:type="character" w:customStyle="1" w:styleId="Odwoaniedokomentarza1">
    <w:name w:val="Odwołanie do komentarza1"/>
    <w:rsid w:val="00271F30"/>
    <w:rPr>
      <w:sz w:val="16"/>
      <w:szCs w:val="16"/>
    </w:rPr>
  </w:style>
  <w:style w:type="character" w:customStyle="1" w:styleId="Symbolewypunktowania">
    <w:name w:val="Symbole wypunktowania"/>
    <w:rsid w:val="00271F30"/>
    <w:rPr>
      <w:rFonts w:ascii="OpenSymbol" w:eastAsia="OpenSymbol" w:hAnsi="OpenSymbol" w:cs="OpenSymbol"/>
    </w:rPr>
  </w:style>
  <w:style w:type="character" w:customStyle="1" w:styleId="Znakinumeracji">
    <w:name w:val="Znaki numeracji"/>
    <w:rsid w:val="00271F30"/>
  </w:style>
  <w:style w:type="character" w:customStyle="1" w:styleId="WW8Num348z0">
    <w:name w:val="WW8Num348z0"/>
    <w:rsid w:val="00271F30"/>
    <w:rPr>
      <w:rFonts w:ascii="Times New Roman" w:hAnsi="Times New Roman"/>
    </w:rPr>
  </w:style>
  <w:style w:type="character" w:customStyle="1" w:styleId="WW8Num348z1">
    <w:name w:val="WW8Num348z1"/>
    <w:rsid w:val="00271F30"/>
    <w:rPr>
      <w:rFonts w:ascii="Courier New" w:hAnsi="Courier New"/>
    </w:rPr>
  </w:style>
  <w:style w:type="character" w:customStyle="1" w:styleId="WW8Num348z2">
    <w:name w:val="WW8Num348z2"/>
    <w:rsid w:val="00271F30"/>
    <w:rPr>
      <w:rFonts w:ascii="Wingdings" w:hAnsi="Wingdings"/>
    </w:rPr>
  </w:style>
  <w:style w:type="character" w:customStyle="1" w:styleId="WW8Num348z3">
    <w:name w:val="WW8Num348z3"/>
    <w:rsid w:val="00271F30"/>
    <w:rPr>
      <w:rFonts w:ascii="Symbol" w:hAnsi="Symbol"/>
    </w:rPr>
  </w:style>
  <w:style w:type="character" w:customStyle="1" w:styleId="WW8Num367z0">
    <w:name w:val="WW8Num367z0"/>
    <w:rsid w:val="00271F30"/>
    <w:rPr>
      <w:rFonts w:ascii="Times New Roman" w:hAnsi="Times New Roman"/>
    </w:rPr>
  </w:style>
  <w:style w:type="character" w:customStyle="1" w:styleId="WW8Num243z0">
    <w:name w:val="WW8Num243z0"/>
    <w:rsid w:val="00271F30"/>
    <w:rPr>
      <w:rFonts w:ascii="Times New Roman" w:hAnsi="Times New Roman"/>
    </w:rPr>
  </w:style>
  <w:style w:type="character" w:customStyle="1" w:styleId="WW8Num258z0">
    <w:name w:val="WW8Num258z0"/>
    <w:rsid w:val="00271F30"/>
    <w:rPr>
      <w:rFonts w:ascii="Times New Roman" w:hAnsi="Times New Roman"/>
    </w:rPr>
  </w:style>
  <w:style w:type="character" w:customStyle="1" w:styleId="WW8Num258z1">
    <w:name w:val="WW8Num258z1"/>
    <w:rsid w:val="00271F30"/>
    <w:rPr>
      <w:rFonts w:ascii="Courier New" w:hAnsi="Courier New" w:cs="Courier New"/>
    </w:rPr>
  </w:style>
  <w:style w:type="character" w:customStyle="1" w:styleId="WW8Num258z2">
    <w:name w:val="WW8Num258z2"/>
    <w:rsid w:val="00271F30"/>
    <w:rPr>
      <w:rFonts w:ascii="Wingdings" w:hAnsi="Wingdings"/>
    </w:rPr>
  </w:style>
  <w:style w:type="character" w:customStyle="1" w:styleId="WW8Num258z3">
    <w:name w:val="WW8Num258z3"/>
    <w:rsid w:val="00271F30"/>
    <w:rPr>
      <w:rFonts w:ascii="Symbol" w:hAnsi="Symbol"/>
    </w:rPr>
  </w:style>
  <w:style w:type="character" w:customStyle="1" w:styleId="WW8NumSt49z0">
    <w:name w:val="WW8NumSt49z0"/>
    <w:rsid w:val="00271F30"/>
    <w:rPr>
      <w:rFonts w:ascii="Bookman Old Style" w:hAnsi="Bookman Old Style"/>
      <w:sz w:val="24"/>
    </w:rPr>
  </w:style>
  <w:style w:type="character" w:customStyle="1" w:styleId="WW8NumSt12z0">
    <w:name w:val="WW8NumSt12z0"/>
    <w:rsid w:val="00271F30"/>
    <w:rPr>
      <w:rFonts w:ascii="Symbol" w:hAnsi="Symbol"/>
      <w:sz w:val="20"/>
    </w:rPr>
  </w:style>
  <w:style w:type="character" w:customStyle="1" w:styleId="WW8Num260z0">
    <w:name w:val="WW8Num260z0"/>
    <w:rsid w:val="00271F30"/>
    <w:rPr>
      <w:rFonts w:ascii="Times New Roman" w:hAnsi="Times New Roman"/>
    </w:rPr>
  </w:style>
  <w:style w:type="character" w:customStyle="1" w:styleId="WW8Num260z1">
    <w:name w:val="WW8Num260z1"/>
    <w:rsid w:val="00271F30"/>
    <w:rPr>
      <w:rFonts w:ascii="Courier New" w:hAnsi="Courier New" w:cs="Courier New"/>
    </w:rPr>
  </w:style>
  <w:style w:type="character" w:customStyle="1" w:styleId="WW8Num260z2">
    <w:name w:val="WW8Num260z2"/>
    <w:rsid w:val="00271F30"/>
    <w:rPr>
      <w:rFonts w:ascii="Wingdings" w:hAnsi="Wingdings"/>
    </w:rPr>
  </w:style>
  <w:style w:type="character" w:customStyle="1" w:styleId="WW8Num260z3">
    <w:name w:val="WW8Num260z3"/>
    <w:rsid w:val="00271F30"/>
    <w:rPr>
      <w:rFonts w:ascii="Symbol" w:hAnsi="Symbol"/>
    </w:rPr>
  </w:style>
  <w:style w:type="character" w:customStyle="1" w:styleId="WW8Num253z0">
    <w:name w:val="WW8Num253z0"/>
    <w:rsid w:val="00271F30"/>
    <w:rPr>
      <w:rFonts w:ascii="Times New Roman" w:hAnsi="Times New Roman"/>
    </w:rPr>
  </w:style>
  <w:style w:type="character" w:customStyle="1" w:styleId="WW8Num253z1">
    <w:name w:val="WW8Num253z1"/>
    <w:rsid w:val="00271F30"/>
    <w:rPr>
      <w:rFonts w:ascii="Courier New" w:hAnsi="Courier New" w:cs="Courier New"/>
    </w:rPr>
  </w:style>
  <w:style w:type="character" w:customStyle="1" w:styleId="WW8Num253z2">
    <w:name w:val="WW8Num253z2"/>
    <w:rsid w:val="00271F30"/>
    <w:rPr>
      <w:rFonts w:ascii="Wingdings" w:hAnsi="Wingdings"/>
    </w:rPr>
  </w:style>
  <w:style w:type="character" w:customStyle="1" w:styleId="WW8Num253z3">
    <w:name w:val="WW8Num253z3"/>
    <w:rsid w:val="00271F30"/>
    <w:rPr>
      <w:rFonts w:ascii="Symbol" w:hAnsi="Symbol"/>
    </w:rPr>
  </w:style>
  <w:style w:type="character" w:customStyle="1" w:styleId="WW8Num269z0">
    <w:name w:val="WW8Num269z0"/>
    <w:rsid w:val="00271F30"/>
    <w:rPr>
      <w:rFonts w:ascii="Times New Roman" w:hAnsi="Times New Roman" w:cs="Times New Roman"/>
    </w:rPr>
  </w:style>
  <w:style w:type="character" w:customStyle="1" w:styleId="WW8Num266z0">
    <w:name w:val="WW8Num266z0"/>
    <w:rsid w:val="00271F30"/>
    <w:rPr>
      <w:rFonts w:ascii="Times New Roman" w:hAnsi="Times New Roman" w:cs="Times New Roman"/>
    </w:rPr>
  </w:style>
  <w:style w:type="character" w:customStyle="1" w:styleId="WW8Num360z0">
    <w:name w:val="WW8Num360z0"/>
    <w:rsid w:val="00271F30"/>
    <w:rPr>
      <w:rFonts w:ascii="Times New Roman" w:hAnsi="Times New Roman" w:cs="Times New Roman"/>
    </w:rPr>
  </w:style>
  <w:style w:type="character" w:customStyle="1" w:styleId="WW8Num311z0">
    <w:name w:val="WW8Num311z0"/>
    <w:rsid w:val="00271F30"/>
    <w:rPr>
      <w:rFonts w:ascii="Times New Roman" w:hAnsi="Times New Roman" w:cs="Times New Roman"/>
    </w:rPr>
  </w:style>
  <w:style w:type="character" w:customStyle="1" w:styleId="WW8Num362z0">
    <w:name w:val="WW8Num362z0"/>
    <w:rsid w:val="00271F30"/>
    <w:rPr>
      <w:rFonts w:ascii="Times New Roman" w:hAnsi="Times New Roman" w:cs="Times New Roman"/>
    </w:rPr>
  </w:style>
  <w:style w:type="character" w:customStyle="1" w:styleId="WW8Num328z0">
    <w:name w:val="WW8Num328z0"/>
    <w:rsid w:val="00271F30"/>
    <w:rPr>
      <w:rFonts w:ascii="Times New Roman" w:hAnsi="Times New Roman" w:cs="Times New Roman"/>
    </w:rPr>
  </w:style>
  <w:style w:type="character" w:customStyle="1" w:styleId="WW8Num279z0">
    <w:name w:val="WW8Num279z0"/>
    <w:rsid w:val="00271F30"/>
    <w:rPr>
      <w:rFonts w:ascii="Times New Roman" w:hAnsi="Times New Roman" w:cs="Times New Roman"/>
    </w:rPr>
  </w:style>
  <w:style w:type="character" w:customStyle="1" w:styleId="WW8Num247z0">
    <w:name w:val="WW8Num247z0"/>
    <w:rsid w:val="00271F30"/>
    <w:rPr>
      <w:rFonts w:ascii="Symbol" w:hAnsi="Symbol"/>
    </w:rPr>
  </w:style>
  <w:style w:type="character" w:customStyle="1" w:styleId="WW8Num263z0">
    <w:name w:val="WW8Num263z0"/>
    <w:rsid w:val="00271F30"/>
    <w:rPr>
      <w:rFonts w:ascii="Times New Roman" w:hAnsi="Times New Roman"/>
    </w:rPr>
  </w:style>
  <w:style w:type="character" w:customStyle="1" w:styleId="WW8Num256z0">
    <w:name w:val="WW8Num256z0"/>
    <w:rsid w:val="00271F30"/>
    <w:rPr>
      <w:rFonts w:ascii="Symbol" w:hAnsi="Symbol"/>
    </w:rPr>
  </w:style>
  <w:style w:type="character" w:customStyle="1" w:styleId="WW8Num298z0">
    <w:name w:val="WW8Num298z0"/>
    <w:rsid w:val="00271F30"/>
    <w:rPr>
      <w:rFonts w:ascii="Times New Roman" w:hAnsi="Times New Roman" w:cs="Times New Roman"/>
      <w:b w:val="0"/>
      <w:i w:val="0"/>
      <w:strike w:val="0"/>
      <w:dstrike w:val="0"/>
      <w:sz w:val="20"/>
      <w:u w:val="none"/>
      <w:vertAlign w:val="superscript"/>
    </w:rPr>
  </w:style>
  <w:style w:type="character" w:customStyle="1" w:styleId="WW8Num274z1">
    <w:name w:val="WW8Num274z1"/>
    <w:rsid w:val="00271F30"/>
    <w:rPr>
      <w:rFonts w:ascii="Times New Roman" w:hAnsi="Times New Roman" w:cs="Times New Roman"/>
    </w:rPr>
  </w:style>
  <w:style w:type="character" w:customStyle="1" w:styleId="WW8Num251z0">
    <w:name w:val="WW8Num251z0"/>
    <w:rsid w:val="00271F30"/>
    <w:rPr>
      <w:rFonts w:ascii="Symbol" w:hAnsi="Symbol"/>
    </w:rPr>
  </w:style>
  <w:style w:type="character" w:customStyle="1" w:styleId="WW8Num270z0">
    <w:name w:val="WW8Num270z0"/>
    <w:rsid w:val="00271F30"/>
    <w:rPr>
      <w:b w:val="0"/>
      <w:i w:val="0"/>
      <w:sz w:val="20"/>
    </w:rPr>
  </w:style>
  <w:style w:type="character" w:customStyle="1" w:styleId="WW8Num299z1">
    <w:name w:val="WW8Num299z1"/>
    <w:rsid w:val="00271F30"/>
    <w:rPr>
      <w:rFonts w:ascii="Times New Roman" w:hAnsi="Times New Roman" w:cs="Times New Roman"/>
    </w:rPr>
  </w:style>
  <w:style w:type="character" w:customStyle="1" w:styleId="WW8Num282z0">
    <w:name w:val="WW8Num282z0"/>
    <w:rsid w:val="00271F30"/>
    <w:rPr>
      <w:b w:val="0"/>
      <w:i w:val="0"/>
      <w:sz w:val="20"/>
    </w:rPr>
  </w:style>
  <w:style w:type="character" w:customStyle="1" w:styleId="WW8Num273z0">
    <w:name w:val="WW8Num273z0"/>
    <w:rsid w:val="00271F30"/>
    <w:rPr>
      <w:rFonts w:ascii="Symbol" w:hAnsi="Symbol"/>
    </w:rPr>
  </w:style>
  <w:style w:type="character" w:customStyle="1" w:styleId="WW8Num261z0">
    <w:name w:val="WW8Num261z0"/>
    <w:rsid w:val="00271F30"/>
    <w:rPr>
      <w:rFonts w:ascii="Symbol" w:hAnsi="Symbol"/>
    </w:rPr>
  </w:style>
  <w:style w:type="character" w:customStyle="1" w:styleId="WW8Num292z0">
    <w:name w:val="WW8Num292z0"/>
    <w:rsid w:val="00271F30"/>
    <w:rPr>
      <w:b/>
      <w:i w:val="0"/>
      <w:sz w:val="20"/>
    </w:rPr>
  </w:style>
  <w:style w:type="character" w:customStyle="1" w:styleId="WW8Num293z0">
    <w:name w:val="WW8Num293z0"/>
    <w:rsid w:val="00271F30"/>
    <w:rPr>
      <w:b w:val="0"/>
      <w:i w:val="0"/>
      <w:sz w:val="20"/>
    </w:rPr>
  </w:style>
  <w:style w:type="character" w:customStyle="1" w:styleId="WW8Num295z0">
    <w:name w:val="WW8Num295z0"/>
    <w:rsid w:val="00271F30"/>
    <w:rPr>
      <w:b w:val="0"/>
      <w:i w:val="0"/>
      <w:sz w:val="20"/>
    </w:rPr>
  </w:style>
  <w:style w:type="character" w:customStyle="1" w:styleId="WW8Num302z0">
    <w:name w:val="WW8Num302z0"/>
    <w:rsid w:val="00271F30"/>
    <w:rPr>
      <w:rFonts w:ascii="Times New Roman" w:hAnsi="Times New Roman" w:cs="Times New Roman"/>
      <w:b/>
      <w:i w:val="0"/>
      <w:strike w:val="0"/>
      <w:dstrike w:val="0"/>
      <w:sz w:val="20"/>
      <w:u w:val="none"/>
    </w:rPr>
  </w:style>
  <w:style w:type="paragraph" w:styleId="Lista">
    <w:name w:val="List"/>
    <w:basedOn w:val="Tekstpodstawowy"/>
    <w:rsid w:val="00271F30"/>
    <w:pPr>
      <w:suppressAutoHyphens/>
    </w:pPr>
    <w:rPr>
      <w:rFonts w:cs="Mangal"/>
      <w:snapToGrid/>
      <w:lang w:eastAsia="ar-SA"/>
    </w:rPr>
  </w:style>
  <w:style w:type="paragraph" w:customStyle="1" w:styleId="Podpis1">
    <w:name w:val="Podpis1"/>
    <w:basedOn w:val="Normalny"/>
    <w:rsid w:val="00271F30"/>
    <w:pPr>
      <w:suppressLineNumbers/>
      <w:suppressAutoHyphens/>
      <w:spacing w:before="120" w:after="120"/>
    </w:pPr>
    <w:rPr>
      <w:rFonts w:cs="Mangal"/>
      <w:i/>
      <w:iCs/>
      <w:sz w:val="24"/>
      <w:szCs w:val="24"/>
      <w:lang w:eastAsia="ar-SA"/>
    </w:rPr>
  </w:style>
  <w:style w:type="paragraph" w:customStyle="1" w:styleId="Indeks">
    <w:name w:val="Indeks"/>
    <w:basedOn w:val="Normalny"/>
    <w:rsid w:val="00271F30"/>
    <w:pPr>
      <w:suppressLineNumbers/>
      <w:suppressAutoHyphens/>
    </w:pPr>
    <w:rPr>
      <w:rFonts w:cs="Mangal"/>
      <w:lang w:eastAsia="ar-SA"/>
    </w:rPr>
  </w:style>
  <w:style w:type="paragraph" w:customStyle="1" w:styleId="Wcicienormalne1">
    <w:name w:val="Wcięcie normalne1"/>
    <w:basedOn w:val="Normalny"/>
    <w:rsid w:val="00271F30"/>
    <w:pPr>
      <w:suppressAutoHyphens/>
      <w:ind w:left="851"/>
    </w:pPr>
    <w:rPr>
      <w:rFonts w:ascii="PL Times New Roman" w:hAnsi="PL Times New Roman"/>
      <w:lang w:eastAsia="ar-SA"/>
    </w:rPr>
  </w:style>
  <w:style w:type="character" w:customStyle="1" w:styleId="TytuZnak">
    <w:name w:val="Tytuł Znak"/>
    <w:link w:val="Tytu"/>
    <w:rsid w:val="00271F30"/>
    <w:rPr>
      <w:rFonts w:ascii="Arial" w:hAnsi="Arial"/>
      <w:b/>
      <w:snapToGrid w:val="0"/>
      <w:spacing w:val="-3"/>
      <w:sz w:val="28"/>
      <w:u w:val="single"/>
    </w:rPr>
  </w:style>
  <w:style w:type="paragraph" w:styleId="Podtytu">
    <w:name w:val="Subtitle"/>
    <w:basedOn w:val="Nagwek"/>
    <w:next w:val="Tekstpodstawowy"/>
    <w:link w:val="PodtytuZnak"/>
    <w:qFormat/>
    <w:rsid w:val="00271F30"/>
    <w:pPr>
      <w:keepNext/>
      <w:tabs>
        <w:tab w:val="clear" w:pos="4252"/>
        <w:tab w:val="clear" w:pos="8504"/>
        <w:tab w:val="clear" w:pos="8789"/>
      </w:tabs>
      <w:suppressAutoHyphens/>
      <w:spacing w:before="240" w:after="120" w:line="240" w:lineRule="auto"/>
      <w:jc w:val="center"/>
    </w:pPr>
    <w:rPr>
      <w:rFonts w:ascii="Arial" w:eastAsia="Arial Unicode MS" w:hAnsi="Arial" w:cs="Mangal"/>
      <w:i/>
      <w:iCs/>
      <w:snapToGrid/>
      <w:sz w:val="28"/>
      <w:szCs w:val="28"/>
      <w:lang w:eastAsia="ar-SA"/>
    </w:rPr>
  </w:style>
  <w:style w:type="character" w:customStyle="1" w:styleId="PodtytuZnak">
    <w:name w:val="Podtytuł Znak"/>
    <w:link w:val="Podtytu"/>
    <w:rsid w:val="00271F30"/>
    <w:rPr>
      <w:rFonts w:ascii="Arial" w:eastAsia="Arial Unicode MS" w:hAnsi="Arial" w:cs="Mangal"/>
      <w:i/>
      <w:iCs/>
      <w:sz w:val="28"/>
      <w:szCs w:val="28"/>
      <w:lang w:eastAsia="ar-SA"/>
    </w:rPr>
  </w:style>
  <w:style w:type="paragraph" w:customStyle="1" w:styleId="Tekstpodstawowywcity311">
    <w:name w:val="Tekst podstawowy wcięty 311"/>
    <w:basedOn w:val="Normalny"/>
    <w:rsid w:val="00271F30"/>
    <w:pPr>
      <w:suppressAutoHyphens/>
      <w:spacing w:before="120" w:after="120"/>
      <w:ind w:left="2160" w:hanging="2160"/>
    </w:pPr>
    <w:rPr>
      <w:rFonts w:ascii="Arial" w:hAnsi="Arial"/>
      <w:b/>
      <w:sz w:val="26"/>
      <w:lang w:eastAsia="ar-SA"/>
    </w:rPr>
  </w:style>
  <w:style w:type="paragraph" w:customStyle="1" w:styleId="Tekstkomentarza1">
    <w:name w:val="Tekst komentarza1"/>
    <w:basedOn w:val="Normalny"/>
    <w:rsid w:val="00271F30"/>
    <w:pPr>
      <w:widowControl w:val="0"/>
      <w:suppressAutoHyphens/>
      <w:overflowPunct w:val="0"/>
      <w:autoSpaceDE w:val="0"/>
      <w:textAlignment w:val="baseline"/>
    </w:pPr>
    <w:rPr>
      <w:lang w:eastAsia="ar-SA"/>
    </w:rPr>
  </w:style>
  <w:style w:type="paragraph" w:customStyle="1" w:styleId="Tekstblokowy1">
    <w:name w:val="Tekst blokowy1"/>
    <w:basedOn w:val="Normalny"/>
    <w:rsid w:val="00271F30"/>
    <w:pPr>
      <w:widowControl w:val="0"/>
      <w:tabs>
        <w:tab w:val="left" w:pos="1418"/>
      </w:tabs>
      <w:suppressAutoHyphens/>
      <w:snapToGrid w:val="0"/>
      <w:spacing w:before="180" w:line="280" w:lineRule="atLeast"/>
      <w:ind w:left="567" w:right="-126"/>
      <w:jc w:val="both"/>
    </w:pPr>
    <w:rPr>
      <w:sz w:val="24"/>
      <w:lang w:eastAsia="ar-SA"/>
    </w:rPr>
  </w:style>
  <w:style w:type="paragraph" w:customStyle="1" w:styleId="Legenda1">
    <w:name w:val="Legenda1"/>
    <w:basedOn w:val="Normalny"/>
    <w:next w:val="Normalny"/>
    <w:rsid w:val="00271F30"/>
    <w:pPr>
      <w:tabs>
        <w:tab w:val="left" w:pos="284"/>
        <w:tab w:val="left" w:pos="426"/>
        <w:tab w:val="left" w:pos="851"/>
      </w:tabs>
      <w:suppressAutoHyphens/>
      <w:spacing w:before="120" w:after="120"/>
      <w:jc w:val="both"/>
    </w:pPr>
    <w:rPr>
      <w:i/>
      <w:color w:val="0000FF"/>
      <w:sz w:val="24"/>
      <w:szCs w:val="24"/>
      <w:lang w:eastAsia="ar-SA"/>
    </w:rPr>
  </w:style>
  <w:style w:type="paragraph" w:customStyle="1" w:styleId="Tekstpodstawowy22">
    <w:name w:val="Tekst podstawowy 22"/>
    <w:basedOn w:val="Normalny"/>
    <w:rsid w:val="00271F30"/>
    <w:pPr>
      <w:suppressAutoHyphens/>
      <w:overflowPunct w:val="0"/>
      <w:autoSpaceDE w:val="0"/>
      <w:ind w:firstLine="283"/>
      <w:jc w:val="both"/>
      <w:textAlignment w:val="baseline"/>
    </w:pPr>
    <w:rPr>
      <w:lang w:eastAsia="ar-SA"/>
    </w:rPr>
  </w:style>
  <w:style w:type="paragraph" w:customStyle="1" w:styleId="Tekstpodstawowywcity32">
    <w:name w:val="Tekst podstawowy wcięty 32"/>
    <w:basedOn w:val="Normalny"/>
    <w:rsid w:val="00271F30"/>
    <w:pPr>
      <w:tabs>
        <w:tab w:val="left" w:pos="964"/>
      </w:tabs>
      <w:suppressAutoHyphens/>
      <w:overflowPunct w:val="0"/>
      <w:autoSpaceDE w:val="0"/>
      <w:spacing w:after="120"/>
      <w:ind w:left="964" w:hanging="964"/>
      <w:jc w:val="both"/>
      <w:textAlignment w:val="baseline"/>
    </w:pPr>
    <w:rPr>
      <w:lang w:eastAsia="ar-SA"/>
    </w:rPr>
  </w:style>
  <w:style w:type="paragraph" w:customStyle="1" w:styleId="Tekstpodstawowywcity22">
    <w:name w:val="Tekst podstawowy wcięty 22"/>
    <w:basedOn w:val="Normalny"/>
    <w:rsid w:val="00271F30"/>
    <w:pPr>
      <w:suppressAutoHyphens/>
      <w:overflowPunct w:val="0"/>
      <w:autoSpaceDE w:val="0"/>
      <w:ind w:left="284" w:hanging="284"/>
      <w:jc w:val="both"/>
    </w:pPr>
    <w:rPr>
      <w:lang w:eastAsia="ar-SA"/>
    </w:rPr>
  </w:style>
  <w:style w:type="paragraph" w:customStyle="1" w:styleId="Listapunktowana1">
    <w:name w:val="Lista punktowana1"/>
    <w:basedOn w:val="Normalny"/>
    <w:rsid w:val="00271F30"/>
    <w:pPr>
      <w:suppressAutoHyphens/>
      <w:spacing w:line="360" w:lineRule="auto"/>
      <w:ind w:left="360" w:hanging="360"/>
    </w:pPr>
    <w:rPr>
      <w:sz w:val="24"/>
      <w:lang w:eastAsia="ar-SA"/>
    </w:rPr>
  </w:style>
  <w:style w:type="paragraph" w:customStyle="1" w:styleId="Zawartotabeli">
    <w:name w:val="Zawartość tabeli"/>
    <w:basedOn w:val="Normalny"/>
    <w:rsid w:val="00271F30"/>
    <w:pPr>
      <w:suppressLineNumbers/>
      <w:suppressAutoHyphens/>
    </w:pPr>
    <w:rPr>
      <w:lang w:eastAsia="ar-SA"/>
    </w:rPr>
  </w:style>
  <w:style w:type="paragraph" w:customStyle="1" w:styleId="Nagwektabeli">
    <w:name w:val="Nagłówek tabeli"/>
    <w:basedOn w:val="Zawartotabeli"/>
    <w:rsid w:val="00271F30"/>
    <w:pPr>
      <w:jc w:val="center"/>
    </w:pPr>
    <w:rPr>
      <w:b/>
      <w:bCs/>
    </w:rPr>
  </w:style>
  <w:style w:type="paragraph" w:customStyle="1" w:styleId="Zawartoramki">
    <w:name w:val="Zawartość ramki"/>
    <w:basedOn w:val="Tekstpodstawowy"/>
    <w:rsid w:val="00271F30"/>
    <w:pPr>
      <w:suppressAutoHyphens/>
    </w:pPr>
    <w:rPr>
      <w:snapToGrid/>
      <w:lang w:eastAsia="ar-SA"/>
    </w:rPr>
  </w:style>
  <w:style w:type="paragraph" w:customStyle="1" w:styleId="Tekst">
    <w:name w:val="Tekst"/>
    <w:basedOn w:val="Normalny"/>
    <w:link w:val="TekstZnak"/>
    <w:uiPriority w:val="99"/>
    <w:rsid w:val="00271F30"/>
    <w:pPr>
      <w:suppressAutoHyphens/>
      <w:spacing w:before="60"/>
      <w:jc w:val="both"/>
    </w:pPr>
    <w:rPr>
      <w:color w:val="000000"/>
      <w:lang w:eastAsia="ar-SA"/>
    </w:rPr>
  </w:style>
  <w:style w:type="paragraph" w:customStyle="1" w:styleId="Podpunkty">
    <w:name w:val="Podpunkty"/>
    <w:next w:val="Normalny"/>
    <w:rsid w:val="00271F30"/>
    <w:pPr>
      <w:keepNext/>
      <w:tabs>
        <w:tab w:val="left" w:pos="851"/>
        <w:tab w:val="left" w:pos="2835"/>
      </w:tabs>
      <w:suppressAutoHyphens/>
      <w:spacing w:before="120"/>
      <w:ind w:left="709" w:hanging="709"/>
    </w:pPr>
    <w:rPr>
      <w:rFonts w:eastAsia="Arial"/>
      <w:b/>
      <w:color w:val="000000"/>
      <w:lang w:eastAsia="ar-SA"/>
    </w:rPr>
  </w:style>
  <w:style w:type="paragraph" w:customStyle="1" w:styleId="rozdzia3">
    <w:name w:val="rozdzia3"/>
    <w:rsid w:val="00271F30"/>
    <w:pPr>
      <w:suppressAutoHyphens/>
      <w:jc w:val="both"/>
    </w:pPr>
    <w:rPr>
      <w:rFonts w:eastAsia="Arial"/>
      <w:b/>
      <w:color w:val="000000"/>
      <w:sz w:val="28"/>
      <w:lang w:val="cs-CZ" w:eastAsia="ar-SA"/>
    </w:rPr>
  </w:style>
  <w:style w:type="paragraph" w:customStyle="1" w:styleId="rozdzia31">
    <w:name w:val="rozdzia31"/>
    <w:rsid w:val="00271F30"/>
    <w:pPr>
      <w:suppressAutoHyphens/>
      <w:jc w:val="both"/>
    </w:pPr>
    <w:rPr>
      <w:rFonts w:eastAsia="Arial"/>
      <w:b/>
      <w:color w:val="000000"/>
      <w:sz w:val="24"/>
      <w:lang w:val="cs-CZ" w:eastAsia="ar-SA"/>
    </w:rPr>
  </w:style>
  <w:style w:type="character" w:customStyle="1" w:styleId="Tekstpodstawowy2Znak">
    <w:name w:val="Tekst podstawowy 2 Znak"/>
    <w:link w:val="Tekstpodstawowy2"/>
    <w:rsid w:val="00271F30"/>
    <w:rPr>
      <w:rFonts w:ascii="Arial" w:hAnsi="Arial"/>
    </w:rPr>
  </w:style>
  <w:style w:type="paragraph" w:customStyle="1" w:styleId="Specyfikacje">
    <w:name w:val="Specyfikacje"/>
    <w:basedOn w:val="Normalny"/>
    <w:rsid w:val="00271F30"/>
    <w:pPr>
      <w:ind w:firstLine="567"/>
      <w:jc w:val="both"/>
    </w:pPr>
    <w:rPr>
      <w:rFonts w:ascii="Calibri" w:hAnsi="Calibri"/>
      <w:sz w:val="24"/>
    </w:rPr>
  </w:style>
  <w:style w:type="character" w:customStyle="1" w:styleId="cctext1">
    <w:name w:val="cctext1"/>
    <w:rsid w:val="00271F30"/>
    <w:rPr>
      <w:rFonts w:ascii="Arial" w:hAnsi="Arial" w:cs="Arial" w:hint="default"/>
      <w:b w:val="0"/>
      <w:bCs w:val="0"/>
      <w:color w:val="333333"/>
      <w:sz w:val="18"/>
      <w:szCs w:val="18"/>
    </w:rPr>
  </w:style>
  <w:style w:type="character" w:customStyle="1" w:styleId="biggertext1">
    <w:name w:val="biggertext1"/>
    <w:rsid w:val="00271F30"/>
    <w:rPr>
      <w:sz w:val="13"/>
      <w:szCs w:val="13"/>
    </w:rPr>
  </w:style>
  <w:style w:type="paragraph" w:customStyle="1" w:styleId="Normalny2">
    <w:name w:val="Normalny2"/>
    <w:rsid w:val="00271F30"/>
    <w:pPr>
      <w:jc w:val="both"/>
    </w:pPr>
    <w:rPr>
      <w:rFonts w:ascii="Arial" w:hAnsi="Arial"/>
      <w:iCs/>
      <w:sz w:val="22"/>
      <w:szCs w:val="24"/>
    </w:rPr>
  </w:style>
  <w:style w:type="paragraph" w:styleId="Mapadokumentu">
    <w:name w:val="Document Map"/>
    <w:basedOn w:val="Normalny"/>
    <w:link w:val="MapadokumentuZnak1"/>
    <w:rsid w:val="00271F30"/>
    <w:pPr>
      <w:ind w:firstLine="567"/>
      <w:jc w:val="both"/>
    </w:pPr>
    <w:rPr>
      <w:rFonts w:ascii="Tahoma" w:hAnsi="Tahoma" w:cs="Tahoma"/>
      <w:sz w:val="16"/>
      <w:szCs w:val="16"/>
    </w:rPr>
  </w:style>
  <w:style w:type="character" w:customStyle="1" w:styleId="MapadokumentuZnak">
    <w:name w:val="Mapa dokumentu Znak"/>
    <w:rsid w:val="00271F30"/>
    <w:rPr>
      <w:rFonts w:ascii="Segoe UI" w:hAnsi="Segoe UI" w:cs="Segoe UI"/>
      <w:sz w:val="16"/>
      <w:szCs w:val="16"/>
    </w:rPr>
  </w:style>
  <w:style w:type="character" w:customStyle="1" w:styleId="MapadokumentuZnak1">
    <w:name w:val="Mapa dokumentu Znak1"/>
    <w:link w:val="Mapadokumentu"/>
    <w:rsid w:val="00271F30"/>
    <w:rPr>
      <w:rFonts w:ascii="Tahoma" w:hAnsi="Tahoma" w:cs="Tahoma"/>
      <w:sz w:val="16"/>
      <w:szCs w:val="16"/>
    </w:rPr>
  </w:style>
  <w:style w:type="paragraph" w:customStyle="1" w:styleId="11">
    <w:name w:val="1.1."/>
    <w:basedOn w:val="Normalny"/>
    <w:next w:val="Normalny1"/>
    <w:rsid w:val="00271F30"/>
    <w:pPr>
      <w:keepNext/>
      <w:widowControl w:val="0"/>
      <w:spacing w:before="240" w:after="120" w:line="300" w:lineRule="atLeast"/>
    </w:pPr>
    <w:rPr>
      <w:sz w:val="24"/>
    </w:rPr>
  </w:style>
  <w:style w:type="character" w:customStyle="1" w:styleId="Tekstpodstawowywcity2Znak">
    <w:name w:val="Tekst podstawowy wcięty 2 Znak"/>
    <w:link w:val="Tekstpodstawowywcity2"/>
    <w:rsid w:val="00271F30"/>
    <w:rPr>
      <w:rFonts w:ascii="Arial" w:hAnsi="Arial" w:cs="Arial"/>
    </w:rPr>
  </w:style>
  <w:style w:type="character" w:customStyle="1" w:styleId="ZwykytekstZnak">
    <w:name w:val="Zwykły tekst Znak"/>
    <w:link w:val="Zwykytekst"/>
    <w:rsid w:val="00271F30"/>
    <w:rPr>
      <w:rFonts w:ascii="Courier New" w:hAnsi="Courier New"/>
    </w:rPr>
  </w:style>
  <w:style w:type="paragraph" w:styleId="Nagwekspisutreci">
    <w:name w:val="TOC Heading"/>
    <w:basedOn w:val="Nagwek1"/>
    <w:next w:val="Normalny"/>
    <w:uiPriority w:val="39"/>
    <w:unhideWhenUsed/>
    <w:qFormat/>
    <w:rsid w:val="00271F30"/>
    <w:pPr>
      <w:keepNext/>
      <w:keepLines/>
      <w:spacing w:before="480" w:line="276" w:lineRule="auto"/>
      <w:outlineLvl w:val="9"/>
    </w:pPr>
    <w:rPr>
      <w:rFonts w:ascii="Cambria" w:hAnsi="Cambria"/>
      <w:bCs/>
      <w:snapToGrid/>
      <w:color w:val="365F91"/>
      <w:sz w:val="28"/>
      <w:szCs w:val="28"/>
      <w:lang w:eastAsia="en-US"/>
    </w:rPr>
  </w:style>
  <w:style w:type="paragraph" w:styleId="Nagwekwykazurde">
    <w:name w:val="toa heading"/>
    <w:basedOn w:val="Normalny"/>
    <w:next w:val="Normalny"/>
    <w:semiHidden/>
    <w:rsid w:val="00271F30"/>
    <w:pPr>
      <w:spacing w:before="120"/>
      <w:jc w:val="both"/>
    </w:pPr>
    <w:rPr>
      <w:rFonts w:ascii="Arial" w:hAnsi="Arial" w:cs="Arial"/>
      <w:b/>
      <w:bCs/>
      <w:snapToGrid w:val="0"/>
      <w:sz w:val="24"/>
      <w:szCs w:val="24"/>
    </w:rPr>
  </w:style>
  <w:style w:type="paragraph" w:customStyle="1" w:styleId="PABNagwek1">
    <w:name w:val="PAB Nagłówek 1"/>
    <w:basedOn w:val="Nagwek1"/>
    <w:uiPriority w:val="99"/>
    <w:rsid w:val="00271F30"/>
    <w:pPr>
      <w:keepNext/>
      <w:numPr>
        <w:numId w:val="29"/>
      </w:numPr>
      <w:suppressAutoHyphens/>
      <w:spacing w:before="360" w:line="360" w:lineRule="auto"/>
    </w:pPr>
    <w:rPr>
      <w:rFonts w:ascii="Arial" w:hAnsi="Arial"/>
      <w:caps/>
      <w:snapToGrid/>
      <w:kern w:val="28"/>
      <w:sz w:val="24"/>
    </w:rPr>
  </w:style>
  <w:style w:type="paragraph" w:customStyle="1" w:styleId="PABNagwek2">
    <w:name w:val="PAB Nagłówek 2"/>
    <w:basedOn w:val="Nagwek2"/>
    <w:uiPriority w:val="99"/>
    <w:rsid w:val="00271F30"/>
    <w:pPr>
      <w:keepNext/>
      <w:numPr>
        <w:ilvl w:val="1"/>
        <w:numId w:val="29"/>
      </w:numPr>
      <w:tabs>
        <w:tab w:val="left" w:pos="900"/>
      </w:tabs>
      <w:spacing w:before="180" w:after="0" w:line="360" w:lineRule="auto"/>
      <w:jc w:val="both"/>
    </w:pPr>
    <w:rPr>
      <w:rFonts w:ascii="Arial" w:hAnsi="Arial"/>
      <w:b/>
      <w:snapToGrid/>
    </w:rPr>
  </w:style>
  <w:style w:type="paragraph" w:customStyle="1" w:styleId="PABNagwek3">
    <w:name w:val="PAB Nagłówek 3"/>
    <w:basedOn w:val="Nagwek3"/>
    <w:uiPriority w:val="99"/>
    <w:rsid w:val="00271F30"/>
    <w:pPr>
      <w:keepNext/>
      <w:widowControl w:val="0"/>
      <w:numPr>
        <w:ilvl w:val="2"/>
        <w:numId w:val="29"/>
      </w:numPr>
      <w:spacing w:before="180" w:after="0" w:line="360" w:lineRule="auto"/>
      <w:jc w:val="both"/>
    </w:pPr>
    <w:rPr>
      <w:rFonts w:ascii="Arial" w:hAnsi="Arial"/>
      <w:b/>
      <w:snapToGrid/>
    </w:rPr>
  </w:style>
  <w:style w:type="character" w:customStyle="1" w:styleId="TekstZnak">
    <w:name w:val="Tekst Znak"/>
    <w:link w:val="Tekst"/>
    <w:uiPriority w:val="99"/>
    <w:locked/>
    <w:rsid w:val="00271F30"/>
    <w:rPr>
      <w:color w:val="000000"/>
      <w:lang w:eastAsia="ar-SA"/>
    </w:rPr>
  </w:style>
  <w:style w:type="character" w:customStyle="1" w:styleId="DefaultZnak">
    <w:name w:val="Default Znak"/>
    <w:link w:val="Default"/>
    <w:locked/>
    <w:rsid w:val="00271F30"/>
    <w:rPr>
      <w:color w:val="000000"/>
      <w:sz w:val="24"/>
      <w:szCs w:val="24"/>
    </w:rPr>
  </w:style>
  <w:style w:type="paragraph" w:customStyle="1" w:styleId="tytu0">
    <w:name w:val="tytuł"/>
    <w:autoRedefine/>
    <w:rsid w:val="00271F30"/>
    <w:pPr>
      <w:overflowPunct w:val="0"/>
      <w:autoSpaceDE w:val="0"/>
      <w:autoSpaceDN w:val="0"/>
      <w:adjustRightInd w:val="0"/>
      <w:ind w:left="1418" w:hanging="1418"/>
    </w:pPr>
    <w:rPr>
      <w:rFonts w:ascii="Arial" w:hAnsi="Arial"/>
      <w:caps/>
      <w:kern w:val="28"/>
      <w:sz w:val="24"/>
      <w:szCs w:val="24"/>
    </w:rPr>
  </w:style>
  <w:style w:type="paragraph" w:styleId="Tekstprzypisukocowego">
    <w:name w:val="endnote text"/>
    <w:basedOn w:val="Normalny"/>
    <w:link w:val="TekstprzypisukocowegoZnak"/>
    <w:uiPriority w:val="99"/>
    <w:semiHidden/>
    <w:unhideWhenUsed/>
    <w:rsid w:val="00271F30"/>
  </w:style>
  <w:style w:type="character" w:customStyle="1" w:styleId="TekstprzypisukocowegoZnak1">
    <w:name w:val="Tekst przypisu końcowego Znak1"/>
    <w:basedOn w:val="Domylnaczcionkaakapitu"/>
    <w:uiPriority w:val="99"/>
    <w:semiHidden/>
    <w:rsid w:val="00271F30"/>
  </w:style>
  <w:style w:type="character" w:styleId="Odwoanieprzypisukocowego">
    <w:name w:val="endnote reference"/>
    <w:uiPriority w:val="99"/>
    <w:semiHidden/>
    <w:unhideWhenUsed/>
    <w:rsid w:val="00271F30"/>
    <w:rPr>
      <w:vertAlign w:val="superscript"/>
    </w:rPr>
  </w:style>
  <w:style w:type="paragraph" w:customStyle="1" w:styleId="StandardowyStandard">
    <w:name w:val="Standardowy.Standard"/>
    <w:rsid w:val="00271F30"/>
    <w:pPr>
      <w:widowControl w:val="0"/>
      <w:spacing w:before="60"/>
      <w:jc w:val="both"/>
    </w:pPr>
    <w:rPr>
      <w:lang w:val="en-GB"/>
    </w:rPr>
  </w:style>
  <w:style w:type="character" w:customStyle="1" w:styleId="st">
    <w:name w:val="st"/>
    <w:rsid w:val="00271F30"/>
  </w:style>
  <w:style w:type="character" w:customStyle="1" w:styleId="HTML-wstpniesformatowanyZnak">
    <w:name w:val="HTML - wstępnie sformatowany Znak"/>
    <w:basedOn w:val="Domylnaczcionkaakapitu"/>
    <w:link w:val="HTML-wstpniesformatowany"/>
    <w:rsid w:val="00F1713E"/>
    <w:rPr>
      <w:rFonts w:ascii="Courier New" w:hAnsi="Courier New" w:cs="Courier New"/>
    </w:rPr>
  </w:style>
  <w:style w:type="character" w:customStyle="1" w:styleId="TekstpodstawowyZnak1">
    <w:name w:val="Tekst podstawowy Znak1"/>
    <w:link w:val="Tekstpodstawowy"/>
    <w:locked/>
    <w:rsid w:val="00F1713E"/>
    <w:rPr>
      <w:rFonts w:ascii="Arial" w:hAnsi="Arial"/>
      <w:snapToGrid w:val="0"/>
    </w:rPr>
  </w:style>
  <w:style w:type="character" w:customStyle="1" w:styleId="WW8Num3z0">
    <w:name w:val="WW8Num3z0"/>
    <w:rsid w:val="00F1713E"/>
    <w:rPr>
      <w:rFonts w:ascii="Symbol" w:hAnsi="Symbol" w:cs="OpenSymbol"/>
    </w:rPr>
  </w:style>
  <w:style w:type="paragraph" w:customStyle="1" w:styleId="tabpro">
    <w:name w:val="tabpro"/>
    <w:basedOn w:val="Normalny"/>
    <w:rsid w:val="00F1713E"/>
    <w:pPr>
      <w:spacing w:before="60" w:after="60"/>
      <w:jc w:val="both"/>
    </w:pPr>
    <w:rPr>
      <w:rFonts w:ascii="Casablanca" w:hAnsi="Casablanca"/>
      <w:sz w:val="24"/>
      <w:lang w:val="fr-FR"/>
    </w:rPr>
  </w:style>
  <w:style w:type="paragraph" w:customStyle="1" w:styleId="Tekstpodstawowy23">
    <w:name w:val="Tekst podstawowy 23"/>
    <w:basedOn w:val="Normalny"/>
    <w:semiHidden/>
    <w:rsid w:val="00554D7B"/>
    <w:pPr>
      <w:overflowPunct w:val="0"/>
      <w:autoSpaceDE w:val="0"/>
      <w:autoSpaceDN w:val="0"/>
      <w:adjustRightInd w:val="0"/>
      <w:ind w:firstLine="283"/>
      <w:jc w:val="both"/>
      <w:textAlignment w:val="baseline"/>
    </w:pPr>
  </w:style>
  <w:style w:type="paragraph" w:customStyle="1" w:styleId="Tekstpodstawowywcity33">
    <w:name w:val="Tekst podstawowy wcięty 33"/>
    <w:basedOn w:val="Normalny"/>
    <w:semiHidden/>
    <w:rsid w:val="00554D7B"/>
    <w:pPr>
      <w:tabs>
        <w:tab w:val="left" w:pos="964"/>
      </w:tabs>
      <w:overflowPunct w:val="0"/>
      <w:autoSpaceDE w:val="0"/>
      <w:autoSpaceDN w:val="0"/>
      <w:adjustRightInd w:val="0"/>
      <w:spacing w:after="120"/>
      <w:ind w:left="964" w:hanging="964"/>
      <w:jc w:val="both"/>
      <w:textAlignment w:val="baseline"/>
    </w:pPr>
  </w:style>
  <w:style w:type="paragraph" w:customStyle="1" w:styleId="Tekstpodstawowywcity23">
    <w:name w:val="Tekst podstawowy wcięty 23"/>
    <w:basedOn w:val="Normalny"/>
    <w:semiHidden/>
    <w:rsid w:val="00554D7B"/>
    <w:pPr>
      <w:overflowPunct w:val="0"/>
      <w:autoSpaceDE w:val="0"/>
      <w:autoSpaceDN w:val="0"/>
      <w:adjustRightInd w:val="0"/>
      <w:ind w:left="284" w:hanging="284"/>
      <w:jc w:val="both"/>
    </w:pPr>
  </w:style>
  <w:style w:type="character" w:customStyle="1" w:styleId="ZnakZnak51">
    <w:name w:val="Znak Znak51"/>
    <w:rsid w:val="00554D7B"/>
    <w:rPr>
      <w:rFonts w:ascii="PL Times New Roman" w:hAnsi="PL Times New Roman"/>
      <w:b/>
      <w:snapToGrid w:val="0"/>
      <w:sz w:val="26"/>
      <w:lang w:val="pl-PL" w:eastAsia="pl-PL" w:bidi="ar-SA"/>
    </w:rPr>
  </w:style>
  <w:style w:type="character" w:customStyle="1" w:styleId="StandardowytekstZnak">
    <w:name w:val="Standardowy.tekst Znak"/>
    <w:link w:val="Standardowytekst"/>
    <w:rsid w:val="00E1328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96927">
      <w:bodyDiv w:val="1"/>
      <w:marLeft w:val="0"/>
      <w:marRight w:val="0"/>
      <w:marTop w:val="0"/>
      <w:marBottom w:val="0"/>
      <w:divBdr>
        <w:top w:val="none" w:sz="0" w:space="0" w:color="auto"/>
        <w:left w:val="none" w:sz="0" w:space="0" w:color="auto"/>
        <w:bottom w:val="none" w:sz="0" w:space="0" w:color="auto"/>
        <w:right w:val="none" w:sz="0" w:space="0" w:color="auto"/>
      </w:divBdr>
    </w:div>
    <w:div w:id="42337923">
      <w:bodyDiv w:val="1"/>
      <w:marLeft w:val="0"/>
      <w:marRight w:val="0"/>
      <w:marTop w:val="0"/>
      <w:marBottom w:val="0"/>
      <w:divBdr>
        <w:top w:val="none" w:sz="0" w:space="0" w:color="auto"/>
        <w:left w:val="none" w:sz="0" w:space="0" w:color="auto"/>
        <w:bottom w:val="none" w:sz="0" w:space="0" w:color="auto"/>
        <w:right w:val="none" w:sz="0" w:space="0" w:color="auto"/>
      </w:divBdr>
    </w:div>
    <w:div w:id="55666826">
      <w:bodyDiv w:val="1"/>
      <w:marLeft w:val="0"/>
      <w:marRight w:val="0"/>
      <w:marTop w:val="0"/>
      <w:marBottom w:val="0"/>
      <w:divBdr>
        <w:top w:val="none" w:sz="0" w:space="0" w:color="auto"/>
        <w:left w:val="none" w:sz="0" w:space="0" w:color="auto"/>
        <w:bottom w:val="none" w:sz="0" w:space="0" w:color="auto"/>
        <w:right w:val="none" w:sz="0" w:space="0" w:color="auto"/>
      </w:divBdr>
    </w:div>
    <w:div w:id="106705661">
      <w:bodyDiv w:val="1"/>
      <w:marLeft w:val="0"/>
      <w:marRight w:val="0"/>
      <w:marTop w:val="0"/>
      <w:marBottom w:val="0"/>
      <w:divBdr>
        <w:top w:val="none" w:sz="0" w:space="0" w:color="auto"/>
        <w:left w:val="none" w:sz="0" w:space="0" w:color="auto"/>
        <w:bottom w:val="none" w:sz="0" w:space="0" w:color="auto"/>
        <w:right w:val="none" w:sz="0" w:space="0" w:color="auto"/>
      </w:divBdr>
    </w:div>
    <w:div w:id="125467492">
      <w:bodyDiv w:val="1"/>
      <w:marLeft w:val="0"/>
      <w:marRight w:val="0"/>
      <w:marTop w:val="0"/>
      <w:marBottom w:val="0"/>
      <w:divBdr>
        <w:top w:val="none" w:sz="0" w:space="0" w:color="auto"/>
        <w:left w:val="none" w:sz="0" w:space="0" w:color="auto"/>
        <w:bottom w:val="none" w:sz="0" w:space="0" w:color="auto"/>
        <w:right w:val="none" w:sz="0" w:space="0" w:color="auto"/>
      </w:divBdr>
    </w:div>
    <w:div w:id="133958069">
      <w:bodyDiv w:val="1"/>
      <w:marLeft w:val="0"/>
      <w:marRight w:val="0"/>
      <w:marTop w:val="0"/>
      <w:marBottom w:val="0"/>
      <w:divBdr>
        <w:top w:val="none" w:sz="0" w:space="0" w:color="auto"/>
        <w:left w:val="none" w:sz="0" w:space="0" w:color="auto"/>
        <w:bottom w:val="none" w:sz="0" w:space="0" w:color="auto"/>
        <w:right w:val="none" w:sz="0" w:space="0" w:color="auto"/>
      </w:divBdr>
    </w:div>
    <w:div w:id="134108745">
      <w:bodyDiv w:val="1"/>
      <w:marLeft w:val="0"/>
      <w:marRight w:val="0"/>
      <w:marTop w:val="0"/>
      <w:marBottom w:val="0"/>
      <w:divBdr>
        <w:top w:val="none" w:sz="0" w:space="0" w:color="auto"/>
        <w:left w:val="none" w:sz="0" w:space="0" w:color="auto"/>
        <w:bottom w:val="none" w:sz="0" w:space="0" w:color="auto"/>
        <w:right w:val="none" w:sz="0" w:space="0" w:color="auto"/>
      </w:divBdr>
    </w:div>
    <w:div w:id="162857868">
      <w:bodyDiv w:val="1"/>
      <w:marLeft w:val="0"/>
      <w:marRight w:val="0"/>
      <w:marTop w:val="0"/>
      <w:marBottom w:val="0"/>
      <w:divBdr>
        <w:top w:val="none" w:sz="0" w:space="0" w:color="auto"/>
        <w:left w:val="none" w:sz="0" w:space="0" w:color="auto"/>
        <w:bottom w:val="none" w:sz="0" w:space="0" w:color="auto"/>
        <w:right w:val="none" w:sz="0" w:space="0" w:color="auto"/>
      </w:divBdr>
    </w:div>
    <w:div w:id="172691836">
      <w:bodyDiv w:val="1"/>
      <w:marLeft w:val="0"/>
      <w:marRight w:val="0"/>
      <w:marTop w:val="0"/>
      <w:marBottom w:val="0"/>
      <w:divBdr>
        <w:top w:val="none" w:sz="0" w:space="0" w:color="auto"/>
        <w:left w:val="none" w:sz="0" w:space="0" w:color="auto"/>
        <w:bottom w:val="none" w:sz="0" w:space="0" w:color="auto"/>
        <w:right w:val="none" w:sz="0" w:space="0" w:color="auto"/>
      </w:divBdr>
    </w:div>
    <w:div w:id="342360248">
      <w:bodyDiv w:val="1"/>
      <w:marLeft w:val="0"/>
      <w:marRight w:val="0"/>
      <w:marTop w:val="0"/>
      <w:marBottom w:val="0"/>
      <w:divBdr>
        <w:top w:val="none" w:sz="0" w:space="0" w:color="auto"/>
        <w:left w:val="none" w:sz="0" w:space="0" w:color="auto"/>
        <w:bottom w:val="none" w:sz="0" w:space="0" w:color="auto"/>
        <w:right w:val="none" w:sz="0" w:space="0" w:color="auto"/>
      </w:divBdr>
    </w:div>
    <w:div w:id="380986444">
      <w:bodyDiv w:val="1"/>
      <w:marLeft w:val="0"/>
      <w:marRight w:val="0"/>
      <w:marTop w:val="0"/>
      <w:marBottom w:val="0"/>
      <w:divBdr>
        <w:top w:val="none" w:sz="0" w:space="0" w:color="auto"/>
        <w:left w:val="none" w:sz="0" w:space="0" w:color="auto"/>
        <w:bottom w:val="none" w:sz="0" w:space="0" w:color="auto"/>
        <w:right w:val="none" w:sz="0" w:space="0" w:color="auto"/>
      </w:divBdr>
    </w:div>
    <w:div w:id="395668527">
      <w:bodyDiv w:val="1"/>
      <w:marLeft w:val="0"/>
      <w:marRight w:val="0"/>
      <w:marTop w:val="0"/>
      <w:marBottom w:val="0"/>
      <w:divBdr>
        <w:top w:val="none" w:sz="0" w:space="0" w:color="auto"/>
        <w:left w:val="none" w:sz="0" w:space="0" w:color="auto"/>
        <w:bottom w:val="none" w:sz="0" w:space="0" w:color="auto"/>
        <w:right w:val="none" w:sz="0" w:space="0" w:color="auto"/>
      </w:divBdr>
    </w:div>
    <w:div w:id="404842729">
      <w:bodyDiv w:val="1"/>
      <w:marLeft w:val="0"/>
      <w:marRight w:val="0"/>
      <w:marTop w:val="0"/>
      <w:marBottom w:val="0"/>
      <w:divBdr>
        <w:top w:val="none" w:sz="0" w:space="0" w:color="auto"/>
        <w:left w:val="none" w:sz="0" w:space="0" w:color="auto"/>
        <w:bottom w:val="none" w:sz="0" w:space="0" w:color="auto"/>
        <w:right w:val="none" w:sz="0" w:space="0" w:color="auto"/>
      </w:divBdr>
    </w:div>
    <w:div w:id="461922448">
      <w:bodyDiv w:val="1"/>
      <w:marLeft w:val="0"/>
      <w:marRight w:val="0"/>
      <w:marTop w:val="0"/>
      <w:marBottom w:val="0"/>
      <w:divBdr>
        <w:top w:val="none" w:sz="0" w:space="0" w:color="auto"/>
        <w:left w:val="none" w:sz="0" w:space="0" w:color="auto"/>
        <w:bottom w:val="none" w:sz="0" w:space="0" w:color="auto"/>
        <w:right w:val="none" w:sz="0" w:space="0" w:color="auto"/>
      </w:divBdr>
    </w:div>
    <w:div w:id="494734216">
      <w:bodyDiv w:val="1"/>
      <w:marLeft w:val="0"/>
      <w:marRight w:val="0"/>
      <w:marTop w:val="0"/>
      <w:marBottom w:val="0"/>
      <w:divBdr>
        <w:top w:val="none" w:sz="0" w:space="0" w:color="auto"/>
        <w:left w:val="none" w:sz="0" w:space="0" w:color="auto"/>
        <w:bottom w:val="none" w:sz="0" w:space="0" w:color="auto"/>
        <w:right w:val="none" w:sz="0" w:space="0" w:color="auto"/>
      </w:divBdr>
    </w:div>
    <w:div w:id="538474628">
      <w:bodyDiv w:val="1"/>
      <w:marLeft w:val="0"/>
      <w:marRight w:val="0"/>
      <w:marTop w:val="0"/>
      <w:marBottom w:val="0"/>
      <w:divBdr>
        <w:top w:val="none" w:sz="0" w:space="0" w:color="auto"/>
        <w:left w:val="none" w:sz="0" w:space="0" w:color="auto"/>
        <w:bottom w:val="none" w:sz="0" w:space="0" w:color="auto"/>
        <w:right w:val="none" w:sz="0" w:space="0" w:color="auto"/>
      </w:divBdr>
    </w:div>
    <w:div w:id="553930552">
      <w:bodyDiv w:val="1"/>
      <w:marLeft w:val="0"/>
      <w:marRight w:val="0"/>
      <w:marTop w:val="0"/>
      <w:marBottom w:val="0"/>
      <w:divBdr>
        <w:top w:val="none" w:sz="0" w:space="0" w:color="auto"/>
        <w:left w:val="none" w:sz="0" w:space="0" w:color="auto"/>
        <w:bottom w:val="none" w:sz="0" w:space="0" w:color="auto"/>
        <w:right w:val="none" w:sz="0" w:space="0" w:color="auto"/>
      </w:divBdr>
    </w:div>
    <w:div w:id="564411874">
      <w:bodyDiv w:val="1"/>
      <w:marLeft w:val="0"/>
      <w:marRight w:val="0"/>
      <w:marTop w:val="0"/>
      <w:marBottom w:val="0"/>
      <w:divBdr>
        <w:top w:val="none" w:sz="0" w:space="0" w:color="auto"/>
        <w:left w:val="none" w:sz="0" w:space="0" w:color="auto"/>
        <w:bottom w:val="none" w:sz="0" w:space="0" w:color="auto"/>
        <w:right w:val="none" w:sz="0" w:space="0" w:color="auto"/>
      </w:divBdr>
    </w:div>
    <w:div w:id="597643103">
      <w:bodyDiv w:val="1"/>
      <w:marLeft w:val="0"/>
      <w:marRight w:val="0"/>
      <w:marTop w:val="0"/>
      <w:marBottom w:val="0"/>
      <w:divBdr>
        <w:top w:val="none" w:sz="0" w:space="0" w:color="auto"/>
        <w:left w:val="none" w:sz="0" w:space="0" w:color="auto"/>
        <w:bottom w:val="none" w:sz="0" w:space="0" w:color="auto"/>
        <w:right w:val="none" w:sz="0" w:space="0" w:color="auto"/>
      </w:divBdr>
    </w:div>
    <w:div w:id="598952153">
      <w:bodyDiv w:val="1"/>
      <w:marLeft w:val="0"/>
      <w:marRight w:val="0"/>
      <w:marTop w:val="0"/>
      <w:marBottom w:val="0"/>
      <w:divBdr>
        <w:top w:val="none" w:sz="0" w:space="0" w:color="auto"/>
        <w:left w:val="none" w:sz="0" w:space="0" w:color="auto"/>
        <w:bottom w:val="none" w:sz="0" w:space="0" w:color="auto"/>
        <w:right w:val="none" w:sz="0" w:space="0" w:color="auto"/>
      </w:divBdr>
    </w:div>
    <w:div w:id="649410207">
      <w:bodyDiv w:val="1"/>
      <w:marLeft w:val="0"/>
      <w:marRight w:val="0"/>
      <w:marTop w:val="0"/>
      <w:marBottom w:val="0"/>
      <w:divBdr>
        <w:top w:val="none" w:sz="0" w:space="0" w:color="auto"/>
        <w:left w:val="none" w:sz="0" w:space="0" w:color="auto"/>
        <w:bottom w:val="none" w:sz="0" w:space="0" w:color="auto"/>
        <w:right w:val="none" w:sz="0" w:space="0" w:color="auto"/>
      </w:divBdr>
    </w:div>
    <w:div w:id="698315519">
      <w:bodyDiv w:val="1"/>
      <w:marLeft w:val="0"/>
      <w:marRight w:val="0"/>
      <w:marTop w:val="0"/>
      <w:marBottom w:val="0"/>
      <w:divBdr>
        <w:top w:val="none" w:sz="0" w:space="0" w:color="auto"/>
        <w:left w:val="none" w:sz="0" w:space="0" w:color="auto"/>
        <w:bottom w:val="none" w:sz="0" w:space="0" w:color="auto"/>
        <w:right w:val="none" w:sz="0" w:space="0" w:color="auto"/>
      </w:divBdr>
    </w:div>
    <w:div w:id="699471671">
      <w:bodyDiv w:val="1"/>
      <w:marLeft w:val="0"/>
      <w:marRight w:val="0"/>
      <w:marTop w:val="0"/>
      <w:marBottom w:val="0"/>
      <w:divBdr>
        <w:top w:val="none" w:sz="0" w:space="0" w:color="auto"/>
        <w:left w:val="none" w:sz="0" w:space="0" w:color="auto"/>
        <w:bottom w:val="none" w:sz="0" w:space="0" w:color="auto"/>
        <w:right w:val="none" w:sz="0" w:space="0" w:color="auto"/>
      </w:divBdr>
    </w:div>
    <w:div w:id="719399768">
      <w:bodyDiv w:val="1"/>
      <w:marLeft w:val="0"/>
      <w:marRight w:val="0"/>
      <w:marTop w:val="0"/>
      <w:marBottom w:val="0"/>
      <w:divBdr>
        <w:top w:val="none" w:sz="0" w:space="0" w:color="auto"/>
        <w:left w:val="none" w:sz="0" w:space="0" w:color="auto"/>
        <w:bottom w:val="none" w:sz="0" w:space="0" w:color="auto"/>
        <w:right w:val="none" w:sz="0" w:space="0" w:color="auto"/>
      </w:divBdr>
    </w:div>
    <w:div w:id="724984227">
      <w:bodyDiv w:val="1"/>
      <w:marLeft w:val="0"/>
      <w:marRight w:val="0"/>
      <w:marTop w:val="0"/>
      <w:marBottom w:val="0"/>
      <w:divBdr>
        <w:top w:val="none" w:sz="0" w:space="0" w:color="auto"/>
        <w:left w:val="none" w:sz="0" w:space="0" w:color="auto"/>
        <w:bottom w:val="none" w:sz="0" w:space="0" w:color="auto"/>
        <w:right w:val="none" w:sz="0" w:space="0" w:color="auto"/>
      </w:divBdr>
    </w:div>
    <w:div w:id="773210266">
      <w:bodyDiv w:val="1"/>
      <w:marLeft w:val="0"/>
      <w:marRight w:val="0"/>
      <w:marTop w:val="0"/>
      <w:marBottom w:val="0"/>
      <w:divBdr>
        <w:top w:val="none" w:sz="0" w:space="0" w:color="auto"/>
        <w:left w:val="none" w:sz="0" w:space="0" w:color="auto"/>
        <w:bottom w:val="none" w:sz="0" w:space="0" w:color="auto"/>
        <w:right w:val="none" w:sz="0" w:space="0" w:color="auto"/>
      </w:divBdr>
      <w:divsChild>
        <w:div w:id="1600869196">
          <w:marLeft w:val="0"/>
          <w:marRight w:val="0"/>
          <w:marTop w:val="0"/>
          <w:marBottom w:val="0"/>
          <w:divBdr>
            <w:top w:val="none" w:sz="0" w:space="0" w:color="auto"/>
            <w:left w:val="none" w:sz="0" w:space="0" w:color="auto"/>
            <w:bottom w:val="none" w:sz="0" w:space="0" w:color="auto"/>
            <w:right w:val="none" w:sz="0" w:space="0" w:color="auto"/>
          </w:divBdr>
        </w:div>
      </w:divsChild>
    </w:div>
    <w:div w:id="779226933">
      <w:bodyDiv w:val="1"/>
      <w:marLeft w:val="0"/>
      <w:marRight w:val="0"/>
      <w:marTop w:val="0"/>
      <w:marBottom w:val="0"/>
      <w:divBdr>
        <w:top w:val="none" w:sz="0" w:space="0" w:color="auto"/>
        <w:left w:val="none" w:sz="0" w:space="0" w:color="auto"/>
        <w:bottom w:val="none" w:sz="0" w:space="0" w:color="auto"/>
        <w:right w:val="none" w:sz="0" w:space="0" w:color="auto"/>
      </w:divBdr>
      <w:divsChild>
        <w:div w:id="75907271">
          <w:marLeft w:val="0"/>
          <w:marRight w:val="0"/>
          <w:marTop w:val="0"/>
          <w:marBottom w:val="0"/>
          <w:divBdr>
            <w:top w:val="none" w:sz="0" w:space="0" w:color="auto"/>
            <w:left w:val="none" w:sz="0" w:space="0" w:color="auto"/>
            <w:bottom w:val="none" w:sz="0" w:space="0" w:color="auto"/>
            <w:right w:val="none" w:sz="0" w:space="0" w:color="auto"/>
          </w:divBdr>
        </w:div>
      </w:divsChild>
    </w:div>
    <w:div w:id="780614727">
      <w:bodyDiv w:val="1"/>
      <w:marLeft w:val="0"/>
      <w:marRight w:val="0"/>
      <w:marTop w:val="0"/>
      <w:marBottom w:val="0"/>
      <w:divBdr>
        <w:top w:val="none" w:sz="0" w:space="0" w:color="auto"/>
        <w:left w:val="none" w:sz="0" w:space="0" w:color="auto"/>
        <w:bottom w:val="none" w:sz="0" w:space="0" w:color="auto"/>
        <w:right w:val="none" w:sz="0" w:space="0" w:color="auto"/>
      </w:divBdr>
    </w:div>
    <w:div w:id="823470850">
      <w:bodyDiv w:val="1"/>
      <w:marLeft w:val="0"/>
      <w:marRight w:val="0"/>
      <w:marTop w:val="0"/>
      <w:marBottom w:val="0"/>
      <w:divBdr>
        <w:top w:val="none" w:sz="0" w:space="0" w:color="auto"/>
        <w:left w:val="none" w:sz="0" w:space="0" w:color="auto"/>
        <w:bottom w:val="none" w:sz="0" w:space="0" w:color="auto"/>
        <w:right w:val="none" w:sz="0" w:space="0" w:color="auto"/>
      </w:divBdr>
    </w:div>
    <w:div w:id="875580009">
      <w:bodyDiv w:val="1"/>
      <w:marLeft w:val="0"/>
      <w:marRight w:val="0"/>
      <w:marTop w:val="0"/>
      <w:marBottom w:val="0"/>
      <w:divBdr>
        <w:top w:val="none" w:sz="0" w:space="0" w:color="auto"/>
        <w:left w:val="none" w:sz="0" w:space="0" w:color="auto"/>
        <w:bottom w:val="none" w:sz="0" w:space="0" w:color="auto"/>
        <w:right w:val="none" w:sz="0" w:space="0" w:color="auto"/>
      </w:divBdr>
    </w:div>
    <w:div w:id="889879888">
      <w:bodyDiv w:val="1"/>
      <w:marLeft w:val="0"/>
      <w:marRight w:val="0"/>
      <w:marTop w:val="0"/>
      <w:marBottom w:val="0"/>
      <w:divBdr>
        <w:top w:val="none" w:sz="0" w:space="0" w:color="auto"/>
        <w:left w:val="none" w:sz="0" w:space="0" w:color="auto"/>
        <w:bottom w:val="none" w:sz="0" w:space="0" w:color="auto"/>
        <w:right w:val="none" w:sz="0" w:space="0" w:color="auto"/>
      </w:divBdr>
      <w:divsChild>
        <w:div w:id="173034399">
          <w:marLeft w:val="0"/>
          <w:marRight w:val="0"/>
          <w:marTop w:val="0"/>
          <w:marBottom w:val="0"/>
          <w:divBdr>
            <w:top w:val="none" w:sz="0" w:space="0" w:color="auto"/>
            <w:left w:val="none" w:sz="0" w:space="0" w:color="auto"/>
            <w:bottom w:val="none" w:sz="0" w:space="0" w:color="auto"/>
            <w:right w:val="none" w:sz="0" w:space="0" w:color="auto"/>
          </w:divBdr>
        </w:div>
      </w:divsChild>
    </w:div>
    <w:div w:id="923687292">
      <w:bodyDiv w:val="1"/>
      <w:marLeft w:val="0"/>
      <w:marRight w:val="0"/>
      <w:marTop w:val="0"/>
      <w:marBottom w:val="0"/>
      <w:divBdr>
        <w:top w:val="none" w:sz="0" w:space="0" w:color="auto"/>
        <w:left w:val="none" w:sz="0" w:space="0" w:color="auto"/>
        <w:bottom w:val="none" w:sz="0" w:space="0" w:color="auto"/>
        <w:right w:val="none" w:sz="0" w:space="0" w:color="auto"/>
      </w:divBdr>
    </w:div>
    <w:div w:id="960380270">
      <w:bodyDiv w:val="1"/>
      <w:marLeft w:val="0"/>
      <w:marRight w:val="0"/>
      <w:marTop w:val="0"/>
      <w:marBottom w:val="0"/>
      <w:divBdr>
        <w:top w:val="none" w:sz="0" w:space="0" w:color="auto"/>
        <w:left w:val="none" w:sz="0" w:space="0" w:color="auto"/>
        <w:bottom w:val="none" w:sz="0" w:space="0" w:color="auto"/>
        <w:right w:val="none" w:sz="0" w:space="0" w:color="auto"/>
      </w:divBdr>
    </w:div>
    <w:div w:id="965890369">
      <w:bodyDiv w:val="1"/>
      <w:marLeft w:val="0"/>
      <w:marRight w:val="0"/>
      <w:marTop w:val="0"/>
      <w:marBottom w:val="0"/>
      <w:divBdr>
        <w:top w:val="none" w:sz="0" w:space="0" w:color="auto"/>
        <w:left w:val="none" w:sz="0" w:space="0" w:color="auto"/>
        <w:bottom w:val="none" w:sz="0" w:space="0" w:color="auto"/>
        <w:right w:val="none" w:sz="0" w:space="0" w:color="auto"/>
      </w:divBdr>
    </w:div>
    <w:div w:id="980378527">
      <w:bodyDiv w:val="1"/>
      <w:marLeft w:val="0"/>
      <w:marRight w:val="0"/>
      <w:marTop w:val="0"/>
      <w:marBottom w:val="0"/>
      <w:divBdr>
        <w:top w:val="none" w:sz="0" w:space="0" w:color="auto"/>
        <w:left w:val="none" w:sz="0" w:space="0" w:color="auto"/>
        <w:bottom w:val="none" w:sz="0" w:space="0" w:color="auto"/>
        <w:right w:val="none" w:sz="0" w:space="0" w:color="auto"/>
      </w:divBdr>
      <w:divsChild>
        <w:div w:id="907348637">
          <w:marLeft w:val="0"/>
          <w:marRight w:val="0"/>
          <w:marTop w:val="0"/>
          <w:marBottom w:val="0"/>
          <w:divBdr>
            <w:top w:val="none" w:sz="0" w:space="0" w:color="auto"/>
            <w:left w:val="none" w:sz="0" w:space="0" w:color="auto"/>
            <w:bottom w:val="none" w:sz="0" w:space="0" w:color="auto"/>
            <w:right w:val="none" w:sz="0" w:space="0" w:color="auto"/>
          </w:divBdr>
        </w:div>
      </w:divsChild>
    </w:div>
    <w:div w:id="986321076">
      <w:bodyDiv w:val="1"/>
      <w:marLeft w:val="0"/>
      <w:marRight w:val="0"/>
      <w:marTop w:val="0"/>
      <w:marBottom w:val="0"/>
      <w:divBdr>
        <w:top w:val="none" w:sz="0" w:space="0" w:color="auto"/>
        <w:left w:val="none" w:sz="0" w:space="0" w:color="auto"/>
        <w:bottom w:val="none" w:sz="0" w:space="0" w:color="auto"/>
        <w:right w:val="none" w:sz="0" w:space="0" w:color="auto"/>
      </w:divBdr>
    </w:div>
    <w:div w:id="1040864773">
      <w:bodyDiv w:val="1"/>
      <w:marLeft w:val="0"/>
      <w:marRight w:val="0"/>
      <w:marTop w:val="0"/>
      <w:marBottom w:val="0"/>
      <w:divBdr>
        <w:top w:val="none" w:sz="0" w:space="0" w:color="auto"/>
        <w:left w:val="none" w:sz="0" w:space="0" w:color="auto"/>
        <w:bottom w:val="none" w:sz="0" w:space="0" w:color="auto"/>
        <w:right w:val="none" w:sz="0" w:space="0" w:color="auto"/>
      </w:divBdr>
    </w:div>
    <w:div w:id="1043017064">
      <w:bodyDiv w:val="1"/>
      <w:marLeft w:val="0"/>
      <w:marRight w:val="0"/>
      <w:marTop w:val="0"/>
      <w:marBottom w:val="0"/>
      <w:divBdr>
        <w:top w:val="none" w:sz="0" w:space="0" w:color="auto"/>
        <w:left w:val="none" w:sz="0" w:space="0" w:color="auto"/>
        <w:bottom w:val="none" w:sz="0" w:space="0" w:color="auto"/>
        <w:right w:val="none" w:sz="0" w:space="0" w:color="auto"/>
      </w:divBdr>
    </w:div>
    <w:div w:id="1049376633">
      <w:bodyDiv w:val="1"/>
      <w:marLeft w:val="0"/>
      <w:marRight w:val="0"/>
      <w:marTop w:val="0"/>
      <w:marBottom w:val="0"/>
      <w:divBdr>
        <w:top w:val="none" w:sz="0" w:space="0" w:color="auto"/>
        <w:left w:val="none" w:sz="0" w:space="0" w:color="auto"/>
        <w:bottom w:val="none" w:sz="0" w:space="0" w:color="auto"/>
        <w:right w:val="none" w:sz="0" w:space="0" w:color="auto"/>
      </w:divBdr>
    </w:div>
    <w:div w:id="1052268459">
      <w:bodyDiv w:val="1"/>
      <w:marLeft w:val="0"/>
      <w:marRight w:val="0"/>
      <w:marTop w:val="0"/>
      <w:marBottom w:val="0"/>
      <w:divBdr>
        <w:top w:val="none" w:sz="0" w:space="0" w:color="auto"/>
        <w:left w:val="none" w:sz="0" w:space="0" w:color="auto"/>
        <w:bottom w:val="none" w:sz="0" w:space="0" w:color="auto"/>
        <w:right w:val="none" w:sz="0" w:space="0" w:color="auto"/>
      </w:divBdr>
    </w:div>
    <w:div w:id="1052343311">
      <w:bodyDiv w:val="1"/>
      <w:marLeft w:val="0"/>
      <w:marRight w:val="0"/>
      <w:marTop w:val="0"/>
      <w:marBottom w:val="0"/>
      <w:divBdr>
        <w:top w:val="none" w:sz="0" w:space="0" w:color="auto"/>
        <w:left w:val="none" w:sz="0" w:space="0" w:color="auto"/>
        <w:bottom w:val="none" w:sz="0" w:space="0" w:color="auto"/>
        <w:right w:val="none" w:sz="0" w:space="0" w:color="auto"/>
      </w:divBdr>
    </w:div>
    <w:div w:id="1084646900">
      <w:bodyDiv w:val="1"/>
      <w:marLeft w:val="0"/>
      <w:marRight w:val="0"/>
      <w:marTop w:val="0"/>
      <w:marBottom w:val="0"/>
      <w:divBdr>
        <w:top w:val="none" w:sz="0" w:space="0" w:color="auto"/>
        <w:left w:val="none" w:sz="0" w:space="0" w:color="auto"/>
        <w:bottom w:val="none" w:sz="0" w:space="0" w:color="auto"/>
        <w:right w:val="none" w:sz="0" w:space="0" w:color="auto"/>
      </w:divBdr>
    </w:div>
    <w:div w:id="1102530986">
      <w:bodyDiv w:val="1"/>
      <w:marLeft w:val="0"/>
      <w:marRight w:val="0"/>
      <w:marTop w:val="0"/>
      <w:marBottom w:val="0"/>
      <w:divBdr>
        <w:top w:val="none" w:sz="0" w:space="0" w:color="auto"/>
        <w:left w:val="none" w:sz="0" w:space="0" w:color="auto"/>
        <w:bottom w:val="none" w:sz="0" w:space="0" w:color="auto"/>
        <w:right w:val="none" w:sz="0" w:space="0" w:color="auto"/>
      </w:divBdr>
    </w:div>
    <w:div w:id="1110011709">
      <w:bodyDiv w:val="1"/>
      <w:marLeft w:val="0"/>
      <w:marRight w:val="0"/>
      <w:marTop w:val="0"/>
      <w:marBottom w:val="0"/>
      <w:divBdr>
        <w:top w:val="none" w:sz="0" w:space="0" w:color="auto"/>
        <w:left w:val="none" w:sz="0" w:space="0" w:color="auto"/>
        <w:bottom w:val="none" w:sz="0" w:space="0" w:color="auto"/>
        <w:right w:val="none" w:sz="0" w:space="0" w:color="auto"/>
      </w:divBdr>
    </w:div>
    <w:div w:id="1123614783">
      <w:bodyDiv w:val="1"/>
      <w:marLeft w:val="0"/>
      <w:marRight w:val="0"/>
      <w:marTop w:val="0"/>
      <w:marBottom w:val="0"/>
      <w:divBdr>
        <w:top w:val="none" w:sz="0" w:space="0" w:color="auto"/>
        <w:left w:val="none" w:sz="0" w:space="0" w:color="auto"/>
        <w:bottom w:val="none" w:sz="0" w:space="0" w:color="auto"/>
        <w:right w:val="none" w:sz="0" w:space="0" w:color="auto"/>
      </w:divBdr>
    </w:div>
    <w:div w:id="1136605376">
      <w:bodyDiv w:val="1"/>
      <w:marLeft w:val="0"/>
      <w:marRight w:val="0"/>
      <w:marTop w:val="0"/>
      <w:marBottom w:val="0"/>
      <w:divBdr>
        <w:top w:val="none" w:sz="0" w:space="0" w:color="auto"/>
        <w:left w:val="none" w:sz="0" w:space="0" w:color="auto"/>
        <w:bottom w:val="none" w:sz="0" w:space="0" w:color="auto"/>
        <w:right w:val="none" w:sz="0" w:space="0" w:color="auto"/>
      </w:divBdr>
    </w:div>
    <w:div w:id="1143078953">
      <w:bodyDiv w:val="1"/>
      <w:marLeft w:val="0"/>
      <w:marRight w:val="0"/>
      <w:marTop w:val="0"/>
      <w:marBottom w:val="0"/>
      <w:divBdr>
        <w:top w:val="none" w:sz="0" w:space="0" w:color="auto"/>
        <w:left w:val="none" w:sz="0" w:space="0" w:color="auto"/>
        <w:bottom w:val="none" w:sz="0" w:space="0" w:color="auto"/>
        <w:right w:val="none" w:sz="0" w:space="0" w:color="auto"/>
      </w:divBdr>
    </w:div>
    <w:div w:id="1170173678">
      <w:bodyDiv w:val="1"/>
      <w:marLeft w:val="0"/>
      <w:marRight w:val="0"/>
      <w:marTop w:val="0"/>
      <w:marBottom w:val="0"/>
      <w:divBdr>
        <w:top w:val="none" w:sz="0" w:space="0" w:color="auto"/>
        <w:left w:val="none" w:sz="0" w:space="0" w:color="auto"/>
        <w:bottom w:val="none" w:sz="0" w:space="0" w:color="auto"/>
        <w:right w:val="none" w:sz="0" w:space="0" w:color="auto"/>
      </w:divBdr>
    </w:div>
    <w:div w:id="1174882723">
      <w:bodyDiv w:val="1"/>
      <w:marLeft w:val="0"/>
      <w:marRight w:val="0"/>
      <w:marTop w:val="0"/>
      <w:marBottom w:val="0"/>
      <w:divBdr>
        <w:top w:val="none" w:sz="0" w:space="0" w:color="auto"/>
        <w:left w:val="none" w:sz="0" w:space="0" w:color="auto"/>
        <w:bottom w:val="none" w:sz="0" w:space="0" w:color="auto"/>
        <w:right w:val="none" w:sz="0" w:space="0" w:color="auto"/>
      </w:divBdr>
    </w:div>
    <w:div w:id="1188637739">
      <w:bodyDiv w:val="1"/>
      <w:marLeft w:val="0"/>
      <w:marRight w:val="0"/>
      <w:marTop w:val="0"/>
      <w:marBottom w:val="0"/>
      <w:divBdr>
        <w:top w:val="none" w:sz="0" w:space="0" w:color="auto"/>
        <w:left w:val="none" w:sz="0" w:space="0" w:color="auto"/>
        <w:bottom w:val="none" w:sz="0" w:space="0" w:color="auto"/>
        <w:right w:val="none" w:sz="0" w:space="0" w:color="auto"/>
      </w:divBdr>
    </w:div>
    <w:div w:id="1236285842">
      <w:bodyDiv w:val="1"/>
      <w:marLeft w:val="0"/>
      <w:marRight w:val="0"/>
      <w:marTop w:val="0"/>
      <w:marBottom w:val="0"/>
      <w:divBdr>
        <w:top w:val="none" w:sz="0" w:space="0" w:color="auto"/>
        <w:left w:val="none" w:sz="0" w:space="0" w:color="auto"/>
        <w:bottom w:val="none" w:sz="0" w:space="0" w:color="auto"/>
        <w:right w:val="none" w:sz="0" w:space="0" w:color="auto"/>
      </w:divBdr>
    </w:div>
    <w:div w:id="1347755314">
      <w:bodyDiv w:val="1"/>
      <w:marLeft w:val="0"/>
      <w:marRight w:val="0"/>
      <w:marTop w:val="0"/>
      <w:marBottom w:val="0"/>
      <w:divBdr>
        <w:top w:val="none" w:sz="0" w:space="0" w:color="auto"/>
        <w:left w:val="none" w:sz="0" w:space="0" w:color="auto"/>
        <w:bottom w:val="none" w:sz="0" w:space="0" w:color="auto"/>
        <w:right w:val="none" w:sz="0" w:space="0" w:color="auto"/>
      </w:divBdr>
    </w:div>
    <w:div w:id="1348603573">
      <w:bodyDiv w:val="1"/>
      <w:marLeft w:val="0"/>
      <w:marRight w:val="0"/>
      <w:marTop w:val="0"/>
      <w:marBottom w:val="0"/>
      <w:divBdr>
        <w:top w:val="none" w:sz="0" w:space="0" w:color="auto"/>
        <w:left w:val="none" w:sz="0" w:space="0" w:color="auto"/>
        <w:bottom w:val="none" w:sz="0" w:space="0" w:color="auto"/>
        <w:right w:val="none" w:sz="0" w:space="0" w:color="auto"/>
      </w:divBdr>
    </w:div>
    <w:div w:id="1354303389">
      <w:bodyDiv w:val="1"/>
      <w:marLeft w:val="0"/>
      <w:marRight w:val="0"/>
      <w:marTop w:val="0"/>
      <w:marBottom w:val="0"/>
      <w:divBdr>
        <w:top w:val="none" w:sz="0" w:space="0" w:color="auto"/>
        <w:left w:val="none" w:sz="0" w:space="0" w:color="auto"/>
        <w:bottom w:val="none" w:sz="0" w:space="0" w:color="auto"/>
        <w:right w:val="none" w:sz="0" w:space="0" w:color="auto"/>
      </w:divBdr>
    </w:div>
    <w:div w:id="1365011323">
      <w:bodyDiv w:val="1"/>
      <w:marLeft w:val="0"/>
      <w:marRight w:val="0"/>
      <w:marTop w:val="0"/>
      <w:marBottom w:val="0"/>
      <w:divBdr>
        <w:top w:val="none" w:sz="0" w:space="0" w:color="auto"/>
        <w:left w:val="none" w:sz="0" w:space="0" w:color="auto"/>
        <w:bottom w:val="none" w:sz="0" w:space="0" w:color="auto"/>
        <w:right w:val="none" w:sz="0" w:space="0" w:color="auto"/>
      </w:divBdr>
    </w:div>
    <w:div w:id="1380279643">
      <w:bodyDiv w:val="1"/>
      <w:marLeft w:val="0"/>
      <w:marRight w:val="0"/>
      <w:marTop w:val="0"/>
      <w:marBottom w:val="0"/>
      <w:divBdr>
        <w:top w:val="none" w:sz="0" w:space="0" w:color="auto"/>
        <w:left w:val="none" w:sz="0" w:space="0" w:color="auto"/>
        <w:bottom w:val="none" w:sz="0" w:space="0" w:color="auto"/>
        <w:right w:val="none" w:sz="0" w:space="0" w:color="auto"/>
      </w:divBdr>
    </w:div>
    <w:div w:id="1385788842">
      <w:bodyDiv w:val="1"/>
      <w:marLeft w:val="0"/>
      <w:marRight w:val="0"/>
      <w:marTop w:val="0"/>
      <w:marBottom w:val="0"/>
      <w:divBdr>
        <w:top w:val="none" w:sz="0" w:space="0" w:color="auto"/>
        <w:left w:val="none" w:sz="0" w:space="0" w:color="auto"/>
        <w:bottom w:val="none" w:sz="0" w:space="0" w:color="auto"/>
        <w:right w:val="none" w:sz="0" w:space="0" w:color="auto"/>
      </w:divBdr>
    </w:div>
    <w:div w:id="1413742804">
      <w:bodyDiv w:val="1"/>
      <w:marLeft w:val="0"/>
      <w:marRight w:val="0"/>
      <w:marTop w:val="0"/>
      <w:marBottom w:val="0"/>
      <w:divBdr>
        <w:top w:val="none" w:sz="0" w:space="0" w:color="auto"/>
        <w:left w:val="none" w:sz="0" w:space="0" w:color="auto"/>
        <w:bottom w:val="none" w:sz="0" w:space="0" w:color="auto"/>
        <w:right w:val="none" w:sz="0" w:space="0" w:color="auto"/>
      </w:divBdr>
    </w:div>
    <w:div w:id="1416972390">
      <w:bodyDiv w:val="1"/>
      <w:marLeft w:val="0"/>
      <w:marRight w:val="0"/>
      <w:marTop w:val="0"/>
      <w:marBottom w:val="0"/>
      <w:divBdr>
        <w:top w:val="none" w:sz="0" w:space="0" w:color="auto"/>
        <w:left w:val="none" w:sz="0" w:space="0" w:color="auto"/>
        <w:bottom w:val="none" w:sz="0" w:space="0" w:color="auto"/>
        <w:right w:val="none" w:sz="0" w:space="0" w:color="auto"/>
      </w:divBdr>
    </w:div>
    <w:div w:id="1426342485">
      <w:bodyDiv w:val="1"/>
      <w:marLeft w:val="0"/>
      <w:marRight w:val="0"/>
      <w:marTop w:val="0"/>
      <w:marBottom w:val="0"/>
      <w:divBdr>
        <w:top w:val="none" w:sz="0" w:space="0" w:color="auto"/>
        <w:left w:val="none" w:sz="0" w:space="0" w:color="auto"/>
        <w:bottom w:val="none" w:sz="0" w:space="0" w:color="auto"/>
        <w:right w:val="none" w:sz="0" w:space="0" w:color="auto"/>
      </w:divBdr>
    </w:div>
    <w:div w:id="1433428393">
      <w:bodyDiv w:val="1"/>
      <w:marLeft w:val="0"/>
      <w:marRight w:val="0"/>
      <w:marTop w:val="0"/>
      <w:marBottom w:val="0"/>
      <w:divBdr>
        <w:top w:val="none" w:sz="0" w:space="0" w:color="auto"/>
        <w:left w:val="none" w:sz="0" w:space="0" w:color="auto"/>
        <w:bottom w:val="none" w:sz="0" w:space="0" w:color="auto"/>
        <w:right w:val="none" w:sz="0" w:space="0" w:color="auto"/>
      </w:divBdr>
    </w:div>
    <w:div w:id="1484856543">
      <w:bodyDiv w:val="1"/>
      <w:marLeft w:val="0"/>
      <w:marRight w:val="0"/>
      <w:marTop w:val="0"/>
      <w:marBottom w:val="0"/>
      <w:divBdr>
        <w:top w:val="none" w:sz="0" w:space="0" w:color="auto"/>
        <w:left w:val="none" w:sz="0" w:space="0" w:color="auto"/>
        <w:bottom w:val="none" w:sz="0" w:space="0" w:color="auto"/>
        <w:right w:val="none" w:sz="0" w:space="0" w:color="auto"/>
      </w:divBdr>
    </w:div>
    <w:div w:id="1487891426">
      <w:bodyDiv w:val="1"/>
      <w:marLeft w:val="0"/>
      <w:marRight w:val="0"/>
      <w:marTop w:val="0"/>
      <w:marBottom w:val="0"/>
      <w:divBdr>
        <w:top w:val="none" w:sz="0" w:space="0" w:color="auto"/>
        <w:left w:val="none" w:sz="0" w:space="0" w:color="auto"/>
        <w:bottom w:val="none" w:sz="0" w:space="0" w:color="auto"/>
        <w:right w:val="none" w:sz="0" w:space="0" w:color="auto"/>
      </w:divBdr>
    </w:div>
    <w:div w:id="1491940263">
      <w:bodyDiv w:val="1"/>
      <w:marLeft w:val="0"/>
      <w:marRight w:val="0"/>
      <w:marTop w:val="0"/>
      <w:marBottom w:val="0"/>
      <w:divBdr>
        <w:top w:val="none" w:sz="0" w:space="0" w:color="auto"/>
        <w:left w:val="none" w:sz="0" w:space="0" w:color="auto"/>
        <w:bottom w:val="none" w:sz="0" w:space="0" w:color="auto"/>
        <w:right w:val="none" w:sz="0" w:space="0" w:color="auto"/>
      </w:divBdr>
    </w:div>
    <w:div w:id="1513179122">
      <w:bodyDiv w:val="1"/>
      <w:marLeft w:val="0"/>
      <w:marRight w:val="0"/>
      <w:marTop w:val="0"/>
      <w:marBottom w:val="0"/>
      <w:divBdr>
        <w:top w:val="none" w:sz="0" w:space="0" w:color="auto"/>
        <w:left w:val="none" w:sz="0" w:space="0" w:color="auto"/>
        <w:bottom w:val="none" w:sz="0" w:space="0" w:color="auto"/>
        <w:right w:val="none" w:sz="0" w:space="0" w:color="auto"/>
      </w:divBdr>
    </w:div>
    <w:div w:id="1540900607">
      <w:bodyDiv w:val="1"/>
      <w:marLeft w:val="0"/>
      <w:marRight w:val="0"/>
      <w:marTop w:val="0"/>
      <w:marBottom w:val="0"/>
      <w:divBdr>
        <w:top w:val="none" w:sz="0" w:space="0" w:color="auto"/>
        <w:left w:val="none" w:sz="0" w:space="0" w:color="auto"/>
        <w:bottom w:val="none" w:sz="0" w:space="0" w:color="auto"/>
        <w:right w:val="none" w:sz="0" w:space="0" w:color="auto"/>
      </w:divBdr>
    </w:div>
    <w:div w:id="1542134333">
      <w:bodyDiv w:val="1"/>
      <w:marLeft w:val="0"/>
      <w:marRight w:val="0"/>
      <w:marTop w:val="0"/>
      <w:marBottom w:val="0"/>
      <w:divBdr>
        <w:top w:val="none" w:sz="0" w:space="0" w:color="auto"/>
        <w:left w:val="none" w:sz="0" w:space="0" w:color="auto"/>
        <w:bottom w:val="none" w:sz="0" w:space="0" w:color="auto"/>
        <w:right w:val="none" w:sz="0" w:space="0" w:color="auto"/>
      </w:divBdr>
    </w:div>
    <w:div w:id="1544710749">
      <w:bodyDiv w:val="1"/>
      <w:marLeft w:val="0"/>
      <w:marRight w:val="0"/>
      <w:marTop w:val="0"/>
      <w:marBottom w:val="0"/>
      <w:divBdr>
        <w:top w:val="none" w:sz="0" w:space="0" w:color="auto"/>
        <w:left w:val="none" w:sz="0" w:space="0" w:color="auto"/>
        <w:bottom w:val="none" w:sz="0" w:space="0" w:color="auto"/>
        <w:right w:val="none" w:sz="0" w:space="0" w:color="auto"/>
      </w:divBdr>
    </w:div>
    <w:div w:id="1552182374">
      <w:bodyDiv w:val="1"/>
      <w:marLeft w:val="0"/>
      <w:marRight w:val="0"/>
      <w:marTop w:val="0"/>
      <w:marBottom w:val="0"/>
      <w:divBdr>
        <w:top w:val="none" w:sz="0" w:space="0" w:color="auto"/>
        <w:left w:val="none" w:sz="0" w:space="0" w:color="auto"/>
        <w:bottom w:val="none" w:sz="0" w:space="0" w:color="auto"/>
        <w:right w:val="none" w:sz="0" w:space="0" w:color="auto"/>
      </w:divBdr>
    </w:div>
    <w:div w:id="1576891623">
      <w:bodyDiv w:val="1"/>
      <w:marLeft w:val="0"/>
      <w:marRight w:val="0"/>
      <w:marTop w:val="0"/>
      <w:marBottom w:val="0"/>
      <w:divBdr>
        <w:top w:val="none" w:sz="0" w:space="0" w:color="auto"/>
        <w:left w:val="none" w:sz="0" w:space="0" w:color="auto"/>
        <w:bottom w:val="none" w:sz="0" w:space="0" w:color="auto"/>
        <w:right w:val="none" w:sz="0" w:space="0" w:color="auto"/>
      </w:divBdr>
    </w:div>
    <w:div w:id="1578974980">
      <w:bodyDiv w:val="1"/>
      <w:marLeft w:val="0"/>
      <w:marRight w:val="0"/>
      <w:marTop w:val="0"/>
      <w:marBottom w:val="0"/>
      <w:divBdr>
        <w:top w:val="none" w:sz="0" w:space="0" w:color="auto"/>
        <w:left w:val="none" w:sz="0" w:space="0" w:color="auto"/>
        <w:bottom w:val="none" w:sz="0" w:space="0" w:color="auto"/>
        <w:right w:val="none" w:sz="0" w:space="0" w:color="auto"/>
      </w:divBdr>
    </w:div>
    <w:div w:id="1581021561">
      <w:bodyDiv w:val="1"/>
      <w:marLeft w:val="0"/>
      <w:marRight w:val="0"/>
      <w:marTop w:val="0"/>
      <w:marBottom w:val="0"/>
      <w:divBdr>
        <w:top w:val="none" w:sz="0" w:space="0" w:color="auto"/>
        <w:left w:val="none" w:sz="0" w:space="0" w:color="auto"/>
        <w:bottom w:val="none" w:sz="0" w:space="0" w:color="auto"/>
        <w:right w:val="none" w:sz="0" w:space="0" w:color="auto"/>
      </w:divBdr>
    </w:div>
    <w:div w:id="1628969712">
      <w:bodyDiv w:val="1"/>
      <w:marLeft w:val="0"/>
      <w:marRight w:val="0"/>
      <w:marTop w:val="0"/>
      <w:marBottom w:val="0"/>
      <w:divBdr>
        <w:top w:val="none" w:sz="0" w:space="0" w:color="auto"/>
        <w:left w:val="none" w:sz="0" w:space="0" w:color="auto"/>
        <w:bottom w:val="none" w:sz="0" w:space="0" w:color="auto"/>
        <w:right w:val="none" w:sz="0" w:space="0" w:color="auto"/>
      </w:divBdr>
    </w:div>
    <w:div w:id="1652557706">
      <w:bodyDiv w:val="1"/>
      <w:marLeft w:val="0"/>
      <w:marRight w:val="0"/>
      <w:marTop w:val="0"/>
      <w:marBottom w:val="0"/>
      <w:divBdr>
        <w:top w:val="none" w:sz="0" w:space="0" w:color="auto"/>
        <w:left w:val="none" w:sz="0" w:space="0" w:color="auto"/>
        <w:bottom w:val="none" w:sz="0" w:space="0" w:color="auto"/>
        <w:right w:val="none" w:sz="0" w:space="0" w:color="auto"/>
      </w:divBdr>
    </w:div>
    <w:div w:id="1681732108">
      <w:bodyDiv w:val="1"/>
      <w:marLeft w:val="0"/>
      <w:marRight w:val="0"/>
      <w:marTop w:val="0"/>
      <w:marBottom w:val="0"/>
      <w:divBdr>
        <w:top w:val="none" w:sz="0" w:space="0" w:color="auto"/>
        <w:left w:val="none" w:sz="0" w:space="0" w:color="auto"/>
        <w:bottom w:val="none" w:sz="0" w:space="0" w:color="auto"/>
        <w:right w:val="none" w:sz="0" w:space="0" w:color="auto"/>
      </w:divBdr>
    </w:div>
    <w:div w:id="1698892742">
      <w:bodyDiv w:val="1"/>
      <w:marLeft w:val="0"/>
      <w:marRight w:val="0"/>
      <w:marTop w:val="0"/>
      <w:marBottom w:val="0"/>
      <w:divBdr>
        <w:top w:val="none" w:sz="0" w:space="0" w:color="auto"/>
        <w:left w:val="none" w:sz="0" w:space="0" w:color="auto"/>
        <w:bottom w:val="none" w:sz="0" w:space="0" w:color="auto"/>
        <w:right w:val="none" w:sz="0" w:space="0" w:color="auto"/>
      </w:divBdr>
    </w:div>
    <w:div w:id="1699163245">
      <w:bodyDiv w:val="1"/>
      <w:marLeft w:val="0"/>
      <w:marRight w:val="0"/>
      <w:marTop w:val="0"/>
      <w:marBottom w:val="0"/>
      <w:divBdr>
        <w:top w:val="none" w:sz="0" w:space="0" w:color="auto"/>
        <w:left w:val="none" w:sz="0" w:space="0" w:color="auto"/>
        <w:bottom w:val="none" w:sz="0" w:space="0" w:color="auto"/>
        <w:right w:val="none" w:sz="0" w:space="0" w:color="auto"/>
      </w:divBdr>
    </w:div>
    <w:div w:id="1701081156">
      <w:bodyDiv w:val="1"/>
      <w:marLeft w:val="0"/>
      <w:marRight w:val="0"/>
      <w:marTop w:val="0"/>
      <w:marBottom w:val="0"/>
      <w:divBdr>
        <w:top w:val="none" w:sz="0" w:space="0" w:color="auto"/>
        <w:left w:val="none" w:sz="0" w:space="0" w:color="auto"/>
        <w:bottom w:val="none" w:sz="0" w:space="0" w:color="auto"/>
        <w:right w:val="none" w:sz="0" w:space="0" w:color="auto"/>
      </w:divBdr>
    </w:div>
    <w:div w:id="1703481923">
      <w:bodyDiv w:val="1"/>
      <w:marLeft w:val="0"/>
      <w:marRight w:val="0"/>
      <w:marTop w:val="0"/>
      <w:marBottom w:val="0"/>
      <w:divBdr>
        <w:top w:val="none" w:sz="0" w:space="0" w:color="auto"/>
        <w:left w:val="none" w:sz="0" w:space="0" w:color="auto"/>
        <w:bottom w:val="none" w:sz="0" w:space="0" w:color="auto"/>
        <w:right w:val="none" w:sz="0" w:space="0" w:color="auto"/>
      </w:divBdr>
    </w:div>
    <w:div w:id="1722827758">
      <w:bodyDiv w:val="1"/>
      <w:marLeft w:val="0"/>
      <w:marRight w:val="0"/>
      <w:marTop w:val="0"/>
      <w:marBottom w:val="0"/>
      <w:divBdr>
        <w:top w:val="none" w:sz="0" w:space="0" w:color="auto"/>
        <w:left w:val="none" w:sz="0" w:space="0" w:color="auto"/>
        <w:bottom w:val="none" w:sz="0" w:space="0" w:color="auto"/>
        <w:right w:val="none" w:sz="0" w:space="0" w:color="auto"/>
      </w:divBdr>
    </w:div>
    <w:div w:id="1731613639">
      <w:bodyDiv w:val="1"/>
      <w:marLeft w:val="0"/>
      <w:marRight w:val="0"/>
      <w:marTop w:val="0"/>
      <w:marBottom w:val="0"/>
      <w:divBdr>
        <w:top w:val="none" w:sz="0" w:space="0" w:color="auto"/>
        <w:left w:val="none" w:sz="0" w:space="0" w:color="auto"/>
        <w:bottom w:val="none" w:sz="0" w:space="0" w:color="auto"/>
        <w:right w:val="none" w:sz="0" w:space="0" w:color="auto"/>
      </w:divBdr>
    </w:div>
    <w:div w:id="1773041444">
      <w:bodyDiv w:val="1"/>
      <w:marLeft w:val="0"/>
      <w:marRight w:val="0"/>
      <w:marTop w:val="0"/>
      <w:marBottom w:val="0"/>
      <w:divBdr>
        <w:top w:val="none" w:sz="0" w:space="0" w:color="auto"/>
        <w:left w:val="none" w:sz="0" w:space="0" w:color="auto"/>
        <w:bottom w:val="none" w:sz="0" w:space="0" w:color="auto"/>
        <w:right w:val="none" w:sz="0" w:space="0" w:color="auto"/>
      </w:divBdr>
    </w:div>
    <w:div w:id="1789153495">
      <w:bodyDiv w:val="1"/>
      <w:marLeft w:val="0"/>
      <w:marRight w:val="0"/>
      <w:marTop w:val="0"/>
      <w:marBottom w:val="0"/>
      <w:divBdr>
        <w:top w:val="none" w:sz="0" w:space="0" w:color="auto"/>
        <w:left w:val="none" w:sz="0" w:space="0" w:color="auto"/>
        <w:bottom w:val="none" w:sz="0" w:space="0" w:color="auto"/>
        <w:right w:val="none" w:sz="0" w:space="0" w:color="auto"/>
      </w:divBdr>
    </w:div>
    <w:div w:id="1841308013">
      <w:bodyDiv w:val="1"/>
      <w:marLeft w:val="0"/>
      <w:marRight w:val="0"/>
      <w:marTop w:val="0"/>
      <w:marBottom w:val="0"/>
      <w:divBdr>
        <w:top w:val="none" w:sz="0" w:space="0" w:color="auto"/>
        <w:left w:val="none" w:sz="0" w:space="0" w:color="auto"/>
        <w:bottom w:val="none" w:sz="0" w:space="0" w:color="auto"/>
        <w:right w:val="none" w:sz="0" w:space="0" w:color="auto"/>
      </w:divBdr>
    </w:div>
    <w:div w:id="1851869358">
      <w:bodyDiv w:val="1"/>
      <w:marLeft w:val="0"/>
      <w:marRight w:val="0"/>
      <w:marTop w:val="0"/>
      <w:marBottom w:val="0"/>
      <w:divBdr>
        <w:top w:val="none" w:sz="0" w:space="0" w:color="auto"/>
        <w:left w:val="none" w:sz="0" w:space="0" w:color="auto"/>
        <w:bottom w:val="none" w:sz="0" w:space="0" w:color="auto"/>
        <w:right w:val="none" w:sz="0" w:space="0" w:color="auto"/>
      </w:divBdr>
    </w:div>
    <w:div w:id="1860923149">
      <w:bodyDiv w:val="1"/>
      <w:marLeft w:val="0"/>
      <w:marRight w:val="0"/>
      <w:marTop w:val="0"/>
      <w:marBottom w:val="0"/>
      <w:divBdr>
        <w:top w:val="none" w:sz="0" w:space="0" w:color="auto"/>
        <w:left w:val="none" w:sz="0" w:space="0" w:color="auto"/>
        <w:bottom w:val="none" w:sz="0" w:space="0" w:color="auto"/>
        <w:right w:val="none" w:sz="0" w:space="0" w:color="auto"/>
      </w:divBdr>
    </w:div>
    <w:div w:id="1932740869">
      <w:bodyDiv w:val="1"/>
      <w:marLeft w:val="0"/>
      <w:marRight w:val="0"/>
      <w:marTop w:val="0"/>
      <w:marBottom w:val="0"/>
      <w:divBdr>
        <w:top w:val="none" w:sz="0" w:space="0" w:color="auto"/>
        <w:left w:val="none" w:sz="0" w:space="0" w:color="auto"/>
        <w:bottom w:val="none" w:sz="0" w:space="0" w:color="auto"/>
        <w:right w:val="none" w:sz="0" w:space="0" w:color="auto"/>
      </w:divBdr>
    </w:div>
    <w:div w:id="1934122125">
      <w:bodyDiv w:val="1"/>
      <w:marLeft w:val="0"/>
      <w:marRight w:val="0"/>
      <w:marTop w:val="0"/>
      <w:marBottom w:val="0"/>
      <w:divBdr>
        <w:top w:val="none" w:sz="0" w:space="0" w:color="auto"/>
        <w:left w:val="none" w:sz="0" w:space="0" w:color="auto"/>
        <w:bottom w:val="none" w:sz="0" w:space="0" w:color="auto"/>
        <w:right w:val="none" w:sz="0" w:space="0" w:color="auto"/>
      </w:divBdr>
    </w:div>
    <w:div w:id="1937203840">
      <w:bodyDiv w:val="1"/>
      <w:marLeft w:val="0"/>
      <w:marRight w:val="0"/>
      <w:marTop w:val="0"/>
      <w:marBottom w:val="0"/>
      <w:divBdr>
        <w:top w:val="none" w:sz="0" w:space="0" w:color="auto"/>
        <w:left w:val="none" w:sz="0" w:space="0" w:color="auto"/>
        <w:bottom w:val="none" w:sz="0" w:space="0" w:color="auto"/>
        <w:right w:val="none" w:sz="0" w:space="0" w:color="auto"/>
      </w:divBdr>
    </w:div>
    <w:div w:id="1939410301">
      <w:bodyDiv w:val="1"/>
      <w:marLeft w:val="0"/>
      <w:marRight w:val="0"/>
      <w:marTop w:val="0"/>
      <w:marBottom w:val="0"/>
      <w:divBdr>
        <w:top w:val="none" w:sz="0" w:space="0" w:color="auto"/>
        <w:left w:val="none" w:sz="0" w:space="0" w:color="auto"/>
        <w:bottom w:val="none" w:sz="0" w:space="0" w:color="auto"/>
        <w:right w:val="none" w:sz="0" w:space="0" w:color="auto"/>
      </w:divBdr>
    </w:div>
    <w:div w:id="1974360512">
      <w:bodyDiv w:val="1"/>
      <w:marLeft w:val="0"/>
      <w:marRight w:val="0"/>
      <w:marTop w:val="0"/>
      <w:marBottom w:val="0"/>
      <w:divBdr>
        <w:top w:val="none" w:sz="0" w:space="0" w:color="auto"/>
        <w:left w:val="none" w:sz="0" w:space="0" w:color="auto"/>
        <w:bottom w:val="none" w:sz="0" w:space="0" w:color="auto"/>
        <w:right w:val="none" w:sz="0" w:space="0" w:color="auto"/>
      </w:divBdr>
    </w:div>
    <w:div w:id="2029208091">
      <w:bodyDiv w:val="1"/>
      <w:marLeft w:val="0"/>
      <w:marRight w:val="0"/>
      <w:marTop w:val="0"/>
      <w:marBottom w:val="0"/>
      <w:divBdr>
        <w:top w:val="none" w:sz="0" w:space="0" w:color="auto"/>
        <w:left w:val="none" w:sz="0" w:space="0" w:color="auto"/>
        <w:bottom w:val="none" w:sz="0" w:space="0" w:color="auto"/>
        <w:right w:val="none" w:sz="0" w:space="0" w:color="auto"/>
      </w:divBdr>
    </w:div>
    <w:div w:id="2048751526">
      <w:bodyDiv w:val="1"/>
      <w:marLeft w:val="0"/>
      <w:marRight w:val="0"/>
      <w:marTop w:val="0"/>
      <w:marBottom w:val="0"/>
      <w:divBdr>
        <w:top w:val="none" w:sz="0" w:space="0" w:color="auto"/>
        <w:left w:val="none" w:sz="0" w:space="0" w:color="auto"/>
        <w:bottom w:val="none" w:sz="0" w:space="0" w:color="auto"/>
        <w:right w:val="none" w:sz="0" w:space="0" w:color="auto"/>
      </w:divBdr>
    </w:div>
    <w:div w:id="2075660557">
      <w:bodyDiv w:val="1"/>
      <w:marLeft w:val="0"/>
      <w:marRight w:val="0"/>
      <w:marTop w:val="0"/>
      <w:marBottom w:val="0"/>
      <w:divBdr>
        <w:top w:val="none" w:sz="0" w:space="0" w:color="auto"/>
        <w:left w:val="none" w:sz="0" w:space="0" w:color="auto"/>
        <w:bottom w:val="none" w:sz="0" w:space="0" w:color="auto"/>
        <w:right w:val="none" w:sz="0" w:space="0" w:color="auto"/>
      </w:divBdr>
    </w:div>
    <w:div w:id="2120024901">
      <w:bodyDiv w:val="1"/>
      <w:marLeft w:val="0"/>
      <w:marRight w:val="0"/>
      <w:marTop w:val="0"/>
      <w:marBottom w:val="0"/>
      <w:divBdr>
        <w:top w:val="none" w:sz="0" w:space="0" w:color="auto"/>
        <w:left w:val="none" w:sz="0" w:space="0" w:color="auto"/>
        <w:bottom w:val="none" w:sz="0" w:space="0" w:color="auto"/>
        <w:right w:val="none" w:sz="0" w:space="0" w:color="auto"/>
      </w:divBdr>
    </w:div>
    <w:div w:id="21403721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63" Type="http://schemas.openxmlformats.org/officeDocument/2006/relationships/footer" Target="footer2.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wmf"/><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49.jpe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hyperlink" Target="http://pl.wikipedia.org/wiki/Zgrzewanie" TargetMode="External"/><Relationship Id="rId61" Type="http://schemas.openxmlformats.org/officeDocument/2006/relationships/header" Target="header2.xml"/><Relationship Id="rId10" Type="http://schemas.openxmlformats.org/officeDocument/2006/relationships/image" Target="media/image2.wmf"/><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header" Target="header1.xml"/><Relationship Id="rId65"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43.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0.png"/></Relationships>
</file>

<file path=word/_rels/header2.xml.rels><?xml version="1.0" encoding="UTF-8" standalone="yes"?>
<Relationships xmlns="http://schemas.openxmlformats.org/package/2006/relationships"><Relationship Id="rId2" Type="http://schemas.openxmlformats.org/officeDocument/2006/relationships/oleObject" Target="embeddings/Microsoft_Word_97_-_2003_Document1.doc"/><Relationship Id="rId1" Type="http://schemas.openxmlformats.org/officeDocument/2006/relationships/image" Target="media/image51.w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37757D-0F15-40B8-B76C-BBD186C978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326</TotalTime>
  <Pages>3</Pages>
  <Words>80662</Words>
  <Characters>483974</Characters>
  <Application>Microsoft Office Word</Application>
  <DocSecurity>0</DocSecurity>
  <Lines>4033</Lines>
  <Paragraphs>1127</Paragraphs>
  <ScaleCrop>false</ScaleCrop>
  <HeadingPairs>
    <vt:vector size="2" baseType="variant">
      <vt:variant>
        <vt:lpstr>Tytuł</vt:lpstr>
      </vt:variant>
      <vt:variant>
        <vt:i4>1</vt:i4>
      </vt:variant>
    </vt:vector>
  </HeadingPairs>
  <TitlesOfParts>
    <vt:vector size="1" baseType="lpstr">
      <vt:lpstr/>
    </vt:vector>
  </TitlesOfParts>
  <Company>Microsoft</Company>
  <LinksUpToDate>false</LinksUpToDate>
  <CharactersWithSpaces>563509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Karol</dc:creator>
  <cp:lastModifiedBy>Karol</cp:lastModifiedBy>
  <cp:revision>45</cp:revision>
  <cp:lastPrinted>2021-08-18T06:46:00Z</cp:lastPrinted>
  <dcterms:created xsi:type="dcterms:W3CDTF">2021-02-05T10:05:00Z</dcterms:created>
  <dcterms:modified xsi:type="dcterms:W3CDTF">2021-08-18T06:47:00Z</dcterms:modified>
</cp:coreProperties>
</file>