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568FDC31" w:rsidR="000B1609" w:rsidRDefault="000B1609" w:rsidP="00AF1901">
      <w:pPr>
        <w:pStyle w:val="Bezodstpw"/>
        <w:jc w:val="right"/>
      </w:pPr>
      <w:r>
        <w:t xml:space="preserve">Załącznik nr </w:t>
      </w:r>
      <w:r w:rsidR="00AF1901">
        <w:t>4</w:t>
      </w:r>
      <w:r>
        <w:t xml:space="preserve"> do SWZ</w:t>
      </w:r>
    </w:p>
    <w:p w14:paraId="1FDB9924" w14:textId="77777777" w:rsidR="000B1609" w:rsidRDefault="000B1609" w:rsidP="00AF1901">
      <w:pPr>
        <w:pStyle w:val="Bezodstpw"/>
        <w:jc w:val="right"/>
      </w:pPr>
    </w:p>
    <w:p w14:paraId="0FD9434E" w14:textId="3B61E245" w:rsidR="000B1609" w:rsidRPr="000B1609" w:rsidRDefault="000B1609" w:rsidP="00810123">
      <w:pPr>
        <w:pStyle w:val="Bezodstpw"/>
        <w:jc w:val="center"/>
      </w:pPr>
      <w:r w:rsidRPr="000B1609">
        <w:t>Opis Przedmiotu Zamówienia</w:t>
      </w:r>
    </w:p>
    <w:p w14:paraId="1CF7C5C1" w14:textId="77777777" w:rsidR="000B1609" w:rsidRDefault="000B1609" w:rsidP="00AF1901">
      <w:pPr>
        <w:pStyle w:val="Bezodstpw"/>
      </w:pPr>
    </w:p>
    <w:p w14:paraId="686A3C5A" w14:textId="440AC0D9" w:rsidR="000B1609" w:rsidRPr="00AF1901" w:rsidRDefault="000B1609" w:rsidP="00AF1901">
      <w:pPr>
        <w:pStyle w:val="Bezodstpw"/>
      </w:pPr>
      <w:r w:rsidRPr="00AF1901">
        <w:t xml:space="preserve">Dotyczy: </w:t>
      </w:r>
      <w:r w:rsidR="00AF1901" w:rsidRPr="00AF1901">
        <w:t xml:space="preserve">postępowania pn. </w:t>
      </w:r>
      <w:r w:rsidRPr="00AF1901">
        <w:t>dostaw</w:t>
      </w:r>
      <w:r w:rsidR="00AF1901" w:rsidRPr="00AF1901">
        <w:t>a</w:t>
      </w:r>
      <w:r w:rsidRPr="00AF1901">
        <w:t xml:space="preserve"> aplikacji do zarządzania danymi biznesowymi, usługa wsparcia i rozwoju dla aplikacji do zarządzania danymi biznesowymi oraz usługa wsparcia i rozwoju dla MS Power BI, nr sprawy:  </w:t>
      </w:r>
      <w:r w:rsidR="00AF1901" w:rsidRPr="00AF1901">
        <w:t>7</w:t>
      </w:r>
      <w:r w:rsidRPr="00AF1901">
        <w:t>/PZP/D</w:t>
      </w:r>
      <w:r w:rsidR="00AF1901" w:rsidRPr="00AF1901">
        <w:t>BI</w:t>
      </w:r>
      <w:r w:rsidRPr="00AF1901">
        <w:t>/2021/BZN</w:t>
      </w:r>
    </w:p>
    <w:p w14:paraId="31B8D03C" w14:textId="77777777" w:rsidR="000B1609" w:rsidRPr="00167393" w:rsidRDefault="000B1609" w:rsidP="00AF1901">
      <w:pPr>
        <w:pStyle w:val="Bezodstpw"/>
      </w:pPr>
    </w:p>
    <w:p w14:paraId="4E9A2E39" w14:textId="77777777" w:rsidR="000B1609" w:rsidRPr="00167393" w:rsidRDefault="000B1609" w:rsidP="00FC4EE4">
      <w:pPr>
        <w:pStyle w:val="Akapitzlist"/>
        <w:numPr>
          <w:ilvl w:val="0"/>
          <w:numId w:val="12"/>
        </w:numPr>
        <w:spacing w:after="160" w:line="276" w:lineRule="auto"/>
        <w:ind w:left="0" w:firstLine="0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b/>
          <w:bCs/>
          <w:sz w:val="18"/>
          <w:szCs w:val="18"/>
        </w:rPr>
        <w:t>Dostawa aplikacji do zarządzania danymi biznesowymi</w:t>
      </w:r>
    </w:p>
    <w:p w14:paraId="0BEC1F45" w14:textId="77777777" w:rsidR="000B1609" w:rsidRPr="00167393" w:rsidRDefault="000B1609" w:rsidP="00167393">
      <w:pPr>
        <w:pStyle w:val="Default"/>
        <w:spacing w:line="276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167393">
        <w:rPr>
          <w:rFonts w:asciiTheme="majorHAnsi" w:hAnsiTheme="majorHAnsi"/>
          <w:sz w:val="18"/>
          <w:szCs w:val="18"/>
          <w:u w:val="single"/>
        </w:rPr>
        <w:t xml:space="preserve">Funkcjonalność </w:t>
      </w:r>
    </w:p>
    <w:p w14:paraId="7C785661" w14:textId="77777777" w:rsidR="000B1609" w:rsidRPr="00167393" w:rsidRDefault="000B1609" w:rsidP="00167393">
      <w:pPr>
        <w:pStyle w:val="Default"/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14:paraId="2F96CFE9" w14:textId="77777777" w:rsidR="000B1609" w:rsidRPr="00167393" w:rsidRDefault="000B1609" w:rsidP="00167393">
      <w:pPr>
        <w:pStyle w:val="Default"/>
        <w:spacing w:after="120" w:line="276" w:lineRule="auto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Aplikacja web pozwalająca na centralne zarządzanie danymi źródłowymi (raportami) wprowadzonymi przez kilkadziesiąt instytutów Sieci Badawczej Łukasiewicz dla co najmniej 4 obszarów - Finanse, Projekty, Komercjalizacja, HR, w oparciu o opracowaną strukturę danych.</w:t>
      </w:r>
      <w:r w:rsidRPr="00167393" w:rsidDel="007F1F07">
        <w:rPr>
          <w:rFonts w:asciiTheme="majorHAnsi" w:hAnsiTheme="majorHAnsi"/>
          <w:sz w:val="18"/>
          <w:szCs w:val="18"/>
        </w:rPr>
        <w:t xml:space="preserve"> </w:t>
      </w:r>
    </w:p>
    <w:p w14:paraId="47B2DD1C" w14:textId="6AFEE91E" w:rsidR="000B1609" w:rsidRPr="00167393" w:rsidRDefault="000B1609" w:rsidP="00167393">
      <w:pPr>
        <w:spacing w:line="276" w:lineRule="auto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Centrum Łukasiewicz powinno mieć możliwość modyfikowania  struktury formularzy sprawozdawczych, dodawania nowych obszarów sprawozdawczych oraz związanych </w:t>
      </w:r>
      <w:r w:rsidR="00167393" w:rsidRPr="00167393">
        <w:rPr>
          <w:rFonts w:asciiTheme="majorHAnsi" w:hAnsiTheme="majorHAnsi"/>
          <w:sz w:val="18"/>
          <w:szCs w:val="18"/>
        </w:rPr>
        <w:br/>
      </w:r>
      <w:r w:rsidRPr="00167393">
        <w:rPr>
          <w:rFonts w:asciiTheme="majorHAnsi" w:hAnsiTheme="majorHAnsi"/>
          <w:sz w:val="18"/>
          <w:szCs w:val="18"/>
        </w:rPr>
        <w:t>z nimi formularzy, w celu poszerzenia zakresu wprowadzanych danych.</w:t>
      </w:r>
    </w:p>
    <w:p w14:paraId="32C1CFB9" w14:textId="5BCDAC24" w:rsidR="000B1609" w:rsidRPr="00167393" w:rsidRDefault="000B1609" w:rsidP="00167393">
      <w:pPr>
        <w:spacing w:line="276" w:lineRule="auto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Wykonawca zobowiązuje się do obsługi Awarii systemu przez okres jednego roku kalendarzowego, w ramach opłaty za dostarczenie aplikacji. </w:t>
      </w:r>
    </w:p>
    <w:p w14:paraId="5B5B1D0B" w14:textId="77777777" w:rsidR="000B1609" w:rsidRPr="00167393" w:rsidRDefault="000B1609" w:rsidP="00167393">
      <w:pPr>
        <w:pStyle w:val="Default"/>
        <w:spacing w:line="276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167393">
        <w:rPr>
          <w:rFonts w:asciiTheme="majorHAnsi" w:hAnsiTheme="majorHAnsi"/>
          <w:sz w:val="18"/>
          <w:szCs w:val="18"/>
          <w:u w:val="single"/>
        </w:rPr>
        <w:t xml:space="preserve">Główne funkcje systemu: </w:t>
      </w:r>
    </w:p>
    <w:p w14:paraId="517623BC" w14:textId="77777777" w:rsidR="000B1609" w:rsidRPr="00167393" w:rsidRDefault="000B1609" w:rsidP="00FC4EE4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after="22"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zarządzanie strukturą i zakresem danych formatki (pola zdefiniowane przez użytkownika, konfigurowalne atrybuty i typy danych, dziedziczenie atrybutów na poszczególnych obszarach raportowych). Podstawowy zakres danych formatki zawarty został w arkuszach załącznika nr 1 do Opisu Przedmiotu Zamówienia.</w:t>
      </w:r>
    </w:p>
    <w:p w14:paraId="3C45BCFD" w14:textId="77777777" w:rsidR="000B1609" w:rsidRPr="00167393" w:rsidRDefault="000B1609" w:rsidP="00FC4EE4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after="22"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zarządzanie walidacją danych (pola słownikowe, wyrażenia regularne, maska); </w:t>
      </w:r>
    </w:p>
    <w:p w14:paraId="5A6FF9A5" w14:textId="77777777" w:rsidR="000B1609" w:rsidRPr="00167393" w:rsidRDefault="000B1609" w:rsidP="00FC4EE4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after="22"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obsługa przepływów pracy (</w:t>
      </w:r>
      <w:proofErr w:type="spellStart"/>
      <w:r w:rsidRPr="00167393">
        <w:rPr>
          <w:rFonts w:asciiTheme="majorHAnsi" w:hAnsiTheme="majorHAnsi"/>
          <w:sz w:val="18"/>
          <w:szCs w:val="18"/>
        </w:rPr>
        <w:t>workflow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) wprowadzania danych – statusy rekordów </w:t>
      </w:r>
      <w:r w:rsidRPr="00167393">
        <w:rPr>
          <w:rFonts w:asciiTheme="majorHAnsi" w:hAnsiTheme="majorHAnsi"/>
          <w:sz w:val="18"/>
          <w:szCs w:val="18"/>
        </w:rPr>
        <w:br/>
        <w:t>z uwzględnieniem zależności pomiędzy rolami a atrybutami określonymi na rekordach</w:t>
      </w:r>
    </w:p>
    <w:p w14:paraId="14C91093" w14:textId="77777777" w:rsidR="000B1609" w:rsidRPr="00167393" w:rsidRDefault="000B1609" w:rsidP="00FC4EE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22"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rekordy otwarte/robocze, </w:t>
      </w:r>
    </w:p>
    <w:p w14:paraId="008DA4E2" w14:textId="77777777" w:rsidR="000B1609" w:rsidRPr="00167393" w:rsidRDefault="000B1609" w:rsidP="00FC4EE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22"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rekordy zamknięte/zaakceptowane gotowe do synchronizacji z centralną bazą danych; </w:t>
      </w:r>
    </w:p>
    <w:p w14:paraId="54FB1E88" w14:textId="77777777" w:rsidR="000B1609" w:rsidRPr="00167393" w:rsidRDefault="000B1609" w:rsidP="00FC4EE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zarządzanie użytkownikami (do 1000 kont); </w:t>
      </w:r>
    </w:p>
    <w:p w14:paraId="40CF3C98" w14:textId="77777777" w:rsidR="000B1609" w:rsidRPr="00167393" w:rsidRDefault="000B1609" w:rsidP="00FC4EE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zarządzanie rolami oraz uprawnieniami – 3 podstawowe role: </w:t>
      </w:r>
    </w:p>
    <w:p w14:paraId="69547BD1" w14:textId="77777777" w:rsidR="000B1609" w:rsidRPr="00167393" w:rsidRDefault="000B1609" w:rsidP="00FC4EE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administrator – widzi wszystkie rekordy i zarządza strukturą danych oraz użytkownikami, </w:t>
      </w:r>
    </w:p>
    <w:p w14:paraId="691EF0A4" w14:textId="77777777" w:rsidR="000B1609" w:rsidRPr="00167393" w:rsidRDefault="000B1609" w:rsidP="00FC4EE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„Koordynator” - menedżer instytutu – widzi wszystkie rekordy dla danego obszaru </w:t>
      </w:r>
      <w:r w:rsidRPr="00167393">
        <w:rPr>
          <w:rFonts w:asciiTheme="majorHAnsi" w:hAnsiTheme="majorHAnsi"/>
          <w:sz w:val="18"/>
          <w:szCs w:val="18"/>
        </w:rPr>
        <w:br/>
        <w:t>w ramach swojej jednostki, zatwierdza raporty swojej jednostki,</w:t>
      </w:r>
    </w:p>
    <w:p w14:paraId="6302BD1C" w14:textId="77777777" w:rsidR="000B1609" w:rsidRPr="00167393" w:rsidRDefault="000B1609" w:rsidP="00FC4EE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„Sprawozdawca” – sprawozdawca obszaru w ramach instytutu – widzi rekordy wprowadzone przez siebie dla swojego instytutu, w ramach swojego obszaru, przekazuje raporty do zatwierdzenia Koordynatorowi;</w:t>
      </w:r>
    </w:p>
    <w:p w14:paraId="7B1DCCD6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rejestracja aktywności użytkowników (komentarze użytkowników na poziomie rekordów, historia operacji wykonanych na danych); </w:t>
      </w:r>
    </w:p>
    <w:p w14:paraId="41481CA3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notyfikacje mailowe (zmiany na rekordach, zlecanie nowych zadań/rekordów </w:t>
      </w:r>
      <w:r w:rsidRPr="00167393">
        <w:rPr>
          <w:rFonts w:asciiTheme="majorHAnsi" w:hAnsiTheme="majorHAnsi"/>
          <w:sz w:val="18"/>
          <w:szCs w:val="18"/>
        </w:rPr>
        <w:br/>
        <w:t xml:space="preserve">do uzupełnienia); </w:t>
      </w:r>
    </w:p>
    <w:p w14:paraId="067F6C77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167393">
        <w:rPr>
          <w:rFonts w:asciiTheme="majorHAnsi" w:hAnsiTheme="majorHAnsi"/>
          <w:sz w:val="18"/>
          <w:szCs w:val="18"/>
          <w:lang w:val="en-US"/>
        </w:rPr>
        <w:t>integracja</w:t>
      </w:r>
      <w:proofErr w:type="spellEnd"/>
      <w:r w:rsidRPr="00167393">
        <w:rPr>
          <w:rFonts w:asciiTheme="majorHAnsi" w:hAnsiTheme="majorHAnsi"/>
          <w:sz w:val="18"/>
          <w:szCs w:val="18"/>
          <w:lang w:val="en-US"/>
        </w:rPr>
        <w:t xml:space="preserve"> z Azure Active Directory;</w:t>
      </w:r>
    </w:p>
    <w:p w14:paraId="6170BD23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możliwość eksportu danych z zatwierdzonych raportów w aplikacji do </w:t>
      </w:r>
      <w:proofErr w:type="spellStart"/>
      <w:r w:rsidRPr="00167393">
        <w:rPr>
          <w:rFonts w:asciiTheme="majorHAnsi" w:hAnsiTheme="majorHAnsi"/>
          <w:sz w:val="18"/>
          <w:szCs w:val="18"/>
        </w:rPr>
        <w:t>dashboardów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 przygotowanych w oprogramowaniu MS Power BI (synchronizacji z centralną bazą danych);</w:t>
      </w:r>
    </w:p>
    <w:p w14:paraId="3D14D27D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możliwość eksportu bazy danych do pliku w formacie .</w:t>
      </w:r>
      <w:proofErr w:type="spellStart"/>
      <w:r w:rsidRPr="00167393">
        <w:rPr>
          <w:rFonts w:asciiTheme="majorHAnsi" w:hAnsiTheme="majorHAnsi"/>
          <w:sz w:val="18"/>
          <w:szCs w:val="18"/>
        </w:rPr>
        <w:t>csv</w:t>
      </w:r>
      <w:proofErr w:type="spellEnd"/>
      <w:r w:rsidRPr="00167393">
        <w:rPr>
          <w:rFonts w:asciiTheme="majorHAnsi" w:hAnsiTheme="majorHAnsi"/>
          <w:sz w:val="18"/>
          <w:szCs w:val="18"/>
        </w:rPr>
        <w:t>, .</w:t>
      </w:r>
      <w:proofErr w:type="spellStart"/>
      <w:r w:rsidRPr="00167393">
        <w:rPr>
          <w:rFonts w:asciiTheme="majorHAnsi" w:hAnsiTheme="majorHAnsi"/>
          <w:sz w:val="18"/>
          <w:szCs w:val="18"/>
        </w:rPr>
        <w:t>xlsx</w:t>
      </w:r>
      <w:proofErr w:type="spellEnd"/>
      <w:r w:rsidRPr="00167393">
        <w:rPr>
          <w:rFonts w:asciiTheme="majorHAnsi" w:hAnsiTheme="majorHAnsi"/>
          <w:sz w:val="18"/>
          <w:szCs w:val="18"/>
        </w:rPr>
        <w:t>, .pdf lub innym, umożliwiającym prace analityczne z wykorzystaniem podstawowych narzędzi pakietu Office365;</w:t>
      </w:r>
    </w:p>
    <w:p w14:paraId="62DBD907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lastRenderedPageBreak/>
        <w:t>możliwość przygotowywania raportów bieżących w oparciu o raporty z okresów poprzedzających;</w:t>
      </w:r>
    </w:p>
    <w:p w14:paraId="2721D6A8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możliwość </w:t>
      </w:r>
      <w:proofErr w:type="spellStart"/>
      <w:r w:rsidRPr="00167393">
        <w:rPr>
          <w:rFonts w:asciiTheme="majorHAnsi" w:hAnsiTheme="majorHAnsi"/>
          <w:sz w:val="18"/>
          <w:szCs w:val="18"/>
        </w:rPr>
        <w:t>uploadowania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 plików do przygotowanej w tym celu przestrzeni systemu;</w:t>
      </w:r>
    </w:p>
    <w:p w14:paraId="5834C133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zarządzanie i konfiguracja kwerend do bazy danych (widoki raportowe wg zadanej struktury);</w:t>
      </w:r>
    </w:p>
    <w:p w14:paraId="7AE49704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zarządzanie </w:t>
      </w:r>
      <w:proofErr w:type="spellStart"/>
      <w:r w:rsidRPr="00167393">
        <w:rPr>
          <w:rFonts w:asciiTheme="majorHAnsi" w:hAnsiTheme="majorHAnsi"/>
          <w:sz w:val="18"/>
          <w:szCs w:val="18"/>
        </w:rPr>
        <w:t>projetkami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 (obszarami raportowymi);</w:t>
      </w:r>
    </w:p>
    <w:p w14:paraId="2E827E53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zarządzanie zadaniami na projekcie (obszarze raportowym);</w:t>
      </w:r>
    </w:p>
    <w:p w14:paraId="5F34F205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wbudowany widok tabeli przestawnej dla szybkiej analizy danych;</w:t>
      </w:r>
    </w:p>
    <w:p w14:paraId="0D3588AE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zarządzanie forum dyskusyjnym;</w:t>
      </w:r>
    </w:p>
    <w:p w14:paraId="59C92D09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zarządzanie </w:t>
      </w:r>
      <w:proofErr w:type="spellStart"/>
      <w:r w:rsidRPr="00167393">
        <w:rPr>
          <w:rFonts w:asciiTheme="majorHAnsi" w:hAnsiTheme="majorHAnsi"/>
          <w:sz w:val="18"/>
          <w:szCs w:val="18"/>
        </w:rPr>
        <w:t>wiki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 projektowym (baza wiedzy);</w:t>
      </w:r>
    </w:p>
    <w:p w14:paraId="15D1AA75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wbudowany chat do szybkiej komunikacji ad-hoc;</w:t>
      </w:r>
    </w:p>
    <w:p w14:paraId="27850B78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color w:val="000000" w:themeColor="text1"/>
          <w:sz w:val="18"/>
          <w:szCs w:val="18"/>
        </w:rPr>
        <w:t>wysyłka komunikatów projektowych.</w:t>
      </w:r>
    </w:p>
    <w:p w14:paraId="3615C094" w14:textId="77777777" w:rsidR="000B1609" w:rsidRPr="00167393" w:rsidRDefault="000B1609" w:rsidP="00167393">
      <w:pPr>
        <w:pStyle w:val="Default"/>
        <w:spacing w:line="276" w:lineRule="auto"/>
        <w:ind w:hanging="502"/>
        <w:jc w:val="both"/>
        <w:rPr>
          <w:rFonts w:asciiTheme="majorHAnsi" w:hAnsiTheme="majorHAnsi"/>
          <w:sz w:val="18"/>
          <w:szCs w:val="18"/>
        </w:rPr>
      </w:pPr>
    </w:p>
    <w:p w14:paraId="7B89BA44" w14:textId="77777777" w:rsidR="000B1609" w:rsidRPr="00167393" w:rsidRDefault="000B1609" w:rsidP="00167393">
      <w:pPr>
        <w:pStyle w:val="Default"/>
        <w:spacing w:line="276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167393">
        <w:rPr>
          <w:rFonts w:asciiTheme="majorHAnsi" w:hAnsiTheme="majorHAnsi"/>
          <w:sz w:val="18"/>
          <w:szCs w:val="18"/>
          <w:u w:val="single"/>
        </w:rPr>
        <w:t xml:space="preserve">Wymagania technologiczne i </w:t>
      </w:r>
      <w:proofErr w:type="spellStart"/>
      <w:r w:rsidRPr="00167393">
        <w:rPr>
          <w:rFonts w:asciiTheme="majorHAnsi" w:hAnsiTheme="majorHAnsi"/>
          <w:sz w:val="18"/>
          <w:szCs w:val="18"/>
          <w:u w:val="single"/>
        </w:rPr>
        <w:t>pozafunkcjonalne</w:t>
      </w:r>
      <w:proofErr w:type="spellEnd"/>
      <w:r w:rsidRPr="00167393">
        <w:rPr>
          <w:rFonts w:asciiTheme="majorHAnsi" w:hAnsiTheme="majorHAnsi"/>
          <w:sz w:val="18"/>
          <w:szCs w:val="18"/>
          <w:u w:val="single"/>
        </w:rPr>
        <w:t>:</w:t>
      </w:r>
    </w:p>
    <w:p w14:paraId="6DBBADFF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system powinien działać w środowisku </w:t>
      </w:r>
      <w:proofErr w:type="spellStart"/>
      <w:r w:rsidRPr="00167393">
        <w:rPr>
          <w:rFonts w:asciiTheme="majorHAnsi" w:hAnsiTheme="majorHAnsi"/>
          <w:sz w:val="18"/>
          <w:szCs w:val="18"/>
        </w:rPr>
        <w:t>zwirtualizowanym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 umożliwiającym elastyczne zarządzanie zasobami (procesor, pamięć, przestrzeń dyskowa);</w:t>
      </w:r>
    </w:p>
    <w:p w14:paraId="540F1409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system powinien działać na otwartych dystrybucjach systemu GNU Linux (preferowana najnowsza wersja </w:t>
      </w:r>
      <w:proofErr w:type="spellStart"/>
      <w:r w:rsidRPr="00167393">
        <w:rPr>
          <w:rFonts w:asciiTheme="majorHAnsi" w:hAnsiTheme="majorHAnsi"/>
          <w:sz w:val="18"/>
          <w:szCs w:val="18"/>
        </w:rPr>
        <w:t>Ubuntu</w:t>
      </w:r>
      <w:proofErr w:type="spellEnd"/>
      <w:r w:rsidRPr="00167393">
        <w:rPr>
          <w:rFonts w:asciiTheme="majorHAnsi" w:hAnsiTheme="majorHAnsi"/>
          <w:sz w:val="18"/>
          <w:szCs w:val="18"/>
        </w:rPr>
        <w:t xml:space="preserve"> LTS);</w:t>
      </w:r>
    </w:p>
    <w:p w14:paraId="6180759C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system powinien wspierać otwarte, relacyjne bazy danych: MySQL, </w:t>
      </w:r>
      <w:proofErr w:type="spellStart"/>
      <w:r w:rsidRPr="00167393">
        <w:rPr>
          <w:rFonts w:asciiTheme="majorHAnsi" w:hAnsiTheme="majorHAnsi"/>
          <w:sz w:val="18"/>
          <w:szCs w:val="18"/>
        </w:rPr>
        <w:t>PostgreSQL</w:t>
      </w:r>
      <w:proofErr w:type="spellEnd"/>
      <w:r w:rsidRPr="00167393">
        <w:rPr>
          <w:rFonts w:asciiTheme="majorHAnsi" w:hAnsiTheme="majorHAnsi"/>
          <w:sz w:val="18"/>
          <w:szCs w:val="18"/>
        </w:rPr>
        <w:t>;</w:t>
      </w:r>
    </w:p>
    <w:p w14:paraId="182CC16F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system powinien działać we współczesnych (2021 r.) przeglądarkach internetowych (Chrome, </w:t>
      </w:r>
      <w:proofErr w:type="spellStart"/>
      <w:r w:rsidRPr="00167393">
        <w:rPr>
          <w:rFonts w:asciiTheme="majorHAnsi" w:hAnsiTheme="majorHAnsi"/>
          <w:sz w:val="18"/>
          <w:szCs w:val="18"/>
        </w:rPr>
        <w:t>Firefox</w:t>
      </w:r>
      <w:proofErr w:type="spellEnd"/>
      <w:r w:rsidRPr="00167393">
        <w:rPr>
          <w:rFonts w:asciiTheme="majorHAnsi" w:hAnsiTheme="majorHAnsi"/>
          <w:sz w:val="18"/>
          <w:szCs w:val="18"/>
        </w:rPr>
        <w:t>, Safari);</w:t>
      </w:r>
    </w:p>
    <w:p w14:paraId="0805780C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system powinien zapewnić ergonomiczne działanie na urządzeniach mobilnych </w:t>
      </w:r>
      <w:r w:rsidRPr="00167393">
        <w:rPr>
          <w:rFonts w:asciiTheme="majorHAnsi" w:hAnsiTheme="majorHAnsi"/>
          <w:sz w:val="18"/>
          <w:szCs w:val="18"/>
        </w:rPr>
        <w:br/>
        <w:t>w przeglądarkach internetowych (RWD);</w:t>
      </w:r>
    </w:p>
    <w:p w14:paraId="54DB2B17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system powinien być w stanie funkcjonować na następujących minimalnych parametrach sprzętowych:</w:t>
      </w:r>
    </w:p>
    <w:p w14:paraId="7710FD2D" w14:textId="77777777" w:rsidR="000B1609" w:rsidRPr="00167393" w:rsidRDefault="000B1609" w:rsidP="00FC4EE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167393">
        <w:rPr>
          <w:rFonts w:asciiTheme="majorHAnsi" w:hAnsiTheme="majorHAnsi"/>
          <w:sz w:val="18"/>
          <w:szCs w:val="18"/>
          <w:lang w:val="en-US"/>
        </w:rPr>
        <w:t>procesor</w:t>
      </w:r>
      <w:proofErr w:type="spellEnd"/>
      <w:r w:rsidRPr="00167393">
        <w:rPr>
          <w:rFonts w:asciiTheme="majorHAnsi" w:hAnsiTheme="majorHAnsi"/>
          <w:sz w:val="18"/>
          <w:szCs w:val="18"/>
          <w:lang w:val="en-US"/>
        </w:rPr>
        <w:t xml:space="preserve"> Intel Xeon E5440 @ 2.83GHz,</w:t>
      </w:r>
    </w:p>
    <w:p w14:paraId="61CD8FCC" w14:textId="77777777" w:rsidR="000B1609" w:rsidRPr="00167393" w:rsidRDefault="000B1609" w:rsidP="00FC4EE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pamięć operacyjna 4 GB RAM,</w:t>
      </w:r>
    </w:p>
    <w:p w14:paraId="2612670B" w14:textId="77777777" w:rsidR="000B1609" w:rsidRPr="00167393" w:rsidRDefault="000B1609" w:rsidP="00FC4EE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dysk twardy 20 GB;</w:t>
      </w:r>
    </w:p>
    <w:p w14:paraId="2B07D3FC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system powinien zapewnić obsługę do 1000 użytkowników, w tym 50 użytkowników symultanicznych dla powyższych minimalnych parametrów sprzętowych;</w:t>
      </w:r>
    </w:p>
    <w:p w14:paraId="665C2CDB" w14:textId="3C6AC191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 xml:space="preserve">system powinien zapewnić spełnienie standardów bezpieczeństwa aplikacji webowych, codzienne kopie bezpieczeństwa oraz szyfrowanie ruchu sieciowego w oparciu </w:t>
      </w:r>
      <w:r w:rsidR="00810123">
        <w:rPr>
          <w:rFonts w:asciiTheme="majorHAnsi" w:hAnsiTheme="majorHAnsi"/>
          <w:sz w:val="18"/>
          <w:szCs w:val="18"/>
        </w:rPr>
        <w:br/>
      </w:r>
      <w:r w:rsidRPr="00167393">
        <w:rPr>
          <w:rFonts w:asciiTheme="majorHAnsi" w:hAnsiTheme="majorHAnsi"/>
          <w:sz w:val="18"/>
          <w:szCs w:val="18"/>
        </w:rPr>
        <w:t>o TLS/SSL;</w:t>
      </w:r>
    </w:p>
    <w:p w14:paraId="7931C43E" w14:textId="77777777" w:rsidR="000B1609" w:rsidRPr="00167393" w:rsidRDefault="000B1609" w:rsidP="00FC4EE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t>system powinien zostać bezpiecznie udostępniony użytkownikom w sieci Internet.</w:t>
      </w:r>
    </w:p>
    <w:p w14:paraId="054273F1" w14:textId="268237BA" w:rsidR="000B1609" w:rsidRDefault="000B1609" w:rsidP="00167393">
      <w:pPr>
        <w:pStyle w:val="Default"/>
        <w:spacing w:line="276" w:lineRule="auto"/>
        <w:ind w:hanging="502"/>
        <w:jc w:val="both"/>
        <w:rPr>
          <w:rFonts w:asciiTheme="majorHAnsi" w:hAnsiTheme="majorHAnsi"/>
          <w:sz w:val="18"/>
          <w:szCs w:val="18"/>
        </w:rPr>
      </w:pPr>
    </w:p>
    <w:p w14:paraId="222251ED" w14:textId="2CF73E4F" w:rsidR="000B1609" w:rsidRPr="00360D83" w:rsidRDefault="00810123" w:rsidP="00360D83">
      <w:pPr>
        <w:spacing w:line="276" w:lineRule="auto"/>
        <w:rPr>
          <w:rStyle w:val="HTML-staaszeroko"/>
          <w:rFonts w:asciiTheme="majorHAnsi" w:hAnsiTheme="majorHAnsi" w:cs="Times New Roman"/>
          <w:sz w:val="18"/>
          <w:szCs w:val="18"/>
        </w:rPr>
      </w:pPr>
      <w:r>
        <w:rPr>
          <w:rStyle w:val="HTML-staaszeroko"/>
          <w:rFonts w:asciiTheme="majorHAnsi" w:hAnsiTheme="majorHAnsi" w:cs="Times New Roman"/>
          <w:sz w:val="18"/>
          <w:szCs w:val="18"/>
        </w:rPr>
        <w:t>Wykonawca</w:t>
      </w:r>
      <w:r w:rsidR="00360D83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 przekaże w ramach umowy prawa autorskie do powstałych w trakcie jej trwania utworów, w tym</w:t>
      </w:r>
      <w:r w:rsidR="00360D83" w:rsidRPr="00167393" w:rsidDel="00C91C3C">
        <w:rPr>
          <w:rStyle w:val="HTML-staaszeroko"/>
          <w:rFonts w:asciiTheme="majorHAnsi" w:hAnsiTheme="majorHAnsi" w:cs="Times New Roman"/>
          <w:sz w:val="18"/>
          <w:szCs w:val="18"/>
        </w:rPr>
        <w:t xml:space="preserve"> </w:t>
      </w:r>
      <w:r w:rsidR="00360D83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modelu danych oraz kodów, raportów i </w:t>
      </w:r>
      <w:proofErr w:type="spellStart"/>
      <w:r w:rsidR="00360D83" w:rsidRPr="00167393">
        <w:rPr>
          <w:rStyle w:val="HTML-staaszeroko"/>
          <w:rFonts w:asciiTheme="majorHAnsi" w:hAnsiTheme="majorHAnsi" w:cs="Times New Roman"/>
          <w:sz w:val="18"/>
          <w:szCs w:val="18"/>
        </w:rPr>
        <w:t>dashboardów</w:t>
      </w:r>
      <w:proofErr w:type="spellEnd"/>
      <w:r w:rsidR="00360D83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. Wycenę kosztu przekazania wszelkich kodów wraz z prawami oraz konfiguracji systemu </w:t>
      </w:r>
      <w:r>
        <w:rPr>
          <w:rStyle w:val="HTML-staaszeroko"/>
          <w:rFonts w:asciiTheme="majorHAnsi" w:hAnsiTheme="majorHAnsi" w:cs="Times New Roman"/>
          <w:sz w:val="18"/>
          <w:szCs w:val="18"/>
        </w:rPr>
        <w:br/>
      </w:r>
      <w:r w:rsidR="00360D83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na infrastrukturze Zamawiającego, Wykonawca zobowiązany jest przedstawić </w:t>
      </w:r>
      <w:r>
        <w:rPr>
          <w:rStyle w:val="HTML-staaszeroko"/>
          <w:rFonts w:asciiTheme="majorHAnsi" w:hAnsiTheme="majorHAnsi" w:cs="Times New Roman"/>
          <w:sz w:val="18"/>
          <w:szCs w:val="18"/>
        </w:rPr>
        <w:br/>
      </w:r>
      <w:r w:rsidR="00360D83" w:rsidRPr="00167393">
        <w:rPr>
          <w:rStyle w:val="HTML-staaszeroko"/>
          <w:rFonts w:asciiTheme="majorHAnsi" w:hAnsiTheme="majorHAnsi" w:cs="Times New Roman"/>
          <w:sz w:val="18"/>
          <w:szCs w:val="18"/>
        </w:rPr>
        <w:t>w ofercie.</w:t>
      </w:r>
    </w:p>
    <w:p w14:paraId="19ADC59F" w14:textId="77777777" w:rsidR="000B1609" w:rsidRPr="00167393" w:rsidRDefault="000B1609" w:rsidP="00FC4EE4">
      <w:pPr>
        <w:pStyle w:val="Akapitzlist"/>
        <w:numPr>
          <w:ilvl w:val="0"/>
          <w:numId w:val="12"/>
        </w:numPr>
        <w:spacing w:after="160" w:line="276" w:lineRule="auto"/>
        <w:ind w:left="0" w:firstLine="0"/>
        <w:rPr>
          <w:rFonts w:asciiTheme="majorHAnsi" w:eastAsia="Verdana" w:hAnsiTheme="majorHAnsi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  <w:u w:val="single"/>
        </w:rPr>
        <w:t>Usługa wsparcia oraz rozwoju dla aplikacji do zarządzania danymi biznesowymi:</w:t>
      </w:r>
      <w:r w:rsidRPr="00167393">
        <w:rPr>
          <w:rFonts w:asciiTheme="majorHAnsi" w:hAnsiTheme="majorHAnsi"/>
          <w:b/>
          <w:bCs/>
          <w:sz w:val="18"/>
          <w:szCs w:val="18"/>
        </w:rPr>
        <w:br/>
      </w:r>
      <w:r w:rsidRPr="00167393">
        <w:rPr>
          <w:rFonts w:asciiTheme="majorHAnsi" w:hAnsiTheme="majorHAnsi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>Wsparcie (pakiet miesięczny, do wykorzystania w danym miesiącu oraz dodatkowo pakiet roczny – do wykorzystania w trakcie trwania umowy):</w:t>
      </w:r>
    </w:p>
    <w:p w14:paraId="3A83140B" w14:textId="77777777" w:rsidR="000B1609" w:rsidRPr="00167393" w:rsidRDefault="000B1609" w:rsidP="00167393">
      <w:pPr>
        <w:pStyle w:val="Akapitzlist"/>
        <w:spacing w:after="160" w:line="276" w:lineRule="auto"/>
        <w:ind w:left="0"/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 xml:space="preserve">Pakiet </w:t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  <w:lang w:eastAsia="pl-PL"/>
        </w:rPr>
        <w:t xml:space="preserve">godzin rozwojowych </w:t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>miesięczny: 10 godzin miesięcznie</w:t>
      </w:r>
    </w:p>
    <w:p w14:paraId="51A4B513" w14:textId="77777777" w:rsidR="000B1609" w:rsidRPr="00167393" w:rsidRDefault="000B1609" w:rsidP="00167393">
      <w:pPr>
        <w:pStyle w:val="Akapitzlist"/>
        <w:spacing w:after="160" w:line="276" w:lineRule="auto"/>
        <w:ind w:left="0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  <w:lang w:eastAsia="pl-PL"/>
        </w:rPr>
        <w:t>Pakiet godzin rozwojowych roczny: 240 godzin</w:t>
      </w:r>
    </w:p>
    <w:p w14:paraId="36C373E4" w14:textId="735230A4" w:rsidR="000B1609" w:rsidRPr="00167393" w:rsidRDefault="000B1609" w:rsidP="00167393">
      <w:pPr>
        <w:pStyle w:val="Akapitzlist"/>
        <w:spacing w:after="160" w:line="276" w:lineRule="auto"/>
        <w:ind w:left="0" w:hanging="502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W ramach umowy wsparcia dostawca powinien świadczyć dla zamawiającego usługi </w:t>
      </w:r>
      <w:r w:rsidR="00167393">
        <w:rPr>
          <w:rStyle w:val="HTML-staaszeroko"/>
          <w:rFonts w:asciiTheme="majorHAnsi" w:hAnsiTheme="majorHAnsi" w:cs="Times New Roman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w następującym zakresie:</w:t>
      </w:r>
    </w:p>
    <w:p w14:paraId="0341D171" w14:textId="77777777" w:rsidR="000B1609" w:rsidRPr="00167393" w:rsidRDefault="000B1609" w:rsidP="00FC4EE4">
      <w:pPr>
        <w:pStyle w:val="Akapitzlist"/>
        <w:numPr>
          <w:ilvl w:val="0"/>
          <w:numId w:val="11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bieżące konsultacje w zakresie użytkowania aplikacji,</w:t>
      </w:r>
    </w:p>
    <w:p w14:paraId="0F0C86D7" w14:textId="77777777" w:rsidR="000B1609" w:rsidRPr="00167393" w:rsidRDefault="000B1609" w:rsidP="00FC4EE4">
      <w:pPr>
        <w:pStyle w:val="Akapitzlist"/>
        <w:numPr>
          <w:ilvl w:val="0"/>
          <w:numId w:val="11"/>
        </w:numPr>
        <w:spacing w:after="160" w:line="276" w:lineRule="auto"/>
        <w:ind w:left="426" w:hanging="426"/>
        <w:rPr>
          <w:rStyle w:val="HTML-staaszeroko"/>
          <w:rFonts w:asciiTheme="majorHAnsi" w:eastAsia="Times New Roman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realizacja zleconych prac konfiguracyjnych i naprawczych w aplikacji,</w:t>
      </w:r>
    </w:p>
    <w:p w14:paraId="6E9D8EB7" w14:textId="77777777" w:rsidR="000B1609" w:rsidRPr="00167393" w:rsidRDefault="000B1609" w:rsidP="00FC4EE4">
      <w:pPr>
        <w:pStyle w:val="Akapitzlist"/>
        <w:numPr>
          <w:ilvl w:val="0"/>
          <w:numId w:val="11"/>
        </w:numPr>
        <w:spacing w:after="160" w:line="276" w:lineRule="auto"/>
        <w:ind w:left="426" w:hanging="426"/>
        <w:rPr>
          <w:rStyle w:val="HTML-staaszeroko"/>
          <w:rFonts w:asciiTheme="majorHAnsi" w:eastAsia="Times New Roman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lastRenderedPageBreak/>
        <w:t>kontrola nad poprawnością funkcjonowania mechanizmów synchronizacji bazy danych aplikacji z centralną bazą danych.</w:t>
      </w:r>
    </w:p>
    <w:p w14:paraId="1144328C" w14:textId="5406D7D6" w:rsidR="000B1609" w:rsidRPr="00167393" w:rsidRDefault="000B1609" w:rsidP="00167393">
      <w:pPr>
        <w:pStyle w:val="Akapitzlist"/>
        <w:spacing w:after="160" w:line="276" w:lineRule="auto"/>
        <w:ind w:left="0" w:hanging="502"/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>Rozwój:</w:t>
      </w:r>
    </w:p>
    <w:p w14:paraId="0053D617" w14:textId="77777777" w:rsidR="000B1609" w:rsidRPr="00167393" w:rsidRDefault="000B1609" w:rsidP="00FC4EE4">
      <w:pPr>
        <w:pStyle w:val="Akapitzlist"/>
        <w:numPr>
          <w:ilvl w:val="0"/>
          <w:numId w:val="14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Rozszerzenie i modyfikacja dotychczas wykorzystywanych formularzy sprawozdawczych </w:t>
      </w: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br/>
        <w:t>o nowe atrybuty;</w:t>
      </w:r>
    </w:p>
    <w:p w14:paraId="2B48F0CC" w14:textId="77777777" w:rsidR="000B1609" w:rsidRPr="00167393" w:rsidRDefault="000B1609" w:rsidP="00FC4EE4">
      <w:pPr>
        <w:pStyle w:val="Akapitzlist"/>
        <w:numPr>
          <w:ilvl w:val="0"/>
          <w:numId w:val="14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Przygotowanie nowego obszaru sprawozdawczości oraz formularza sprawozdawczego z nim związanego;</w:t>
      </w:r>
    </w:p>
    <w:p w14:paraId="284A7DAE" w14:textId="77777777" w:rsidR="000B1609" w:rsidRPr="00167393" w:rsidRDefault="000B1609" w:rsidP="00FC4EE4">
      <w:pPr>
        <w:pStyle w:val="Akapitzlist"/>
        <w:numPr>
          <w:ilvl w:val="0"/>
          <w:numId w:val="14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Usprawnienia funkcjonalności związanych z wypełnianiem, zatwierdzaniem oraz modyfikowaniem treści formularzy;</w:t>
      </w:r>
    </w:p>
    <w:p w14:paraId="4CC44D95" w14:textId="27C8BD89" w:rsidR="000B1609" w:rsidRPr="00167393" w:rsidRDefault="00810123" w:rsidP="00167393">
      <w:pPr>
        <w:spacing w:line="276" w:lineRule="auto"/>
        <w:rPr>
          <w:rStyle w:val="HTML-staaszeroko"/>
          <w:rFonts w:asciiTheme="majorHAnsi" w:hAnsiTheme="majorHAnsi" w:cs="Times New Roman"/>
          <w:sz w:val="18"/>
          <w:szCs w:val="18"/>
        </w:rPr>
      </w:pPr>
      <w:r>
        <w:rPr>
          <w:rStyle w:val="HTML-staaszeroko"/>
          <w:rFonts w:asciiTheme="majorHAnsi" w:hAnsiTheme="majorHAnsi" w:cs="Times New Roman"/>
          <w:sz w:val="18"/>
          <w:szCs w:val="18"/>
        </w:rPr>
        <w:t>Wykonawca</w:t>
      </w:r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 przekaże w ramach umowy prawa autorskie do powstałych w trakcie jej trwania utworów, w tym kodu źródłowego, skryptów i plików konfiguracyjnych, schematów bazodanowych oraz kodu bazodanowego. Wycenę kosztu przekazania wszelkich kodów wraz z prawami oraz konfiguracji systemu na infrastrukturze Zamawiającego, Wykonawca zobowiązany jest przedstawić w ofercie.</w:t>
      </w:r>
    </w:p>
    <w:p w14:paraId="21E13103" w14:textId="77777777" w:rsidR="000B1609" w:rsidRPr="00167393" w:rsidRDefault="000B1609" w:rsidP="00167393">
      <w:pPr>
        <w:spacing w:after="160" w:line="276" w:lineRule="auto"/>
        <w:ind w:hanging="502"/>
        <w:rPr>
          <w:rStyle w:val="HTML-staaszeroko"/>
          <w:rFonts w:asciiTheme="majorHAnsi" w:hAnsiTheme="majorHAnsi" w:cs="Times New Roman"/>
          <w:sz w:val="18"/>
          <w:szCs w:val="18"/>
        </w:rPr>
      </w:pPr>
    </w:p>
    <w:p w14:paraId="4D44AAF1" w14:textId="77777777" w:rsidR="000B1609" w:rsidRPr="00167393" w:rsidRDefault="000B1609" w:rsidP="00FC4EE4">
      <w:pPr>
        <w:pStyle w:val="Akapitzlist"/>
        <w:numPr>
          <w:ilvl w:val="0"/>
          <w:numId w:val="12"/>
        </w:numPr>
        <w:spacing w:after="160" w:line="276" w:lineRule="auto"/>
        <w:ind w:left="0" w:firstLine="0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  <w:u w:val="single"/>
        </w:rPr>
        <w:t>Usługa wsparcia oraz rozwoju dla MS Power BI*:</w:t>
      </w:r>
    </w:p>
    <w:p w14:paraId="5E5EB99D" w14:textId="77777777" w:rsidR="000B1609" w:rsidRPr="00167393" w:rsidRDefault="000B1609" w:rsidP="00167393">
      <w:pPr>
        <w:pStyle w:val="Akapitzlist"/>
        <w:spacing w:after="160" w:line="276" w:lineRule="auto"/>
        <w:ind w:left="0" w:hanging="502"/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</w:pPr>
    </w:p>
    <w:p w14:paraId="7303A29C" w14:textId="77777777" w:rsidR="000B1609" w:rsidRPr="00167393" w:rsidRDefault="000B1609" w:rsidP="00167393">
      <w:pPr>
        <w:pStyle w:val="Akapitzlist"/>
        <w:spacing w:after="160" w:line="276" w:lineRule="auto"/>
        <w:ind w:left="0"/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>Wsparcie (pakiet miesięczny, do wykorzystania w danym miesiącu oraz dodatkowo pakiet roczny – do wykorzystania w trakcie trwania umowy):</w:t>
      </w:r>
    </w:p>
    <w:p w14:paraId="6D822E0F" w14:textId="77777777" w:rsidR="000B1609" w:rsidRPr="00167393" w:rsidRDefault="000B1609" w:rsidP="00167393">
      <w:pPr>
        <w:pStyle w:val="Akapitzlist"/>
        <w:spacing w:after="160" w:line="276" w:lineRule="auto"/>
        <w:ind w:left="0"/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</w:pPr>
      <w:r w:rsidRPr="00167393">
        <w:rPr>
          <w:rFonts w:asciiTheme="majorHAnsi" w:hAnsiTheme="majorHAnsi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 xml:space="preserve">Pakiet </w:t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  <w:lang w:eastAsia="pl-PL"/>
        </w:rPr>
        <w:t xml:space="preserve">godzin rozwojowych </w:t>
      </w: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>miesięczny: 20 godzin</w:t>
      </w:r>
    </w:p>
    <w:p w14:paraId="362DEB2A" w14:textId="77777777" w:rsidR="000B1609" w:rsidRPr="00167393" w:rsidRDefault="000B1609" w:rsidP="00167393">
      <w:pPr>
        <w:pStyle w:val="Akapitzlist"/>
        <w:spacing w:after="160" w:line="276" w:lineRule="auto"/>
        <w:ind w:left="0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  <w:lang w:eastAsia="pl-PL"/>
        </w:rPr>
        <w:t>Pakiet godzin rozwojowych roczny: 320 godzin</w:t>
      </w:r>
    </w:p>
    <w:p w14:paraId="1AA36B86" w14:textId="77777777" w:rsidR="000B1609" w:rsidRPr="00167393" w:rsidRDefault="000B1609" w:rsidP="00167393">
      <w:pPr>
        <w:spacing w:line="276" w:lineRule="auto"/>
        <w:rPr>
          <w:rFonts w:asciiTheme="majorHAnsi" w:hAnsiTheme="majorHAnsi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W ramach umowy wsparcia, w zależności do wybranego pakietu, dostawca powinien świadczyć dla Zamawiającego usługi w następującym zakresie:</w:t>
      </w:r>
    </w:p>
    <w:p w14:paraId="0A60AF2D" w14:textId="66098850" w:rsidR="000B1609" w:rsidRPr="00167393" w:rsidRDefault="000B1609" w:rsidP="00FC4EE4">
      <w:pPr>
        <w:pStyle w:val="Akapitzlist"/>
        <w:numPr>
          <w:ilvl w:val="0"/>
          <w:numId w:val="13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analiza i development  </w:t>
      </w:r>
      <w:proofErr w:type="spellStart"/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zródła</w:t>
      </w:r>
      <w:proofErr w:type="spellEnd"/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 danych, modelu danych oraz raportów funkcjonujących w aplikacji MS Power BI,</w:t>
      </w:r>
    </w:p>
    <w:p w14:paraId="3A2D0D5E" w14:textId="77777777" w:rsidR="000B1609" w:rsidRPr="00167393" w:rsidRDefault="000B1609" w:rsidP="00FC4EE4">
      <w:pPr>
        <w:pStyle w:val="Akapitzlist"/>
        <w:numPr>
          <w:ilvl w:val="0"/>
          <w:numId w:val="13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bieżące konsultacje w zakresie użytkowania usługi MS Power BI oraz administracji infrastrukturą,</w:t>
      </w:r>
    </w:p>
    <w:p w14:paraId="6D669594" w14:textId="3917B3F5" w:rsidR="000B1609" w:rsidRPr="00167393" w:rsidRDefault="000B1609" w:rsidP="00FC4EE4">
      <w:pPr>
        <w:pStyle w:val="Akapitzlist"/>
        <w:numPr>
          <w:ilvl w:val="0"/>
          <w:numId w:val="13"/>
        </w:numPr>
        <w:spacing w:after="16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analiza zleconych zagadnień i aktywny rozwój aplikacji na poziomie modelu, danych i wizualizacji ;</w:t>
      </w:r>
    </w:p>
    <w:p w14:paraId="13854515" w14:textId="69A11A2E" w:rsidR="000B1609" w:rsidRPr="00167393" w:rsidRDefault="000B1609" w:rsidP="00FC4EE4">
      <w:pPr>
        <w:pStyle w:val="Akapitzlist"/>
        <w:numPr>
          <w:ilvl w:val="0"/>
          <w:numId w:val="13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integracje i baza danych – realizacja zleconych prac w obszarze rozwoju centralnej bazy danych będącej źródłem danych dla usługi MS Power BI oraz prac integrujących tą bazę z innymi systemami (np. aplikacją do zarządzania danymi biznesowymi);</w:t>
      </w:r>
    </w:p>
    <w:p w14:paraId="7AB7E2E9" w14:textId="77777777" w:rsidR="000B1609" w:rsidRPr="00167393" w:rsidRDefault="000B1609" w:rsidP="00FC4EE4">
      <w:pPr>
        <w:pStyle w:val="Akapitzlist"/>
        <w:numPr>
          <w:ilvl w:val="0"/>
          <w:numId w:val="13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wsparcie w zarządzaniu grupami użytkowników;</w:t>
      </w:r>
    </w:p>
    <w:p w14:paraId="7B88EBE4" w14:textId="77777777" w:rsidR="000B1609" w:rsidRPr="00167393" w:rsidRDefault="000B1609" w:rsidP="00167393">
      <w:pPr>
        <w:spacing w:after="160" w:line="276" w:lineRule="auto"/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b/>
          <w:bCs/>
          <w:sz w:val="18"/>
          <w:szCs w:val="18"/>
        </w:rPr>
        <w:t>Rozwój:</w:t>
      </w:r>
    </w:p>
    <w:p w14:paraId="4ECE95B8" w14:textId="12C06D5F" w:rsidR="000B1609" w:rsidRPr="00167393" w:rsidRDefault="000B1609" w:rsidP="00FC4EE4">
      <w:pPr>
        <w:pStyle w:val="Akapitzlist"/>
        <w:numPr>
          <w:ilvl w:val="0"/>
          <w:numId w:val="15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Aktualizacja modelu danych związana z modyfikacją zakresu atrybutów </w:t>
      </w:r>
      <w:r w:rsidR="00167393">
        <w:rPr>
          <w:rStyle w:val="HTML-staaszeroko"/>
          <w:rFonts w:asciiTheme="majorHAnsi" w:hAnsiTheme="majorHAnsi" w:cs="Times New Roman"/>
          <w:sz w:val="18"/>
          <w:szCs w:val="18"/>
        </w:rPr>
        <w:br/>
      </w: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w formularzach sprawozdawczych;</w:t>
      </w:r>
    </w:p>
    <w:p w14:paraId="6652927A" w14:textId="77777777" w:rsidR="000B1609" w:rsidRPr="00167393" w:rsidRDefault="000B1609" w:rsidP="00FC4EE4">
      <w:pPr>
        <w:pStyle w:val="Akapitzlist"/>
        <w:numPr>
          <w:ilvl w:val="0"/>
          <w:numId w:val="15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Integracja dotychczasowego modelu danych z przynajmniej jedną nową bazą danych; </w:t>
      </w:r>
    </w:p>
    <w:p w14:paraId="08CA3BF9" w14:textId="77777777" w:rsidR="000B1609" w:rsidRPr="00167393" w:rsidRDefault="000B1609" w:rsidP="00FC4EE4">
      <w:pPr>
        <w:pStyle w:val="Akapitzlist"/>
        <w:numPr>
          <w:ilvl w:val="0"/>
          <w:numId w:val="15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Przygotowanie nowych </w:t>
      </w:r>
      <w:proofErr w:type="spellStart"/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>dashboardów</w:t>
      </w:r>
      <w:proofErr w:type="spellEnd"/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 w już istniejącym raporcie/obszarze roboczym;</w:t>
      </w:r>
    </w:p>
    <w:p w14:paraId="516B7747" w14:textId="77777777" w:rsidR="000B1609" w:rsidRPr="00167393" w:rsidRDefault="000B1609" w:rsidP="00FC4EE4">
      <w:pPr>
        <w:pStyle w:val="Akapitzlist"/>
        <w:numPr>
          <w:ilvl w:val="0"/>
          <w:numId w:val="15"/>
        </w:numPr>
        <w:spacing w:after="160" w:line="276" w:lineRule="auto"/>
        <w:ind w:left="426" w:hanging="426"/>
        <w:rPr>
          <w:rStyle w:val="HTML-staaszeroko"/>
          <w:rFonts w:asciiTheme="majorHAnsi" w:hAnsiTheme="majorHAnsi" w:cs="Times New Roman"/>
          <w:sz w:val="18"/>
          <w:szCs w:val="18"/>
        </w:rPr>
      </w:pP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Rozbicie dotychczas funkcjonującego raportu na odrębne raporty obszarowe wraz </w:t>
      </w:r>
      <w:r w:rsidRPr="00167393">
        <w:rPr>
          <w:rStyle w:val="HTML-staaszeroko"/>
          <w:rFonts w:asciiTheme="majorHAnsi" w:hAnsiTheme="majorHAnsi" w:cs="Times New Roman"/>
          <w:sz w:val="18"/>
          <w:szCs w:val="18"/>
        </w:rPr>
        <w:br/>
        <w:t>z przygotowaniem grup uprawnień dla tych raportów, analogicznych do tych funkcjonujących obecnie.</w:t>
      </w:r>
    </w:p>
    <w:p w14:paraId="22CBC4FF" w14:textId="77777777" w:rsidR="000B1609" w:rsidRPr="00167393" w:rsidRDefault="000B1609" w:rsidP="00167393">
      <w:pPr>
        <w:spacing w:line="276" w:lineRule="auto"/>
        <w:ind w:hanging="502"/>
        <w:rPr>
          <w:rFonts w:asciiTheme="majorHAnsi" w:hAnsiTheme="majorHAnsi"/>
          <w:sz w:val="18"/>
          <w:szCs w:val="18"/>
        </w:rPr>
      </w:pPr>
    </w:p>
    <w:p w14:paraId="7E513B2E" w14:textId="3D384A37" w:rsidR="000B1609" w:rsidRPr="00167393" w:rsidRDefault="00810123" w:rsidP="00167393">
      <w:pPr>
        <w:spacing w:line="276" w:lineRule="auto"/>
        <w:rPr>
          <w:rStyle w:val="HTML-staaszeroko"/>
          <w:rFonts w:asciiTheme="majorHAnsi" w:hAnsiTheme="majorHAnsi" w:cs="Times New Roman"/>
          <w:sz w:val="18"/>
          <w:szCs w:val="18"/>
        </w:rPr>
      </w:pPr>
      <w:r>
        <w:rPr>
          <w:rStyle w:val="HTML-staaszeroko"/>
          <w:rFonts w:asciiTheme="majorHAnsi" w:hAnsiTheme="majorHAnsi" w:cs="Times New Roman"/>
          <w:sz w:val="18"/>
          <w:szCs w:val="18"/>
        </w:rPr>
        <w:lastRenderedPageBreak/>
        <w:t>Wykonawca</w:t>
      </w:r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 przekaże w ramach umowy prawa autorskie do powstałych w trakcie jej trwania utworów, w tym</w:t>
      </w:r>
      <w:r w:rsidR="000B1609" w:rsidRPr="00167393" w:rsidDel="00C91C3C">
        <w:rPr>
          <w:rStyle w:val="HTML-staaszeroko"/>
          <w:rFonts w:asciiTheme="majorHAnsi" w:hAnsiTheme="majorHAnsi" w:cs="Times New Roman"/>
          <w:sz w:val="18"/>
          <w:szCs w:val="18"/>
        </w:rPr>
        <w:t xml:space="preserve"> </w:t>
      </w:r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modelu danych oraz kodów, raportów i </w:t>
      </w:r>
      <w:proofErr w:type="spellStart"/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>dashboardów</w:t>
      </w:r>
      <w:proofErr w:type="spellEnd"/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. Wycenę kosztu przekazania wszelkich kodów wraz z prawami oraz konfiguracji systemu </w:t>
      </w:r>
      <w:r>
        <w:rPr>
          <w:rStyle w:val="HTML-staaszeroko"/>
          <w:rFonts w:asciiTheme="majorHAnsi" w:hAnsiTheme="majorHAnsi" w:cs="Times New Roman"/>
          <w:sz w:val="18"/>
          <w:szCs w:val="18"/>
        </w:rPr>
        <w:br/>
      </w:r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 xml:space="preserve">na infrastrukturze Zamawiającego, Wykonawca zobowiązany jest przedstawić </w:t>
      </w:r>
      <w:r>
        <w:rPr>
          <w:rStyle w:val="HTML-staaszeroko"/>
          <w:rFonts w:asciiTheme="majorHAnsi" w:hAnsiTheme="majorHAnsi" w:cs="Times New Roman"/>
          <w:sz w:val="18"/>
          <w:szCs w:val="18"/>
        </w:rPr>
        <w:br/>
      </w:r>
      <w:r w:rsidR="000B1609" w:rsidRPr="00167393">
        <w:rPr>
          <w:rStyle w:val="HTML-staaszeroko"/>
          <w:rFonts w:asciiTheme="majorHAnsi" w:hAnsiTheme="majorHAnsi" w:cs="Times New Roman"/>
          <w:sz w:val="18"/>
          <w:szCs w:val="18"/>
        </w:rPr>
        <w:t>w ofercie.</w:t>
      </w:r>
    </w:p>
    <w:p w14:paraId="121C1860" w14:textId="1C06943D" w:rsidR="000B1609" w:rsidRPr="00B17C6E" w:rsidRDefault="000B1609" w:rsidP="00167393">
      <w:pPr>
        <w:spacing w:line="276" w:lineRule="auto"/>
        <w:rPr>
          <w:rFonts w:ascii="Verdana" w:eastAsia="Verdana" w:hAnsi="Verdana"/>
          <w:sz w:val="18"/>
          <w:szCs w:val="18"/>
        </w:rPr>
      </w:pPr>
      <w:r w:rsidRPr="00167393">
        <w:rPr>
          <w:rFonts w:asciiTheme="majorHAnsi" w:eastAsia="Verdana" w:hAnsiTheme="majorHAnsi"/>
          <w:sz w:val="18"/>
          <w:szCs w:val="18"/>
        </w:rPr>
        <w:t xml:space="preserve">Załącznikiem do Opisu przedmiotu zamówienia są </w:t>
      </w:r>
      <w:r w:rsidR="001C1B46" w:rsidRPr="008D33B1">
        <w:rPr>
          <w:rFonts w:asciiTheme="majorHAnsi" w:eastAsia="Verdana" w:hAnsiTheme="majorHAnsi"/>
          <w:b/>
          <w:bCs/>
          <w:sz w:val="18"/>
          <w:szCs w:val="18"/>
        </w:rPr>
        <w:t>f</w:t>
      </w:r>
      <w:r w:rsidRPr="008D33B1">
        <w:rPr>
          <w:rFonts w:asciiTheme="majorHAnsi" w:eastAsia="Verdana" w:hAnsiTheme="majorHAnsi"/>
          <w:b/>
          <w:bCs/>
          <w:sz w:val="18"/>
          <w:szCs w:val="18"/>
        </w:rPr>
        <w:t>ormularze sprawozdawcze</w:t>
      </w:r>
      <w:r w:rsidR="001C1B46">
        <w:rPr>
          <w:rFonts w:asciiTheme="majorHAnsi" w:eastAsia="Verdana" w:hAnsiTheme="majorHAnsi"/>
          <w:sz w:val="18"/>
          <w:szCs w:val="18"/>
        </w:rPr>
        <w:t>, oddające strukturę oraz zestaw atrybutów funkcjonujących w Sieci Badawczej Łukasiewicz sprawozdań miesięcznych w obszarach: HR, Finanse, Projekty oraz Komercjalizacja</w:t>
      </w:r>
      <w:r>
        <w:rPr>
          <w:rFonts w:ascii="Verdana" w:eastAsia="Verdana" w:hAnsi="Verdana"/>
          <w:sz w:val="18"/>
          <w:szCs w:val="18"/>
        </w:rPr>
        <w:t>.</w:t>
      </w:r>
    </w:p>
    <w:p w14:paraId="59D89129" w14:textId="77777777" w:rsidR="00777772" w:rsidRDefault="00777772" w:rsidP="00167393">
      <w:pPr>
        <w:spacing w:after="0" w:line="276" w:lineRule="auto"/>
        <w:mirrorIndents/>
        <w:jc w:val="center"/>
        <w:rPr>
          <w:rFonts w:cs="Arial"/>
          <w:b/>
          <w:sz w:val="18"/>
          <w:szCs w:val="18"/>
        </w:rPr>
      </w:pPr>
    </w:p>
    <w:p w14:paraId="52011E5D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04FBC777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59B28966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1447938E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767EE226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09DA5034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16FB6F57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42958A25" w14:textId="3CC11AEB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5732738D" w14:textId="239AD38F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05B2DEE8" w14:textId="136E9E66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15BF738B" w14:textId="7E03AC2F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6DF192BE" w14:textId="3B0B4B0E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3B4B2410" w14:textId="77777777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52150F8C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4C095D91" w14:textId="3549A210" w:rsidR="00555979" w:rsidRPr="00160B8B" w:rsidRDefault="00555979" w:rsidP="003E7562">
      <w:pPr>
        <w:spacing w:after="0" w:line="276" w:lineRule="auto"/>
        <w:jc w:val="right"/>
        <w:rPr>
          <w:rFonts w:ascii="Arial" w:eastAsia="Times New Roman" w:hAnsi="Arial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86B2F" w:rsidRDefault="00555979" w:rsidP="00167393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555979" w:rsidRPr="00586B2F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D668" w14:textId="77777777" w:rsidR="006431AE" w:rsidRDefault="006431AE" w:rsidP="006747BD">
      <w:pPr>
        <w:spacing w:after="0" w:line="240" w:lineRule="auto"/>
      </w:pPr>
      <w:r>
        <w:separator/>
      </w:r>
    </w:p>
  </w:endnote>
  <w:endnote w:type="continuationSeparator" w:id="0">
    <w:p w14:paraId="4BD21523" w14:textId="77777777" w:rsidR="006431AE" w:rsidRDefault="006431AE" w:rsidP="006747BD">
      <w:pPr>
        <w:spacing w:after="0" w:line="240" w:lineRule="auto"/>
      </w:pPr>
      <w:r>
        <w:continuationSeparator/>
      </w:r>
    </w:p>
  </w:endnote>
  <w:endnote w:type="continuationNotice" w:id="1">
    <w:p w14:paraId="6F2DD1EF" w14:textId="77777777" w:rsidR="006431AE" w:rsidRDefault="00643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25B4" w14:textId="77777777" w:rsidR="006431AE" w:rsidRDefault="006431AE" w:rsidP="006747BD">
      <w:pPr>
        <w:spacing w:after="0" w:line="240" w:lineRule="auto"/>
      </w:pPr>
      <w:r>
        <w:separator/>
      </w:r>
    </w:p>
  </w:footnote>
  <w:footnote w:type="continuationSeparator" w:id="0">
    <w:p w14:paraId="138F9305" w14:textId="77777777" w:rsidR="006431AE" w:rsidRDefault="006431AE" w:rsidP="006747BD">
      <w:pPr>
        <w:spacing w:after="0" w:line="240" w:lineRule="auto"/>
      </w:pPr>
      <w:r>
        <w:continuationSeparator/>
      </w:r>
    </w:p>
  </w:footnote>
  <w:footnote w:type="continuationNotice" w:id="1">
    <w:p w14:paraId="79CF1891" w14:textId="77777777" w:rsidR="006431AE" w:rsidRDefault="00643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31A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33B1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7</cp:revision>
  <cp:lastPrinted>2020-10-14T12:43:00Z</cp:lastPrinted>
  <dcterms:created xsi:type="dcterms:W3CDTF">2021-07-19T02:53:00Z</dcterms:created>
  <dcterms:modified xsi:type="dcterms:W3CDTF">2021-07-26T21:55:00Z</dcterms:modified>
</cp:coreProperties>
</file>