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F278" w14:textId="6D9A1CDE" w:rsidR="00D2439B" w:rsidRPr="00097DCF" w:rsidRDefault="00D2439B" w:rsidP="00AE1A46">
      <w:pPr>
        <w:keepNext/>
        <w:tabs>
          <w:tab w:val="left" w:pos="0"/>
        </w:tabs>
        <w:spacing w:line="271" w:lineRule="auto"/>
        <w:rPr>
          <w:rFonts w:asciiTheme="majorHAnsi" w:hAnsiTheme="majorHAnsi" w:cstheme="majorHAnsi"/>
          <w:b/>
          <w:bCs/>
          <w:color w:val="000000" w:themeColor="text1"/>
          <w:sz w:val="20"/>
          <w:szCs w:val="20"/>
          <w:lang w:eastAsia="ar-SA"/>
        </w:rPr>
      </w:pPr>
      <w:r w:rsidRPr="00097DCF">
        <w:rPr>
          <w:rFonts w:asciiTheme="majorHAnsi" w:hAnsiTheme="majorHAnsi" w:cstheme="majorHAnsi"/>
          <w:b/>
          <w:bCs/>
          <w:color w:val="000000" w:themeColor="text1"/>
          <w:sz w:val="20"/>
          <w:szCs w:val="20"/>
          <w:lang w:eastAsia="ar-SA"/>
        </w:rPr>
        <w:t xml:space="preserve">Nr sprawy:  </w:t>
      </w:r>
      <w:r w:rsidRPr="00097DCF">
        <w:rPr>
          <w:rFonts w:asciiTheme="majorHAnsi" w:hAnsiTheme="majorHAnsi" w:cstheme="majorHAnsi"/>
          <w:b/>
          <w:bCs/>
          <w:color w:val="000000" w:themeColor="text1"/>
          <w:sz w:val="20"/>
          <w:szCs w:val="20"/>
          <w:lang w:eastAsia="ar-SA"/>
        </w:rPr>
        <w:tab/>
      </w:r>
      <w:r w:rsidRPr="00097DCF">
        <w:rPr>
          <w:rFonts w:asciiTheme="majorHAnsi" w:hAnsiTheme="majorHAnsi" w:cstheme="majorHAnsi"/>
          <w:b/>
          <w:bCs/>
          <w:color w:val="000000" w:themeColor="text1"/>
          <w:sz w:val="20"/>
          <w:szCs w:val="20"/>
          <w:lang w:eastAsia="ar-SA"/>
        </w:rPr>
        <w:tab/>
      </w:r>
      <w:r w:rsidRPr="00097DCF">
        <w:rPr>
          <w:rFonts w:asciiTheme="majorHAnsi" w:hAnsiTheme="majorHAnsi" w:cstheme="majorHAnsi"/>
          <w:b/>
          <w:bCs/>
          <w:color w:val="000000" w:themeColor="text1"/>
          <w:sz w:val="20"/>
          <w:szCs w:val="20"/>
          <w:lang w:eastAsia="ar-SA"/>
        </w:rPr>
        <w:tab/>
      </w:r>
      <w:r w:rsidRPr="00097DCF">
        <w:rPr>
          <w:rFonts w:asciiTheme="majorHAnsi" w:hAnsiTheme="majorHAnsi" w:cstheme="majorHAnsi"/>
          <w:b/>
          <w:bCs/>
          <w:color w:val="000000" w:themeColor="text1"/>
          <w:sz w:val="20"/>
          <w:szCs w:val="20"/>
          <w:lang w:eastAsia="ar-SA"/>
        </w:rPr>
        <w:tab/>
      </w:r>
      <w:r w:rsidRPr="00097DCF">
        <w:rPr>
          <w:rFonts w:asciiTheme="majorHAnsi" w:hAnsiTheme="majorHAnsi" w:cstheme="majorHAnsi"/>
          <w:b/>
          <w:bCs/>
          <w:color w:val="000000" w:themeColor="text1"/>
          <w:sz w:val="20"/>
          <w:szCs w:val="20"/>
          <w:lang w:eastAsia="ar-SA"/>
        </w:rPr>
        <w:tab/>
      </w:r>
      <w:r w:rsidRPr="00097DCF">
        <w:rPr>
          <w:rFonts w:asciiTheme="majorHAnsi" w:hAnsiTheme="majorHAnsi" w:cstheme="majorHAnsi"/>
          <w:b/>
          <w:bCs/>
          <w:color w:val="000000" w:themeColor="text1"/>
          <w:sz w:val="20"/>
          <w:szCs w:val="20"/>
          <w:lang w:eastAsia="ar-SA"/>
        </w:rPr>
        <w:tab/>
        <w:t xml:space="preserve">                          Załącznik nr 1</w:t>
      </w:r>
    </w:p>
    <w:p w14:paraId="2AAE7A36" w14:textId="3F4FA5D8" w:rsidR="00D2439B" w:rsidRPr="00097DCF" w:rsidRDefault="00D2439B" w:rsidP="00AE1A46">
      <w:pPr>
        <w:jc w:val="center"/>
        <w:rPr>
          <w:rFonts w:asciiTheme="majorHAnsi" w:hAnsiTheme="majorHAnsi" w:cstheme="majorHAnsi"/>
          <w:b/>
          <w:color w:val="000000" w:themeColor="text1"/>
          <w:sz w:val="20"/>
          <w:szCs w:val="20"/>
        </w:rPr>
      </w:pPr>
      <w:r w:rsidRPr="00097DCF">
        <w:rPr>
          <w:rFonts w:asciiTheme="majorHAnsi" w:hAnsiTheme="majorHAnsi" w:cstheme="majorHAnsi"/>
          <w:b/>
          <w:color w:val="000000" w:themeColor="text1"/>
          <w:sz w:val="20"/>
          <w:szCs w:val="20"/>
        </w:rPr>
        <w:t xml:space="preserve">Opis przedmiotu zamówienia - specyfikacja techniczna </w:t>
      </w:r>
    </w:p>
    <w:p w14:paraId="35587269" w14:textId="2622F913" w:rsidR="00D2439B" w:rsidRPr="00097DCF" w:rsidRDefault="00FE14DC" w:rsidP="00D2439B">
      <w:pPr>
        <w:rPr>
          <w:rFonts w:asciiTheme="majorHAnsi" w:hAnsiTheme="majorHAnsi" w:cstheme="majorHAnsi"/>
          <w:b/>
          <w:color w:val="000000" w:themeColor="text1"/>
          <w:sz w:val="20"/>
          <w:szCs w:val="20"/>
        </w:rPr>
      </w:pPr>
      <w:r w:rsidRPr="00097DCF">
        <w:rPr>
          <w:rFonts w:asciiTheme="majorHAnsi" w:hAnsiTheme="majorHAnsi" w:cstheme="majorHAnsi"/>
          <w:b/>
          <w:color w:val="000000" w:themeColor="text1"/>
          <w:sz w:val="20"/>
          <w:szCs w:val="20"/>
        </w:rPr>
        <w:t>1</w:t>
      </w:r>
      <w:r w:rsidR="00D2439B" w:rsidRPr="00097DCF">
        <w:rPr>
          <w:rFonts w:asciiTheme="majorHAnsi" w:hAnsiTheme="majorHAnsi" w:cstheme="majorHAnsi"/>
          <w:b/>
          <w:color w:val="000000" w:themeColor="text1"/>
          <w:sz w:val="20"/>
          <w:szCs w:val="20"/>
        </w:rPr>
        <w:t xml:space="preserve">: Dostawa bezprzewodowego systemu audio- </w:t>
      </w:r>
      <w:r w:rsidR="0086140D">
        <w:rPr>
          <w:rFonts w:asciiTheme="majorHAnsi" w:hAnsiTheme="majorHAnsi" w:cstheme="majorHAnsi"/>
          <w:b/>
          <w:color w:val="000000" w:themeColor="text1"/>
          <w:sz w:val="20"/>
          <w:szCs w:val="20"/>
        </w:rPr>
        <w:t>1</w:t>
      </w:r>
      <w:r w:rsidR="00D2439B" w:rsidRPr="00097DCF">
        <w:rPr>
          <w:rFonts w:asciiTheme="majorHAnsi" w:hAnsiTheme="majorHAnsi" w:cstheme="majorHAnsi"/>
          <w:b/>
          <w:color w:val="000000" w:themeColor="text1"/>
          <w:sz w:val="20"/>
          <w:szCs w:val="20"/>
        </w:rPr>
        <w:t xml:space="preserve"> szt.</w:t>
      </w:r>
    </w:p>
    <w:tbl>
      <w:tblPr>
        <w:tblW w:w="9660" w:type="dxa"/>
        <w:tblCellSpacing w:w="0" w:type="dxa"/>
        <w:tblCellMar>
          <w:top w:w="30" w:type="dxa"/>
          <w:left w:w="30" w:type="dxa"/>
          <w:bottom w:w="30" w:type="dxa"/>
          <w:right w:w="30" w:type="dxa"/>
        </w:tblCellMar>
        <w:tblLook w:val="04A0" w:firstRow="1" w:lastRow="0" w:firstColumn="1" w:lastColumn="0" w:noHBand="0" w:noVBand="1"/>
      </w:tblPr>
      <w:tblGrid>
        <w:gridCol w:w="1177"/>
        <w:gridCol w:w="5387"/>
        <w:gridCol w:w="3096"/>
      </w:tblGrid>
      <w:tr w:rsidR="00097DCF" w:rsidRPr="00097DCF" w14:paraId="6BA24282" w14:textId="77777777" w:rsidTr="000D280C">
        <w:trPr>
          <w:tblCellSpacing w:w="0" w:type="dxa"/>
        </w:trPr>
        <w:tc>
          <w:tcPr>
            <w:tcW w:w="9660" w:type="dxa"/>
            <w:gridSpan w:val="3"/>
            <w:tcBorders>
              <w:top w:val="single" w:sz="4" w:space="0" w:color="auto"/>
              <w:left w:val="single" w:sz="6" w:space="0" w:color="000000"/>
              <w:bottom w:val="single" w:sz="6" w:space="0" w:color="000000"/>
              <w:right w:val="single" w:sz="6" w:space="0" w:color="000000"/>
            </w:tcBorders>
            <w:shd w:val="clear" w:color="auto" w:fill="D9D9D9" w:themeFill="background1" w:themeFillShade="D9"/>
            <w:tcMar>
              <w:top w:w="0" w:type="dxa"/>
              <w:left w:w="28" w:type="dxa"/>
              <w:bottom w:w="28" w:type="dxa"/>
              <w:right w:w="28" w:type="dxa"/>
            </w:tcMar>
            <w:vAlign w:val="center"/>
            <w:hideMark/>
          </w:tcPr>
          <w:p w14:paraId="1D29E77C" w14:textId="4A606610" w:rsidR="00D2439B" w:rsidRPr="00097DCF" w:rsidRDefault="00D2439B" w:rsidP="000D280C">
            <w:pPr>
              <w:jc w:val="center"/>
              <w:rPr>
                <w:rFonts w:asciiTheme="majorHAnsi" w:hAnsiTheme="majorHAnsi" w:cstheme="majorHAnsi"/>
                <w:color w:val="000000" w:themeColor="text1"/>
                <w:sz w:val="20"/>
                <w:szCs w:val="20"/>
              </w:rPr>
            </w:pPr>
            <w:r w:rsidRPr="00097DCF">
              <w:rPr>
                <w:rFonts w:asciiTheme="majorHAnsi" w:hAnsiTheme="majorHAnsi" w:cstheme="majorHAnsi"/>
                <w:b/>
                <w:color w:val="000000" w:themeColor="text1"/>
                <w:sz w:val="20"/>
                <w:szCs w:val="20"/>
              </w:rPr>
              <w:t xml:space="preserve">Dostawa bezprzewodowego systemu audio- </w:t>
            </w:r>
            <w:r w:rsidR="0086140D">
              <w:rPr>
                <w:rFonts w:asciiTheme="majorHAnsi" w:hAnsiTheme="majorHAnsi" w:cstheme="majorHAnsi"/>
                <w:b/>
                <w:color w:val="000000" w:themeColor="text1"/>
                <w:sz w:val="20"/>
                <w:szCs w:val="20"/>
              </w:rPr>
              <w:t>1</w:t>
            </w:r>
            <w:r w:rsidRPr="00097DCF">
              <w:rPr>
                <w:rFonts w:asciiTheme="majorHAnsi" w:hAnsiTheme="majorHAnsi" w:cstheme="majorHAnsi"/>
                <w:b/>
                <w:color w:val="000000" w:themeColor="text1"/>
                <w:sz w:val="20"/>
                <w:szCs w:val="20"/>
              </w:rPr>
              <w:t xml:space="preserve"> szt.</w:t>
            </w:r>
          </w:p>
        </w:tc>
      </w:tr>
      <w:tr w:rsidR="00097DCF" w:rsidRPr="00097DCF" w14:paraId="10705EAE" w14:textId="77777777" w:rsidTr="003304D8">
        <w:trPr>
          <w:trHeight w:val="501"/>
          <w:tblCellSpacing w:w="0" w:type="dxa"/>
        </w:trPr>
        <w:tc>
          <w:tcPr>
            <w:tcW w:w="1177" w:type="dxa"/>
            <w:tcBorders>
              <w:top w:val="nil"/>
              <w:left w:val="single" w:sz="6" w:space="0" w:color="000000"/>
              <w:bottom w:val="single" w:sz="6" w:space="0" w:color="000000"/>
              <w:right w:val="nil"/>
            </w:tcBorders>
            <w:shd w:val="clear" w:color="auto" w:fill="D9D9D9" w:themeFill="background1" w:themeFillShade="D9"/>
            <w:tcMar>
              <w:top w:w="0" w:type="dxa"/>
              <w:left w:w="28" w:type="dxa"/>
              <w:bottom w:w="28" w:type="dxa"/>
              <w:right w:w="0" w:type="dxa"/>
            </w:tcMar>
            <w:vAlign w:val="center"/>
            <w:hideMark/>
          </w:tcPr>
          <w:p w14:paraId="4ADE537C" w14:textId="77777777" w:rsidR="00D2439B" w:rsidRPr="00097DCF" w:rsidRDefault="00D2439B" w:rsidP="000D280C">
            <w:pPr>
              <w:jc w:val="center"/>
              <w:rPr>
                <w:rFonts w:asciiTheme="majorHAnsi" w:hAnsiTheme="majorHAnsi" w:cstheme="majorHAnsi"/>
                <w:color w:val="000000" w:themeColor="text1"/>
                <w:sz w:val="20"/>
                <w:szCs w:val="20"/>
              </w:rPr>
            </w:pPr>
            <w:r w:rsidRPr="00097DCF">
              <w:rPr>
                <w:rFonts w:asciiTheme="majorHAnsi" w:hAnsiTheme="majorHAnsi" w:cstheme="majorHAnsi"/>
                <w:b/>
                <w:bCs/>
                <w:color w:val="000000" w:themeColor="text1"/>
                <w:sz w:val="20"/>
                <w:szCs w:val="20"/>
              </w:rPr>
              <w:t>parametr</w:t>
            </w:r>
          </w:p>
        </w:tc>
        <w:tc>
          <w:tcPr>
            <w:tcW w:w="5387" w:type="dxa"/>
            <w:tcBorders>
              <w:top w:val="nil"/>
              <w:left w:val="single" w:sz="6" w:space="0" w:color="000000"/>
              <w:bottom w:val="single" w:sz="6" w:space="0" w:color="000000"/>
              <w:right w:val="nil"/>
            </w:tcBorders>
            <w:shd w:val="clear" w:color="auto" w:fill="D9D9D9" w:themeFill="background1" w:themeFillShade="D9"/>
            <w:tcMar>
              <w:top w:w="0" w:type="dxa"/>
              <w:left w:w="28" w:type="dxa"/>
              <w:bottom w:w="28" w:type="dxa"/>
              <w:right w:w="0" w:type="dxa"/>
            </w:tcMar>
            <w:vAlign w:val="center"/>
            <w:hideMark/>
          </w:tcPr>
          <w:p w14:paraId="4E35A95E" w14:textId="77777777" w:rsidR="00D2439B" w:rsidRPr="00097DCF" w:rsidRDefault="00D2439B" w:rsidP="000D280C">
            <w:pPr>
              <w:jc w:val="center"/>
              <w:rPr>
                <w:rFonts w:asciiTheme="majorHAnsi" w:hAnsiTheme="majorHAnsi" w:cstheme="majorHAnsi"/>
                <w:color w:val="000000" w:themeColor="text1"/>
                <w:sz w:val="20"/>
                <w:szCs w:val="20"/>
              </w:rPr>
            </w:pPr>
            <w:r w:rsidRPr="00097DCF">
              <w:rPr>
                <w:rFonts w:asciiTheme="majorHAnsi" w:hAnsiTheme="majorHAnsi" w:cstheme="majorHAnsi"/>
                <w:b/>
                <w:bCs/>
                <w:color w:val="000000" w:themeColor="text1"/>
                <w:sz w:val="20"/>
                <w:szCs w:val="20"/>
              </w:rPr>
              <w:t>wymagania</w:t>
            </w:r>
          </w:p>
        </w:tc>
        <w:tc>
          <w:tcPr>
            <w:tcW w:w="3096" w:type="dxa"/>
            <w:tcBorders>
              <w:top w:val="nil"/>
              <w:left w:val="single" w:sz="6" w:space="0" w:color="000000"/>
              <w:bottom w:val="single" w:sz="6" w:space="0" w:color="000000"/>
              <w:right w:val="single" w:sz="6" w:space="0" w:color="000000"/>
            </w:tcBorders>
            <w:shd w:val="clear" w:color="auto" w:fill="D9D9D9" w:themeFill="background1" w:themeFillShade="D9"/>
            <w:tcMar>
              <w:top w:w="0" w:type="dxa"/>
              <w:left w:w="28" w:type="dxa"/>
              <w:bottom w:w="28" w:type="dxa"/>
              <w:right w:w="28" w:type="dxa"/>
            </w:tcMar>
            <w:vAlign w:val="center"/>
            <w:hideMark/>
          </w:tcPr>
          <w:p w14:paraId="7BAF5582" w14:textId="77777777" w:rsidR="00D2439B" w:rsidRPr="00097DCF" w:rsidRDefault="00D2439B" w:rsidP="000D280C">
            <w:pPr>
              <w:jc w:val="center"/>
              <w:rPr>
                <w:rFonts w:asciiTheme="majorHAnsi" w:hAnsiTheme="majorHAnsi" w:cstheme="majorHAnsi"/>
                <w:color w:val="000000" w:themeColor="text1"/>
                <w:sz w:val="20"/>
                <w:szCs w:val="20"/>
              </w:rPr>
            </w:pPr>
            <w:r w:rsidRPr="00097DCF">
              <w:rPr>
                <w:rFonts w:asciiTheme="majorHAnsi" w:hAnsiTheme="majorHAnsi" w:cstheme="majorHAnsi"/>
                <w:b/>
                <w:bCs/>
                <w:color w:val="000000" w:themeColor="text1"/>
                <w:sz w:val="20"/>
                <w:szCs w:val="20"/>
              </w:rPr>
              <w:t>oferowane parametry</w:t>
            </w:r>
          </w:p>
        </w:tc>
      </w:tr>
      <w:tr w:rsidR="00097DCF" w:rsidRPr="00097DCF" w14:paraId="653CF2B9" w14:textId="77777777" w:rsidTr="000D280C">
        <w:trPr>
          <w:tblCellSpacing w:w="0" w:type="dxa"/>
        </w:trPr>
        <w:tc>
          <w:tcPr>
            <w:tcW w:w="1177" w:type="dxa"/>
            <w:tcBorders>
              <w:top w:val="nil"/>
              <w:left w:val="single" w:sz="6" w:space="0" w:color="000000"/>
              <w:bottom w:val="single" w:sz="6" w:space="0" w:color="000000"/>
              <w:right w:val="nil"/>
            </w:tcBorders>
            <w:tcMar>
              <w:top w:w="0" w:type="dxa"/>
              <w:left w:w="28" w:type="dxa"/>
              <w:bottom w:w="28" w:type="dxa"/>
              <w:right w:w="0" w:type="dxa"/>
            </w:tcMar>
            <w:hideMark/>
          </w:tcPr>
          <w:p w14:paraId="41ECF5D4" w14:textId="77777777" w:rsidR="00D2439B" w:rsidRPr="00097DCF" w:rsidRDefault="00D2439B" w:rsidP="000D280C">
            <w:pPr>
              <w:rPr>
                <w:rFonts w:asciiTheme="majorHAnsi" w:hAnsiTheme="majorHAnsi" w:cstheme="majorHAnsi"/>
                <w:color w:val="000000" w:themeColor="text1"/>
                <w:sz w:val="20"/>
                <w:szCs w:val="20"/>
              </w:rPr>
            </w:pPr>
            <w:r w:rsidRPr="00097DCF">
              <w:rPr>
                <w:rFonts w:asciiTheme="majorHAnsi" w:hAnsiTheme="majorHAnsi" w:cstheme="majorHAnsi"/>
                <w:b/>
                <w:bCs/>
                <w:color w:val="000000" w:themeColor="text1"/>
                <w:sz w:val="20"/>
                <w:szCs w:val="20"/>
              </w:rPr>
              <w:t>Rodzaj</w:t>
            </w:r>
          </w:p>
        </w:tc>
        <w:tc>
          <w:tcPr>
            <w:tcW w:w="5387" w:type="dxa"/>
            <w:tcBorders>
              <w:top w:val="nil"/>
              <w:left w:val="single" w:sz="6" w:space="0" w:color="000000"/>
              <w:bottom w:val="single" w:sz="6" w:space="0" w:color="000000"/>
              <w:right w:val="nil"/>
            </w:tcBorders>
            <w:tcMar>
              <w:top w:w="0" w:type="dxa"/>
              <w:left w:w="28" w:type="dxa"/>
              <w:bottom w:w="28" w:type="dxa"/>
              <w:right w:w="0" w:type="dxa"/>
            </w:tcMar>
            <w:hideMark/>
          </w:tcPr>
          <w:p w14:paraId="3A9F9DD5" w14:textId="7777777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bezprzewodowy system audio typu All-in-One </w:t>
            </w:r>
          </w:p>
          <w:p w14:paraId="1876C9BA" w14:textId="7777777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dźwięk o jakości studyjnej</w:t>
            </w:r>
          </w:p>
          <w:p w14:paraId="202593C7" w14:textId="0236730A"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technologia MaxTimbre </w:t>
            </w:r>
            <w:r w:rsidR="003304D8">
              <w:rPr>
                <w:rFonts w:asciiTheme="majorHAnsi" w:hAnsiTheme="majorHAnsi" w:cstheme="majorHAnsi"/>
                <w:color w:val="000000" w:themeColor="text1"/>
                <w:sz w:val="20"/>
                <w:szCs w:val="20"/>
              </w:rPr>
              <w:t>(</w:t>
            </w:r>
            <w:r w:rsidR="003304D8" w:rsidRPr="003304D8">
              <w:rPr>
                <w:rFonts w:asciiTheme="majorHAnsi" w:hAnsiTheme="majorHAnsi" w:cstheme="majorHAnsi"/>
                <w:color w:val="000000" w:themeColor="text1"/>
                <w:sz w:val="20"/>
                <w:szCs w:val="20"/>
              </w:rPr>
              <w:t>wielowarstwowa konstrukcja mikrofonu membranowego, która optymalizuje nagrywanie głosu w celu uzyskanie wyraźnego brzmienia</w:t>
            </w:r>
            <w:r w:rsidR="003304D8">
              <w:rPr>
                <w:rFonts w:asciiTheme="majorHAnsi" w:hAnsiTheme="majorHAnsi" w:cstheme="majorHAnsi"/>
                <w:color w:val="000000" w:themeColor="text1"/>
                <w:sz w:val="20"/>
                <w:szCs w:val="20"/>
              </w:rPr>
              <w:t xml:space="preserve">) lub </w:t>
            </w:r>
            <w:r w:rsidR="003304D8" w:rsidRPr="003304D8">
              <w:rPr>
                <w:rFonts w:asciiTheme="majorHAnsi" w:hAnsiTheme="majorHAnsi" w:cstheme="majorHAnsi"/>
                <w:color w:val="000000" w:themeColor="text1"/>
                <w:sz w:val="20"/>
                <w:szCs w:val="20"/>
              </w:rPr>
              <w:t>równoważna</w:t>
            </w:r>
          </w:p>
          <w:p w14:paraId="5CA2FD67" w14:textId="1805CFD3"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zasięg co najmniej do 250 m </w:t>
            </w:r>
          </w:p>
          <w:p w14:paraId="73E03686" w14:textId="6C7327D7" w:rsidR="00D2439B" w:rsidRPr="00097DCF" w:rsidRDefault="003304D8"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co najmniej </w:t>
            </w:r>
            <w:r w:rsidR="00D2439B" w:rsidRPr="00097DCF">
              <w:rPr>
                <w:rFonts w:asciiTheme="majorHAnsi" w:hAnsiTheme="majorHAnsi" w:cstheme="majorHAnsi"/>
                <w:color w:val="000000" w:themeColor="text1"/>
                <w:sz w:val="20"/>
                <w:szCs w:val="20"/>
              </w:rPr>
              <w:t xml:space="preserve">8 GB wbudowanej pamięci redukcja hałasu ENC </w:t>
            </w:r>
            <w:r w:rsidRPr="003304D8">
              <w:rPr>
                <w:rFonts w:asciiTheme="majorHAnsi" w:hAnsiTheme="majorHAnsi" w:cstheme="majorHAnsi"/>
                <w:color w:val="000000" w:themeColor="text1"/>
                <w:sz w:val="20"/>
                <w:szCs w:val="20"/>
              </w:rPr>
              <w:t>lub równoważna (technologia, która skupia się na eliminacji hałasu otoczenia podczas rozmów. Działa poprzez wykorzystanie dwóch mikrofonów. Jeden skierowany jest na zewnątrz, aby wyłapać dźwięki otoczenia. Drugi natomiast jest skierowany do wewnątrz, aby wyłapać głos użytkownika. Dzięki temu rozmówca słyszy tylko Twój głos, a nie hałas w tle)</w:t>
            </w:r>
          </w:p>
          <w:p w14:paraId="7B98B846" w14:textId="7777777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magnetyczne mocowanie </w:t>
            </w:r>
          </w:p>
          <w:p w14:paraId="2CE2508A" w14:textId="0453CFBC"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zaawansowana technologia DSP</w:t>
            </w:r>
            <w:r w:rsidR="003304D8">
              <w:rPr>
                <w:rFonts w:asciiTheme="majorHAnsi" w:hAnsiTheme="majorHAnsi" w:cstheme="majorHAnsi"/>
                <w:color w:val="000000" w:themeColor="text1"/>
                <w:sz w:val="20"/>
                <w:szCs w:val="20"/>
              </w:rPr>
              <w:t xml:space="preserve"> </w:t>
            </w:r>
            <w:r w:rsidR="003304D8" w:rsidRPr="003304D8">
              <w:rPr>
                <w:rFonts w:asciiTheme="majorHAnsi" w:hAnsiTheme="majorHAnsi" w:cstheme="majorHAnsi"/>
                <w:color w:val="000000" w:themeColor="text1"/>
                <w:sz w:val="20"/>
                <w:szCs w:val="20"/>
              </w:rPr>
              <w:t>równoważna (polega na odbieraniu sygnałów analogowych i konwertowaniu ich na sygnały cyfrowe o wartości 0 lub 1.)</w:t>
            </w:r>
          </w:p>
          <w:p w14:paraId="01388266" w14:textId="04D3B8D8"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co najmniej 22 godziny pracy </w:t>
            </w:r>
          </w:p>
          <w:p w14:paraId="6FEF225F" w14:textId="7777777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kompatybilny z urządzeniami mobilnymi, kamera lub komputerami </w:t>
            </w:r>
          </w:p>
          <w:p w14:paraId="4B638CAE" w14:textId="7777777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ekran dotykowy 1,1'' AMOLED </w:t>
            </w:r>
          </w:p>
          <w:p w14:paraId="64305A85" w14:textId="7777777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kilka trybów nagrywania </w:t>
            </w:r>
          </w:p>
          <w:p w14:paraId="2E0D9282" w14:textId="7777777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korektor Hi-Fi </w:t>
            </w:r>
          </w:p>
          <w:p w14:paraId="59BA582C" w14:textId="7777777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dwa dodatkowe mikrofony krawatowe w zestawie</w:t>
            </w:r>
          </w:p>
          <w:p w14:paraId="5CD56CBF" w14:textId="5BD9496D"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typ mikrofonów : krawatowe </w:t>
            </w:r>
          </w:p>
          <w:p w14:paraId="02B9B049" w14:textId="0C412920"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zasilanie mikrofonów: akumulator wbudowany mocowanie w zestawie: tak </w:t>
            </w:r>
          </w:p>
          <w:p w14:paraId="28AC8C48" w14:textId="7BDFC59D"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typ złącza</w:t>
            </w:r>
            <w:r w:rsidR="003304D8">
              <w:rPr>
                <w:rFonts w:asciiTheme="majorHAnsi" w:hAnsiTheme="majorHAnsi" w:cstheme="majorHAnsi"/>
                <w:color w:val="000000" w:themeColor="text1"/>
                <w:sz w:val="20"/>
                <w:szCs w:val="20"/>
              </w:rPr>
              <w:t xml:space="preserve"> co najmniej</w:t>
            </w:r>
            <w:r w:rsidRPr="00097DCF">
              <w:rPr>
                <w:rFonts w:asciiTheme="majorHAnsi" w:hAnsiTheme="majorHAnsi" w:cstheme="majorHAnsi"/>
                <w:color w:val="000000" w:themeColor="text1"/>
                <w:sz w:val="20"/>
                <w:szCs w:val="20"/>
              </w:rPr>
              <w:t xml:space="preserve">: USB-C </w:t>
            </w:r>
          </w:p>
          <w:p w14:paraId="7E8E5CA1" w14:textId="2159A52A"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 xml:space="preserve">czułość mikrofonu: -36 dBFS przy 1 kHz 96 dB Max wejście SPL: 128 dB SPL </w:t>
            </w:r>
          </w:p>
          <w:p w14:paraId="36847F5B" w14:textId="2D598CF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wymiary</w:t>
            </w:r>
            <w:r w:rsidR="003304D8">
              <w:rPr>
                <w:rFonts w:asciiTheme="majorHAnsi" w:hAnsiTheme="majorHAnsi" w:cstheme="majorHAnsi"/>
                <w:color w:val="000000" w:themeColor="text1"/>
                <w:sz w:val="20"/>
                <w:szCs w:val="20"/>
              </w:rPr>
              <w:t xml:space="preserve"> nie mniej</w:t>
            </w:r>
            <w:r w:rsidRPr="00097DCF">
              <w:rPr>
                <w:rFonts w:asciiTheme="majorHAnsi" w:hAnsiTheme="majorHAnsi" w:cstheme="majorHAnsi"/>
                <w:color w:val="000000" w:themeColor="text1"/>
                <w:sz w:val="20"/>
                <w:szCs w:val="20"/>
              </w:rPr>
              <w:t>: etui: 115 x 63 x 46 mm, nadajnik</w:t>
            </w:r>
            <w:r w:rsidR="003304D8">
              <w:rPr>
                <w:rFonts w:asciiTheme="majorHAnsi" w:hAnsiTheme="majorHAnsi" w:cstheme="majorHAnsi"/>
                <w:color w:val="000000" w:themeColor="text1"/>
                <w:sz w:val="20"/>
                <w:szCs w:val="20"/>
              </w:rPr>
              <w:t xml:space="preserve"> co najmniej</w:t>
            </w:r>
            <w:r w:rsidRPr="00097DCF">
              <w:rPr>
                <w:rFonts w:asciiTheme="majorHAnsi" w:hAnsiTheme="majorHAnsi" w:cstheme="majorHAnsi"/>
                <w:color w:val="000000" w:themeColor="text1"/>
                <w:sz w:val="20"/>
                <w:szCs w:val="20"/>
              </w:rPr>
              <w:t>: 48,5 x 30,3 x 19,4 mm, odbiornik</w:t>
            </w:r>
            <w:r w:rsidR="003304D8">
              <w:rPr>
                <w:rFonts w:asciiTheme="majorHAnsi" w:hAnsiTheme="majorHAnsi" w:cstheme="majorHAnsi"/>
                <w:color w:val="000000" w:themeColor="text1"/>
                <w:sz w:val="20"/>
                <w:szCs w:val="20"/>
              </w:rPr>
              <w:t xml:space="preserve"> co nakmniej</w:t>
            </w:r>
            <w:r w:rsidRPr="00097DCF">
              <w:rPr>
                <w:rFonts w:asciiTheme="majorHAnsi" w:hAnsiTheme="majorHAnsi" w:cstheme="majorHAnsi"/>
                <w:color w:val="000000" w:themeColor="text1"/>
                <w:sz w:val="20"/>
                <w:szCs w:val="20"/>
              </w:rPr>
              <w:t xml:space="preserve">: 58 x 40,8 x 23,2 mm </w:t>
            </w:r>
          </w:p>
          <w:p w14:paraId="14168B12" w14:textId="5C969857"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waga [g]: odbiornik</w:t>
            </w:r>
            <w:r w:rsidR="003304D8">
              <w:rPr>
                <w:rFonts w:asciiTheme="majorHAnsi" w:hAnsiTheme="majorHAnsi" w:cstheme="majorHAnsi"/>
                <w:color w:val="000000" w:themeColor="text1"/>
                <w:sz w:val="20"/>
                <w:szCs w:val="20"/>
              </w:rPr>
              <w:t xml:space="preserve"> maksymalnie</w:t>
            </w:r>
            <w:r w:rsidRPr="00097DCF">
              <w:rPr>
                <w:rFonts w:asciiTheme="majorHAnsi" w:hAnsiTheme="majorHAnsi" w:cstheme="majorHAnsi"/>
                <w:color w:val="000000" w:themeColor="text1"/>
                <w:sz w:val="20"/>
                <w:szCs w:val="20"/>
              </w:rPr>
              <w:t>: 60 g, nadajnik</w:t>
            </w:r>
            <w:r w:rsidR="003304D8">
              <w:rPr>
                <w:rFonts w:asciiTheme="majorHAnsi" w:hAnsiTheme="majorHAnsi" w:cstheme="majorHAnsi"/>
                <w:color w:val="000000" w:themeColor="text1"/>
                <w:sz w:val="20"/>
                <w:szCs w:val="20"/>
              </w:rPr>
              <w:t xml:space="preserve"> maksymalnie</w:t>
            </w:r>
            <w:r w:rsidRPr="00097DCF">
              <w:rPr>
                <w:rFonts w:asciiTheme="majorHAnsi" w:hAnsiTheme="majorHAnsi" w:cstheme="majorHAnsi"/>
                <w:color w:val="000000" w:themeColor="text1"/>
                <w:sz w:val="20"/>
                <w:szCs w:val="20"/>
              </w:rPr>
              <w:t>: 33 g, etui</w:t>
            </w:r>
            <w:r w:rsidR="003304D8">
              <w:rPr>
                <w:rFonts w:asciiTheme="majorHAnsi" w:hAnsiTheme="majorHAnsi" w:cstheme="majorHAnsi"/>
                <w:color w:val="000000" w:themeColor="text1"/>
                <w:sz w:val="20"/>
                <w:szCs w:val="20"/>
              </w:rPr>
              <w:t xml:space="preserve"> maksymalnie</w:t>
            </w:r>
            <w:r w:rsidRPr="00097DCF">
              <w:rPr>
                <w:rFonts w:asciiTheme="majorHAnsi" w:hAnsiTheme="majorHAnsi" w:cstheme="majorHAnsi"/>
                <w:color w:val="000000" w:themeColor="text1"/>
                <w:sz w:val="20"/>
                <w:szCs w:val="20"/>
              </w:rPr>
              <w:t xml:space="preserve">: 193,5 g </w:t>
            </w:r>
          </w:p>
          <w:p w14:paraId="3FE1F02E" w14:textId="4068E9C9" w:rsidR="00D2439B" w:rsidRPr="00097DCF" w:rsidRDefault="00D2439B" w:rsidP="00D2439B">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wartość pasma przenoszenia: 20 Hz do 20 kHz</w:t>
            </w:r>
          </w:p>
        </w:tc>
        <w:tc>
          <w:tcPr>
            <w:tcW w:w="3096"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59C7E8DB" w14:textId="77777777" w:rsidR="00D2439B" w:rsidRPr="00097DCF" w:rsidRDefault="00D2439B" w:rsidP="000D280C">
            <w:pPr>
              <w:pStyle w:val="Akapitzlist"/>
              <w:rPr>
                <w:rFonts w:asciiTheme="majorHAnsi" w:hAnsiTheme="majorHAnsi" w:cstheme="majorHAnsi"/>
                <w:color w:val="000000" w:themeColor="text1"/>
                <w:sz w:val="20"/>
                <w:szCs w:val="20"/>
              </w:rPr>
            </w:pPr>
          </w:p>
        </w:tc>
      </w:tr>
      <w:tr w:rsidR="00097DCF" w:rsidRPr="00097DCF" w14:paraId="4C753A38" w14:textId="77777777" w:rsidTr="000D280C">
        <w:trPr>
          <w:tblCellSpacing w:w="0" w:type="dxa"/>
        </w:trPr>
        <w:tc>
          <w:tcPr>
            <w:tcW w:w="1177" w:type="dxa"/>
            <w:tcBorders>
              <w:top w:val="nil"/>
              <w:left w:val="single" w:sz="6" w:space="0" w:color="000000"/>
              <w:bottom w:val="single" w:sz="6" w:space="0" w:color="000000"/>
              <w:right w:val="nil"/>
            </w:tcBorders>
            <w:tcMar>
              <w:top w:w="0" w:type="dxa"/>
              <w:left w:w="28" w:type="dxa"/>
              <w:bottom w:w="28" w:type="dxa"/>
              <w:right w:w="0" w:type="dxa"/>
            </w:tcMar>
            <w:hideMark/>
          </w:tcPr>
          <w:p w14:paraId="6E3882E3" w14:textId="77777777" w:rsidR="00D2439B" w:rsidRPr="00097DCF" w:rsidRDefault="00D2439B" w:rsidP="000D280C">
            <w:pPr>
              <w:rPr>
                <w:rFonts w:asciiTheme="majorHAnsi" w:hAnsiTheme="majorHAnsi" w:cstheme="majorHAnsi"/>
                <w:color w:val="000000" w:themeColor="text1"/>
                <w:sz w:val="20"/>
                <w:szCs w:val="20"/>
              </w:rPr>
            </w:pPr>
            <w:r w:rsidRPr="00097DCF">
              <w:rPr>
                <w:rFonts w:asciiTheme="majorHAnsi" w:hAnsiTheme="majorHAnsi" w:cstheme="majorHAnsi"/>
                <w:b/>
                <w:bCs/>
                <w:color w:val="000000" w:themeColor="text1"/>
                <w:sz w:val="20"/>
                <w:szCs w:val="20"/>
              </w:rPr>
              <w:t>Zestaw zawiera</w:t>
            </w:r>
          </w:p>
        </w:tc>
        <w:tc>
          <w:tcPr>
            <w:tcW w:w="5387" w:type="dxa"/>
            <w:tcBorders>
              <w:top w:val="nil"/>
              <w:left w:val="single" w:sz="6" w:space="0" w:color="000000"/>
              <w:bottom w:val="single" w:sz="6" w:space="0" w:color="000000"/>
              <w:right w:val="nil"/>
            </w:tcBorders>
            <w:tcMar>
              <w:top w:w="0" w:type="dxa"/>
              <w:left w:w="28" w:type="dxa"/>
              <w:bottom w:w="28" w:type="dxa"/>
              <w:right w:w="0" w:type="dxa"/>
            </w:tcMar>
            <w:hideMark/>
          </w:tcPr>
          <w:p w14:paraId="09023CF3" w14:textId="0FA6A50E"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2-osobowy bezprzewodowy system mikrofonowy (2,4 GHz, czarny)</w:t>
            </w:r>
          </w:p>
          <w:p w14:paraId="35E8DAC5" w14:textId="4C5262D7"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2 x nadajnik mikrofonu bezprzewodowego (2,4 GHz, czarny)</w:t>
            </w:r>
          </w:p>
          <w:p w14:paraId="411D7CA7" w14:textId="38512ED8"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lastRenderedPageBreak/>
              <w:t>odbiornik</w:t>
            </w:r>
          </w:p>
          <w:p w14:paraId="2343D847" w14:textId="5C923DF6"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dwa mikrofony krawatowe</w:t>
            </w:r>
          </w:p>
          <w:p w14:paraId="7CCCEBD0" w14:textId="0716C07D"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etui ładujące (czarne)</w:t>
            </w:r>
          </w:p>
          <w:p w14:paraId="5C7F8A77" w14:textId="099B9B3A"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kabel TRS 3</w:t>
            </w:r>
          </w:p>
          <w:p w14:paraId="42906D13" w14:textId="0CAAD0A8" w:rsidR="00D2439B" w:rsidRPr="00097DCF" w:rsidRDefault="00AE1A46"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lang w:val="en-US"/>
              </w:rPr>
            </w:pPr>
            <w:r w:rsidRPr="00097DCF">
              <w:rPr>
                <w:rFonts w:asciiTheme="majorHAnsi" w:eastAsia="Times New Roman" w:hAnsiTheme="majorHAnsi" w:cstheme="majorHAnsi"/>
                <w:color w:val="000000" w:themeColor="text1"/>
                <w:sz w:val="20"/>
                <w:szCs w:val="20"/>
                <w:lang w:val="en-US"/>
              </w:rPr>
              <w:t>kabel</w:t>
            </w:r>
            <w:r w:rsidR="00D2439B" w:rsidRPr="00097DCF">
              <w:rPr>
                <w:rFonts w:asciiTheme="majorHAnsi" w:eastAsia="Times New Roman" w:hAnsiTheme="majorHAnsi" w:cstheme="majorHAnsi"/>
                <w:color w:val="000000" w:themeColor="text1"/>
                <w:sz w:val="20"/>
                <w:szCs w:val="20"/>
                <w:lang w:val="en-US"/>
              </w:rPr>
              <w:t xml:space="preserve"> USB-C do Lightning</w:t>
            </w:r>
          </w:p>
          <w:p w14:paraId="39B53A82" w14:textId="6AB9FE8D"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kabel USB-C do USB-C</w:t>
            </w:r>
          </w:p>
          <w:p w14:paraId="78926770" w14:textId="20B08F0E"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kabel USB-C do USB-A</w:t>
            </w:r>
          </w:p>
          <w:p w14:paraId="23972834" w14:textId="7C313241"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2x Futerkowa osłona przednia</w:t>
            </w:r>
          </w:p>
          <w:p w14:paraId="78EE17BF" w14:textId="0661EAE4"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2x klips magnetyczny</w:t>
            </w:r>
          </w:p>
          <w:p w14:paraId="6111F7D1" w14:textId="59BB296D" w:rsidR="00D2439B" w:rsidRPr="00097DCF" w:rsidRDefault="00D2439B" w:rsidP="00D2439B">
            <w:pPr>
              <w:numPr>
                <w:ilvl w:val="0"/>
                <w:numId w:val="1"/>
              </w:numPr>
              <w:shd w:val="clear" w:color="auto" w:fill="FFFFFF"/>
              <w:spacing w:after="60" w:line="240" w:lineRule="auto"/>
              <w:textAlignment w:val="baseline"/>
              <w:rPr>
                <w:rFonts w:asciiTheme="majorHAnsi" w:eastAsia="Times New Roman" w:hAnsiTheme="majorHAnsi" w:cstheme="majorHAnsi"/>
                <w:color w:val="000000" w:themeColor="text1"/>
                <w:sz w:val="20"/>
                <w:szCs w:val="20"/>
              </w:rPr>
            </w:pPr>
            <w:r w:rsidRPr="00097DCF">
              <w:rPr>
                <w:rFonts w:asciiTheme="majorHAnsi" w:eastAsia="Times New Roman" w:hAnsiTheme="majorHAnsi" w:cstheme="majorHAnsi"/>
                <w:color w:val="000000" w:themeColor="text1"/>
                <w:sz w:val="20"/>
                <w:szCs w:val="20"/>
              </w:rPr>
              <w:t>torba do przechowywania</w:t>
            </w:r>
          </w:p>
        </w:tc>
        <w:tc>
          <w:tcPr>
            <w:tcW w:w="3096"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095CE977" w14:textId="77777777" w:rsidR="00D2439B" w:rsidRPr="00097DCF" w:rsidRDefault="00D2439B" w:rsidP="000D280C">
            <w:pPr>
              <w:rPr>
                <w:rFonts w:asciiTheme="majorHAnsi" w:hAnsiTheme="majorHAnsi" w:cstheme="majorHAnsi"/>
                <w:color w:val="000000" w:themeColor="text1"/>
                <w:sz w:val="20"/>
                <w:szCs w:val="20"/>
              </w:rPr>
            </w:pPr>
          </w:p>
        </w:tc>
      </w:tr>
      <w:tr w:rsidR="00097DCF" w:rsidRPr="00097DCF" w14:paraId="0D6EF12B" w14:textId="77777777" w:rsidTr="000D280C">
        <w:trPr>
          <w:tblCellSpacing w:w="0" w:type="dxa"/>
        </w:trPr>
        <w:tc>
          <w:tcPr>
            <w:tcW w:w="1177" w:type="dxa"/>
            <w:tcBorders>
              <w:top w:val="nil"/>
              <w:left w:val="single" w:sz="6" w:space="0" w:color="000000"/>
              <w:bottom w:val="single" w:sz="4" w:space="0" w:color="auto"/>
              <w:right w:val="nil"/>
            </w:tcBorders>
            <w:tcMar>
              <w:top w:w="0" w:type="dxa"/>
              <w:left w:w="28" w:type="dxa"/>
              <w:bottom w:w="28" w:type="dxa"/>
              <w:right w:w="0" w:type="dxa"/>
            </w:tcMar>
            <w:hideMark/>
          </w:tcPr>
          <w:p w14:paraId="484754D4" w14:textId="77777777" w:rsidR="00D2439B" w:rsidRPr="00097DCF" w:rsidRDefault="00D2439B" w:rsidP="000D280C">
            <w:pPr>
              <w:rPr>
                <w:rFonts w:asciiTheme="majorHAnsi" w:hAnsiTheme="majorHAnsi" w:cstheme="majorHAnsi"/>
                <w:color w:val="000000" w:themeColor="text1"/>
                <w:sz w:val="20"/>
                <w:szCs w:val="20"/>
              </w:rPr>
            </w:pPr>
            <w:r w:rsidRPr="00097DCF">
              <w:rPr>
                <w:rFonts w:asciiTheme="majorHAnsi" w:hAnsiTheme="majorHAnsi" w:cstheme="majorHAnsi"/>
                <w:b/>
                <w:bCs/>
                <w:color w:val="000000" w:themeColor="text1"/>
                <w:sz w:val="20"/>
                <w:szCs w:val="20"/>
              </w:rPr>
              <w:t>Gwarancja</w:t>
            </w:r>
          </w:p>
        </w:tc>
        <w:tc>
          <w:tcPr>
            <w:tcW w:w="5387" w:type="dxa"/>
            <w:tcBorders>
              <w:top w:val="nil"/>
              <w:left w:val="single" w:sz="6" w:space="0" w:color="000000"/>
              <w:bottom w:val="single" w:sz="4" w:space="0" w:color="auto"/>
              <w:right w:val="nil"/>
            </w:tcBorders>
            <w:tcMar>
              <w:top w:w="0" w:type="dxa"/>
              <w:left w:w="28" w:type="dxa"/>
              <w:bottom w:w="28" w:type="dxa"/>
              <w:right w:w="0" w:type="dxa"/>
            </w:tcMar>
            <w:hideMark/>
          </w:tcPr>
          <w:p w14:paraId="738E24BA" w14:textId="7E33DEF3" w:rsidR="00D2439B" w:rsidRPr="00097DCF" w:rsidRDefault="00D2439B" w:rsidP="000D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themeColor="text1"/>
                <w:sz w:val="20"/>
                <w:szCs w:val="20"/>
              </w:rPr>
            </w:pPr>
            <w:r w:rsidRPr="00097DCF">
              <w:rPr>
                <w:rFonts w:asciiTheme="majorHAnsi" w:hAnsiTheme="majorHAnsi" w:cstheme="majorHAnsi"/>
                <w:color w:val="000000" w:themeColor="text1"/>
                <w:sz w:val="20"/>
                <w:szCs w:val="20"/>
              </w:rPr>
              <w:t>Minimum</w:t>
            </w:r>
            <w:r w:rsidR="00685292" w:rsidRPr="00097DCF">
              <w:rPr>
                <w:rFonts w:asciiTheme="majorHAnsi" w:hAnsiTheme="majorHAnsi" w:cstheme="majorHAnsi"/>
                <w:color w:val="000000" w:themeColor="text1"/>
                <w:sz w:val="20"/>
                <w:szCs w:val="20"/>
              </w:rPr>
              <w:t xml:space="preserve"> 24 </w:t>
            </w:r>
            <w:r w:rsidRPr="00097DCF">
              <w:rPr>
                <w:rFonts w:asciiTheme="majorHAnsi" w:hAnsiTheme="majorHAnsi" w:cstheme="majorHAnsi"/>
                <w:color w:val="000000" w:themeColor="text1"/>
                <w:sz w:val="20"/>
                <w:szCs w:val="20"/>
              </w:rPr>
              <w:t xml:space="preserve"> miesięcy </w:t>
            </w:r>
          </w:p>
        </w:tc>
        <w:tc>
          <w:tcPr>
            <w:tcW w:w="3096" w:type="dxa"/>
            <w:tcBorders>
              <w:top w:val="nil"/>
              <w:left w:val="single" w:sz="6" w:space="0" w:color="000000"/>
              <w:bottom w:val="single" w:sz="4" w:space="0" w:color="auto"/>
              <w:right w:val="single" w:sz="6" w:space="0" w:color="000000"/>
            </w:tcBorders>
            <w:tcMar>
              <w:top w:w="0" w:type="dxa"/>
              <w:left w:w="28" w:type="dxa"/>
              <w:bottom w:w="28" w:type="dxa"/>
              <w:right w:w="28" w:type="dxa"/>
            </w:tcMar>
            <w:hideMark/>
          </w:tcPr>
          <w:p w14:paraId="2F23DA00" w14:textId="77777777" w:rsidR="00D2439B" w:rsidRPr="00097DCF" w:rsidRDefault="00D2439B" w:rsidP="000D280C">
            <w:pPr>
              <w:rPr>
                <w:rFonts w:asciiTheme="majorHAnsi" w:hAnsiTheme="majorHAnsi" w:cstheme="majorHAnsi"/>
                <w:color w:val="000000" w:themeColor="text1"/>
                <w:sz w:val="20"/>
                <w:szCs w:val="20"/>
              </w:rPr>
            </w:pPr>
          </w:p>
        </w:tc>
      </w:tr>
      <w:tr w:rsidR="00AE1A46" w:rsidRPr="00097DCF" w14:paraId="0C40529C" w14:textId="77777777" w:rsidTr="000D280C">
        <w:tblPrEx>
          <w:tblCellSpacing w:w="0" w:type="nil"/>
          <w:tblBorders>
            <w:top w:val="single" w:sz="4" w:space="0" w:color="auto"/>
          </w:tblBorders>
          <w:tblCellMar>
            <w:top w:w="0" w:type="dxa"/>
            <w:left w:w="70" w:type="dxa"/>
            <w:bottom w:w="0" w:type="dxa"/>
            <w:right w:w="70" w:type="dxa"/>
          </w:tblCellMar>
          <w:tblLook w:val="0000" w:firstRow="0" w:lastRow="0" w:firstColumn="0" w:lastColumn="0" w:noHBand="0" w:noVBand="0"/>
        </w:tblPrEx>
        <w:trPr>
          <w:trHeight w:val="100"/>
        </w:trPr>
        <w:tc>
          <w:tcPr>
            <w:tcW w:w="9660" w:type="dxa"/>
            <w:gridSpan w:val="3"/>
          </w:tcPr>
          <w:p w14:paraId="7426B6D1" w14:textId="77777777" w:rsidR="00D2439B" w:rsidRPr="00097DCF" w:rsidRDefault="00D2439B" w:rsidP="000D280C">
            <w:pPr>
              <w:rPr>
                <w:rFonts w:asciiTheme="majorHAnsi" w:hAnsiTheme="majorHAnsi" w:cstheme="majorHAnsi"/>
                <w:color w:val="000000" w:themeColor="text1"/>
                <w:sz w:val="20"/>
                <w:szCs w:val="20"/>
              </w:rPr>
            </w:pPr>
          </w:p>
        </w:tc>
      </w:tr>
    </w:tbl>
    <w:p w14:paraId="1AADE6B1" w14:textId="77777777" w:rsidR="00D2439B" w:rsidRPr="00097DCF" w:rsidRDefault="00D2439B" w:rsidP="00D2439B">
      <w:pPr>
        <w:rPr>
          <w:rFonts w:asciiTheme="majorHAnsi" w:hAnsiTheme="majorHAnsi" w:cstheme="majorHAnsi"/>
          <w:color w:val="000000" w:themeColor="text1"/>
          <w:sz w:val="20"/>
          <w:szCs w:val="20"/>
        </w:rPr>
      </w:pPr>
    </w:p>
    <w:p w14:paraId="1C77DABC" w14:textId="77777777" w:rsidR="00D2439B" w:rsidRPr="00097DCF" w:rsidRDefault="00D2439B" w:rsidP="00D2439B">
      <w:pPr>
        <w:rPr>
          <w:rFonts w:asciiTheme="majorHAnsi" w:hAnsiTheme="majorHAnsi" w:cstheme="majorHAnsi"/>
          <w:color w:val="000000" w:themeColor="text1"/>
          <w:sz w:val="20"/>
          <w:szCs w:val="20"/>
        </w:rPr>
      </w:pPr>
    </w:p>
    <w:sectPr w:rsidR="00D2439B" w:rsidRPr="00097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054D3"/>
    <w:multiLevelType w:val="multilevel"/>
    <w:tmpl w:val="ED9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F256E"/>
    <w:multiLevelType w:val="multilevel"/>
    <w:tmpl w:val="4CC2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36312"/>
    <w:multiLevelType w:val="multilevel"/>
    <w:tmpl w:val="C98A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6299A"/>
    <w:multiLevelType w:val="hybridMultilevel"/>
    <w:tmpl w:val="81401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E6"/>
    <w:rsid w:val="0000526E"/>
    <w:rsid w:val="00097DCF"/>
    <w:rsid w:val="003304D8"/>
    <w:rsid w:val="00685292"/>
    <w:rsid w:val="0086140D"/>
    <w:rsid w:val="008F3AFF"/>
    <w:rsid w:val="00AE1A46"/>
    <w:rsid w:val="00D158E6"/>
    <w:rsid w:val="00D2439B"/>
    <w:rsid w:val="00F82956"/>
    <w:rsid w:val="00FE1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959E"/>
  <w15:chartTrackingRefBased/>
  <w15:docId w15:val="{1E53B506-CD0E-439F-9A4C-57BA13D5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39B"/>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307</Words>
  <Characters>1845</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Rzymski</dc:creator>
  <cp:keywords/>
  <dc:description/>
  <cp:lastModifiedBy>Roman Rzymski</cp:lastModifiedBy>
  <cp:revision>8</cp:revision>
  <dcterms:created xsi:type="dcterms:W3CDTF">2024-07-08T07:18:00Z</dcterms:created>
  <dcterms:modified xsi:type="dcterms:W3CDTF">2024-07-22T14:40:00Z</dcterms:modified>
</cp:coreProperties>
</file>