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4877EFBB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BD2FEB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64C7906F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b/>
          <w:sz w:val="22"/>
          <w:szCs w:val="22"/>
        </w:rPr>
        <w:t>„</w:t>
      </w:r>
      <w:r w:rsidR="00A4504F" w:rsidRPr="00A4504F">
        <w:rPr>
          <w:rFonts w:ascii="Verdana" w:hAnsi="Verdana"/>
          <w:b/>
          <w:color w:val="000000"/>
          <w:sz w:val="22"/>
          <w:szCs w:val="22"/>
        </w:rPr>
        <w:t>Przebudowa z rozbudową drogi powiatowej nr 4906P Gostyń - Brzezie  wraz z budową ciągu pieszo-rowerowego - ETAP II (km 0+619 - 1+530)</w:t>
      </w:r>
      <w:r w:rsidRPr="00B67B23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42455B"/>
    <w:rsid w:val="00550F3E"/>
    <w:rsid w:val="0076338D"/>
    <w:rsid w:val="00813A45"/>
    <w:rsid w:val="00910ABC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15</cp:revision>
  <dcterms:created xsi:type="dcterms:W3CDTF">2021-02-19T04:57:00Z</dcterms:created>
  <dcterms:modified xsi:type="dcterms:W3CDTF">2023-11-20T08:08:00Z</dcterms:modified>
</cp:coreProperties>
</file>