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88" w:lineRule="auto"/>
        <w:ind w:right="115"/>
        <w:jc w:val="right"/>
        <w:rPr>
          <w:b/>
        </w:rPr>
      </w:pPr>
      <w:r>
        <w:rPr>
          <w:b/>
        </w:rPr>
        <w:t>Załącznik nr 6</w:t>
      </w:r>
    </w:p>
    <w:p>
      <w:pPr>
        <w:shd w:val="clear" w:color="auto" w:fill="FFFFFF"/>
        <w:tabs>
          <w:tab w:val="left" w:pos="1304"/>
          <w:tab w:val="left" w:pos="4320"/>
          <w:tab w:val="left" w:pos="5130"/>
        </w:tabs>
        <w:spacing w:before="120" w:beforeLines="50" w:after="120" w:afterLines="50" w:line="288" w:lineRule="auto"/>
        <w:ind w:right="115"/>
        <w:jc w:val="right"/>
        <w:rPr>
          <w:b/>
        </w:rPr>
      </w:pPr>
      <w:bookmarkStart w:id="0" w:name="_Hlk77184420"/>
      <w:r>
        <w:rPr>
          <w:bCs/>
        </w:rPr>
        <w:t>Postępowanie nr 1/NORW/19.1.1/2021</w:t>
      </w:r>
      <w:bookmarkEnd w:id="0"/>
    </w:p>
    <w:p>
      <w:pPr>
        <w:widowControl w:val="0"/>
        <w:tabs>
          <w:tab w:val="left" w:pos="2977"/>
        </w:tabs>
        <w:spacing w:before="120" w:beforeLines="50" w:after="120" w:afterLines="50" w:line="288" w:lineRule="auto"/>
        <w:ind w:right="115"/>
        <w:jc w:val="both"/>
      </w:pPr>
    </w:p>
    <w:p>
      <w:pPr>
        <w:pStyle w:val="11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Opis Przedmiotu Zamówienia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Dostawa terminali mobilnych wraz z akcesoriami i systemem RFID w ramach projektu “</w:t>
      </w:r>
      <w:r>
        <w:rPr>
          <w:rFonts w:ascii="Times New Roman" w:hAnsi="Times New Roman" w:cs="Times New Roman"/>
          <w:sz w:val="24"/>
          <w:szCs w:val="24"/>
          <w:lang w:eastAsia="zh-CN"/>
        </w:rPr>
        <w:t>Wdrożenie technologii systemu magazynowego średniej skali z oryginalnym układem zarządzania, oświetlenia i zasilania przez mikroinstalacje OZE”</w:t>
      </w:r>
    </w:p>
    <w:p>
      <w:pPr>
        <w:spacing w:line="264" w:lineRule="auto"/>
        <w:rPr>
          <w:b/>
          <w:iCs/>
        </w:rPr>
      </w:pPr>
    </w:p>
    <w:p>
      <w:pPr>
        <w:spacing w:before="120"/>
      </w:pPr>
      <w:r>
        <w:t xml:space="preserve">Przedmiotem zamówienia jest dostawa, instalacja i konfiguracja terminali mobilnych wraz z akcesoriami oraz systemu RFID. </w:t>
      </w:r>
      <w:r>
        <w:rPr>
          <w:spacing w:val="-10"/>
        </w:rPr>
        <w:t xml:space="preserve">Przedmiot zamówienia został podzielony na </w:t>
      </w:r>
      <w:r>
        <w:rPr>
          <w:b/>
          <w:bCs/>
          <w:spacing w:val="-10"/>
        </w:rPr>
        <w:t>2</w:t>
      </w:r>
      <w:r>
        <w:rPr>
          <w:spacing w:val="-10"/>
        </w:rPr>
        <w:t xml:space="preserve"> </w:t>
      </w:r>
      <w:r>
        <w:rPr>
          <w:b/>
          <w:bCs/>
          <w:spacing w:val="-10"/>
        </w:rPr>
        <w:t xml:space="preserve">wyodrębnione części. </w:t>
      </w:r>
      <w:r>
        <w:t xml:space="preserve">Przedmiot dostawy ma być fabrycznie nowy (rok produkcji nie wcześniejszy niż 2021 rok), wolny od wad, i kompletny, tj. posiadający wszelkie akcesoria, przewody, kable, ładowarki, baterie oraz instrukcje niezbędne do ich prawidłowego użytkowania. Wszystkie materiały powinny być nowe, nie noszące śladów uszkodzeń zewnętrznych i uprzedniego używania tzn. że żadna część składająca się na dany materiał nie może być wcześniej używana, musi pochodzić z bieżącej produkcji, być sprawna i posiadać wyposażenie niezbędne do funkcjonalnego działania.  Dostarczone urządzenia i akcesoria muszą być odpowiednio zapakowane, aby zapobiec uszkodzeniu w czasie dostawy. Zamawiający wymaga, aby instrukcje do zamawianych towarów były w języku polskim. Każdy z dostarczonych artykułów winien posiadać deklarację zgodności CE oraz odpowiadać normom europejskim i krajowym (jeżeli jest to wymagane). Minimalny wymagany okres udzielanej gwarancji wynosi 24 miesiące. </w:t>
      </w:r>
      <w:r>
        <w:rPr>
          <w:rStyle w:val="16"/>
        </w:rPr>
        <w:t xml:space="preserve">Zgodnie z zapisami art. 99 ust. 6 ustawy Pzp, Zamawiający dopuszcza rozwiązania równoważne dla systemów lub urządzeń spełniające obowiązujące standardy i wymagania. </w:t>
      </w:r>
    </w:p>
    <w:p>
      <w:pPr>
        <w:pStyle w:val="15"/>
        <w:spacing w:before="120" w:beforeLines="50" w:after="120" w:afterLines="50" w:line="288" w:lineRule="auto"/>
        <w:ind w:right="115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Część 1:</w:t>
      </w:r>
    </w:p>
    <w:p>
      <w:pPr>
        <w:numPr>
          <w:ilvl w:val="0"/>
          <w:numId w:val="1"/>
        </w:numPr>
        <w:spacing w:before="120" w:beforeLines="50" w:after="120" w:afterLines="50" w:line="288" w:lineRule="auto"/>
        <w:ind w:right="115"/>
        <w:jc w:val="both"/>
      </w:pPr>
      <w:r>
        <w:t>terminale mobilne (kolektory danych) 72 szt.:</w:t>
      </w:r>
    </w:p>
    <w:p>
      <w:pPr>
        <w:spacing w:before="120" w:beforeLines="50" w:after="120" w:afterLines="50" w:line="288" w:lineRule="auto"/>
        <w:ind w:right="115"/>
        <w:jc w:val="both"/>
      </w:pPr>
      <w:r>
        <w:t>Forma urządzenia:</w:t>
      </w:r>
      <w:r>
        <w:tab/>
      </w:r>
      <w:r>
        <w:t>Format 'cegiełki' (ang. Brick) - zintegrowana budowa w formie zbliżonym do prostopadłościanu</w:t>
      </w:r>
    </w:p>
    <w:p>
      <w:pPr>
        <w:spacing w:before="120" w:beforeLines="50" w:after="120" w:afterLines="50" w:line="288" w:lineRule="auto"/>
        <w:ind w:right="115"/>
        <w:jc w:val="both"/>
      </w:pPr>
      <w:r>
        <w:t>Wymiary (D/S/G) nie większe niż:</w:t>
      </w:r>
      <w:r>
        <w:tab/>
      </w:r>
      <w:r>
        <w:t>203x75x36mm</w:t>
      </w:r>
    </w:p>
    <w:p>
      <w:pPr>
        <w:spacing w:before="120" w:beforeLines="50" w:after="120" w:afterLines="50" w:line="288" w:lineRule="auto"/>
        <w:ind w:right="115"/>
        <w:jc w:val="both"/>
      </w:pPr>
      <w:r>
        <w:t>Waga nie większa niż:</w:t>
      </w:r>
      <w:r>
        <w:tab/>
      </w:r>
      <w:r>
        <w:t>4</w:t>
      </w:r>
      <w:r>
        <w:rPr>
          <w:rFonts w:hint="default"/>
          <w:lang w:val="pl-PL"/>
        </w:rPr>
        <w:t>50</w:t>
      </w:r>
      <w:r>
        <w:t xml:space="preserve"> g</w:t>
      </w:r>
    </w:p>
    <w:p>
      <w:pPr>
        <w:spacing w:before="120" w:beforeLines="50" w:after="120" w:afterLines="50" w:line="288" w:lineRule="auto"/>
        <w:ind w:right="115"/>
        <w:jc w:val="both"/>
        <w:rPr>
          <w:rFonts w:hint="default"/>
          <w:lang w:val="pl-PL"/>
        </w:rPr>
      </w:pPr>
      <w:r>
        <w:t xml:space="preserve">Wyświetlacz: </w:t>
      </w:r>
      <w:r>
        <w:tab/>
      </w:r>
      <w:r>
        <w:t>min 4", WVGA (800x480)</w:t>
      </w:r>
      <w:r>
        <w:rPr>
          <w:rFonts w:hint="default"/>
          <w:lang w:val="pl-PL"/>
        </w:rPr>
        <w:t xml:space="preserve"> lub (480x800)</w:t>
      </w:r>
      <w:bookmarkStart w:id="1" w:name="_GoBack"/>
      <w:bookmarkEnd w:id="1"/>
    </w:p>
    <w:p>
      <w:pPr>
        <w:spacing w:before="120" w:beforeLines="50" w:after="120" w:afterLines="50" w:line="288" w:lineRule="auto"/>
        <w:ind w:right="115"/>
        <w:jc w:val="both"/>
      </w:pPr>
      <w:r>
        <w:t>Bateria:</w:t>
      </w:r>
      <w:r>
        <w:tab/>
      </w:r>
      <w:r>
        <w:t>min 7000mAh</w:t>
      </w:r>
    </w:p>
    <w:p>
      <w:pPr>
        <w:spacing w:before="120" w:beforeLines="50" w:after="120" w:afterLines="50" w:line="288" w:lineRule="auto"/>
        <w:ind w:right="115"/>
        <w:jc w:val="both"/>
      </w:pPr>
      <w:r>
        <w:t>Pamięć:</w:t>
      </w:r>
      <w:r>
        <w:tab/>
      </w:r>
      <w:r>
        <w:t>min 4GB RAM / 32GB Flash</w:t>
      </w:r>
    </w:p>
    <w:p>
      <w:pPr>
        <w:spacing w:before="120" w:beforeLines="50" w:after="120" w:afterLines="50" w:line="288" w:lineRule="auto"/>
        <w:ind w:right="115"/>
        <w:jc w:val="both"/>
      </w:pPr>
      <w:r>
        <w:t xml:space="preserve">Gniazdo MicroSD do 512GB </w:t>
      </w:r>
    </w:p>
    <w:p>
      <w:pPr>
        <w:spacing w:before="120" w:beforeLines="50" w:after="120" w:afterLines="50" w:line="288" w:lineRule="auto"/>
        <w:ind w:right="115"/>
        <w:jc w:val="both"/>
      </w:pPr>
      <w:r>
        <w:t>Procesor:</w:t>
      </w:r>
      <w:r>
        <w:tab/>
      </w:r>
      <w:r>
        <w:t>Qualcomm SD660 8-o rdzeniowy min. 2.2GHz lub 8-o rdzeniowy procesor o taktowaniu minimum 2.2GHz</w:t>
      </w:r>
    </w:p>
    <w:p>
      <w:pPr>
        <w:spacing w:before="120" w:beforeLines="50" w:after="120" w:afterLines="50" w:line="288" w:lineRule="auto"/>
        <w:ind w:right="115"/>
        <w:jc w:val="both"/>
      </w:pPr>
      <w:r>
        <w:t>Klawiatura:</w:t>
      </w:r>
      <w:r>
        <w:tab/>
      </w:r>
      <w:r>
        <w:t>Klawisze numeryczne oraz funkcyjne</w:t>
      </w:r>
    </w:p>
    <w:p>
      <w:pPr>
        <w:spacing w:before="120" w:beforeLines="50" w:after="120" w:afterLines="50" w:line="288" w:lineRule="auto"/>
        <w:ind w:right="115"/>
        <w:jc w:val="both"/>
      </w:pPr>
      <w:r>
        <w:t>Audio:</w:t>
      </w:r>
      <w:r>
        <w:tab/>
      </w:r>
      <w:r>
        <w:tab/>
      </w:r>
      <w:r>
        <w:t>Wbudowany głośnik oraz mikrofon</w:t>
      </w:r>
    </w:p>
    <w:p>
      <w:pPr>
        <w:spacing w:before="120" w:beforeLines="50" w:after="120" w:afterLines="50" w:line="288" w:lineRule="auto"/>
        <w:ind w:right="115"/>
        <w:jc w:val="both"/>
      </w:pPr>
      <w:r>
        <w:t>System operacyjny:</w:t>
      </w:r>
      <w:r>
        <w:tab/>
      </w:r>
      <w:r>
        <w:t>Android 10 z potwierdzoną możliwością aktualizacji do 12; Zgodność z Android Enterprise Recomended firmy Google</w:t>
      </w:r>
    </w:p>
    <w:p>
      <w:pPr>
        <w:spacing w:before="120" w:beforeLines="50" w:after="120" w:afterLines="50" w:line="288" w:lineRule="auto"/>
        <w:ind w:right="115"/>
        <w:jc w:val="both"/>
      </w:pPr>
      <w:r>
        <w:t>Zakres temperatur pracy:</w:t>
      </w:r>
      <w:r>
        <w:tab/>
      </w:r>
      <w:r>
        <w:t>-20</w:t>
      </w:r>
      <w:r>
        <w:rPr>
          <w:vertAlign w:val="superscript"/>
        </w:rPr>
        <w:t>o</w:t>
      </w:r>
      <w:r>
        <w:t>C do +50</w:t>
      </w:r>
      <w:r>
        <w:rPr>
          <w:vertAlign w:val="superscript"/>
        </w:rPr>
        <w:t>o</w:t>
      </w:r>
      <w:r>
        <w:t>C</w:t>
      </w:r>
    </w:p>
    <w:p>
      <w:pPr>
        <w:spacing w:before="120" w:beforeLines="50" w:after="120" w:afterLines="50" w:line="288" w:lineRule="auto"/>
        <w:ind w:right="115"/>
        <w:jc w:val="both"/>
      </w:pPr>
      <w:r>
        <w:t>Odporność upadkowa:</w:t>
      </w:r>
      <w:r>
        <w:tab/>
      </w:r>
      <w:r>
        <w:t>odporne na upadki z min 1.8m na beton w całym zakresie dopuszczalnych temperatur oraz min 3000 odbić na wysokość 1.0m</w:t>
      </w:r>
    </w:p>
    <w:p>
      <w:pPr>
        <w:spacing w:before="120" w:beforeLines="50" w:after="120" w:afterLines="50" w:line="288" w:lineRule="auto"/>
        <w:ind w:right="115"/>
        <w:jc w:val="both"/>
      </w:pPr>
      <w:r>
        <w:t>Wykrywanie ruchu:</w:t>
      </w:r>
      <w:r>
        <w:tab/>
      </w:r>
      <w:r>
        <w:t>3-osiowy akcelerometr z żyroskopem</w:t>
      </w:r>
    </w:p>
    <w:p>
      <w:pPr>
        <w:spacing w:before="120" w:beforeLines="50" w:after="120" w:afterLines="50" w:line="288" w:lineRule="auto"/>
        <w:ind w:right="115"/>
        <w:jc w:val="both"/>
      </w:pPr>
      <w:r>
        <w:t>Skanowanie:</w:t>
      </w:r>
      <w:r>
        <w:tab/>
      </w:r>
      <w:r>
        <w:t>dedykowany silnik, odczyt kodów 1D i 2D</w:t>
      </w:r>
    </w:p>
    <w:p>
      <w:pPr>
        <w:spacing w:before="120" w:beforeLines="50" w:after="120" w:afterLines="50" w:line="288" w:lineRule="auto"/>
        <w:ind w:right="115"/>
        <w:jc w:val="both"/>
      </w:pPr>
      <w:r>
        <w:t>Zakres pracy: 7cm do 22m</w:t>
      </w:r>
    </w:p>
    <w:p>
      <w:pPr>
        <w:spacing w:before="120" w:beforeLines="50" w:after="120" w:afterLines="50" w:line="288" w:lineRule="auto"/>
        <w:ind w:right="115"/>
        <w:jc w:val="both"/>
      </w:pPr>
      <w:r>
        <w:t>Opcjonalna kamera:</w:t>
      </w:r>
      <w:r>
        <w:tab/>
      </w:r>
      <w:r>
        <w:t>min 13 MP</w:t>
      </w:r>
    </w:p>
    <w:p>
      <w:pPr>
        <w:spacing w:before="120" w:beforeLines="50" w:after="120" w:afterLines="50" w:line="288" w:lineRule="auto"/>
        <w:ind w:right="115"/>
        <w:jc w:val="both"/>
      </w:pPr>
      <w:r>
        <w:t>Radio WiFi:</w:t>
      </w:r>
      <w:r>
        <w:tab/>
      </w:r>
      <w:r>
        <w:t>IEEE 802.11 a/b/g/n/ac/d/h/i/r/k/v/w/mc</w:t>
      </w:r>
    </w:p>
    <w:p>
      <w:pPr>
        <w:spacing w:before="120" w:beforeLines="50" w:after="120" w:afterLines="50" w:line="288" w:lineRule="auto"/>
        <w:ind w:right="115"/>
        <w:jc w:val="both"/>
      </w:pPr>
      <w:r>
        <w:t>obsługa IP4 i IP6 oraz 2x2x MU-MIMO</w:t>
      </w:r>
    </w:p>
    <w:p>
      <w:pPr>
        <w:spacing w:before="120" w:beforeLines="50" w:after="120" w:afterLines="50" w:line="288" w:lineRule="auto"/>
        <w:ind w:right="115"/>
        <w:jc w:val="both"/>
      </w:pPr>
      <w:r>
        <w:t>Bluetooth:</w:t>
      </w:r>
      <w:r>
        <w:tab/>
      </w:r>
      <w:r>
        <w:t>Min. V5.0 z BLE</w:t>
      </w:r>
    </w:p>
    <w:p>
      <w:pPr>
        <w:spacing w:before="120" w:beforeLines="50" w:after="120" w:afterLines="50" w:line="288" w:lineRule="auto"/>
        <w:ind w:right="115"/>
        <w:jc w:val="both"/>
      </w:pPr>
      <w:r>
        <w:t>NFC:</w:t>
      </w:r>
      <w:r>
        <w:tab/>
      </w:r>
      <w:r>
        <w:t>Odczyt kart ISO14443 Typ A i B, ISO15693</w:t>
      </w:r>
    </w:p>
    <w:p>
      <w:pPr>
        <w:spacing w:before="120" w:beforeLines="50" w:after="120" w:afterLines="50" w:line="288" w:lineRule="auto"/>
        <w:ind w:right="115"/>
        <w:jc w:val="both"/>
      </w:pPr>
      <w:r>
        <w:t>Kontrakt serwisowy:</w:t>
      </w:r>
      <w:r>
        <w:tab/>
      </w:r>
      <w:r>
        <w:t xml:space="preserve">minimum 2 lata obejmujący przypadkowe uszkodzenia mechaniczne, realizowany w sposób zgodny z zaleceniami producenta i nie powodujący utraty uprawnień z tytułu gwarancji udzielanej przez producenta </w:t>
      </w:r>
    </w:p>
    <w:p>
      <w:pPr>
        <w:spacing w:before="120" w:beforeLines="50" w:after="120" w:afterLines="50" w:line="288" w:lineRule="auto"/>
        <w:ind w:right="115"/>
        <w:jc w:val="both"/>
      </w:pPr>
      <w:r>
        <w:t>Aktualizacje systemu operacyjnego:</w:t>
      </w:r>
      <w:r>
        <w:tab/>
      </w:r>
      <w:r>
        <w:t>Poprawki bezpieczeństwa wydawane minimum raz na kwartał przez minimum 5 lat</w:t>
      </w:r>
    </w:p>
    <w:p>
      <w:pPr>
        <w:spacing w:before="120" w:beforeLines="50" w:after="120" w:afterLines="50" w:line="288" w:lineRule="auto"/>
        <w:ind w:right="115"/>
        <w:jc w:val="both"/>
      </w:pPr>
      <w:r>
        <w:t>Wymagane oprogramowanie:</w:t>
      </w:r>
      <w:r>
        <w:tab/>
      </w:r>
      <w:r>
        <w:tab/>
      </w:r>
      <w:r>
        <w:tab/>
      </w:r>
    </w:p>
    <w:p>
      <w:pPr>
        <w:spacing w:before="120" w:beforeLines="50" w:after="120" w:afterLines="50" w:line="288" w:lineRule="auto"/>
        <w:ind w:right="115"/>
        <w:jc w:val="both"/>
      </w:pPr>
      <w:r>
        <w:t>1. System do pełnej automatycznej konfiguracji urządzenia ze stanu dostarczone przez producenta po wyjęciu z pudełka do gotowej konfiguracji bez ingerencji operatora. Narzędzie powinno działać lokalnie w sieci klienta i umożliwiać konfiguracje po zeskanowaniu kodu lub przyłożeniu karty NFC</w:t>
      </w:r>
    </w:p>
    <w:p>
      <w:pPr>
        <w:spacing w:before="120" w:beforeLines="50" w:after="120" w:afterLines="50" w:line="288" w:lineRule="auto"/>
        <w:ind w:right="115"/>
        <w:jc w:val="both"/>
      </w:pPr>
      <w:r>
        <w:t>2. Narzędzie producenta do zabezpieczenia ekranu urządzenia przed użytkownikami. Powinno pozwolić na udostępnienie tylko wymaganych narzędzi i aplikacji oraz pełny dostęp dla administratora po wpisaniu hasła. Powinno instalować się i w pełni konfigurować poprzez narzędzie opisane w pkt. 1</w:t>
      </w:r>
    </w:p>
    <w:p>
      <w:pPr>
        <w:spacing w:before="120" w:beforeLines="50" w:after="120" w:afterLines="50" w:line="288" w:lineRule="auto"/>
        <w:ind w:right="115"/>
        <w:jc w:val="both"/>
      </w:pPr>
      <w:r>
        <w:t>3. Rozwiązanie do formatowania skanowanych danych i dostarczania ich w gotowej formie do aplikacji zewnętrznych. Powinno posiadać możliwość definiowania i wywoływania różnych zestawów ustawień. Powinno instalować się i w pełni konfigurować poprzez narzędzie opisane w pkt. 1</w:t>
      </w:r>
    </w:p>
    <w:p>
      <w:pPr>
        <w:spacing w:before="120" w:beforeLines="50" w:after="120" w:afterLines="50" w:line="288" w:lineRule="auto"/>
        <w:ind w:right="115"/>
        <w:jc w:val="both"/>
      </w:pPr>
      <w:r>
        <w:t>4. Narzędzie umożliwiające sprawdzenie ogólnej kondycji baterii zarówno z poziomu urządzenia jak i zdalnej konsoli administracyjnej.</w:t>
      </w:r>
    </w:p>
    <w:p>
      <w:pPr>
        <w:spacing w:before="120" w:beforeLines="50" w:after="120" w:afterLines="50" w:line="288" w:lineRule="auto"/>
        <w:ind w:right="115"/>
        <w:jc w:val="both"/>
      </w:pPr>
      <w:r>
        <w:t>5. Przeglądarka webowa umożliwiająca określanie parametrów takich jak: skalowanie ekranu, zarządzanie chache'ami danych oraz utrzymywaniem sesji zgodna z Java, HTML5, oraz SAP. Powinna instalować się i w pełni konfigurować poprzez narzędzie opisane w pkt. 1</w:t>
      </w:r>
    </w:p>
    <w:p>
      <w:pPr>
        <w:spacing w:before="120" w:beforeLines="50" w:after="120" w:afterLines="50" w:line="288" w:lineRule="auto"/>
        <w:ind w:right="115"/>
        <w:jc w:val="both"/>
      </w:pPr>
      <w:r>
        <w:t>b) każde urządzenie powinno być wyposażone w dedykowane akcesoria dostarczane przez producenta terminali tj. co najmniej: uchwyt na rękę, dodatkowa gumowa obudowa/etui zabezpieczające urządzenie, dodatkowa szyba ochronna na ekran, kabura mocowana na pasku,</w:t>
      </w:r>
    </w:p>
    <w:p>
      <w:pPr>
        <w:spacing w:before="120" w:beforeLines="50" w:after="120" w:afterLines="50" w:line="288" w:lineRule="auto"/>
        <w:ind w:right="115"/>
        <w:jc w:val="both"/>
      </w:pPr>
      <w:r>
        <w:t>c) akcesoria: zintegrowana ładowarka wielostanowiskowa wraz z zasilaczem 18 szt., zapasowe baterie o pojemności i parametrach technicznych nie gorszych niż pojemność i parametry techniczne baterii dostarczonych z urządzeniem - 80 szt., uchwyty na wózki widłowe dedykowane do urządzeń 36 szt.</w:t>
      </w:r>
    </w:p>
    <w:p>
      <w:pPr>
        <w:spacing w:before="120" w:beforeLines="50" w:after="120" w:afterLines="50" w:line="288" w:lineRule="auto"/>
        <w:ind w:right="115"/>
        <w:jc w:val="both"/>
        <w:rPr>
          <w:b/>
          <w:bCs/>
        </w:rPr>
      </w:pPr>
      <w:r>
        <w:rPr>
          <w:b/>
          <w:bCs/>
        </w:rPr>
        <w:t>Część 2:</w:t>
      </w:r>
    </w:p>
    <w:p>
      <w:pPr>
        <w:numPr>
          <w:ilvl w:val="0"/>
          <w:numId w:val="2"/>
        </w:numPr>
        <w:spacing w:before="120" w:beforeLines="50" w:after="120" w:afterLines="50" w:line="288" w:lineRule="auto"/>
        <w:ind w:right="115"/>
        <w:jc w:val="both"/>
      </w:pPr>
      <w:r>
        <w:t>czytnik RFID 3 szt.:</w:t>
      </w:r>
    </w:p>
    <w:p>
      <w:pPr>
        <w:spacing w:before="120"/>
      </w:pPr>
      <w:r>
        <w:t>Wymiary (D/S/G) nie większe niż: 196x150x44mm</w:t>
      </w:r>
    </w:p>
    <w:p>
      <w:pPr>
        <w:spacing w:before="120"/>
      </w:pPr>
      <w:r>
        <w:t>Waga nie większa niż: 870g</w:t>
      </w:r>
    </w:p>
    <w:p>
      <w:pPr>
        <w:spacing w:before="120"/>
      </w:pPr>
      <w:r>
        <w:t>Mocowanie:</w:t>
      </w:r>
      <w:r>
        <w:tab/>
      </w:r>
      <w:r>
        <w:t>VESA 75x75mm</w:t>
      </w:r>
    </w:p>
    <w:p>
      <w:pPr>
        <w:spacing w:before="120"/>
      </w:pPr>
      <w:r>
        <w:t>Zakres temperatur pracy: -20 st. C do +55 st. C</w:t>
      </w:r>
    </w:p>
    <w:p>
      <w:pPr>
        <w:spacing w:before="120"/>
      </w:pPr>
      <w:r>
        <w:t>Porty komunikacyjne: RJ45 ze wsparcie POE, USB typ B, USB typ A</w:t>
      </w:r>
    </w:p>
    <w:p>
      <w:pPr>
        <w:spacing w:before="120"/>
      </w:pPr>
      <w:r>
        <w:t>Ilość odczytywanych tagów na sekundę:</w:t>
      </w:r>
      <w:r>
        <w:tab/>
      </w:r>
      <w:r>
        <w:t>min. 1200</w:t>
      </w:r>
    </w:p>
    <w:p>
      <w:pPr>
        <w:spacing w:before="120"/>
      </w:pPr>
      <w:r>
        <w:t>Maksymalna czułość odbiornika min.:</w:t>
      </w:r>
      <w:r>
        <w:tab/>
      </w:r>
      <w:r>
        <w:t>-82 dBm</w:t>
      </w:r>
    </w:p>
    <w:p>
      <w:pPr>
        <w:spacing w:before="120"/>
      </w:pPr>
      <w:r>
        <w:t>Usługi sieciowe:</w:t>
      </w:r>
      <w:r>
        <w:tab/>
      </w:r>
      <w:r>
        <w:t>DHCP, HTTPS, FTPS, SFPT, SSH, HTTP, FTP, SNMP i NTP</w:t>
      </w:r>
    </w:p>
    <w:p>
      <w:pPr>
        <w:spacing w:before="120"/>
      </w:pPr>
      <w:r>
        <w:t>Możliwość hostingu aplikacji (aplikacje wbudowane), SDK dla aplikacji host, API do zarządzania za pomocą chmury</w:t>
      </w:r>
      <w:r>
        <w:tab/>
      </w:r>
      <w:r>
        <w:tab/>
      </w:r>
      <w:r>
        <w:tab/>
      </w:r>
    </w:p>
    <w:p>
      <w:pPr>
        <w:spacing w:before="120"/>
      </w:pPr>
      <w:r>
        <w:t>Możliwość uaktualniania oprogramowania układowego przez Internet lub zdalnie.</w:t>
      </w:r>
    </w:p>
    <w:p>
      <w:pPr>
        <w:spacing w:before="120" w:beforeLines="50" w:after="120" w:afterLines="50" w:line="288" w:lineRule="auto"/>
        <w:ind w:right="115"/>
        <w:jc w:val="both"/>
      </w:pPr>
      <w:r>
        <w:t>Czytnik musi mieć możliwość podłączenia co najmniej dwóch anten.</w:t>
      </w:r>
    </w:p>
    <w:p>
      <w:pPr>
        <w:spacing w:before="120" w:beforeLines="50" w:after="120" w:afterLines="50" w:line="288" w:lineRule="auto"/>
        <w:ind w:right="115"/>
        <w:jc w:val="both"/>
      </w:pPr>
      <w:r>
        <w:t>b) antena RFID 12 szt.:</w:t>
      </w:r>
    </w:p>
    <w:p>
      <w:pPr>
        <w:spacing w:before="120"/>
      </w:pPr>
      <w:r>
        <w:t>Wymiary (D/S/G) nie większe niż:</w:t>
      </w:r>
      <w:r>
        <w:tab/>
      </w:r>
      <w:r>
        <w:t>260x260x34mm</w:t>
      </w:r>
    </w:p>
    <w:p>
      <w:pPr>
        <w:spacing w:before="120"/>
      </w:pPr>
      <w:r>
        <w:t>Waga nie większa niż:</w:t>
      </w:r>
      <w:r>
        <w:tab/>
      </w:r>
      <w:r>
        <w:t>1200g</w:t>
      </w:r>
    </w:p>
    <w:p>
      <w:pPr>
        <w:spacing w:before="120"/>
      </w:pPr>
      <w:r>
        <w:t>Częstotliwość pracy:</w:t>
      </w:r>
      <w:r>
        <w:tab/>
      </w:r>
      <w:r>
        <w:t>865 - 956 MHz</w:t>
      </w:r>
    </w:p>
    <w:p>
      <w:pPr>
        <w:spacing w:before="120"/>
      </w:pPr>
      <w:r>
        <w:t>Maksymalna moc:</w:t>
      </w:r>
      <w:r>
        <w:tab/>
      </w:r>
      <w:r>
        <w:t>2 Waty</w:t>
      </w:r>
    </w:p>
    <w:p>
      <w:pPr>
        <w:spacing w:before="120"/>
      </w:pPr>
      <w:r>
        <w:t>Zakres temperatur pracy:</w:t>
      </w:r>
      <w:r>
        <w:tab/>
      </w:r>
      <w:r>
        <w:t>-25 st. C do +70 st. C</w:t>
      </w:r>
    </w:p>
    <w:p>
      <w:pPr>
        <w:spacing w:before="120"/>
      </w:pPr>
      <w:r>
        <w:t>Norma szczelności:</w:t>
      </w:r>
      <w:r>
        <w:tab/>
      </w:r>
      <w:r>
        <w:t>IP54</w:t>
      </w:r>
    </w:p>
    <w:p>
      <w:pPr>
        <w:spacing w:before="120"/>
      </w:pPr>
      <w:r>
        <w:t>Zysk:</w:t>
      </w:r>
      <w:r>
        <w:tab/>
      </w:r>
      <w:r>
        <w:t>6.0 dBiL</w:t>
      </w:r>
    </w:p>
    <w:p>
      <w:pPr>
        <w:spacing w:before="120" w:beforeLines="50" w:after="120" w:afterLines="50" w:line="288" w:lineRule="auto"/>
        <w:ind w:right="115"/>
        <w:jc w:val="both"/>
      </w:pPr>
      <w:r>
        <w:t>W zestawie kołki montażowe</w:t>
      </w:r>
    </w:p>
    <w:p>
      <w:pPr>
        <w:spacing w:before="120" w:beforeLines="50" w:after="120" w:afterLines="50" w:line="288" w:lineRule="auto"/>
        <w:ind w:right="115"/>
        <w:jc w:val="both"/>
      </w:pPr>
      <w:r>
        <w:t>c) kabel czytnik-antena RFID 12 szt.</w:t>
      </w:r>
      <w:r>
        <w:tab/>
      </w:r>
      <w:r>
        <w:tab/>
      </w:r>
    </w:p>
    <w:p>
      <w:pPr>
        <w:spacing w:before="120"/>
        <w:rPr>
          <w:b/>
          <w:bCs/>
          <w:spacing w:val="-10"/>
        </w:rPr>
      </w:pPr>
      <w:r>
        <w:rPr>
          <w:b/>
          <w:bCs/>
        </w:rPr>
        <w:t>Oferta na daną część musi być pełna, tj. zawierać wszystkie pozycje wymienione w opisie przedmiotu zamówienia dla danej części.</w:t>
      </w: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EB617A"/>
    <w:multiLevelType w:val="singleLevel"/>
    <w:tmpl w:val="29EB617A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5AA84C91"/>
    <w:multiLevelType w:val="singleLevel"/>
    <w:tmpl w:val="5AA84C91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04"/>
    <w:rsid w:val="00072DC0"/>
    <w:rsid w:val="00146EF6"/>
    <w:rsid w:val="00161F51"/>
    <w:rsid w:val="002142F4"/>
    <w:rsid w:val="002F2061"/>
    <w:rsid w:val="00303DF0"/>
    <w:rsid w:val="003C4C21"/>
    <w:rsid w:val="0057355D"/>
    <w:rsid w:val="00770C87"/>
    <w:rsid w:val="007B017A"/>
    <w:rsid w:val="0085787C"/>
    <w:rsid w:val="00932804"/>
    <w:rsid w:val="0096460C"/>
    <w:rsid w:val="009A5508"/>
    <w:rsid w:val="009A7729"/>
    <w:rsid w:val="009F0437"/>
    <w:rsid w:val="00A868EF"/>
    <w:rsid w:val="00BD54D9"/>
    <w:rsid w:val="00C1072F"/>
    <w:rsid w:val="00C545FF"/>
    <w:rsid w:val="00DB2DD3"/>
    <w:rsid w:val="00EF0FE0"/>
    <w:rsid w:val="00FB7D23"/>
    <w:rsid w:val="00FC07E5"/>
    <w:rsid w:val="324F79BD"/>
    <w:rsid w:val="453D4D64"/>
    <w:rsid w:val="5A451997"/>
    <w:rsid w:val="6CCF3B5F"/>
    <w:rsid w:val="744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17"/>
    <w:semiHidden/>
    <w:unhideWhenUsed/>
    <w:uiPriority w:val="99"/>
    <w:rPr>
      <w:sz w:val="20"/>
      <w:szCs w:val="20"/>
    </w:rPr>
  </w:style>
  <w:style w:type="paragraph" w:styleId="6">
    <w:name w:val="annotation subject"/>
    <w:basedOn w:val="5"/>
    <w:next w:val="5"/>
    <w:link w:val="18"/>
    <w:semiHidden/>
    <w:unhideWhenUsed/>
    <w:uiPriority w:val="99"/>
    <w:rPr>
      <w:b/>
      <w:bCs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character" w:styleId="9">
    <w:name w:val="Hyperlink"/>
    <w:basedOn w:val="2"/>
    <w:unhideWhenUsed/>
    <w:qFormat/>
    <w:uiPriority w:val="99"/>
    <w:rPr>
      <w:color w:val="0000FF"/>
      <w:u w:val="single"/>
    </w:rPr>
  </w:style>
  <w:style w:type="paragraph" w:styleId="10">
    <w:name w:val="Plain Text"/>
    <w:basedOn w:val="1"/>
    <w:link w:val="12"/>
    <w:qFormat/>
    <w:uiPriority w:val="0"/>
    <w:rPr>
      <w:rFonts w:ascii="Courier New" w:hAnsi="Courier New"/>
      <w:sz w:val="20"/>
      <w:szCs w:val="20"/>
    </w:rPr>
  </w:style>
  <w:style w:type="paragraph" w:customStyle="1" w:styleId="11">
    <w:name w:val="rozdział"/>
    <w:basedOn w:val="1"/>
    <w:qFormat/>
    <w:uiPriority w:val="0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character" w:customStyle="1" w:styleId="12">
    <w:name w:val="Zwykły tekst Znak"/>
    <w:basedOn w:val="2"/>
    <w:link w:val="10"/>
    <w:qFormat/>
    <w:uiPriority w:val="0"/>
    <w:rPr>
      <w:rFonts w:ascii="Courier New" w:hAnsi="Courier New" w:eastAsia="Times New Roman" w:cs="Times New Roman"/>
      <w:sz w:val="20"/>
      <w:szCs w:val="20"/>
      <w:lang w:eastAsia="pl-PL"/>
    </w:rPr>
  </w:style>
  <w:style w:type="character" w:customStyle="1" w:styleId="13">
    <w:name w:val="Nagłówek Znak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4">
    <w:name w:val="Stopka Znak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5">
    <w:name w:val="Body Text 21"/>
    <w:basedOn w:val="1"/>
    <w:uiPriority w:val="0"/>
    <w:pPr>
      <w:tabs>
        <w:tab w:val="left" w:pos="426"/>
        <w:tab w:val="left" w:pos="709"/>
        <w:tab w:val="left" w:pos="1276"/>
      </w:tabs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16">
    <w:name w:val="Brak"/>
    <w:uiPriority w:val="0"/>
  </w:style>
  <w:style w:type="character" w:customStyle="1" w:styleId="17">
    <w:name w:val="Tekst komentarza Znak"/>
    <w:basedOn w:val="2"/>
    <w:link w:val="5"/>
    <w:semiHidden/>
    <w:uiPriority w:val="99"/>
    <w:rPr>
      <w:rFonts w:eastAsia="Times New Roman"/>
    </w:rPr>
  </w:style>
  <w:style w:type="character" w:customStyle="1" w:styleId="18">
    <w:name w:val="Temat komentarza Znak"/>
    <w:basedOn w:val="17"/>
    <w:link w:val="6"/>
    <w:semiHidden/>
    <w:qFormat/>
    <w:uiPriority w:val="99"/>
    <w:rPr>
      <w:rFonts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864</Words>
  <Characters>5185</Characters>
  <Lines>43</Lines>
  <Paragraphs>12</Paragraphs>
  <TotalTime>1</TotalTime>
  <ScaleCrop>false</ScaleCrop>
  <LinksUpToDate>false</LinksUpToDate>
  <CharactersWithSpaces>6037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2021-08-04T08:11:00Z</dcterms:created>
  <dc:creator>Alicja</dc:creator>
  <cp:lastModifiedBy>Admin</cp:lastModifiedBy>
  <dcterms:modified xsi:type="dcterms:W3CDTF">2021-09-01T14:03:16Z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9B3DDD229281496EBF8D6C2E4B6F5F15</vt:lpwstr>
  </property>
</Properties>
</file>