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58B" w14:textId="4DCFC1AB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FE29C8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9</w:t>
      </w:r>
      <w:r w:rsidR="00E1584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listopada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C8ED225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E20979B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3364D7B2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3EB39EF5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BE5E7F0" w14:textId="7BB804EF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FE29C8" w:rsidRPr="00FE29C8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SZP-271-PN-23/2020</w:t>
      </w:r>
    </w:p>
    <w:p w14:paraId="0DFF87E1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F0C843A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3E39757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3D5C529D" w14:textId="425159C2" w:rsidR="00773884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FE29C8" w:rsidRPr="00FE29C8">
        <w:rPr>
          <w:rFonts w:ascii="Garamond" w:hAnsi="Garamond" w:cs="Arial"/>
          <w:sz w:val="22"/>
        </w:rPr>
        <w:t>Usługa polegająca na okresowych przeglądach instalacji i urządzeń wentylacji, klimatyzacji oraz wymienników ciepła</w:t>
      </w:r>
      <w:r w:rsidR="00FE29C8">
        <w:rPr>
          <w:rFonts w:ascii="Garamond" w:hAnsi="Garamond" w:cs="Arial"/>
          <w:sz w:val="22"/>
        </w:rPr>
        <w:t xml:space="preserve">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FE29C8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9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.11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11:00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19DA189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5EEE449A" w14:textId="31754DEF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="00E15841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ze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75CAA96D" w14:textId="5AD9AE87" w:rsidR="00231B3A" w:rsidRPr="004755E6" w:rsidRDefault="00FE29C8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r>
        <w:rPr>
          <w:rFonts w:ascii="Garamond" w:hAnsi="Garamond"/>
          <w:b w:val="0"/>
          <w:bCs w:val="0"/>
        </w:rPr>
        <w:t>780 000,00</w:t>
      </w:r>
      <w:r w:rsidR="004755E6" w:rsidRPr="004755E6">
        <w:rPr>
          <w:rFonts w:ascii="Garamond" w:hAnsi="Garamond"/>
          <w:b w:val="0"/>
          <w:bCs w:val="0"/>
        </w:rPr>
        <w:t xml:space="preserve"> zł netto, co daje </w:t>
      </w:r>
      <w:r>
        <w:rPr>
          <w:rFonts w:ascii="Garamond" w:hAnsi="Garamond"/>
        </w:rPr>
        <w:t>959 </w:t>
      </w:r>
      <w:r w:rsidR="0024612E">
        <w:rPr>
          <w:rFonts w:ascii="Garamond" w:hAnsi="Garamond"/>
        </w:rPr>
        <w:t>4</w:t>
      </w:r>
      <w:r>
        <w:rPr>
          <w:rFonts w:ascii="Garamond" w:hAnsi="Garamond"/>
        </w:rPr>
        <w:t>00,00</w:t>
      </w:r>
      <w:r w:rsidR="004755E6" w:rsidRPr="004755E6">
        <w:rPr>
          <w:rFonts w:ascii="Garamond" w:hAnsi="Garamond"/>
        </w:rPr>
        <w:t xml:space="preserve"> zł </w:t>
      </w:r>
      <w:r w:rsidR="004755E6" w:rsidRPr="004755E6">
        <w:rPr>
          <w:rFonts w:ascii="Garamond" w:eastAsia="Arial" w:hAnsi="Garamond" w:cs="Arial"/>
        </w:rPr>
        <w:t>brutto</w:t>
      </w:r>
    </w:p>
    <w:p w14:paraId="7AD2A07F" w14:textId="77777777" w:rsidR="00D4155F" w:rsidRPr="00D4155F" w:rsidRDefault="00D4155F" w:rsidP="00B03C75">
      <w:pPr>
        <w:spacing w:after="0"/>
        <w:rPr>
          <w:rFonts w:ascii="Garamond" w:hAnsi="Garamond" w:cs="Tahoma"/>
          <w:b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851"/>
        <w:gridCol w:w="1383"/>
        <w:gridCol w:w="1548"/>
        <w:gridCol w:w="1420"/>
      </w:tblGrid>
      <w:tr w:rsidR="00FE29C8" w:rsidRPr="0036790B" w14:paraId="71777923" w14:textId="77777777" w:rsidTr="0036790B">
        <w:trPr>
          <w:trHeight w:val="36"/>
        </w:trPr>
        <w:tc>
          <w:tcPr>
            <w:tcW w:w="332" w:type="pct"/>
            <w:shd w:val="clear" w:color="auto" w:fill="auto"/>
            <w:vAlign w:val="center"/>
            <w:hideMark/>
          </w:tcPr>
          <w:p w14:paraId="7D642989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192" w:type="pct"/>
            <w:shd w:val="clear" w:color="auto" w:fill="auto"/>
            <w:vAlign w:val="center"/>
            <w:hideMark/>
          </w:tcPr>
          <w:p w14:paraId="069A6149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Wykonawca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6B92F260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F694A4D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Termin wykonania zamówienia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32E4771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Warunki płatności</w:t>
            </w:r>
          </w:p>
        </w:tc>
      </w:tr>
      <w:tr w:rsidR="00FE29C8" w:rsidRPr="0036790B" w14:paraId="0F33325D" w14:textId="77777777" w:rsidTr="0036790B">
        <w:trPr>
          <w:trHeight w:val="36"/>
        </w:trPr>
        <w:tc>
          <w:tcPr>
            <w:tcW w:w="332" w:type="pct"/>
            <w:shd w:val="clear" w:color="auto" w:fill="auto"/>
            <w:vAlign w:val="center"/>
            <w:hideMark/>
          </w:tcPr>
          <w:p w14:paraId="0F6F31AC" w14:textId="77777777" w:rsidR="00FE29C8" w:rsidRPr="0036790B" w:rsidRDefault="00FE29C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192" w:type="pct"/>
            <w:shd w:val="clear" w:color="auto" w:fill="auto"/>
            <w:vAlign w:val="center"/>
          </w:tcPr>
          <w:p w14:paraId="0594FB08" w14:textId="5EFEB2B4" w:rsidR="0036790B" w:rsidRPr="0036790B" w:rsidRDefault="0036790B" w:rsidP="0036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36790B">
              <w:rPr>
                <w:rFonts w:ascii="Garamond" w:hAnsi="Garamond" w:cs="Garamond"/>
              </w:rPr>
              <w:t xml:space="preserve">INSTAL SYSTEM PROJECT </w:t>
            </w:r>
            <w:r>
              <w:rPr>
                <w:rFonts w:ascii="Garamond" w:hAnsi="Garamond" w:cs="Garamond"/>
              </w:rPr>
              <w:br/>
            </w:r>
            <w:r w:rsidRPr="0036790B">
              <w:rPr>
                <w:rFonts w:ascii="Garamond" w:hAnsi="Garamond" w:cs="Garamond"/>
              </w:rPr>
              <w:t xml:space="preserve">Iwona </w:t>
            </w:r>
            <w:proofErr w:type="spellStart"/>
            <w:r w:rsidRPr="0036790B">
              <w:rPr>
                <w:rFonts w:ascii="Garamond" w:hAnsi="Garamond" w:cs="Garamond"/>
              </w:rPr>
              <w:t>Tabuła</w:t>
            </w:r>
            <w:proofErr w:type="spellEnd"/>
          </w:p>
          <w:p w14:paraId="37D15400" w14:textId="3F6F2890" w:rsidR="00FE29C8" w:rsidRPr="0036790B" w:rsidRDefault="0036790B" w:rsidP="0036790B">
            <w:pPr>
              <w:spacing w:after="0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hAnsi="Garamond" w:cs="Garamond"/>
              </w:rPr>
              <w:t>31-574 Kraków, Ul. Ciepłownicza 24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4904689" w14:textId="5CBFCD09" w:rsidR="00FE29C8" w:rsidRPr="0036790B" w:rsidRDefault="0036790B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hAnsi="Garamond" w:cs="Garamond"/>
              </w:rPr>
              <w:t>577</w:t>
            </w:r>
            <w:r w:rsidR="006B2397">
              <w:rPr>
                <w:rFonts w:ascii="Garamond" w:hAnsi="Garamond" w:cs="Garamond"/>
              </w:rPr>
              <w:t xml:space="preserve"> </w:t>
            </w:r>
            <w:r w:rsidRPr="0036790B">
              <w:rPr>
                <w:rFonts w:ascii="Garamond" w:hAnsi="Garamond" w:cs="Garamond"/>
              </w:rPr>
              <w:t>694,10 zł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EEDAFF" w14:textId="77777777" w:rsidR="00FE29C8" w:rsidRPr="0036790B" w:rsidRDefault="00FE29C8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0D1799C" w14:textId="77777777" w:rsidR="00FE29C8" w:rsidRPr="0036790B" w:rsidRDefault="00FE29C8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36790B" w:rsidRPr="0036790B" w14:paraId="0DD79F70" w14:textId="77777777" w:rsidTr="0036790B">
        <w:trPr>
          <w:trHeight w:val="36"/>
        </w:trPr>
        <w:tc>
          <w:tcPr>
            <w:tcW w:w="332" w:type="pct"/>
            <w:shd w:val="clear" w:color="auto" w:fill="auto"/>
            <w:vAlign w:val="center"/>
          </w:tcPr>
          <w:p w14:paraId="5388A787" w14:textId="52EBA578" w:rsidR="0036790B" w:rsidRPr="0036790B" w:rsidRDefault="0036790B" w:rsidP="0036790B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2192" w:type="pct"/>
            <w:shd w:val="clear" w:color="auto" w:fill="auto"/>
            <w:vAlign w:val="center"/>
          </w:tcPr>
          <w:p w14:paraId="3C8FBE89" w14:textId="2DEE7ECA" w:rsidR="0036790B" w:rsidRPr="0036790B" w:rsidRDefault="0036790B" w:rsidP="0036790B">
            <w:pPr>
              <w:spacing w:after="0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Frapol</w:t>
            </w:r>
            <w:proofErr w:type="spellEnd"/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Sp. z o.o.</w:t>
            </w: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30-832 Kraków, ul. Mierzeja Wiślana 8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18D5519" w14:textId="3E4FE5CF" w:rsidR="0036790B" w:rsidRPr="0036790B" w:rsidRDefault="0036790B" w:rsidP="0036790B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608 727,00 zł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6069D49" w14:textId="73C93C1A" w:rsidR="0036790B" w:rsidRPr="0036790B" w:rsidRDefault="0036790B" w:rsidP="0036790B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6CCE770" w14:textId="790059B9" w:rsidR="0036790B" w:rsidRPr="0036790B" w:rsidRDefault="0036790B" w:rsidP="0036790B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6790B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39E8F8DE" w14:textId="77777777" w:rsidR="00057BD4" w:rsidRDefault="00057BD4" w:rsidP="00B03C75">
      <w:pPr>
        <w:spacing w:after="0"/>
        <w:jc w:val="both"/>
        <w:rPr>
          <w:rFonts w:ascii="Garamond" w:hAnsi="Garamond"/>
          <w:sz w:val="20"/>
          <w:szCs w:val="24"/>
        </w:rPr>
      </w:pPr>
    </w:p>
    <w:sectPr w:rsidR="00057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D86E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2D251C2A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8AEF" w14:textId="77777777" w:rsidR="003B7010" w:rsidRDefault="003B7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CCE9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2B729523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118B9D1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C9D897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22AEEACE" w14:textId="77777777" w:rsidR="00192651" w:rsidRDefault="0024612E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125D92F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65D0314F" w14:textId="77777777" w:rsidR="00192651" w:rsidRDefault="0024612E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7F009C7B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55801364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D74D52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7621C2E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083F2FA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7B13C666" w14:textId="77777777" w:rsidR="00192651" w:rsidRDefault="0024612E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40AF21C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9AEB5C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E7FF31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D9CF5B1" w14:textId="21C5D5F6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398A86A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2ADBA15D" w14:textId="77777777" w:rsidR="00192651" w:rsidRDefault="0024612E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EF4F" w14:textId="77777777" w:rsidR="003B7010" w:rsidRDefault="003B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2F8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6588262F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19E4" w14:textId="77777777" w:rsidR="003B7010" w:rsidRDefault="003B7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FBC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674376" wp14:editId="4093D225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4D73" w14:textId="77777777" w:rsidR="003B7010" w:rsidRDefault="003B7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4622C"/>
    <w:rsid w:val="00220DC8"/>
    <w:rsid w:val="00231B3A"/>
    <w:rsid w:val="00245A42"/>
    <w:rsid w:val="0024612E"/>
    <w:rsid w:val="00251633"/>
    <w:rsid w:val="00254539"/>
    <w:rsid w:val="002C2A78"/>
    <w:rsid w:val="002E6798"/>
    <w:rsid w:val="002F234C"/>
    <w:rsid w:val="00364C19"/>
    <w:rsid w:val="0036790B"/>
    <w:rsid w:val="003A1A8C"/>
    <w:rsid w:val="003B7010"/>
    <w:rsid w:val="003F5981"/>
    <w:rsid w:val="00462EB8"/>
    <w:rsid w:val="004755E6"/>
    <w:rsid w:val="004F735C"/>
    <w:rsid w:val="00537DC6"/>
    <w:rsid w:val="005B0CF5"/>
    <w:rsid w:val="005B51AB"/>
    <w:rsid w:val="005E6169"/>
    <w:rsid w:val="00640E7F"/>
    <w:rsid w:val="006B2397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A7923"/>
    <w:rsid w:val="00A904A8"/>
    <w:rsid w:val="00AC4D61"/>
    <w:rsid w:val="00B03C75"/>
    <w:rsid w:val="00B3596D"/>
    <w:rsid w:val="00B47ACE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D32BCD"/>
    <w:rsid w:val="00D4155F"/>
    <w:rsid w:val="00D87A69"/>
    <w:rsid w:val="00DE486A"/>
    <w:rsid w:val="00E132B3"/>
    <w:rsid w:val="00E15841"/>
    <w:rsid w:val="00E3473A"/>
    <w:rsid w:val="00ED5B8C"/>
    <w:rsid w:val="00F66526"/>
    <w:rsid w:val="00F90726"/>
    <w:rsid w:val="00FC7BD8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F4C7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8B0-7726-4B8B-9226-B2A9659B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Ewa Bylińska</cp:lastModifiedBy>
  <cp:revision>9</cp:revision>
  <cp:lastPrinted>2018-11-19T08:01:00Z</cp:lastPrinted>
  <dcterms:created xsi:type="dcterms:W3CDTF">2020-11-05T07:18:00Z</dcterms:created>
  <dcterms:modified xsi:type="dcterms:W3CDTF">2020-11-09T11:13:00Z</dcterms:modified>
</cp:coreProperties>
</file>