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B088" w14:textId="40BE92F4" w:rsidR="00612EA5" w:rsidRPr="00612EA5" w:rsidRDefault="008021A0" w:rsidP="00612EA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Poznań, 8</w:t>
      </w:r>
      <w:r w:rsidR="00612EA5" w:rsidRPr="00612E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12EA5">
        <w:rPr>
          <w:rFonts w:ascii="Calibri" w:eastAsia="Calibri" w:hAnsi="Calibri"/>
          <w:sz w:val="22"/>
          <w:szCs w:val="22"/>
          <w:lang w:eastAsia="en-US"/>
        </w:rPr>
        <w:t>czerwca</w:t>
      </w:r>
      <w:r w:rsidR="00612EA5" w:rsidRPr="00612EA5">
        <w:rPr>
          <w:rFonts w:ascii="Calibri" w:eastAsia="Calibri" w:hAnsi="Calibri"/>
          <w:sz w:val="22"/>
          <w:szCs w:val="22"/>
          <w:lang w:eastAsia="en-US"/>
        </w:rPr>
        <w:t xml:space="preserve"> 2020 r.</w:t>
      </w:r>
    </w:p>
    <w:p w14:paraId="073239A3" w14:textId="1DDC8C00" w:rsidR="00612EA5" w:rsidRPr="00612EA5" w:rsidRDefault="00612EA5" w:rsidP="00612EA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12EA5">
        <w:rPr>
          <w:rFonts w:ascii="Calibri" w:eastAsia="Calibri" w:hAnsi="Calibri"/>
          <w:sz w:val="22"/>
          <w:szCs w:val="22"/>
          <w:lang w:eastAsia="en-US"/>
        </w:rPr>
        <w:t>K/292-4-</w:t>
      </w:r>
      <w:r>
        <w:rPr>
          <w:rFonts w:ascii="Calibri" w:eastAsia="Calibri" w:hAnsi="Calibri"/>
          <w:sz w:val="22"/>
          <w:szCs w:val="22"/>
          <w:lang w:eastAsia="en-US"/>
        </w:rPr>
        <w:t>831</w:t>
      </w:r>
      <w:r w:rsidRPr="00612EA5">
        <w:rPr>
          <w:rFonts w:ascii="Calibri" w:eastAsia="Calibri" w:hAnsi="Calibri"/>
          <w:sz w:val="22"/>
          <w:szCs w:val="22"/>
          <w:lang w:eastAsia="en-US"/>
        </w:rPr>
        <w:t>/2020</w:t>
      </w:r>
    </w:p>
    <w:p w14:paraId="4E04CBDB" w14:textId="77777777" w:rsidR="00D04884" w:rsidRPr="00612EA5" w:rsidRDefault="00D04884" w:rsidP="00612EA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F94F38" w14:textId="77777777" w:rsidR="00612EA5" w:rsidRPr="00612EA5" w:rsidRDefault="00612EA5" w:rsidP="00612EA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60DCA7" w14:textId="77777777" w:rsidR="00612EA5" w:rsidRPr="00612EA5" w:rsidRDefault="00612EA5" w:rsidP="00612EA5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EA5">
        <w:rPr>
          <w:rFonts w:ascii="Calibri" w:eastAsia="Calibri" w:hAnsi="Calibri"/>
          <w:sz w:val="22"/>
          <w:szCs w:val="22"/>
          <w:lang w:eastAsia="en-US"/>
        </w:rPr>
        <w:t>DO WSZYSTKICH WYKONAWCÓW</w:t>
      </w:r>
    </w:p>
    <w:p w14:paraId="1AFDCD2F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B547BD" w14:textId="186DF0C9" w:rsidR="00612EA5" w:rsidRPr="00612EA5" w:rsidRDefault="00612EA5" w:rsidP="005611CB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Uniwersytet Ekonomiczny w Poznaniu informuje, że w postępowaniu o udzielenie zamówienia publicznego </w:t>
      </w:r>
      <w:r w:rsidRPr="005611C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ZP/011</w:t>
      </w:r>
      <w:r w:rsidRPr="00612EA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/20 </w:t>
      </w:r>
      <w:r w:rsidRPr="005611C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 dostawę i instalację systemu Kontroli Dostępu w budynkach Uniwersytetu Ekonomicznego w Poznaniu.</w:t>
      </w:r>
      <w:r w:rsidRPr="00612EA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prowadzonym w trybie przetargu nieograniczonego wpłynęły pytania, na które Zamawiający niniejszym odpowiada.</w:t>
      </w:r>
    </w:p>
    <w:p w14:paraId="668DD1F5" w14:textId="77777777" w:rsidR="00612EA5" w:rsidRPr="00612EA5" w:rsidRDefault="00612EA5" w:rsidP="005611CB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BC9BF6" w14:textId="77777777" w:rsidR="00612EA5" w:rsidRPr="00612EA5" w:rsidRDefault="00612EA5" w:rsidP="005611CB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</w:p>
    <w:p w14:paraId="4D989A20" w14:textId="77777777" w:rsidR="0051164C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„Załącznik 6 do SIWZ – Specyfikacja techniczna i funkcjonalna 2020.05.13 ” w p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kt. 4 został umieszczony zapis: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„……….. W obu typach przejść należy zainstalować kontaktrony przekazujące do systemu informacje o</w:t>
      </w:r>
      <w:r w:rsidR="0051164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otwarciu drzwi. …………..”</w:t>
      </w:r>
    </w:p>
    <w:p w14:paraId="63540399" w14:textId="725D95F6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Czy to oznacza, że każde przejście powinno mieć zamontowany fizycznie magnetyczny czujnik </w:t>
      </w:r>
      <w:proofErr w:type="spellStart"/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kontraktronowy</w:t>
      </w:r>
      <w:proofErr w:type="spellEnd"/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?</w:t>
      </w:r>
    </w:p>
    <w:p w14:paraId="44E1A7C1" w14:textId="4D27BB2D" w:rsidR="005611CB" w:rsidRPr="00612EA5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291ADD4D" w14:textId="34349052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Zamawiający wymaga we wskazanych przejściach (zmodyfikowany załącznik nr 7 do SIWZ – Zestawienie przejść) montażu czujników magnetycznych, elektromagnetycznych lub elektromechanicznych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umożliwiających kontrolę stanu przejścia (zamknięte, otwarte). Dla przejść, których ta zasada nie dotyczy należy uwzględnić możliwość montażu w</w:t>
      </w:r>
      <w:r w:rsidR="002E049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przyszłości takich czujników i 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podłączenia ich do systemu.</w:t>
      </w:r>
    </w:p>
    <w:p w14:paraId="06A888DA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</w:p>
    <w:p w14:paraId="4EA838AE" w14:textId="53893BD5" w:rsid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2</w:t>
      </w:r>
    </w:p>
    <w:p w14:paraId="21A4DDE2" w14:textId="77777777" w:rsidR="0051164C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„Załącznik 6 do SIWZ – Specyfikacja techniczna i funkcjonalna 2020.05.13 ” w p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kt. 4 został umieszczony zapis: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„……….. W obu typach przejść należy zainstalować kontaktrony przekazujące do systemu informacje o otwarciu drzwi. ……</w:t>
      </w:r>
      <w:r w:rsidR="0051164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……..”</w:t>
      </w:r>
    </w:p>
    <w:p w14:paraId="0A96B750" w14:textId="4CE0DC9A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Czy zamawiający dopuszcza w zastępstwie </w:t>
      </w:r>
      <w:proofErr w:type="spellStart"/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kontraktronów</w:t>
      </w:r>
      <w:proofErr w:type="spellEnd"/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(kontaktron) i wykorzystanie sygnałów otwarcia z czujnika Halla w zworach oraz wyjścia potencjałowego w </w:t>
      </w:r>
      <w:proofErr w:type="spellStart"/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elektrozaczepach</w:t>
      </w:r>
      <w:proofErr w:type="spellEnd"/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do kontroli otwarcia drzwi?</w:t>
      </w:r>
    </w:p>
    <w:p w14:paraId="3D3EA36B" w14:textId="2DF10139" w:rsidR="005611CB" w:rsidRPr="00612EA5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7E4A52A0" w14:textId="481A2133" w:rsidR="005611CB" w:rsidRPr="00124EB5" w:rsidRDefault="00124EB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Tak.</w:t>
      </w:r>
      <w:r w:rsidR="00612EA5"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</w:r>
    </w:p>
    <w:p w14:paraId="04C56383" w14:textId="5D7C6C1E" w:rsid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3</w:t>
      </w:r>
    </w:p>
    <w:p w14:paraId="530340AB" w14:textId="5148D212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„Załącznik 6 do SIWZ – Specyfikacja techniczna i funkcjonalna 2020.05.13 ” w p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kt. 1 został umieszczony zapis:</w:t>
      </w:r>
      <w:r w:rsidR="0051164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„W przypadku przejść online przewodowych i wskazanych przejść bezprzewodowych, należy uwzględnić możliwość ewentualnego podłączenia w przyszłości do systemu czujnika umożliwiającego stałe monitorowanie stanu otwarcia/zamknięcia drzwi (kontaktronu).”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Wnioskuję o wskazanie przejść w których nie jest wymagane na etapie tego zadania monitorowanie 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lastRenderedPageBreak/>
        <w:t>stanu otwarcia/zamknięcia drzwi a jedynie „możliwość ewentualnego podłączenia w przyszłości do systemu czujnika umożliwiającego stałe monitorowanie stanu otwarcia/zamknięcia drzwi (kontaktronu)”.</w:t>
      </w:r>
    </w:p>
    <w:p w14:paraId="6F809CEE" w14:textId="2D786DCE" w:rsidR="005611CB" w:rsidRPr="00124EB5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  <w:r w:rsidR="00612EA5"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>Informacje podano w zmodyfikowanym załączniku nr 7 do SIWZ – Zestawienie przejść</w:t>
      </w:r>
      <w:r w:rsid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.</w:t>
      </w:r>
    </w:p>
    <w:p w14:paraId="77AA69F6" w14:textId="2BB81D1A" w:rsid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</w:r>
      <w:r w:rsidR="005611CB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4</w:t>
      </w:r>
    </w:p>
    <w:p w14:paraId="3ED4BA56" w14:textId="76B5C846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„Załącznik 11 do SIWZ -projekt umow_2020_05_05” w par. 2 p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kt. 5 został umieszczony zapis: 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„Zamawiający oświadcza, że wystąpi do organu nadzorującego o potwierdzenie, że zamawiane urządzenia stanowiące przedmiot zamówienia są przeznaczone dla placówki oświatowej, co umożliwi zastosowanie stawki zero procent VAT. W związku z powyższym Zamawiający po uzyskaniu wspomnianego zaświadczenia, będzie wymagał od Wykonawcy reali</w:t>
      </w:r>
      <w:r w:rsidR="002E049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zacji dostaw urządzeń zgodnie z 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art. 83 ust.14 pkt 1 ustawy z dnia 11 marca 2004 r. o podatku od towarów i usług (tekst jednolity Dz. U. z 2017 r. poz. 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1221 z późniejszymi zmianami).”</w:t>
      </w:r>
    </w:p>
    <w:p w14:paraId="2DF8B9EE" w14:textId="77777777" w:rsid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Wnioskuje o w</w:t>
      </w:r>
      <w:r w:rsid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ykreślenie tego punktu z umowy.</w:t>
      </w:r>
    </w:p>
    <w:p w14:paraId="0AAE60DE" w14:textId="71AFE5A9" w:rsidR="005611CB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Uzasadnienie: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  <w:t>W cytowa</w:t>
      </w:r>
      <w:r w:rsidR="00EF661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nym zapisie zamawiający sugeruje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możliwości zastosowania stawki podatkowej zero procent VAT. Art. 83 ust.14 pkt 1 ustawy z dnia 11 marca 2004 r. o podatku od towarów i usług (tekst jednolity Dz. U. z 2017 r. poz</w:t>
      </w:r>
      <w:r w:rsidR="00124EB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. 1221 z późniejszymi zmianami)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mówi: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  <w:t>„art. 83 ust. 14. Dokonujący dostawy, o której mowa w ust. 1 pkt 26, stosuje sta</w:t>
      </w:r>
      <w:r w:rsid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wkę podatku 0 %, pod warunkiem: </w:t>
      </w: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posiadania stosownego zamówienia potwierdzonego przez organ nadzorujący daną placówkę oświatową, zgodnie z odrębnymi przepisami - w przypadku dostawy, o które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j mowa w ust. 1 pkt 26 lit. a; ”</w:t>
      </w: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a ar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t. 83 ust.1 pkt. 26 lit a mówi: </w:t>
      </w: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„art. 83 ust.1 pkt. 26. dostaw sprzętu komputerowego: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a) dla placówek oświatowych,”</w:t>
      </w:r>
    </w:p>
    <w:p w14:paraId="745BA049" w14:textId="77777777" w:rsidR="00124EB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Załącznik nr 8 specyfikuję kategorie towarów których dostawa jest opodatkowana stawką 0% na podstawie art. 8</w:t>
      </w:r>
      <w:r w:rsidR="00124EB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3 ust. 1 pkt 26 ustawy i są to:</w:t>
      </w:r>
    </w:p>
    <w:p w14:paraId="12B319F3" w14:textId="7A210D6C" w:rsidR="005611CB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„1. Jednostki centralne komputerów, serwery, monitory, zestawy komputerów stacjonarn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ych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  <w:t>2. Drukarki</w:t>
      </w:r>
    </w:p>
    <w:p w14:paraId="0F948FCF" w14:textId="77777777" w:rsidR="005611CB" w:rsidRP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3. Skanery</w:t>
      </w:r>
    </w:p>
    <w:p w14:paraId="04850892" w14:textId="77777777" w:rsidR="005611CB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4. Urządzenia komputerowe do pism Braille’a (dla osó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b niewidomych i niedowidzących)</w:t>
      </w:r>
    </w:p>
    <w:p w14:paraId="2D601212" w14:textId="53AA0F05" w:rsidR="005611CB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5. Urządzenia do transmisji danych cyfrowych (w tym ko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ncentratory i </w:t>
      </w:r>
      <w:proofErr w:type="spellStart"/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switche</w:t>
      </w:r>
      <w:proofErr w:type="spellEnd"/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sieciowe,</w:t>
      </w:r>
      <w:r w:rsid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2E049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routery i </w:t>
      </w:r>
      <w:r w:rsidR="005611CB"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modemy)”</w:t>
      </w:r>
    </w:p>
    <w:p w14:paraId="01FD4366" w14:textId="59A1FACE" w:rsidR="00612EA5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Przedmiot opisywanego zamówienia nie obejmuje żadnego z wymienionych w ustawie urządzeń dlatego wnosimy o usunięcie tego zapisu z treści umowy.</w:t>
      </w:r>
    </w:p>
    <w:p w14:paraId="361F8881" w14:textId="21DB6948" w:rsidR="005611CB" w:rsidRP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4CEA6986" w14:textId="709142DF" w:rsidR="005611CB" w:rsidRPr="002E0498" w:rsidRDefault="002E0498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2E049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Jeśli zaproponowane rozwiązania techniczne będą zawierały towary, których dostawa opodatkowana jest stawką VAT 0%, Zamawiający zrealizuje uprawnienie zawarte paragrafie 2 ust 5 projektu umowy.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Zamawiający nie widzi zatem potrzeby wykreślania przedmiotowego zapisu. </w:t>
      </w:r>
    </w:p>
    <w:p w14:paraId="26C866CA" w14:textId="77777777" w:rsid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14:paraId="5CA187AF" w14:textId="46065096" w:rsid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5</w:t>
      </w:r>
    </w:p>
    <w:p w14:paraId="6FF9EE03" w14:textId="77777777" w:rsid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„1 ZP-011-20 SIWZ 2020.05.07” w pkt. 19.1. został umieszczony zapis: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>„Zamawiający przyjmuje, iż z zastrzeżeniem akapitu następnego, przedmiot zamówienia jest objęty stawką VAT 23%. W przypadku przyjęcia przez Wykonawcę innej st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awki VAT, Wykonawca zobowiązany</w:t>
      </w:r>
    </w:p>
    <w:p w14:paraId="4951BAE4" w14:textId="77777777" w:rsid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lastRenderedPageBreak/>
        <w:t xml:space="preserve">jest uzasadnić przyjętą stawkę, np. powołując się na indywidualną interpretację organu podatkowego. 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>W przeciwnym wypadku podanie innej stawki podatku VAT albo jej nie podanie skutkować będzie uznaniem, że Wykonawca popełnił w treści oferty inną omyłkę, o której mowa w art.</w:t>
      </w:r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87 ust. 2 punkt 3 ustawy </w:t>
      </w:r>
      <w:proofErr w:type="spellStart"/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Pzp</w:t>
      </w:r>
      <w:proofErr w:type="spellEnd"/>
      <w:r w:rsidR="005611C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.”</w:t>
      </w:r>
    </w:p>
    <w:p w14:paraId="3765CB55" w14:textId="2E60FB7F" w:rsid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Wnioskuję o usunięcie zapisu: </w:t>
      </w:r>
      <w:r w:rsidR="00612EA5"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„W przypadku przyjęcia przez Wykonawcę innej stawki VAT, Wykonawca zobowiązany jest uzasadnić przyjętą stawkę, np. powołując się na indywidualną int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erpretację organu podatkowego. </w:t>
      </w:r>
      <w:r w:rsidR="00612EA5"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W przeciwnym wypadku podanie innej stawki podatku VAT albo jej nie podanie skutkować będzie uznaniem, że Wykonawca popełnił</w:t>
      </w:r>
      <w:r w:rsidR="002E049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w treści oferty inną omyłkę, o </w:t>
      </w:r>
      <w:r w:rsidR="00612EA5"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której mowa w art. 87 ust. 2 punkt 3 ustawy </w:t>
      </w:r>
      <w:proofErr w:type="spellStart"/>
      <w:r w:rsidR="00612EA5"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Pzp</w:t>
      </w:r>
      <w:proofErr w:type="spellEnd"/>
      <w:r w:rsidR="00612EA5"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.”</w:t>
      </w:r>
    </w:p>
    <w:p w14:paraId="254AD5EB" w14:textId="69A06FB4" w:rsid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Uzasadnienie: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br/>
        <w:t>Zapis ten znacząco faworyzuje oferentów posiadających indywidu</w:t>
      </w:r>
      <w:r w:rsidR="002E049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alną interpretację podatkową. Z </w:t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powodu krótkiego okresu na złożenie ofert nie jest możliwe by wszyscy oferenci uzyskali taką interpretacje i mogli złożyć konkrecyjne oferty.</w:t>
      </w:r>
    </w:p>
    <w:p w14:paraId="1AD10AFB" w14:textId="77777777" w:rsidR="00124EB5" w:rsidRPr="00612EA5" w:rsidRDefault="00124EB5" w:rsidP="00124EB5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0BDD63CA" w14:textId="21240B41" w:rsidR="005611CB" w:rsidRDefault="00124EB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Zamawiający nie wyraża zgody na wykreślenie zapisu.</w:t>
      </w:r>
    </w:p>
    <w:p w14:paraId="4749FA46" w14:textId="77777777" w:rsidR="005611CB" w:rsidRDefault="005611CB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</w:p>
    <w:p w14:paraId="5279917C" w14:textId="70704EBE" w:rsidR="005611CB" w:rsidRDefault="00124EB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6</w:t>
      </w:r>
    </w:p>
    <w:p w14:paraId="3C9B1A97" w14:textId="77777777" w:rsidR="00124EB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„Załącznik nr 1 formularz ofertowy” w p</w:t>
      </w:r>
      <w:r w:rsid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kt. 9 został umieszczony zapis: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>„ Oświadczamy, że akceptujemy proponowany przez Zamawiającego projekt umowy – załąc</w:t>
      </w:r>
      <w:r w:rsid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znik nr 12 do SIWZ.”</w:t>
      </w:r>
    </w:p>
    <w:p w14:paraId="6C0F3E79" w14:textId="2557F3F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Wnioskuję o sprostowanie zapisu. Projekt umowy jest zał. nr 11 nie 12.</w:t>
      </w:r>
    </w:p>
    <w:p w14:paraId="154C1A89" w14:textId="77777777" w:rsidR="00124EB5" w:rsidRPr="00612EA5" w:rsidRDefault="00124EB5" w:rsidP="00124EB5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3A370DCB" w14:textId="440C4288" w:rsidR="00124EB5" w:rsidRPr="00124EB5" w:rsidRDefault="00124EB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amawiają</w:t>
      </w:r>
      <w:r w:rsidRP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cy potwierdza, projekt umowy stanowi z</w:t>
      </w:r>
      <w:r w:rsidR="00FA249A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P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ł</w:t>
      </w:r>
      <w:r w:rsidR="00FA249A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ąc</w:t>
      </w:r>
      <w:r w:rsidRPr="00124EB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znik nr 11 do SIWZ.</w:t>
      </w:r>
    </w:p>
    <w:p w14:paraId="5756CA2E" w14:textId="77777777" w:rsidR="00124EB5" w:rsidRPr="00612EA5" w:rsidRDefault="00124EB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</w:p>
    <w:p w14:paraId="035307AB" w14:textId="370F2156" w:rsidR="00124EB5" w:rsidRDefault="00124EB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7</w:t>
      </w:r>
    </w:p>
    <w:p w14:paraId="1ACEFFE2" w14:textId="77777777" w:rsid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dokumencie: „Załącznik 6 do SIWZ – Specyfikacja techniczna i funkcjonalna 2020.05.13 ” w pkt. 4.3. został umieszczony opis wymaganych parametrów urządzeń obsługujących przejścia bezprzewo</w:t>
      </w:r>
      <w:r w:rsidR="00FA249A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dowe. W podpunkcie 15 zapisano:</w:t>
      </w:r>
    </w:p>
    <w:p w14:paraId="1613DCBA" w14:textId="77777777" w:rsidR="002E0498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„Monitorowanie stanu drzwi, użycia klamki lub otworzenia drzwi z użyciem klucza.”</w:t>
      </w: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</w: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Czy rzeczywiście wszystkie okucia bezprzewodowe powinny posiadać możliwość „Monitorowanie stanu drzwi, użycia klamki lub otwo</w:t>
      </w:r>
      <w:r w:rsidR="002E049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rzenia drzwi z użyciem klucza”?</w:t>
      </w:r>
    </w:p>
    <w:p w14:paraId="6DB66661" w14:textId="130781E5" w:rsidR="00612EA5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6A6F0E69" w14:textId="77777777" w:rsidR="00FA249A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Informacje podano w zmodyfikowanym załączniku nr 7 do SIWZ – Zestawienie przejść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.</w:t>
      </w:r>
    </w:p>
    <w:p w14:paraId="305EADB5" w14:textId="77777777" w:rsidR="00FA249A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</w:p>
    <w:p w14:paraId="525757C8" w14:textId="5A8E4450" w:rsidR="00612EA5" w:rsidRPr="005611CB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8</w:t>
      </w:r>
    </w:p>
    <w:p w14:paraId="7057CE9F" w14:textId="1EDF916C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dokumencie: „Załącznik 6 do SIWZ – Specyfikacja techniczna i funkcjonalna 2020.05.13 ” w pkt. 4.3. został umieszczony opis wymaganych parametrów urządzeń obsługujących przejścia bezprzewodowe. W podpunkcie 15 zapisano: „Monitorowanie stanu drzwi, użycia klamki lub otworzenia drzwi z użyciem klucza.” </w:t>
      </w:r>
    </w:p>
    <w:p w14:paraId="739EA730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Czy zapis ten dotyczy również przejść w których nie jest wymagane na etapie tego zadania monitorowanie stanu otwarcia/zamknięcia drzwi a jedynie „możliwość ewentualnego podłączenia w przyszłości do systemu czujnika umożliwiającego stałe monitorowanie stanu otwarcia/zamknięcia drzwi (kontaktronu)”?</w:t>
      </w:r>
    </w:p>
    <w:p w14:paraId="01DAA658" w14:textId="77777777" w:rsidR="00FA249A" w:rsidRPr="00612EA5" w:rsidRDefault="00FA249A" w:rsidP="00FA249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lastRenderedPageBreak/>
        <w:t>Odpowiedź</w:t>
      </w:r>
    </w:p>
    <w:p w14:paraId="3DAA3789" w14:textId="77777777" w:rsidR="00FA249A" w:rsidRDefault="00FA249A" w:rsidP="00FA249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Informacje podano w zmodyfikowanym załączniku nr 7 do SIWZ – Zestawienie przejść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.</w:t>
      </w:r>
    </w:p>
    <w:p w14:paraId="42BEC5D1" w14:textId="77777777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3DC092" w14:textId="00FA27FC" w:rsidR="00612EA5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9</w:t>
      </w:r>
    </w:p>
    <w:p w14:paraId="2BB7BC9E" w14:textId="54CBFE8A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Szanowni Państwo, w nawiązaniu do prowadzonego postępowania na podstawie art. 38 Ustawy Prawo zamówień publicznych zwracamy się z prośbą o odpowiedź na po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niższe pytanie: W nawiązaniu do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zapisów art. 8 ust. 1 ustawy prawo zamówień publicznych prosimy o podanie kwoty (netto) jaką Zamawiający zamierza przeznaczyć na realizację przedmiotu zamówienia.</w:t>
      </w:r>
    </w:p>
    <w:p w14:paraId="32C04C98" w14:textId="77777777" w:rsidR="00FA249A" w:rsidRPr="00612EA5" w:rsidRDefault="00FA249A" w:rsidP="00FA249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42CBBD22" w14:textId="26BFA1E9" w:rsid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zamierza przeznaczyć na sfinansowanie niniejszego zamówienia kwotę 5 700 000 zł netto.</w:t>
      </w:r>
    </w:p>
    <w:p w14:paraId="0915BC68" w14:textId="77777777" w:rsidR="00FA249A" w:rsidRPr="005611CB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7DA38A" w14:textId="17DC91EA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FA249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0</w:t>
      </w:r>
    </w:p>
    <w:p w14:paraId="1D23A2FC" w14:textId="156BA02C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uwagi na nie do końca jasny dla nas zapisy SIWZ proszę o informację czy istniejący system KD Bosch należy zintegrować z nowym systemem kontroli dostępu?</w:t>
      </w:r>
    </w:p>
    <w:p w14:paraId="03D68DA9" w14:textId="0B48B1B7" w:rsidR="00FA249A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6C73B4E8" w14:textId="77777777" w:rsidR="00D04884" w:rsidRPr="00D04884" w:rsidRDefault="00D04884" w:rsidP="00D04884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884">
        <w:rPr>
          <w:rFonts w:asciiTheme="minorHAnsi" w:hAnsiTheme="minorHAnsi" w:cstheme="minorHAnsi"/>
          <w:bCs/>
          <w:sz w:val="22"/>
          <w:szCs w:val="22"/>
        </w:rPr>
        <w:t>Zamawiający wymaga aby oprogramowanie systemu umożliwiało w przyszłości integrację zarządzania z istniejącym systemem KD firmy BOSCH (w tym kontrolery i czytniki kart) w zakresie obsługi baz użytkowników i uprawnień dostępu oraz monitorowania pracy tego systemów w zakresie obsługi zdarzeń związanych z użyciem karty.</w:t>
      </w:r>
    </w:p>
    <w:p w14:paraId="2DF00DA9" w14:textId="74D29757" w:rsidR="00D04884" w:rsidRPr="00D04884" w:rsidRDefault="00D04884" w:rsidP="00D04884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884">
        <w:rPr>
          <w:rFonts w:asciiTheme="minorHAnsi" w:hAnsiTheme="minorHAnsi" w:cstheme="minorHAnsi"/>
          <w:bCs/>
          <w:sz w:val="22"/>
          <w:szCs w:val="22"/>
        </w:rPr>
        <w:t>Dostarczone w ramach zamówienia karty wraz z zainstalowanymi obiektami SIO do obsługi instalowanego systemu muszą współpracować z istniejącym sys</w:t>
      </w:r>
      <w:r>
        <w:rPr>
          <w:rFonts w:asciiTheme="minorHAnsi" w:hAnsiTheme="minorHAnsi" w:cstheme="minorHAnsi"/>
          <w:bCs/>
          <w:sz w:val="22"/>
          <w:szCs w:val="22"/>
        </w:rPr>
        <w:t>temem KD BOSCH w budynku CEUE z </w:t>
      </w:r>
      <w:r w:rsidRPr="00D04884">
        <w:rPr>
          <w:rFonts w:asciiTheme="minorHAnsi" w:hAnsiTheme="minorHAnsi" w:cstheme="minorHAnsi"/>
          <w:bCs/>
          <w:sz w:val="22"/>
          <w:szCs w:val="22"/>
        </w:rPr>
        <w:t>możliwością nadawania im w tym systemie uprawnie</w:t>
      </w:r>
      <w:r>
        <w:rPr>
          <w:rFonts w:asciiTheme="minorHAnsi" w:hAnsiTheme="minorHAnsi" w:cstheme="minorHAnsi"/>
          <w:bCs/>
          <w:sz w:val="22"/>
          <w:szCs w:val="22"/>
        </w:rPr>
        <w:t>ń dostępu do wskazanych przejść</w:t>
      </w:r>
      <w:r w:rsidRPr="00D0488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9715CC" w14:textId="77777777" w:rsidR="00FA249A" w:rsidRPr="00D04884" w:rsidRDefault="00FA249A" w:rsidP="00D04884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BEC197" w14:textId="4D4C93C1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FA249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1</w:t>
      </w:r>
    </w:p>
    <w:p w14:paraId="416A3587" w14:textId="0B37A041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2294604D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I. Struktura systemu, zarządzanie i konfiguracja w pkt. 11, Zamawiający opisał wymagania: „Nadawanie uprawnień poszczególnym użytkownikom systemu zarządzania w zależności od stanowiska (administrator, operator, portier itp.) z możliwością ograniczania uprawnień w zadanych przedziałach czasowych oraz zmiany tych uprawnień dla całej grupy.”</w:t>
      </w:r>
    </w:p>
    <w:p w14:paraId="313F1ECC" w14:textId="77777777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Czy Zamawiający ma na myśli ograniczenie dostępu do systemu w wyznaczonych przedziałach czasowych dla poszczególnych grup użytkowników?</w:t>
      </w:r>
    </w:p>
    <w:p w14:paraId="0DCD2576" w14:textId="53980D00" w:rsidR="00FA249A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5D8D541F" w14:textId="29609758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 funkcjonalności systemu ograniczającej możliwości lo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gowania operatorów do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systemu, poza wskazanymi przedziałami czasowymi.</w:t>
      </w:r>
    </w:p>
    <w:p w14:paraId="3B46DAE3" w14:textId="77777777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481AF2" w14:textId="700B9CA0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FA249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2</w:t>
      </w:r>
    </w:p>
    <w:p w14:paraId="11E10534" w14:textId="08849D1D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00914A80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I. Struktura systemu, zarządzanie i konfiguracja w pkt. 30, Zamawiający opisał wymagania: „Możliwość zarządzenia użytkownikami podglądu zdarzeń systemu kontroli dostępu za pomocą przeglądarki www.”</w:t>
      </w:r>
    </w:p>
    <w:p w14:paraId="60E3C33A" w14:textId="77777777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Czy Zamawiający ma na myśli zarządzanie użytkownikami kart SKD oraz możliwość podglądu zdarzeń SKD przez przeglądarkę www?</w:t>
      </w:r>
    </w:p>
    <w:p w14:paraId="099DA8C2" w14:textId="77777777" w:rsidR="00FA249A" w:rsidRPr="00612EA5" w:rsidRDefault="00FA249A" w:rsidP="00FA249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lastRenderedPageBreak/>
        <w:t>Odpowiedź</w:t>
      </w:r>
    </w:p>
    <w:p w14:paraId="1CC560CA" w14:textId="1A8055BC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 funkcjonalności systemu  umożliwiającej zarządzanie przez przeglądarkę www kartami systemu kontroli dostępu (dodawanie, blokowanie i modyfikowanie uprawnień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dostępu do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przejść), a nie kontami operatorów oprogramowania systemu i ich uprawnieniami.</w:t>
      </w:r>
    </w:p>
    <w:p w14:paraId="5B1EE6B8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 funkcjonalności umożliwiającej podgląd zdarzeń wywołanych poprzez użytkownika karty.</w:t>
      </w:r>
    </w:p>
    <w:p w14:paraId="4B8609AB" w14:textId="77777777" w:rsidR="00612EA5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5B3AC98" w14:textId="005FD633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FA249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3</w:t>
      </w:r>
    </w:p>
    <w:p w14:paraId="702DC361" w14:textId="77A90D15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26AD4D69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I. Struktura systemu, zarządzanie i konfiguracja w pkt. 35, Zamawiający opisał wymagania: „Synchronizacja jednostek sprzętowych musi być zautomatyzowana i przejrzysta dla użytkowników z możliwością ręcznej synchronizacji jednostek lub synchronizacji jednostek według harmonogramu”.</w:t>
      </w:r>
    </w:p>
    <w:p w14:paraId="617F81A5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Czy Zamawiający ma na myśli synchronizację transparentną, to jest nie wymagającą ingerencji operatora oraz czy dopuszcza stosowanie synchronizacji automatycznej, realizowanej po każdej zmianie parametrów dla urządzeń online i w momencie nawiązania połączenia dla urządzeń offline?</w:t>
      </w:r>
    </w:p>
    <w:p w14:paraId="2B67E56E" w14:textId="5BBB6D45" w:rsidR="00FA249A" w:rsidRPr="00FA249A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739D823C" w14:textId="212EC379" w:rsidR="00612EA5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Tak.</w:t>
      </w:r>
    </w:p>
    <w:p w14:paraId="7C9A3C31" w14:textId="77777777" w:rsidR="00612EA5" w:rsidRPr="005611CB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70E600" w14:textId="1A0DCF21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FA249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4</w:t>
      </w:r>
    </w:p>
    <w:p w14:paraId="44042281" w14:textId="1ECFD41F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6DAC8EB2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I. Struktura systemu, zarządzanie i konfiguracja w pkt. 36, Zamawiający opisał wymagania: „Interfejs monitorowania pracy systemu musi obsługiwać zarówno raportowanie za pomocą jednego kliknięcia w przypadku systemu kontroli dostępu i integrowanego systemu ALPR  a w przyszłości systemu nadzoru wizyjnego, jak również śledzenie obszarów, kamer, drzwi, stref, posiadaczy kart, wind, jednostek LPR i innych za pomocą jednego kliknięcia. Raportowanie lub śledzenie za pomocą jednego kliknięcia ma tworzyć nowe zadanie z wybranymi jednostkami do raportowania lub śledzenia.”</w:t>
      </w:r>
    </w:p>
    <w:p w14:paraId="0FEB28B8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Czy Zamawiający pod pojęciem „jedno kliknięcie” ma na myśli dostęp do predefiniowanych raportów z panelu operatorskiego ułatwiającego dostęp do raportu bez konieczności jego każdorazowego definiowania?</w:t>
      </w:r>
    </w:p>
    <w:p w14:paraId="4B85DD9B" w14:textId="5A0B1D72" w:rsidR="00612EA5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FA249A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69935714" w14:textId="576504E1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</w:t>
      </w:r>
      <w:r w:rsidR="00FA24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 funkcjonalności systemu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umożliwiającej raportowanie zdarzeń bez dodatkowego definiowania parametrów (oprócz zakresu dat) przez operatora. 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Dostęp do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przygotowanego raportu umożliwia kliknięcie dedykowanej ikony zlokalizowanej na pulpicie operatora. Zamawiający nie oczekuje wygenerowania raportu po jednokrotnym kliknięciu przyciskiem „myszki” (np.  w sytuacji gdy operator przegląda prezentowane przez system informacje w innym miejscu niż pulpit operatorski). </w:t>
      </w:r>
    </w:p>
    <w:p w14:paraId="438710B3" w14:textId="77777777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987959" w14:textId="4DBC7AB4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FA249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5</w:t>
      </w:r>
    </w:p>
    <w:p w14:paraId="548076F3" w14:textId="52BC1EEF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5F603C91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Tabela 1 Funkcjonalności i parametry urządzeń wymagane na dzień złożenia oferty, część I. Struktura systemu, zarządzanie i konfiguracja w pkt. 49b, 49c, 49d, Zamawiający opisał wymagania: „Dla zapewnienia odpowiedniego poziomu i ciągłości pracy system KD musi umożliwiać:</w:t>
      </w:r>
    </w:p>
    <w:p w14:paraId="0A005CEC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b) Redundancję na poziomie katalogów z konfiguracją oraz kontrolerów obsługujących przejścia.</w:t>
      </w:r>
    </w:p>
    <w:p w14:paraId="4AF97FD5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c) Synchronizację katalogu rezerwowego bazy danych konfiguracji z katalogiem podstawowym.</w:t>
      </w:r>
    </w:p>
    <w:p w14:paraId="60A9EDC3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d) Samokontrolę i automatyczna synchronizację katalogów z opcją odzyskiwania i synchronizacji odzyskanych danych po awarii. Synchronizacja baz danych konfiguracji powinna odbywać się przy użyciu mechanizmu tworzenia kopii zapasowych i przywracania z możliwością ustawienia okresu synchronizacji.</w:t>
      </w:r>
    </w:p>
    <w:p w14:paraId="72133471" w14:textId="0327FE14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w podpunktach b, c i d używa sformułowań: "ka</w:t>
      </w:r>
      <w:r w:rsidR="002E04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talogu” i „katalogów", proszę o </w:t>
      </w: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sprecyzowanie co to oznacza?</w:t>
      </w:r>
    </w:p>
    <w:p w14:paraId="15FBA4F9" w14:textId="286DCC7D" w:rsidR="00FA249A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65CFD4C0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wyjaśnia, że chodzi o:</w:t>
      </w:r>
    </w:p>
    <w:p w14:paraId="7121B3C5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Ad. b) redundancję na poziomie baz danych zawierających konfigurację systemu.</w:t>
      </w:r>
    </w:p>
    <w:p w14:paraId="34FA8D98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Ad c) synchronizację rezerwowej bazy danych konfiguracyjnych z danymi z podstawowej bazy danych</w:t>
      </w:r>
    </w:p>
    <w:p w14:paraId="051D0E1B" w14:textId="77777777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 d) bazy danych umożliwiające odzyskanie i synchronizację danych po awarii serwera głównego. </w:t>
      </w:r>
    </w:p>
    <w:p w14:paraId="55B2E2EF" w14:textId="77777777" w:rsidR="00612EA5" w:rsidRPr="00FA249A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480798" w14:textId="223D7273" w:rsidR="00612EA5" w:rsidRPr="00612EA5" w:rsidRDefault="00FA249A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16</w:t>
      </w:r>
    </w:p>
    <w:p w14:paraId="603F2975" w14:textId="2A5C634C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72265FFE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I. Struktura systemu, zarządzanie i konfiguracja w pkt. 49d, Zamawiający opisał wymagania: „Dla zapewnienia odpowiedniego poziomu i ciągłości pracy system KD musi umożliwiać:</w:t>
      </w:r>
    </w:p>
    <w:p w14:paraId="355A12F5" w14:textId="4D40B2C2" w:rsidR="00FA249A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d) Samokontrolę i automatyczna synchronizację katalogów z opcją odzyskiwania i synchronizacji odzyskanych danych po awarii. Synchronizacja baz danych konfiguracji powinna odbywać się przy użyciu mechanizmu tworzenia kopii zapasowych i przywracania z możliwością ustawienia okresu synchronizacji.”</w:t>
      </w:r>
    </w:p>
    <w:p w14:paraId="63B49F12" w14:textId="4897F13E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 „synchronizacji odzyskanych danych po awar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ii." Proszę o sprecyzowanie czy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 to awarii serwera głównego?   </w:t>
      </w:r>
    </w:p>
    <w:p w14:paraId="46169604" w14:textId="6B85F39D" w:rsidR="00EF661F" w:rsidRPr="00EF661F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661F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234752E7" w14:textId="78E50365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Tak</w:t>
      </w:r>
      <w:r w:rsidR="0051164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24427D6" w14:textId="77777777" w:rsidR="00612EA5" w:rsidRPr="00EF661F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100E6F" w14:textId="7D9F3271" w:rsidR="00612EA5" w:rsidRPr="00612EA5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17</w:t>
      </w:r>
    </w:p>
    <w:p w14:paraId="0BB8EDE6" w14:textId="5F5F2038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508B4A07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III. Kontrolery, w pkt.14, Zamawiający opisał wymagania: „Globalna funkcja „</w:t>
      </w:r>
      <w:proofErr w:type="spellStart"/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antipasspback</w:t>
      </w:r>
      <w:proofErr w:type="spellEnd"/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” w trybie online oraz  w trybie offline.”</w:t>
      </w:r>
    </w:p>
    <w:p w14:paraId="0AA3C53B" w14:textId="77D213A6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Czy działanie funkcji "</w:t>
      </w:r>
      <w:proofErr w:type="spellStart"/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antipasspback</w:t>
      </w:r>
      <w:proofErr w:type="spellEnd"/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" w trybie offline oznacza wspieranie tej funkcji w trakci</w:t>
      </w:r>
      <w:r w:rsidR="005116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 utraty komunikacji z serwerem</w:t>
      </w: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</w:t>
      </w:r>
    </w:p>
    <w:p w14:paraId="5F63F842" w14:textId="1937D5BE" w:rsidR="00EF661F" w:rsidRPr="00612EA5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661F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47D212B1" w14:textId="77777777" w:rsidR="00612EA5" w:rsidRPr="00EF661F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 funkcjonalności systemu  zapewniającej ciągłość działania globalnej funkcji „</w:t>
      </w:r>
      <w:proofErr w:type="spellStart"/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antipassback</w:t>
      </w:r>
      <w:proofErr w:type="spellEnd"/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” w przypadku utraty połączenia z serwerem głównym.</w:t>
      </w:r>
    </w:p>
    <w:p w14:paraId="420C8D3E" w14:textId="77777777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F22D8" w14:textId="77777777" w:rsidR="00D04884" w:rsidRPr="00EF661F" w:rsidRDefault="00D04884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934AED" w14:textId="0E0FA4BB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lastRenderedPageBreak/>
        <w:t>Pytanie nr 1</w:t>
      </w:r>
      <w:r w:rsidR="00EF661F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8</w:t>
      </w:r>
    </w:p>
    <w:p w14:paraId="6123FB39" w14:textId="092F5116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3C699B44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1 Funkcjonalności i parametry urządzeń wymagane na dzień złożenia oferty, część VI. Okucia bezprzewodowe, w pkt.10, Zamawiający opisał wymagania: „Monitorowanie stanu drzwi, użycia klamki lub otworzenia drzwi z użyciem klucza”</w:t>
      </w:r>
    </w:p>
    <w:p w14:paraId="3A764636" w14:textId="5D65B8C4" w:rsid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Czy zamawiający przewiduje tą funkcjonalność we wszystkich drzwiach objętych</w:t>
      </w:r>
      <w:r w:rsidR="005116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bezprzewodową kontrolą dostępu</w:t>
      </w: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</w:t>
      </w:r>
    </w:p>
    <w:p w14:paraId="7746607A" w14:textId="53BA20BC" w:rsidR="00EF661F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611CB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61F01DF5" w14:textId="12168318" w:rsidR="00EF661F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Informacje podano w zmodyfikowanym załączniku nr 7 do SIWZ – Zestawienie przejść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.</w:t>
      </w:r>
    </w:p>
    <w:p w14:paraId="197D5D69" w14:textId="77777777" w:rsidR="00EF661F" w:rsidRPr="00612EA5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C50A489" w14:textId="04AFEA9E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1</w:t>
      </w:r>
      <w:r w:rsidR="00EF661F" w:rsidRPr="00EF661F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9</w:t>
      </w:r>
    </w:p>
    <w:p w14:paraId="7F9AC237" w14:textId="6BC85A08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6F19BF00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2 Dodatkowe funkcjonalności – kryterium oceny oferty, w pkt.1, Zamawiający opisał funkcjonalność: „Automatyzacja obsługi zdarzeń/incydentów monitorowanych  przez system. Możliwość jej konfiguracji przy zastosowaniu złożonych reguł działających w oparciu o dynamicznie uzyskiwane z systemu dane oraz w oparciu o interakcje z operatorami, zgodnie z przypisanymi dla nich zadaniami i uprawnieniami. Graficzny interfejs umożliwiający tworzenie reguł oraz obsługę zdarzeń przez operatora zgodnie z utworzonymi regułami.”</w:t>
      </w:r>
    </w:p>
    <w:p w14:paraId="49C14921" w14:textId="77777777" w:rsidR="00612EA5" w:rsidRPr="00EF661F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sprecyzowanie na czym ma polegać automatyzacja?</w:t>
      </w:r>
    </w:p>
    <w:p w14:paraId="0032CC50" w14:textId="299AAA12" w:rsidR="00EF661F" w:rsidRPr="00612EA5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661F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171F40A5" w14:textId="3D1AB906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Automatyzacja ma polegać na ograniczeniu do minimum, zgodnie z wolą administratora systemu, liczby zdarzeń/alarmów wysyłanych do operatora z jednoczesnym zachowaniem wszystkich informacji i zdarzeń przez system do celów analityki i raportowania). Administrator systemu musi mieć możliwość programowania tej automatyzacji za pomocą graficznego interfejsu, </w:t>
      </w:r>
      <w:r w:rsidR="002E04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nie </w:t>
      </w:r>
      <w:r w:rsidRPr="00612EA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wymagającego użycia języków programowania, będącego integralną częścią oprogramowania systemu.</w:t>
      </w:r>
    </w:p>
    <w:p w14:paraId="24FFC2A0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przykład: </w:t>
      </w:r>
    </w:p>
    <w:p w14:paraId="02DA2EF3" w14:textId="3DBFFF61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brak alarmu po jednokrotnym przyłożeniu do czytnika karty nie posiadającej 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uprawnień do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otworzenia podłączonego do tego czytnika przejścia. Zdarzenie to powinno jednak zostać zapisane w logach systemu oraz administrator lub wskazany inny użytkownik ma mieć możliwość wygenerowania odpowiedniego raportu.</w:t>
      </w:r>
    </w:p>
    <w:p w14:paraId="0747C3F2" w14:textId="429DDC6B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wywołanie alarmu po minimum dwukrotnym (parametr modyfikowany) przyłożeniu do czytnika karty,  nie posiadającej uprawnień do otworzenia podłączonego do tego czytnika przejścia, 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w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ustawionym przez Administratora przedziale czasowym. System ma umożliwiać wyświetlenie odpowiedniej informacji o próbie naruszenia uprawnień i automatycznie uruchomić określoną przez administratora procedurę dla tej sytuacji oraz ma automatycznie zablokować użytą w tej sytuacji kartę (do czasu wyjaśnienia zdarzenia). </w:t>
      </w:r>
    </w:p>
    <w:p w14:paraId="6734E013" w14:textId="06B5F01C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wywołanie alarmu po przyłożeniu do minimum kilku czytników karty,  nie posiadającej uprawnień do otworzenia podłączonych do nich przejść, w ustawionym przez Administratora przedziale czasowym. System ma umożliwiać wyświetlenie odpowiedniej informacji o 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próbie naruszenia uprawnień i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automatycznie uruchomić określoną przez administratora procedurę dla tej sytuacji oraz 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ma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automatycznie zablokować użytą w tej sytuacji kartę (do czasu wyjaśnienia zdarzenia).</w:t>
      </w:r>
    </w:p>
    <w:p w14:paraId="72851C78" w14:textId="3A259DC4" w:rsidR="00612EA5" w:rsidRPr="00EF661F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- możliwość utworzenia procedury np. w okresie zagrożenia epidemicznego, która umożliwi przeprowadzenie określonych czynności sprawdzających (np. objawów choroby) w stosunku do 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użytkownika systemu kontroli dostępu. Wyniki zweryfikowanych kryteriów zostają odnotowane w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rejestrach systemu w celu tworzenia raportów i sprawdzenia poprawności działań operatorów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>. W 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sytuacji wykrycia zagrożenia system uruchamia automatyczn</w:t>
      </w:r>
      <w:r w:rsidR="002E04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ą procedurę, polegającą np. na </w:t>
      </w: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zablokowaniu konkretnych drzwi lub stref dla użytkownika oraz umożliwieniu skierowania go do strefy izolacji. </w:t>
      </w:r>
    </w:p>
    <w:p w14:paraId="6E8FA7B6" w14:textId="77777777" w:rsidR="00612EA5" w:rsidRPr="00EF661F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21DBBE" w14:textId="6ADFFA6C" w:rsidR="00612EA5" w:rsidRPr="00612EA5" w:rsidRDefault="00EF661F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20</w:t>
      </w:r>
    </w:p>
    <w:p w14:paraId="77A227DE" w14:textId="2D96ED22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W dokumencie „Załącznik 9 do SIWZ - 2020.05.13”:</w:t>
      </w:r>
    </w:p>
    <w:p w14:paraId="22E06EA7" w14:textId="77777777" w:rsidR="00612EA5" w:rsidRPr="00612EA5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Tabela 2 Dodatkowe funkcjonalności – kryterium oceny oferty, w pkt.4, Zamawiający opisał funkcjonalność: „Funkcja raportowania zagrożeń epidemiologicznych dla pracowników lub gości dzięki korelacji zdarzeń na wybranych strefach i przejściach. Możliwość szeregowania zdarzeń dostępu według przedziału czasu i miejsca, aby zidentyfikować osoby, które były narażone na większe ryzyko kontaktu z osobą zakażoną.”</w:t>
      </w:r>
    </w:p>
    <w:p w14:paraId="1701D204" w14:textId="77777777" w:rsidR="00612EA5" w:rsidRPr="00EF661F" w:rsidRDefault="00612EA5" w:rsidP="005611CB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zamawiający dopuszcza stworzenie dodatkowego zewnętrznego narzędzia w oparciu o informację z systemu KD czy wymaga aby było to częścią integralną systemu? </w:t>
      </w:r>
    </w:p>
    <w:p w14:paraId="1213FA69" w14:textId="3D15B60C" w:rsidR="00EF661F" w:rsidRPr="00612EA5" w:rsidRDefault="00EF661F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661F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3BE292A9" w14:textId="77777777" w:rsidR="00612EA5" w:rsidRPr="00EF661F" w:rsidRDefault="00612EA5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wymaga, aby funkcja była integralną częścią systemu.</w:t>
      </w:r>
    </w:p>
    <w:p w14:paraId="04F5C267" w14:textId="77777777" w:rsidR="00EF661F" w:rsidRPr="00EF661F" w:rsidRDefault="00EF661F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2FAD4D" w14:textId="1A5D6D47" w:rsidR="00EF661F" w:rsidRPr="00612EA5" w:rsidRDefault="00EF661F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2</w:t>
      </w:r>
      <w:r w:rsidRPr="00612EA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1</w:t>
      </w:r>
    </w:p>
    <w:p w14:paraId="7E212180" w14:textId="77777777" w:rsidR="00612EA5" w:rsidRPr="00612EA5" w:rsidRDefault="00612EA5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wymaga aby korelacja zdarzeń polegała na zebraniu z konkretnych czytników informacji o tym jacy użytkownicy w określonych ramach czasowych mieli styczność z osobą zakażoną poprzez korzystanie z tych samych drzwi, pomieszczeń i pokazaniu tego jako listę osób?</w:t>
      </w:r>
    </w:p>
    <w:p w14:paraId="3718528B" w14:textId="0D35FB70" w:rsidR="00EF661F" w:rsidRPr="00EF661F" w:rsidRDefault="00EF661F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661F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580F2FF9" w14:textId="6824FDE9" w:rsidR="00612EA5" w:rsidRPr="00612EA5" w:rsidRDefault="00612EA5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2EA5">
        <w:rPr>
          <w:rFonts w:asciiTheme="minorHAnsi" w:eastAsia="Calibri" w:hAnsiTheme="minorHAnsi" w:cstheme="minorHAnsi"/>
          <w:sz w:val="22"/>
          <w:szCs w:val="22"/>
          <w:lang w:eastAsia="en-US"/>
        </w:rPr>
        <w:t>Tak</w:t>
      </w:r>
      <w:r w:rsidR="00EF661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EBBA40B" w14:textId="49177786" w:rsidR="002C7CB2" w:rsidRPr="00EF661F" w:rsidRDefault="002C7CB2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C8654" w14:textId="1BCC53C1" w:rsidR="00612EA5" w:rsidRPr="00EF661F" w:rsidRDefault="00EF661F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nr22</w:t>
      </w:r>
    </w:p>
    <w:p w14:paraId="76B31D0E" w14:textId="4BEA3CA6" w:rsidR="00612EA5" w:rsidRPr="00EF661F" w:rsidRDefault="00612EA5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61F">
        <w:rPr>
          <w:rFonts w:asciiTheme="minorHAnsi" w:hAnsiTheme="minorHAnsi" w:cstheme="minorHAnsi"/>
          <w:sz w:val="22"/>
          <w:szCs w:val="22"/>
        </w:rPr>
        <w:t>Czy Z</w:t>
      </w:r>
      <w:r w:rsidR="00EF661F">
        <w:rPr>
          <w:rFonts w:asciiTheme="minorHAnsi" w:hAnsiTheme="minorHAnsi" w:cstheme="minorHAnsi"/>
          <w:sz w:val="22"/>
          <w:szCs w:val="22"/>
        </w:rPr>
        <w:t>a</w:t>
      </w:r>
      <w:r w:rsidRPr="00EF661F">
        <w:rPr>
          <w:rFonts w:asciiTheme="minorHAnsi" w:hAnsiTheme="minorHAnsi" w:cstheme="minorHAnsi"/>
          <w:sz w:val="22"/>
          <w:szCs w:val="22"/>
        </w:rPr>
        <w:t>mawiający wyraża zgodę na wskazanie przez Wykonawcę części zamówienia, którą zamierza powierzyć podwykonawcom bez podania nazwy firm jeśli nie jest znana na etapie składania ofert?</w:t>
      </w:r>
    </w:p>
    <w:p w14:paraId="54ACCC82" w14:textId="77777777" w:rsidR="00EF661F" w:rsidRPr="00EF661F" w:rsidRDefault="00EF661F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661F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607F9327" w14:textId="42B42EA5" w:rsidR="00612EA5" w:rsidRDefault="00EF661F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Tak. Gdy Wykonawca będzie znał nazwy podwykonawców, zobowiązany jest niezwłocznie dostarczyć Zamawiającemu informację dot. </w:t>
      </w:r>
      <w:r w:rsidR="005603AF">
        <w:rPr>
          <w:rFonts w:asciiTheme="minorHAnsi" w:hAnsiTheme="minorHAnsi" w:cstheme="minorHAnsi"/>
          <w:sz w:val="22"/>
          <w:szCs w:val="22"/>
        </w:rPr>
        <w:t>nazw firm, oraz złożyć JEDZ oraz dokumenty potwierdzające spełnianie przez podwykonawców warunków udziału w postepowaniu.</w:t>
      </w:r>
    </w:p>
    <w:p w14:paraId="57B5D07A" w14:textId="7878AC1E" w:rsidR="00EF661F" w:rsidRPr="00EF661F" w:rsidRDefault="00EF661F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0B730" w14:textId="42DAC625" w:rsidR="005611CB" w:rsidRPr="00EF661F" w:rsidRDefault="00EF661F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Pytanie nr 23</w:t>
      </w:r>
    </w:p>
    <w:p w14:paraId="4A6131B2" w14:textId="3C5081EE" w:rsidR="00612EA5" w:rsidRPr="00EF661F" w:rsidRDefault="00612EA5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61F">
        <w:rPr>
          <w:rFonts w:asciiTheme="minorHAnsi" w:hAnsiTheme="minorHAnsi" w:cstheme="minorHAnsi"/>
          <w:sz w:val="22"/>
          <w:szCs w:val="22"/>
        </w:rPr>
        <w:t>Czy jeśli Wykonawca na etapie składania wniosków nie wskaże, że będzie korzystał z podwykonawców, to czy będzie mógł zgłosić podwykonawstwo na etapie realizacji zamówienia?</w:t>
      </w:r>
    </w:p>
    <w:p w14:paraId="279DFF7A" w14:textId="77777777" w:rsidR="00EF661F" w:rsidRPr="008021A0" w:rsidRDefault="00EF661F" w:rsidP="00EF661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021A0">
        <w:rPr>
          <w:rFonts w:asciiTheme="minorHAnsi" w:eastAsia="Calibri" w:hAnsiTheme="minorHAnsi" w:cstheme="minorHAnsi"/>
          <w:iCs/>
          <w:sz w:val="22"/>
          <w:szCs w:val="22"/>
          <w:u w:val="single"/>
          <w:lang w:eastAsia="en-US"/>
        </w:rPr>
        <w:t>Odpowiedź</w:t>
      </w:r>
    </w:p>
    <w:p w14:paraId="042E853A" w14:textId="413BB6E8" w:rsidR="00EF661F" w:rsidRPr="008021A0" w:rsidRDefault="008021A0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Tak.</w:t>
      </w:r>
      <w:bookmarkStart w:id="0" w:name="_GoBack"/>
      <w:bookmarkEnd w:id="0"/>
    </w:p>
    <w:p w14:paraId="6A170405" w14:textId="77777777" w:rsidR="00D04884" w:rsidRPr="008021A0" w:rsidRDefault="00D04884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21D78" w14:textId="77777777" w:rsidR="00D04884" w:rsidRPr="00D04884" w:rsidRDefault="00D04884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118FB6" w14:textId="3CC6EEA1" w:rsidR="00D04884" w:rsidRPr="00D04884" w:rsidRDefault="00D04884" w:rsidP="00D0488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Jednocześnie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Zamawiający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informuje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że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związku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odpowiedziami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pytania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dokonuje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4884">
        <w:rPr>
          <w:rFonts w:asciiTheme="minorHAnsi" w:hAnsiTheme="minorHAnsi" w:cstheme="minorHAnsi"/>
          <w:sz w:val="22"/>
          <w:szCs w:val="22"/>
          <w:lang w:val="en-US"/>
        </w:rPr>
        <w:t>modyfikacji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Specyfikacji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Istotnych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Warunków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Zamówienia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w ten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sposób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że</w:t>
      </w:r>
      <w:proofErr w:type="spellEnd"/>
      <w:r w:rsidRPr="00D04884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78F71BD1" w14:textId="77777777" w:rsidR="00D04884" w:rsidRPr="00D04884" w:rsidRDefault="00D04884" w:rsidP="00D04884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04884">
        <w:rPr>
          <w:rFonts w:asciiTheme="minorHAnsi" w:hAnsiTheme="minorHAnsi" w:cstheme="minorHAnsi"/>
          <w:sz w:val="22"/>
          <w:szCs w:val="22"/>
        </w:rPr>
        <w:t xml:space="preserve">Pkt 15.1 otrzymuje brzmienie: </w:t>
      </w:r>
    </w:p>
    <w:p w14:paraId="3AF308C7" w14:textId="6A726EF8" w:rsidR="00D04884" w:rsidRPr="00D04884" w:rsidRDefault="00D04884" w:rsidP="00D04884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04884">
        <w:rPr>
          <w:rFonts w:asciiTheme="minorHAnsi" w:hAnsiTheme="minorHAnsi" w:cstheme="minorHAnsi"/>
          <w:sz w:val="22"/>
          <w:szCs w:val="22"/>
        </w:rPr>
        <w:t xml:space="preserve">Oferty należy przesłać za pomocą platformy zakupowej nie później niż do </w:t>
      </w:r>
      <w:r>
        <w:rPr>
          <w:rFonts w:asciiTheme="minorHAnsi" w:hAnsiTheme="minorHAnsi" w:cstheme="minorHAnsi"/>
          <w:b/>
          <w:sz w:val="22"/>
          <w:szCs w:val="22"/>
        </w:rPr>
        <w:t>23 czerwca</w:t>
      </w:r>
      <w:r w:rsidRPr="00D04884">
        <w:rPr>
          <w:rFonts w:asciiTheme="minorHAnsi" w:hAnsiTheme="minorHAnsi" w:cstheme="minorHAnsi"/>
          <w:sz w:val="22"/>
          <w:szCs w:val="22"/>
        </w:rPr>
        <w:t xml:space="preserve"> </w:t>
      </w:r>
      <w:r w:rsidRPr="00D04884">
        <w:rPr>
          <w:rFonts w:asciiTheme="minorHAnsi" w:hAnsiTheme="minorHAnsi" w:cstheme="minorHAnsi"/>
          <w:b/>
          <w:sz w:val="22"/>
          <w:szCs w:val="22"/>
        </w:rPr>
        <w:t>2020 r.</w:t>
      </w:r>
      <w:r w:rsidRPr="00D04884">
        <w:rPr>
          <w:rFonts w:asciiTheme="minorHAnsi" w:hAnsiTheme="minorHAnsi" w:cstheme="minorHAnsi"/>
          <w:sz w:val="22"/>
          <w:szCs w:val="22"/>
        </w:rPr>
        <w:t xml:space="preserve"> godz. 08:00.</w:t>
      </w:r>
    </w:p>
    <w:p w14:paraId="18A48AD8" w14:textId="77777777" w:rsidR="00D04884" w:rsidRPr="00D04884" w:rsidRDefault="00D04884" w:rsidP="00D04884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04884">
        <w:rPr>
          <w:rFonts w:asciiTheme="minorHAnsi" w:hAnsiTheme="minorHAnsi" w:cstheme="minorHAnsi"/>
          <w:sz w:val="22"/>
          <w:szCs w:val="22"/>
        </w:rPr>
        <w:t>Pkt 15.4 otrzymuje brzmienie:</w:t>
      </w:r>
    </w:p>
    <w:p w14:paraId="7B6F3E0E" w14:textId="226CC1C7" w:rsidR="00D04884" w:rsidRPr="00D04884" w:rsidRDefault="00D04884" w:rsidP="00D04884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4884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Pr="00D04884">
        <w:rPr>
          <w:rFonts w:asciiTheme="minorHAnsi" w:hAnsiTheme="minorHAnsi" w:cstheme="minorHAnsi"/>
          <w:b/>
          <w:sz w:val="22"/>
          <w:szCs w:val="22"/>
        </w:rPr>
        <w:t>23</w:t>
      </w:r>
      <w:r>
        <w:rPr>
          <w:rFonts w:asciiTheme="minorHAnsi" w:hAnsiTheme="minorHAnsi" w:cstheme="minorHAnsi"/>
          <w:b/>
          <w:sz w:val="22"/>
          <w:szCs w:val="22"/>
        </w:rPr>
        <w:t xml:space="preserve"> czerwca</w:t>
      </w:r>
      <w:r w:rsidRPr="00D04884">
        <w:rPr>
          <w:rFonts w:asciiTheme="minorHAnsi" w:hAnsiTheme="minorHAnsi" w:cstheme="minorHAnsi"/>
          <w:sz w:val="22"/>
          <w:szCs w:val="22"/>
        </w:rPr>
        <w:t xml:space="preserve"> </w:t>
      </w:r>
      <w:r w:rsidRPr="00D04884">
        <w:rPr>
          <w:rFonts w:asciiTheme="minorHAnsi" w:hAnsiTheme="minorHAnsi" w:cstheme="minorHAnsi"/>
          <w:b/>
          <w:sz w:val="22"/>
          <w:szCs w:val="22"/>
        </w:rPr>
        <w:t xml:space="preserve">2020 r. </w:t>
      </w:r>
      <w:r w:rsidRPr="00D04884">
        <w:rPr>
          <w:rFonts w:asciiTheme="minorHAnsi" w:hAnsiTheme="minorHAnsi" w:cstheme="minorHAnsi"/>
          <w:sz w:val="22"/>
          <w:szCs w:val="22"/>
        </w:rPr>
        <w:t>o godz. 09:00, w siedzibie Zamawiającego – pawilon administracyjny, pokój nr 9. Otwarcie ofert nastąpi za pomocą platformy zakupowej.</w:t>
      </w:r>
    </w:p>
    <w:p w14:paraId="75ACAB20" w14:textId="77777777" w:rsidR="00D04884" w:rsidRPr="00D04884" w:rsidRDefault="00D04884" w:rsidP="00D04884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C313C6A" w14:textId="77777777" w:rsidR="00D04884" w:rsidRPr="00D04884" w:rsidRDefault="00D04884" w:rsidP="00EF66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04884" w:rsidRPr="00D04884" w:rsidSect="00014844">
      <w:headerReference w:type="default" r:id="rId8"/>
      <w:footerReference w:type="default" r:id="rId9"/>
      <w:pgSz w:w="11906" w:h="16838" w:code="9"/>
      <w:pgMar w:top="1701" w:right="1418" w:bottom="255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C770" w14:textId="77777777" w:rsidR="00FC68F1" w:rsidRDefault="00FC68F1">
      <w:r>
        <w:separator/>
      </w:r>
    </w:p>
  </w:endnote>
  <w:endnote w:type="continuationSeparator" w:id="0">
    <w:p w14:paraId="23071D45" w14:textId="77777777" w:rsidR="00FC68F1" w:rsidRDefault="00FC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5843" w14:textId="39401FDB" w:rsidR="00014844" w:rsidRPr="00612EA5" w:rsidRDefault="005611CB" w:rsidP="00014844">
    <w:pPr>
      <w:pStyle w:val="Stopka"/>
      <w:rPr>
        <w:rFonts w:ascii="Calibri" w:hAnsi="Calibri" w:cs="Calibri"/>
      </w:rPr>
    </w:pPr>
    <w:r w:rsidRPr="00612EA5">
      <w:rPr>
        <w:rFonts w:ascii="Calibri" w:hAnsi="Calibri" w:cs="Calibr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C01DB25" wp14:editId="343D7C16">
          <wp:simplePos x="0" y="0"/>
          <wp:positionH relativeFrom="column">
            <wp:posOffset>30480</wp:posOffset>
          </wp:positionH>
          <wp:positionV relativeFrom="paragraph">
            <wp:posOffset>55245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844" w:rsidRPr="00612EA5">
      <w:rPr>
        <w:rFonts w:ascii="Calibri" w:hAnsi="Calibri" w:cs="Calibr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E60CEE3" wp14:editId="71B50422">
          <wp:simplePos x="0" y="0"/>
          <wp:positionH relativeFrom="column">
            <wp:posOffset>3752215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02C5" w14:textId="2D8FEBCB" w:rsidR="00014844" w:rsidRPr="00612EA5" w:rsidRDefault="005611CB" w:rsidP="00014844">
    <w:pPr>
      <w:rPr>
        <w:rFonts w:ascii="Calibri" w:hAnsi="Calibri" w:cs="Calibri"/>
      </w:rPr>
    </w:pPr>
    <w:r w:rsidRPr="00612EA5">
      <w:rPr>
        <w:rFonts w:ascii="Calibri" w:hAnsi="Calibri" w:cs="Calibr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4CBA4B5" wp14:editId="77F0A637">
          <wp:simplePos x="0" y="0"/>
          <wp:positionH relativeFrom="margin">
            <wp:posOffset>2019300</wp:posOffset>
          </wp:positionH>
          <wp:positionV relativeFrom="margin">
            <wp:posOffset>8282940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Calibri" w:hAnsi="Calibri" w:cs="Calibr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ar-SA"/>
      </w:rPr>
    </w:sdtEndPr>
    <w:sdtContent>
      <w:sdt>
        <w:sdtPr>
          <w:rPr>
            <w:rFonts w:ascii="Calibri" w:hAnsi="Calibri" w:cs="Calibr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ar-SA"/>
          </w:rPr>
        </w:sdtEndPr>
        <w:sdtContent>
          <w:p w14:paraId="5B9DFFEE" w14:textId="4419D1BC" w:rsidR="00014844" w:rsidRPr="00612EA5" w:rsidRDefault="00014844" w:rsidP="00014844">
            <w:pPr>
              <w:spacing w:before="600"/>
              <w:ind w:left="-170" w:right="-170"/>
              <w:jc w:val="center"/>
              <w:rPr>
                <w:rFonts w:ascii="Calibri" w:hAnsi="Calibri" w:cs="Calibri"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EA5">
              <w:rPr>
                <w:rFonts w:ascii="Calibri" w:hAnsi="Calibri" w:cs="Calibri"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612EA5">
              <w:rPr>
                <w:rFonts w:ascii="Calibri" w:hAnsi="Calibri" w:cs="Calibri"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02071273" w14:textId="0C3DE70D" w:rsidR="00014844" w:rsidRPr="00612EA5" w:rsidRDefault="00014844" w:rsidP="00014844">
            <w:pPr>
              <w:pStyle w:val="Stopka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12EA5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12C2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9</w:t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612EA5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12C2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9</w:t>
            </w:r>
            <w:r w:rsidRPr="00612EA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B928" w14:textId="77777777" w:rsidR="00FC68F1" w:rsidRDefault="00FC68F1">
      <w:r>
        <w:separator/>
      </w:r>
    </w:p>
  </w:footnote>
  <w:footnote w:type="continuationSeparator" w:id="0">
    <w:p w14:paraId="305EFAF9" w14:textId="77777777" w:rsidR="00FC68F1" w:rsidRDefault="00FC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ECEA" w14:textId="0CD6745E" w:rsidR="00014844" w:rsidRDefault="000148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EEE8317" wp14:editId="79EAD1CD">
          <wp:simplePos x="0" y="0"/>
          <wp:positionH relativeFrom="column">
            <wp:posOffset>-538026</wp:posOffset>
          </wp:positionH>
          <wp:positionV relativeFrom="paragraph">
            <wp:posOffset>-510540</wp:posOffset>
          </wp:positionV>
          <wp:extent cx="7169785" cy="82931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8E7"/>
    <w:multiLevelType w:val="hybridMultilevel"/>
    <w:tmpl w:val="7C76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80E"/>
    <w:multiLevelType w:val="hybridMultilevel"/>
    <w:tmpl w:val="864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D602E94"/>
    <w:multiLevelType w:val="hybridMultilevel"/>
    <w:tmpl w:val="6CE0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148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42BC7"/>
    <w:multiLevelType w:val="hybridMultilevel"/>
    <w:tmpl w:val="638EC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05C37"/>
    <w:multiLevelType w:val="hybridMultilevel"/>
    <w:tmpl w:val="0A12BE36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1B1B31"/>
    <w:multiLevelType w:val="hybridMultilevel"/>
    <w:tmpl w:val="2C14403C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B0683E"/>
    <w:multiLevelType w:val="multilevel"/>
    <w:tmpl w:val="4A504116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2629"/>
        </w:tabs>
        <w:ind w:left="262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53302265"/>
    <w:multiLevelType w:val="hybridMultilevel"/>
    <w:tmpl w:val="0D5E43B8"/>
    <w:lvl w:ilvl="0" w:tplc="B7D4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EE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6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F6A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C3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F25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E6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467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6A62FA"/>
    <w:multiLevelType w:val="hybridMultilevel"/>
    <w:tmpl w:val="C4AC6D1A"/>
    <w:lvl w:ilvl="0" w:tplc="717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881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86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F415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E97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7E4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F8F5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F23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48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622F6"/>
    <w:multiLevelType w:val="hybridMultilevel"/>
    <w:tmpl w:val="5A94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279CE"/>
    <w:multiLevelType w:val="hybridMultilevel"/>
    <w:tmpl w:val="FB127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61E3"/>
    <w:multiLevelType w:val="hybridMultilevel"/>
    <w:tmpl w:val="3154CE7C"/>
    <w:lvl w:ilvl="0" w:tplc="AFB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F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7E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D04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A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A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6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0056CD"/>
    <w:rsid w:val="00014844"/>
    <w:rsid w:val="000659F8"/>
    <w:rsid w:val="000760DD"/>
    <w:rsid w:val="00120E5B"/>
    <w:rsid w:val="00124EB5"/>
    <w:rsid w:val="001542CA"/>
    <w:rsid w:val="001A2584"/>
    <w:rsid w:val="001D01E8"/>
    <w:rsid w:val="00232D29"/>
    <w:rsid w:val="00261B38"/>
    <w:rsid w:val="00282D4E"/>
    <w:rsid w:val="002850A4"/>
    <w:rsid w:val="002A70A7"/>
    <w:rsid w:val="002B2C60"/>
    <w:rsid w:val="002B69CE"/>
    <w:rsid w:val="002C7CB2"/>
    <w:rsid w:val="002E0498"/>
    <w:rsid w:val="002E1646"/>
    <w:rsid w:val="002F4ABB"/>
    <w:rsid w:val="00317CC3"/>
    <w:rsid w:val="0032045B"/>
    <w:rsid w:val="00343658"/>
    <w:rsid w:val="00366A10"/>
    <w:rsid w:val="00371B79"/>
    <w:rsid w:val="00376BA3"/>
    <w:rsid w:val="00395077"/>
    <w:rsid w:val="003B1806"/>
    <w:rsid w:val="003B610F"/>
    <w:rsid w:val="003F1F13"/>
    <w:rsid w:val="003F4782"/>
    <w:rsid w:val="00444F77"/>
    <w:rsid w:val="00445100"/>
    <w:rsid w:val="004521BD"/>
    <w:rsid w:val="004549A2"/>
    <w:rsid w:val="0045688C"/>
    <w:rsid w:val="004761D9"/>
    <w:rsid w:val="004810AD"/>
    <w:rsid w:val="004837EA"/>
    <w:rsid w:val="004B617B"/>
    <w:rsid w:val="004F38E7"/>
    <w:rsid w:val="00504DE6"/>
    <w:rsid w:val="00507C11"/>
    <w:rsid w:val="0051164C"/>
    <w:rsid w:val="00556390"/>
    <w:rsid w:val="005603AF"/>
    <w:rsid w:val="005611CB"/>
    <w:rsid w:val="00573A3B"/>
    <w:rsid w:val="005936C9"/>
    <w:rsid w:val="005B1CAC"/>
    <w:rsid w:val="005B2375"/>
    <w:rsid w:val="005E4D3C"/>
    <w:rsid w:val="00612EA5"/>
    <w:rsid w:val="00642725"/>
    <w:rsid w:val="00672F19"/>
    <w:rsid w:val="006A0834"/>
    <w:rsid w:val="006B2019"/>
    <w:rsid w:val="006D2CEC"/>
    <w:rsid w:val="006D645F"/>
    <w:rsid w:val="006E2D47"/>
    <w:rsid w:val="00727040"/>
    <w:rsid w:val="00732C43"/>
    <w:rsid w:val="00736829"/>
    <w:rsid w:val="00740CEC"/>
    <w:rsid w:val="00777B1D"/>
    <w:rsid w:val="007A326B"/>
    <w:rsid w:val="007B10B7"/>
    <w:rsid w:val="007F00D1"/>
    <w:rsid w:val="007F6600"/>
    <w:rsid w:val="008021A0"/>
    <w:rsid w:val="008163F3"/>
    <w:rsid w:val="00823B17"/>
    <w:rsid w:val="00847BA3"/>
    <w:rsid w:val="0086126B"/>
    <w:rsid w:val="00877777"/>
    <w:rsid w:val="00885B67"/>
    <w:rsid w:val="008908EF"/>
    <w:rsid w:val="008D70E9"/>
    <w:rsid w:val="00934A62"/>
    <w:rsid w:val="00976D3F"/>
    <w:rsid w:val="00986C53"/>
    <w:rsid w:val="00994133"/>
    <w:rsid w:val="00997110"/>
    <w:rsid w:val="009B24B6"/>
    <w:rsid w:val="009F51FA"/>
    <w:rsid w:val="00A176A9"/>
    <w:rsid w:val="00A54ADF"/>
    <w:rsid w:val="00A5683C"/>
    <w:rsid w:val="00A81971"/>
    <w:rsid w:val="00AB7BB9"/>
    <w:rsid w:val="00AC6A12"/>
    <w:rsid w:val="00B56415"/>
    <w:rsid w:val="00B650FC"/>
    <w:rsid w:val="00B76CAB"/>
    <w:rsid w:val="00B93C8F"/>
    <w:rsid w:val="00BB0262"/>
    <w:rsid w:val="00BC6B19"/>
    <w:rsid w:val="00BE507E"/>
    <w:rsid w:val="00BF40D8"/>
    <w:rsid w:val="00BF5A5F"/>
    <w:rsid w:val="00C3660F"/>
    <w:rsid w:val="00C46E77"/>
    <w:rsid w:val="00C47CE2"/>
    <w:rsid w:val="00C577BE"/>
    <w:rsid w:val="00C629E4"/>
    <w:rsid w:val="00C6358C"/>
    <w:rsid w:val="00C80409"/>
    <w:rsid w:val="00C9588C"/>
    <w:rsid w:val="00CB0FEA"/>
    <w:rsid w:val="00CC2765"/>
    <w:rsid w:val="00CE2C99"/>
    <w:rsid w:val="00CE6008"/>
    <w:rsid w:val="00CE7231"/>
    <w:rsid w:val="00CF402F"/>
    <w:rsid w:val="00D0112A"/>
    <w:rsid w:val="00D04884"/>
    <w:rsid w:val="00D12C2B"/>
    <w:rsid w:val="00D70A23"/>
    <w:rsid w:val="00D775D9"/>
    <w:rsid w:val="00D86104"/>
    <w:rsid w:val="00DB6AA5"/>
    <w:rsid w:val="00DC0105"/>
    <w:rsid w:val="00E072C0"/>
    <w:rsid w:val="00E14E48"/>
    <w:rsid w:val="00E246F6"/>
    <w:rsid w:val="00E24AAC"/>
    <w:rsid w:val="00E35144"/>
    <w:rsid w:val="00E4677F"/>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    <w:rsid w:val="00F267CF"/>
    <w:rsid w:val="00F425F5"/>
    <w:rsid w:val="00F52E9D"/>
    <w:rsid w:val="00F548D2"/>
    <w:rsid w:val="00F54FF0"/>
    <w:rsid w:val="00F551F2"/>
    <w:rsid w:val="00F73C32"/>
    <w:rsid w:val="00F75CBE"/>
    <w:rsid w:val="00FA249A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2C9BDE"/>
  <w15:docId w15:val="{21C6D3D3-C40B-461E-9EAE-ADC85C8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2CEC"/>
    <w:pPr>
      <w:keepNext/>
      <w:numPr>
        <w:numId w:val="6"/>
      </w:numPr>
      <w:suppressAutoHyphens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2CE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4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7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F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02F"/>
    <w:rPr>
      <w:rFonts w:ascii="Segoe UI" w:hAnsi="Segoe UI" w:cs="Segoe UI"/>
      <w:sz w:val="18"/>
      <w:szCs w:val="18"/>
      <w:lang w:eastAsia="ar-SA" w:bidi="ar-SA"/>
    </w:rPr>
  </w:style>
  <w:style w:type="paragraph" w:customStyle="1" w:styleId="Punkt">
    <w:name w:val="Punkt"/>
    <w:basedOn w:val="Tekstpodstawowy"/>
    <w:uiPriority w:val="99"/>
    <w:rsid w:val="006D2CEC"/>
    <w:pPr>
      <w:numPr>
        <w:ilvl w:val="1"/>
        <w:numId w:val="6"/>
      </w:numPr>
      <w:tabs>
        <w:tab w:val="clear" w:pos="2629"/>
        <w:tab w:val="num" w:pos="360"/>
        <w:tab w:val="num" w:pos="1419"/>
      </w:tabs>
      <w:suppressAutoHyphens w:val="0"/>
      <w:spacing w:after="160"/>
      <w:ind w:left="1419" w:firstLine="0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uiPriority w:val="99"/>
    <w:rsid w:val="006D2CEC"/>
    <w:pPr>
      <w:numPr>
        <w:ilvl w:val="3"/>
      </w:numPr>
      <w:tabs>
        <w:tab w:val="clear" w:pos="1134"/>
        <w:tab w:val="num" w:pos="360"/>
      </w:tabs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D2C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2C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1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0112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366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DB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27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44"/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F51F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msonormal">
    <w:name w:val="x_msonormal"/>
    <w:basedOn w:val="Normalny"/>
    <w:rsid w:val="00D0488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427C-C056-41EF-842B-CCBA90B9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2741</Words>
  <Characters>18078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PGrzeszczak</dc:creator>
  <cp:keywords/>
  <dc:description/>
  <cp:lastModifiedBy>Tomasz Lulka</cp:lastModifiedBy>
  <cp:revision>5</cp:revision>
  <cp:lastPrinted>2020-06-08T05:52:00Z</cp:lastPrinted>
  <dcterms:created xsi:type="dcterms:W3CDTF">2020-06-04T10:11:00Z</dcterms:created>
  <dcterms:modified xsi:type="dcterms:W3CDTF">2020-06-08T11:13:00Z</dcterms:modified>
</cp:coreProperties>
</file>