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6E" w:rsidRPr="00652B56" w:rsidRDefault="00C7136E" w:rsidP="00C7136E">
      <w:pPr>
        <w:spacing w:after="0" w:line="240" w:lineRule="auto"/>
        <w:rPr>
          <w:rFonts w:asciiTheme="minorHAnsi" w:hAnsiTheme="minorHAnsi"/>
          <w:bCs/>
        </w:rPr>
      </w:pPr>
      <w:r w:rsidRPr="00652B56">
        <w:rPr>
          <w:rFonts w:asciiTheme="minorHAnsi" w:hAnsiTheme="minorHAnsi"/>
          <w:bCs/>
        </w:rPr>
        <w:t>Załącznik nr 5 do SWZ</w:t>
      </w:r>
    </w:p>
    <w:p w:rsidR="00C7136E" w:rsidRDefault="00C7136E" w:rsidP="00C7136E">
      <w:pPr>
        <w:spacing w:after="0" w:line="240" w:lineRule="auto"/>
        <w:rPr>
          <w:rFonts w:asciiTheme="minorHAnsi" w:hAnsiTheme="minorHAnsi"/>
          <w:bCs/>
          <w:sz w:val="22"/>
          <w:szCs w:val="22"/>
        </w:rPr>
      </w:pPr>
    </w:p>
    <w:p w:rsidR="00C7136E" w:rsidRPr="000872E3" w:rsidRDefault="00C7136E" w:rsidP="00C7136E">
      <w:pPr>
        <w:spacing w:before="240" w:after="0"/>
        <w:jc w:val="right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Załącznik nr 14 Polityki Ochrony Danych Osobowych</w:t>
      </w:r>
    </w:p>
    <w:p w:rsidR="00C7136E" w:rsidRPr="000872E3" w:rsidRDefault="00C7136E" w:rsidP="00C7136E">
      <w:pPr>
        <w:spacing w:before="240" w:after="0"/>
        <w:jc w:val="center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UMOWA POWIERZENIA PRZETWARZANIA DANYCH OSOBOWYCH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zawarta w Kielcach w dniu ………… roku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pomiędzy:</w:t>
      </w:r>
    </w:p>
    <w:p w:rsidR="00C7136E" w:rsidRPr="000872E3" w:rsidRDefault="00C7136E" w:rsidP="00C7136E">
      <w:pPr>
        <w:spacing w:after="0" w:line="240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Świętokrzyskie Centrum Onkologii Samodzielny Publiczny Zakład Opieki Zdrowotnej</w:t>
      </w:r>
    </w:p>
    <w:p w:rsidR="00C7136E" w:rsidRPr="000872E3" w:rsidRDefault="00C7136E" w:rsidP="00C7136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0872E3">
        <w:rPr>
          <w:rFonts w:asciiTheme="minorHAnsi" w:hAnsiTheme="minorHAnsi" w:cs="Calibri"/>
        </w:rPr>
        <w:t xml:space="preserve">ul. Stefana Artwińskiego 3, 25-734 Kielce, KRS: 0000004015, NIP: 9591294907, REGON: 001263233, </w:t>
      </w:r>
      <w:r w:rsidRPr="000872E3">
        <w:rPr>
          <w:rFonts w:asciiTheme="minorHAnsi" w:hAnsiTheme="minorHAnsi"/>
        </w:rPr>
        <w:t xml:space="preserve">reprezentowanym przez: </w:t>
      </w:r>
    </w:p>
    <w:p w:rsidR="00C7136E" w:rsidRPr="000872E3" w:rsidRDefault="00C7136E" w:rsidP="00C7136E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Agnieszkę Syskę – Z-</w:t>
      </w:r>
      <w:proofErr w:type="spellStart"/>
      <w:r>
        <w:rPr>
          <w:rFonts w:asciiTheme="minorHAnsi" w:hAnsiTheme="minorHAnsi"/>
        </w:rPr>
        <w:t>cę</w:t>
      </w:r>
      <w:proofErr w:type="spellEnd"/>
      <w:r w:rsidRPr="000872E3">
        <w:rPr>
          <w:rFonts w:asciiTheme="minorHAnsi" w:hAnsiTheme="minorHAnsi"/>
        </w:rPr>
        <w:t xml:space="preserve"> Dyr. Ds. Finansowo- Administracyjnych </w:t>
      </w:r>
    </w:p>
    <w:p w:rsidR="00C7136E" w:rsidRDefault="00C7136E" w:rsidP="00C7136E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/>
        </w:rPr>
        <w:t>2. Wiolettę Krupę – Główną Księgową</w:t>
      </w:r>
      <w:r w:rsidRPr="000872E3">
        <w:rPr>
          <w:rFonts w:asciiTheme="minorHAnsi" w:hAnsiTheme="minorHAnsi" w:cs="Calibri"/>
        </w:rPr>
        <w:t xml:space="preserve"> </w:t>
      </w:r>
    </w:p>
    <w:p w:rsidR="00C7136E" w:rsidRPr="000872E3" w:rsidRDefault="00C7136E" w:rsidP="00C7136E">
      <w:pPr>
        <w:spacing w:after="0" w:line="240" w:lineRule="auto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zwanym dalej „Administratorem”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a </w:t>
      </w:r>
    </w:p>
    <w:p w:rsidR="00C7136E" w:rsidRPr="000872E3" w:rsidRDefault="00C7136E" w:rsidP="00C7136E">
      <w:pPr>
        <w:spacing w:before="240" w:after="0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………………………., </w:t>
      </w:r>
      <w:r w:rsidRPr="000872E3">
        <w:rPr>
          <w:rFonts w:asciiTheme="minorHAnsi" w:hAnsiTheme="minorHAnsi" w:cs="Calibri"/>
        </w:rPr>
        <w:br/>
        <w:t xml:space="preserve">…………………………………., </w:t>
      </w:r>
      <w:r w:rsidRPr="000872E3">
        <w:rPr>
          <w:rFonts w:asciiTheme="minorHAnsi" w:hAnsiTheme="minorHAnsi" w:cs="Calibri"/>
        </w:rPr>
        <w:br/>
        <w:t xml:space="preserve">KRS: ……………………, NIP: …………………….., REGON: ……………………., </w:t>
      </w:r>
      <w:r w:rsidRPr="000872E3">
        <w:rPr>
          <w:rFonts w:asciiTheme="minorHAnsi" w:hAnsiTheme="minorHAnsi" w:cs="Calibri"/>
        </w:rPr>
        <w:br/>
        <w:t>reprezentowanym przez …………………………..,</w:t>
      </w:r>
      <w:r w:rsidRPr="000872E3">
        <w:rPr>
          <w:rFonts w:asciiTheme="minorHAnsi" w:hAnsiTheme="minorHAnsi" w:cs="Calibri"/>
        </w:rPr>
        <w:br/>
        <w:t>zwanym dalej „Przetwarzającym”</w:t>
      </w:r>
      <w:r w:rsidRPr="000872E3">
        <w:rPr>
          <w:rFonts w:asciiTheme="minorHAnsi" w:hAnsiTheme="minorHAnsi" w:cs="Calibri"/>
        </w:rPr>
        <w:br/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 xml:space="preserve">DEFINICJE 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Dla potrzeb niniejszej umowy, Administrator i Przetwarzający ustalają następujące znaczenie niżej wymienionych pojęć:</w:t>
      </w:r>
    </w:p>
    <w:p w:rsidR="00C7136E" w:rsidRPr="000872E3" w:rsidRDefault="00C7136E" w:rsidP="00C7136E">
      <w:pPr>
        <w:numPr>
          <w:ilvl w:val="0"/>
          <w:numId w:val="2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  <w:b/>
        </w:rPr>
        <w:t>Umowa Powierzenia</w:t>
      </w:r>
      <w:r w:rsidRPr="000872E3">
        <w:rPr>
          <w:rFonts w:asciiTheme="minorHAnsi" w:hAnsiTheme="minorHAnsi" w:cs="Calibri"/>
        </w:rPr>
        <w:t xml:space="preserve"> – niniejsza umowa;</w:t>
      </w:r>
    </w:p>
    <w:p w:rsidR="00C7136E" w:rsidRPr="000872E3" w:rsidRDefault="00C7136E" w:rsidP="00C7136E">
      <w:pPr>
        <w:numPr>
          <w:ilvl w:val="0"/>
          <w:numId w:val="2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  <w:b/>
        </w:rPr>
        <w:t xml:space="preserve">Umowa Główna </w:t>
      </w:r>
      <w:r w:rsidRPr="000872E3">
        <w:rPr>
          <w:rFonts w:asciiTheme="minorHAnsi" w:hAnsiTheme="minorHAnsi" w:cs="Calibri"/>
        </w:rPr>
        <w:t xml:space="preserve">– ………………… z dnia …………….. na okres </w:t>
      </w:r>
      <w:r w:rsidR="00E83A69">
        <w:rPr>
          <w:rFonts w:asciiTheme="minorHAnsi" w:hAnsiTheme="minorHAnsi" w:cs="Calibri"/>
        </w:rPr>
        <w:t>24</w:t>
      </w:r>
      <w:bookmarkStart w:id="0" w:name="_GoBack"/>
      <w:bookmarkEnd w:id="0"/>
      <w:r>
        <w:rPr>
          <w:rFonts w:asciiTheme="minorHAnsi" w:hAnsiTheme="minorHAnsi" w:cs="Calibri"/>
        </w:rPr>
        <w:t xml:space="preserve"> </w:t>
      </w:r>
      <w:r w:rsidRPr="000872E3">
        <w:rPr>
          <w:rFonts w:asciiTheme="minorHAnsi" w:hAnsiTheme="minorHAnsi" w:cs="Calibri"/>
        </w:rPr>
        <w:t>m-</w:t>
      </w:r>
      <w:proofErr w:type="spellStart"/>
      <w:r w:rsidRPr="000872E3">
        <w:rPr>
          <w:rFonts w:asciiTheme="minorHAnsi" w:hAnsiTheme="minorHAnsi" w:cs="Calibri"/>
        </w:rPr>
        <w:t>cy</w:t>
      </w:r>
      <w:proofErr w:type="spellEnd"/>
      <w:r w:rsidRPr="000872E3">
        <w:rPr>
          <w:rFonts w:asciiTheme="minorHAnsi" w:hAnsiTheme="minorHAnsi" w:cs="Calibri"/>
        </w:rPr>
        <w:t xml:space="preserve"> [umowa, w związku z którą zawierana jest umowa powierzenia – przetwarzanie danych jest konieczne do wykonania Umowy Głównej]</w:t>
      </w:r>
    </w:p>
    <w:p w:rsidR="00C7136E" w:rsidRPr="000872E3" w:rsidRDefault="00C7136E" w:rsidP="00C7136E">
      <w:pPr>
        <w:numPr>
          <w:ilvl w:val="0"/>
          <w:numId w:val="2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  <w:b/>
        </w:rPr>
        <w:t xml:space="preserve">RODO  </w:t>
      </w:r>
      <w:r w:rsidRPr="000872E3">
        <w:rPr>
          <w:rFonts w:asciiTheme="minorHAnsi" w:hAnsiTheme="minorHAnsi" w:cs="Calibri"/>
        </w:rPr>
        <w:t xml:space="preserve">- rozporządzenie Parlamentu Europejskiego i Rady (UE) 2016/679 z dnia 27 kwietnia 2016 r.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sprawie ochrony osób fizycznych w związku z przetwarzaniem danych osobowych </w:t>
      </w:r>
      <w:r w:rsidRPr="000872E3">
        <w:rPr>
          <w:rFonts w:asciiTheme="minorHAnsi" w:hAnsiTheme="minorHAnsi" w:cs="Calibri"/>
        </w:rPr>
        <w:br/>
        <w:t>i w sprawie swobodnego przepływu takich danych oraz uchylenia dyrektywy 95/46/WE (ogólne rozporządzenie o ochronie danych) (Dz. U. UE. L. z 2016 r. Nr 119, str. 1).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OŚWIADCZENIA STRON</w:t>
      </w:r>
    </w:p>
    <w:p w:rsidR="00C7136E" w:rsidRPr="000872E3" w:rsidRDefault="00C7136E" w:rsidP="002A732F">
      <w:pPr>
        <w:tabs>
          <w:tab w:val="num" w:pos="720"/>
        </w:tabs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Strony oświadczają, że niniejsza Umowa Powierzenia została zawarta w celu wykonania obowiązków, o których mowa w art. 28 RODO w związku z zawarciem Umowy Głównej.</w:t>
      </w:r>
    </w:p>
    <w:p w:rsidR="00C7136E" w:rsidRPr="000872E3" w:rsidRDefault="00C7136E" w:rsidP="002A732F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 xml:space="preserve">PRZEDMIOT UMOWY </w:t>
      </w:r>
    </w:p>
    <w:p w:rsidR="00C7136E" w:rsidRPr="000872E3" w:rsidRDefault="00C7136E" w:rsidP="002A732F">
      <w:pPr>
        <w:numPr>
          <w:ilvl w:val="1"/>
          <w:numId w:val="9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:rsidR="00C7136E" w:rsidRDefault="00C7136E" w:rsidP="002A732F">
      <w:pPr>
        <w:numPr>
          <w:ilvl w:val="1"/>
          <w:numId w:val="9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może przetwarzać dane osobowe wyłącznie w zakresie i celu przewidzianym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Umowie Powierzenia, oraz zgodnie z innymi udokumentowanymi poleceniami Administratora, przy </w:t>
      </w:r>
      <w:r w:rsidRPr="000872E3">
        <w:rPr>
          <w:rFonts w:asciiTheme="minorHAnsi" w:hAnsiTheme="minorHAnsi" w:cs="Calibri"/>
        </w:rPr>
        <w:lastRenderedPageBreak/>
        <w:t xml:space="preserve">czym za takie udokumentowane polecenia uważa się postanowienia Umowy Powierzenia oraz ewentualne inne polecenia przekazywane przez Administratora drogą elektroniczną na adres </w:t>
      </w:r>
      <w:r w:rsidRPr="000872E3">
        <w:rPr>
          <w:rFonts w:asciiTheme="minorHAnsi" w:hAnsiTheme="minorHAnsi"/>
        </w:rPr>
        <w:t>……………………………………….</w:t>
      </w:r>
      <w:r w:rsidRPr="000872E3">
        <w:rPr>
          <w:rFonts w:asciiTheme="minorHAnsi" w:hAnsiTheme="minorHAnsi" w:cs="Calibri"/>
        </w:rPr>
        <w:t>lub na piśmie. Udokumentowanym poleceniem jest w szczególności zapotrzebowanie na wykonanie usług zgłaszane w ramach Umowy Głównej, co dotyczy w  szczególności zgłoszeń w udostępnianych przez Przetwarzającego systemach obsługi zgłoszeń oraz zgłoszeń dokonywanych telefonicznie, a także zgłoszeń przesyłanych przez automatyczne systemy monitorujące.</w:t>
      </w:r>
    </w:p>
    <w:p w:rsidR="00C7136E" w:rsidRPr="000872E3" w:rsidRDefault="00C7136E" w:rsidP="00C7136E">
      <w:pPr>
        <w:spacing w:before="240"/>
        <w:ind w:left="720"/>
        <w:jc w:val="both"/>
        <w:rPr>
          <w:rFonts w:asciiTheme="minorHAnsi" w:hAnsiTheme="minorHAnsi" w:cs="Calibri"/>
        </w:rPr>
      </w:pP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CEL, ZAKRES I CHARAKTER PRZETWARZANIA</w:t>
      </w:r>
    </w:p>
    <w:p w:rsidR="00C7136E" w:rsidRPr="000872E3" w:rsidRDefault="00C7136E" w:rsidP="00C7136E">
      <w:pPr>
        <w:numPr>
          <w:ilvl w:val="0"/>
          <w:numId w:val="4"/>
        </w:numPr>
        <w:spacing w:before="240" w:line="259" w:lineRule="auto"/>
        <w:jc w:val="both"/>
        <w:rPr>
          <w:rFonts w:asciiTheme="minorHAnsi" w:hAnsiTheme="minorHAnsi" w:cs="Calibri"/>
          <w:vanish/>
        </w:rPr>
      </w:pPr>
    </w:p>
    <w:p w:rsidR="00C7136E" w:rsidRPr="000872E3" w:rsidRDefault="00C7136E" w:rsidP="00C7136E">
      <w:pPr>
        <w:numPr>
          <w:ilvl w:val="0"/>
          <w:numId w:val="4"/>
        </w:numPr>
        <w:spacing w:before="240" w:line="259" w:lineRule="auto"/>
        <w:jc w:val="both"/>
        <w:rPr>
          <w:rFonts w:asciiTheme="minorHAnsi" w:hAnsiTheme="minorHAnsi" w:cs="Calibri"/>
          <w:vanish/>
        </w:rPr>
      </w:pP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zobowiązuje się do przetwarzania danych osobowych następujących kategorii osób, których dane dotyczą, w szczególności:</w:t>
      </w:r>
    </w:p>
    <w:p w:rsidR="00C7136E" w:rsidRPr="000872E3" w:rsidRDefault="00C7136E" w:rsidP="00C7136E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 xml:space="preserve">pracownicy Administratora, </w:t>
      </w:r>
    </w:p>
    <w:p w:rsidR="00C7136E" w:rsidRPr="000872E3" w:rsidRDefault="00C7136E" w:rsidP="00C7136E">
      <w:pPr>
        <w:numPr>
          <w:ilvl w:val="0"/>
          <w:numId w:val="7"/>
        </w:numPr>
        <w:spacing w:before="240" w:after="0" w:line="276" w:lineRule="auto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pacjentów Administratora oraz ich opiekunów lub przedstawicieli ustawowych,</w:t>
      </w: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Zakres powierzonych Przetwarzającemu do przetwarzania danych osobowych obejmuje </w:t>
      </w:r>
      <w:r w:rsidRPr="000872E3">
        <w:rPr>
          <w:rFonts w:asciiTheme="minorHAnsi" w:hAnsiTheme="minorHAnsi" w:cs="Calibri"/>
        </w:rPr>
        <w:br/>
        <w:t>w szczególności:</w:t>
      </w:r>
    </w:p>
    <w:p w:rsidR="00C7136E" w:rsidRPr="000872E3" w:rsidRDefault="00C7136E" w:rsidP="00C7136E">
      <w:pPr>
        <w:spacing w:before="120" w:after="120"/>
        <w:ind w:left="709"/>
        <w:contextualSpacing/>
        <w:jc w:val="both"/>
        <w:rPr>
          <w:rFonts w:asciiTheme="minorHAnsi" w:hAnsiTheme="minorHAnsi"/>
          <w:b/>
        </w:rPr>
      </w:pPr>
      <w:r w:rsidRPr="000872E3">
        <w:rPr>
          <w:rFonts w:asciiTheme="minorHAnsi" w:hAnsiTheme="minorHAnsi"/>
          <w:b/>
        </w:rPr>
        <w:t>a) Dane zwykłe:</w:t>
      </w:r>
    </w:p>
    <w:p w:rsidR="00C7136E" w:rsidRPr="000872E3" w:rsidRDefault="00C7136E" w:rsidP="00C7136E">
      <w:pPr>
        <w:numPr>
          <w:ilvl w:val="2"/>
          <w:numId w:val="5"/>
        </w:numPr>
        <w:spacing w:before="120" w:after="120" w:line="276" w:lineRule="auto"/>
        <w:ind w:left="1440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imię i nazwisko,</w:t>
      </w:r>
    </w:p>
    <w:p w:rsidR="00C7136E" w:rsidRPr="000872E3" w:rsidRDefault="00C7136E" w:rsidP="00C7136E">
      <w:pPr>
        <w:numPr>
          <w:ilvl w:val="2"/>
          <w:numId w:val="5"/>
        </w:numPr>
        <w:spacing w:before="120" w:after="120" w:line="276" w:lineRule="auto"/>
        <w:ind w:left="1440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data urodzenia,</w:t>
      </w:r>
    </w:p>
    <w:p w:rsidR="00C7136E" w:rsidRPr="000872E3" w:rsidRDefault="00C7136E" w:rsidP="00C7136E">
      <w:pPr>
        <w:numPr>
          <w:ilvl w:val="2"/>
          <w:numId w:val="5"/>
        </w:numPr>
        <w:spacing w:before="120" w:after="120" w:line="276" w:lineRule="auto"/>
        <w:ind w:left="1440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>numer PESEL,</w:t>
      </w:r>
    </w:p>
    <w:p w:rsidR="00C7136E" w:rsidRPr="000872E3" w:rsidRDefault="00C7136E" w:rsidP="00C7136E">
      <w:pPr>
        <w:spacing w:before="120" w:after="120"/>
        <w:ind w:left="1560"/>
        <w:contextualSpacing/>
        <w:jc w:val="both"/>
        <w:rPr>
          <w:rFonts w:asciiTheme="minorHAnsi" w:hAnsiTheme="minorHAnsi"/>
        </w:rPr>
      </w:pPr>
    </w:p>
    <w:p w:rsidR="00C7136E" w:rsidRPr="000872E3" w:rsidRDefault="00C7136E" w:rsidP="00C7136E">
      <w:pPr>
        <w:spacing w:before="120" w:after="120"/>
        <w:ind w:left="1134" w:hanging="425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 xml:space="preserve">b) </w:t>
      </w:r>
      <w:r w:rsidRPr="000872E3">
        <w:rPr>
          <w:rFonts w:asciiTheme="minorHAnsi" w:hAnsiTheme="minorHAnsi"/>
          <w:b/>
        </w:rPr>
        <w:t>Dane szczególnych kategorii:</w:t>
      </w:r>
    </w:p>
    <w:p w:rsidR="00C7136E" w:rsidRPr="000872E3" w:rsidRDefault="00C7136E" w:rsidP="00C7136E">
      <w:pPr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Theme="minorHAnsi" w:hAnsiTheme="minorHAnsi"/>
        </w:rPr>
      </w:pPr>
      <w:r w:rsidRPr="000872E3">
        <w:rPr>
          <w:rFonts w:asciiTheme="minorHAnsi" w:hAnsiTheme="minorHAnsi"/>
        </w:rPr>
        <w:t xml:space="preserve">dane dotyczące zdrowia w rozumieniu art. 4 pkt 15 RODO w tym, informacje gromadzone </w:t>
      </w:r>
      <w:r w:rsidR="002A732F">
        <w:rPr>
          <w:rFonts w:asciiTheme="minorHAnsi" w:hAnsiTheme="minorHAnsi"/>
        </w:rPr>
        <w:br/>
      </w:r>
      <w:r w:rsidRPr="000872E3">
        <w:rPr>
          <w:rFonts w:asciiTheme="minorHAnsi" w:hAnsiTheme="minorHAnsi"/>
        </w:rPr>
        <w:t>w dokumentacji medycznej, informacje o stanie zdrowia, diagnozy, stosowane leczenie, opisy i wyniki badań (co obejmuje także zapisane w postaci cyfrowej filmy, badania obrazowe itp.),</w:t>
      </w: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Celem przetwarzania danych osobowych wskazanych w pkt 4.1.-4.2. powyżej jest wykonanie tylko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i wyłącznie Umowy Głównej, jednakże w zakresie nie szerszym niż: </w:t>
      </w:r>
    </w:p>
    <w:p w:rsidR="00C7136E" w:rsidRPr="00367E1D" w:rsidRDefault="00C7136E" w:rsidP="00C7136E">
      <w:pPr>
        <w:ind w:left="720"/>
        <w:jc w:val="both"/>
        <w:rPr>
          <w:rFonts w:asciiTheme="minorHAnsi" w:hAnsiTheme="minorHAnsi" w:cstheme="minorHAnsi"/>
        </w:rPr>
      </w:pPr>
      <w:r w:rsidRPr="00367E1D">
        <w:rPr>
          <w:rFonts w:asciiTheme="minorHAnsi" w:hAnsiTheme="minorHAnsi" w:cstheme="minorHAnsi"/>
          <w:b/>
        </w:rPr>
        <w:t xml:space="preserve">- </w:t>
      </w:r>
      <w:r w:rsidR="00367E1D" w:rsidRPr="00367E1D">
        <w:rPr>
          <w:rFonts w:asciiTheme="minorHAnsi" w:hAnsiTheme="minorHAnsi" w:cstheme="minorHAnsi"/>
          <w:b/>
          <w:bCs/>
        </w:rPr>
        <w:t>Dzierżawa systemu wraz z wyposażeniem dodatkowym do wykonywania preparatów  techniką cytologii na podłożu płynnym dla Zakładu Patologii Nowotworów Świętokrzyskiego Centrum Onkologii w Kielcach.</w:t>
      </w:r>
    </w:p>
    <w:p w:rsidR="00C7136E" w:rsidRPr="000872E3" w:rsidRDefault="00C7136E" w:rsidP="00C7136E">
      <w:pPr>
        <w:ind w:left="72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</w:t>
      </w:r>
      <w:r w:rsidRPr="000872E3" w:rsidDel="00544752">
        <w:rPr>
          <w:rFonts w:asciiTheme="minorHAnsi" w:hAnsiTheme="minorHAnsi" w:cs="Calibri"/>
        </w:rPr>
        <w:t xml:space="preserve"> </w:t>
      </w:r>
      <w:r w:rsidRPr="000872E3">
        <w:rPr>
          <w:rFonts w:asciiTheme="minorHAnsi" w:hAnsiTheme="minorHAnsi" w:cs="Calibri"/>
        </w:rPr>
        <w:t>zobowiązuje się do przetwarzania danych osobowych w sposób stały. Przetwarzający</w:t>
      </w:r>
      <w:r w:rsidRPr="000872E3" w:rsidDel="00544752">
        <w:rPr>
          <w:rFonts w:asciiTheme="minorHAnsi" w:hAnsiTheme="minorHAnsi" w:cs="Calibri"/>
        </w:rPr>
        <w:t xml:space="preserve"> </w:t>
      </w:r>
      <w:r w:rsidRPr="000872E3">
        <w:rPr>
          <w:rFonts w:asciiTheme="minorHAnsi" w:hAnsiTheme="minorHAnsi" w:cs="Calibri"/>
        </w:rPr>
        <w:t xml:space="preserve">będzie wykonywał następujące operacje dotyczące powierzonych danych osobowych w szczególności: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gromadzenie,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przechowywanie,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utrwalanie, 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opracowywanie,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zmienianie,</w:t>
      </w:r>
    </w:p>
    <w:p w:rsidR="00C7136E" w:rsidRPr="000872E3" w:rsidRDefault="00C7136E" w:rsidP="00C7136E">
      <w:pPr>
        <w:numPr>
          <w:ilvl w:val="0"/>
          <w:numId w:val="8"/>
        </w:numPr>
        <w:spacing w:before="120" w:after="120" w:line="240" w:lineRule="auto"/>
        <w:ind w:left="2154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przeglądanie.</w:t>
      </w:r>
    </w:p>
    <w:p w:rsidR="00C7136E" w:rsidRPr="000872E3" w:rsidRDefault="00C7136E" w:rsidP="00C7136E">
      <w:pPr>
        <w:ind w:left="144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Dane osobowe będą przez Przetwarzającego przetwarzane w formie elektronicznej </w:t>
      </w:r>
      <w:r w:rsidRPr="000872E3">
        <w:rPr>
          <w:rFonts w:asciiTheme="minorHAnsi" w:hAnsiTheme="minorHAnsi" w:cs="Calibri"/>
        </w:rPr>
        <w:br/>
        <w:t>w systemach informatycznych oraz w formie papierowej.</w:t>
      </w:r>
    </w:p>
    <w:p w:rsidR="00C7136E" w:rsidRPr="000872E3" w:rsidRDefault="00C7136E" w:rsidP="00C7136E">
      <w:pPr>
        <w:numPr>
          <w:ilvl w:val="1"/>
          <w:numId w:val="4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będzie zbierał/otrzymywał dane osobowe od administratora dostarczane mu w wersji elektronicznej i/lub papierowej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lastRenderedPageBreak/>
        <w:t>ZASADY POWIERZENIA PRZETWARZANIA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Przed rozpoczęciem przetwarzania danych osobowych Przetwarzający musi podjąć środki zabezpieczające dane osobowe, o których mowa w art. 32 RODO, a w szczególności:</w:t>
      </w:r>
    </w:p>
    <w:p w:rsidR="00C7136E" w:rsidRPr="000872E3" w:rsidRDefault="00C7136E" w:rsidP="00C7136E">
      <w:pPr>
        <w:numPr>
          <w:ilvl w:val="1"/>
          <w:numId w:val="1"/>
        </w:numPr>
        <w:tabs>
          <w:tab w:val="clear" w:pos="1440"/>
          <w:tab w:val="num" w:pos="1260"/>
        </w:tabs>
        <w:spacing w:before="240" w:line="259" w:lineRule="auto"/>
        <w:ind w:left="1134" w:hanging="425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porozumieniu z administratorem, </w:t>
      </w:r>
    </w:p>
    <w:p w:rsidR="00C7136E" w:rsidRPr="000872E3" w:rsidRDefault="00C7136E" w:rsidP="00C7136E">
      <w:pPr>
        <w:numPr>
          <w:ilvl w:val="1"/>
          <w:numId w:val="1"/>
        </w:numPr>
        <w:tabs>
          <w:tab w:val="clear" w:pos="1440"/>
          <w:tab w:val="num" w:pos="1260"/>
        </w:tabs>
        <w:spacing w:before="240" w:line="259" w:lineRule="auto"/>
        <w:ind w:left="1134" w:hanging="425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:rsidR="00C7136E" w:rsidRPr="000872E3" w:rsidRDefault="00C7136E" w:rsidP="00C7136E">
      <w:pPr>
        <w:numPr>
          <w:ilvl w:val="1"/>
          <w:numId w:val="1"/>
        </w:numPr>
        <w:tabs>
          <w:tab w:val="clear" w:pos="1440"/>
          <w:tab w:val="num" w:pos="1260"/>
        </w:tabs>
        <w:spacing w:before="240" w:line="259" w:lineRule="auto"/>
        <w:ind w:left="1134" w:hanging="425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DALSZE OBOWIĄZKI PRZETWARZAJĄCEGO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zobowiązuje się pomagać Administratorowi w wywiązywaniu się z obowiązków określonych w art. 32-36 RODO. 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W sytuacji podejrzenia naruszenia ochrony danych osobowych, Przetwarzający zobowiązuje się do:</w:t>
      </w:r>
    </w:p>
    <w:p w:rsidR="00C7136E" w:rsidRPr="000872E3" w:rsidRDefault="00C7136E" w:rsidP="00C7136E">
      <w:pPr>
        <w:numPr>
          <w:ilvl w:val="2"/>
          <w:numId w:val="3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przekazania Administratorowi informacji dotyczących naruszenia ochrony danych osobowych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>w ciągu 24 godzin od jego wykrycia, w tym informacji, o których mowa w art. 33 ust. 3 RODO,</w:t>
      </w:r>
    </w:p>
    <w:p w:rsidR="00C7136E" w:rsidRPr="000872E3" w:rsidRDefault="00C7136E" w:rsidP="00C7136E">
      <w:pPr>
        <w:numPr>
          <w:ilvl w:val="2"/>
          <w:numId w:val="3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przeprowadzenia wstępnej analizy ryzyka naruszenia praw i wolności osób, których dane dotyczą, i przekazania wyników tej analizy do Administratora w ciągu 36 godzin od wykrycia zdarzenia stanowiącego naruszenie ochrony danych osobowych,</w:t>
      </w:r>
    </w:p>
    <w:p w:rsidR="00C7136E" w:rsidRPr="000872E3" w:rsidRDefault="00C7136E" w:rsidP="00C7136E">
      <w:pPr>
        <w:numPr>
          <w:ilvl w:val="2"/>
          <w:numId w:val="3"/>
        </w:numPr>
        <w:spacing w:before="240" w:line="259" w:lineRule="auto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przekazania Administratorowi – na jego żądanie – wszystkich informacji niezbędnych </w:t>
      </w:r>
      <w:r w:rsidRPr="000872E3">
        <w:rPr>
          <w:rFonts w:asciiTheme="minorHAnsi" w:hAnsiTheme="minorHAnsi" w:cs="Calibri"/>
        </w:rPr>
        <w:br/>
        <w:t>do zawiadomienia osoby, której dane dotyczą, zgodnie z art. 34 ust. 3 RODO, w ciągu 48 godzin od wykrycia zdarzenia stanowiącego naruszenie ochrony danych osobowych.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Przetwarzający zobowiązuje się pomagać Administratorowi poprzez odpowiednie środki techniczne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>i organizacyjne, w wywiązywaniu się z obowiązku odpowiadania na żądania osób, których dane dotyczą, 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lastRenderedPageBreak/>
        <w:t xml:space="preserve">Przetwarzający zobowiązuje się do niezwłocznego poinformowania Administratora o jakimkolwiek postępowaniu, </w:t>
      </w:r>
      <w:r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2A732F">
        <w:rPr>
          <w:rFonts w:asciiTheme="minorHAnsi" w:hAnsiTheme="minorHAnsi" w:cs="Calibri"/>
        </w:rPr>
        <w:br/>
      </w:r>
      <w:r w:rsidRPr="000872E3">
        <w:rPr>
          <w:rFonts w:asciiTheme="minorHAnsi" w:hAnsiTheme="minorHAnsi" w:cs="Calibri"/>
        </w:rPr>
        <w:t xml:space="preserve">a także o wszelkich kontrolach i inspekcjach dotyczących przetwarzania powierzonych danych osobowych przez Przetwarzającego, w szczególności prowadzonych przez organ nadzorczy. 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PODPOWIERZENIE PRZETWARZANIA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Administrator dopuszcza możliwość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przetwarzania powierzonych danych osobowych podwykonawcom Przetwarzającego (tzw. </w:t>
      </w:r>
      <w:proofErr w:type="spellStart"/>
      <w:r w:rsidRPr="000872E3">
        <w:rPr>
          <w:rFonts w:asciiTheme="minorHAnsi" w:hAnsiTheme="minorHAnsi" w:cs="Calibri"/>
        </w:rPr>
        <w:t>subprocesorom</w:t>
      </w:r>
      <w:proofErr w:type="spellEnd"/>
      <w:r w:rsidRPr="000872E3">
        <w:rPr>
          <w:rFonts w:asciiTheme="minorHAnsi" w:hAnsiTheme="minorHAnsi" w:cs="Calibri"/>
        </w:rPr>
        <w:t xml:space="preserve">). Jeżeli Przetwarzający zamierza </w:t>
      </w:r>
      <w:proofErr w:type="spellStart"/>
      <w:r w:rsidRPr="000872E3">
        <w:rPr>
          <w:rFonts w:asciiTheme="minorHAnsi" w:hAnsiTheme="minorHAnsi" w:cs="Calibri"/>
        </w:rPr>
        <w:t>podpowierzyć</w:t>
      </w:r>
      <w:proofErr w:type="spellEnd"/>
      <w:r w:rsidRPr="000872E3">
        <w:rPr>
          <w:rFonts w:asciiTheme="minorHAnsi" w:hAnsiTheme="minorHAnsi" w:cs="Calibri"/>
        </w:rPr>
        <w:t xml:space="preserve"> przetwarzanie danych osobowych swoim podwykonawcom, musi uprzednio poinformować Administratora o zamiarze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oraz o tożsamości (nazwie) podmiotu, któremu ma zamiar </w:t>
      </w:r>
      <w:proofErr w:type="spellStart"/>
      <w:r w:rsidRPr="000872E3">
        <w:rPr>
          <w:rFonts w:asciiTheme="minorHAnsi" w:hAnsiTheme="minorHAnsi" w:cs="Calibri"/>
        </w:rPr>
        <w:t>podpowierzyć</w:t>
      </w:r>
      <w:proofErr w:type="spellEnd"/>
      <w:r w:rsidRPr="000872E3">
        <w:rPr>
          <w:rFonts w:asciiTheme="minorHAnsi" w:hAnsiTheme="minorHAnsi" w:cs="Calibri"/>
        </w:rPr>
        <w:t xml:space="preserve"> przetwarzanie danych, a także o charakterze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, zakresie danych, celu i czasie trwania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. O ile Administrator nie wyrazi sprzeciwu wobec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w terminie 7 dni od daty zawiadomienia, Przetwarzający uprawniony będzie do dokonania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. 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W przypadku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przetwarzania danych osobowych, </w:t>
      </w:r>
      <w:proofErr w:type="spellStart"/>
      <w:r w:rsidRPr="000872E3">
        <w:rPr>
          <w:rFonts w:asciiTheme="minorHAnsi" w:hAnsiTheme="minorHAnsi" w:cs="Calibri"/>
        </w:rPr>
        <w:t>podpowierzenie</w:t>
      </w:r>
      <w:proofErr w:type="spellEnd"/>
      <w:r w:rsidRPr="000872E3">
        <w:rPr>
          <w:rFonts w:asciiTheme="minorHAnsi" w:hAnsiTheme="minorHAnsi" w:cs="Calibri"/>
        </w:rPr>
        <w:t xml:space="preserve"> przetwarzania będzie mieć za podstawę umowę, na podstawie której podwykonawca (</w:t>
      </w:r>
      <w:proofErr w:type="spellStart"/>
      <w:r w:rsidRPr="000872E3">
        <w:rPr>
          <w:rFonts w:asciiTheme="minorHAnsi" w:hAnsiTheme="minorHAnsi" w:cs="Calibri"/>
        </w:rPr>
        <w:t>subprocesor</w:t>
      </w:r>
      <w:proofErr w:type="spellEnd"/>
      <w:r w:rsidRPr="000872E3">
        <w:rPr>
          <w:rFonts w:asciiTheme="minorHAnsi" w:hAnsiTheme="minorHAnsi" w:cs="Calibri"/>
        </w:rPr>
        <w:t>) zobowiąże się do wykonywania tych samych obowiązków, które na mocy niniejszej Umowy Powierzenia nałożone są na Przetwarzającego. Umowa będzie zawarta w tej same formie co niniejsza Umowa Powierzenia.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 xml:space="preserve">Administratorowi będą przysługiwały uprawnienia wynikające z umowy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 xml:space="preserve"> bezpośrednio wobec podwykonawcy (</w:t>
      </w:r>
      <w:proofErr w:type="spellStart"/>
      <w:r w:rsidRPr="000872E3">
        <w:rPr>
          <w:rFonts w:asciiTheme="minorHAnsi" w:hAnsiTheme="minorHAnsi" w:cs="Calibri"/>
        </w:rPr>
        <w:t>subprocesora</w:t>
      </w:r>
      <w:proofErr w:type="spellEnd"/>
      <w:r w:rsidRPr="000872E3">
        <w:rPr>
          <w:rFonts w:asciiTheme="minorHAnsi" w:hAnsiTheme="minorHAnsi" w:cs="Calibri"/>
        </w:rPr>
        <w:t xml:space="preserve">). W przypadku wypowiedzenia lub rozwiązania umowy </w:t>
      </w:r>
      <w:proofErr w:type="spellStart"/>
      <w:r w:rsidRPr="000872E3">
        <w:rPr>
          <w:rFonts w:asciiTheme="minorHAnsi" w:hAnsiTheme="minorHAnsi" w:cs="Calibri"/>
        </w:rPr>
        <w:t>podpowierzenia</w:t>
      </w:r>
      <w:proofErr w:type="spellEnd"/>
      <w:r w:rsidRPr="000872E3">
        <w:rPr>
          <w:rFonts w:asciiTheme="minorHAnsi" w:hAnsiTheme="minorHAnsi" w:cs="Calibri"/>
        </w:rPr>
        <w:t>, Przetwarzający poinformuje o tym fakcie Administratora w terminie 3 dni od wypowiedzenia lub rozwiązania umowy.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nie może przekazywać powierzonych mu przetwarzania danych osobowych do podmiotów znajdujących się w państwach spoza Europejskiego Obszaru Gospodarczego.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AUDYT PRZETWARZAJĄCEGO</w:t>
      </w:r>
    </w:p>
    <w:p w:rsidR="00C7136E" w:rsidRPr="000872E3" w:rsidRDefault="00C7136E" w:rsidP="00C7136E">
      <w:pPr>
        <w:numPr>
          <w:ilvl w:val="1"/>
          <w:numId w:val="3"/>
        </w:numPr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Przetwarzający zobowiązuje się niezwłocznie informować Administratora, jeżeli zdaniem Przetwarzającego wydane jemu polecenie stanowi naruszenie RODO lub innych przepisów o ochronie danych.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ZAKOŃCZENIE POWIERZENIA PRZETWARZANIA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:rsidR="00C7136E" w:rsidRPr="000872E3" w:rsidRDefault="00C7136E" w:rsidP="00C7136E">
      <w:pPr>
        <w:numPr>
          <w:ilvl w:val="0"/>
          <w:numId w:val="3"/>
        </w:numPr>
        <w:spacing w:before="240" w:line="259" w:lineRule="auto"/>
        <w:jc w:val="both"/>
        <w:rPr>
          <w:rFonts w:asciiTheme="minorHAnsi" w:hAnsiTheme="minorHAnsi" w:cs="Calibri"/>
          <w:b/>
        </w:rPr>
      </w:pPr>
      <w:r w:rsidRPr="000872E3">
        <w:rPr>
          <w:rFonts w:asciiTheme="minorHAnsi" w:hAnsiTheme="minorHAnsi" w:cs="Calibri"/>
          <w:b/>
        </w:rPr>
        <w:t>POSTANOWIENIA KOŃCOWE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lastRenderedPageBreak/>
        <w:t>Umowa została sporządzona w dwóch jednobrzmiących egzemplarzach dla każdej ze stron.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W sprawach nieuregulowanych zastosowanie będą miały przepisy Kodeksu cywilnego oraz Rozporządzenia.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Sądem właściwym dla rozpatrzenia sporów wynikających z niniejszej umowy będzie sąd właściwy dla Administratora.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Zapisy niniejszej umowy uchylają wszelkie dotychczasowe postanowienia umowy powierzenia przetwarzania danych osobowych (niniejszy zapis dotyczy wyłącznie Przetwarzających, z którymi Administrator zawarł umowy powierzenia przetwarzania danych osobowych przed dniem 25.05.2018)</w:t>
      </w:r>
    </w:p>
    <w:p w:rsidR="00C7136E" w:rsidRPr="000872E3" w:rsidRDefault="00C7136E" w:rsidP="00C7136E">
      <w:pPr>
        <w:numPr>
          <w:ilvl w:val="1"/>
          <w:numId w:val="3"/>
        </w:numPr>
        <w:tabs>
          <w:tab w:val="num" w:pos="720"/>
        </w:tabs>
        <w:spacing w:before="240" w:line="259" w:lineRule="auto"/>
        <w:ind w:left="709" w:hanging="709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>Zmiany niniejszej umowy wymagają formy pisemnej pod rygorem nieważności.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ab/>
        <w:t>……………………</w:t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  <w:t>……………………..</w:t>
      </w:r>
    </w:p>
    <w:p w:rsidR="00C7136E" w:rsidRPr="000872E3" w:rsidRDefault="00C7136E" w:rsidP="00C7136E">
      <w:pPr>
        <w:spacing w:before="240" w:after="0"/>
        <w:jc w:val="both"/>
        <w:rPr>
          <w:rFonts w:asciiTheme="minorHAnsi" w:hAnsiTheme="minorHAnsi" w:cs="Calibri"/>
        </w:rPr>
      </w:pPr>
      <w:r w:rsidRPr="000872E3">
        <w:rPr>
          <w:rFonts w:asciiTheme="minorHAnsi" w:hAnsiTheme="minorHAnsi" w:cs="Calibri"/>
        </w:rPr>
        <w:tab/>
        <w:t>Administrator</w:t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</w:r>
      <w:r w:rsidRPr="000872E3">
        <w:rPr>
          <w:rFonts w:asciiTheme="minorHAnsi" w:hAnsiTheme="minorHAnsi" w:cs="Calibri"/>
        </w:rPr>
        <w:tab/>
        <w:t>Przetwarzający</w:t>
      </w:r>
    </w:p>
    <w:p w:rsidR="00C7136E" w:rsidRPr="000872E3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2F74C3" w:rsidRDefault="002F74C3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Default="00C7136E" w:rsidP="00C7136E">
      <w:pPr>
        <w:rPr>
          <w:rFonts w:asciiTheme="minorHAnsi" w:hAnsiTheme="minorHAnsi"/>
        </w:rPr>
      </w:pPr>
    </w:p>
    <w:p w:rsidR="00C7136E" w:rsidRPr="00635349" w:rsidRDefault="00C7136E" w:rsidP="00C7136E">
      <w:pPr>
        <w:spacing w:line="240" w:lineRule="auto"/>
        <w:rPr>
          <w:rFonts w:asciiTheme="minorHAnsi" w:hAnsiTheme="minorHAnsi"/>
          <w:bCs/>
          <w:iCs/>
        </w:rPr>
      </w:pPr>
    </w:p>
    <w:p w:rsidR="00C7136E" w:rsidRPr="00635349" w:rsidRDefault="00C7136E" w:rsidP="00C7136E">
      <w:pPr>
        <w:spacing w:after="0"/>
        <w:jc w:val="center"/>
        <w:rPr>
          <w:rFonts w:asciiTheme="minorHAnsi" w:hAnsiTheme="minorHAnsi"/>
          <w:b/>
          <w:bCs/>
          <w:iCs/>
        </w:rPr>
      </w:pPr>
      <w:r w:rsidRPr="00635349">
        <w:rPr>
          <w:rFonts w:asciiTheme="minorHAnsi" w:hAnsiTheme="minorHAnsi"/>
          <w:b/>
          <w:bCs/>
          <w:iCs/>
        </w:rPr>
        <w:t>Wykaz pracowników</w:t>
      </w:r>
    </w:p>
    <w:p w:rsidR="00C7136E" w:rsidRPr="00635349" w:rsidRDefault="00C7136E" w:rsidP="00C7136E">
      <w:pPr>
        <w:spacing w:after="0"/>
        <w:jc w:val="center"/>
        <w:rPr>
          <w:rFonts w:asciiTheme="minorHAnsi" w:hAnsiTheme="minorHAnsi"/>
          <w:b/>
          <w:bCs/>
          <w:iCs/>
        </w:rPr>
      </w:pPr>
      <w:r w:rsidRPr="00635349">
        <w:rPr>
          <w:rFonts w:asciiTheme="minorHAnsi" w:hAnsiTheme="minorHAnsi"/>
          <w:b/>
          <w:bCs/>
          <w:iCs/>
        </w:rPr>
        <w:t>upoważnionych do przetwarzania</w:t>
      </w:r>
    </w:p>
    <w:p w:rsidR="00C7136E" w:rsidRPr="00635349" w:rsidRDefault="00C7136E" w:rsidP="00C7136E">
      <w:pPr>
        <w:spacing w:after="0"/>
        <w:jc w:val="center"/>
        <w:rPr>
          <w:rFonts w:asciiTheme="minorHAnsi" w:hAnsiTheme="minorHAnsi"/>
          <w:b/>
          <w:bCs/>
          <w:iCs/>
        </w:rPr>
      </w:pPr>
      <w:r w:rsidRPr="00635349">
        <w:rPr>
          <w:rFonts w:asciiTheme="minorHAnsi" w:hAnsiTheme="minorHAnsi"/>
          <w:b/>
          <w:bCs/>
          <w:iCs/>
        </w:rPr>
        <w:t xml:space="preserve">powierzonych danych osobowych </w:t>
      </w:r>
    </w:p>
    <w:p w:rsidR="00C7136E" w:rsidRPr="00635349" w:rsidRDefault="00C7136E" w:rsidP="00C7136E">
      <w:pPr>
        <w:outlineLvl w:val="0"/>
        <w:rPr>
          <w:rFonts w:asciiTheme="minorHAnsi" w:hAnsiTheme="minorHAnsi"/>
          <w:b/>
        </w:rPr>
      </w:pPr>
      <w:r w:rsidRPr="00635349">
        <w:rPr>
          <w:rFonts w:asciiTheme="minorHAnsi" w:hAnsiTheme="minorHAnsi"/>
          <w:b/>
        </w:rPr>
        <w:t>……………………</w:t>
      </w:r>
      <w:r>
        <w:rPr>
          <w:rFonts w:asciiTheme="minorHAnsi" w:hAnsiTheme="minorHAnsi"/>
          <w:b/>
        </w:rPr>
        <w:t>…………….</w:t>
      </w:r>
    </w:p>
    <w:p w:rsidR="00C7136E" w:rsidRPr="00635349" w:rsidRDefault="00C7136E" w:rsidP="00C7136E">
      <w:pPr>
        <w:outlineLvl w:val="0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        /Wykonawca/</w:t>
      </w:r>
    </w:p>
    <w:p w:rsidR="00C7136E" w:rsidRPr="00635349" w:rsidRDefault="00C7136E" w:rsidP="00C7136E">
      <w:pPr>
        <w:autoSpaceDE w:val="0"/>
        <w:autoSpaceDN w:val="0"/>
        <w:adjustRightInd w:val="0"/>
        <w:rPr>
          <w:rFonts w:asciiTheme="minorHAnsi" w:hAnsiTheme="minorHAnsi" w:cs="MS Sans Serif"/>
        </w:rPr>
      </w:pPr>
    </w:p>
    <w:p w:rsidR="00C7136E" w:rsidRPr="00635349" w:rsidRDefault="00C7136E" w:rsidP="00C7136E">
      <w:pPr>
        <w:autoSpaceDE w:val="0"/>
        <w:autoSpaceDN w:val="0"/>
        <w:adjustRightInd w:val="0"/>
        <w:rPr>
          <w:rFonts w:asciiTheme="minorHAnsi" w:hAnsiTheme="minorHAnsi" w:cs="MS Sans Serif"/>
        </w:rPr>
      </w:pPr>
      <w:r w:rsidRPr="00635349">
        <w:rPr>
          <w:rFonts w:asciiTheme="minorHAnsi" w:hAnsiTheme="minorHAnsi" w:cs="MS Sans Serif"/>
        </w:rPr>
        <w:t xml:space="preserve">z siedzibą w …………………………, wpisany(a) do Krajowego Rejestru Sądowego - Rejestru Przedsiębiorców pod numerem KRS: ………………………, NIP …………………………, </w:t>
      </w:r>
    </w:p>
    <w:p w:rsidR="00C7136E" w:rsidRPr="00635349" w:rsidRDefault="00C7136E" w:rsidP="00C7136E">
      <w:pPr>
        <w:autoSpaceDE w:val="0"/>
        <w:autoSpaceDN w:val="0"/>
        <w:adjustRightInd w:val="0"/>
        <w:rPr>
          <w:rFonts w:asciiTheme="minorHAnsi" w:hAnsiTheme="minorHAnsi" w:cs="MS Sans Serif"/>
        </w:rPr>
      </w:pPr>
      <w:r w:rsidRPr="00635349">
        <w:rPr>
          <w:rFonts w:asciiTheme="minorHAnsi" w:hAnsiTheme="minorHAnsi" w:cs="MS Sans Serif"/>
        </w:rPr>
        <w:t xml:space="preserve">zwany(a) dalej </w:t>
      </w:r>
      <w:r w:rsidRPr="00635349">
        <w:rPr>
          <w:rFonts w:asciiTheme="minorHAnsi" w:hAnsiTheme="minorHAnsi" w:cs="MS Sans Serif"/>
          <w:b/>
        </w:rPr>
        <w:t>Wykonawcą</w:t>
      </w:r>
      <w:r w:rsidRPr="00635349">
        <w:rPr>
          <w:rFonts w:asciiTheme="minorHAnsi" w:hAnsiTheme="minorHAnsi" w:cs="MS Sans Serif"/>
        </w:rPr>
        <w:t>, w imieniu którego(j) działają:</w:t>
      </w:r>
    </w:p>
    <w:p w:rsidR="00C7136E" w:rsidRPr="00635349" w:rsidRDefault="00C7136E" w:rsidP="00C7136E">
      <w:pPr>
        <w:rPr>
          <w:rFonts w:asciiTheme="minorHAnsi" w:hAnsiTheme="minorHAnsi"/>
        </w:rPr>
      </w:pPr>
      <w:r w:rsidRPr="00635349">
        <w:rPr>
          <w:rFonts w:asciiTheme="minorHAnsi" w:hAnsiTheme="minorHAnsi"/>
        </w:rPr>
        <w:t>...................................,</w:t>
      </w:r>
    </w:p>
    <w:p w:rsidR="00C7136E" w:rsidRPr="00635349" w:rsidRDefault="00C7136E" w:rsidP="00C7136E">
      <w:pPr>
        <w:tabs>
          <w:tab w:val="left" w:pos="0"/>
        </w:tabs>
        <w:rPr>
          <w:rFonts w:asciiTheme="minorHAnsi" w:hAnsiTheme="minorHAnsi"/>
        </w:rPr>
      </w:pPr>
      <w:r w:rsidRPr="00635349">
        <w:rPr>
          <w:rFonts w:asciiTheme="minorHAnsi" w:hAnsiTheme="minorHAnsi"/>
        </w:rPr>
        <w:t>....................................</w:t>
      </w:r>
    </w:p>
    <w:p w:rsidR="00C7136E" w:rsidRPr="00635349" w:rsidRDefault="00C7136E" w:rsidP="00C7136E">
      <w:pPr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przekazuje wykaz pracowników upoważnionych do przetwarzania danych osobowych zgodnie z umową powierzenia nr ………….. z dnia ……………. r. : </w:t>
      </w:r>
    </w:p>
    <w:p w:rsidR="00C7136E" w:rsidRPr="00635349" w:rsidRDefault="00C7136E" w:rsidP="00C7136E">
      <w:pPr>
        <w:rPr>
          <w:rFonts w:asciiTheme="minorHAnsi" w:hAnsiTheme="min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3402"/>
      </w:tblGrid>
      <w:tr w:rsidR="00C7136E" w:rsidRPr="00635349" w:rsidTr="00EA162B">
        <w:tc>
          <w:tcPr>
            <w:tcW w:w="709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5349">
              <w:rPr>
                <w:rFonts w:asciiTheme="minorHAnsi" w:hAnsiTheme="minorHAnsi"/>
                <w:b/>
                <w:sz w:val="20"/>
                <w:szCs w:val="20"/>
              </w:rPr>
              <w:t>Adres e-mail</w:t>
            </w:r>
          </w:p>
        </w:tc>
      </w:tr>
      <w:tr w:rsidR="00C7136E" w:rsidRPr="00635349" w:rsidTr="00EA162B">
        <w:tc>
          <w:tcPr>
            <w:tcW w:w="709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74C3" w:rsidRDefault="002F74C3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74C3" w:rsidRDefault="002F74C3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74C3" w:rsidRPr="00635349" w:rsidRDefault="002F74C3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136E" w:rsidRPr="00635349" w:rsidTr="00EA162B">
        <w:tc>
          <w:tcPr>
            <w:tcW w:w="709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136E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7136E" w:rsidRPr="00635349" w:rsidRDefault="00C7136E" w:rsidP="00EA16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136E" w:rsidRPr="00635349" w:rsidRDefault="00C7136E" w:rsidP="00C7136E">
      <w:pPr>
        <w:suppressAutoHyphens/>
        <w:rPr>
          <w:rFonts w:asciiTheme="minorHAnsi" w:hAnsiTheme="minorHAnsi" w:cs="Tahoma"/>
          <w:kern w:val="1"/>
          <w:lang w:eastAsia="ar-SA"/>
        </w:rPr>
      </w:pPr>
    </w:p>
    <w:p w:rsidR="00C7136E" w:rsidRPr="00635349" w:rsidRDefault="00C7136E" w:rsidP="00C7136E">
      <w:pPr>
        <w:spacing w:line="360" w:lineRule="auto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W przypadku zmian w powyższym wykazie </w:t>
      </w:r>
      <w:r w:rsidRPr="00635349">
        <w:rPr>
          <w:rFonts w:asciiTheme="minorHAnsi" w:hAnsiTheme="minorHAnsi"/>
          <w:b/>
        </w:rPr>
        <w:t>Wykonawca</w:t>
      </w:r>
      <w:r w:rsidRPr="00635349">
        <w:rPr>
          <w:rFonts w:asciiTheme="minorHAnsi" w:hAnsiTheme="minorHAnsi"/>
        </w:rPr>
        <w:t xml:space="preserve"> zgodnie z § 4 ust. 1 pkt 5) umowy zobowiązuje się do niezwłocznego poinformowania </w:t>
      </w:r>
      <w:r w:rsidRPr="00635349">
        <w:rPr>
          <w:rFonts w:asciiTheme="minorHAnsi" w:hAnsiTheme="minorHAnsi"/>
          <w:b/>
        </w:rPr>
        <w:t>ŚCO</w:t>
      </w:r>
      <w:r w:rsidRPr="00635349">
        <w:rPr>
          <w:rFonts w:asciiTheme="minorHAnsi" w:hAnsiTheme="minorHAnsi"/>
        </w:rPr>
        <w:t xml:space="preserve"> o zmianach, ale nie później niż w ciągu 7 dni od zaistnienia zmiany.</w:t>
      </w:r>
    </w:p>
    <w:p w:rsidR="00C7136E" w:rsidRPr="00635349" w:rsidRDefault="00C7136E" w:rsidP="00C7136E">
      <w:pPr>
        <w:spacing w:line="360" w:lineRule="auto"/>
        <w:rPr>
          <w:rFonts w:asciiTheme="minorHAnsi" w:hAnsiTheme="minorHAnsi"/>
        </w:rPr>
      </w:pPr>
      <w:r w:rsidRPr="00635349">
        <w:rPr>
          <w:rFonts w:asciiTheme="minorHAnsi" w:hAnsiTheme="minorHAnsi"/>
        </w:rPr>
        <w:t>………………………….…, dn. …………….. r.</w:t>
      </w:r>
    </w:p>
    <w:p w:rsidR="0073747B" w:rsidRPr="00635349" w:rsidRDefault="00C7136E" w:rsidP="0073747B">
      <w:pPr>
        <w:spacing w:after="0" w:line="240" w:lineRule="auto"/>
        <w:ind w:left="4956"/>
        <w:jc w:val="center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  </w:t>
      </w:r>
      <w:r w:rsidR="0073747B" w:rsidRPr="00635349">
        <w:rPr>
          <w:rFonts w:asciiTheme="minorHAnsi" w:hAnsiTheme="minorHAnsi"/>
        </w:rPr>
        <w:t>……………………………….……………..…………………</w:t>
      </w:r>
    </w:p>
    <w:p w:rsidR="0073747B" w:rsidRPr="00635349" w:rsidRDefault="0073747B" w:rsidP="0073747B">
      <w:pPr>
        <w:spacing w:after="0" w:line="240" w:lineRule="auto"/>
        <w:ind w:left="4956"/>
        <w:jc w:val="center"/>
        <w:rPr>
          <w:rFonts w:asciiTheme="minorHAnsi" w:hAnsiTheme="minorHAnsi"/>
        </w:rPr>
      </w:pPr>
      <w:r w:rsidRPr="00635349">
        <w:rPr>
          <w:rFonts w:asciiTheme="minorHAnsi" w:hAnsiTheme="minorHAnsi"/>
        </w:rPr>
        <w:t xml:space="preserve">  podpis i pieczęć osoby uprawnionej </w:t>
      </w:r>
      <w:r w:rsidRPr="00635349">
        <w:rPr>
          <w:rFonts w:asciiTheme="minorHAnsi" w:hAnsiTheme="minorHAnsi"/>
        </w:rPr>
        <w:br/>
        <w:t xml:space="preserve">  (lub osób uprawnionych)</w:t>
      </w:r>
    </w:p>
    <w:p w:rsidR="0073747B" w:rsidRPr="00635349" w:rsidRDefault="0073747B" w:rsidP="0073747B">
      <w:pPr>
        <w:spacing w:after="0" w:line="240" w:lineRule="auto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</w:t>
      </w:r>
      <w:r w:rsidRPr="00635349">
        <w:rPr>
          <w:rFonts w:asciiTheme="minorHAnsi" w:hAnsiTheme="minorHAnsi"/>
        </w:rPr>
        <w:t xml:space="preserve">do reprezentowania </w:t>
      </w:r>
      <w:r w:rsidRPr="00635349">
        <w:rPr>
          <w:rFonts w:asciiTheme="minorHAnsi" w:hAnsiTheme="minorHAnsi"/>
          <w:b/>
        </w:rPr>
        <w:t>Wykona</w:t>
      </w:r>
      <w:r>
        <w:rPr>
          <w:rFonts w:asciiTheme="minorHAnsi" w:hAnsiTheme="minorHAnsi"/>
          <w:b/>
        </w:rPr>
        <w:t>wcy</w:t>
      </w:r>
    </w:p>
    <w:p w:rsidR="00C7136E" w:rsidRDefault="00C7136E" w:rsidP="0073747B">
      <w:pPr>
        <w:spacing w:after="0" w:line="240" w:lineRule="auto"/>
        <w:ind w:left="4956"/>
        <w:jc w:val="center"/>
        <w:rPr>
          <w:rFonts w:asciiTheme="minorHAnsi" w:hAnsiTheme="minorHAnsi"/>
          <w:bCs/>
          <w:sz w:val="22"/>
          <w:szCs w:val="22"/>
        </w:rPr>
      </w:pPr>
    </w:p>
    <w:p w:rsidR="00C7136E" w:rsidRDefault="00C7136E" w:rsidP="00C7136E">
      <w:pPr>
        <w:spacing w:after="0" w:line="240" w:lineRule="auto"/>
        <w:rPr>
          <w:rFonts w:asciiTheme="minorHAnsi" w:hAnsiTheme="minorHAnsi"/>
          <w:bCs/>
          <w:sz w:val="22"/>
          <w:szCs w:val="22"/>
        </w:rPr>
      </w:pPr>
    </w:p>
    <w:p w:rsidR="00C7136E" w:rsidRDefault="00C7136E" w:rsidP="00C7136E">
      <w:pPr>
        <w:pStyle w:val="Tytu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C7136E" w:rsidRDefault="00C7136E" w:rsidP="00C7136E">
      <w:pPr>
        <w:pStyle w:val="Tytu"/>
        <w:jc w:val="right"/>
        <w:rPr>
          <w:rFonts w:asciiTheme="minorHAnsi" w:hAnsiTheme="minorHAnsi"/>
          <w:b w:val="0"/>
          <w:bCs/>
          <w:sz w:val="22"/>
          <w:szCs w:val="22"/>
        </w:rPr>
      </w:pPr>
    </w:p>
    <w:p w:rsidR="005C1C33" w:rsidRDefault="00E83A69"/>
    <w:sectPr w:rsidR="005C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7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E"/>
    <w:rsid w:val="00016F24"/>
    <w:rsid w:val="002A732F"/>
    <w:rsid w:val="002F74C3"/>
    <w:rsid w:val="00367E1D"/>
    <w:rsid w:val="00652B56"/>
    <w:rsid w:val="0073747B"/>
    <w:rsid w:val="009F1C39"/>
    <w:rsid w:val="00A609FE"/>
    <w:rsid w:val="00B07025"/>
    <w:rsid w:val="00C7136E"/>
    <w:rsid w:val="00E8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6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136E"/>
    <w:pPr>
      <w:spacing w:after="120" w:line="259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C7136E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C71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5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6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7136E"/>
    <w:pPr>
      <w:spacing w:after="120" w:line="259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C7136E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C71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10</cp:revision>
  <cp:lastPrinted>2023-10-30T07:15:00Z</cp:lastPrinted>
  <dcterms:created xsi:type="dcterms:W3CDTF">2023-10-09T08:03:00Z</dcterms:created>
  <dcterms:modified xsi:type="dcterms:W3CDTF">2023-10-30T07:17:00Z</dcterms:modified>
</cp:coreProperties>
</file>