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footer4.xml" ContentType="application/vnd.openxmlformats-officedocument.wordprocessingml.footer+xml"/>
  <Override PartName="/word/header2.xml" ContentType="application/vnd.openxmlformats-officedocument.wordprocessingml.header+xml"/>
  <Override PartName="/word/media/image1.png" ContentType="image/png"/>
  <Override PartName="/word/footer3.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header5.xml" ContentType="application/vnd.openxmlformats-officedocument.wordprocessingml.header+xml"/>
  <Override PartName="/word/footer8.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item2.xml" ContentType="application/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Override PartName="/customXml/itemProps2.xml" ContentType="application/vnd.openxmlformats-officedocument.customXmlProperties+xml"/>
  <Override PartName="/customXml/item3.xml" ContentType="application/xml"/>
  <Override PartName="/customXml/itemProps3.xml" ContentType="application/vnd.openxmlformats-officedocument.customXmlProperties+xml"/>
  <Override PartName="/customXml/item4.xml" ContentType="application/xml"/>
  <Override PartName="/customXml/itemProps4.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pPr w:bottomFromText="200" w:horzAnchor="margin" w:leftFromText="141" w:rightFromText="141" w:tblpX="0" w:tblpXSpec="center" w:tblpY="689" w:topFromText="0" w:vertAnchor="margin"/>
        <w:tblW w:w="9285" w:type="dxa"/>
        <w:jc w:val="center"/>
        <w:tblInd w:w="0" w:type="dxa"/>
        <w:tblBorders>
          <w:top w:val="double" w:sz="4" w:space="0" w:color="00000A"/>
          <w:left w:val="double" w:sz="4" w:space="0" w:color="00000A"/>
          <w:bottom w:val="single" w:sz="6" w:space="0" w:color="00000A"/>
          <w:right w:val="single" w:sz="6" w:space="0" w:color="00000A"/>
          <w:insideH w:val="single" w:sz="6" w:space="0" w:color="00000A"/>
          <w:insideV w:val="single" w:sz="6" w:space="0" w:color="00000A"/>
        </w:tblBorders>
        <w:tblCellMar>
          <w:top w:w="0" w:type="dxa"/>
          <w:left w:w="40" w:type="dxa"/>
          <w:bottom w:w="0" w:type="dxa"/>
          <w:right w:w="70" w:type="dxa"/>
        </w:tblCellMar>
        <w:tblLook w:firstRow="1" w:noVBand="1" w:lastRow="0" w:firstColumn="1" w:lastColumn="0" w:noHBand="0" w:val="04a0"/>
      </w:tblPr>
      <w:tblGrid>
        <w:gridCol w:w="1701"/>
        <w:gridCol w:w="7583"/>
      </w:tblGrid>
      <w:tr>
        <w:trPr>
          <w:trHeight w:val="758" w:hRule="atLeast"/>
        </w:trPr>
        <w:tc>
          <w:tcPr>
            <w:tcW w:w="1701" w:type="dxa"/>
            <w:tcBorders>
              <w:top w:val="double" w:sz="4" w:space="0" w:color="00000A"/>
              <w:left w:val="double" w:sz="4" w:space="0" w:color="00000A"/>
              <w:bottom w:val="single" w:sz="6" w:space="0" w:color="00000A"/>
              <w:right w:val="single" w:sz="6" w:space="0" w:color="00000A"/>
              <w:insideH w:val="single" w:sz="6" w:space="0" w:color="00000A"/>
              <w:insideV w:val="single" w:sz="6" w:space="0" w:color="00000A"/>
            </w:tcBorders>
            <w:shd w:fill="auto" w:val="clear"/>
            <w:tcMar>
              <w:left w:w="40" w:type="dxa"/>
            </w:tcMar>
            <w:vAlign w:val="center"/>
          </w:tcPr>
          <w:p>
            <w:pPr>
              <w:pStyle w:val="Normal"/>
              <w:spacing w:before="0" w:after="0"/>
              <w:rPr>
                <w:rFonts w:ascii="Arial" w:hAnsi="Arial" w:cs="Arial"/>
                <w:i/>
                <w:i/>
              </w:rPr>
            </w:pPr>
            <w:r>
              <w:rPr>
                <w:rFonts w:cs="Arial" w:ascii="Arial" w:hAnsi="Arial"/>
                <w:i/>
              </w:rPr>
              <w:t>Jednostka Projektowa:</w:t>
            </w:r>
          </w:p>
        </w:tc>
        <w:tc>
          <w:tcPr>
            <w:tcW w:w="7583" w:type="dxa"/>
            <w:tcBorders>
              <w:top w:val="double" w:sz="4" w:space="0" w:color="00000A"/>
              <w:left w:val="single" w:sz="6" w:space="0" w:color="00000A"/>
              <w:bottom w:val="single" w:sz="6" w:space="0" w:color="00000A"/>
              <w:right w:val="double" w:sz="4" w:space="0" w:color="00000A"/>
              <w:insideH w:val="single" w:sz="6" w:space="0" w:color="00000A"/>
              <w:insideV w:val="double" w:sz="4" w:space="0" w:color="00000A"/>
            </w:tcBorders>
            <w:shd w:fill="auto" w:val="clear"/>
            <w:tcMar>
              <w:left w:w="54" w:type="dxa"/>
            </w:tcMar>
          </w:tcPr>
          <w:p>
            <w:pPr>
              <w:pStyle w:val="Normal"/>
              <w:spacing w:lineRule="atLeast" w:line="100" w:before="0" w:after="0"/>
              <w:jc w:val="center"/>
              <w:rPr>
                <w:rFonts w:ascii="Arial Narrow" w:hAnsi="Arial Narrow" w:cs="Arial"/>
                <w:b/>
                <w:b/>
              </w:rPr>
            </w:pPr>
            <w:r>
              <w:rPr>
                <w:rFonts w:cs="Arial" w:ascii="Arial Narrow" w:hAnsi="Arial Narrow"/>
                <w:b/>
              </w:rPr>
            </w:r>
          </w:p>
          <w:p>
            <w:pPr>
              <w:pStyle w:val="Normal"/>
              <w:spacing w:lineRule="atLeast" w:line="100" w:before="0" w:after="0"/>
              <w:jc w:val="center"/>
              <w:rPr>
                <w:rFonts w:ascii="Arial Narrow" w:hAnsi="Arial Narrow" w:cs="Arial"/>
                <w:b/>
                <w:b/>
              </w:rPr>
            </w:pPr>
            <w:r>
              <w:rPr/>
              <w:drawing>
                <wp:inline distT="0" distB="0" distL="0" distR="0">
                  <wp:extent cx="1247775" cy="219075"/>
                  <wp:effectExtent l="0" t="0" r="0" b="0"/>
                  <wp:docPr id="1" name="Obraz 16" descr="Logo_podstaw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6" descr="Logo_podstawa"/>
                          <pic:cNvPicPr>
                            <a:picLocks noChangeAspect="1" noChangeArrowheads="1"/>
                          </pic:cNvPicPr>
                        </pic:nvPicPr>
                        <pic:blipFill>
                          <a:blip r:embed="rId2"/>
                          <a:stretch>
                            <a:fillRect/>
                          </a:stretch>
                        </pic:blipFill>
                        <pic:spPr bwMode="auto">
                          <a:xfrm>
                            <a:off x="0" y="0"/>
                            <a:ext cx="1247775" cy="219075"/>
                          </a:xfrm>
                          <a:prstGeom prst="rect">
                            <a:avLst/>
                          </a:prstGeom>
                        </pic:spPr>
                      </pic:pic>
                    </a:graphicData>
                  </a:graphic>
                </wp:inline>
              </w:drawing>
            </w:r>
          </w:p>
          <w:p>
            <w:pPr>
              <w:pStyle w:val="Normal"/>
              <w:spacing w:lineRule="atLeast" w:line="100" w:before="0" w:after="0"/>
              <w:jc w:val="center"/>
              <w:rPr>
                <w:rFonts w:ascii="Arial" w:hAnsi="Arial" w:cs="Arial"/>
                <w:color w:val="FF0000"/>
              </w:rPr>
            </w:pPr>
            <w:r>
              <w:rPr>
                <w:rFonts w:cs="Arial" w:ascii="Arial" w:hAnsi="Arial"/>
                <w:color w:val="FF0000"/>
              </w:rPr>
            </w:r>
          </w:p>
          <w:p>
            <w:pPr>
              <w:pStyle w:val="Xl47"/>
              <w:spacing w:lineRule="atLeast" w:line="100" w:before="0" w:after="0"/>
              <w:rPr>
                <w:rFonts w:ascii="Arial" w:hAnsi="Arial"/>
                <w:b/>
                <w:b/>
                <w:sz w:val="20"/>
                <w:szCs w:val="20"/>
                <w:lang w:eastAsia="en-US"/>
              </w:rPr>
            </w:pPr>
            <w:r>
              <w:rPr>
                <w:rFonts w:ascii="Arial" w:hAnsi="Arial"/>
                <w:b/>
                <w:sz w:val="20"/>
                <w:szCs w:val="20"/>
                <w:lang w:eastAsia="en-US"/>
              </w:rPr>
              <w:t>ul. Garncarska 5 IVp. 70-377 Szczecin</w:t>
            </w:r>
          </w:p>
          <w:p>
            <w:pPr>
              <w:pStyle w:val="Normal"/>
              <w:spacing w:before="0" w:after="0"/>
              <w:jc w:val="center"/>
              <w:rPr>
                <w:rFonts w:ascii="Arial" w:hAnsi="Arial" w:cs="Arial"/>
                <w:b/>
                <w:b/>
                <w:lang w:val="de-DE"/>
              </w:rPr>
            </w:pPr>
            <w:r>
              <w:rPr>
                <w:rFonts w:cs="Arial" w:ascii="Arial" w:hAnsi="Arial"/>
                <w:b/>
                <w:lang w:val="en-US"/>
              </w:rPr>
              <w:t xml:space="preserve">tel./fax 91/880 38 93 </w:t>
            </w:r>
            <w:r>
              <w:rPr>
                <w:rFonts w:cs="Arial" w:ascii="Arial" w:hAnsi="Arial"/>
                <w:b/>
                <w:lang w:val="de-DE"/>
              </w:rPr>
              <w:t>e-mail: biuro@archico.eu, www.archice.eu</w:t>
            </w:r>
          </w:p>
        </w:tc>
      </w:tr>
      <w:tr>
        <w:trPr>
          <w:trHeight w:val="522" w:hRule="atLeast"/>
        </w:trPr>
        <w:tc>
          <w:tcPr>
            <w:tcW w:w="1701" w:type="dxa"/>
            <w:tcBorders>
              <w:top w:val="single" w:sz="6" w:space="0" w:color="00000A"/>
              <w:left w:val="double" w:sz="4" w:space="0" w:color="00000A"/>
              <w:bottom w:val="single" w:sz="6" w:space="0" w:color="00000A"/>
              <w:right w:val="single" w:sz="6" w:space="0" w:color="00000A"/>
              <w:insideH w:val="single" w:sz="6" w:space="0" w:color="00000A"/>
              <w:insideV w:val="single" w:sz="6" w:space="0" w:color="00000A"/>
            </w:tcBorders>
            <w:shd w:fill="auto" w:val="clear"/>
            <w:tcMar>
              <w:left w:w="40" w:type="dxa"/>
            </w:tcMar>
          </w:tcPr>
          <w:p>
            <w:pPr>
              <w:pStyle w:val="Normal"/>
              <w:spacing w:before="0" w:after="0"/>
              <w:jc w:val="left"/>
              <w:rPr>
                <w:rFonts w:ascii="Arial" w:hAnsi="Arial" w:cs="Arial"/>
                <w:i/>
                <w:i/>
              </w:rPr>
            </w:pPr>
            <w:r>
              <w:rPr>
                <w:rFonts w:cs="Arial" w:ascii="Arial" w:hAnsi="Arial"/>
                <w:i/>
              </w:rPr>
              <w:t>Nazwa projektu:</w:t>
            </w:r>
          </w:p>
        </w:tc>
        <w:tc>
          <w:tcPr>
            <w:tcW w:w="7583" w:type="dxa"/>
            <w:tcBorders>
              <w:top w:val="single" w:sz="6" w:space="0" w:color="00000A"/>
              <w:left w:val="single" w:sz="6" w:space="0" w:color="00000A"/>
              <w:bottom w:val="single" w:sz="6" w:space="0" w:color="00000A"/>
              <w:right w:val="double" w:sz="4" w:space="0" w:color="00000A"/>
              <w:insideH w:val="single" w:sz="6" w:space="0" w:color="00000A"/>
              <w:insideV w:val="double" w:sz="4" w:space="0" w:color="00000A"/>
            </w:tcBorders>
            <w:shd w:fill="auto" w:val="clear"/>
            <w:tcMar>
              <w:left w:w="54" w:type="dxa"/>
            </w:tcMar>
          </w:tcPr>
          <w:p>
            <w:pPr>
              <w:pStyle w:val="Normal"/>
              <w:spacing w:before="0" w:after="0"/>
              <w:jc w:val="center"/>
              <w:rPr>
                <w:rFonts w:ascii="Arial" w:hAnsi="Arial" w:eastAsia="Times New Roman" w:cs="Arial"/>
                <w:b/>
                <w:b/>
              </w:rPr>
            </w:pPr>
            <w:r>
              <w:rPr>
                <w:rFonts w:eastAsia="Times New Roman" w:cs="Arial" w:ascii="Arial" w:hAnsi="Arial"/>
                <w:b/>
              </w:rPr>
              <w:t>Termomodernizacja budynku Szkoły Podstawowej im. Władysława Broniewskiego w Mielęcinie</w:t>
            </w:r>
          </w:p>
        </w:tc>
      </w:tr>
      <w:tr>
        <w:trPr>
          <w:trHeight w:val="835" w:hRule="atLeast"/>
        </w:trPr>
        <w:tc>
          <w:tcPr>
            <w:tcW w:w="1701" w:type="dxa"/>
            <w:tcBorders>
              <w:top w:val="single" w:sz="6" w:space="0" w:color="00000A"/>
              <w:left w:val="double" w:sz="4" w:space="0" w:color="00000A"/>
              <w:bottom w:val="single" w:sz="6" w:space="0" w:color="00000A"/>
              <w:right w:val="single" w:sz="6" w:space="0" w:color="00000A"/>
              <w:insideH w:val="single" w:sz="6" w:space="0" w:color="00000A"/>
              <w:insideV w:val="single" w:sz="6" w:space="0" w:color="00000A"/>
            </w:tcBorders>
            <w:shd w:fill="auto" w:val="clear"/>
            <w:tcMar>
              <w:left w:w="40" w:type="dxa"/>
            </w:tcMar>
          </w:tcPr>
          <w:p>
            <w:pPr>
              <w:pStyle w:val="Normal"/>
              <w:spacing w:before="0" w:after="0"/>
              <w:jc w:val="left"/>
              <w:rPr>
                <w:rFonts w:ascii="Arial" w:hAnsi="Arial" w:cs="Arial"/>
                <w:i/>
                <w:i/>
              </w:rPr>
            </w:pPr>
            <w:r>
              <w:rPr>
                <w:rFonts w:cs="Arial" w:ascii="Arial" w:hAnsi="Arial"/>
                <w:i/>
              </w:rPr>
              <w:t>Zadanie:</w:t>
            </w:r>
          </w:p>
        </w:tc>
        <w:tc>
          <w:tcPr>
            <w:tcW w:w="7583" w:type="dxa"/>
            <w:tcBorders>
              <w:top w:val="single" w:sz="6" w:space="0" w:color="00000A"/>
              <w:left w:val="single" w:sz="6" w:space="0" w:color="00000A"/>
              <w:bottom w:val="single" w:sz="6" w:space="0" w:color="00000A"/>
              <w:right w:val="double" w:sz="4" w:space="0" w:color="00000A"/>
              <w:insideH w:val="single" w:sz="6" w:space="0" w:color="00000A"/>
              <w:insideV w:val="double" w:sz="4" w:space="0" w:color="00000A"/>
            </w:tcBorders>
            <w:shd w:fill="auto" w:val="clear"/>
            <w:tcMar>
              <w:left w:w="54" w:type="dxa"/>
            </w:tcMar>
          </w:tcPr>
          <w:p>
            <w:pPr>
              <w:pStyle w:val="Normal"/>
              <w:spacing w:before="0" w:after="0"/>
              <w:jc w:val="center"/>
              <w:rPr>
                <w:rFonts w:ascii="Arial" w:hAnsi="Arial" w:cs="Arial"/>
                <w:b/>
                <w:b/>
              </w:rPr>
            </w:pPr>
            <w:r>
              <w:rPr>
                <w:rFonts w:cs="Arial" w:ascii="Arial" w:hAnsi="Arial"/>
                <w:b/>
              </w:rPr>
              <w:t>Program funkcjonalno-użytkowy</w:t>
            </w:r>
          </w:p>
        </w:tc>
      </w:tr>
      <w:tr>
        <w:trPr>
          <w:trHeight w:val="835" w:hRule="atLeast"/>
        </w:trPr>
        <w:tc>
          <w:tcPr>
            <w:tcW w:w="1701" w:type="dxa"/>
            <w:tcBorders>
              <w:top w:val="single" w:sz="6" w:space="0" w:color="00000A"/>
              <w:left w:val="double" w:sz="4" w:space="0" w:color="00000A"/>
              <w:bottom w:val="single" w:sz="6" w:space="0" w:color="00000A"/>
              <w:right w:val="single" w:sz="6" w:space="0" w:color="00000A"/>
              <w:insideH w:val="single" w:sz="6" w:space="0" w:color="00000A"/>
              <w:insideV w:val="single" w:sz="6" w:space="0" w:color="00000A"/>
            </w:tcBorders>
            <w:shd w:fill="auto" w:val="clear"/>
            <w:tcMar>
              <w:left w:w="40" w:type="dxa"/>
            </w:tcMar>
          </w:tcPr>
          <w:p>
            <w:pPr>
              <w:pStyle w:val="Normal"/>
              <w:spacing w:before="0" w:after="0"/>
              <w:jc w:val="left"/>
              <w:rPr>
                <w:rFonts w:ascii="Arial" w:hAnsi="Arial" w:cs="Arial"/>
                <w:i/>
                <w:i/>
              </w:rPr>
            </w:pPr>
            <w:r>
              <w:rPr>
                <w:rFonts w:cs="Arial" w:ascii="Arial" w:hAnsi="Arial"/>
                <w:i/>
              </w:rPr>
              <w:t>Adres obiektu budowlanego:</w:t>
            </w:r>
          </w:p>
        </w:tc>
        <w:tc>
          <w:tcPr>
            <w:tcW w:w="7583" w:type="dxa"/>
            <w:tcBorders>
              <w:top w:val="single" w:sz="6" w:space="0" w:color="00000A"/>
              <w:left w:val="single" w:sz="6" w:space="0" w:color="00000A"/>
              <w:bottom w:val="single" w:sz="6" w:space="0" w:color="00000A"/>
              <w:right w:val="double" w:sz="4" w:space="0" w:color="00000A"/>
              <w:insideH w:val="single" w:sz="6" w:space="0" w:color="00000A"/>
              <w:insideV w:val="double" w:sz="4" w:space="0" w:color="00000A"/>
            </w:tcBorders>
            <w:shd w:fill="auto" w:val="clear"/>
            <w:tcMar>
              <w:left w:w="54" w:type="dxa"/>
            </w:tcMar>
          </w:tcPr>
          <w:p>
            <w:pPr>
              <w:pStyle w:val="Normal"/>
              <w:spacing w:before="0" w:after="0"/>
              <w:jc w:val="center"/>
              <w:rPr>
                <w:rFonts w:ascii="Arial" w:hAnsi="Arial" w:cs="Arial"/>
                <w:color w:val="000000"/>
              </w:rPr>
            </w:pPr>
            <w:r>
              <w:rPr>
                <w:rFonts w:cs="Arial" w:ascii="Arial" w:hAnsi="Arial"/>
              </w:rPr>
              <w:t xml:space="preserve">ul. Główna 72, 70-230 Mielęcin, gmina Pyrzyce (cz. Wiejska), powiat Pyrzyce </w:t>
              <w:br/>
              <w:t>dz. ew. nr 47 obręb 0018 Pyrzyce</w:t>
            </w:r>
          </w:p>
        </w:tc>
      </w:tr>
      <w:tr>
        <w:trPr>
          <w:trHeight w:val="835" w:hRule="atLeast"/>
        </w:trPr>
        <w:tc>
          <w:tcPr>
            <w:tcW w:w="1701" w:type="dxa"/>
            <w:tcBorders>
              <w:top w:val="single" w:sz="6" w:space="0" w:color="00000A"/>
              <w:left w:val="double" w:sz="4" w:space="0" w:color="00000A"/>
              <w:bottom w:val="single" w:sz="6" w:space="0" w:color="00000A"/>
              <w:right w:val="single" w:sz="6" w:space="0" w:color="00000A"/>
              <w:insideH w:val="single" w:sz="6" w:space="0" w:color="00000A"/>
              <w:insideV w:val="single" w:sz="6" w:space="0" w:color="00000A"/>
            </w:tcBorders>
            <w:shd w:fill="auto" w:val="clear"/>
            <w:tcMar>
              <w:left w:w="40" w:type="dxa"/>
            </w:tcMar>
          </w:tcPr>
          <w:p>
            <w:pPr>
              <w:pStyle w:val="Normal"/>
              <w:spacing w:before="0" w:after="0"/>
              <w:jc w:val="left"/>
              <w:rPr>
                <w:rFonts w:ascii="Arial" w:hAnsi="Arial" w:cs="Arial"/>
                <w:i/>
                <w:i/>
              </w:rPr>
            </w:pPr>
            <w:r>
              <w:rPr>
                <w:rFonts w:cs="Arial" w:ascii="Arial" w:hAnsi="Arial"/>
                <w:i/>
              </w:rPr>
              <w:t>Inwestor:</w:t>
            </w:r>
          </w:p>
        </w:tc>
        <w:tc>
          <w:tcPr>
            <w:tcW w:w="7583" w:type="dxa"/>
            <w:tcBorders>
              <w:top w:val="single" w:sz="6" w:space="0" w:color="00000A"/>
              <w:left w:val="single" w:sz="6" w:space="0" w:color="00000A"/>
              <w:bottom w:val="single" w:sz="6" w:space="0" w:color="00000A"/>
              <w:right w:val="double" w:sz="4" w:space="0" w:color="00000A"/>
              <w:insideH w:val="single" w:sz="6" w:space="0" w:color="00000A"/>
              <w:insideV w:val="double" w:sz="4" w:space="0" w:color="00000A"/>
            </w:tcBorders>
            <w:shd w:fill="auto" w:val="clear"/>
            <w:tcMar>
              <w:left w:w="54" w:type="dxa"/>
            </w:tcMar>
          </w:tcPr>
          <w:p>
            <w:pPr>
              <w:pStyle w:val="Normal"/>
              <w:spacing w:before="0" w:after="0"/>
              <w:jc w:val="center"/>
              <w:rPr>
                <w:rFonts w:ascii="Arial" w:hAnsi="Arial" w:cs="Arial"/>
                <w:b/>
                <w:b/>
              </w:rPr>
            </w:pPr>
            <w:r>
              <w:rPr>
                <w:rFonts w:cs="Arial" w:ascii="Arial" w:hAnsi="Arial"/>
                <w:b/>
              </w:rPr>
              <w:t>Gmina Pyrzyce</w:t>
            </w:r>
          </w:p>
          <w:p>
            <w:pPr>
              <w:pStyle w:val="Normal"/>
              <w:spacing w:before="0" w:after="0"/>
              <w:jc w:val="center"/>
              <w:rPr>
                <w:rFonts w:ascii="Arial" w:hAnsi="Arial" w:cs="Arial"/>
              </w:rPr>
            </w:pPr>
            <w:r>
              <w:rPr>
                <w:rFonts w:cs="Arial" w:ascii="Arial" w:hAnsi="Arial"/>
              </w:rPr>
              <w:t>Plac Ratuszowy 1,</w:t>
            </w:r>
          </w:p>
          <w:p>
            <w:pPr>
              <w:pStyle w:val="Normal"/>
              <w:spacing w:before="0" w:after="0"/>
              <w:jc w:val="center"/>
              <w:rPr>
                <w:rFonts w:ascii="Arial" w:hAnsi="Arial" w:cs="Arial"/>
                <w:b/>
                <w:b/>
              </w:rPr>
            </w:pPr>
            <w:r>
              <w:rPr>
                <w:rFonts w:cs="Arial" w:ascii="Arial" w:hAnsi="Arial"/>
              </w:rPr>
              <w:t>74-200 Pyrzyce</w:t>
            </w:r>
          </w:p>
        </w:tc>
      </w:tr>
      <w:tr>
        <w:trPr>
          <w:trHeight w:val="835" w:hRule="atLeast"/>
        </w:trPr>
        <w:tc>
          <w:tcPr>
            <w:tcW w:w="1701" w:type="dxa"/>
            <w:tcBorders>
              <w:top w:val="single" w:sz="6" w:space="0" w:color="00000A"/>
              <w:left w:val="double" w:sz="4" w:space="0" w:color="00000A"/>
              <w:bottom w:val="single" w:sz="6" w:space="0" w:color="00000A"/>
              <w:right w:val="single" w:sz="6" w:space="0" w:color="00000A"/>
              <w:insideH w:val="single" w:sz="6" w:space="0" w:color="00000A"/>
              <w:insideV w:val="single" w:sz="6" w:space="0" w:color="00000A"/>
            </w:tcBorders>
            <w:shd w:fill="auto" w:val="clear"/>
            <w:tcMar>
              <w:left w:w="40" w:type="dxa"/>
            </w:tcMar>
          </w:tcPr>
          <w:p>
            <w:pPr>
              <w:pStyle w:val="Normal"/>
              <w:spacing w:before="0" w:after="0"/>
              <w:jc w:val="left"/>
              <w:rPr>
                <w:rFonts w:ascii="Arial" w:hAnsi="Arial" w:cs="Arial"/>
                <w:i/>
                <w:i/>
              </w:rPr>
            </w:pPr>
            <w:r>
              <w:rPr>
                <w:rFonts w:cs="Arial" w:ascii="Arial" w:hAnsi="Arial"/>
                <w:i/>
              </w:rPr>
              <w:t>Architektura:</w:t>
            </w:r>
          </w:p>
        </w:tc>
        <w:tc>
          <w:tcPr>
            <w:tcW w:w="7583" w:type="dxa"/>
            <w:tcBorders>
              <w:top w:val="single" w:sz="6" w:space="0" w:color="00000A"/>
              <w:left w:val="single" w:sz="6" w:space="0" w:color="00000A"/>
              <w:bottom w:val="single" w:sz="6" w:space="0" w:color="00000A"/>
              <w:right w:val="double" w:sz="4" w:space="0" w:color="00000A"/>
              <w:insideH w:val="single" w:sz="6" w:space="0" w:color="00000A"/>
              <w:insideV w:val="double" w:sz="4" w:space="0" w:color="00000A"/>
            </w:tcBorders>
            <w:shd w:fill="auto" w:val="clear"/>
            <w:tcMar>
              <w:left w:w="54" w:type="dxa"/>
            </w:tcMar>
          </w:tcPr>
          <w:p>
            <w:pPr>
              <w:pStyle w:val="Normal"/>
              <w:spacing w:before="0" w:after="0"/>
              <w:jc w:val="left"/>
              <w:rPr>
                <w:rFonts w:ascii="Arial" w:hAnsi="Arial" w:cs="Arial"/>
                <w:i/>
                <w:i/>
              </w:rPr>
            </w:pPr>
            <w:r>
              <w:rPr>
                <w:rFonts w:cs="Arial" w:ascii="Arial" w:hAnsi="Arial"/>
                <w:i/>
              </w:rPr>
              <w:t>Opracowanie:</w:t>
            </w:r>
          </w:p>
          <w:p>
            <w:pPr>
              <w:pStyle w:val="Normal"/>
              <w:spacing w:before="0" w:after="0"/>
              <w:jc w:val="left"/>
              <w:rPr>
                <w:rFonts w:ascii="Arial" w:hAnsi="Arial" w:cs="Arial"/>
                <w:b/>
                <w:b/>
                <w:i/>
                <w:i/>
              </w:rPr>
            </w:pPr>
            <w:r>
              <w:rPr>
                <w:rFonts w:cs="Arial" w:ascii="Arial" w:hAnsi="Arial"/>
                <w:b/>
                <w:i/>
              </w:rPr>
              <w:t>inż. Małgorzata Jarmusz</w:t>
            </w:r>
          </w:p>
          <w:p>
            <w:pPr>
              <w:pStyle w:val="Normal"/>
              <w:spacing w:before="0" w:after="0"/>
              <w:jc w:val="left"/>
              <w:rPr>
                <w:rFonts w:ascii="Arial" w:hAnsi="Arial" w:cs="Arial"/>
                <w:i/>
                <w:i/>
              </w:rPr>
            </w:pPr>
            <w:r>
              <w:rPr>
                <w:rFonts w:cs="Arial" w:ascii="Arial" w:hAnsi="Arial"/>
                <w:i/>
              </w:rPr>
            </w:r>
          </w:p>
          <w:p>
            <w:pPr>
              <w:pStyle w:val="Normal"/>
              <w:spacing w:before="0" w:after="0"/>
              <w:jc w:val="left"/>
              <w:rPr>
                <w:rFonts w:ascii="Arial" w:hAnsi="Arial" w:cs="Arial"/>
                <w:i/>
                <w:i/>
              </w:rPr>
            </w:pPr>
            <w:r>
              <w:rPr>
                <w:rFonts w:cs="Arial" w:ascii="Arial" w:hAnsi="Arial"/>
                <w:i/>
              </w:rPr>
              <w:t>Weryfikacja:</w:t>
            </w:r>
          </w:p>
          <w:p>
            <w:pPr>
              <w:pStyle w:val="Normal"/>
              <w:spacing w:before="0" w:after="0"/>
              <w:jc w:val="left"/>
              <w:rPr>
                <w:rFonts w:ascii="Arial" w:hAnsi="Arial" w:cs="Arial"/>
                <w:b/>
                <w:b/>
                <w:i/>
                <w:i/>
              </w:rPr>
            </w:pPr>
            <w:r>
              <w:rPr>
                <w:rFonts w:cs="Arial" w:ascii="Arial" w:hAnsi="Arial"/>
                <w:b/>
                <w:i/>
              </w:rPr>
              <w:t>mgr inż. arch. Ewelina Bożacka</w:t>
            </w:r>
          </w:p>
          <w:p>
            <w:pPr>
              <w:pStyle w:val="Normal"/>
              <w:spacing w:before="0" w:after="0"/>
              <w:jc w:val="left"/>
              <w:rPr>
                <w:rFonts w:ascii="Arial" w:hAnsi="Arial" w:cs="Arial"/>
                <w:b/>
                <w:b/>
                <w:i/>
                <w:i/>
              </w:rPr>
            </w:pPr>
            <w:r>
              <w:rPr>
                <w:rFonts w:cs="Arial" w:ascii="Arial" w:hAnsi="Arial"/>
                <w:b/>
                <w:i/>
              </w:rPr>
              <w:t>upr. bud do proj. arch. nr 69/Sz/01</w:t>
            </w:r>
          </w:p>
        </w:tc>
      </w:tr>
      <w:tr>
        <w:trPr>
          <w:trHeight w:val="5579" w:hRule="atLeast"/>
        </w:trPr>
        <w:tc>
          <w:tcPr>
            <w:tcW w:w="1701" w:type="dxa"/>
            <w:tcBorders>
              <w:top w:val="single" w:sz="6" w:space="0" w:color="00000A"/>
              <w:left w:val="double" w:sz="4" w:space="0" w:color="00000A"/>
              <w:bottom w:val="single" w:sz="6" w:space="0" w:color="00000A"/>
              <w:right w:val="single" w:sz="6" w:space="0" w:color="00000A"/>
              <w:insideH w:val="single" w:sz="6" w:space="0" w:color="00000A"/>
              <w:insideV w:val="single" w:sz="6" w:space="0" w:color="00000A"/>
            </w:tcBorders>
            <w:shd w:fill="auto" w:val="clear"/>
            <w:tcMar>
              <w:left w:w="40" w:type="dxa"/>
            </w:tcMar>
          </w:tcPr>
          <w:p>
            <w:pPr>
              <w:pStyle w:val="Normal"/>
              <w:spacing w:before="0" w:after="0"/>
              <w:jc w:val="left"/>
              <w:rPr>
                <w:rFonts w:ascii="Arial" w:hAnsi="Arial" w:cs="Arial"/>
                <w:i/>
                <w:i/>
              </w:rPr>
            </w:pPr>
            <w:r>
              <w:rPr>
                <w:rFonts w:cs="Arial" w:ascii="Arial" w:hAnsi="Arial"/>
                <w:i/>
              </w:rPr>
            </w:r>
          </w:p>
        </w:tc>
        <w:tc>
          <w:tcPr>
            <w:tcW w:w="7583" w:type="dxa"/>
            <w:tcBorders>
              <w:top w:val="single" w:sz="6" w:space="0" w:color="00000A"/>
              <w:left w:val="single" w:sz="6" w:space="0" w:color="00000A"/>
              <w:bottom w:val="single" w:sz="6" w:space="0" w:color="00000A"/>
              <w:right w:val="double" w:sz="4" w:space="0" w:color="00000A"/>
              <w:insideH w:val="single" w:sz="6" w:space="0" w:color="00000A"/>
              <w:insideV w:val="double" w:sz="4" w:space="0" w:color="00000A"/>
            </w:tcBorders>
            <w:shd w:fill="auto" w:val="clear"/>
            <w:tcMar>
              <w:left w:w="54" w:type="dxa"/>
            </w:tcMar>
          </w:tcPr>
          <w:p>
            <w:pPr>
              <w:pStyle w:val="Normal"/>
              <w:spacing w:before="0" w:after="0"/>
              <w:jc w:val="left"/>
              <w:rPr>
                <w:rFonts w:ascii="Arial" w:hAnsi="Arial" w:cs="Arial"/>
                <w:bCs/>
                <w:sz w:val="18"/>
                <w:szCs w:val="18"/>
              </w:rPr>
            </w:pPr>
            <w:r>
              <w:rPr>
                <w:rFonts w:cs="Arial" w:ascii="Arial" w:hAnsi="Arial"/>
                <w:bCs/>
                <w:sz w:val="18"/>
                <w:szCs w:val="18"/>
              </w:rPr>
              <w:t xml:space="preserve">Y020-9 Modernizacja </w:t>
            </w:r>
          </w:p>
          <w:p>
            <w:pPr>
              <w:pStyle w:val="Normal"/>
              <w:spacing w:before="0" w:after="0"/>
              <w:jc w:val="left"/>
              <w:rPr>
                <w:rFonts w:ascii="Arial" w:hAnsi="Arial" w:cs="Arial"/>
                <w:bCs/>
                <w:sz w:val="18"/>
                <w:szCs w:val="18"/>
              </w:rPr>
            </w:pPr>
            <w:r>
              <w:rPr>
                <w:rFonts w:cs="Arial" w:ascii="Arial" w:hAnsi="Arial"/>
                <w:bCs/>
                <w:sz w:val="18"/>
                <w:szCs w:val="18"/>
              </w:rPr>
              <w:t xml:space="preserve">45.00.00.00 -7 Roboty budowlane </w:t>
            </w:r>
          </w:p>
          <w:p>
            <w:pPr>
              <w:pStyle w:val="Normal"/>
              <w:spacing w:before="0" w:after="0"/>
              <w:jc w:val="left"/>
              <w:rPr>
                <w:rFonts w:ascii="Arial" w:hAnsi="Arial" w:cs="Arial"/>
                <w:bCs/>
                <w:sz w:val="18"/>
                <w:szCs w:val="18"/>
              </w:rPr>
            </w:pPr>
            <w:r>
              <w:rPr>
                <w:rFonts w:cs="Arial" w:ascii="Arial" w:hAnsi="Arial"/>
                <w:bCs/>
                <w:sz w:val="18"/>
                <w:szCs w:val="18"/>
              </w:rPr>
              <w:t xml:space="preserve">45.10.00.00-8 Przygotowanie terenu pod budowę </w:t>
            </w:r>
          </w:p>
          <w:p>
            <w:pPr>
              <w:pStyle w:val="Normal"/>
              <w:spacing w:before="0" w:after="0"/>
              <w:jc w:val="left"/>
              <w:rPr>
                <w:rFonts w:ascii="Arial" w:hAnsi="Arial" w:cs="Arial"/>
                <w:bCs/>
                <w:sz w:val="18"/>
                <w:szCs w:val="18"/>
              </w:rPr>
            </w:pPr>
            <w:r>
              <w:rPr>
                <w:rFonts w:cs="Arial" w:ascii="Arial" w:hAnsi="Arial"/>
                <w:bCs/>
                <w:sz w:val="18"/>
                <w:szCs w:val="18"/>
              </w:rPr>
              <w:t xml:space="preserve">71.22.00.00-6 Usługi projektowania architektonicznego </w:t>
            </w:r>
          </w:p>
          <w:p>
            <w:pPr>
              <w:pStyle w:val="Normal"/>
              <w:spacing w:before="0" w:after="0"/>
              <w:jc w:val="left"/>
              <w:rPr>
                <w:rFonts w:ascii="Arial" w:hAnsi="Arial" w:cs="Arial"/>
                <w:bCs/>
                <w:sz w:val="18"/>
                <w:szCs w:val="18"/>
              </w:rPr>
            </w:pPr>
            <w:r>
              <w:rPr>
                <w:rFonts w:cs="Arial" w:ascii="Arial" w:hAnsi="Arial"/>
                <w:bCs/>
                <w:sz w:val="18"/>
                <w:szCs w:val="18"/>
              </w:rPr>
              <w:t xml:space="preserve">71.24.00.00-2 Usługi architektoniczne, inżynieryjne i planowania </w:t>
            </w:r>
          </w:p>
          <w:p>
            <w:pPr>
              <w:pStyle w:val="Normal"/>
              <w:spacing w:before="0" w:after="0"/>
              <w:jc w:val="left"/>
              <w:rPr>
                <w:rFonts w:ascii="Arial" w:hAnsi="Arial" w:cs="Arial"/>
                <w:bCs/>
                <w:sz w:val="18"/>
                <w:szCs w:val="18"/>
              </w:rPr>
            </w:pPr>
            <w:r>
              <w:rPr>
                <w:rFonts w:cs="Arial" w:ascii="Arial" w:hAnsi="Arial"/>
                <w:bCs/>
                <w:sz w:val="18"/>
                <w:szCs w:val="18"/>
              </w:rPr>
              <w:t xml:space="preserve">45.20.00.00 -9 Roboty budowlane w zakresie wznoszenia kompletnych obiektów budowlanych lub ich części oraz roboty w zakresie inżynierii lądowej i wodnej </w:t>
            </w:r>
          </w:p>
          <w:p>
            <w:pPr>
              <w:pStyle w:val="Normal"/>
              <w:spacing w:before="0" w:after="0"/>
              <w:jc w:val="left"/>
              <w:rPr>
                <w:rFonts w:ascii="Arial" w:hAnsi="Arial" w:cs="Arial"/>
                <w:bCs/>
                <w:sz w:val="18"/>
                <w:szCs w:val="18"/>
              </w:rPr>
            </w:pPr>
            <w:r>
              <w:rPr>
                <w:rFonts w:cs="Arial" w:ascii="Arial" w:hAnsi="Arial"/>
                <w:bCs/>
                <w:sz w:val="18"/>
                <w:szCs w:val="18"/>
              </w:rPr>
              <w:t xml:space="preserve">45.30.00.00 -0 Roboty instalacyjne w budynkach </w:t>
            </w:r>
          </w:p>
          <w:p>
            <w:pPr>
              <w:pStyle w:val="Normal"/>
              <w:spacing w:before="0" w:after="0"/>
              <w:jc w:val="left"/>
              <w:rPr>
                <w:rFonts w:ascii="Arial" w:hAnsi="Arial" w:cs="Arial"/>
                <w:bCs/>
                <w:sz w:val="18"/>
                <w:szCs w:val="18"/>
              </w:rPr>
            </w:pPr>
            <w:r>
              <w:rPr>
                <w:rFonts w:cs="Arial" w:ascii="Arial" w:hAnsi="Arial"/>
                <w:bCs/>
                <w:sz w:val="18"/>
                <w:szCs w:val="18"/>
              </w:rPr>
              <w:t xml:space="preserve">45.40.00.00 -1 Roboty wykończeniowe w zakresie obiektów budowlanych </w:t>
            </w:r>
          </w:p>
          <w:p>
            <w:pPr>
              <w:pStyle w:val="Normal"/>
              <w:spacing w:before="0" w:after="0"/>
              <w:jc w:val="left"/>
              <w:rPr>
                <w:rFonts w:ascii="Arial" w:hAnsi="Arial" w:cs="Arial"/>
                <w:bCs/>
                <w:sz w:val="18"/>
                <w:szCs w:val="18"/>
              </w:rPr>
            </w:pPr>
            <w:r>
              <w:rPr>
                <w:rFonts w:cs="Arial" w:ascii="Arial" w:hAnsi="Arial"/>
                <w:bCs/>
                <w:sz w:val="18"/>
                <w:szCs w:val="18"/>
              </w:rPr>
              <w:t xml:space="preserve">45.26.00.00 -7 Roboty w zakresie wykonywania pokryć i konstrukcji dachowych i inne podobne roboty specjalistyczne </w:t>
            </w:r>
          </w:p>
          <w:p>
            <w:pPr>
              <w:pStyle w:val="Normal"/>
              <w:spacing w:before="0" w:after="0"/>
              <w:jc w:val="left"/>
              <w:rPr>
                <w:rFonts w:ascii="Arial" w:hAnsi="Arial" w:cs="Arial"/>
                <w:bCs/>
                <w:sz w:val="18"/>
                <w:szCs w:val="18"/>
              </w:rPr>
            </w:pPr>
            <w:r>
              <w:rPr>
                <w:rFonts w:cs="Arial" w:ascii="Arial" w:hAnsi="Arial"/>
                <w:bCs/>
                <w:sz w:val="18"/>
                <w:szCs w:val="18"/>
              </w:rPr>
              <w:t xml:space="preserve">45.32.00.00 -6 Roboty izolacyjne </w:t>
            </w:r>
          </w:p>
          <w:p>
            <w:pPr>
              <w:pStyle w:val="Normal"/>
              <w:spacing w:before="0" w:after="0"/>
              <w:jc w:val="left"/>
              <w:rPr>
                <w:rFonts w:ascii="Arial" w:hAnsi="Arial" w:cs="Arial"/>
                <w:bCs/>
                <w:sz w:val="18"/>
                <w:szCs w:val="18"/>
              </w:rPr>
            </w:pPr>
            <w:r>
              <w:rPr>
                <w:rFonts w:cs="Arial" w:ascii="Arial" w:hAnsi="Arial"/>
                <w:bCs/>
                <w:sz w:val="18"/>
                <w:szCs w:val="18"/>
              </w:rPr>
              <w:t xml:space="preserve">45.41.00.00 -4 Tynkowanie </w:t>
            </w:r>
          </w:p>
          <w:p>
            <w:pPr>
              <w:pStyle w:val="Normal"/>
              <w:spacing w:before="0" w:after="0"/>
              <w:jc w:val="left"/>
              <w:rPr>
                <w:rFonts w:ascii="Arial" w:hAnsi="Arial" w:cs="Arial"/>
                <w:bCs/>
                <w:sz w:val="18"/>
                <w:szCs w:val="18"/>
              </w:rPr>
            </w:pPr>
            <w:r>
              <w:rPr>
                <w:rFonts w:cs="Arial" w:ascii="Arial" w:hAnsi="Arial"/>
                <w:bCs/>
                <w:sz w:val="18"/>
                <w:szCs w:val="18"/>
              </w:rPr>
              <w:t xml:space="preserve">45.42.00.00 -7 Roboty w zakresie zakładania stolarki budowlanej oraz roboty ciesielskie </w:t>
            </w:r>
          </w:p>
          <w:p>
            <w:pPr>
              <w:pStyle w:val="Normal"/>
              <w:spacing w:before="0" w:after="0"/>
              <w:jc w:val="left"/>
              <w:rPr>
                <w:rFonts w:ascii="Arial" w:hAnsi="Arial" w:cs="Arial"/>
                <w:bCs/>
                <w:sz w:val="18"/>
                <w:szCs w:val="18"/>
              </w:rPr>
            </w:pPr>
            <w:r>
              <w:rPr>
                <w:rFonts w:cs="Arial" w:ascii="Arial" w:hAnsi="Arial"/>
                <w:bCs/>
                <w:sz w:val="18"/>
                <w:szCs w:val="18"/>
              </w:rPr>
              <w:t xml:space="preserve">45.45.00.00 -6 Roboty budowlane wykończeniowe, pozostałe </w:t>
            </w:r>
          </w:p>
          <w:p>
            <w:pPr>
              <w:pStyle w:val="Normal"/>
              <w:spacing w:before="0" w:after="0"/>
              <w:jc w:val="left"/>
              <w:rPr>
                <w:rFonts w:ascii="Arial" w:hAnsi="Arial" w:cs="Arial"/>
                <w:bCs/>
                <w:sz w:val="18"/>
                <w:szCs w:val="18"/>
              </w:rPr>
            </w:pPr>
            <w:r>
              <w:rPr>
                <w:rFonts w:cs="Arial" w:ascii="Arial" w:hAnsi="Arial"/>
                <w:bCs/>
                <w:sz w:val="18"/>
                <w:szCs w:val="18"/>
              </w:rPr>
              <w:t xml:space="preserve">45.26.19.00 -3 Naprawa i konserwacja dachów </w:t>
            </w:r>
          </w:p>
          <w:p>
            <w:pPr>
              <w:pStyle w:val="Normal"/>
              <w:spacing w:before="0" w:after="0"/>
              <w:jc w:val="left"/>
              <w:rPr>
                <w:rFonts w:ascii="Arial" w:hAnsi="Arial" w:cs="Arial"/>
                <w:bCs/>
                <w:sz w:val="18"/>
                <w:szCs w:val="18"/>
              </w:rPr>
            </w:pPr>
            <w:r>
              <w:rPr>
                <w:rFonts w:cs="Arial" w:ascii="Arial" w:hAnsi="Arial"/>
                <w:bCs/>
                <w:sz w:val="18"/>
                <w:szCs w:val="18"/>
              </w:rPr>
              <w:t xml:space="preserve">45.32.10.00 -3 Izolacja cieplna </w:t>
            </w:r>
          </w:p>
          <w:p>
            <w:pPr>
              <w:pStyle w:val="Normal"/>
              <w:spacing w:before="0" w:after="0"/>
              <w:jc w:val="left"/>
              <w:rPr>
                <w:rFonts w:ascii="Arial" w:hAnsi="Arial" w:cs="Arial"/>
                <w:bCs/>
                <w:sz w:val="18"/>
                <w:szCs w:val="18"/>
              </w:rPr>
            </w:pPr>
            <w:r>
              <w:rPr>
                <w:rFonts w:cs="Arial" w:ascii="Arial" w:hAnsi="Arial"/>
                <w:bCs/>
                <w:sz w:val="18"/>
                <w:szCs w:val="18"/>
              </w:rPr>
              <w:t xml:space="preserve">45.42.11.00 -5 Instalowanie drzwi i okien i podobnych elementów </w:t>
            </w:r>
          </w:p>
          <w:p>
            <w:pPr>
              <w:pStyle w:val="Normal"/>
              <w:spacing w:before="0" w:after="0"/>
              <w:jc w:val="left"/>
              <w:rPr>
                <w:rFonts w:ascii="Arial" w:hAnsi="Arial" w:cs="Arial"/>
                <w:bCs/>
                <w:sz w:val="18"/>
                <w:szCs w:val="18"/>
              </w:rPr>
            </w:pPr>
            <w:r>
              <w:rPr>
                <w:rFonts w:cs="Arial" w:ascii="Arial" w:hAnsi="Arial"/>
                <w:bCs/>
                <w:sz w:val="18"/>
                <w:szCs w:val="18"/>
              </w:rPr>
              <w:t>45212350-4 Budynki o szczególnej wartości historycznej lub architektonicznej</w:t>
            </w:r>
          </w:p>
          <w:p>
            <w:pPr>
              <w:pStyle w:val="Normal"/>
              <w:spacing w:before="0" w:after="0"/>
              <w:jc w:val="left"/>
              <w:rPr>
                <w:rFonts w:ascii="Arial" w:hAnsi="Arial" w:cs="Arial"/>
                <w:bCs/>
                <w:sz w:val="18"/>
                <w:szCs w:val="18"/>
              </w:rPr>
            </w:pPr>
            <w:r>
              <w:rPr>
                <w:rFonts w:cs="Arial" w:ascii="Arial" w:hAnsi="Arial"/>
                <w:bCs/>
                <w:sz w:val="18"/>
                <w:szCs w:val="18"/>
              </w:rPr>
              <w:t>45.45.30.00 -7 Roboty remontowe i renowacyjne</w:t>
            </w:r>
          </w:p>
          <w:p>
            <w:pPr>
              <w:pStyle w:val="Normal"/>
              <w:spacing w:before="0" w:after="0"/>
              <w:jc w:val="left"/>
              <w:rPr>
                <w:rFonts w:ascii="Arial" w:hAnsi="Arial" w:cs="Arial"/>
                <w:bCs/>
              </w:rPr>
            </w:pPr>
            <w:r>
              <w:rPr>
                <w:rFonts w:eastAsia="Times New Roman" w:cs="Arial" w:ascii="Arial" w:hAnsi="Arial"/>
                <w:bCs/>
                <w:sz w:val="18"/>
                <w:szCs w:val="18"/>
              </w:rPr>
              <w:t>71.32.00.00-0  Usługi inżynieryjne w zakresie projektowania</w:t>
            </w:r>
          </w:p>
        </w:tc>
      </w:tr>
      <w:tr>
        <w:trPr>
          <w:trHeight w:val="539" w:hRule="atLeast"/>
        </w:trPr>
        <w:tc>
          <w:tcPr>
            <w:tcW w:w="9284" w:type="dxa"/>
            <w:gridSpan w:val="2"/>
            <w:tcBorders>
              <w:top w:val="single" w:sz="6" w:space="0" w:color="00000A"/>
              <w:left w:val="double" w:sz="4" w:space="0" w:color="00000A"/>
              <w:bottom w:val="double" w:sz="4" w:space="0" w:color="00000A"/>
              <w:right w:val="double" w:sz="4" w:space="0" w:color="00000A"/>
              <w:insideH w:val="double" w:sz="4" w:space="0" w:color="00000A"/>
              <w:insideV w:val="double" w:sz="4" w:space="0" w:color="00000A"/>
            </w:tcBorders>
            <w:shd w:fill="auto" w:val="clear"/>
            <w:tcMar>
              <w:left w:w="40" w:type="dxa"/>
            </w:tcMar>
          </w:tcPr>
          <w:p>
            <w:pPr>
              <w:pStyle w:val="Normal"/>
              <w:spacing w:lineRule="auto" w:line="240" w:before="120" w:after="0"/>
              <w:jc w:val="center"/>
              <w:rPr>
                <w:rFonts w:ascii="Arial" w:hAnsi="Arial" w:eastAsia="Times New Roman" w:cs="Arial"/>
              </w:rPr>
            </w:pPr>
            <w:r>
              <w:rPr>
                <w:rFonts w:eastAsia="Times New Roman" w:cs="Arial" w:ascii="Arial" w:hAnsi="Arial"/>
              </w:rPr>
              <w:t>Szczecin grudzień 2018r.</w:t>
            </w:r>
          </w:p>
        </w:tc>
      </w:tr>
    </w:tbl>
    <w:p>
      <w:pPr>
        <w:pStyle w:val="Normal"/>
        <w:rPr/>
      </w:pPr>
      <w:r>
        <w:rPr/>
      </w:r>
    </w:p>
    <w:p>
      <w:pPr>
        <w:sectPr>
          <w:type w:val="nextPage"/>
          <w:pgSz w:w="11906" w:h="16838"/>
          <w:pgMar w:left="1417" w:right="1417" w:header="0" w:top="1417" w:footer="0" w:bottom="1417" w:gutter="0"/>
          <w:pgNumType w:fmt="decimal"/>
          <w:formProt w:val="false"/>
          <w:textDirection w:val="lrTb"/>
          <w:docGrid w:type="default" w:linePitch="360" w:charSpace="2047"/>
        </w:sectPr>
        <w:pStyle w:val="Normal"/>
        <w:rPr/>
      </w:pPr>
      <w:r>
        <w:rPr/>
      </w:r>
    </w:p>
    <w:sdt>
      <w:sdtPr>
        <w:docPartObj>
          <w:docPartGallery w:val="Table of Contents"/>
          <w:docPartUnique w:val="true"/>
        </w:docPartObj>
        <w:id w:val="1664023345"/>
      </w:sdtPr>
      <w:sdtContent>
        <w:p>
          <w:pPr>
            <w:pStyle w:val="TOCHeading"/>
            <w:numPr>
              <w:ilvl w:val="0"/>
              <w:numId w:val="3"/>
            </w:numPr>
            <w:shd w:val="clear" w:fill="F04E23"/>
            <w:rPr/>
          </w:pPr>
          <w:bookmarkStart w:id="0" w:name="_Ref10613624"/>
          <w:bookmarkEnd w:id="0"/>
          <w:r>
            <w:rPr/>
            <w:t>Spis treści</w:t>
          </w:r>
        </w:p>
        <w:p>
          <w:pPr>
            <w:pStyle w:val="Normal"/>
            <w:rPr/>
          </w:pPr>
          <w:r>
            <w:rPr/>
            <w:t>I. Część opisowa</w:t>
          </w:r>
        </w:p>
        <w:p>
          <w:pPr>
            <w:pStyle w:val="Spistreci1"/>
            <w:rPr>
              <w:sz w:val="22"/>
              <w:szCs w:val="22"/>
              <w:lang w:eastAsia="pl-PL"/>
            </w:rPr>
          </w:pPr>
          <w:r>
            <w:fldChar w:fldCharType="begin"/>
          </w:r>
          <w:r>
            <w:instrText> TOC \z \o "1-3" \u \h</w:instrText>
          </w:r>
          <w:r>
            <w:fldChar w:fldCharType="separate"/>
          </w:r>
          <w:hyperlink w:anchor="_Toc10627700">
            <w:r>
              <w:rPr>
                <w:webHidden/>
                <w:rStyle w:val="Czeinternetowe"/>
                <w:vanish w:val="false"/>
              </w:rPr>
              <w:t>1</w:t>
            </w:r>
            <w:r>
              <w:rPr>
                <w:rStyle w:val="Czeindeksu"/>
                <w:sz w:val="22"/>
                <w:szCs w:val="22"/>
                <w:lang w:eastAsia="pl-PL"/>
              </w:rPr>
              <w:tab/>
            </w:r>
            <w:r>
              <w:rPr>
                <w:rStyle w:val="Czeinternetowe"/>
              </w:rPr>
              <w:t>Informacje podstawowe</w:t>
            </w:r>
            <w:r>
              <w:rPr>
                <w:webHidden/>
              </w:rPr>
              <w:fldChar w:fldCharType="begin"/>
            </w:r>
            <w:r>
              <w:rPr>
                <w:webHidden/>
              </w:rPr>
              <w:instrText>PAGEREF _Toc10627700 \h</w:instrText>
            </w:r>
            <w:r>
              <w:rPr>
                <w:webHidden/>
              </w:rPr>
              <w:fldChar w:fldCharType="separate"/>
            </w:r>
            <w:r>
              <w:rPr>
                <w:rStyle w:val="Czeindeksu"/>
                <w:vanish w:val="false"/>
              </w:rPr>
              <w:tab/>
              <w:t>6</w:t>
            </w:r>
            <w:r>
              <w:rPr>
                <w:webHidden/>
              </w:rPr>
              <w:fldChar w:fldCharType="end"/>
            </w:r>
          </w:hyperlink>
        </w:p>
        <w:p>
          <w:pPr>
            <w:pStyle w:val="Spistreci2"/>
            <w:tabs>
              <w:tab w:val="left" w:pos="880" w:leader="none"/>
              <w:tab w:val="right" w:pos="9062" w:leader="dot"/>
            </w:tabs>
            <w:rPr>
              <w:sz w:val="22"/>
              <w:szCs w:val="22"/>
              <w:lang w:eastAsia="pl-PL"/>
            </w:rPr>
          </w:pPr>
          <w:hyperlink w:anchor="_Toc10627701">
            <w:r>
              <w:rPr>
                <w:webHidden/>
                <w:rStyle w:val="Czeinternetowe"/>
                <w:vanish w:val="false"/>
              </w:rPr>
              <w:t>1.1</w:t>
            </w:r>
            <w:r>
              <w:rPr>
                <w:rStyle w:val="Czeindeksu"/>
                <w:sz w:val="22"/>
                <w:szCs w:val="22"/>
                <w:lang w:eastAsia="pl-PL"/>
              </w:rPr>
              <w:tab/>
            </w:r>
            <w:r>
              <w:rPr>
                <w:rStyle w:val="Czeinternetowe"/>
              </w:rPr>
              <w:t>Podstawa opracowania</w:t>
            </w:r>
            <w:r>
              <w:rPr>
                <w:webHidden/>
              </w:rPr>
              <w:fldChar w:fldCharType="begin"/>
            </w:r>
            <w:r>
              <w:rPr>
                <w:webHidden/>
              </w:rPr>
              <w:instrText>PAGEREF _Toc10627701 \h</w:instrText>
            </w:r>
            <w:r>
              <w:rPr>
                <w:webHidden/>
              </w:rPr>
              <w:fldChar w:fldCharType="separate"/>
            </w:r>
            <w:r>
              <w:rPr>
                <w:rStyle w:val="Czeindeksu"/>
                <w:vanish w:val="false"/>
              </w:rPr>
              <w:tab/>
              <w:t>6</w:t>
            </w:r>
            <w:r>
              <w:rPr>
                <w:webHidden/>
              </w:rPr>
              <w:fldChar w:fldCharType="end"/>
            </w:r>
          </w:hyperlink>
        </w:p>
        <w:p>
          <w:pPr>
            <w:pStyle w:val="Spistreci2"/>
            <w:tabs>
              <w:tab w:val="left" w:pos="880" w:leader="none"/>
              <w:tab w:val="right" w:pos="9062" w:leader="dot"/>
            </w:tabs>
            <w:rPr>
              <w:sz w:val="22"/>
              <w:szCs w:val="22"/>
              <w:lang w:eastAsia="pl-PL"/>
            </w:rPr>
          </w:pPr>
          <w:hyperlink w:anchor="_Toc10627702">
            <w:r>
              <w:rPr>
                <w:webHidden/>
                <w:rStyle w:val="Czeinternetowe"/>
                <w:vanish w:val="false"/>
              </w:rPr>
              <w:t>1.2</w:t>
            </w:r>
            <w:r>
              <w:rPr>
                <w:rStyle w:val="Czeindeksu"/>
                <w:sz w:val="22"/>
                <w:szCs w:val="22"/>
                <w:lang w:eastAsia="pl-PL"/>
              </w:rPr>
              <w:tab/>
            </w:r>
            <w:r>
              <w:rPr>
                <w:rStyle w:val="Czeinternetowe"/>
              </w:rPr>
              <w:t>Data opracowania</w:t>
            </w:r>
            <w:r>
              <w:rPr>
                <w:webHidden/>
              </w:rPr>
              <w:fldChar w:fldCharType="begin"/>
            </w:r>
            <w:r>
              <w:rPr>
                <w:webHidden/>
              </w:rPr>
              <w:instrText>PAGEREF _Toc10627702 \h</w:instrText>
            </w:r>
            <w:r>
              <w:rPr>
                <w:webHidden/>
              </w:rPr>
              <w:fldChar w:fldCharType="separate"/>
            </w:r>
            <w:r>
              <w:rPr>
                <w:rStyle w:val="Czeindeksu"/>
                <w:vanish w:val="false"/>
              </w:rPr>
              <w:tab/>
              <w:t>6</w:t>
            </w:r>
            <w:r>
              <w:rPr>
                <w:webHidden/>
              </w:rPr>
              <w:fldChar w:fldCharType="end"/>
            </w:r>
          </w:hyperlink>
        </w:p>
        <w:p>
          <w:pPr>
            <w:pStyle w:val="Spistreci2"/>
            <w:tabs>
              <w:tab w:val="left" w:pos="880" w:leader="none"/>
              <w:tab w:val="right" w:pos="9062" w:leader="dot"/>
            </w:tabs>
            <w:rPr>
              <w:sz w:val="22"/>
              <w:szCs w:val="22"/>
              <w:lang w:eastAsia="pl-PL"/>
            </w:rPr>
          </w:pPr>
          <w:hyperlink w:anchor="_Toc10627703">
            <w:r>
              <w:rPr>
                <w:webHidden/>
                <w:rStyle w:val="Czeinternetowe"/>
                <w:vanish w:val="false"/>
              </w:rPr>
              <w:t>1.3</w:t>
            </w:r>
            <w:r>
              <w:rPr>
                <w:rStyle w:val="Czeindeksu"/>
                <w:sz w:val="22"/>
                <w:szCs w:val="22"/>
                <w:lang w:eastAsia="pl-PL"/>
              </w:rPr>
              <w:tab/>
            </w:r>
            <w:r>
              <w:rPr>
                <w:rStyle w:val="Czeinternetowe"/>
              </w:rPr>
              <w:t>Nazwa przedsięwzięcia</w:t>
            </w:r>
            <w:r>
              <w:rPr>
                <w:webHidden/>
              </w:rPr>
              <w:fldChar w:fldCharType="begin"/>
            </w:r>
            <w:r>
              <w:rPr>
                <w:webHidden/>
              </w:rPr>
              <w:instrText>PAGEREF _Toc10627703 \h</w:instrText>
            </w:r>
            <w:r>
              <w:rPr>
                <w:webHidden/>
              </w:rPr>
              <w:fldChar w:fldCharType="separate"/>
            </w:r>
            <w:r>
              <w:rPr>
                <w:rStyle w:val="Czeindeksu"/>
                <w:vanish w:val="false"/>
              </w:rPr>
              <w:tab/>
              <w:t>6</w:t>
            </w:r>
            <w:r>
              <w:rPr>
                <w:webHidden/>
              </w:rPr>
              <w:fldChar w:fldCharType="end"/>
            </w:r>
          </w:hyperlink>
        </w:p>
        <w:p>
          <w:pPr>
            <w:pStyle w:val="Spistreci2"/>
            <w:tabs>
              <w:tab w:val="left" w:pos="880" w:leader="none"/>
              <w:tab w:val="right" w:pos="9062" w:leader="dot"/>
            </w:tabs>
            <w:rPr>
              <w:sz w:val="22"/>
              <w:szCs w:val="22"/>
              <w:lang w:eastAsia="pl-PL"/>
            </w:rPr>
          </w:pPr>
          <w:hyperlink w:anchor="_Toc10627704">
            <w:r>
              <w:rPr>
                <w:webHidden/>
                <w:rStyle w:val="Czeinternetowe"/>
                <w:vanish w:val="false"/>
              </w:rPr>
              <w:t>1.4</w:t>
            </w:r>
            <w:r>
              <w:rPr>
                <w:rStyle w:val="Czeindeksu"/>
                <w:sz w:val="22"/>
                <w:szCs w:val="22"/>
                <w:lang w:eastAsia="pl-PL"/>
              </w:rPr>
              <w:tab/>
            </w:r>
            <w:r>
              <w:rPr>
                <w:rStyle w:val="Czeinternetowe"/>
              </w:rPr>
              <w:t>Określenie inwestora</w:t>
            </w:r>
            <w:r>
              <w:rPr>
                <w:webHidden/>
              </w:rPr>
              <w:fldChar w:fldCharType="begin"/>
            </w:r>
            <w:r>
              <w:rPr>
                <w:webHidden/>
              </w:rPr>
              <w:instrText>PAGEREF _Toc10627704 \h</w:instrText>
            </w:r>
            <w:r>
              <w:rPr>
                <w:webHidden/>
              </w:rPr>
              <w:fldChar w:fldCharType="separate"/>
            </w:r>
            <w:r>
              <w:rPr>
                <w:rStyle w:val="Czeindeksu"/>
                <w:vanish w:val="false"/>
              </w:rPr>
              <w:tab/>
              <w:t>6</w:t>
            </w:r>
            <w:r>
              <w:rPr>
                <w:webHidden/>
              </w:rPr>
              <w:fldChar w:fldCharType="end"/>
            </w:r>
          </w:hyperlink>
        </w:p>
        <w:p>
          <w:pPr>
            <w:pStyle w:val="Spistreci2"/>
            <w:tabs>
              <w:tab w:val="left" w:pos="880" w:leader="none"/>
              <w:tab w:val="right" w:pos="9062" w:leader="dot"/>
            </w:tabs>
            <w:rPr>
              <w:sz w:val="22"/>
              <w:szCs w:val="22"/>
              <w:lang w:eastAsia="pl-PL"/>
            </w:rPr>
          </w:pPr>
          <w:hyperlink w:anchor="_Toc10627705">
            <w:r>
              <w:rPr>
                <w:webHidden/>
                <w:rStyle w:val="Czeinternetowe"/>
                <w:vanish w:val="false"/>
              </w:rPr>
              <w:t>1.5</w:t>
            </w:r>
            <w:r>
              <w:rPr>
                <w:rStyle w:val="Czeindeksu"/>
                <w:sz w:val="22"/>
                <w:szCs w:val="22"/>
                <w:lang w:eastAsia="pl-PL"/>
              </w:rPr>
              <w:tab/>
            </w:r>
            <w:r>
              <w:rPr>
                <w:rStyle w:val="Czeinternetowe"/>
              </w:rPr>
              <w:t>Adres obiektu</w:t>
            </w:r>
            <w:r>
              <w:rPr>
                <w:webHidden/>
              </w:rPr>
              <w:fldChar w:fldCharType="begin"/>
            </w:r>
            <w:r>
              <w:rPr>
                <w:webHidden/>
              </w:rPr>
              <w:instrText>PAGEREF _Toc10627705 \h</w:instrText>
            </w:r>
            <w:r>
              <w:rPr>
                <w:webHidden/>
              </w:rPr>
              <w:fldChar w:fldCharType="separate"/>
            </w:r>
            <w:r>
              <w:rPr>
                <w:rStyle w:val="Czeindeksu"/>
                <w:vanish w:val="false"/>
              </w:rPr>
              <w:tab/>
              <w:t>6</w:t>
            </w:r>
            <w:r>
              <w:rPr>
                <w:webHidden/>
              </w:rPr>
              <w:fldChar w:fldCharType="end"/>
            </w:r>
          </w:hyperlink>
        </w:p>
        <w:p>
          <w:pPr>
            <w:pStyle w:val="Spistreci2"/>
            <w:tabs>
              <w:tab w:val="left" w:pos="880" w:leader="none"/>
              <w:tab w:val="right" w:pos="9062" w:leader="dot"/>
            </w:tabs>
            <w:rPr>
              <w:sz w:val="22"/>
              <w:szCs w:val="22"/>
              <w:lang w:eastAsia="pl-PL"/>
            </w:rPr>
          </w:pPr>
          <w:hyperlink w:anchor="_Toc10627706">
            <w:r>
              <w:rPr>
                <w:webHidden/>
                <w:rStyle w:val="Czeinternetowe"/>
                <w:vanish w:val="false"/>
              </w:rPr>
              <w:t>1.6</w:t>
            </w:r>
            <w:r>
              <w:rPr>
                <w:rStyle w:val="Czeindeksu"/>
                <w:sz w:val="22"/>
                <w:szCs w:val="22"/>
                <w:lang w:eastAsia="pl-PL"/>
              </w:rPr>
              <w:tab/>
            </w:r>
            <w:r>
              <w:rPr>
                <w:rStyle w:val="Czeinternetowe"/>
              </w:rPr>
              <w:t>Zakres opracowania</w:t>
            </w:r>
            <w:r>
              <w:rPr>
                <w:webHidden/>
              </w:rPr>
              <w:fldChar w:fldCharType="begin"/>
            </w:r>
            <w:r>
              <w:rPr>
                <w:webHidden/>
              </w:rPr>
              <w:instrText>PAGEREF _Toc10627706 \h</w:instrText>
            </w:r>
            <w:r>
              <w:rPr>
                <w:webHidden/>
              </w:rPr>
              <w:fldChar w:fldCharType="separate"/>
            </w:r>
            <w:r>
              <w:rPr>
                <w:rStyle w:val="Czeindeksu"/>
                <w:vanish w:val="false"/>
              </w:rPr>
              <w:tab/>
              <w:t>6</w:t>
            </w:r>
            <w:r>
              <w:rPr>
                <w:webHidden/>
              </w:rPr>
              <w:fldChar w:fldCharType="end"/>
            </w:r>
          </w:hyperlink>
        </w:p>
        <w:p>
          <w:pPr>
            <w:pStyle w:val="Spistreci2"/>
            <w:tabs>
              <w:tab w:val="left" w:pos="880" w:leader="none"/>
              <w:tab w:val="right" w:pos="9062" w:leader="dot"/>
            </w:tabs>
            <w:rPr>
              <w:sz w:val="22"/>
              <w:szCs w:val="22"/>
              <w:lang w:eastAsia="pl-PL"/>
            </w:rPr>
          </w:pPr>
          <w:hyperlink w:anchor="_Toc10627707">
            <w:r>
              <w:rPr>
                <w:webHidden/>
                <w:rStyle w:val="Czeinternetowe"/>
                <w:vanish w:val="false"/>
              </w:rPr>
              <w:t>1.7</w:t>
            </w:r>
            <w:r>
              <w:rPr>
                <w:rStyle w:val="Czeindeksu"/>
                <w:sz w:val="22"/>
                <w:szCs w:val="22"/>
                <w:lang w:eastAsia="pl-PL"/>
              </w:rPr>
              <w:tab/>
            </w:r>
            <w:r>
              <w:rPr>
                <w:rStyle w:val="Czeinternetowe"/>
              </w:rPr>
              <w:t>Podstawowe pojęcia użyte w programie funkcjonalno-użytkowym</w:t>
            </w:r>
            <w:r>
              <w:rPr>
                <w:webHidden/>
              </w:rPr>
              <w:fldChar w:fldCharType="begin"/>
            </w:r>
            <w:r>
              <w:rPr>
                <w:webHidden/>
              </w:rPr>
              <w:instrText>PAGEREF _Toc10627707 \h</w:instrText>
            </w:r>
            <w:r>
              <w:rPr>
                <w:webHidden/>
              </w:rPr>
              <w:fldChar w:fldCharType="separate"/>
            </w:r>
            <w:r>
              <w:rPr>
                <w:rStyle w:val="Czeindeksu"/>
                <w:vanish w:val="false"/>
              </w:rPr>
              <w:tab/>
              <w:t>7</w:t>
            </w:r>
            <w:r>
              <w:rPr>
                <w:webHidden/>
              </w:rPr>
              <w:fldChar w:fldCharType="end"/>
            </w:r>
          </w:hyperlink>
        </w:p>
        <w:p>
          <w:pPr>
            <w:pStyle w:val="Spistreci1"/>
            <w:rPr>
              <w:sz w:val="22"/>
              <w:szCs w:val="22"/>
              <w:lang w:eastAsia="pl-PL"/>
            </w:rPr>
          </w:pPr>
          <w:hyperlink w:anchor="_Toc10627708">
            <w:r>
              <w:rPr>
                <w:webHidden/>
                <w:rStyle w:val="Czeinternetowe"/>
                <w:vanish w:val="false"/>
              </w:rPr>
              <w:t>2</w:t>
            </w:r>
            <w:r>
              <w:rPr>
                <w:rStyle w:val="Czeindeksu"/>
                <w:sz w:val="22"/>
                <w:szCs w:val="22"/>
                <w:lang w:eastAsia="pl-PL"/>
              </w:rPr>
              <w:tab/>
            </w:r>
            <w:r>
              <w:rPr>
                <w:rStyle w:val="Czeinternetowe"/>
              </w:rPr>
              <w:t>Opis ogólny przedmiotu zamówienia</w:t>
            </w:r>
            <w:r>
              <w:rPr>
                <w:webHidden/>
              </w:rPr>
              <w:fldChar w:fldCharType="begin"/>
            </w:r>
            <w:r>
              <w:rPr>
                <w:webHidden/>
              </w:rPr>
              <w:instrText>PAGEREF _Toc10627708 \h</w:instrText>
            </w:r>
            <w:r>
              <w:rPr>
                <w:webHidden/>
              </w:rPr>
              <w:fldChar w:fldCharType="separate"/>
            </w:r>
            <w:r>
              <w:rPr>
                <w:rStyle w:val="Czeindeksu"/>
                <w:vanish w:val="false"/>
              </w:rPr>
              <w:tab/>
              <w:t>10</w:t>
            </w:r>
            <w:r>
              <w:rPr>
                <w:webHidden/>
              </w:rPr>
              <w:fldChar w:fldCharType="end"/>
            </w:r>
          </w:hyperlink>
        </w:p>
        <w:p>
          <w:pPr>
            <w:pStyle w:val="Spistreci2"/>
            <w:tabs>
              <w:tab w:val="left" w:pos="880" w:leader="none"/>
              <w:tab w:val="right" w:pos="9062" w:leader="dot"/>
            </w:tabs>
            <w:rPr>
              <w:sz w:val="22"/>
              <w:szCs w:val="22"/>
              <w:lang w:eastAsia="pl-PL"/>
            </w:rPr>
          </w:pPr>
          <w:hyperlink w:anchor="_Toc10627709">
            <w:r>
              <w:rPr>
                <w:webHidden/>
                <w:rStyle w:val="Czeinternetowe"/>
                <w:vanish w:val="false"/>
              </w:rPr>
              <w:t>2.1</w:t>
            </w:r>
            <w:r>
              <w:rPr>
                <w:rStyle w:val="Czeindeksu"/>
                <w:sz w:val="22"/>
                <w:szCs w:val="22"/>
                <w:lang w:eastAsia="pl-PL"/>
              </w:rPr>
              <w:tab/>
            </w:r>
            <w:r>
              <w:rPr>
                <w:rStyle w:val="Czeinternetowe"/>
              </w:rPr>
              <w:t>Charakterystyczne parametry określoające zakres robót i wielkość obiektu</w:t>
            </w:r>
            <w:r>
              <w:rPr>
                <w:webHidden/>
              </w:rPr>
              <w:fldChar w:fldCharType="begin"/>
            </w:r>
            <w:r>
              <w:rPr>
                <w:webHidden/>
              </w:rPr>
              <w:instrText>PAGEREF _Toc10627709 \h</w:instrText>
            </w:r>
            <w:r>
              <w:rPr>
                <w:webHidden/>
              </w:rPr>
              <w:fldChar w:fldCharType="separate"/>
            </w:r>
            <w:r>
              <w:rPr>
                <w:rStyle w:val="Czeindeksu"/>
                <w:vanish w:val="false"/>
              </w:rPr>
              <w:tab/>
              <w:t>10</w:t>
            </w:r>
            <w:r>
              <w:rPr>
                <w:webHidden/>
              </w:rPr>
              <w:fldChar w:fldCharType="end"/>
            </w:r>
          </w:hyperlink>
        </w:p>
        <w:p>
          <w:pPr>
            <w:pStyle w:val="Spistreci3"/>
            <w:tabs>
              <w:tab w:val="left" w:pos="1100" w:leader="none"/>
              <w:tab w:val="right" w:pos="9062" w:leader="dot"/>
            </w:tabs>
            <w:rPr>
              <w:sz w:val="22"/>
              <w:szCs w:val="22"/>
              <w:lang w:eastAsia="pl-PL"/>
            </w:rPr>
          </w:pPr>
          <w:hyperlink w:anchor="_Toc10627710">
            <w:r>
              <w:rPr>
                <w:webHidden/>
                <w:rStyle w:val="Czeinternetowe"/>
                <w:vanish w:val="false"/>
              </w:rPr>
              <w:t>2.1.1</w:t>
            </w:r>
            <w:r>
              <w:rPr>
                <w:rStyle w:val="Czeindeksu"/>
                <w:sz w:val="22"/>
                <w:szCs w:val="22"/>
                <w:lang w:eastAsia="pl-PL"/>
              </w:rPr>
              <w:tab/>
            </w:r>
            <w:r>
              <w:rPr>
                <w:rStyle w:val="Czeinternetowe"/>
              </w:rPr>
              <w:t>Cel i zakres przedsięwzięcia</w:t>
            </w:r>
            <w:r>
              <w:rPr>
                <w:webHidden/>
              </w:rPr>
              <w:fldChar w:fldCharType="begin"/>
            </w:r>
            <w:r>
              <w:rPr>
                <w:webHidden/>
              </w:rPr>
              <w:instrText>PAGEREF _Toc10627710 \h</w:instrText>
            </w:r>
            <w:r>
              <w:rPr>
                <w:webHidden/>
              </w:rPr>
              <w:fldChar w:fldCharType="separate"/>
            </w:r>
            <w:r>
              <w:rPr>
                <w:rStyle w:val="Czeindeksu"/>
                <w:vanish w:val="false"/>
              </w:rPr>
              <w:tab/>
              <w:t>10</w:t>
            </w:r>
            <w:r>
              <w:rPr>
                <w:webHidden/>
              </w:rPr>
              <w:fldChar w:fldCharType="end"/>
            </w:r>
          </w:hyperlink>
        </w:p>
        <w:p>
          <w:pPr>
            <w:pStyle w:val="Spistreci2"/>
            <w:tabs>
              <w:tab w:val="left" w:pos="880" w:leader="none"/>
              <w:tab w:val="right" w:pos="9062" w:leader="dot"/>
            </w:tabs>
            <w:rPr>
              <w:sz w:val="22"/>
              <w:szCs w:val="22"/>
              <w:lang w:eastAsia="pl-PL"/>
            </w:rPr>
          </w:pPr>
          <w:hyperlink w:anchor="_Toc10627711">
            <w:r>
              <w:rPr>
                <w:webHidden/>
                <w:rStyle w:val="Czeinternetowe"/>
                <w:vanish w:val="false"/>
              </w:rPr>
              <w:t>2.2</w:t>
            </w:r>
            <w:r>
              <w:rPr>
                <w:rStyle w:val="Czeindeksu"/>
                <w:sz w:val="22"/>
                <w:szCs w:val="22"/>
                <w:lang w:eastAsia="pl-PL"/>
              </w:rPr>
              <w:tab/>
            </w:r>
            <w:r>
              <w:rPr>
                <w:rStyle w:val="Czeinternetowe"/>
              </w:rPr>
              <w:t>Aktualne uwarunkowania Wykonania Przedmiotu Zamówienia</w:t>
            </w:r>
            <w:r>
              <w:rPr>
                <w:webHidden/>
              </w:rPr>
              <w:fldChar w:fldCharType="begin"/>
            </w:r>
            <w:r>
              <w:rPr>
                <w:webHidden/>
              </w:rPr>
              <w:instrText>PAGEREF _Toc10627711 \h</w:instrText>
            </w:r>
            <w:r>
              <w:rPr>
                <w:webHidden/>
              </w:rPr>
              <w:fldChar w:fldCharType="separate"/>
            </w:r>
            <w:r>
              <w:rPr>
                <w:rStyle w:val="Czeindeksu"/>
                <w:vanish w:val="false"/>
              </w:rPr>
              <w:tab/>
              <w:t>12</w:t>
            </w:r>
            <w:r>
              <w:rPr>
                <w:webHidden/>
              </w:rPr>
              <w:fldChar w:fldCharType="end"/>
            </w:r>
          </w:hyperlink>
        </w:p>
        <w:p>
          <w:pPr>
            <w:pStyle w:val="Spistreci2"/>
            <w:tabs>
              <w:tab w:val="left" w:pos="880" w:leader="none"/>
              <w:tab w:val="right" w:pos="9062" w:leader="dot"/>
            </w:tabs>
            <w:rPr>
              <w:sz w:val="22"/>
              <w:szCs w:val="22"/>
              <w:lang w:eastAsia="pl-PL"/>
            </w:rPr>
          </w:pPr>
          <w:hyperlink w:anchor="_Toc10627712">
            <w:r>
              <w:rPr>
                <w:webHidden/>
                <w:rStyle w:val="Czeinternetowe"/>
                <w:vanish w:val="false"/>
              </w:rPr>
              <w:t>2.3</w:t>
            </w:r>
            <w:r>
              <w:rPr>
                <w:rStyle w:val="Czeindeksu"/>
                <w:sz w:val="22"/>
                <w:szCs w:val="22"/>
                <w:lang w:eastAsia="pl-PL"/>
              </w:rPr>
              <w:tab/>
            </w:r>
            <w:r>
              <w:rPr>
                <w:rStyle w:val="Czeinternetowe"/>
              </w:rPr>
              <w:t>Ogólne właściwości Funkcjonalno-użytkowe</w:t>
            </w:r>
            <w:r>
              <w:rPr>
                <w:webHidden/>
              </w:rPr>
              <w:fldChar w:fldCharType="begin"/>
            </w:r>
            <w:r>
              <w:rPr>
                <w:webHidden/>
              </w:rPr>
              <w:instrText>PAGEREF _Toc10627712 \h</w:instrText>
            </w:r>
            <w:r>
              <w:rPr>
                <w:webHidden/>
              </w:rPr>
              <w:fldChar w:fldCharType="separate"/>
            </w:r>
            <w:r>
              <w:rPr>
                <w:rStyle w:val="Czeindeksu"/>
                <w:vanish w:val="false"/>
              </w:rPr>
              <w:tab/>
              <w:t>16</w:t>
            </w:r>
            <w:r>
              <w:rPr>
                <w:webHidden/>
              </w:rPr>
              <w:fldChar w:fldCharType="end"/>
            </w:r>
          </w:hyperlink>
        </w:p>
        <w:p>
          <w:pPr>
            <w:pStyle w:val="Spistreci3"/>
            <w:tabs>
              <w:tab w:val="left" w:pos="1100" w:leader="none"/>
              <w:tab w:val="right" w:pos="9062" w:leader="dot"/>
            </w:tabs>
            <w:rPr>
              <w:sz w:val="22"/>
              <w:szCs w:val="22"/>
              <w:lang w:eastAsia="pl-PL"/>
            </w:rPr>
          </w:pPr>
          <w:hyperlink w:anchor="_Toc10627713">
            <w:r>
              <w:rPr>
                <w:webHidden/>
                <w:rStyle w:val="Czeinternetowe"/>
                <w:vanish w:val="false"/>
              </w:rPr>
              <w:t>2.3.1</w:t>
            </w:r>
            <w:r>
              <w:rPr>
                <w:rStyle w:val="Czeindeksu"/>
                <w:sz w:val="22"/>
                <w:szCs w:val="22"/>
                <w:lang w:eastAsia="pl-PL"/>
              </w:rPr>
              <w:tab/>
            </w:r>
            <w:r>
              <w:rPr>
                <w:rStyle w:val="Czeinternetowe"/>
              </w:rPr>
              <w:t>Lokalizacja i status zabytku architektury</w:t>
            </w:r>
            <w:r>
              <w:rPr>
                <w:webHidden/>
              </w:rPr>
              <w:fldChar w:fldCharType="begin"/>
            </w:r>
            <w:r>
              <w:rPr>
                <w:webHidden/>
              </w:rPr>
              <w:instrText>PAGEREF _Toc10627713 \h</w:instrText>
            </w:r>
            <w:r>
              <w:rPr>
                <w:webHidden/>
              </w:rPr>
              <w:fldChar w:fldCharType="separate"/>
            </w:r>
            <w:r>
              <w:rPr>
                <w:rStyle w:val="Czeindeksu"/>
                <w:vanish w:val="false"/>
              </w:rPr>
              <w:tab/>
              <w:t>16</w:t>
            </w:r>
            <w:r>
              <w:rPr>
                <w:webHidden/>
              </w:rPr>
              <w:fldChar w:fldCharType="end"/>
            </w:r>
          </w:hyperlink>
        </w:p>
        <w:p>
          <w:pPr>
            <w:pStyle w:val="Spistreci3"/>
            <w:tabs>
              <w:tab w:val="left" w:pos="1100" w:leader="none"/>
              <w:tab w:val="right" w:pos="9062" w:leader="dot"/>
            </w:tabs>
            <w:rPr>
              <w:sz w:val="22"/>
              <w:szCs w:val="22"/>
              <w:lang w:eastAsia="pl-PL"/>
            </w:rPr>
          </w:pPr>
          <w:hyperlink w:anchor="_Toc10627714">
            <w:r>
              <w:rPr>
                <w:webHidden/>
                <w:rStyle w:val="Czeinternetowe"/>
                <w:vanish w:val="false"/>
              </w:rPr>
              <w:t>2.3.2</w:t>
            </w:r>
            <w:r>
              <w:rPr>
                <w:rStyle w:val="Czeindeksu"/>
                <w:sz w:val="22"/>
                <w:szCs w:val="22"/>
                <w:lang w:eastAsia="pl-PL"/>
              </w:rPr>
              <w:tab/>
            </w:r>
            <w:r>
              <w:rPr>
                <w:rStyle w:val="Czeinternetowe"/>
              </w:rPr>
              <w:t>Charakterystyka obiektu</w:t>
            </w:r>
            <w:r>
              <w:rPr>
                <w:webHidden/>
              </w:rPr>
              <w:fldChar w:fldCharType="begin"/>
            </w:r>
            <w:r>
              <w:rPr>
                <w:webHidden/>
              </w:rPr>
              <w:instrText>PAGEREF _Toc10627714 \h</w:instrText>
            </w:r>
            <w:r>
              <w:rPr>
                <w:webHidden/>
              </w:rPr>
              <w:fldChar w:fldCharType="separate"/>
            </w:r>
            <w:r>
              <w:rPr>
                <w:rStyle w:val="Czeindeksu"/>
                <w:vanish w:val="false"/>
              </w:rPr>
              <w:tab/>
              <w:t>16</w:t>
            </w:r>
            <w:r>
              <w:rPr>
                <w:webHidden/>
              </w:rPr>
              <w:fldChar w:fldCharType="end"/>
            </w:r>
          </w:hyperlink>
        </w:p>
        <w:p>
          <w:pPr>
            <w:pStyle w:val="Spistreci2"/>
            <w:tabs>
              <w:tab w:val="left" w:pos="880" w:leader="none"/>
              <w:tab w:val="right" w:pos="9062" w:leader="dot"/>
            </w:tabs>
            <w:rPr>
              <w:sz w:val="22"/>
              <w:szCs w:val="22"/>
              <w:lang w:eastAsia="pl-PL"/>
            </w:rPr>
          </w:pPr>
          <w:hyperlink w:anchor="_Toc10627715">
            <w:r>
              <w:rPr>
                <w:webHidden/>
                <w:rStyle w:val="Czeinternetowe"/>
                <w:vanish w:val="false"/>
              </w:rPr>
              <w:t>2.4</w:t>
            </w:r>
            <w:r>
              <w:rPr>
                <w:rStyle w:val="Czeindeksu"/>
                <w:sz w:val="22"/>
                <w:szCs w:val="22"/>
                <w:lang w:eastAsia="pl-PL"/>
              </w:rPr>
              <w:tab/>
            </w:r>
            <w:r>
              <w:rPr>
                <w:rStyle w:val="Czeinternetowe"/>
              </w:rPr>
              <w:t>szczegółowe właściwości funkcjonalno-użytkowe</w:t>
            </w:r>
            <w:r>
              <w:rPr>
                <w:webHidden/>
              </w:rPr>
              <w:fldChar w:fldCharType="begin"/>
            </w:r>
            <w:r>
              <w:rPr>
                <w:webHidden/>
              </w:rPr>
              <w:instrText>PAGEREF _Toc10627715 \h</w:instrText>
            </w:r>
            <w:r>
              <w:rPr>
                <w:webHidden/>
              </w:rPr>
              <w:fldChar w:fldCharType="separate"/>
            </w:r>
            <w:r>
              <w:rPr>
                <w:rStyle w:val="Czeindeksu"/>
                <w:vanish w:val="false"/>
              </w:rPr>
              <w:tab/>
              <w:t>18</w:t>
            </w:r>
            <w:r>
              <w:rPr>
                <w:webHidden/>
              </w:rPr>
              <w:fldChar w:fldCharType="end"/>
            </w:r>
          </w:hyperlink>
        </w:p>
        <w:p>
          <w:pPr>
            <w:pStyle w:val="Spistreci1"/>
            <w:rPr>
              <w:sz w:val="22"/>
              <w:szCs w:val="22"/>
              <w:lang w:eastAsia="pl-PL"/>
            </w:rPr>
          </w:pPr>
          <w:hyperlink w:anchor="_Toc10627716">
            <w:r>
              <w:rPr>
                <w:webHidden/>
                <w:rStyle w:val="Czeinternetowe"/>
                <w:vanish w:val="false"/>
              </w:rPr>
              <w:t>3</w:t>
            </w:r>
            <w:r>
              <w:rPr>
                <w:rStyle w:val="Czeindeksu"/>
                <w:sz w:val="22"/>
                <w:szCs w:val="22"/>
                <w:lang w:eastAsia="pl-PL"/>
              </w:rPr>
              <w:tab/>
            </w:r>
            <w:r>
              <w:rPr>
                <w:rStyle w:val="Czeinternetowe"/>
              </w:rPr>
              <w:t>Wymagania Zamawiajacego w stosunku do Przedmiotu Zamówienia</w:t>
            </w:r>
            <w:r>
              <w:rPr>
                <w:webHidden/>
              </w:rPr>
              <w:fldChar w:fldCharType="begin"/>
            </w:r>
            <w:r>
              <w:rPr>
                <w:webHidden/>
              </w:rPr>
              <w:instrText>PAGEREF _Toc10627716 \h</w:instrText>
            </w:r>
            <w:r>
              <w:rPr>
                <w:webHidden/>
              </w:rPr>
              <w:fldChar w:fldCharType="separate"/>
            </w:r>
            <w:r>
              <w:rPr>
                <w:rStyle w:val="Czeindeksu"/>
                <w:vanish w:val="false"/>
              </w:rPr>
              <w:tab/>
              <w:t>20</w:t>
            </w:r>
            <w:r>
              <w:rPr>
                <w:webHidden/>
              </w:rPr>
              <w:fldChar w:fldCharType="end"/>
            </w:r>
          </w:hyperlink>
        </w:p>
        <w:p>
          <w:pPr>
            <w:pStyle w:val="Spistreci3"/>
            <w:tabs>
              <w:tab w:val="left" w:pos="1100" w:leader="none"/>
              <w:tab w:val="right" w:pos="9062" w:leader="dot"/>
            </w:tabs>
            <w:rPr>
              <w:sz w:val="22"/>
              <w:szCs w:val="22"/>
              <w:lang w:eastAsia="pl-PL"/>
            </w:rPr>
          </w:pPr>
          <w:hyperlink w:anchor="_Toc10627717">
            <w:r>
              <w:rPr>
                <w:webHidden/>
                <w:rStyle w:val="Czeinternetowe"/>
                <w:vanish w:val="false"/>
              </w:rPr>
              <w:t>3.1.1</w:t>
            </w:r>
            <w:r>
              <w:rPr>
                <w:rStyle w:val="Czeindeksu"/>
                <w:sz w:val="22"/>
                <w:szCs w:val="22"/>
                <w:lang w:eastAsia="pl-PL"/>
              </w:rPr>
              <w:tab/>
            </w:r>
            <w:r>
              <w:rPr>
                <w:rStyle w:val="Czeinternetowe"/>
              </w:rPr>
              <w:t>Wymagania organizacyjne odnośnie prac projektowych</w:t>
            </w:r>
            <w:r>
              <w:rPr>
                <w:webHidden/>
              </w:rPr>
              <w:fldChar w:fldCharType="begin"/>
            </w:r>
            <w:r>
              <w:rPr>
                <w:webHidden/>
              </w:rPr>
              <w:instrText>PAGEREF _Toc10627717 \h</w:instrText>
            </w:r>
            <w:r>
              <w:rPr>
                <w:webHidden/>
              </w:rPr>
              <w:fldChar w:fldCharType="separate"/>
            </w:r>
            <w:r>
              <w:rPr>
                <w:rStyle w:val="Czeindeksu"/>
                <w:vanish w:val="false"/>
              </w:rPr>
              <w:tab/>
              <w:t>21</w:t>
            </w:r>
            <w:r>
              <w:rPr>
                <w:webHidden/>
              </w:rPr>
              <w:fldChar w:fldCharType="end"/>
            </w:r>
          </w:hyperlink>
        </w:p>
        <w:p>
          <w:pPr>
            <w:pStyle w:val="Spistreci3"/>
            <w:tabs>
              <w:tab w:val="left" w:pos="1100" w:leader="none"/>
              <w:tab w:val="right" w:pos="9062" w:leader="dot"/>
            </w:tabs>
            <w:rPr>
              <w:sz w:val="22"/>
              <w:szCs w:val="22"/>
              <w:lang w:eastAsia="pl-PL"/>
            </w:rPr>
          </w:pPr>
          <w:hyperlink w:anchor="_Toc10627718">
            <w:r>
              <w:rPr>
                <w:webHidden/>
                <w:rStyle w:val="Czeinternetowe"/>
                <w:vanish w:val="false"/>
              </w:rPr>
              <w:t>3.1.2</w:t>
            </w:r>
            <w:r>
              <w:rPr>
                <w:rStyle w:val="Czeindeksu"/>
                <w:sz w:val="22"/>
                <w:szCs w:val="22"/>
                <w:lang w:eastAsia="pl-PL"/>
              </w:rPr>
              <w:tab/>
            </w:r>
            <w:r>
              <w:rPr>
                <w:rStyle w:val="Czeinternetowe"/>
              </w:rPr>
              <w:t>Wymagania Wspólne odnośnie dokumentacji projektowej</w:t>
            </w:r>
            <w:r>
              <w:rPr>
                <w:webHidden/>
              </w:rPr>
              <w:fldChar w:fldCharType="begin"/>
            </w:r>
            <w:r>
              <w:rPr>
                <w:webHidden/>
              </w:rPr>
              <w:instrText>PAGEREF _Toc10627718 \h</w:instrText>
            </w:r>
            <w:r>
              <w:rPr>
                <w:webHidden/>
              </w:rPr>
              <w:fldChar w:fldCharType="separate"/>
            </w:r>
            <w:r>
              <w:rPr>
                <w:rStyle w:val="Czeindeksu"/>
                <w:vanish w:val="false"/>
              </w:rPr>
              <w:tab/>
              <w:t>22</w:t>
            </w:r>
            <w:r>
              <w:rPr>
                <w:webHidden/>
              </w:rPr>
              <w:fldChar w:fldCharType="end"/>
            </w:r>
          </w:hyperlink>
        </w:p>
        <w:p>
          <w:pPr>
            <w:pStyle w:val="Spistreci3"/>
            <w:tabs>
              <w:tab w:val="left" w:pos="1100" w:leader="none"/>
              <w:tab w:val="right" w:pos="9062" w:leader="dot"/>
            </w:tabs>
            <w:rPr>
              <w:sz w:val="22"/>
              <w:szCs w:val="22"/>
              <w:lang w:eastAsia="pl-PL"/>
            </w:rPr>
          </w:pPr>
          <w:hyperlink w:anchor="_Toc10627719">
            <w:r>
              <w:rPr>
                <w:webHidden/>
                <w:rStyle w:val="Czeinternetowe"/>
                <w:vanish w:val="false"/>
              </w:rPr>
              <w:t>3.1.3</w:t>
            </w:r>
            <w:r>
              <w:rPr>
                <w:rStyle w:val="Czeindeksu"/>
                <w:sz w:val="22"/>
                <w:szCs w:val="22"/>
                <w:lang w:eastAsia="pl-PL"/>
              </w:rPr>
              <w:tab/>
            </w:r>
            <w:r>
              <w:rPr>
                <w:rStyle w:val="Czeinternetowe"/>
              </w:rPr>
              <w:t>Dokumentacja geotechniczna</w:t>
            </w:r>
            <w:r>
              <w:rPr>
                <w:webHidden/>
              </w:rPr>
              <w:fldChar w:fldCharType="begin"/>
            </w:r>
            <w:r>
              <w:rPr>
                <w:webHidden/>
              </w:rPr>
              <w:instrText>PAGEREF _Toc10627719 \h</w:instrText>
            </w:r>
            <w:r>
              <w:rPr>
                <w:webHidden/>
              </w:rPr>
              <w:fldChar w:fldCharType="separate"/>
            </w:r>
            <w:r>
              <w:rPr>
                <w:rStyle w:val="Czeindeksu"/>
                <w:vanish w:val="false"/>
              </w:rPr>
              <w:tab/>
              <w:t>23</w:t>
            </w:r>
            <w:r>
              <w:rPr>
                <w:webHidden/>
              </w:rPr>
              <w:fldChar w:fldCharType="end"/>
            </w:r>
          </w:hyperlink>
        </w:p>
        <w:p>
          <w:pPr>
            <w:pStyle w:val="Spistreci3"/>
            <w:tabs>
              <w:tab w:val="left" w:pos="1100" w:leader="none"/>
              <w:tab w:val="right" w:pos="9062" w:leader="dot"/>
            </w:tabs>
            <w:rPr>
              <w:sz w:val="22"/>
              <w:szCs w:val="22"/>
              <w:lang w:eastAsia="pl-PL"/>
            </w:rPr>
          </w:pPr>
          <w:hyperlink w:anchor="_Toc10627720">
            <w:r>
              <w:rPr>
                <w:webHidden/>
                <w:rStyle w:val="Czeinternetowe"/>
                <w:vanish w:val="false"/>
              </w:rPr>
              <w:t>3.1.4</w:t>
            </w:r>
            <w:r>
              <w:rPr>
                <w:rStyle w:val="Czeindeksu"/>
                <w:sz w:val="22"/>
                <w:szCs w:val="22"/>
                <w:lang w:eastAsia="pl-PL"/>
              </w:rPr>
              <w:tab/>
            </w:r>
            <w:r>
              <w:rPr>
                <w:rStyle w:val="Czeinternetowe"/>
              </w:rPr>
              <w:t>Mapa do celów projektowych</w:t>
            </w:r>
            <w:r>
              <w:rPr>
                <w:webHidden/>
              </w:rPr>
              <w:fldChar w:fldCharType="begin"/>
            </w:r>
            <w:r>
              <w:rPr>
                <w:webHidden/>
              </w:rPr>
              <w:instrText>PAGEREF _Toc10627720 \h</w:instrText>
            </w:r>
            <w:r>
              <w:rPr>
                <w:webHidden/>
              </w:rPr>
              <w:fldChar w:fldCharType="separate"/>
            </w:r>
            <w:r>
              <w:rPr>
                <w:rStyle w:val="Czeindeksu"/>
                <w:vanish w:val="false"/>
              </w:rPr>
              <w:tab/>
              <w:t>26</w:t>
            </w:r>
            <w:r>
              <w:rPr>
                <w:webHidden/>
              </w:rPr>
              <w:fldChar w:fldCharType="end"/>
            </w:r>
          </w:hyperlink>
        </w:p>
        <w:p>
          <w:pPr>
            <w:pStyle w:val="Spistreci3"/>
            <w:tabs>
              <w:tab w:val="left" w:pos="1100" w:leader="none"/>
              <w:tab w:val="right" w:pos="9062" w:leader="dot"/>
            </w:tabs>
            <w:rPr>
              <w:sz w:val="22"/>
              <w:szCs w:val="22"/>
              <w:lang w:eastAsia="pl-PL"/>
            </w:rPr>
          </w:pPr>
          <w:hyperlink w:anchor="_Toc10627721">
            <w:r>
              <w:rPr>
                <w:webHidden/>
                <w:rStyle w:val="Czeinternetowe"/>
                <w:vanish w:val="false"/>
              </w:rPr>
              <w:t>3.1.5</w:t>
            </w:r>
            <w:r>
              <w:rPr>
                <w:rStyle w:val="Czeindeksu"/>
                <w:sz w:val="22"/>
                <w:szCs w:val="22"/>
                <w:lang w:eastAsia="pl-PL"/>
              </w:rPr>
              <w:tab/>
            </w:r>
            <w:r>
              <w:rPr>
                <w:rStyle w:val="Czeinternetowe"/>
              </w:rPr>
              <w:t>Inwentaryzacja</w:t>
            </w:r>
            <w:r>
              <w:rPr>
                <w:webHidden/>
              </w:rPr>
              <w:fldChar w:fldCharType="begin"/>
            </w:r>
            <w:r>
              <w:rPr>
                <w:webHidden/>
              </w:rPr>
              <w:instrText>PAGEREF _Toc10627721 \h</w:instrText>
            </w:r>
            <w:r>
              <w:rPr>
                <w:webHidden/>
              </w:rPr>
              <w:fldChar w:fldCharType="separate"/>
            </w:r>
            <w:r>
              <w:rPr>
                <w:rStyle w:val="Czeindeksu"/>
                <w:vanish w:val="false"/>
              </w:rPr>
              <w:tab/>
              <w:t>26</w:t>
            </w:r>
            <w:r>
              <w:rPr>
                <w:webHidden/>
              </w:rPr>
              <w:fldChar w:fldCharType="end"/>
            </w:r>
          </w:hyperlink>
        </w:p>
        <w:p>
          <w:pPr>
            <w:pStyle w:val="Spistreci3"/>
            <w:tabs>
              <w:tab w:val="left" w:pos="1100" w:leader="none"/>
              <w:tab w:val="right" w:pos="9062" w:leader="dot"/>
            </w:tabs>
            <w:rPr>
              <w:sz w:val="22"/>
              <w:szCs w:val="22"/>
              <w:lang w:eastAsia="pl-PL"/>
            </w:rPr>
          </w:pPr>
          <w:hyperlink w:anchor="_Toc10627722">
            <w:r>
              <w:rPr>
                <w:webHidden/>
                <w:rStyle w:val="Czeinternetowe"/>
                <w:vanish w:val="false"/>
              </w:rPr>
              <w:t>3.1.6</w:t>
            </w:r>
            <w:r>
              <w:rPr>
                <w:rStyle w:val="Czeindeksu"/>
                <w:sz w:val="22"/>
                <w:szCs w:val="22"/>
                <w:lang w:eastAsia="pl-PL"/>
              </w:rPr>
              <w:tab/>
            </w:r>
            <w:r>
              <w:rPr>
                <w:rStyle w:val="Czeinternetowe"/>
              </w:rPr>
              <w:t>Program prac konserwatorskich i badania konserwatorskie i architektoniczne</w:t>
            </w:r>
            <w:r>
              <w:rPr>
                <w:webHidden/>
              </w:rPr>
              <w:fldChar w:fldCharType="begin"/>
            </w:r>
            <w:r>
              <w:rPr>
                <w:webHidden/>
              </w:rPr>
              <w:instrText>PAGEREF _Toc10627722 \h</w:instrText>
            </w:r>
            <w:r>
              <w:rPr>
                <w:webHidden/>
              </w:rPr>
              <w:fldChar w:fldCharType="separate"/>
            </w:r>
            <w:r>
              <w:rPr>
                <w:rStyle w:val="Czeindeksu"/>
                <w:vanish w:val="false"/>
              </w:rPr>
              <w:tab/>
              <w:t>26</w:t>
            </w:r>
            <w:r>
              <w:rPr>
                <w:webHidden/>
              </w:rPr>
              <w:fldChar w:fldCharType="end"/>
            </w:r>
          </w:hyperlink>
        </w:p>
        <w:p>
          <w:pPr>
            <w:pStyle w:val="Spistreci3"/>
            <w:tabs>
              <w:tab w:val="left" w:pos="1100" w:leader="none"/>
              <w:tab w:val="right" w:pos="9062" w:leader="dot"/>
            </w:tabs>
            <w:rPr>
              <w:sz w:val="22"/>
              <w:szCs w:val="22"/>
              <w:lang w:eastAsia="pl-PL"/>
            </w:rPr>
          </w:pPr>
          <w:hyperlink w:anchor="_Toc10627723">
            <w:r>
              <w:rPr>
                <w:webHidden/>
                <w:rStyle w:val="Czeinternetowe"/>
                <w:vanish w:val="false"/>
              </w:rPr>
              <w:t>3.1.7</w:t>
            </w:r>
            <w:r>
              <w:rPr>
                <w:rStyle w:val="Czeindeksu"/>
                <w:sz w:val="22"/>
                <w:szCs w:val="22"/>
                <w:lang w:eastAsia="pl-PL"/>
              </w:rPr>
              <w:tab/>
            </w:r>
            <w:r>
              <w:rPr>
                <w:rStyle w:val="Czeinternetowe"/>
              </w:rPr>
              <w:t>Projekt budowlany</w:t>
            </w:r>
            <w:r>
              <w:rPr>
                <w:webHidden/>
              </w:rPr>
              <w:fldChar w:fldCharType="begin"/>
            </w:r>
            <w:r>
              <w:rPr>
                <w:webHidden/>
              </w:rPr>
              <w:instrText>PAGEREF _Toc10627723 \h</w:instrText>
            </w:r>
            <w:r>
              <w:rPr>
                <w:webHidden/>
              </w:rPr>
              <w:fldChar w:fldCharType="separate"/>
            </w:r>
            <w:r>
              <w:rPr>
                <w:rStyle w:val="Czeindeksu"/>
                <w:vanish w:val="false"/>
              </w:rPr>
              <w:tab/>
              <w:t>27</w:t>
            </w:r>
            <w:r>
              <w:rPr>
                <w:webHidden/>
              </w:rPr>
              <w:fldChar w:fldCharType="end"/>
            </w:r>
          </w:hyperlink>
        </w:p>
        <w:p>
          <w:pPr>
            <w:pStyle w:val="Spistreci3"/>
            <w:tabs>
              <w:tab w:val="left" w:pos="1100" w:leader="none"/>
              <w:tab w:val="right" w:pos="9062" w:leader="dot"/>
            </w:tabs>
            <w:rPr>
              <w:sz w:val="22"/>
              <w:szCs w:val="22"/>
              <w:lang w:eastAsia="pl-PL"/>
            </w:rPr>
          </w:pPr>
          <w:hyperlink w:anchor="_Toc10627724">
            <w:r>
              <w:rPr>
                <w:webHidden/>
                <w:rStyle w:val="Czeinternetowe"/>
                <w:vanish w:val="false"/>
              </w:rPr>
              <w:t>3.1.8</w:t>
            </w:r>
            <w:r>
              <w:rPr>
                <w:rStyle w:val="Czeindeksu"/>
                <w:sz w:val="22"/>
                <w:szCs w:val="22"/>
                <w:lang w:eastAsia="pl-PL"/>
              </w:rPr>
              <w:tab/>
            </w:r>
            <w:r>
              <w:rPr>
                <w:rStyle w:val="Czeinternetowe"/>
              </w:rPr>
              <w:t>Opracowanie operatów</w:t>
            </w:r>
            <w:r>
              <w:rPr>
                <w:webHidden/>
              </w:rPr>
              <w:fldChar w:fldCharType="begin"/>
            </w:r>
            <w:r>
              <w:rPr>
                <w:webHidden/>
              </w:rPr>
              <w:instrText>PAGEREF _Toc10627724 \h</w:instrText>
            </w:r>
            <w:r>
              <w:rPr>
                <w:webHidden/>
              </w:rPr>
              <w:fldChar w:fldCharType="separate"/>
            </w:r>
            <w:r>
              <w:rPr>
                <w:rStyle w:val="Czeindeksu"/>
                <w:vanish w:val="false"/>
              </w:rPr>
              <w:tab/>
              <w:t>29</w:t>
            </w:r>
            <w:r>
              <w:rPr>
                <w:webHidden/>
              </w:rPr>
              <w:fldChar w:fldCharType="end"/>
            </w:r>
          </w:hyperlink>
        </w:p>
        <w:p>
          <w:pPr>
            <w:pStyle w:val="Spistreci3"/>
            <w:tabs>
              <w:tab w:val="left" w:pos="1100" w:leader="none"/>
              <w:tab w:val="right" w:pos="9062" w:leader="dot"/>
            </w:tabs>
            <w:rPr>
              <w:sz w:val="22"/>
              <w:szCs w:val="22"/>
              <w:lang w:eastAsia="pl-PL"/>
            </w:rPr>
          </w:pPr>
          <w:hyperlink w:anchor="_Toc10627725">
            <w:r>
              <w:rPr>
                <w:webHidden/>
                <w:rStyle w:val="Czeinternetowe"/>
                <w:vanish w:val="false"/>
              </w:rPr>
              <w:t>3.1.9</w:t>
            </w:r>
            <w:r>
              <w:rPr>
                <w:rStyle w:val="Czeindeksu"/>
                <w:sz w:val="22"/>
                <w:szCs w:val="22"/>
                <w:lang w:eastAsia="pl-PL"/>
              </w:rPr>
              <w:tab/>
            </w:r>
            <w:r>
              <w:rPr>
                <w:rStyle w:val="Czeinternetowe"/>
              </w:rPr>
              <w:t>Projekt wykonawczy, przedmiary robót i specyfikacje techniczne</w:t>
            </w:r>
            <w:r>
              <w:rPr>
                <w:webHidden/>
              </w:rPr>
              <w:fldChar w:fldCharType="begin"/>
            </w:r>
            <w:r>
              <w:rPr>
                <w:webHidden/>
              </w:rPr>
              <w:instrText>PAGEREF _Toc10627725 \h</w:instrText>
            </w:r>
            <w:r>
              <w:rPr>
                <w:webHidden/>
              </w:rPr>
              <w:fldChar w:fldCharType="separate"/>
            </w:r>
            <w:r>
              <w:rPr>
                <w:rStyle w:val="Czeindeksu"/>
                <w:vanish w:val="false"/>
              </w:rPr>
              <w:tab/>
              <w:t>29</w:t>
            </w:r>
            <w:r>
              <w:rPr>
                <w:webHidden/>
              </w:rPr>
              <w:fldChar w:fldCharType="end"/>
            </w:r>
          </w:hyperlink>
        </w:p>
        <w:p>
          <w:pPr>
            <w:pStyle w:val="Spistreci3"/>
            <w:tabs>
              <w:tab w:val="left" w:pos="1320" w:leader="none"/>
              <w:tab w:val="right" w:pos="9062" w:leader="dot"/>
            </w:tabs>
            <w:rPr>
              <w:sz w:val="22"/>
              <w:szCs w:val="22"/>
              <w:lang w:eastAsia="pl-PL"/>
            </w:rPr>
          </w:pPr>
          <w:hyperlink w:anchor="_Toc10627726">
            <w:r>
              <w:rPr>
                <w:webHidden/>
                <w:rStyle w:val="Czeinternetowe"/>
                <w:vanish w:val="false"/>
              </w:rPr>
              <w:t>3.1.10</w:t>
            </w:r>
            <w:r>
              <w:rPr>
                <w:rStyle w:val="Czeindeksu"/>
                <w:sz w:val="22"/>
                <w:szCs w:val="22"/>
                <w:lang w:eastAsia="pl-PL"/>
              </w:rPr>
              <w:tab/>
            </w:r>
            <w:r>
              <w:rPr>
                <w:rStyle w:val="Czeinternetowe"/>
              </w:rPr>
              <w:t>Przedmiar i kosztorys inwestorski</w:t>
            </w:r>
            <w:r>
              <w:rPr>
                <w:webHidden/>
              </w:rPr>
              <w:fldChar w:fldCharType="begin"/>
            </w:r>
            <w:r>
              <w:rPr>
                <w:webHidden/>
              </w:rPr>
              <w:instrText>PAGEREF _Toc10627726 \h</w:instrText>
            </w:r>
            <w:r>
              <w:rPr>
                <w:webHidden/>
              </w:rPr>
              <w:fldChar w:fldCharType="separate"/>
            </w:r>
            <w:r>
              <w:rPr>
                <w:rStyle w:val="Czeindeksu"/>
                <w:vanish w:val="false"/>
              </w:rPr>
              <w:tab/>
              <w:t>30</w:t>
            </w:r>
            <w:r>
              <w:rPr>
                <w:webHidden/>
              </w:rPr>
              <w:fldChar w:fldCharType="end"/>
            </w:r>
          </w:hyperlink>
        </w:p>
        <w:p>
          <w:pPr>
            <w:pStyle w:val="Spistreci3"/>
            <w:tabs>
              <w:tab w:val="left" w:pos="1320" w:leader="none"/>
              <w:tab w:val="right" w:pos="9062" w:leader="dot"/>
            </w:tabs>
            <w:rPr>
              <w:sz w:val="22"/>
              <w:szCs w:val="22"/>
              <w:lang w:eastAsia="pl-PL"/>
            </w:rPr>
          </w:pPr>
          <w:hyperlink w:anchor="_Toc10627727">
            <w:r>
              <w:rPr>
                <w:webHidden/>
                <w:rStyle w:val="Czeinternetowe"/>
                <w:vanish w:val="false"/>
              </w:rPr>
              <w:t>3.1.11</w:t>
            </w:r>
            <w:r>
              <w:rPr>
                <w:rStyle w:val="Czeindeksu"/>
                <w:sz w:val="22"/>
                <w:szCs w:val="22"/>
                <w:lang w:eastAsia="pl-PL"/>
              </w:rPr>
              <w:tab/>
            </w:r>
            <w:r>
              <w:rPr>
                <w:rStyle w:val="Czeinternetowe"/>
              </w:rPr>
              <w:t>Nadzór autorski</w:t>
            </w:r>
            <w:r>
              <w:rPr>
                <w:webHidden/>
              </w:rPr>
              <w:fldChar w:fldCharType="begin"/>
            </w:r>
            <w:r>
              <w:rPr>
                <w:webHidden/>
              </w:rPr>
              <w:instrText>PAGEREF _Toc10627727 \h</w:instrText>
            </w:r>
            <w:r>
              <w:rPr>
                <w:webHidden/>
              </w:rPr>
              <w:fldChar w:fldCharType="separate"/>
            </w:r>
            <w:r>
              <w:rPr>
                <w:rStyle w:val="Czeindeksu"/>
                <w:vanish w:val="false"/>
              </w:rPr>
              <w:tab/>
              <w:t>30</w:t>
            </w:r>
            <w:r>
              <w:rPr>
                <w:webHidden/>
              </w:rPr>
              <w:fldChar w:fldCharType="end"/>
            </w:r>
          </w:hyperlink>
        </w:p>
        <w:p>
          <w:pPr>
            <w:pStyle w:val="Spistreci3"/>
            <w:tabs>
              <w:tab w:val="left" w:pos="1320" w:leader="none"/>
              <w:tab w:val="right" w:pos="9062" w:leader="dot"/>
            </w:tabs>
            <w:rPr>
              <w:sz w:val="22"/>
              <w:szCs w:val="22"/>
              <w:lang w:eastAsia="pl-PL"/>
            </w:rPr>
          </w:pPr>
          <w:hyperlink w:anchor="_Toc10627728">
            <w:r>
              <w:rPr>
                <w:webHidden/>
                <w:rStyle w:val="Czeinternetowe"/>
                <w:vanish w:val="false"/>
              </w:rPr>
              <w:t>3.1.12</w:t>
            </w:r>
            <w:r>
              <w:rPr>
                <w:rStyle w:val="Czeindeksu"/>
                <w:sz w:val="22"/>
                <w:szCs w:val="22"/>
                <w:lang w:eastAsia="pl-PL"/>
              </w:rPr>
              <w:tab/>
            </w:r>
            <w:r>
              <w:rPr>
                <w:rStyle w:val="Czeinternetowe"/>
              </w:rPr>
              <w:t>Szczegółowe wymagania organizacyjne dla robót budowlanych</w:t>
            </w:r>
            <w:r>
              <w:rPr>
                <w:webHidden/>
              </w:rPr>
              <w:fldChar w:fldCharType="begin"/>
            </w:r>
            <w:r>
              <w:rPr>
                <w:webHidden/>
              </w:rPr>
              <w:instrText>PAGEREF _Toc10627728 \h</w:instrText>
            </w:r>
            <w:r>
              <w:rPr>
                <w:webHidden/>
              </w:rPr>
              <w:fldChar w:fldCharType="separate"/>
            </w:r>
            <w:r>
              <w:rPr>
                <w:rStyle w:val="Czeindeksu"/>
                <w:vanish w:val="false"/>
              </w:rPr>
              <w:tab/>
              <w:t>30</w:t>
            </w:r>
            <w:r>
              <w:rPr>
                <w:webHidden/>
              </w:rPr>
              <w:fldChar w:fldCharType="end"/>
            </w:r>
          </w:hyperlink>
        </w:p>
        <w:p>
          <w:pPr>
            <w:pStyle w:val="Spistreci2"/>
            <w:tabs>
              <w:tab w:val="left" w:pos="880" w:leader="none"/>
              <w:tab w:val="right" w:pos="9062" w:leader="dot"/>
            </w:tabs>
            <w:rPr>
              <w:sz w:val="22"/>
              <w:szCs w:val="22"/>
              <w:lang w:eastAsia="pl-PL"/>
            </w:rPr>
          </w:pPr>
          <w:hyperlink w:anchor="_Toc10627729">
            <w:r>
              <w:rPr>
                <w:webHidden/>
                <w:rStyle w:val="Czeinternetowe"/>
                <w:vanish w:val="false"/>
              </w:rPr>
              <w:t>3.2</w:t>
            </w:r>
            <w:r>
              <w:rPr>
                <w:rStyle w:val="Czeindeksu"/>
                <w:sz w:val="22"/>
                <w:szCs w:val="22"/>
                <w:lang w:eastAsia="pl-PL"/>
              </w:rPr>
              <w:tab/>
            </w:r>
            <w:r>
              <w:rPr>
                <w:rStyle w:val="Czeinternetowe"/>
              </w:rPr>
              <w:t>Zakres dla poszczególnych branż</w:t>
            </w:r>
            <w:r>
              <w:rPr>
                <w:webHidden/>
              </w:rPr>
              <w:fldChar w:fldCharType="begin"/>
            </w:r>
            <w:r>
              <w:rPr>
                <w:webHidden/>
              </w:rPr>
              <w:instrText>PAGEREF _Toc10627729 \h</w:instrText>
            </w:r>
            <w:r>
              <w:rPr>
                <w:webHidden/>
              </w:rPr>
              <w:fldChar w:fldCharType="separate"/>
            </w:r>
            <w:r>
              <w:rPr>
                <w:rStyle w:val="Czeindeksu"/>
                <w:vanish w:val="false"/>
              </w:rPr>
              <w:tab/>
              <w:t>31</w:t>
            </w:r>
            <w:r>
              <w:rPr>
                <w:webHidden/>
              </w:rPr>
              <w:fldChar w:fldCharType="end"/>
            </w:r>
          </w:hyperlink>
        </w:p>
        <w:p>
          <w:pPr>
            <w:pStyle w:val="Spistreci3"/>
            <w:tabs>
              <w:tab w:val="left" w:pos="1100" w:leader="none"/>
              <w:tab w:val="right" w:pos="9062" w:leader="dot"/>
            </w:tabs>
            <w:rPr>
              <w:sz w:val="22"/>
              <w:szCs w:val="22"/>
              <w:lang w:eastAsia="pl-PL"/>
            </w:rPr>
          </w:pPr>
          <w:hyperlink w:anchor="_Toc10627730">
            <w:r>
              <w:rPr>
                <w:webHidden/>
                <w:rStyle w:val="Czeinternetowe"/>
                <w:vanish w:val="false"/>
              </w:rPr>
              <w:t>3.2.1</w:t>
            </w:r>
            <w:r>
              <w:rPr>
                <w:rStyle w:val="Czeindeksu"/>
                <w:sz w:val="22"/>
                <w:szCs w:val="22"/>
                <w:lang w:eastAsia="pl-PL"/>
              </w:rPr>
              <w:tab/>
            </w:r>
            <w:r>
              <w:rPr>
                <w:rStyle w:val="Czeinternetowe"/>
              </w:rPr>
              <w:t>Zakres robót budowlanych objętych dokumentacją projektową</w:t>
            </w:r>
            <w:r>
              <w:rPr>
                <w:webHidden/>
              </w:rPr>
              <w:fldChar w:fldCharType="begin"/>
            </w:r>
            <w:r>
              <w:rPr>
                <w:webHidden/>
              </w:rPr>
              <w:instrText>PAGEREF _Toc10627730 \h</w:instrText>
            </w:r>
            <w:r>
              <w:rPr>
                <w:webHidden/>
              </w:rPr>
              <w:fldChar w:fldCharType="separate"/>
            </w:r>
            <w:r>
              <w:rPr>
                <w:rStyle w:val="Czeindeksu"/>
                <w:vanish w:val="false"/>
              </w:rPr>
              <w:tab/>
              <w:t>31</w:t>
            </w:r>
            <w:r>
              <w:rPr>
                <w:webHidden/>
              </w:rPr>
              <w:fldChar w:fldCharType="end"/>
            </w:r>
          </w:hyperlink>
        </w:p>
        <w:p>
          <w:pPr>
            <w:pStyle w:val="Spistreci3"/>
            <w:tabs>
              <w:tab w:val="left" w:pos="1100" w:leader="none"/>
              <w:tab w:val="right" w:pos="9062" w:leader="dot"/>
            </w:tabs>
            <w:rPr>
              <w:sz w:val="22"/>
              <w:szCs w:val="22"/>
              <w:lang w:eastAsia="pl-PL"/>
            </w:rPr>
          </w:pPr>
          <w:hyperlink w:anchor="_Toc10627731">
            <w:r>
              <w:rPr>
                <w:webHidden/>
                <w:rStyle w:val="Czeinternetowe"/>
                <w:vanish w:val="false"/>
              </w:rPr>
              <w:t>3.2.2</w:t>
            </w:r>
            <w:r>
              <w:rPr>
                <w:rStyle w:val="Czeindeksu"/>
                <w:sz w:val="22"/>
                <w:szCs w:val="22"/>
                <w:lang w:eastAsia="pl-PL"/>
              </w:rPr>
              <w:tab/>
            </w:r>
            <w:r>
              <w:rPr>
                <w:rStyle w:val="Czeinternetowe"/>
              </w:rPr>
              <w:t>Architektura i konstrukcja</w:t>
            </w:r>
            <w:r>
              <w:rPr>
                <w:webHidden/>
              </w:rPr>
              <w:fldChar w:fldCharType="begin"/>
            </w:r>
            <w:r>
              <w:rPr>
                <w:webHidden/>
              </w:rPr>
              <w:instrText>PAGEREF _Toc10627731 \h</w:instrText>
            </w:r>
            <w:r>
              <w:rPr>
                <w:webHidden/>
              </w:rPr>
              <w:fldChar w:fldCharType="separate"/>
            </w:r>
            <w:r>
              <w:rPr>
                <w:rStyle w:val="Czeindeksu"/>
                <w:vanish w:val="false"/>
              </w:rPr>
              <w:tab/>
              <w:t>31</w:t>
            </w:r>
            <w:r>
              <w:rPr>
                <w:webHidden/>
              </w:rPr>
              <w:fldChar w:fldCharType="end"/>
            </w:r>
          </w:hyperlink>
        </w:p>
        <w:p>
          <w:pPr>
            <w:pStyle w:val="Spistreci3"/>
            <w:tabs>
              <w:tab w:val="left" w:pos="1100" w:leader="none"/>
              <w:tab w:val="right" w:pos="9062" w:leader="dot"/>
            </w:tabs>
            <w:rPr>
              <w:sz w:val="22"/>
              <w:szCs w:val="22"/>
              <w:lang w:eastAsia="pl-PL"/>
            </w:rPr>
          </w:pPr>
          <w:hyperlink w:anchor="_Toc10627732">
            <w:r>
              <w:rPr>
                <w:webHidden/>
                <w:rStyle w:val="Czeinternetowe"/>
                <w:vanish w:val="false"/>
              </w:rPr>
              <w:t>3.2.3</w:t>
            </w:r>
            <w:r>
              <w:rPr>
                <w:rStyle w:val="Czeindeksu"/>
                <w:sz w:val="22"/>
                <w:szCs w:val="22"/>
                <w:lang w:eastAsia="pl-PL"/>
              </w:rPr>
              <w:tab/>
            </w:r>
            <w:r>
              <w:rPr>
                <w:rStyle w:val="Czeinternetowe"/>
              </w:rPr>
              <w:t>Instalacje sanitarne</w:t>
            </w:r>
            <w:r>
              <w:rPr>
                <w:webHidden/>
              </w:rPr>
              <w:fldChar w:fldCharType="begin"/>
            </w:r>
            <w:r>
              <w:rPr>
                <w:webHidden/>
              </w:rPr>
              <w:instrText>PAGEREF _Toc10627732 \h</w:instrText>
            </w:r>
            <w:r>
              <w:rPr>
                <w:webHidden/>
              </w:rPr>
              <w:fldChar w:fldCharType="separate"/>
            </w:r>
            <w:r>
              <w:rPr>
                <w:rStyle w:val="Czeindeksu"/>
                <w:vanish w:val="false"/>
              </w:rPr>
              <w:tab/>
              <w:t>39</w:t>
            </w:r>
            <w:r>
              <w:rPr>
                <w:webHidden/>
              </w:rPr>
              <w:fldChar w:fldCharType="end"/>
            </w:r>
          </w:hyperlink>
        </w:p>
        <w:p>
          <w:pPr>
            <w:pStyle w:val="Spistreci3"/>
            <w:tabs>
              <w:tab w:val="left" w:pos="1100" w:leader="none"/>
              <w:tab w:val="right" w:pos="9062" w:leader="dot"/>
            </w:tabs>
            <w:rPr>
              <w:sz w:val="22"/>
              <w:szCs w:val="22"/>
              <w:lang w:eastAsia="pl-PL"/>
            </w:rPr>
          </w:pPr>
          <w:hyperlink w:anchor="_Toc10627733">
            <w:r>
              <w:rPr>
                <w:webHidden/>
                <w:rStyle w:val="Czeinternetowe"/>
                <w:vanish w:val="false"/>
              </w:rPr>
              <w:t>3.2.4</w:t>
            </w:r>
            <w:r>
              <w:rPr>
                <w:rStyle w:val="Czeindeksu"/>
                <w:sz w:val="22"/>
                <w:szCs w:val="22"/>
                <w:lang w:eastAsia="pl-PL"/>
              </w:rPr>
              <w:tab/>
            </w:r>
            <w:r>
              <w:rPr>
                <w:rStyle w:val="Czeinternetowe"/>
              </w:rPr>
              <w:t>Instalacje elektryczne</w:t>
            </w:r>
            <w:r>
              <w:rPr>
                <w:webHidden/>
              </w:rPr>
              <w:fldChar w:fldCharType="begin"/>
            </w:r>
            <w:r>
              <w:rPr>
                <w:webHidden/>
              </w:rPr>
              <w:instrText>PAGEREF _Toc10627733 \h</w:instrText>
            </w:r>
            <w:r>
              <w:rPr>
                <w:webHidden/>
              </w:rPr>
              <w:fldChar w:fldCharType="separate"/>
            </w:r>
            <w:r>
              <w:rPr>
                <w:rStyle w:val="Czeindeksu"/>
                <w:vanish w:val="false"/>
              </w:rPr>
              <w:tab/>
              <w:t>48</w:t>
            </w:r>
            <w:r>
              <w:rPr>
                <w:webHidden/>
              </w:rPr>
              <w:fldChar w:fldCharType="end"/>
            </w:r>
          </w:hyperlink>
        </w:p>
        <w:p>
          <w:pPr>
            <w:pStyle w:val="Spistreci1"/>
            <w:rPr>
              <w:sz w:val="22"/>
              <w:szCs w:val="22"/>
              <w:lang w:eastAsia="pl-PL"/>
            </w:rPr>
          </w:pPr>
          <w:hyperlink w:anchor="_Toc10627734">
            <w:r>
              <w:rPr>
                <w:webHidden/>
                <w:rStyle w:val="Czeinternetowe"/>
                <w:vanish w:val="false"/>
              </w:rPr>
              <w:t>4</w:t>
            </w:r>
            <w:r>
              <w:rPr>
                <w:rStyle w:val="Czeindeksu"/>
                <w:sz w:val="22"/>
                <w:szCs w:val="22"/>
                <w:lang w:eastAsia="pl-PL"/>
              </w:rPr>
              <w:tab/>
            </w:r>
            <w:r>
              <w:rPr>
                <w:rStyle w:val="Czeinternetowe"/>
              </w:rPr>
              <w:t>Warunki wykonania i odbioru robót budowalnych</w:t>
            </w:r>
            <w:r>
              <w:rPr>
                <w:webHidden/>
              </w:rPr>
              <w:fldChar w:fldCharType="begin"/>
            </w:r>
            <w:r>
              <w:rPr>
                <w:webHidden/>
              </w:rPr>
              <w:instrText>PAGEREF _Toc10627734 \h</w:instrText>
            </w:r>
            <w:r>
              <w:rPr>
                <w:webHidden/>
              </w:rPr>
              <w:fldChar w:fldCharType="separate"/>
            </w:r>
            <w:r>
              <w:rPr>
                <w:rStyle w:val="Czeindeksu"/>
                <w:vanish w:val="false"/>
              </w:rPr>
              <w:tab/>
              <w:t>57</w:t>
            </w:r>
            <w:r>
              <w:rPr>
                <w:webHidden/>
              </w:rPr>
              <w:fldChar w:fldCharType="end"/>
            </w:r>
          </w:hyperlink>
        </w:p>
        <w:p>
          <w:pPr>
            <w:pStyle w:val="Spistreci2"/>
            <w:tabs>
              <w:tab w:val="left" w:pos="880" w:leader="none"/>
              <w:tab w:val="right" w:pos="9062" w:leader="dot"/>
            </w:tabs>
            <w:rPr>
              <w:sz w:val="22"/>
              <w:szCs w:val="22"/>
              <w:lang w:eastAsia="pl-PL"/>
            </w:rPr>
          </w:pPr>
          <w:hyperlink w:anchor="_Toc10627735">
            <w:r>
              <w:rPr>
                <w:webHidden/>
                <w:rStyle w:val="Czeinternetowe"/>
                <w:vanish w:val="false"/>
              </w:rPr>
              <w:t>4.1</w:t>
            </w:r>
            <w:r>
              <w:rPr>
                <w:rStyle w:val="Czeindeksu"/>
                <w:sz w:val="22"/>
                <w:szCs w:val="22"/>
                <w:lang w:eastAsia="pl-PL"/>
              </w:rPr>
              <w:tab/>
            </w:r>
            <w:r>
              <w:rPr>
                <w:rStyle w:val="Czeinternetowe"/>
              </w:rPr>
              <w:t>Organizacja robót budowlanych i teren budowy</w:t>
            </w:r>
            <w:r>
              <w:rPr>
                <w:webHidden/>
              </w:rPr>
              <w:fldChar w:fldCharType="begin"/>
            </w:r>
            <w:r>
              <w:rPr>
                <w:webHidden/>
              </w:rPr>
              <w:instrText>PAGEREF _Toc10627735 \h</w:instrText>
            </w:r>
            <w:r>
              <w:rPr>
                <w:webHidden/>
              </w:rPr>
              <w:fldChar w:fldCharType="separate"/>
            </w:r>
            <w:r>
              <w:rPr>
                <w:rStyle w:val="Czeindeksu"/>
                <w:vanish w:val="false"/>
              </w:rPr>
              <w:tab/>
              <w:t>57</w:t>
            </w:r>
            <w:r>
              <w:rPr>
                <w:webHidden/>
              </w:rPr>
              <w:fldChar w:fldCharType="end"/>
            </w:r>
          </w:hyperlink>
        </w:p>
        <w:p>
          <w:pPr>
            <w:pStyle w:val="Spistreci3"/>
            <w:tabs>
              <w:tab w:val="left" w:pos="1100" w:leader="none"/>
              <w:tab w:val="right" w:pos="9062" w:leader="dot"/>
            </w:tabs>
            <w:rPr>
              <w:sz w:val="22"/>
              <w:szCs w:val="22"/>
              <w:lang w:eastAsia="pl-PL"/>
            </w:rPr>
          </w:pPr>
          <w:hyperlink w:anchor="_Toc10627736">
            <w:r>
              <w:rPr>
                <w:webHidden/>
                <w:rStyle w:val="Czeinternetowe"/>
                <w:vanish w:val="false"/>
              </w:rPr>
              <w:t>4.1.1</w:t>
            </w:r>
            <w:r>
              <w:rPr>
                <w:rStyle w:val="Czeindeksu"/>
                <w:sz w:val="22"/>
                <w:szCs w:val="22"/>
                <w:lang w:eastAsia="pl-PL"/>
              </w:rPr>
              <w:tab/>
            </w:r>
            <w:r>
              <w:rPr>
                <w:rStyle w:val="Czeinternetowe"/>
              </w:rPr>
              <w:t>Przekazanie terenu budowy</w:t>
            </w:r>
            <w:r>
              <w:rPr>
                <w:webHidden/>
              </w:rPr>
              <w:fldChar w:fldCharType="begin"/>
            </w:r>
            <w:r>
              <w:rPr>
                <w:webHidden/>
              </w:rPr>
              <w:instrText>PAGEREF _Toc10627736 \h</w:instrText>
            </w:r>
            <w:r>
              <w:rPr>
                <w:webHidden/>
              </w:rPr>
              <w:fldChar w:fldCharType="separate"/>
            </w:r>
            <w:r>
              <w:rPr>
                <w:rStyle w:val="Czeindeksu"/>
                <w:vanish w:val="false"/>
              </w:rPr>
              <w:tab/>
              <w:t>58</w:t>
            </w:r>
            <w:r>
              <w:rPr>
                <w:webHidden/>
              </w:rPr>
              <w:fldChar w:fldCharType="end"/>
            </w:r>
          </w:hyperlink>
        </w:p>
        <w:p>
          <w:pPr>
            <w:pStyle w:val="Spistreci3"/>
            <w:tabs>
              <w:tab w:val="left" w:pos="1100" w:leader="none"/>
              <w:tab w:val="right" w:pos="9062" w:leader="dot"/>
            </w:tabs>
            <w:rPr>
              <w:sz w:val="22"/>
              <w:szCs w:val="22"/>
              <w:lang w:eastAsia="pl-PL"/>
            </w:rPr>
          </w:pPr>
          <w:hyperlink w:anchor="_Toc10627737">
            <w:r>
              <w:rPr>
                <w:webHidden/>
                <w:rStyle w:val="Czeinternetowe"/>
                <w:vanish w:val="false"/>
              </w:rPr>
              <w:t>4.1.2</w:t>
            </w:r>
            <w:r>
              <w:rPr>
                <w:rStyle w:val="Czeindeksu"/>
                <w:sz w:val="22"/>
                <w:szCs w:val="22"/>
                <w:lang w:eastAsia="pl-PL"/>
              </w:rPr>
              <w:tab/>
            </w:r>
            <w:r>
              <w:rPr>
                <w:rStyle w:val="Czeinternetowe"/>
              </w:rPr>
              <w:t>Zgodność robót z dokumentacją i programem funkcjonalno-użytkowym</w:t>
            </w:r>
            <w:r>
              <w:rPr>
                <w:webHidden/>
              </w:rPr>
              <w:fldChar w:fldCharType="begin"/>
            </w:r>
            <w:r>
              <w:rPr>
                <w:webHidden/>
              </w:rPr>
              <w:instrText>PAGEREF _Toc10627737 \h</w:instrText>
            </w:r>
            <w:r>
              <w:rPr>
                <w:webHidden/>
              </w:rPr>
              <w:fldChar w:fldCharType="separate"/>
            </w:r>
            <w:r>
              <w:rPr>
                <w:rStyle w:val="Czeindeksu"/>
                <w:vanish w:val="false"/>
              </w:rPr>
              <w:tab/>
              <w:t>58</w:t>
            </w:r>
            <w:r>
              <w:rPr>
                <w:webHidden/>
              </w:rPr>
              <w:fldChar w:fldCharType="end"/>
            </w:r>
          </w:hyperlink>
        </w:p>
        <w:p>
          <w:pPr>
            <w:pStyle w:val="Spistreci3"/>
            <w:tabs>
              <w:tab w:val="left" w:pos="1100" w:leader="none"/>
              <w:tab w:val="right" w:pos="9062" w:leader="dot"/>
            </w:tabs>
            <w:rPr>
              <w:sz w:val="22"/>
              <w:szCs w:val="22"/>
              <w:lang w:eastAsia="pl-PL"/>
            </w:rPr>
          </w:pPr>
          <w:hyperlink w:anchor="_Toc10627738">
            <w:r>
              <w:rPr>
                <w:webHidden/>
                <w:rStyle w:val="Czeinternetowe"/>
                <w:vanish w:val="false"/>
              </w:rPr>
              <w:t>4.1.3</w:t>
            </w:r>
            <w:r>
              <w:rPr>
                <w:rStyle w:val="Czeindeksu"/>
                <w:sz w:val="22"/>
                <w:szCs w:val="22"/>
                <w:lang w:eastAsia="pl-PL"/>
              </w:rPr>
              <w:tab/>
            </w:r>
            <w:r>
              <w:rPr>
                <w:rStyle w:val="Czeinternetowe"/>
              </w:rPr>
              <w:t>Zabezpieczenie i oznakowanie terenu budowy</w:t>
            </w:r>
            <w:r>
              <w:rPr>
                <w:webHidden/>
              </w:rPr>
              <w:fldChar w:fldCharType="begin"/>
            </w:r>
            <w:r>
              <w:rPr>
                <w:webHidden/>
              </w:rPr>
              <w:instrText>PAGEREF _Toc10627738 \h</w:instrText>
            </w:r>
            <w:r>
              <w:rPr>
                <w:webHidden/>
              </w:rPr>
              <w:fldChar w:fldCharType="separate"/>
            </w:r>
            <w:r>
              <w:rPr>
                <w:rStyle w:val="Czeindeksu"/>
                <w:vanish w:val="false"/>
              </w:rPr>
              <w:tab/>
              <w:t>58</w:t>
            </w:r>
            <w:r>
              <w:rPr>
                <w:webHidden/>
              </w:rPr>
              <w:fldChar w:fldCharType="end"/>
            </w:r>
          </w:hyperlink>
        </w:p>
        <w:p>
          <w:pPr>
            <w:pStyle w:val="Spistreci3"/>
            <w:tabs>
              <w:tab w:val="left" w:pos="1100" w:leader="none"/>
              <w:tab w:val="right" w:pos="9062" w:leader="dot"/>
            </w:tabs>
            <w:rPr>
              <w:sz w:val="22"/>
              <w:szCs w:val="22"/>
              <w:lang w:eastAsia="pl-PL"/>
            </w:rPr>
          </w:pPr>
          <w:hyperlink w:anchor="_Toc10627739">
            <w:r>
              <w:rPr>
                <w:webHidden/>
                <w:rStyle w:val="Czeinternetowe"/>
                <w:vanish w:val="false"/>
              </w:rPr>
              <w:t>4.1.4</w:t>
            </w:r>
            <w:r>
              <w:rPr>
                <w:rStyle w:val="Czeindeksu"/>
                <w:sz w:val="22"/>
                <w:szCs w:val="22"/>
                <w:lang w:eastAsia="pl-PL"/>
              </w:rPr>
              <w:tab/>
            </w:r>
            <w:r>
              <w:rPr>
                <w:rStyle w:val="Czeinternetowe"/>
              </w:rPr>
              <w:t>Ochrona przeciwpożarowa</w:t>
            </w:r>
            <w:r>
              <w:rPr>
                <w:webHidden/>
              </w:rPr>
              <w:fldChar w:fldCharType="begin"/>
            </w:r>
            <w:r>
              <w:rPr>
                <w:webHidden/>
              </w:rPr>
              <w:instrText>PAGEREF _Toc10627739 \h</w:instrText>
            </w:r>
            <w:r>
              <w:rPr>
                <w:webHidden/>
              </w:rPr>
              <w:fldChar w:fldCharType="separate"/>
            </w:r>
            <w:r>
              <w:rPr>
                <w:rStyle w:val="Czeindeksu"/>
                <w:vanish w:val="false"/>
              </w:rPr>
              <w:tab/>
              <w:t>59</w:t>
            </w:r>
            <w:r>
              <w:rPr>
                <w:webHidden/>
              </w:rPr>
              <w:fldChar w:fldCharType="end"/>
            </w:r>
          </w:hyperlink>
        </w:p>
        <w:p>
          <w:pPr>
            <w:pStyle w:val="Spistreci3"/>
            <w:tabs>
              <w:tab w:val="left" w:pos="1100" w:leader="none"/>
              <w:tab w:val="right" w:pos="9062" w:leader="dot"/>
            </w:tabs>
            <w:rPr>
              <w:sz w:val="22"/>
              <w:szCs w:val="22"/>
              <w:lang w:eastAsia="pl-PL"/>
            </w:rPr>
          </w:pPr>
          <w:hyperlink w:anchor="_Toc10627740">
            <w:r>
              <w:rPr>
                <w:webHidden/>
                <w:rStyle w:val="Czeinternetowe"/>
                <w:vanish w:val="false"/>
              </w:rPr>
              <w:t>4.1.5</w:t>
            </w:r>
            <w:r>
              <w:rPr>
                <w:rStyle w:val="Czeindeksu"/>
                <w:sz w:val="22"/>
                <w:szCs w:val="22"/>
                <w:lang w:eastAsia="pl-PL"/>
              </w:rPr>
              <w:tab/>
            </w:r>
            <w:r>
              <w:rPr>
                <w:rStyle w:val="Czeinternetowe"/>
              </w:rPr>
              <w:t>Bezpieczeństwo i higiena pracy</w:t>
            </w:r>
            <w:r>
              <w:rPr>
                <w:webHidden/>
              </w:rPr>
              <w:fldChar w:fldCharType="begin"/>
            </w:r>
            <w:r>
              <w:rPr>
                <w:webHidden/>
              </w:rPr>
              <w:instrText>PAGEREF _Toc10627740 \h</w:instrText>
            </w:r>
            <w:r>
              <w:rPr>
                <w:webHidden/>
              </w:rPr>
              <w:fldChar w:fldCharType="separate"/>
            </w:r>
            <w:r>
              <w:rPr>
                <w:rStyle w:val="Czeindeksu"/>
                <w:vanish w:val="false"/>
              </w:rPr>
              <w:tab/>
              <w:t>60</w:t>
            </w:r>
            <w:r>
              <w:rPr>
                <w:webHidden/>
              </w:rPr>
              <w:fldChar w:fldCharType="end"/>
            </w:r>
          </w:hyperlink>
        </w:p>
        <w:p>
          <w:pPr>
            <w:pStyle w:val="Spistreci3"/>
            <w:tabs>
              <w:tab w:val="left" w:pos="1100" w:leader="none"/>
              <w:tab w:val="right" w:pos="9062" w:leader="dot"/>
            </w:tabs>
            <w:rPr>
              <w:sz w:val="22"/>
              <w:szCs w:val="22"/>
              <w:lang w:eastAsia="pl-PL"/>
            </w:rPr>
          </w:pPr>
          <w:hyperlink w:anchor="_Toc10627741">
            <w:r>
              <w:rPr>
                <w:webHidden/>
                <w:rStyle w:val="Czeinternetowe"/>
                <w:vanish w:val="false"/>
              </w:rPr>
              <w:t>4.1.6</w:t>
            </w:r>
            <w:r>
              <w:rPr>
                <w:rStyle w:val="Czeindeksu"/>
                <w:sz w:val="22"/>
                <w:szCs w:val="22"/>
                <w:lang w:eastAsia="pl-PL"/>
              </w:rPr>
              <w:tab/>
            </w:r>
            <w:r>
              <w:rPr>
                <w:rStyle w:val="Czeinternetowe"/>
              </w:rPr>
              <w:t>Ochrona środowiska i przyrody w czasie wykonywania robót budowlanych</w:t>
            </w:r>
            <w:r>
              <w:rPr>
                <w:webHidden/>
              </w:rPr>
              <w:fldChar w:fldCharType="begin"/>
            </w:r>
            <w:r>
              <w:rPr>
                <w:webHidden/>
              </w:rPr>
              <w:instrText>PAGEREF _Toc10627741 \h</w:instrText>
            </w:r>
            <w:r>
              <w:rPr>
                <w:webHidden/>
              </w:rPr>
              <w:fldChar w:fldCharType="separate"/>
            </w:r>
            <w:r>
              <w:rPr>
                <w:rStyle w:val="Czeindeksu"/>
                <w:vanish w:val="false"/>
              </w:rPr>
              <w:tab/>
              <w:t>60</w:t>
            </w:r>
            <w:r>
              <w:rPr>
                <w:webHidden/>
              </w:rPr>
              <w:fldChar w:fldCharType="end"/>
            </w:r>
          </w:hyperlink>
        </w:p>
        <w:p>
          <w:pPr>
            <w:pStyle w:val="Spistreci3"/>
            <w:tabs>
              <w:tab w:val="left" w:pos="1100" w:leader="none"/>
              <w:tab w:val="right" w:pos="9062" w:leader="dot"/>
            </w:tabs>
            <w:rPr>
              <w:sz w:val="22"/>
              <w:szCs w:val="22"/>
              <w:lang w:eastAsia="pl-PL"/>
            </w:rPr>
          </w:pPr>
          <w:hyperlink w:anchor="_Toc10627742">
            <w:r>
              <w:rPr>
                <w:webHidden/>
                <w:rStyle w:val="Czeinternetowe"/>
                <w:vanish w:val="false"/>
              </w:rPr>
              <w:t>4.1.7</w:t>
            </w:r>
            <w:r>
              <w:rPr>
                <w:rStyle w:val="Czeindeksu"/>
                <w:sz w:val="22"/>
                <w:szCs w:val="22"/>
                <w:lang w:eastAsia="pl-PL"/>
              </w:rPr>
              <w:tab/>
            </w:r>
            <w:r>
              <w:rPr>
                <w:rStyle w:val="Czeinternetowe"/>
              </w:rPr>
              <w:t>Zaplecze wykonawcy</w:t>
            </w:r>
            <w:r>
              <w:rPr>
                <w:webHidden/>
              </w:rPr>
              <w:fldChar w:fldCharType="begin"/>
            </w:r>
            <w:r>
              <w:rPr>
                <w:webHidden/>
              </w:rPr>
              <w:instrText>PAGEREF _Toc10627742 \h</w:instrText>
            </w:r>
            <w:r>
              <w:rPr>
                <w:webHidden/>
              </w:rPr>
              <w:fldChar w:fldCharType="separate"/>
            </w:r>
            <w:r>
              <w:rPr>
                <w:rStyle w:val="Czeindeksu"/>
                <w:vanish w:val="false"/>
              </w:rPr>
              <w:tab/>
              <w:t>61</w:t>
            </w:r>
            <w:r>
              <w:rPr>
                <w:webHidden/>
              </w:rPr>
              <w:fldChar w:fldCharType="end"/>
            </w:r>
          </w:hyperlink>
        </w:p>
        <w:p>
          <w:pPr>
            <w:pStyle w:val="Spistreci3"/>
            <w:tabs>
              <w:tab w:val="left" w:pos="1100" w:leader="none"/>
              <w:tab w:val="right" w:pos="9062" w:leader="dot"/>
            </w:tabs>
            <w:rPr>
              <w:sz w:val="22"/>
              <w:szCs w:val="22"/>
              <w:lang w:eastAsia="pl-PL"/>
            </w:rPr>
          </w:pPr>
          <w:hyperlink w:anchor="_Toc10627743">
            <w:r>
              <w:rPr>
                <w:webHidden/>
                <w:rStyle w:val="Czeinternetowe"/>
                <w:vanish w:val="false"/>
              </w:rPr>
              <w:t>4.1.8</w:t>
            </w:r>
            <w:r>
              <w:rPr>
                <w:rStyle w:val="Czeindeksu"/>
                <w:sz w:val="22"/>
                <w:szCs w:val="22"/>
                <w:lang w:eastAsia="pl-PL"/>
              </w:rPr>
              <w:tab/>
            </w:r>
            <w:r>
              <w:rPr>
                <w:rStyle w:val="Czeinternetowe"/>
              </w:rPr>
              <w:t>Materiały szkodliwe dla otoczenia</w:t>
            </w:r>
            <w:r>
              <w:rPr>
                <w:webHidden/>
              </w:rPr>
              <w:fldChar w:fldCharType="begin"/>
            </w:r>
            <w:r>
              <w:rPr>
                <w:webHidden/>
              </w:rPr>
              <w:instrText>PAGEREF _Toc10627743 \h</w:instrText>
            </w:r>
            <w:r>
              <w:rPr>
                <w:webHidden/>
              </w:rPr>
              <w:fldChar w:fldCharType="separate"/>
            </w:r>
            <w:r>
              <w:rPr>
                <w:rStyle w:val="Czeindeksu"/>
                <w:vanish w:val="false"/>
              </w:rPr>
              <w:tab/>
              <w:t>61</w:t>
            </w:r>
            <w:r>
              <w:rPr>
                <w:webHidden/>
              </w:rPr>
              <w:fldChar w:fldCharType="end"/>
            </w:r>
          </w:hyperlink>
        </w:p>
        <w:p>
          <w:pPr>
            <w:pStyle w:val="Spistreci3"/>
            <w:tabs>
              <w:tab w:val="left" w:pos="1100" w:leader="none"/>
              <w:tab w:val="right" w:pos="9062" w:leader="dot"/>
            </w:tabs>
            <w:rPr>
              <w:sz w:val="22"/>
              <w:szCs w:val="22"/>
              <w:lang w:eastAsia="pl-PL"/>
            </w:rPr>
          </w:pPr>
          <w:hyperlink w:anchor="_Toc10627744">
            <w:r>
              <w:rPr>
                <w:webHidden/>
                <w:rStyle w:val="Czeinternetowe"/>
                <w:vanish w:val="false"/>
              </w:rPr>
              <w:t>4.1.9</w:t>
            </w:r>
            <w:r>
              <w:rPr>
                <w:rStyle w:val="Czeindeksu"/>
                <w:sz w:val="22"/>
                <w:szCs w:val="22"/>
                <w:lang w:eastAsia="pl-PL"/>
              </w:rPr>
              <w:tab/>
            </w:r>
            <w:r>
              <w:rPr>
                <w:rStyle w:val="Czeinternetowe"/>
              </w:rPr>
              <w:t>Ochrona własności publicznej i prywatnej</w:t>
            </w:r>
            <w:r>
              <w:rPr>
                <w:webHidden/>
              </w:rPr>
              <w:fldChar w:fldCharType="begin"/>
            </w:r>
            <w:r>
              <w:rPr>
                <w:webHidden/>
              </w:rPr>
              <w:instrText>PAGEREF _Toc10627744 \h</w:instrText>
            </w:r>
            <w:r>
              <w:rPr>
                <w:webHidden/>
              </w:rPr>
              <w:fldChar w:fldCharType="separate"/>
            </w:r>
            <w:r>
              <w:rPr>
                <w:rStyle w:val="Czeindeksu"/>
                <w:vanish w:val="false"/>
              </w:rPr>
              <w:tab/>
              <w:t>61</w:t>
            </w:r>
            <w:r>
              <w:rPr>
                <w:webHidden/>
              </w:rPr>
              <w:fldChar w:fldCharType="end"/>
            </w:r>
          </w:hyperlink>
        </w:p>
        <w:p>
          <w:pPr>
            <w:pStyle w:val="Spistreci3"/>
            <w:tabs>
              <w:tab w:val="left" w:pos="1320" w:leader="none"/>
              <w:tab w:val="right" w:pos="9062" w:leader="dot"/>
            </w:tabs>
            <w:rPr>
              <w:sz w:val="22"/>
              <w:szCs w:val="22"/>
              <w:lang w:eastAsia="pl-PL"/>
            </w:rPr>
          </w:pPr>
          <w:hyperlink w:anchor="_Toc10627745">
            <w:r>
              <w:rPr>
                <w:webHidden/>
                <w:rStyle w:val="Czeinternetowe"/>
                <w:vanish w:val="false"/>
              </w:rPr>
              <w:t>4.1.10</w:t>
            </w:r>
            <w:r>
              <w:rPr>
                <w:rStyle w:val="Czeindeksu"/>
                <w:sz w:val="22"/>
                <w:szCs w:val="22"/>
                <w:lang w:eastAsia="pl-PL"/>
              </w:rPr>
              <w:tab/>
            </w:r>
            <w:r>
              <w:rPr>
                <w:rStyle w:val="Czeinternetowe"/>
              </w:rPr>
              <w:t>Zabezpieczenie jezdni, chodników, Ograniczenie obciążeń osi pojazdów</w:t>
            </w:r>
            <w:r>
              <w:rPr>
                <w:webHidden/>
              </w:rPr>
              <w:fldChar w:fldCharType="begin"/>
            </w:r>
            <w:r>
              <w:rPr>
                <w:webHidden/>
              </w:rPr>
              <w:instrText>PAGEREF _Toc10627745 \h</w:instrText>
            </w:r>
            <w:r>
              <w:rPr>
                <w:webHidden/>
              </w:rPr>
              <w:fldChar w:fldCharType="separate"/>
            </w:r>
            <w:r>
              <w:rPr>
                <w:rStyle w:val="Czeindeksu"/>
                <w:vanish w:val="false"/>
              </w:rPr>
              <w:tab/>
              <w:t>61</w:t>
            </w:r>
            <w:r>
              <w:rPr>
                <w:webHidden/>
              </w:rPr>
              <w:fldChar w:fldCharType="end"/>
            </w:r>
          </w:hyperlink>
        </w:p>
        <w:p>
          <w:pPr>
            <w:pStyle w:val="Spistreci3"/>
            <w:tabs>
              <w:tab w:val="left" w:pos="1320" w:leader="none"/>
              <w:tab w:val="right" w:pos="9062" w:leader="dot"/>
            </w:tabs>
            <w:rPr>
              <w:sz w:val="22"/>
              <w:szCs w:val="22"/>
              <w:lang w:eastAsia="pl-PL"/>
            </w:rPr>
          </w:pPr>
          <w:hyperlink w:anchor="_Toc10627746">
            <w:r>
              <w:rPr>
                <w:webHidden/>
                <w:rStyle w:val="Czeinternetowe"/>
                <w:vanish w:val="false"/>
              </w:rPr>
              <w:t>4.1.11</w:t>
            </w:r>
            <w:r>
              <w:rPr>
                <w:rStyle w:val="Czeindeksu"/>
                <w:sz w:val="22"/>
                <w:szCs w:val="22"/>
                <w:lang w:eastAsia="pl-PL"/>
              </w:rPr>
              <w:tab/>
            </w:r>
            <w:r>
              <w:rPr>
                <w:rStyle w:val="Czeinternetowe"/>
              </w:rPr>
              <w:t>Ochrona i utrzymanie robót</w:t>
            </w:r>
            <w:r>
              <w:rPr>
                <w:webHidden/>
              </w:rPr>
              <w:fldChar w:fldCharType="begin"/>
            </w:r>
            <w:r>
              <w:rPr>
                <w:webHidden/>
              </w:rPr>
              <w:instrText>PAGEREF _Toc10627746 \h</w:instrText>
            </w:r>
            <w:r>
              <w:rPr>
                <w:webHidden/>
              </w:rPr>
              <w:fldChar w:fldCharType="separate"/>
            </w:r>
            <w:r>
              <w:rPr>
                <w:rStyle w:val="Czeindeksu"/>
                <w:vanish w:val="false"/>
              </w:rPr>
              <w:tab/>
              <w:t>62</w:t>
            </w:r>
            <w:r>
              <w:rPr>
                <w:webHidden/>
              </w:rPr>
              <w:fldChar w:fldCharType="end"/>
            </w:r>
          </w:hyperlink>
        </w:p>
        <w:p>
          <w:pPr>
            <w:pStyle w:val="Spistreci3"/>
            <w:tabs>
              <w:tab w:val="left" w:pos="1320" w:leader="none"/>
              <w:tab w:val="right" w:pos="9062" w:leader="dot"/>
            </w:tabs>
            <w:rPr>
              <w:sz w:val="22"/>
              <w:szCs w:val="22"/>
              <w:lang w:eastAsia="pl-PL"/>
            </w:rPr>
          </w:pPr>
          <w:hyperlink w:anchor="_Toc10627747">
            <w:r>
              <w:rPr>
                <w:webHidden/>
                <w:rStyle w:val="Czeinternetowe"/>
                <w:vanish w:val="false"/>
              </w:rPr>
              <w:t>4.1.12</w:t>
            </w:r>
            <w:r>
              <w:rPr>
                <w:rStyle w:val="Czeindeksu"/>
                <w:sz w:val="22"/>
                <w:szCs w:val="22"/>
                <w:lang w:eastAsia="pl-PL"/>
              </w:rPr>
              <w:tab/>
            </w:r>
            <w:r>
              <w:rPr>
                <w:rStyle w:val="Czeinternetowe"/>
              </w:rPr>
              <w:t>Stosowanie się do prawa i innych przepisów, zabezpieczenie inyeresu osób trzecich</w:t>
            </w:r>
            <w:r>
              <w:rPr>
                <w:webHidden/>
              </w:rPr>
              <w:fldChar w:fldCharType="begin"/>
            </w:r>
            <w:r>
              <w:rPr>
                <w:webHidden/>
              </w:rPr>
              <w:instrText>PAGEREF _Toc10627747 \h</w:instrText>
            </w:r>
            <w:r>
              <w:rPr>
                <w:webHidden/>
              </w:rPr>
              <w:fldChar w:fldCharType="separate"/>
            </w:r>
            <w:r>
              <w:rPr>
                <w:rStyle w:val="Czeindeksu"/>
                <w:vanish w:val="false"/>
              </w:rPr>
              <w:tab/>
              <w:t>62</w:t>
            </w:r>
            <w:r>
              <w:rPr>
                <w:webHidden/>
              </w:rPr>
              <w:fldChar w:fldCharType="end"/>
            </w:r>
          </w:hyperlink>
        </w:p>
        <w:p>
          <w:pPr>
            <w:pStyle w:val="Spistreci3"/>
            <w:tabs>
              <w:tab w:val="left" w:pos="1320" w:leader="none"/>
              <w:tab w:val="right" w:pos="9062" w:leader="dot"/>
            </w:tabs>
            <w:rPr>
              <w:sz w:val="22"/>
              <w:szCs w:val="22"/>
              <w:lang w:eastAsia="pl-PL"/>
            </w:rPr>
          </w:pPr>
          <w:hyperlink w:anchor="_Toc10627748">
            <w:r>
              <w:rPr>
                <w:webHidden/>
                <w:rStyle w:val="Czeinternetowe"/>
                <w:vanish w:val="false"/>
              </w:rPr>
              <w:t>4.1.13</w:t>
            </w:r>
            <w:r>
              <w:rPr>
                <w:rStyle w:val="Czeindeksu"/>
                <w:sz w:val="22"/>
                <w:szCs w:val="22"/>
                <w:lang w:eastAsia="pl-PL"/>
              </w:rPr>
              <w:tab/>
            </w:r>
            <w:r>
              <w:rPr>
                <w:rStyle w:val="Czeinternetowe"/>
              </w:rPr>
              <w:t>Równoważność norm i zbiorów przepisów prawnych</w:t>
            </w:r>
            <w:r>
              <w:rPr>
                <w:webHidden/>
              </w:rPr>
              <w:fldChar w:fldCharType="begin"/>
            </w:r>
            <w:r>
              <w:rPr>
                <w:webHidden/>
              </w:rPr>
              <w:instrText>PAGEREF _Toc10627748 \h</w:instrText>
            </w:r>
            <w:r>
              <w:rPr>
                <w:webHidden/>
              </w:rPr>
              <w:fldChar w:fldCharType="separate"/>
            </w:r>
            <w:r>
              <w:rPr>
                <w:rStyle w:val="Czeindeksu"/>
                <w:vanish w:val="false"/>
              </w:rPr>
              <w:tab/>
              <w:t>62</w:t>
            </w:r>
            <w:r>
              <w:rPr>
                <w:webHidden/>
              </w:rPr>
              <w:fldChar w:fldCharType="end"/>
            </w:r>
          </w:hyperlink>
        </w:p>
        <w:p>
          <w:pPr>
            <w:pStyle w:val="Spistreci2"/>
            <w:tabs>
              <w:tab w:val="left" w:pos="880" w:leader="none"/>
              <w:tab w:val="right" w:pos="9062" w:leader="dot"/>
            </w:tabs>
            <w:rPr>
              <w:sz w:val="22"/>
              <w:szCs w:val="22"/>
              <w:lang w:eastAsia="pl-PL"/>
            </w:rPr>
          </w:pPr>
          <w:hyperlink w:anchor="_Toc10627749">
            <w:r>
              <w:rPr>
                <w:webHidden/>
                <w:rStyle w:val="Czeinternetowe"/>
                <w:vanish w:val="false"/>
              </w:rPr>
              <w:t>4.2</w:t>
            </w:r>
            <w:r>
              <w:rPr>
                <w:rStyle w:val="Czeindeksu"/>
                <w:sz w:val="22"/>
                <w:szCs w:val="22"/>
                <w:lang w:eastAsia="pl-PL"/>
              </w:rPr>
              <w:tab/>
            </w:r>
            <w:r>
              <w:rPr>
                <w:rStyle w:val="Czeinternetowe"/>
              </w:rPr>
              <w:t>Wymagania dotyczące materiałów i wyrobów budowlanych</w:t>
            </w:r>
            <w:r>
              <w:rPr>
                <w:webHidden/>
              </w:rPr>
              <w:fldChar w:fldCharType="begin"/>
            </w:r>
            <w:r>
              <w:rPr>
                <w:webHidden/>
              </w:rPr>
              <w:instrText>PAGEREF _Toc10627749 \h</w:instrText>
            </w:r>
            <w:r>
              <w:rPr>
                <w:webHidden/>
              </w:rPr>
              <w:fldChar w:fldCharType="separate"/>
            </w:r>
            <w:r>
              <w:rPr>
                <w:rStyle w:val="Czeindeksu"/>
                <w:vanish w:val="false"/>
              </w:rPr>
              <w:tab/>
              <w:t>63</w:t>
            </w:r>
            <w:r>
              <w:rPr>
                <w:webHidden/>
              </w:rPr>
              <w:fldChar w:fldCharType="end"/>
            </w:r>
          </w:hyperlink>
        </w:p>
        <w:p>
          <w:pPr>
            <w:pStyle w:val="Spistreci3"/>
            <w:tabs>
              <w:tab w:val="left" w:pos="1100" w:leader="none"/>
              <w:tab w:val="right" w:pos="9062" w:leader="dot"/>
            </w:tabs>
            <w:rPr>
              <w:sz w:val="22"/>
              <w:szCs w:val="22"/>
              <w:lang w:eastAsia="pl-PL"/>
            </w:rPr>
          </w:pPr>
          <w:hyperlink w:anchor="_Toc10627750">
            <w:r>
              <w:rPr>
                <w:webHidden/>
                <w:rStyle w:val="Czeinternetowe"/>
                <w:vanish w:val="false"/>
              </w:rPr>
              <w:t>4.2.1</w:t>
            </w:r>
            <w:r>
              <w:rPr>
                <w:rStyle w:val="Czeindeksu"/>
                <w:sz w:val="22"/>
                <w:szCs w:val="22"/>
                <w:lang w:eastAsia="pl-PL"/>
              </w:rPr>
              <w:tab/>
            </w:r>
            <w:r>
              <w:rPr>
                <w:rStyle w:val="Czeinternetowe"/>
              </w:rPr>
              <w:t>Oznakowanie wyrobów budowlanych</w:t>
            </w:r>
            <w:r>
              <w:rPr>
                <w:webHidden/>
              </w:rPr>
              <w:fldChar w:fldCharType="begin"/>
            </w:r>
            <w:r>
              <w:rPr>
                <w:webHidden/>
              </w:rPr>
              <w:instrText>PAGEREF _Toc10627750 \h</w:instrText>
            </w:r>
            <w:r>
              <w:rPr>
                <w:webHidden/>
              </w:rPr>
              <w:fldChar w:fldCharType="separate"/>
            </w:r>
            <w:r>
              <w:rPr>
                <w:rStyle w:val="Czeindeksu"/>
                <w:vanish w:val="false"/>
              </w:rPr>
              <w:tab/>
              <w:t>63</w:t>
            </w:r>
            <w:r>
              <w:rPr>
                <w:webHidden/>
              </w:rPr>
              <w:fldChar w:fldCharType="end"/>
            </w:r>
          </w:hyperlink>
        </w:p>
        <w:p>
          <w:pPr>
            <w:pStyle w:val="Spistreci3"/>
            <w:tabs>
              <w:tab w:val="left" w:pos="1100" w:leader="none"/>
              <w:tab w:val="right" w:pos="9062" w:leader="dot"/>
            </w:tabs>
            <w:rPr>
              <w:sz w:val="22"/>
              <w:szCs w:val="22"/>
              <w:lang w:eastAsia="pl-PL"/>
            </w:rPr>
          </w:pPr>
          <w:hyperlink w:anchor="_Toc10627751">
            <w:r>
              <w:rPr>
                <w:webHidden/>
                <w:rStyle w:val="Czeinternetowe"/>
                <w:vanish w:val="false"/>
              </w:rPr>
              <w:t>4.2.2</w:t>
            </w:r>
            <w:r>
              <w:rPr>
                <w:rStyle w:val="Czeindeksu"/>
                <w:sz w:val="22"/>
                <w:szCs w:val="22"/>
                <w:lang w:eastAsia="pl-PL"/>
              </w:rPr>
              <w:tab/>
            </w:r>
            <w:r>
              <w:rPr>
                <w:rStyle w:val="Czeinternetowe"/>
              </w:rPr>
              <w:t>Akceptowanie użytych materiałów</w:t>
            </w:r>
            <w:r>
              <w:rPr>
                <w:webHidden/>
              </w:rPr>
              <w:fldChar w:fldCharType="begin"/>
            </w:r>
            <w:r>
              <w:rPr>
                <w:webHidden/>
              </w:rPr>
              <w:instrText>PAGEREF _Toc10627751 \h</w:instrText>
            </w:r>
            <w:r>
              <w:rPr>
                <w:webHidden/>
              </w:rPr>
              <w:fldChar w:fldCharType="separate"/>
            </w:r>
            <w:r>
              <w:rPr>
                <w:rStyle w:val="Czeindeksu"/>
                <w:vanish w:val="false"/>
              </w:rPr>
              <w:tab/>
              <w:t>63</w:t>
            </w:r>
            <w:r>
              <w:rPr>
                <w:webHidden/>
              </w:rPr>
              <w:fldChar w:fldCharType="end"/>
            </w:r>
          </w:hyperlink>
        </w:p>
        <w:p>
          <w:pPr>
            <w:pStyle w:val="Spistreci3"/>
            <w:tabs>
              <w:tab w:val="left" w:pos="1100" w:leader="none"/>
              <w:tab w:val="right" w:pos="9062" w:leader="dot"/>
            </w:tabs>
            <w:rPr>
              <w:sz w:val="22"/>
              <w:szCs w:val="22"/>
              <w:lang w:eastAsia="pl-PL"/>
            </w:rPr>
          </w:pPr>
          <w:hyperlink w:anchor="_Toc10627752">
            <w:r>
              <w:rPr>
                <w:webHidden/>
                <w:rStyle w:val="Czeinternetowe"/>
                <w:vanish w:val="false"/>
              </w:rPr>
              <w:t>4.2.3</w:t>
            </w:r>
            <w:r>
              <w:rPr>
                <w:rStyle w:val="Czeindeksu"/>
                <w:sz w:val="22"/>
                <w:szCs w:val="22"/>
                <w:lang w:eastAsia="pl-PL"/>
              </w:rPr>
              <w:tab/>
            </w:r>
            <w:r>
              <w:rPr>
                <w:rStyle w:val="Czeinternetowe"/>
              </w:rPr>
              <w:t>Źródła uzyskania materiałów do elementów konstrukcyjnych (w tym elementów nośnych montażowych)</w:t>
            </w:r>
            <w:r>
              <w:rPr>
                <w:webHidden/>
              </w:rPr>
              <w:fldChar w:fldCharType="begin"/>
            </w:r>
            <w:r>
              <w:rPr>
                <w:webHidden/>
              </w:rPr>
              <w:instrText>PAGEREF _Toc10627752 \h</w:instrText>
            </w:r>
            <w:r>
              <w:rPr>
                <w:webHidden/>
              </w:rPr>
              <w:fldChar w:fldCharType="separate"/>
            </w:r>
            <w:r>
              <w:rPr>
                <w:rStyle w:val="Czeindeksu"/>
                <w:vanish w:val="false"/>
              </w:rPr>
              <w:tab/>
              <w:t>64</w:t>
            </w:r>
            <w:r>
              <w:rPr>
                <w:webHidden/>
              </w:rPr>
              <w:fldChar w:fldCharType="end"/>
            </w:r>
          </w:hyperlink>
        </w:p>
        <w:p>
          <w:pPr>
            <w:pStyle w:val="Spistreci3"/>
            <w:tabs>
              <w:tab w:val="left" w:pos="1100" w:leader="none"/>
              <w:tab w:val="right" w:pos="9062" w:leader="dot"/>
            </w:tabs>
            <w:rPr>
              <w:sz w:val="22"/>
              <w:szCs w:val="22"/>
              <w:lang w:eastAsia="pl-PL"/>
            </w:rPr>
          </w:pPr>
          <w:hyperlink w:anchor="_Toc10627753">
            <w:r>
              <w:rPr>
                <w:webHidden/>
                <w:rStyle w:val="Czeinternetowe"/>
                <w:vanish w:val="false"/>
              </w:rPr>
              <w:t>4.2.4</w:t>
            </w:r>
            <w:r>
              <w:rPr>
                <w:rStyle w:val="Czeindeksu"/>
                <w:sz w:val="22"/>
                <w:szCs w:val="22"/>
                <w:lang w:eastAsia="pl-PL"/>
              </w:rPr>
              <w:tab/>
            </w:r>
            <w:r>
              <w:rPr>
                <w:rStyle w:val="Czeinternetowe"/>
              </w:rPr>
              <w:t>Materiały nie odpowiadające wymaganiom ST</w:t>
            </w:r>
            <w:r>
              <w:rPr>
                <w:webHidden/>
              </w:rPr>
              <w:fldChar w:fldCharType="begin"/>
            </w:r>
            <w:r>
              <w:rPr>
                <w:webHidden/>
              </w:rPr>
              <w:instrText>PAGEREF _Toc10627753 \h</w:instrText>
            </w:r>
            <w:r>
              <w:rPr>
                <w:webHidden/>
              </w:rPr>
              <w:fldChar w:fldCharType="separate"/>
            </w:r>
            <w:r>
              <w:rPr>
                <w:rStyle w:val="Czeindeksu"/>
                <w:vanish w:val="false"/>
              </w:rPr>
              <w:tab/>
              <w:t>64</w:t>
            </w:r>
            <w:r>
              <w:rPr>
                <w:webHidden/>
              </w:rPr>
              <w:fldChar w:fldCharType="end"/>
            </w:r>
          </w:hyperlink>
        </w:p>
        <w:p>
          <w:pPr>
            <w:pStyle w:val="Spistreci3"/>
            <w:tabs>
              <w:tab w:val="left" w:pos="1100" w:leader="none"/>
              <w:tab w:val="right" w:pos="9062" w:leader="dot"/>
            </w:tabs>
            <w:rPr>
              <w:sz w:val="22"/>
              <w:szCs w:val="22"/>
              <w:lang w:eastAsia="pl-PL"/>
            </w:rPr>
          </w:pPr>
          <w:hyperlink w:anchor="_Toc10627754">
            <w:r>
              <w:rPr>
                <w:webHidden/>
                <w:rStyle w:val="Czeinternetowe"/>
                <w:vanish w:val="false"/>
              </w:rPr>
              <w:t>4.2.5</w:t>
            </w:r>
            <w:r>
              <w:rPr>
                <w:rStyle w:val="Czeindeksu"/>
                <w:sz w:val="22"/>
                <w:szCs w:val="22"/>
                <w:lang w:eastAsia="pl-PL"/>
              </w:rPr>
              <w:tab/>
            </w:r>
            <w:r>
              <w:rPr>
                <w:rStyle w:val="Czeinternetowe"/>
              </w:rPr>
              <w:t>Przechowywanie i składowanie materiałów</w:t>
            </w:r>
            <w:r>
              <w:rPr>
                <w:webHidden/>
              </w:rPr>
              <w:fldChar w:fldCharType="begin"/>
            </w:r>
            <w:r>
              <w:rPr>
                <w:webHidden/>
              </w:rPr>
              <w:instrText>PAGEREF _Toc10627754 \h</w:instrText>
            </w:r>
            <w:r>
              <w:rPr>
                <w:webHidden/>
              </w:rPr>
              <w:fldChar w:fldCharType="separate"/>
            </w:r>
            <w:r>
              <w:rPr>
                <w:rStyle w:val="Czeindeksu"/>
                <w:vanish w:val="false"/>
              </w:rPr>
              <w:tab/>
              <w:t>64</w:t>
            </w:r>
            <w:r>
              <w:rPr>
                <w:webHidden/>
              </w:rPr>
              <w:fldChar w:fldCharType="end"/>
            </w:r>
          </w:hyperlink>
        </w:p>
        <w:p>
          <w:pPr>
            <w:pStyle w:val="Spistreci3"/>
            <w:tabs>
              <w:tab w:val="left" w:pos="1100" w:leader="none"/>
              <w:tab w:val="right" w:pos="9062" w:leader="dot"/>
            </w:tabs>
            <w:rPr>
              <w:sz w:val="22"/>
              <w:szCs w:val="22"/>
              <w:lang w:eastAsia="pl-PL"/>
            </w:rPr>
          </w:pPr>
          <w:hyperlink w:anchor="_Toc10627755">
            <w:r>
              <w:rPr>
                <w:webHidden/>
                <w:rStyle w:val="Czeinternetowe"/>
                <w:vanish w:val="false"/>
              </w:rPr>
              <w:t>4.2.6</w:t>
            </w:r>
            <w:r>
              <w:rPr>
                <w:rStyle w:val="Czeindeksu"/>
                <w:sz w:val="22"/>
                <w:szCs w:val="22"/>
                <w:lang w:eastAsia="pl-PL"/>
              </w:rPr>
              <w:tab/>
            </w:r>
            <w:r>
              <w:rPr>
                <w:rStyle w:val="Czeinternetowe"/>
              </w:rPr>
              <w:t>Wariantowe stosowanie materiałów</w:t>
            </w:r>
            <w:r>
              <w:rPr>
                <w:webHidden/>
              </w:rPr>
              <w:fldChar w:fldCharType="begin"/>
            </w:r>
            <w:r>
              <w:rPr>
                <w:webHidden/>
              </w:rPr>
              <w:instrText>PAGEREF _Toc10627755 \h</w:instrText>
            </w:r>
            <w:r>
              <w:rPr>
                <w:webHidden/>
              </w:rPr>
              <w:fldChar w:fldCharType="separate"/>
            </w:r>
            <w:r>
              <w:rPr>
                <w:rStyle w:val="Czeindeksu"/>
                <w:vanish w:val="false"/>
              </w:rPr>
              <w:tab/>
              <w:t>64</w:t>
            </w:r>
            <w:r>
              <w:rPr>
                <w:webHidden/>
              </w:rPr>
              <w:fldChar w:fldCharType="end"/>
            </w:r>
          </w:hyperlink>
        </w:p>
        <w:p>
          <w:pPr>
            <w:pStyle w:val="Spistreci3"/>
            <w:tabs>
              <w:tab w:val="left" w:pos="1100" w:leader="none"/>
              <w:tab w:val="right" w:pos="9062" w:leader="dot"/>
            </w:tabs>
            <w:rPr>
              <w:sz w:val="22"/>
              <w:szCs w:val="22"/>
              <w:lang w:eastAsia="pl-PL"/>
            </w:rPr>
          </w:pPr>
          <w:hyperlink w:anchor="_Toc10627756">
            <w:r>
              <w:rPr>
                <w:webHidden/>
                <w:rStyle w:val="Czeinternetowe"/>
                <w:vanish w:val="false"/>
              </w:rPr>
              <w:t>4.2.7</w:t>
            </w:r>
            <w:r>
              <w:rPr>
                <w:rStyle w:val="Czeindeksu"/>
                <w:sz w:val="22"/>
                <w:szCs w:val="22"/>
                <w:lang w:eastAsia="pl-PL"/>
              </w:rPr>
              <w:tab/>
            </w:r>
            <w:r>
              <w:rPr>
                <w:rStyle w:val="Czeinternetowe"/>
              </w:rPr>
              <w:t>Materiały zamienne</w:t>
            </w:r>
            <w:r>
              <w:rPr>
                <w:webHidden/>
              </w:rPr>
              <w:fldChar w:fldCharType="begin"/>
            </w:r>
            <w:r>
              <w:rPr>
                <w:webHidden/>
              </w:rPr>
              <w:instrText>PAGEREF _Toc10627756 \h</w:instrText>
            </w:r>
            <w:r>
              <w:rPr>
                <w:webHidden/>
              </w:rPr>
              <w:fldChar w:fldCharType="separate"/>
            </w:r>
            <w:r>
              <w:rPr>
                <w:rStyle w:val="Czeindeksu"/>
                <w:vanish w:val="false"/>
              </w:rPr>
              <w:tab/>
              <w:t>65</w:t>
            </w:r>
            <w:r>
              <w:rPr>
                <w:webHidden/>
              </w:rPr>
              <w:fldChar w:fldCharType="end"/>
            </w:r>
          </w:hyperlink>
        </w:p>
        <w:p>
          <w:pPr>
            <w:pStyle w:val="Spistreci2"/>
            <w:tabs>
              <w:tab w:val="left" w:pos="880" w:leader="none"/>
              <w:tab w:val="right" w:pos="9062" w:leader="dot"/>
            </w:tabs>
            <w:rPr>
              <w:sz w:val="22"/>
              <w:szCs w:val="22"/>
              <w:lang w:eastAsia="pl-PL"/>
            </w:rPr>
          </w:pPr>
          <w:hyperlink w:anchor="_Toc10627757">
            <w:r>
              <w:rPr>
                <w:webHidden/>
                <w:rStyle w:val="Czeinternetowe"/>
                <w:vanish w:val="false"/>
              </w:rPr>
              <w:t>4.3</w:t>
            </w:r>
            <w:r>
              <w:rPr>
                <w:rStyle w:val="Czeindeksu"/>
                <w:sz w:val="22"/>
                <w:szCs w:val="22"/>
                <w:lang w:eastAsia="pl-PL"/>
              </w:rPr>
              <w:tab/>
            </w:r>
            <w:r>
              <w:rPr>
                <w:rStyle w:val="Czeinternetowe"/>
              </w:rPr>
              <w:t>Wymagania dotyczące sprzętu i maszyn</w:t>
            </w:r>
            <w:r>
              <w:rPr>
                <w:webHidden/>
              </w:rPr>
              <w:fldChar w:fldCharType="begin"/>
            </w:r>
            <w:r>
              <w:rPr>
                <w:webHidden/>
              </w:rPr>
              <w:instrText>PAGEREF _Toc10627757 \h</w:instrText>
            </w:r>
            <w:r>
              <w:rPr>
                <w:webHidden/>
              </w:rPr>
              <w:fldChar w:fldCharType="separate"/>
            </w:r>
            <w:r>
              <w:rPr>
                <w:rStyle w:val="Czeindeksu"/>
                <w:vanish w:val="false"/>
              </w:rPr>
              <w:tab/>
              <w:t>65</w:t>
            </w:r>
            <w:r>
              <w:rPr>
                <w:webHidden/>
              </w:rPr>
              <w:fldChar w:fldCharType="end"/>
            </w:r>
          </w:hyperlink>
        </w:p>
        <w:p>
          <w:pPr>
            <w:pStyle w:val="Spistreci2"/>
            <w:tabs>
              <w:tab w:val="left" w:pos="880" w:leader="none"/>
              <w:tab w:val="right" w:pos="9062" w:leader="dot"/>
            </w:tabs>
            <w:rPr>
              <w:sz w:val="22"/>
              <w:szCs w:val="22"/>
              <w:lang w:eastAsia="pl-PL"/>
            </w:rPr>
          </w:pPr>
          <w:hyperlink w:anchor="_Toc10627758">
            <w:r>
              <w:rPr>
                <w:webHidden/>
                <w:rStyle w:val="Czeinternetowe"/>
                <w:vanish w:val="false"/>
              </w:rPr>
              <w:t>4.4</w:t>
            </w:r>
            <w:r>
              <w:rPr>
                <w:rStyle w:val="Czeindeksu"/>
                <w:sz w:val="22"/>
                <w:szCs w:val="22"/>
                <w:lang w:eastAsia="pl-PL"/>
              </w:rPr>
              <w:tab/>
            </w:r>
            <w:r>
              <w:rPr>
                <w:rStyle w:val="Czeinternetowe"/>
              </w:rPr>
              <w:t>Wymagania dotyczące transportu</w:t>
            </w:r>
            <w:r>
              <w:rPr>
                <w:webHidden/>
              </w:rPr>
              <w:fldChar w:fldCharType="begin"/>
            </w:r>
            <w:r>
              <w:rPr>
                <w:webHidden/>
              </w:rPr>
              <w:instrText>PAGEREF _Toc10627758 \h</w:instrText>
            </w:r>
            <w:r>
              <w:rPr>
                <w:webHidden/>
              </w:rPr>
              <w:fldChar w:fldCharType="separate"/>
            </w:r>
            <w:r>
              <w:rPr>
                <w:rStyle w:val="Czeindeksu"/>
                <w:vanish w:val="false"/>
              </w:rPr>
              <w:tab/>
              <w:t>65</w:t>
            </w:r>
            <w:r>
              <w:rPr>
                <w:webHidden/>
              </w:rPr>
              <w:fldChar w:fldCharType="end"/>
            </w:r>
          </w:hyperlink>
        </w:p>
        <w:p>
          <w:pPr>
            <w:pStyle w:val="Spistreci3"/>
            <w:tabs>
              <w:tab w:val="left" w:pos="1100" w:leader="none"/>
              <w:tab w:val="right" w:pos="9062" w:leader="dot"/>
            </w:tabs>
            <w:rPr>
              <w:sz w:val="22"/>
              <w:szCs w:val="22"/>
              <w:lang w:eastAsia="pl-PL"/>
            </w:rPr>
          </w:pPr>
          <w:hyperlink w:anchor="_Toc10627759">
            <w:r>
              <w:rPr>
                <w:webHidden/>
                <w:rStyle w:val="Czeinternetowe"/>
                <w:vanish w:val="false"/>
              </w:rPr>
              <w:t>4.4.1</w:t>
            </w:r>
            <w:r>
              <w:rPr>
                <w:rStyle w:val="Czeindeksu"/>
                <w:sz w:val="22"/>
                <w:szCs w:val="22"/>
                <w:lang w:eastAsia="pl-PL"/>
              </w:rPr>
              <w:tab/>
            </w:r>
            <w:r>
              <w:rPr>
                <w:rStyle w:val="Czeinternetowe"/>
              </w:rPr>
              <w:t>Wymagania ogólne dotyczące transportu</w:t>
            </w:r>
            <w:r>
              <w:rPr>
                <w:webHidden/>
              </w:rPr>
              <w:fldChar w:fldCharType="begin"/>
            </w:r>
            <w:r>
              <w:rPr>
                <w:webHidden/>
              </w:rPr>
              <w:instrText>PAGEREF _Toc10627759 \h</w:instrText>
            </w:r>
            <w:r>
              <w:rPr>
                <w:webHidden/>
              </w:rPr>
              <w:fldChar w:fldCharType="separate"/>
            </w:r>
            <w:r>
              <w:rPr>
                <w:rStyle w:val="Czeindeksu"/>
                <w:vanish w:val="false"/>
              </w:rPr>
              <w:tab/>
              <w:t>65</w:t>
            </w:r>
            <w:r>
              <w:rPr>
                <w:webHidden/>
              </w:rPr>
              <w:fldChar w:fldCharType="end"/>
            </w:r>
          </w:hyperlink>
        </w:p>
        <w:p>
          <w:pPr>
            <w:pStyle w:val="Spistreci3"/>
            <w:tabs>
              <w:tab w:val="left" w:pos="1100" w:leader="none"/>
              <w:tab w:val="right" w:pos="9062" w:leader="dot"/>
            </w:tabs>
            <w:rPr>
              <w:sz w:val="22"/>
              <w:szCs w:val="22"/>
              <w:lang w:eastAsia="pl-PL"/>
            </w:rPr>
          </w:pPr>
          <w:hyperlink w:anchor="_Toc10627760">
            <w:r>
              <w:rPr>
                <w:webHidden/>
                <w:rStyle w:val="Czeinternetowe"/>
                <w:vanish w:val="false"/>
              </w:rPr>
              <w:t>4.4.2</w:t>
            </w:r>
            <w:r>
              <w:rPr>
                <w:rStyle w:val="Czeindeksu"/>
                <w:sz w:val="22"/>
                <w:szCs w:val="22"/>
                <w:lang w:eastAsia="pl-PL"/>
              </w:rPr>
              <w:tab/>
            </w:r>
            <w:r>
              <w:rPr>
                <w:rStyle w:val="Czeinternetowe"/>
              </w:rPr>
              <w:t>Wymagania dotyczące przewozu po drogach publicznych</w:t>
            </w:r>
            <w:r>
              <w:rPr>
                <w:webHidden/>
              </w:rPr>
              <w:fldChar w:fldCharType="begin"/>
            </w:r>
            <w:r>
              <w:rPr>
                <w:webHidden/>
              </w:rPr>
              <w:instrText>PAGEREF _Toc10627760 \h</w:instrText>
            </w:r>
            <w:r>
              <w:rPr>
                <w:webHidden/>
              </w:rPr>
              <w:fldChar w:fldCharType="separate"/>
            </w:r>
            <w:r>
              <w:rPr>
                <w:rStyle w:val="Czeindeksu"/>
                <w:vanish w:val="false"/>
              </w:rPr>
              <w:tab/>
              <w:t>65</w:t>
            </w:r>
            <w:r>
              <w:rPr>
                <w:webHidden/>
              </w:rPr>
              <w:fldChar w:fldCharType="end"/>
            </w:r>
          </w:hyperlink>
        </w:p>
        <w:p>
          <w:pPr>
            <w:pStyle w:val="Spistreci2"/>
            <w:tabs>
              <w:tab w:val="left" w:pos="880" w:leader="none"/>
              <w:tab w:val="right" w:pos="9062" w:leader="dot"/>
            </w:tabs>
            <w:rPr>
              <w:sz w:val="22"/>
              <w:szCs w:val="22"/>
              <w:lang w:eastAsia="pl-PL"/>
            </w:rPr>
          </w:pPr>
          <w:hyperlink w:anchor="_Toc10627761">
            <w:r>
              <w:rPr>
                <w:webHidden/>
                <w:rStyle w:val="Czeinternetowe"/>
                <w:vanish w:val="false"/>
              </w:rPr>
              <w:t>4.5</w:t>
            </w:r>
            <w:r>
              <w:rPr>
                <w:rStyle w:val="Czeindeksu"/>
                <w:sz w:val="22"/>
                <w:szCs w:val="22"/>
                <w:lang w:eastAsia="pl-PL"/>
              </w:rPr>
              <w:tab/>
            </w:r>
            <w:r>
              <w:rPr>
                <w:rStyle w:val="Czeinternetowe"/>
              </w:rPr>
              <w:t>Wykonanie robót budowlanych</w:t>
            </w:r>
            <w:r>
              <w:rPr>
                <w:webHidden/>
              </w:rPr>
              <w:fldChar w:fldCharType="begin"/>
            </w:r>
            <w:r>
              <w:rPr>
                <w:webHidden/>
              </w:rPr>
              <w:instrText>PAGEREF _Toc10627761 \h</w:instrText>
            </w:r>
            <w:r>
              <w:rPr>
                <w:webHidden/>
              </w:rPr>
              <w:fldChar w:fldCharType="separate"/>
            </w:r>
            <w:r>
              <w:rPr>
                <w:rStyle w:val="Czeindeksu"/>
                <w:vanish w:val="false"/>
              </w:rPr>
              <w:tab/>
              <w:t>66</w:t>
            </w:r>
            <w:r>
              <w:rPr>
                <w:webHidden/>
              </w:rPr>
              <w:fldChar w:fldCharType="end"/>
            </w:r>
          </w:hyperlink>
        </w:p>
        <w:p>
          <w:pPr>
            <w:pStyle w:val="Spistreci3"/>
            <w:tabs>
              <w:tab w:val="left" w:pos="1100" w:leader="none"/>
              <w:tab w:val="right" w:pos="9062" w:leader="dot"/>
            </w:tabs>
            <w:rPr>
              <w:sz w:val="22"/>
              <w:szCs w:val="22"/>
              <w:lang w:eastAsia="pl-PL"/>
            </w:rPr>
          </w:pPr>
          <w:hyperlink w:anchor="_Toc10627762">
            <w:r>
              <w:rPr>
                <w:webHidden/>
                <w:rStyle w:val="Czeinternetowe"/>
                <w:vanish w:val="false"/>
              </w:rPr>
              <w:t>4.5.1</w:t>
            </w:r>
            <w:r>
              <w:rPr>
                <w:rStyle w:val="Czeindeksu"/>
                <w:sz w:val="22"/>
                <w:szCs w:val="22"/>
                <w:lang w:eastAsia="pl-PL"/>
              </w:rPr>
              <w:tab/>
            </w:r>
            <w:r>
              <w:rPr>
                <w:rStyle w:val="Czeinternetowe"/>
              </w:rPr>
              <w:t>Czynności poprzedzajace rozpoczęcie robót</w:t>
            </w:r>
            <w:r>
              <w:rPr>
                <w:webHidden/>
              </w:rPr>
              <w:fldChar w:fldCharType="begin"/>
            </w:r>
            <w:r>
              <w:rPr>
                <w:webHidden/>
              </w:rPr>
              <w:instrText>PAGEREF _Toc10627762 \h</w:instrText>
            </w:r>
            <w:r>
              <w:rPr>
                <w:webHidden/>
              </w:rPr>
              <w:fldChar w:fldCharType="separate"/>
            </w:r>
            <w:r>
              <w:rPr>
                <w:rStyle w:val="Czeindeksu"/>
                <w:vanish w:val="false"/>
              </w:rPr>
              <w:tab/>
              <w:t>66</w:t>
            </w:r>
            <w:r>
              <w:rPr>
                <w:webHidden/>
              </w:rPr>
              <w:fldChar w:fldCharType="end"/>
            </w:r>
          </w:hyperlink>
        </w:p>
        <w:p>
          <w:pPr>
            <w:pStyle w:val="Spistreci3"/>
            <w:tabs>
              <w:tab w:val="left" w:pos="1100" w:leader="none"/>
              <w:tab w:val="right" w:pos="9062" w:leader="dot"/>
            </w:tabs>
            <w:rPr>
              <w:sz w:val="22"/>
              <w:szCs w:val="22"/>
              <w:lang w:eastAsia="pl-PL"/>
            </w:rPr>
          </w:pPr>
          <w:hyperlink w:anchor="_Toc10627763">
            <w:r>
              <w:rPr>
                <w:webHidden/>
                <w:rStyle w:val="Czeinternetowe"/>
                <w:vanish w:val="false"/>
              </w:rPr>
              <w:t>4.5.2</w:t>
            </w:r>
            <w:r>
              <w:rPr>
                <w:rStyle w:val="Czeindeksu"/>
                <w:sz w:val="22"/>
                <w:szCs w:val="22"/>
                <w:lang w:eastAsia="pl-PL"/>
              </w:rPr>
              <w:tab/>
            </w:r>
            <w:r>
              <w:rPr>
                <w:rStyle w:val="Czeinternetowe"/>
              </w:rPr>
              <w:t>Ogólne zasady wykonywania robót</w:t>
            </w:r>
            <w:r>
              <w:rPr>
                <w:webHidden/>
              </w:rPr>
              <w:fldChar w:fldCharType="begin"/>
            </w:r>
            <w:r>
              <w:rPr>
                <w:webHidden/>
              </w:rPr>
              <w:instrText>PAGEREF _Toc10627763 \h</w:instrText>
            </w:r>
            <w:r>
              <w:rPr>
                <w:webHidden/>
              </w:rPr>
              <w:fldChar w:fldCharType="separate"/>
            </w:r>
            <w:r>
              <w:rPr>
                <w:rStyle w:val="Czeindeksu"/>
                <w:vanish w:val="false"/>
              </w:rPr>
              <w:tab/>
              <w:t>66</w:t>
            </w:r>
            <w:r>
              <w:rPr>
                <w:webHidden/>
              </w:rPr>
              <w:fldChar w:fldCharType="end"/>
            </w:r>
          </w:hyperlink>
        </w:p>
        <w:p>
          <w:pPr>
            <w:pStyle w:val="Spistreci3"/>
            <w:tabs>
              <w:tab w:val="left" w:pos="1100" w:leader="none"/>
              <w:tab w:val="right" w:pos="9062" w:leader="dot"/>
            </w:tabs>
            <w:rPr>
              <w:sz w:val="22"/>
              <w:szCs w:val="22"/>
              <w:lang w:eastAsia="pl-PL"/>
            </w:rPr>
          </w:pPr>
          <w:hyperlink w:anchor="_Toc10627764">
            <w:r>
              <w:rPr>
                <w:webHidden/>
                <w:rStyle w:val="Czeinternetowe"/>
                <w:vanish w:val="false"/>
              </w:rPr>
              <w:t>4.5.3</w:t>
            </w:r>
            <w:r>
              <w:rPr>
                <w:rStyle w:val="Czeindeksu"/>
                <w:sz w:val="22"/>
                <w:szCs w:val="22"/>
                <w:lang w:eastAsia="pl-PL"/>
              </w:rPr>
              <w:tab/>
            </w:r>
            <w:r>
              <w:rPr>
                <w:rStyle w:val="Czeinternetowe"/>
              </w:rPr>
              <w:t>Decyzje i polecenia Inspektora NAdzoru Inwestorskiego</w:t>
            </w:r>
            <w:r>
              <w:rPr>
                <w:webHidden/>
              </w:rPr>
              <w:fldChar w:fldCharType="begin"/>
            </w:r>
            <w:r>
              <w:rPr>
                <w:webHidden/>
              </w:rPr>
              <w:instrText>PAGEREF _Toc10627764 \h</w:instrText>
            </w:r>
            <w:r>
              <w:rPr>
                <w:webHidden/>
              </w:rPr>
              <w:fldChar w:fldCharType="separate"/>
            </w:r>
            <w:r>
              <w:rPr>
                <w:rStyle w:val="Czeindeksu"/>
                <w:vanish w:val="false"/>
              </w:rPr>
              <w:tab/>
              <w:t>66</w:t>
            </w:r>
            <w:r>
              <w:rPr>
                <w:webHidden/>
              </w:rPr>
              <w:fldChar w:fldCharType="end"/>
            </w:r>
          </w:hyperlink>
        </w:p>
        <w:p>
          <w:pPr>
            <w:pStyle w:val="Spistreci2"/>
            <w:tabs>
              <w:tab w:val="left" w:pos="880" w:leader="none"/>
              <w:tab w:val="right" w:pos="9062" w:leader="dot"/>
            </w:tabs>
            <w:rPr>
              <w:sz w:val="22"/>
              <w:szCs w:val="22"/>
              <w:lang w:eastAsia="pl-PL"/>
            </w:rPr>
          </w:pPr>
          <w:hyperlink w:anchor="_Toc10627765">
            <w:r>
              <w:rPr>
                <w:webHidden/>
                <w:rStyle w:val="Czeinternetowe"/>
                <w:vanish w:val="false"/>
              </w:rPr>
              <w:t>4.6</w:t>
            </w:r>
            <w:r>
              <w:rPr>
                <w:rStyle w:val="Czeindeksu"/>
                <w:sz w:val="22"/>
                <w:szCs w:val="22"/>
                <w:lang w:eastAsia="pl-PL"/>
              </w:rPr>
              <w:tab/>
            </w:r>
            <w:r>
              <w:rPr>
                <w:rStyle w:val="Czeinternetowe"/>
              </w:rPr>
              <w:t>Opis działań związanych z kontrolą, badaniami oraz odbiorem wyrobów i robót budowlanych</w:t>
            </w:r>
            <w:r>
              <w:rPr>
                <w:webHidden/>
              </w:rPr>
              <w:fldChar w:fldCharType="begin"/>
            </w:r>
            <w:r>
              <w:rPr>
                <w:webHidden/>
              </w:rPr>
              <w:instrText>PAGEREF _Toc10627765 \h</w:instrText>
            </w:r>
            <w:r>
              <w:rPr>
                <w:webHidden/>
              </w:rPr>
              <w:fldChar w:fldCharType="separate"/>
            </w:r>
            <w:r>
              <w:rPr>
                <w:rStyle w:val="Czeindeksu"/>
                <w:vanish w:val="false"/>
              </w:rPr>
              <w:tab/>
              <w:t>67</w:t>
            </w:r>
            <w:r>
              <w:rPr>
                <w:webHidden/>
              </w:rPr>
              <w:fldChar w:fldCharType="end"/>
            </w:r>
          </w:hyperlink>
        </w:p>
        <w:p>
          <w:pPr>
            <w:pStyle w:val="Spistreci3"/>
            <w:tabs>
              <w:tab w:val="left" w:pos="1100" w:leader="none"/>
              <w:tab w:val="right" w:pos="9062" w:leader="dot"/>
            </w:tabs>
            <w:rPr>
              <w:sz w:val="22"/>
              <w:szCs w:val="22"/>
              <w:lang w:eastAsia="pl-PL"/>
            </w:rPr>
          </w:pPr>
          <w:hyperlink w:anchor="_Toc10627766">
            <w:r>
              <w:rPr>
                <w:webHidden/>
                <w:rStyle w:val="Czeinternetowe"/>
                <w:vanish w:val="false"/>
              </w:rPr>
              <w:t>4.6.1</w:t>
            </w:r>
            <w:r>
              <w:rPr>
                <w:rStyle w:val="Czeindeksu"/>
                <w:sz w:val="22"/>
                <w:szCs w:val="22"/>
                <w:lang w:eastAsia="pl-PL"/>
              </w:rPr>
              <w:tab/>
            </w:r>
            <w:r>
              <w:rPr>
                <w:rStyle w:val="Czeinternetowe"/>
              </w:rPr>
              <w:t>Zakres bieżącej kontroli przez Zamawiajacego</w:t>
            </w:r>
            <w:r>
              <w:rPr>
                <w:webHidden/>
              </w:rPr>
              <w:fldChar w:fldCharType="begin"/>
            </w:r>
            <w:r>
              <w:rPr>
                <w:webHidden/>
              </w:rPr>
              <w:instrText>PAGEREF _Toc10627766 \h</w:instrText>
            </w:r>
            <w:r>
              <w:rPr>
                <w:webHidden/>
              </w:rPr>
              <w:fldChar w:fldCharType="separate"/>
            </w:r>
            <w:r>
              <w:rPr>
                <w:rStyle w:val="Czeindeksu"/>
                <w:vanish w:val="false"/>
              </w:rPr>
              <w:tab/>
              <w:t>67</w:t>
            </w:r>
            <w:r>
              <w:rPr>
                <w:webHidden/>
              </w:rPr>
              <w:fldChar w:fldCharType="end"/>
            </w:r>
          </w:hyperlink>
        </w:p>
        <w:p>
          <w:pPr>
            <w:pStyle w:val="Spistreci3"/>
            <w:tabs>
              <w:tab w:val="left" w:pos="1100" w:leader="none"/>
              <w:tab w:val="right" w:pos="9062" w:leader="dot"/>
            </w:tabs>
            <w:rPr>
              <w:sz w:val="22"/>
              <w:szCs w:val="22"/>
              <w:lang w:eastAsia="pl-PL"/>
            </w:rPr>
          </w:pPr>
          <w:hyperlink w:anchor="_Toc10627767">
            <w:r>
              <w:rPr>
                <w:webHidden/>
                <w:rStyle w:val="Czeinternetowe"/>
                <w:vanish w:val="false"/>
              </w:rPr>
              <w:t>4.6.2</w:t>
            </w:r>
            <w:r>
              <w:rPr>
                <w:rStyle w:val="Czeindeksu"/>
                <w:sz w:val="22"/>
                <w:szCs w:val="22"/>
                <w:lang w:eastAsia="pl-PL"/>
              </w:rPr>
              <w:tab/>
            </w:r>
            <w:r>
              <w:rPr>
                <w:rStyle w:val="Czeinternetowe"/>
              </w:rPr>
              <w:t>Ogólne zasady kontroli jakosci robót</w:t>
            </w:r>
            <w:r>
              <w:rPr>
                <w:webHidden/>
              </w:rPr>
              <w:fldChar w:fldCharType="begin"/>
            </w:r>
            <w:r>
              <w:rPr>
                <w:webHidden/>
              </w:rPr>
              <w:instrText>PAGEREF _Toc10627767 \h</w:instrText>
            </w:r>
            <w:r>
              <w:rPr>
                <w:webHidden/>
              </w:rPr>
              <w:fldChar w:fldCharType="separate"/>
            </w:r>
            <w:r>
              <w:rPr>
                <w:rStyle w:val="Czeindeksu"/>
                <w:vanish w:val="false"/>
              </w:rPr>
              <w:tab/>
              <w:t>67</w:t>
            </w:r>
            <w:r>
              <w:rPr>
                <w:webHidden/>
              </w:rPr>
              <w:fldChar w:fldCharType="end"/>
            </w:r>
          </w:hyperlink>
        </w:p>
        <w:p>
          <w:pPr>
            <w:pStyle w:val="Spistreci3"/>
            <w:tabs>
              <w:tab w:val="left" w:pos="1100" w:leader="none"/>
              <w:tab w:val="right" w:pos="9062" w:leader="dot"/>
            </w:tabs>
            <w:rPr>
              <w:sz w:val="22"/>
              <w:szCs w:val="22"/>
              <w:lang w:eastAsia="pl-PL"/>
            </w:rPr>
          </w:pPr>
          <w:hyperlink w:anchor="_Toc10627768">
            <w:r>
              <w:rPr>
                <w:webHidden/>
                <w:rStyle w:val="Czeinternetowe"/>
                <w:vanish w:val="false"/>
              </w:rPr>
              <w:t>4.6.3</w:t>
            </w:r>
            <w:r>
              <w:rPr>
                <w:rStyle w:val="Czeindeksu"/>
                <w:sz w:val="22"/>
                <w:szCs w:val="22"/>
                <w:lang w:eastAsia="pl-PL"/>
              </w:rPr>
              <w:tab/>
            </w:r>
            <w:r>
              <w:rPr>
                <w:rStyle w:val="Czeinternetowe"/>
              </w:rPr>
              <w:t>Program zapewnienia jakości</w:t>
            </w:r>
            <w:r>
              <w:rPr>
                <w:webHidden/>
              </w:rPr>
              <w:fldChar w:fldCharType="begin"/>
            </w:r>
            <w:r>
              <w:rPr>
                <w:webHidden/>
              </w:rPr>
              <w:instrText>PAGEREF _Toc10627768 \h</w:instrText>
            </w:r>
            <w:r>
              <w:rPr>
                <w:webHidden/>
              </w:rPr>
              <w:fldChar w:fldCharType="separate"/>
            </w:r>
            <w:r>
              <w:rPr>
                <w:rStyle w:val="Czeindeksu"/>
                <w:vanish w:val="false"/>
              </w:rPr>
              <w:tab/>
              <w:t>68</w:t>
            </w:r>
            <w:r>
              <w:rPr>
                <w:webHidden/>
              </w:rPr>
              <w:fldChar w:fldCharType="end"/>
            </w:r>
          </w:hyperlink>
        </w:p>
        <w:p>
          <w:pPr>
            <w:pStyle w:val="Spistreci3"/>
            <w:tabs>
              <w:tab w:val="left" w:pos="1100" w:leader="none"/>
              <w:tab w:val="right" w:pos="9062" w:leader="dot"/>
            </w:tabs>
            <w:rPr>
              <w:sz w:val="22"/>
              <w:szCs w:val="22"/>
              <w:lang w:eastAsia="pl-PL"/>
            </w:rPr>
          </w:pPr>
          <w:hyperlink w:anchor="_Toc10627769">
            <w:r>
              <w:rPr>
                <w:webHidden/>
                <w:rStyle w:val="Czeinternetowe"/>
                <w:vanish w:val="false"/>
              </w:rPr>
              <w:t>4.6.4</w:t>
            </w:r>
            <w:r>
              <w:rPr>
                <w:rStyle w:val="Czeindeksu"/>
                <w:sz w:val="22"/>
                <w:szCs w:val="22"/>
                <w:lang w:eastAsia="pl-PL"/>
              </w:rPr>
              <w:tab/>
            </w:r>
            <w:r>
              <w:rPr>
                <w:rStyle w:val="Czeinternetowe"/>
              </w:rPr>
              <w:t>Pobieranie próbek</w:t>
            </w:r>
            <w:r>
              <w:rPr>
                <w:webHidden/>
              </w:rPr>
              <w:fldChar w:fldCharType="begin"/>
            </w:r>
            <w:r>
              <w:rPr>
                <w:webHidden/>
              </w:rPr>
              <w:instrText>PAGEREF _Toc10627769 \h</w:instrText>
            </w:r>
            <w:r>
              <w:rPr>
                <w:webHidden/>
              </w:rPr>
              <w:fldChar w:fldCharType="separate"/>
            </w:r>
            <w:r>
              <w:rPr>
                <w:rStyle w:val="Czeindeksu"/>
                <w:vanish w:val="false"/>
              </w:rPr>
              <w:tab/>
              <w:t>68</w:t>
            </w:r>
            <w:r>
              <w:rPr>
                <w:webHidden/>
              </w:rPr>
              <w:fldChar w:fldCharType="end"/>
            </w:r>
          </w:hyperlink>
        </w:p>
        <w:p>
          <w:pPr>
            <w:pStyle w:val="Spistreci3"/>
            <w:tabs>
              <w:tab w:val="left" w:pos="1100" w:leader="none"/>
              <w:tab w:val="right" w:pos="9062" w:leader="dot"/>
            </w:tabs>
            <w:rPr>
              <w:sz w:val="22"/>
              <w:szCs w:val="22"/>
              <w:lang w:eastAsia="pl-PL"/>
            </w:rPr>
          </w:pPr>
          <w:hyperlink w:anchor="_Toc10627770">
            <w:r>
              <w:rPr>
                <w:webHidden/>
                <w:rStyle w:val="Czeinternetowe"/>
                <w:vanish w:val="false"/>
              </w:rPr>
              <w:t>4.6.5</w:t>
            </w:r>
            <w:r>
              <w:rPr>
                <w:rStyle w:val="Czeindeksu"/>
                <w:sz w:val="22"/>
                <w:szCs w:val="22"/>
                <w:lang w:eastAsia="pl-PL"/>
              </w:rPr>
              <w:tab/>
            </w:r>
            <w:r>
              <w:rPr>
                <w:rStyle w:val="Czeinternetowe"/>
              </w:rPr>
              <w:t>Badania i pomiary oraz raporty z badań i pomiarów</w:t>
            </w:r>
            <w:r>
              <w:rPr>
                <w:webHidden/>
              </w:rPr>
              <w:fldChar w:fldCharType="begin"/>
            </w:r>
            <w:r>
              <w:rPr>
                <w:webHidden/>
              </w:rPr>
              <w:instrText>PAGEREF _Toc10627770 \h</w:instrText>
            </w:r>
            <w:r>
              <w:rPr>
                <w:webHidden/>
              </w:rPr>
              <w:fldChar w:fldCharType="separate"/>
            </w:r>
            <w:r>
              <w:rPr>
                <w:rStyle w:val="Czeindeksu"/>
                <w:vanish w:val="false"/>
              </w:rPr>
              <w:tab/>
              <w:t>68</w:t>
            </w:r>
            <w:r>
              <w:rPr>
                <w:webHidden/>
              </w:rPr>
              <w:fldChar w:fldCharType="end"/>
            </w:r>
          </w:hyperlink>
        </w:p>
        <w:p>
          <w:pPr>
            <w:pStyle w:val="Spistreci3"/>
            <w:tabs>
              <w:tab w:val="left" w:pos="1100" w:leader="none"/>
              <w:tab w:val="right" w:pos="9062" w:leader="dot"/>
            </w:tabs>
            <w:rPr>
              <w:sz w:val="22"/>
              <w:szCs w:val="22"/>
              <w:lang w:eastAsia="pl-PL"/>
            </w:rPr>
          </w:pPr>
          <w:hyperlink w:anchor="_Toc10627771">
            <w:r>
              <w:rPr>
                <w:webHidden/>
                <w:rStyle w:val="Czeinternetowe"/>
                <w:vanish w:val="false"/>
              </w:rPr>
              <w:t>4.6.6</w:t>
            </w:r>
            <w:r>
              <w:rPr>
                <w:rStyle w:val="Czeindeksu"/>
                <w:sz w:val="22"/>
                <w:szCs w:val="22"/>
                <w:lang w:eastAsia="pl-PL"/>
              </w:rPr>
              <w:tab/>
            </w:r>
            <w:r>
              <w:rPr>
                <w:rStyle w:val="Czeinternetowe"/>
              </w:rPr>
              <w:t>Badania prowadzone przez InSpektora NAdzoru</w:t>
            </w:r>
            <w:r>
              <w:rPr>
                <w:webHidden/>
              </w:rPr>
              <w:fldChar w:fldCharType="begin"/>
            </w:r>
            <w:r>
              <w:rPr>
                <w:webHidden/>
              </w:rPr>
              <w:instrText>PAGEREF _Toc10627771 \h</w:instrText>
            </w:r>
            <w:r>
              <w:rPr>
                <w:webHidden/>
              </w:rPr>
              <w:fldChar w:fldCharType="separate"/>
            </w:r>
            <w:r>
              <w:rPr>
                <w:rStyle w:val="Czeindeksu"/>
                <w:vanish w:val="false"/>
              </w:rPr>
              <w:tab/>
              <w:t>69</w:t>
            </w:r>
            <w:r>
              <w:rPr>
                <w:webHidden/>
              </w:rPr>
              <w:fldChar w:fldCharType="end"/>
            </w:r>
          </w:hyperlink>
        </w:p>
        <w:p>
          <w:pPr>
            <w:pStyle w:val="Spistreci3"/>
            <w:tabs>
              <w:tab w:val="left" w:pos="1100" w:leader="none"/>
              <w:tab w:val="right" w:pos="9062" w:leader="dot"/>
            </w:tabs>
            <w:rPr>
              <w:sz w:val="22"/>
              <w:szCs w:val="22"/>
              <w:lang w:eastAsia="pl-PL"/>
            </w:rPr>
          </w:pPr>
          <w:hyperlink w:anchor="_Toc10627772">
            <w:r>
              <w:rPr>
                <w:webHidden/>
                <w:rStyle w:val="Czeinternetowe"/>
                <w:vanish w:val="false"/>
              </w:rPr>
              <w:t>4.6.7</w:t>
            </w:r>
            <w:r>
              <w:rPr>
                <w:rStyle w:val="Czeindeksu"/>
                <w:sz w:val="22"/>
                <w:szCs w:val="22"/>
                <w:lang w:eastAsia="pl-PL"/>
              </w:rPr>
              <w:tab/>
            </w:r>
            <w:r>
              <w:rPr>
                <w:rStyle w:val="Czeinternetowe"/>
              </w:rPr>
              <w:t>Certyfikaty, deklaracje, atesty jakości materiałów i urządzeń</w:t>
            </w:r>
            <w:r>
              <w:rPr>
                <w:webHidden/>
              </w:rPr>
              <w:fldChar w:fldCharType="begin"/>
            </w:r>
            <w:r>
              <w:rPr>
                <w:webHidden/>
              </w:rPr>
              <w:instrText>PAGEREF _Toc10627772 \h</w:instrText>
            </w:r>
            <w:r>
              <w:rPr>
                <w:webHidden/>
              </w:rPr>
              <w:fldChar w:fldCharType="separate"/>
            </w:r>
            <w:r>
              <w:rPr>
                <w:rStyle w:val="Czeindeksu"/>
                <w:vanish w:val="false"/>
              </w:rPr>
              <w:tab/>
              <w:t>69</w:t>
            </w:r>
            <w:r>
              <w:rPr>
                <w:webHidden/>
              </w:rPr>
              <w:fldChar w:fldCharType="end"/>
            </w:r>
          </w:hyperlink>
        </w:p>
        <w:p>
          <w:pPr>
            <w:pStyle w:val="Spistreci2"/>
            <w:tabs>
              <w:tab w:val="left" w:pos="880" w:leader="none"/>
              <w:tab w:val="right" w:pos="9062" w:leader="dot"/>
            </w:tabs>
            <w:rPr>
              <w:sz w:val="22"/>
              <w:szCs w:val="22"/>
              <w:lang w:eastAsia="pl-PL"/>
            </w:rPr>
          </w:pPr>
          <w:hyperlink w:anchor="_Toc10627773">
            <w:r>
              <w:rPr>
                <w:webHidden/>
                <w:rStyle w:val="Czeinternetowe"/>
                <w:vanish w:val="false"/>
              </w:rPr>
              <w:t>4.7</w:t>
            </w:r>
            <w:r>
              <w:rPr>
                <w:rStyle w:val="Czeindeksu"/>
                <w:sz w:val="22"/>
                <w:szCs w:val="22"/>
                <w:lang w:eastAsia="pl-PL"/>
              </w:rPr>
              <w:tab/>
            </w:r>
            <w:r>
              <w:rPr>
                <w:rStyle w:val="Czeinternetowe"/>
              </w:rPr>
              <w:t>Dokumenty budowy</w:t>
            </w:r>
            <w:r>
              <w:rPr>
                <w:webHidden/>
              </w:rPr>
              <w:fldChar w:fldCharType="begin"/>
            </w:r>
            <w:r>
              <w:rPr>
                <w:webHidden/>
              </w:rPr>
              <w:instrText>PAGEREF _Toc10627773 \h</w:instrText>
            </w:r>
            <w:r>
              <w:rPr>
                <w:webHidden/>
              </w:rPr>
              <w:fldChar w:fldCharType="separate"/>
            </w:r>
            <w:r>
              <w:rPr>
                <w:rStyle w:val="Czeindeksu"/>
                <w:vanish w:val="false"/>
              </w:rPr>
              <w:tab/>
              <w:t>69</w:t>
            </w:r>
            <w:r>
              <w:rPr>
                <w:webHidden/>
              </w:rPr>
              <w:fldChar w:fldCharType="end"/>
            </w:r>
          </w:hyperlink>
        </w:p>
        <w:p>
          <w:pPr>
            <w:pStyle w:val="Spistreci3"/>
            <w:tabs>
              <w:tab w:val="left" w:pos="1100" w:leader="none"/>
              <w:tab w:val="right" w:pos="9062" w:leader="dot"/>
            </w:tabs>
            <w:rPr>
              <w:sz w:val="22"/>
              <w:szCs w:val="22"/>
              <w:lang w:eastAsia="pl-PL"/>
            </w:rPr>
          </w:pPr>
          <w:hyperlink w:anchor="_Toc10627774">
            <w:r>
              <w:rPr>
                <w:webHidden/>
                <w:rStyle w:val="Czeinternetowe"/>
                <w:vanish w:val="false"/>
              </w:rPr>
              <w:t>4.7.1</w:t>
            </w:r>
            <w:r>
              <w:rPr>
                <w:rStyle w:val="Czeindeksu"/>
                <w:sz w:val="22"/>
                <w:szCs w:val="22"/>
                <w:lang w:eastAsia="pl-PL"/>
              </w:rPr>
              <w:tab/>
            </w:r>
            <w:r>
              <w:rPr>
                <w:rStyle w:val="Czeinternetowe"/>
              </w:rPr>
              <w:t>Dziennik budowy</w:t>
            </w:r>
            <w:r>
              <w:rPr>
                <w:webHidden/>
              </w:rPr>
              <w:fldChar w:fldCharType="begin"/>
            </w:r>
            <w:r>
              <w:rPr>
                <w:webHidden/>
              </w:rPr>
              <w:instrText>PAGEREF _Toc10627774 \h</w:instrText>
            </w:r>
            <w:r>
              <w:rPr>
                <w:webHidden/>
              </w:rPr>
              <w:fldChar w:fldCharType="separate"/>
            </w:r>
            <w:r>
              <w:rPr>
                <w:rStyle w:val="Czeindeksu"/>
                <w:vanish w:val="false"/>
              </w:rPr>
              <w:tab/>
              <w:t>69</w:t>
            </w:r>
            <w:r>
              <w:rPr>
                <w:webHidden/>
              </w:rPr>
              <w:fldChar w:fldCharType="end"/>
            </w:r>
          </w:hyperlink>
        </w:p>
        <w:p>
          <w:pPr>
            <w:pStyle w:val="Spistreci3"/>
            <w:tabs>
              <w:tab w:val="left" w:pos="1100" w:leader="none"/>
              <w:tab w:val="right" w:pos="9062" w:leader="dot"/>
            </w:tabs>
            <w:rPr>
              <w:sz w:val="22"/>
              <w:szCs w:val="22"/>
              <w:lang w:eastAsia="pl-PL"/>
            </w:rPr>
          </w:pPr>
          <w:hyperlink w:anchor="_Toc10627775">
            <w:r>
              <w:rPr>
                <w:webHidden/>
                <w:rStyle w:val="Czeinternetowe"/>
                <w:vanish w:val="false"/>
              </w:rPr>
              <w:t>4.7.2</w:t>
            </w:r>
            <w:r>
              <w:rPr>
                <w:rStyle w:val="Czeindeksu"/>
                <w:sz w:val="22"/>
                <w:szCs w:val="22"/>
                <w:lang w:eastAsia="pl-PL"/>
              </w:rPr>
              <w:tab/>
            </w:r>
            <w:r>
              <w:rPr>
                <w:rStyle w:val="Czeinternetowe"/>
              </w:rPr>
              <w:t>Księga obmiarów</w:t>
            </w:r>
            <w:r>
              <w:rPr>
                <w:webHidden/>
              </w:rPr>
              <w:fldChar w:fldCharType="begin"/>
            </w:r>
            <w:r>
              <w:rPr>
                <w:webHidden/>
              </w:rPr>
              <w:instrText>PAGEREF _Toc10627775 \h</w:instrText>
            </w:r>
            <w:r>
              <w:rPr>
                <w:webHidden/>
              </w:rPr>
              <w:fldChar w:fldCharType="separate"/>
            </w:r>
            <w:r>
              <w:rPr>
                <w:rStyle w:val="Czeindeksu"/>
                <w:vanish w:val="false"/>
              </w:rPr>
              <w:tab/>
              <w:t>70</w:t>
            </w:r>
            <w:r>
              <w:rPr>
                <w:webHidden/>
              </w:rPr>
              <w:fldChar w:fldCharType="end"/>
            </w:r>
          </w:hyperlink>
        </w:p>
        <w:p>
          <w:pPr>
            <w:pStyle w:val="Spistreci3"/>
            <w:tabs>
              <w:tab w:val="left" w:pos="1100" w:leader="none"/>
              <w:tab w:val="right" w:pos="9062" w:leader="dot"/>
            </w:tabs>
            <w:rPr>
              <w:sz w:val="22"/>
              <w:szCs w:val="22"/>
              <w:lang w:eastAsia="pl-PL"/>
            </w:rPr>
          </w:pPr>
          <w:hyperlink w:anchor="_Toc10627776">
            <w:r>
              <w:rPr>
                <w:webHidden/>
                <w:rStyle w:val="Czeinternetowe"/>
                <w:vanish w:val="false"/>
              </w:rPr>
              <w:t>4.7.3</w:t>
            </w:r>
            <w:r>
              <w:rPr>
                <w:rStyle w:val="Czeindeksu"/>
                <w:sz w:val="22"/>
                <w:szCs w:val="22"/>
                <w:lang w:eastAsia="pl-PL"/>
              </w:rPr>
              <w:tab/>
            </w:r>
            <w:r>
              <w:rPr>
                <w:rStyle w:val="Czeinternetowe"/>
              </w:rPr>
              <w:t>Dokumenty laboratoryjne</w:t>
            </w:r>
            <w:r>
              <w:rPr>
                <w:webHidden/>
              </w:rPr>
              <w:fldChar w:fldCharType="begin"/>
            </w:r>
            <w:r>
              <w:rPr>
                <w:webHidden/>
              </w:rPr>
              <w:instrText>PAGEREF _Toc10627776 \h</w:instrText>
            </w:r>
            <w:r>
              <w:rPr>
                <w:webHidden/>
              </w:rPr>
              <w:fldChar w:fldCharType="separate"/>
            </w:r>
            <w:r>
              <w:rPr>
                <w:rStyle w:val="Czeindeksu"/>
                <w:vanish w:val="false"/>
              </w:rPr>
              <w:tab/>
              <w:t>70</w:t>
            </w:r>
            <w:r>
              <w:rPr>
                <w:webHidden/>
              </w:rPr>
              <w:fldChar w:fldCharType="end"/>
            </w:r>
          </w:hyperlink>
        </w:p>
        <w:p>
          <w:pPr>
            <w:pStyle w:val="Spistreci3"/>
            <w:tabs>
              <w:tab w:val="left" w:pos="1100" w:leader="none"/>
              <w:tab w:val="right" w:pos="9062" w:leader="dot"/>
            </w:tabs>
            <w:rPr>
              <w:sz w:val="22"/>
              <w:szCs w:val="22"/>
              <w:lang w:eastAsia="pl-PL"/>
            </w:rPr>
          </w:pPr>
          <w:hyperlink w:anchor="_Toc10627777">
            <w:r>
              <w:rPr>
                <w:webHidden/>
                <w:rStyle w:val="Czeinternetowe"/>
                <w:vanish w:val="false"/>
              </w:rPr>
              <w:t>4.7.4</w:t>
            </w:r>
            <w:r>
              <w:rPr>
                <w:rStyle w:val="Czeindeksu"/>
                <w:sz w:val="22"/>
                <w:szCs w:val="22"/>
                <w:lang w:eastAsia="pl-PL"/>
              </w:rPr>
              <w:tab/>
            </w:r>
            <w:r>
              <w:rPr>
                <w:rStyle w:val="Czeinternetowe"/>
              </w:rPr>
              <w:t>Pozostałe dokumenty budowy</w:t>
            </w:r>
            <w:r>
              <w:rPr>
                <w:webHidden/>
              </w:rPr>
              <w:fldChar w:fldCharType="begin"/>
            </w:r>
            <w:r>
              <w:rPr>
                <w:webHidden/>
              </w:rPr>
              <w:instrText>PAGEREF _Toc10627777 \h</w:instrText>
            </w:r>
            <w:r>
              <w:rPr>
                <w:webHidden/>
              </w:rPr>
              <w:fldChar w:fldCharType="separate"/>
            </w:r>
            <w:r>
              <w:rPr>
                <w:rStyle w:val="Czeindeksu"/>
                <w:vanish w:val="false"/>
              </w:rPr>
              <w:tab/>
              <w:t>71</w:t>
            </w:r>
            <w:r>
              <w:rPr>
                <w:webHidden/>
              </w:rPr>
              <w:fldChar w:fldCharType="end"/>
            </w:r>
          </w:hyperlink>
        </w:p>
        <w:p>
          <w:pPr>
            <w:pStyle w:val="Spistreci2"/>
            <w:tabs>
              <w:tab w:val="left" w:pos="880" w:leader="none"/>
              <w:tab w:val="right" w:pos="9062" w:leader="dot"/>
            </w:tabs>
            <w:rPr>
              <w:sz w:val="22"/>
              <w:szCs w:val="22"/>
              <w:lang w:eastAsia="pl-PL"/>
            </w:rPr>
          </w:pPr>
          <w:hyperlink w:anchor="_Toc10627778">
            <w:r>
              <w:rPr>
                <w:webHidden/>
                <w:rStyle w:val="Czeinternetowe"/>
                <w:vanish w:val="false"/>
              </w:rPr>
              <w:t>4.8</w:t>
            </w:r>
            <w:r>
              <w:rPr>
                <w:rStyle w:val="Czeindeksu"/>
                <w:sz w:val="22"/>
                <w:szCs w:val="22"/>
                <w:lang w:eastAsia="pl-PL"/>
              </w:rPr>
              <w:tab/>
            </w:r>
            <w:r>
              <w:rPr>
                <w:rStyle w:val="Czeinternetowe"/>
              </w:rPr>
              <w:t>Wymagania dotyczące przedmiaru i obmiaru robót</w:t>
            </w:r>
            <w:r>
              <w:rPr>
                <w:webHidden/>
              </w:rPr>
              <w:fldChar w:fldCharType="begin"/>
            </w:r>
            <w:r>
              <w:rPr>
                <w:webHidden/>
              </w:rPr>
              <w:instrText>PAGEREF _Toc10627778 \h</w:instrText>
            </w:r>
            <w:r>
              <w:rPr>
                <w:webHidden/>
              </w:rPr>
              <w:fldChar w:fldCharType="separate"/>
            </w:r>
            <w:r>
              <w:rPr>
                <w:rStyle w:val="Czeindeksu"/>
                <w:vanish w:val="false"/>
              </w:rPr>
              <w:tab/>
              <w:t>71</w:t>
            </w:r>
            <w:r>
              <w:rPr>
                <w:webHidden/>
              </w:rPr>
              <w:fldChar w:fldCharType="end"/>
            </w:r>
          </w:hyperlink>
        </w:p>
        <w:p>
          <w:pPr>
            <w:pStyle w:val="Spistreci3"/>
            <w:tabs>
              <w:tab w:val="left" w:pos="1100" w:leader="none"/>
              <w:tab w:val="right" w:pos="9062" w:leader="dot"/>
            </w:tabs>
            <w:rPr>
              <w:sz w:val="22"/>
              <w:szCs w:val="22"/>
              <w:lang w:eastAsia="pl-PL"/>
            </w:rPr>
          </w:pPr>
          <w:hyperlink w:anchor="_Toc10627779">
            <w:r>
              <w:rPr>
                <w:webHidden/>
                <w:rStyle w:val="Czeinternetowe"/>
                <w:vanish w:val="false"/>
              </w:rPr>
              <w:t>4.8.1</w:t>
            </w:r>
            <w:r>
              <w:rPr>
                <w:rStyle w:val="Czeindeksu"/>
                <w:sz w:val="22"/>
                <w:szCs w:val="22"/>
                <w:lang w:eastAsia="pl-PL"/>
              </w:rPr>
              <w:tab/>
            </w:r>
            <w:r>
              <w:rPr>
                <w:rStyle w:val="Czeinternetowe"/>
              </w:rPr>
              <w:t>Ogólne zasady obmiaru robót</w:t>
            </w:r>
            <w:r>
              <w:rPr>
                <w:webHidden/>
              </w:rPr>
              <w:fldChar w:fldCharType="begin"/>
            </w:r>
            <w:r>
              <w:rPr>
                <w:webHidden/>
              </w:rPr>
              <w:instrText>PAGEREF _Toc10627779 \h</w:instrText>
            </w:r>
            <w:r>
              <w:rPr>
                <w:webHidden/>
              </w:rPr>
              <w:fldChar w:fldCharType="separate"/>
            </w:r>
            <w:r>
              <w:rPr>
                <w:rStyle w:val="Czeindeksu"/>
                <w:vanish w:val="false"/>
              </w:rPr>
              <w:tab/>
              <w:t>71</w:t>
            </w:r>
            <w:r>
              <w:rPr>
                <w:webHidden/>
              </w:rPr>
              <w:fldChar w:fldCharType="end"/>
            </w:r>
          </w:hyperlink>
        </w:p>
        <w:p>
          <w:pPr>
            <w:pStyle w:val="Spistreci3"/>
            <w:tabs>
              <w:tab w:val="left" w:pos="1100" w:leader="none"/>
              <w:tab w:val="right" w:pos="9062" w:leader="dot"/>
            </w:tabs>
            <w:rPr>
              <w:sz w:val="22"/>
              <w:szCs w:val="22"/>
              <w:lang w:eastAsia="pl-PL"/>
            </w:rPr>
          </w:pPr>
          <w:hyperlink w:anchor="_Toc10627780">
            <w:r>
              <w:rPr>
                <w:webHidden/>
                <w:rStyle w:val="Czeinternetowe"/>
                <w:vanish w:val="false"/>
              </w:rPr>
              <w:t>4.8.2</w:t>
            </w:r>
            <w:r>
              <w:rPr>
                <w:rStyle w:val="Czeindeksu"/>
                <w:sz w:val="22"/>
                <w:szCs w:val="22"/>
                <w:lang w:eastAsia="pl-PL"/>
              </w:rPr>
              <w:tab/>
            </w:r>
            <w:r>
              <w:rPr>
                <w:rStyle w:val="Czeinternetowe"/>
              </w:rPr>
              <w:t>Czas przeprowadzenia obmiaru</w:t>
            </w:r>
            <w:r>
              <w:rPr>
                <w:webHidden/>
              </w:rPr>
              <w:fldChar w:fldCharType="begin"/>
            </w:r>
            <w:r>
              <w:rPr>
                <w:webHidden/>
              </w:rPr>
              <w:instrText>PAGEREF _Toc10627780 \h</w:instrText>
            </w:r>
            <w:r>
              <w:rPr>
                <w:webHidden/>
              </w:rPr>
              <w:fldChar w:fldCharType="separate"/>
            </w:r>
            <w:r>
              <w:rPr>
                <w:rStyle w:val="Czeindeksu"/>
                <w:vanish w:val="false"/>
              </w:rPr>
              <w:tab/>
              <w:t>71</w:t>
            </w:r>
            <w:r>
              <w:rPr>
                <w:webHidden/>
              </w:rPr>
              <w:fldChar w:fldCharType="end"/>
            </w:r>
          </w:hyperlink>
        </w:p>
        <w:p>
          <w:pPr>
            <w:pStyle w:val="Spistreci3"/>
            <w:tabs>
              <w:tab w:val="left" w:pos="1100" w:leader="none"/>
              <w:tab w:val="right" w:pos="9062" w:leader="dot"/>
            </w:tabs>
            <w:rPr>
              <w:sz w:val="22"/>
              <w:szCs w:val="22"/>
              <w:lang w:eastAsia="pl-PL"/>
            </w:rPr>
          </w:pPr>
          <w:hyperlink w:anchor="_Toc10627781">
            <w:r>
              <w:rPr>
                <w:webHidden/>
                <w:rStyle w:val="Czeinternetowe"/>
                <w:vanish w:val="false"/>
              </w:rPr>
              <w:t>4.8.3</w:t>
            </w:r>
            <w:r>
              <w:rPr>
                <w:rStyle w:val="Czeindeksu"/>
                <w:sz w:val="22"/>
                <w:szCs w:val="22"/>
                <w:lang w:eastAsia="pl-PL"/>
              </w:rPr>
              <w:tab/>
            </w:r>
            <w:r>
              <w:rPr>
                <w:rStyle w:val="Czeinternetowe"/>
              </w:rPr>
              <w:t>Zasady określenia ilości robót i materiałów</w:t>
            </w:r>
            <w:r>
              <w:rPr>
                <w:webHidden/>
              </w:rPr>
              <w:fldChar w:fldCharType="begin"/>
            </w:r>
            <w:r>
              <w:rPr>
                <w:webHidden/>
              </w:rPr>
              <w:instrText>PAGEREF _Toc10627781 \h</w:instrText>
            </w:r>
            <w:r>
              <w:rPr>
                <w:webHidden/>
              </w:rPr>
              <w:fldChar w:fldCharType="separate"/>
            </w:r>
            <w:r>
              <w:rPr>
                <w:rStyle w:val="Czeindeksu"/>
                <w:vanish w:val="false"/>
              </w:rPr>
              <w:tab/>
              <w:t>72</w:t>
            </w:r>
            <w:r>
              <w:rPr>
                <w:webHidden/>
              </w:rPr>
              <w:fldChar w:fldCharType="end"/>
            </w:r>
          </w:hyperlink>
        </w:p>
        <w:p>
          <w:pPr>
            <w:pStyle w:val="Spistreci3"/>
            <w:tabs>
              <w:tab w:val="left" w:pos="1100" w:leader="none"/>
              <w:tab w:val="right" w:pos="9062" w:leader="dot"/>
            </w:tabs>
            <w:rPr>
              <w:sz w:val="22"/>
              <w:szCs w:val="22"/>
              <w:lang w:eastAsia="pl-PL"/>
            </w:rPr>
          </w:pPr>
          <w:hyperlink w:anchor="_Toc10627782">
            <w:r>
              <w:rPr>
                <w:webHidden/>
                <w:rStyle w:val="Czeinternetowe"/>
                <w:vanish w:val="false"/>
              </w:rPr>
              <w:t>4.8.4</w:t>
            </w:r>
            <w:r>
              <w:rPr>
                <w:rStyle w:val="Czeindeksu"/>
                <w:sz w:val="22"/>
                <w:szCs w:val="22"/>
                <w:lang w:eastAsia="pl-PL"/>
              </w:rPr>
              <w:tab/>
            </w:r>
            <w:r>
              <w:rPr>
                <w:rStyle w:val="Czeinternetowe"/>
              </w:rPr>
              <w:t>Urządzenia i sprzęt pomiarowy</w:t>
            </w:r>
            <w:r>
              <w:rPr>
                <w:webHidden/>
              </w:rPr>
              <w:fldChar w:fldCharType="begin"/>
            </w:r>
            <w:r>
              <w:rPr>
                <w:webHidden/>
              </w:rPr>
              <w:instrText>PAGEREF _Toc10627782 \h</w:instrText>
            </w:r>
            <w:r>
              <w:rPr>
                <w:webHidden/>
              </w:rPr>
              <w:fldChar w:fldCharType="separate"/>
            </w:r>
            <w:r>
              <w:rPr>
                <w:rStyle w:val="Czeindeksu"/>
                <w:vanish w:val="false"/>
              </w:rPr>
              <w:tab/>
              <w:t>72</w:t>
            </w:r>
            <w:r>
              <w:rPr>
                <w:webHidden/>
              </w:rPr>
              <w:fldChar w:fldCharType="end"/>
            </w:r>
          </w:hyperlink>
        </w:p>
        <w:p>
          <w:pPr>
            <w:pStyle w:val="Spistreci2"/>
            <w:tabs>
              <w:tab w:val="left" w:pos="880" w:leader="none"/>
              <w:tab w:val="right" w:pos="9062" w:leader="dot"/>
            </w:tabs>
            <w:rPr>
              <w:sz w:val="22"/>
              <w:szCs w:val="22"/>
              <w:lang w:eastAsia="pl-PL"/>
            </w:rPr>
          </w:pPr>
          <w:hyperlink w:anchor="_Toc10627783">
            <w:r>
              <w:rPr>
                <w:webHidden/>
                <w:rStyle w:val="Czeinternetowe"/>
                <w:vanish w:val="false"/>
              </w:rPr>
              <w:t>4.9</w:t>
            </w:r>
            <w:r>
              <w:rPr>
                <w:rStyle w:val="Czeindeksu"/>
                <w:sz w:val="22"/>
                <w:szCs w:val="22"/>
                <w:lang w:eastAsia="pl-PL"/>
              </w:rPr>
              <w:tab/>
            </w:r>
            <w:r>
              <w:rPr>
                <w:rStyle w:val="Czeinternetowe"/>
              </w:rPr>
              <w:t>Odbiór robót budowlanych</w:t>
            </w:r>
            <w:r>
              <w:rPr>
                <w:webHidden/>
              </w:rPr>
              <w:fldChar w:fldCharType="begin"/>
            </w:r>
            <w:r>
              <w:rPr>
                <w:webHidden/>
              </w:rPr>
              <w:instrText>PAGEREF _Toc10627783 \h</w:instrText>
            </w:r>
            <w:r>
              <w:rPr>
                <w:webHidden/>
              </w:rPr>
              <w:fldChar w:fldCharType="separate"/>
            </w:r>
            <w:r>
              <w:rPr>
                <w:rStyle w:val="Czeindeksu"/>
                <w:vanish w:val="false"/>
              </w:rPr>
              <w:tab/>
              <w:t>72</w:t>
            </w:r>
            <w:r>
              <w:rPr>
                <w:webHidden/>
              </w:rPr>
              <w:fldChar w:fldCharType="end"/>
            </w:r>
          </w:hyperlink>
        </w:p>
        <w:p>
          <w:pPr>
            <w:pStyle w:val="Spistreci1"/>
            <w:rPr>
              <w:sz w:val="22"/>
              <w:szCs w:val="22"/>
              <w:lang w:eastAsia="pl-PL"/>
            </w:rPr>
          </w:pPr>
          <w:hyperlink w:anchor="_Toc10627784">
            <w:r>
              <w:rPr>
                <w:webHidden/>
                <w:rStyle w:val="Czeinternetowe"/>
                <w:vanish w:val="false"/>
              </w:rPr>
              <w:t>5</w:t>
            </w:r>
            <w:r>
              <w:rPr>
                <w:rStyle w:val="Czeindeksu"/>
                <w:sz w:val="22"/>
                <w:szCs w:val="22"/>
                <w:lang w:eastAsia="pl-PL"/>
              </w:rPr>
              <w:tab/>
            </w:r>
            <w:r>
              <w:rPr>
                <w:rStyle w:val="Czeinternetowe"/>
              </w:rPr>
              <w:t>Warunki wykonania i odbioru robót – instalacje elektryczne</w:t>
            </w:r>
            <w:r>
              <w:rPr>
                <w:webHidden/>
              </w:rPr>
              <w:fldChar w:fldCharType="begin"/>
            </w:r>
            <w:r>
              <w:rPr>
                <w:webHidden/>
              </w:rPr>
              <w:instrText>PAGEREF _Toc10627784 \h</w:instrText>
            </w:r>
            <w:r>
              <w:rPr>
                <w:webHidden/>
              </w:rPr>
              <w:fldChar w:fldCharType="separate"/>
            </w:r>
            <w:r>
              <w:rPr>
                <w:rStyle w:val="Czeindeksu"/>
                <w:vanish w:val="false"/>
              </w:rPr>
              <w:tab/>
              <w:t>73</w:t>
            </w:r>
            <w:r>
              <w:rPr>
                <w:webHidden/>
              </w:rPr>
              <w:fldChar w:fldCharType="end"/>
            </w:r>
          </w:hyperlink>
        </w:p>
        <w:p>
          <w:pPr>
            <w:pStyle w:val="Spistreci2"/>
            <w:tabs>
              <w:tab w:val="left" w:pos="880" w:leader="none"/>
              <w:tab w:val="right" w:pos="9062" w:leader="dot"/>
            </w:tabs>
            <w:rPr>
              <w:sz w:val="22"/>
              <w:szCs w:val="22"/>
              <w:lang w:eastAsia="pl-PL"/>
            </w:rPr>
          </w:pPr>
          <w:hyperlink w:anchor="_Toc10627785">
            <w:r>
              <w:rPr>
                <w:webHidden/>
                <w:rStyle w:val="Czeinternetowe"/>
                <w:vanish w:val="false"/>
              </w:rPr>
              <w:t>5.1</w:t>
            </w:r>
            <w:r>
              <w:rPr>
                <w:rStyle w:val="Czeindeksu"/>
                <w:sz w:val="22"/>
                <w:szCs w:val="22"/>
                <w:lang w:eastAsia="pl-PL"/>
              </w:rPr>
              <w:tab/>
            </w:r>
            <w:r>
              <w:rPr>
                <w:rStyle w:val="Czeinternetowe"/>
              </w:rPr>
              <w:t>Przedmiot i zakres robót</w:t>
            </w:r>
            <w:r>
              <w:rPr>
                <w:webHidden/>
              </w:rPr>
              <w:fldChar w:fldCharType="begin"/>
            </w:r>
            <w:r>
              <w:rPr>
                <w:webHidden/>
              </w:rPr>
              <w:instrText>PAGEREF _Toc10627785 \h</w:instrText>
            </w:r>
            <w:r>
              <w:rPr>
                <w:webHidden/>
              </w:rPr>
              <w:fldChar w:fldCharType="separate"/>
            </w:r>
            <w:r>
              <w:rPr>
                <w:rStyle w:val="Czeindeksu"/>
                <w:vanish w:val="false"/>
              </w:rPr>
              <w:tab/>
              <w:t>73</w:t>
            </w:r>
            <w:r>
              <w:rPr>
                <w:webHidden/>
              </w:rPr>
              <w:fldChar w:fldCharType="end"/>
            </w:r>
          </w:hyperlink>
        </w:p>
        <w:p>
          <w:pPr>
            <w:pStyle w:val="Spistreci2"/>
            <w:tabs>
              <w:tab w:val="left" w:pos="880" w:leader="none"/>
              <w:tab w:val="right" w:pos="9062" w:leader="dot"/>
            </w:tabs>
            <w:rPr>
              <w:sz w:val="22"/>
              <w:szCs w:val="22"/>
              <w:lang w:eastAsia="pl-PL"/>
            </w:rPr>
          </w:pPr>
          <w:hyperlink w:anchor="_Toc10627786">
            <w:r>
              <w:rPr>
                <w:webHidden/>
                <w:rStyle w:val="Czeinternetowe"/>
                <w:vanish w:val="false"/>
              </w:rPr>
              <w:t>5.2</w:t>
            </w:r>
            <w:r>
              <w:rPr>
                <w:rStyle w:val="Czeindeksu"/>
                <w:sz w:val="22"/>
                <w:szCs w:val="22"/>
                <w:lang w:eastAsia="pl-PL"/>
              </w:rPr>
              <w:tab/>
            </w:r>
            <w:r>
              <w:rPr>
                <w:rStyle w:val="Czeinternetowe"/>
              </w:rPr>
              <w:t>Informacja o terenie budowy</w:t>
            </w:r>
            <w:r>
              <w:rPr>
                <w:webHidden/>
              </w:rPr>
              <w:fldChar w:fldCharType="begin"/>
            </w:r>
            <w:r>
              <w:rPr>
                <w:webHidden/>
              </w:rPr>
              <w:instrText>PAGEREF _Toc10627786 \h</w:instrText>
            </w:r>
            <w:r>
              <w:rPr>
                <w:webHidden/>
              </w:rPr>
              <w:fldChar w:fldCharType="separate"/>
            </w:r>
            <w:r>
              <w:rPr>
                <w:rStyle w:val="Czeindeksu"/>
                <w:vanish w:val="false"/>
              </w:rPr>
              <w:tab/>
              <w:t>75</w:t>
            </w:r>
            <w:r>
              <w:rPr>
                <w:webHidden/>
              </w:rPr>
              <w:fldChar w:fldCharType="end"/>
            </w:r>
          </w:hyperlink>
        </w:p>
        <w:p>
          <w:pPr>
            <w:pStyle w:val="Spistreci3"/>
            <w:tabs>
              <w:tab w:val="left" w:pos="1100" w:leader="none"/>
              <w:tab w:val="right" w:pos="9062" w:leader="dot"/>
            </w:tabs>
            <w:rPr>
              <w:sz w:val="22"/>
              <w:szCs w:val="22"/>
              <w:lang w:eastAsia="pl-PL"/>
            </w:rPr>
          </w:pPr>
          <w:hyperlink w:anchor="_Toc10627787">
            <w:r>
              <w:rPr>
                <w:webHidden/>
                <w:rStyle w:val="Czeinternetowe"/>
                <w:vanish w:val="false"/>
              </w:rPr>
              <w:t>5.2.1</w:t>
            </w:r>
            <w:r>
              <w:rPr>
                <w:rStyle w:val="Czeindeksu"/>
                <w:sz w:val="22"/>
                <w:szCs w:val="22"/>
                <w:lang w:eastAsia="pl-PL"/>
              </w:rPr>
              <w:tab/>
            </w:r>
            <w:r>
              <w:rPr>
                <w:rStyle w:val="Czeinternetowe"/>
              </w:rPr>
              <w:t>Organizacja robót budowlanych</w:t>
            </w:r>
            <w:r>
              <w:rPr>
                <w:webHidden/>
              </w:rPr>
              <w:fldChar w:fldCharType="begin"/>
            </w:r>
            <w:r>
              <w:rPr>
                <w:webHidden/>
              </w:rPr>
              <w:instrText>PAGEREF _Toc10627787 \h</w:instrText>
            </w:r>
            <w:r>
              <w:rPr>
                <w:webHidden/>
              </w:rPr>
              <w:fldChar w:fldCharType="separate"/>
            </w:r>
            <w:r>
              <w:rPr>
                <w:rStyle w:val="Czeindeksu"/>
                <w:vanish w:val="false"/>
              </w:rPr>
              <w:tab/>
              <w:t>75</w:t>
            </w:r>
            <w:r>
              <w:rPr>
                <w:webHidden/>
              </w:rPr>
              <w:fldChar w:fldCharType="end"/>
            </w:r>
          </w:hyperlink>
        </w:p>
        <w:p>
          <w:pPr>
            <w:pStyle w:val="Spistreci3"/>
            <w:tabs>
              <w:tab w:val="left" w:pos="1100" w:leader="none"/>
              <w:tab w:val="right" w:pos="9062" w:leader="dot"/>
            </w:tabs>
            <w:rPr>
              <w:sz w:val="22"/>
              <w:szCs w:val="22"/>
              <w:lang w:eastAsia="pl-PL"/>
            </w:rPr>
          </w:pPr>
          <w:hyperlink w:anchor="_Toc10627788">
            <w:r>
              <w:rPr>
                <w:webHidden/>
                <w:rStyle w:val="Czeinternetowe"/>
                <w:vanish w:val="false"/>
              </w:rPr>
              <w:t>5.2.2</w:t>
            </w:r>
            <w:r>
              <w:rPr>
                <w:rStyle w:val="Czeindeksu"/>
                <w:sz w:val="22"/>
                <w:szCs w:val="22"/>
                <w:lang w:eastAsia="pl-PL"/>
              </w:rPr>
              <w:tab/>
            </w:r>
            <w:r>
              <w:rPr>
                <w:rStyle w:val="Czeinternetowe"/>
              </w:rPr>
              <w:t>Zabezpieczanie interesów osób trzecich</w:t>
            </w:r>
            <w:r>
              <w:rPr>
                <w:webHidden/>
              </w:rPr>
              <w:fldChar w:fldCharType="begin"/>
            </w:r>
            <w:r>
              <w:rPr>
                <w:webHidden/>
              </w:rPr>
              <w:instrText>PAGEREF _Toc10627788 \h</w:instrText>
            </w:r>
            <w:r>
              <w:rPr>
                <w:webHidden/>
              </w:rPr>
              <w:fldChar w:fldCharType="separate"/>
            </w:r>
            <w:r>
              <w:rPr>
                <w:rStyle w:val="Czeindeksu"/>
                <w:vanish w:val="false"/>
              </w:rPr>
              <w:tab/>
              <w:t>75</w:t>
            </w:r>
            <w:r>
              <w:rPr>
                <w:webHidden/>
              </w:rPr>
              <w:fldChar w:fldCharType="end"/>
            </w:r>
          </w:hyperlink>
        </w:p>
        <w:p>
          <w:pPr>
            <w:pStyle w:val="Spistreci3"/>
            <w:tabs>
              <w:tab w:val="left" w:pos="1100" w:leader="none"/>
              <w:tab w:val="right" w:pos="9062" w:leader="dot"/>
            </w:tabs>
            <w:rPr>
              <w:sz w:val="22"/>
              <w:szCs w:val="22"/>
              <w:lang w:eastAsia="pl-PL"/>
            </w:rPr>
          </w:pPr>
          <w:hyperlink w:anchor="_Toc10627789">
            <w:r>
              <w:rPr>
                <w:webHidden/>
                <w:rStyle w:val="Czeinternetowe"/>
                <w:vanish w:val="false"/>
              </w:rPr>
              <w:t>5.2.3</w:t>
            </w:r>
            <w:r>
              <w:rPr>
                <w:rStyle w:val="Czeindeksu"/>
                <w:sz w:val="22"/>
                <w:szCs w:val="22"/>
                <w:lang w:eastAsia="pl-PL"/>
              </w:rPr>
              <w:tab/>
            </w:r>
            <w:r>
              <w:rPr>
                <w:rStyle w:val="Czeinternetowe"/>
              </w:rPr>
              <w:t>Ochrona środowiska</w:t>
            </w:r>
            <w:r>
              <w:rPr>
                <w:webHidden/>
              </w:rPr>
              <w:fldChar w:fldCharType="begin"/>
            </w:r>
            <w:r>
              <w:rPr>
                <w:webHidden/>
              </w:rPr>
              <w:instrText>PAGEREF _Toc10627789 \h</w:instrText>
            </w:r>
            <w:r>
              <w:rPr>
                <w:webHidden/>
              </w:rPr>
              <w:fldChar w:fldCharType="separate"/>
            </w:r>
            <w:r>
              <w:rPr>
                <w:rStyle w:val="Czeindeksu"/>
                <w:vanish w:val="false"/>
              </w:rPr>
              <w:tab/>
              <w:t>75</w:t>
            </w:r>
            <w:r>
              <w:rPr>
                <w:webHidden/>
              </w:rPr>
              <w:fldChar w:fldCharType="end"/>
            </w:r>
          </w:hyperlink>
        </w:p>
        <w:p>
          <w:pPr>
            <w:pStyle w:val="Spistreci3"/>
            <w:tabs>
              <w:tab w:val="left" w:pos="1100" w:leader="none"/>
              <w:tab w:val="right" w:pos="9062" w:leader="dot"/>
            </w:tabs>
            <w:rPr>
              <w:sz w:val="22"/>
              <w:szCs w:val="22"/>
              <w:lang w:eastAsia="pl-PL"/>
            </w:rPr>
          </w:pPr>
          <w:hyperlink w:anchor="_Toc10627790">
            <w:r>
              <w:rPr>
                <w:webHidden/>
                <w:rStyle w:val="Czeinternetowe"/>
                <w:vanish w:val="false"/>
              </w:rPr>
              <w:t>5.2.4</w:t>
            </w:r>
            <w:r>
              <w:rPr>
                <w:rStyle w:val="Czeindeksu"/>
                <w:sz w:val="22"/>
                <w:szCs w:val="22"/>
                <w:lang w:eastAsia="pl-PL"/>
              </w:rPr>
              <w:tab/>
            </w:r>
            <w:r>
              <w:rPr>
                <w:rStyle w:val="Czeinternetowe"/>
              </w:rPr>
              <w:t>Warunki bezpieczeństwa pracy</w:t>
            </w:r>
            <w:r>
              <w:rPr>
                <w:webHidden/>
              </w:rPr>
              <w:fldChar w:fldCharType="begin"/>
            </w:r>
            <w:r>
              <w:rPr>
                <w:webHidden/>
              </w:rPr>
              <w:instrText>PAGEREF _Toc10627790 \h</w:instrText>
            </w:r>
            <w:r>
              <w:rPr>
                <w:webHidden/>
              </w:rPr>
              <w:fldChar w:fldCharType="separate"/>
            </w:r>
            <w:r>
              <w:rPr>
                <w:rStyle w:val="Czeindeksu"/>
                <w:vanish w:val="false"/>
              </w:rPr>
              <w:tab/>
              <w:t>76</w:t>
            </w:r>
            <w:r>
              <w:rPr>
                <w:webHidden/>
              </w:rPr>
              <w:fldChar w:fldCharType="end"/>
            </w:r>
          </w:hyperlink>
        </w:p>
        <w:p>
          <w:pPr>
            <w:pStyle w:val="Spistreci3"/>
            <w:tabs>
              <w:tab w:val="left" w:pos="1100" w:leader="none"/>
              <w:tab w:val="right" w:pos="9062" w:leader="dot"/>
            </w:tabs>
            <w:rPr>
              <w:sz w:val="22"/>
              <w:szCs w:val="22"/>
              <w:lang w:eastAsia="pl-PL"/>
            </w:rPr>
          </w:pPr>
          <w:hyperlink w:anchor="_Toc10627791">
            <w:r>
              <w:rPr>
                <w:webHidden/>
                <w:rStyle w:val="Czeinternetowe"/>
                <w:vanish w:val="false"/>
              </w:rPr>
              <w:t>5.2.5</w:t>
            </w:r>
            <w:r>
              <w:rPr>
                <w:rStyle w:val="Czeindeksu"/>
                <w:sz w:val="22"/>
                <w:szCs w:val="22"/>
                <w:lang w:eastAsia="pl-PL"/>
              </w:rPr>
              <w:tab/>
            </w:r>
            <w:r>
              <w:rPr>
                <w:rStyle w:val="Czeinternetowe"/>
              </w:rPr>
              <w:t>Zaplecze dla potrzeb wykonawcy</w:t>
            </w:r>
            <w:r>
              <w:rPr>
                <w:webHidden/>
              </w:rPr>
              <w:fldChar w:fldCharType="begin"/>
            </w:r>
            <w:r>
              <w:rPr>
                <w:webHidden/>
              </w:rPr>
              <w:instrText>PAGEREF _Toc10627791 \h</w:instrText>
            </w:r>
            <w:r>
              <w:rPr>
                <w:webHidden/>
              </w:rPr>
              <w:fldChar w:fldCharType="separate"/>
            </w:r>
            <w:r>
              <w:rPr>
                <w:rStyle w:val="Czeindeksu"/>
                <w:vanish w:val="false"/>
              </w:rPr>
              <w:tab/>
              <w:t>76</w:t>
            </w:r>
            <w:r>
              <w:rPr>
                <w:webHidden/>
              </w:rPr>
              <w:fldChar w:fldCharType="end"/>
            </w:r>
          </w:hyperlink>
        </w:p>
        <w:p>
          <w:pPr>
            <w:pStyle w:val="Spistreci3"/>
            <w:tabs>
              <w:tab w:val="left" w:pos="1100" w:leader="none"/>
              <w:tab w:val="right" w:pos="9062" w:leader="dot"/>
            </w:tabs>
            <w:rPr>
              <w:sz w:val="22"/>
              <w:szCs w:val="22"/>
              <w:lang w:eastAsia="pl-PL"/>
            </w:rPr>
          </w:pPr>
          <w:hyperlink w:anchor="_Toc10627792">
            <w:r>
              <w:rPr>
                <w:webHidden/>
                <w:rStyle w:val="Czeinternetowe"/>
                <w:vanish w:val="false"/>
              </w:rPr>
              <w:t>5.2.6</w:t>
            </w:r>
            <w:r>
              <w:rPr>
                <w:rStyle w:val="Czeindeksu"/>
                <w:sz w:val="22"/>
                <w:szCs w:val="22"/>
                <w:lang w:eastAsia="pl-PL"/>
              </w:rPr>
              <w:tab/>
            </w:r>
            <w:r>
              <w:rPr>
                <w:rStyle w:val="Czeinternetowe"/>
              </w:rPr>
              <w:t>Warunki dotyczące organizacji ruchu</w:t>
            </w:r>
            <w:r>
              <w:rPr>
                <w:webHidden/>
              </w:rPr>
              <w:fldChar w:fldCharType="begin"/>
            </w:r>
            <w:r>
              <w:rPr>
                <w:webHidden/>
              </w:rPr>
              <w:instrText>PAGEREF _Toc10627792 \h</w:instrText>
            </w:r>
            <w:r>
              <w:rPr>
                <w:webHidden/>
              </w:rPr>
              <w:fldChar w:fldCharType="separate"/>
            </w:r>
            <w:r>
              <w:rPr>
                <w:rStyle w:val="Czeindeksu"/>
                <w:vanish w:val="false"/>
              </w:rPr>
              <w:tab/>
              <w:t>76</w:t>
            </w:r>
            <w:r>
              <w:rPr>
                <w:webHidden/>
              </w:rPr>
              <w:fldChar w:fldCharType="end"/>
            </w:r>
          </w:hyperlink>
        </w:p>
        <w:p>
          <w:pPr>
            <w:pStyle w:val="Spistreci2"/>
            <w:tabs>
              <w:tab w:val="left" w:pos="880" w:leader="none"/>
              <w:tab w:val="right" w:pos="9062" w:leader="dot"/>
            </w:tabs>
            <w:rPr>
              <w:sz w:val="22"/>
              <w:szCs w:val="22"/>
              <w:lang w:eastAsia="pl-PL"/>
            </w:rPr>
          </w:pPr>
          <w:hyperlink w:anchor="_Toc10627793">
            <w:r>
              <w:rPr>
                <w:webHidden/>
                <w:rStyle w:val="Czeinternetowe"/>
                <w:vanish w:val="false"/>
              </w:rPr>
              <w:t>5.3</w:t>
            </w:r>
            <w:r>
              <w:rPr>
                <w:rStyle w:val="Czeindeksu"/>
                <w:sz w:val="22"/>
                <w:szCs w:val="22"/>
                <w:lang w:eastAsia="pl-PL"/>
              </w:rPr>
              <w:tab/>
            </w:r>
            <w:r>
              <w:rPr>
                <w:rStyle w:val="Czeinternetowe"/>
              </w:rPr>
              <w:t>Właściwości wyrobów budowlanych</w:t>
            </w:r>
            <w:r>
              <w:rPr>
                <w:webHidden/>
              </w:rPr>
              <w:fldChar w:fldCharType="begin"/>
            </w:r>
            <w:r>
              <w:rPr>
                <w:webHidden/>
              </w:rPr>
              <w:instrText>PAGEREF _Toc10627793 \h</w:instrText>
            </w:r>
            <w:r>
              <w:rPr>
                <w:webHidden/>
              </w:rPr>
              <w:fldChar w:fldCharType="separate"/>
            </w:r>
            <w:r>
              <w:rPr>
                <w:rStyle w:val="Czeindeksu"/>
                <w:vanish w:val="false"/>
              </w:rPr>
              <w:tab/>
              <w:t>77</w:t>
            </w:r>
            <w:r>
              <w:rPr>
                <w:webHidden/>
              </w:rPr>
              <w:fldChar w:fldCharType="end"/>
            </w:r>
          </w:hyperlink>
        </w:p>
        <w:p>
          <w:pPr>
            <w:pStyle w:val="Spistreci2"/>
            <w:tabs>
              <w:tab w:val="left" w:pos="880" w:leader="none"/>
              <w:tab w:val="right" w:pos="9062" w:leader="dot"/>
            </w:tabs>
            <w:rPr>
              <w:sz w:val="22"/>
              <w:szCs w:val="22"/>
              <w:lang w:eastAsia="pl-PL"/>
            </w:rPr>
          </w:pPr>
          <w:hyperlink w:anchor="_Toc10627794">
            <w:r>
              <w:rPr>
                <w:webHidden/>
                <w:rStyle w:val="Czeinternetowe"/>
                <w:vanish w:val="false"/>
              </w:rPr>
              <w:t>5.4</w:t>
            </w:r>
            <w:r>
              <w:rPr>
                <w:rStyle w:val="Czeindeksu"/>
                <w:sz w:val="22"/>
                <w:szCs w:val="22"/>
                <w:lang w:eastAsia="pl-PL"/>
              </w:rPr>
              <w:tab/>
            </w:r>
            <w:r>
              <w:rPr>
                <w:rStyle w:val="Czeinternetowe"/>
              </w:rPr>
              <w:t>Wymagania szczegółowe dotyczące sprzętu i maszyn do robót budowlanych</w:t>
            </w:r>
            <w:r>
              <w:rPr>
                <w:webHidden/>
              </w:rPr>
              <w:fldChar w:fldCharType="begin"/>
            </w:r>
            <w:r>
              <w:rPr>
                <w:webHidden/>
              </w:rPr>
              <w:instrText>PAGEREF _Toc10627794 \h</w:instrText>
            </w:r>
            <w:r>
              <w:rPr>
                <w:webHidden/>
              </w:rPr>
              <w:fldChar w:fldCharType="separate"/>
            </w:r>
            <w:r>
              <w:rPr>
                <w:rStyle w:val="Czeindeksu"/>
                <w:vanish w:val="false"/>
              </w:rPr>
              <w:tab/>
              <w:t>77</w:t>
            </w:r>
            <w:r>
              <w:rPr>
                <w:webHidden/>
              </w:rPr>
              <w:fldChar w:fldCharType="end"/>
            </w:r>
          </w:hyperlink>
        </w:p>
        <w:p>
          <w:pPr>
            <w:pStyle w:val="Spistreci2"/>
            <w:tabs>
              <w:tab w:val="left" w:pos="880" w:leader="none"/>
              <w:tab w:val="right" w:pos="9062" w:leader="dot"/>
            </w:tabs>
            <w:rPr>
              <w:sz w:val="22"/>
              <w:szCs w:val="22"/>
              <w:lang w:eastAsia="pl-PL"/>
            </w:rPr>
          </w:pPr>
          <w:hyperlink w:anchor="_Toc10627795">
            <w:r>
              <w:rPr>
                <w:webHidden/>
                <w:rStyle w:val="Czeinternetowe"/>
                <w:vanish w:val="false"/>
              </w:rPr>
              <w:t>5.5</w:t>
            </w:r>
            <w:r>
              <w:rPr>
                <w:rStyle w:val="Czeindeksu"/>
                <w:sz w:val="22"/>
                <w:szCs w:val="22"/>
                <w:lang w:eastAsia="pl-PL"/>
              </w:rPr>
              <w:tab/>
            </w:r>
            <w:r>
              <w:rPr>
                <w:rStyle w:val="Czeinternetowe"/>
              </w:rPr>
              <w:t>Wymagania dotyczące środków transportu</w:t>
            </w:r>
            <w:r>
              <w:rPr>
                <w:webHidden/>
              </w:rPr>
              <w:fldChar w:fldCharType="begin"/>
            </w:r>
            <w:r>
              <w:rPr>
                <w:webHidden/>
              </w:rPr>
              <w:instrText>PAGEREF _Toc10627795 \h</w:instrText>
            </w:r>
            <w:r>
              <w:rPr>
                <w:webHidden/>
              </w:rPr>
              <w:fldChar w:fldCharType="separate"/>
            </w:r>
            <w:r>
              <w:rPr>
                <w:rStyle w:val="Czeindeksu"/>
                <w:vanish w:val="false"/>
              </w:rPr>
              <w:tab/>
              <w:t>77</w:t>
            </w:r>
            <w:r>
              <w:rPr>
                <w:webHidden/>
              </w:rPr>
              <w:fldChar w:fldCharType="end"/>
            </w:r>
          </w:hyperlink>
        </w:p>
        <w:p>
          <w:pPr>
            <w:pStyle w:val="Spistreci2"/>
            <w:tabs>
              <w:tab w:val="left" w:pos="880" w:leader="none"/>
              <w:tab w:val="right" w:pos="9062" w:leader="dot"/>
            </w:tabs>
            <w:rPr>
              <w:sz w:val="22"/>
              <w:szCs w:val="22"/>
              <w:lang w:eastAsia="pl-PL"/>
            </w:rPr>
          </w:pPr>
          <w:hyperlink w:anchor="_Toc10627796">
            <w:r>
              <w:rPr>
                <w:webHidden/>
                <w:rStyle w:val="Czeinternetowe"/>
                <w:vanish w:val="false"/>
              </w:rPr>
              <w:t>5.6</w:t>
            </w:r>
            <w:r>
              <w:rPr>
                <w:rStyle w:val="Czeindeksu"/>
                <w:sz w:val="22"/>
                <w:szCs w:val="22"/>
                <w:lang w:eastAsia="pl-PL"/>
              </w:rPr>
              <w:tab/>
            </w:r>
            <w:r>
              <w:rPr>
                <w:rStyle w:val="Czeinternetowe"/>
              </w:rPr>
              <w:t>Wymagania dotyczące wykonania robót</w:t>
            </w:r>
            <w:r>
              <w:rPr>
                <w:webHidden/>
              </w:rPr>
              <w:fldChar w:fldCharType="begin"/>
            </w:r>
            <w:r>
              <w:rPr>
                <w:webHidden/>
              </w:rPr>
              <w:instrText>PAGEREF _Toc10627796 \h</w:instrText>
            </w:r>
            <w:r>
              <w:rPr>
                <w:webHidden/>
              </w:rPr>
              <w:fldChar w:fldCharType="separate"/>
            </w:r>
            <w:r>
              <w:rPr>
                <w:rStyle w:val="Czeindeksu"/>
                <w:vanish w:val="false"/>
              </w:rPr>
              <w:tab/>
              <w:t>77</w:t>
            </w:r>
            <w:r>
              <w:rPr>
                <w:webHidden/>
              </w:rPr>
              <w:fldChar w:fldCharType="end"/>
            </w:r>
          </w:hyperlink>
        </w:p>
        <w:p>
          <w:pPr>
            <w:pStyle w:val="Spistreci2"/>
            <w:tabs>
              <w:tab w:val="left" w:pos="880" w:leader="none"/>
              <w:tab w:val="right" w:pos="9062" w:leader="dot"/>
            </w:tabs>
            <w:rPr>
              <w:sz w:val="22"/>
              <w:szCs w:val="22"/>
              <w:lang w:eastAsia="pl-PL"/>
            </w:rPr>
          </w:pPr>
          <w:hyperlink w:anchor="_Toc10627797">
            <w:r>
              <w:rPr>
                <w:webHidden/>
                <w:rStyle w:val="Czeinternetowe"/>
                <w:vanish w:val="false"/>
              </w:rPr>
              <w:t>5.7</w:t>
            </w:r>
            <w:r>
              <w:rPr>
                <w:rStyle w:val="Czeindeksu"/>
                <w:sz w:val="22"/>
                <w:szCs w:val="22"/>
                <w:lang w:eastAsia="pl-PL"/>
              </w:rPr>
              <w:tab/>
            </w:r>
            <w:r>
              <w:rPr>
                <w:rStyle w:val="Czeinternetowe"/>
              </w:rPr>
              <w:t>Oświetlenie</w:t>
            </w:r>
            <w:r>
              <w:rPr>
                <w:rStyle w:val="Czeinternetowe"/>
                <w:spacing w:val="-2"/>
              </w:rPr>
              <w:t xml:space="preserve"> </w:t>
            </w:r>
            <w:r>
              <w:rPr>
                <w:rStyle w:val="Czeinternetowe"/>
              </w:rPr>
              <w:t>wewnętrzne</w:t>
            </w:r>
            <w:r>
              <w:rPr>
                <w:webHidden/>
              </w:rPr>
              <w:fldChar w:fldCharType="begin"/>
            </w:r>
            <w:r>
              <w:rPr>
                <w:webHidden/>
              </w:rPr>
              <w:instrText>PAGEREF _Toc10627797 \h</w:instrText>
            </w:r>
            <w:r>
              <w:rPr>
                <w:webHidden/>
              </w:rPr>
              <w:fldChar w:fldCharType="separate"/>
            </w:r>
            <w:r>
              <w:rPr>
                <w:rStyle w:val="Czeindeksu"/>
                <w:vanish w:val="false"/>
              </w:rPr>
              <w:tab/>
              <w:t>79</w:t>
            </w:r>
            <w:r>
              <w:rPr>
                <w:webHidden/>
              </w:rPr>
              <w:fldChar w:fldCharType="end"/>
            </w:r>
          </w:hyperlink>
        </w:p>
        <w:p>
          <w:pPr>
            <w:pStyle w:val="Spistreci3"/>
            <w:tabs>
              <w:tab w:val="left" w:pos="1100" w:leader="none"/>
              <w:tab w:val="right" w:pos="9062" w:leader="dot"/>
            </w:tabs>
            <w:rPr>
              <w:sz w:val="22"/>
              <w:szCs w:val="22"/>
              <w:lang w:eastAsia="pl-PL"/>
            </w:rPr>
          </w:pPr>
          <w:hyperlink w:anchor="_Toc10627798">
            <w:r>
              <w:rPr>
                <w:webHidden/>
                <w:rStyle w:val="Czeinternetowe"/>
                <w:vanish w:val="false"/>
              </w:rPr>
              <w:t>5.7.1</w:t>
            </w:r>
            <w:r>
              <w:rPr>
                <w:rStyle w:val="Czeindeksu"/>
                <w:sz w:val="22"/>
                <w:szCs w:val="22"/>
                <w:lang w:eastAsia="pl-PL"/>
              </w:rPr>
              <w:tab/>
            </w:r>
            <w:r>
              <w:rPr>
                <w:rStyle w:val="Czeinternetowe"/>
              </w:rPr>
              <w:t>Oświetlenie</w:t>
            </w:r>
            <w:r>
              <w:rPr>
                <w:rStyle w:val="Czeinternetowe"/>
                <w:spacing w:val="-2"/>
              </w:rPr>
              <w:t xml:space="preserve"> </w:t>
            </w:r>
            <w:r>
              <w:rPr>
                <w:rStyle w:val="Czeinternetowe"/>
              </w:rPr>
              <w:t>awaryjne/bezpieczeństwa</w:t>
            </w:r>
            <w:r>
              <w:rPr>
                <w:webHidden/>
              </w:rPr>
              <w:fldChar w:fldCharType="begin"/>
            </w:r>
            <w:r>
              <w:rPr>
                <w:webHidden/>
              </w:rPr>
              <w:instrText>PAGEREF _Toc10627798 \h</w:instrText>
            </w:r>
            <w:r>
              <w:rPr>
                <w:webHidden/>
              </w:rPr>
              <w:fldChar w:fldCharType="separate"/>
            </w:r>
            <w:r>
              <w:rPr>
                <w:rStyle w:val="Czeindeksu"/>
                <w:vanish w:val="false"/>
              </w:rPr>
              <w:tab/>
              <w:t>79</w:t>
            </w:r>
            <w:r>
              <w:rPr>
                <w:webHidden/>
              </w:rPr>
              <w:fldChar w:fldCharType="end"/>
            </w:r>
          </w:hyperlink>
        </w:p>
        <w:p>
          <w:pPr>
            <w:pStyle w:val="Spistreci3"/>
            <w:tabs>
              <w:tab w:val="left" w:pos="1100" w:leader="none"/>
              <w:tab w:val="right" w:pos="9062" w:leader="dot"/>
            </w:tabs>
            <w:rPr>
              <w:sz w:val="22"/>
              <w:szCs w:val="22"/>
              <w:lang w:eastAsia="pl-PL"/>
            </w:rPr>
          </w:pPr>
          <w:hyperlink w:anchor="_Toc10627799">
            <w:r>
              <w:rPr>
                <w:webHidden/>
                <w:rStyle w:val="Czeinternetowe"/>
                <w:vanish w:val="false"/>
              </w:rPr>
              <w:t>5.7.2</w:t>
            </w:r>
            <w:r>
              <w:rPr>
                <w:rStyle w:val="Czeindeksu"/>
                <w:sz w:val="22"/>
                <w:szCs w:val="22"/>
                <w:lang w:eastAsia="pl-PL"/>
              </w:rPr>
              <w:tab/>
            </w:r>
            <w:r>
              <w:rPr>
                <w:rStyle w:val="Czeinternetowe"/>
              </w:rPr>
              <w:t>Sterowanie</w:t>
            </w:r>
            <w:r>
              <w:rPr>
                <w:rStyle w:val="Czeinternetowe"/>
                <w:spacing w:val="-2"/>
              </w:rPr>
              <w:t xml:space="preserve"> </w:t>
            </w:r>
            <w:r>
              <w:rPr>
                <w:rStyle w:val="Czeinternetowe"/>
              </w:rPr>
              <w:t>oświetleniem</w:t>
            </w:r>
            <w:r>
              <w:rPr>
                <w:webHidden/>
              </w:rPr>
              <w:fldChar w:fldCharType="begin"/>
            </w:r>
            <w:r>
              <w:rPr>
                <w:webHidden/>
              </w:rPr>
              <w:instrText>PAGEREF _Toc10627799 \h</w:instrText>
            </w:r>
            <w:r>
              <w:rPr>
                <w:webHidden/>
              </w:rPr>
              <w:fldChar w:fldCharType="separate"/>
            </w:r>
            <w:r>
              <w:rPr>
                <w:rStyle w:val="Czeindeksu"/>
                <w:vanish w:val="false"/>
              </w:rPr>
              <w:tab/>
              <w:t>80</w:t>
            </w:r>
            <w:r>
              <w:rPr>
                <w:webHidden/>
              </w:rPr>
              <w:fldChar w:fldCharType="end"/>
            </w:r>
          </w:hyperlink>
        </w:p>
        <w:p>
          <w:pPr>
            <w:pStyle w:val="Spistreci2"/>
            <w:tabs>
              <w:tab w:val="left" w:pos="880" w:leader="none"/>
              <w:tab w:val="right" w:pos="9062" w:leader="dot"/>
            </w:tabs>
            <w:rPr>
              <w:sz w:val="22"/>
              <w:szCs w:val="22"/>
              <w:lang w:eastAsia="pl-PL"/>
            </w:rPr>
          </w:pPr>
          <w:hyperlink w:anchor="_Toc10627800">
            <w:r>
              <w:rPr>
                <w:webHidden/>
                <w:rStyle w:val="Czeinternetowe"/>
                <w:vanish w:val="false"/>
              </w:rPr>
              <w:t>5.8</w:t>
            </w:r>
            <w:r>
              <w:rPr>
                <w:rStyle w:val="Czeindeksu"/>
                <w:sz w:val="22"/>
                <w:szCs w:val="22"/>
                <w:lang w:eastAsia="pl-PL"/>
              </w:rPr>
              <w:tab/>
            </w:r>
            <w:r>
              <w:rPr>
                <w:rStyle w:val="Czeinternetowe"/>
              </w:rPr>
              <w:t>Mikro instalacja</w:t>
            </w:r>
            <w:r>
              <w:rPr>
                <w:rStyle w:val="Czeinternetowe"/>
                <w:spacing w:val="-1"/>
              </w:rPr>
              <w:t xml:space="preserve"> </w:t>
            </w:r>
            <w:r>
              <w:rPr>
                <w:rStyle w:val="Czeinternetowe"/>
              </w:rPr>
              <w:t>fotowoltaiczna</w:t>
            </w:r>
            <w:r>
              <w:rPr>
                <w:webHidden/>
              </w:rPr>
              <w:fldChar w:fldCharType="begin"/>
            </w:r>
            <w:r>
              <w:rPr>
                <w:webHidden/>
              </w:rPr>
              <w:instrText>PAGEREF _Toc10627800 \h</w:instrText>
            </w:r>
            <w:r>
              <w:rPr>
                <w:webHidden/>
              </w:rPr>
              <w:fldChar w:fldCharType="separate"/>
            </w:r>
            <w:r>
              <w:rPr>
                <w:rStyle w:val="Czeindeksu"/>
                <w:vanish w:val="false"/>
              </w:rPr>
              <w:tab/>
              <w:t>80</w:t>
            </w:r>
            <w:r>
              <w:rPr>
                <w:webHidden/>
              </w:rPr>
              <w:fldChar w:fldCharType="end"/>
            </w:r>
          </w:hyperlink>
        </w:p>
        <w:p>
          <w:pPr>
            <w:pStyle w:val="Spistreci2"/>
            <w:tabs>
              <w:tab w:val="left" w:pos="880" w:leader="none"/>
              <w:tab w:val="right" w:pos="9062" w:leader="dot"/>
            </w:tabs>
            <w:rPr>
              <w:sz w:val="22"/>
              <w:szCs w:val="22"/>
              <w:lang w:eastAsia="pl-PL"/>
            </w:rPr>
          </w:pPr>
          <w:hyperlink w:anchor="_Toc10627801">
            <w:r>
              <w:rPr>
                <w:webHidden/>
                <w:rStyle w:val="Czeinternetowe"/>
                <w:vanish w:val="false"/>
              </w:rPr>
              <w:t>5.9</w:t>
            </w:r>
            <w:r>
              <w:rPr>
                <w:rStyle w:val="Czeindeksu"/>
                <w:sz w:val="22"/>
                <w:szCs w:val="22"/>
                <w:lang w:eastAsia="pl-PL"/>
              </w:rPr>
              <w:tab/>
            </w:r>
            <w:r>
              <w:rPr>
                <w:rStyle w:val="Czeinternetowe"/>
              </w:rPr>
              <w:t>Ochrona od porażeń prądem</w:t>
            </w:r>
            <w:r>
              <w:rPr>
                <w:rStyle w:val="Czeinternetowe"/>
                <w:spacing w:val="-9"/>
              </w:rPr>
              <w:t xml:space="preserve"> </w:t>
            </w:r>
            <w:r>
              <w:rPr>
                <w:rStyle w:val="Czeinternetowe"/>
              </w:rPr>
              <w:t>elektrycznym</w:t>
            </w:r>
            <w:r>
              <w:rPr>
                <w:webHidden/>
              </w:rPr>
              <w:fldChar w:fldCharType="begin"/>
            </w:r>
            <w:r>
              <w:rPr>
                <w:webHidden/>
              </w:rPr>
              <w:instrText>PAGEREF _Toc10627801 \h</w:instrText>
            </w:r>
            <w:r>
              <w:rPr>
                <w:webHidden/>
              </w:rPr>
              <w:fldChar w:fldCharType="separate"/>
            </w:r>
            <w:r>
              <w:rPr>
                <w:rStyle w:val="Czeindeksu"/>
                <w:vanish w:val="false"/>
              </w:rPr>
              <w:tab/>
              <w:t>80</w:t>
            </w:r>
            <w:r>
              <w:rPr>
                <w:webHidden/>
              </w:rPr>
              <w:fldChar w:fldCharType="end"/>
            </w:r>
          </w:hyperlink>
        </w:p>
        <w:p>
          <w:pPr>
            <w:pStyle w:val="Spistreci2"/>
            <w:tabs>
              <w:tab w:val="left" w:pos="880" w:leader="none"/>
              <w:tab w:val="right" w:pos="9062" w:leader="dot"/>
            </w:tabs>
            <w:rPr>
              <w:sz w:val="22"/>
              <w:szCs w:val="22"/>
              <w:lang w:eastAsia="pl-PL"/>
            </w:rPr>
          </w:pPr>
          <w:hyperlink w:anchor="_Toc10627802">
            <w:r>
              <w:rPr>
                <w:webHidden/>
                <w:rStyle w:val="Czeinternetowe"/>
                <w:vanish w:val="false"/>
              </w:rPr>
              <w:t>5.10</w:t>
            </w:r>
            <w:r>
              <w:rPr>
                <w:rStyle w:val="Czeindeksu"/>
                <w:sz w:val="22"/>
                <w:szCs w:val="22"/>
                <w:lang w:eastAsia="pl-PL"/>
              </w:rPr>
              <w:tab/>
            </w:r>
            <w:r>
              <w:rPr>
                <w:rStyle w:val="Czeinternetowe"/>
              </w:rPr>
              <w:t>Pomiary odbiorcze</w:t>
            </w:r>
            <w:r>
              <w:rPr>
                <w:webHidden/>
              </w:rPr>
              <w:fldChar w:fldCharType="begin"/>
            </w:r>
            <w:r>
              <w:rPr>
                <w:webHidden/>
              </w:rPr>
              <w:instrText>PAGEREF _Toc10627802 \h</w:instrText>
            </w:r>
            <w:r>
              <w:rPr>
                <w:webHidden/>
              </w:rPr>
              <w:fldChar w:fldCharType="separate"/>
            </w:r>
            <w:r>
              <w:rPr>
                <w:rStyle w:val="Czeindeksu"/>
                <w:vanish w:val="false"/>
              </w:rPr>
              <w:tab/>
              <w:t>80</w:t>
            </w:r>
            <w:r>
              <w:rPr>
                <w:webHidden/>
              </w:rPr>
              <w:fldChar w:fldCharType="end"/>
            </w:r>
          </w:hyperlink>
        </w:p>
        <w:p>
          <w:pPr>
            <w:pStyle w:val="Spistreci2"/>
            <w:tabs>
              <w:tab w:val="left" w:pos="880" w:leader="none"/>
              <w:tab w:val="right" w:pos="9062" w:leader="dot"/>
            </w:tabs>
            <w:rPr>
              <w:sz w:val="22"/>
              <w:szCs w:val="22"/>
              <w:lang w:eastAsia="pl-PL"/>
            </w:rPr>
          </w:pPr>
          <w:hyperlink w:anchor="_Toc10627803">
            <w:r>
              <w:rPr>
                <w:webHidden/>
                <w:rStyle w:val="Czeinternetowe"/>
                <w:vanish w:val="false"/>
              </w:rPr>
              <w:t>5.11</w:t>
            </w:r>
            <w:r>
              <w:rPr>
                <w:rStyle w:val="Czeindeksu"/>
                <w:sz w:val="22"/>
                <w:szCs w:val="22"/>
                <w:lang w:eastAsia="pl-PL"/>
              </w:rPr>
              <w:tab/>
            </w:r>
            <w:r>
              <w:rPr>
                <w:rStyle w:val="Czeinternetowe"/>
              </w:rPr>
              <w:t>Uwagi końcowe</w:t>
            </w:r>
            <w:r>
              <w:rPr>
                <w:webHidden/>
              </w:rPr>
              <w:fldChar w:fldCharType="begin"/>
            </w:r>
            <w:r>
              <w:rPr>
                <w:webHidden/>
              </w:rPr>
              <w:instrText>PAGEREF _Toc10627803 \h</w:instrText>
            </w:r>
            <w:r>
              <w:rPr>
                <w:webHidden/>
              </w:rPr>
              <w:fldChar w:fldCharType="separate"/>
            </w:r>
            <w:r>
              <w:rPr>
                <w:rStyle w:val="Czeindeksu"/>
                <w:vanish w:val="false"/>
              </w:rPr>
              <w:tab/>
              <w:t>81</w:t>
            </w:r>
            <w:r>
              <w:rPr>
                <w:webHidden/>
              </w:rPr>
              <w:fldChar w:fldCharType="end"/>
            </w:r>
          </w:hyperlink>
        </w:p>
        <w:p>
          <w:pPr>
            <w:pStyle w:val="Spistreci2"/>
            <w:tabs>
              <w:tab w:val="left" w:pos="880" w:leader="none"/>
              <w:tab w:val="right" w:pos="9062" w:leader="dot"/>
            </w:tabs>
            <w:rPr>
              <w:sz w:val="22"/>
              <w:szCs w:val="22"/>
              <w:lang w:eastAsia="pl-PL"/>
            </w:rPr>
          </w:pPr>
          <w:hyperlink w:anchor="_Toc10627804">
            <w:r>
              <w:rPr>
                <w:webHidden/>
                <w:rStyle w:val="Czeinternetowe"/>
                <w:vanish w:val="false"/>
              </w:rPr>
              <w:t>5.12</w:t>
            </w:r>
            <w:r>
              <w:rPr>
                <w:rStyle w:val="Czeindeksu"/>
                <w:sz w:val="22"/>
                <w:szCs w:val="22"/>
                <w:lang w:eastAsia="pl-PL"/>
              </w:rPr>
              <w:tab/>
            </w:r>
            <w:r>
              <w:rPr>
                <w:rStyle w:val="Czeinternetowe"/>
              </w:rPr>
              <w:t>Kontrola, badania i odbiór wyrobów i robót budowlanych</w:t>
            </w:r>
            <w:r>
              <w:rPr>
                <w:webHidden/>
              </w:rPr>
              <w:fldChar w:fldCharType="begin"/>
            </w:r>
            <w:r>
              <w:rPr>
                <w:webHidden/>
              </w:rPr>
              <w:instrText>PAGEREF _Toc10627804 \h</w:instrText>
            </w:r>
            <w:r>
              <w:rPr>
                <w:webHidden/>
              </w:rPr>
              <w:fldChar w:fldCharType="separate"/>
            </w:r>
            <w:r>
              <w:rPr>
                <w:rStyle w:val="Czeindeksu"/>
                <w:vanish w:val="false"/>
              </w:rPr>
              <w:tab/>
              <w:t>82</w:t>
            </w:r>
            <w:r>
              <w:rPr>
                <w:webHidden/>
              </w:rPr>
              <w:fldChar w:fldCharType="end"/>
            </w:r>
          </w:hyperlink>
        </w:p>
        <w:p>
          <w:pPr>
            <w:pStyle w:val="Spistreci2"/>
            <w:tabs>
              <w:tab w:val="left" w:pos="880" w:leader="none"/>
              <w:tab w:val="right" w:pos="9062" w:leader="dot"/>
            </w:tabs>
            <w:rPr>
              <w:sz w:val="22"/>
              <w:szCs w:val="22"/>
              <w:lang w:eastAsia="pl-PL"/>
            </w:rPr>
          </w:pPr>
          <w:hyperlink w:anchor="_Toc10627805">
            <w:r>
              <w:rPr>
                <w:webHidden/>
                <w:rStyle w:val="Czeinternetowe"/>
                <w:vanish w:val="false"/>
              </w:rPr>
              <w:t>5.13</w:t>
            </w:r>
            <w:r>
              <w:rPr>
                <w:rStyle w:val="Czeindeksu"/>
                <w:sz w:val="22"/>
                <w:szCs w:val="22"/>
                <w:lang w:eastAsia="pl-PL"/>
              </w:rPr>
              <w:tab/>
            </w:r>
            <w:r>
              <w:rPr>
                <w:rStyle w:val="Czeinternetowe"/>
              </w:rPr>
              <w:t>Wymagania dotyczące przedmiaru i obmiaru robót</w:t>
            </w:r>
            <w:r>
              <w:rPr>
                <w:webHidden/>
              </w:rPr>
              <w:fldChar w:fldCharType="begin"/>
            </w:r>
            <w:r>
              <w:rPr>
                <w:webHidden/>
              </w:rPr>
              <w:instrText>PAGEREF _Toc10627805 \h</w:instrText>
            </w:r>
            <w:r>
              <w:rPr>
                <w:webHidden/>
              </w:rPr>
              <w:fldChar w:fldCharType="separate"/>
            </w:r>
            <w:r>
              <w:rPr>
                <w:rStyle w:val="Czeindeksu"/>
                <w:vanish w:val="false"/>
              </w:rPr>
              <w:tab/>
              <w:t>82</w:t>
            </w:r>
            <w:r>
              <w:rPr>
                <w:webHidden/>
              </w:rPr>
              <w:fldChar w:fldCharType="end"/>
            </w:r>
          </w:hyperlink>
        </w:p>
        <w:p>
          <w:pPr>
            <w:pStyle w:val="Spistreci2"/>
            <w:tabs>
              <w:tab w:val="left" w:pos="880" w:leader="none"/>
              <w:tab w:val="right" w:pos="9062" w:leader="dot"/>
            </w:tabs>
            <w:rPr>
              <w:sz w:val="22"/>
              <w:szCs w:val="22"/>
              <w:lang w:eastAsia="pl-PL"/>
            </w:rPr>
          </w:pPr>
          <w:hyperlink w:anchor="_Toc10627806">
            <w:r>
              <w:rPr>
                <w:webHidden/>
                <w:rStyle w:val="Czeinternetowe"/>
                <w:vanish w:val="false"/>
              </w:rPr>
              <w:t>5.14</w:t>
            </w:r>
            <w:r>
              <w:rPr>
                <w:rStyle w:val="Czeindeksu"/>
                <w:sz w:val="22"/>
                <w:szCs w:val="22"/>
                <w:lang w:eastAsia="pl-PL"/>
              </w:rPr>
              <w:tab/>
            </w:r>
            <w:r>
              <w:rPr>
                <w:rStyle w:val="Czeinternetowe"/>
              </w:rPr>
              <w:t>Odbiór robót budowlanych</w:t>
            </w:r>
            <w:r>
              <w:rPr>
                <w:webHidden/>
              </w:rPr>
              <w:fldChar w:fldCharType="begin"/>
            </w:r>
            <w:r>
              <w:rPr>
                <w:webHidden/>
              </w:rPr>
              <w:instrText>PAGEREF _Toc10627806 \h</w:instrText>
            </w:r>
            <w:r>
              <w:rPr>
                <w:webHidden/>
              </w:rPr>
              <w:fldChar w:fldCharType="separate"/>
            </w:r>
            <w:r>
              <w:rPr>
                <w:rStyle w:val="Czeindeksu"/>
                <w:vanish w:val="false"/>
              </w:rPr>
              <w:tab/>
              <w:t>82</w:t>
            </w:r>
            <w:r>
              <w:rPr>
                <w:webHidden/>
              </w:rPr>
              <w:fldChar w:fldCharType="end"/>
            </w:r>
          </w:hyperlink>
        </w:p>
        <w:p>
          <w:pPr>
            <w:pStyle w:val="Spistreci2"/>
            <w:tabs>
              <w:tab w:val="left" w:pos="880" w:leader="none"/>
              <w:tab w:val="right" w:pos="9062" w:leader="dot"/>
            </w:tabs>
            <w:rPr>
              <w:rStyle w:val="Czeinternetowe"/>
            </w:rPr>
          </w:pPr>
          <w:hyperlink w:anchor="_Toc10627807">
            <w:r>
              <w:rPr>
                <w:webHidden/>
                <w:rStyle w:val="Czeinternetowe"/>
                <w:vanish w:val="false"/>
              </w:rPr>
              <w:t>5.15</w:t>
            </w:r>
            <w:r>
              <w:rPr>
                <w:rStyle w:val="Czeindeksu"/>
                <w:sz w:val="22"/>
                <w:szCs w:val="22"/>
                <w:lang w:eastAsia="pl-PL"/>
              </w:rPr>
              <w:tab/>
            </w:r>
            <w:r>
              <w:rPr>
                <w:rStyle w:val="Czeinternetowe"/>
              </w:rPr>
              <w:t>Rozliczenie robót</w:t>
            </w:r>
            <w:r>
              <w:rPr>
                <w:webHidden/>
              </w:rPr>
              <w:fldChar w:fldCharType="begin"/>
            </w:r>
            <w:r>
              <w:rPr>
                <w:webHidden/>
              </w:rPr>
              <w:instrText>PAGEREF _Toc10627807 \h</w:instrText>
            </w:r>
            <w:r>
              <w:rPr>
                <w:webHidden/>
              </w:rPr>
              <w:fldChar w:fldCharType="separate"/>
            </w:r>
            <w:r>
              <w:rPr>
                <w:rStyle w:val="Czeindeksu"/>
                <w:vanish w:val="false"/>
              </w:rPr>
              <w:tab/>
              <w:t>84</w:t>
            </w:r>
            <w:r>
              <w:rPr>
                <w:webHidden/>
              </w:rPr>
              <w:fldChar w:fldCharType="end"/>
            </w:r>
          </w:hyperlink>
        </w:p>
        <w:p>
          <w:pPr>
            <w:pStyle w:val="Normal"/>
            <w:rPr/>
          </w:pPr>
          <w:r>
            <w:rPr/>
            <w:t>II. Część informacyjna</w:t>
          </w:r>
        </w:p>
        <w:p>
          <w:pPr>
            <w:pStyle w:val="Spistreci1"/>
            <w:rPr>
              <w:sz w:val="22"/>
              <w:szCs w:val="22"/>
              <w:lang w:eastAsia="pl-PL"/>
            </w:rPr>
          </w:pPr>
          <w:hyperlink w:anchor="_Toc10627808">
            <w:r>
              <w:rPr>
                <w:webHidden/>
                <w:rStyle w:val="Czeinternetowe"/>
                <w:vanish w:val="false"/>
              </w:rPr>
              <w:t>1.</w:t>
            </w:r>
            <w:r>
              <w:rPr>
                <w:rStyle w:val="Czeindeksu"/>
                <w:sz w:val="22"/>
                <w:szCs w:val="22"/>
                <w:lang w:eastAsia="pl-PL"/>
              </w:rPr>
              <w:tab/>
            </w:r>
            <w:r>
              <w:rPr>
                <w:rStyle w:val="Czeinternetowe"/>
              </w:rPr>
              <w:t>dokumenty potwierdzające zgodność zamierzenia budowlanego z wymaganiami wynikającymi z odrębnych przepisów</w:t>
            </w:r>
            <w:r>
              <w:rPr>
                <w:webHidden/>
              </w:rPr>
              <w:fldChar w:fldCharType="begin"/>
            </w:r>
            <w:r>
              <w:rPr>
                <w:webHidden/>
              </w:rPr>
              <w:instrText>PAGEREF _Toc10627808 \h</w:instrText>
            </w:r>
            <w:r>
              <w:rPr>
                <w:webHidden/>
              </w:rPr>
              <w:fldChar w:fldCharType="separate"/>
            </w:r>
            <w:r>
              <w:rPr>
                <w:rStyle w:val="Czeindeksu"/>
                <w:vanish w:val="false"/>
              </w:rPr>
              <w:tab/>
              <w:t>86</w:t>
            </w:r>
            <w:r>
              <w:rPr>
                <w:webHidden/>
              </w:rPr>
              <w:fldChar w:fldCharType="end"/>
            </w:r>
          </w:hyperlink>
        </w:p>
        <w:p>
          <w:pPr>
            <w:pStyle w:val="Spistreci1"/>
            <w:rPr>
              <w:sz w:val="22"/>
              <w:szCs w:val="22"/>
              <w:lang w:eastAsia="pl-PL"/>
            </w:rPr>
          </w:pPr>
          <w:hyperlink w:anchor="_Toc10627809">
            <w:r>
              <w:rPr>
                <w:webHidden/>
                <w:rStyle w:val="Czeinternetowe"/>
                <w:vanish w:val="false"/>
              </w:rPr>
              <w:t>2.</w:t>
            </w:r>
            <w:r>
              <w:rPr>
                <w:rStyle w:val="Czeindeksu"/>
                <w:sz w:val="22"/>
                <w:szCs w:val="22"/>
                <w:lang w:eastAsia="pl-PL"/>
              </w:rPr>
              <w:tab/>
            </w:r>
            <w:r>
              <w:rPr>
                <w:rStyle w:val="Czeinternetowe"/>
              </w:rPr>
              <w:t>oświadczenie zamawiającego stwierdzające jego prawo do dysponowania nieruchomością na cele budowlane</w:t>
            </w:r>
            <w:r>
              <w:rPr>
                <w:webHidden/>
              </w:rPr>
              <w:fldChar w:fldCharType="begin"/>
            </w:r>
            <w:r>
              <w:rPr>
                <w:webHidden/>
              </w:rPr>
              <w:instrText>PAGEREF _Toc10627809 \h</w:instrText>
            </w:r>
            <w:r>
              <w:rPr>
                <w:webHidden/>
              </w:rPr>
              <w:fldChar w:fldCharType="separate"/>
            </w:r>
            <w:r>
              <w:rPr>
                <w:rStyle w:val="Czeindeksu"/>
                <w:vanish w:val="false"/>
              </w:rPr>
              <w:tab/>
              <w:t>86</w:t>
            </w:r>
            <w:r>
              <w:rPr>
                <w:webHidden/>
              </w:rPr>
              <w:fldChar w:fldCharType="end"/>
            </w:r>
          </w:hyperlink>
        </w:p>
        <w:p>
          <w:pPr>
            <w:pStyle w:val="Spistreci1"/>
            <w:rPr>
              <w:sz w:val="22"/>
              <w:szCs w:val="22"/>
              <w:lang w:eastAsia="pl-PL"/>
            </w:rPr>
          </w:pPr>
          <w:hyperlink w:anchor="_Toc10627810">
            <w:r>
              <w:rPr>
                <w:webHidden/>
                <w:rStyle w:val="Czeinternetowe"/>
                <w:vanish w:val="false"/>
              </w:rPr>
              <w:t>3.</w:t>
            </w:r>
            <w:r>
              <w:rPr>
                <w:rStyle w:val="Czeindeksu"/>
                <w:sz w:val="22"/>
                <w:szCs w:val="22"/>
                <w:lang w:eastAsia="pl-PL"/>
              </w:rPr>
              <w:tab/>
            </w:r>
            <w:r>
              <w:rPr>
                <w:rStyle w:val="Czeinternetowe"/>
              </w:rPr>
              <w:t>przepisy prawne i normy związane z projektowaniem i wykonaniem zamierzenia budowlanego</w:t>
            </w:r>
            <w:r>
              <w:rPr>
                <w:webHidden/>
              </w:rPr>
              <w:fldChar w:fldCharType="begin"/>
            </w:r>
            <w:r>
              <w:rPr>
                <w:webHidden/>
              </w:rPr>
              <w:instrText>PAGEREF _Toc10627810 \h</w:instrText>
            </w:r>
            <w:r>
              <w:rPr>
                <w:webHidden/>
              </w:rPr>
              <w:fldChar w:fldCharType="separate"/>
            </w:r>
            <w:r>
              <w:rPr>
                <w:rStyle w:val="Czeindeksu"/>
                <w:vanish w:val="false"/>
              </w:rPr>
              <w:tab/>
              <w:t>86</w:t>
            </w:r>
            <w:r>
              <w:rPr>
                <w:webHidden/>
              </w:rPr>
              <w:fldChar w:fldCharType="end"/>
            </w:r>
          </w:hyperlink>
        </w:p>
        <w:p>
          <w:pPr>
            <w:pStyle w:val="Spistreci1"/>
            <w:rPr>
              <w:sz w:val="22"/>
              <w:szCs w:val="22"/>
              <w:lang w:eastAsia="pl-PL"/>
            </w:rPr>
          </w:pPr>
          <w:hyperlink w:anchor="_Toc10627811">
            <w:r>
              <w:rPr>
                <w:webHidden/>
                <w:rStyle w:val="Czeinternetowe"/>
                <w:vanish w:val="false"/>
              </w:rPr>
              <w:t>4.</w:t>
            </w:r>
            <w:r>
              <w:rPr>
                <w:rStyle w:val="Czeindeksu"/>
                <w:sz w:val="22"/>
                <w:szCs w:val="22"/>
                <w:lang w:eastAsia="pl-PL"/>
              </w:rPr>
              <w:tab/>
            </w:r>
            <w:r>
              <w:rPr>
                <w:rStyle w:val="Czeinternetowe"/>
              </w:rPr>
              <w:t>inne posiadane informacje i dokumenty niezbędne do zaprojektowania robót budowlanych, w szczególności</w:t>
            </w:r>
            <w:r>
              <w:rPr>
                <w:webHidden/>
              </w:rPr>
              <w:fldChar w:fldCharType="begin"/>
            </w:r>
            <w:r>
              <w:rPr>
                <w:webHidden/>
              </w:rPr>
              <w:instrText>PAGEREF _Toc10627811 \h</w:instrText>
            </w:r>
            <w:r>
              <w:rPr>
                <w:webHidden/>
              </w:rPr>
              <w:fldChar w:fldCharType="separate"/>
            </w:r>
            <w:r>
              <w:rPr>
                <w:rStyle w:val="Czeindeksu"/>
                <w:vanish w:val="false"/>
              </w:rPr>
              <w:tab/>
              <w:t>93</w:t>
            </w:r>
            <w:r>
              <w:rPr>
                <w:webHidden/>
              </w:rPr>
              <w:fldChar w:fldCharType="end"/>
            </w:r>
          </w:hyperlink>
        </w:p>
        <w:p>
          <w:pPr>
            <w:pStyle w:val="Normal"/>
            <w:rPr/>
          </w:pPr>
          <w:r>
            <w:rPr/>
          </w:r>
          <w:r>
            <w:fldChar w:fldCharType="end"/>
          </w:r>
        </w:p>
      </w:sdtContent>
    </w:sdt>
    <w:p>
      <w:pPr>
        <w:pStyle w:val="Normal"/>
        <w:rPr/>
      </w:pPr>
      <w:bookmarkStart w:id="1" w:name="_GoBack"/>
      <w:bookmarkStart w:id="2" w:name="_GoBack"/>
      <w:bookmarkEnd w:id="2"/>
      <w:r>
        <w:rPr/>
      </w:r>
    </w:p>
    <w:p>
      <w:pPr>
        <w:sectPr>
          <w:headerReference w:type="even" r:id="rId3"/>
          <w:headerReference w:type="default" r:id="rId4"/>
          <w:footerReference w:type="even" r:id="rId5"/>
          <w:footerReference w:type="default" r:id="rId6"/>
          <w:type w:val="nextPage"/>
          <w:pgSz w:w="11906" w:h="16838"/>
          <w:pgMar w:left="1417" w:right="1417" w:header="708" w:top="1417" w:footer="708" w:bottom="1417" w:gutter="0"/>
          <w:pgNumType w:fmt="decimal"/>
          <w:formProt w:val="false"/>
          <w:titlePg/>
          <w:textDirection w:val="lrTb"/>
          <w:docGrid w:type="default" w:linePitch="360" w:charSpace="2047"/>
        </w:sectPr>
        <w:pStyle w:val="Normal"/>
        <w:rPr/>
      </w:pPr>
      <w:r>
        <w:rPr/>
      </w:r>
    </w:p>
    <w:p>
      <w:pPr>
        <w:pStyle w:val="Normal"/>
        <w:rPr/>
      </w:pPr>
      <w:r>
        <w:rPr/>
      </w:r>
    </w:p>
    <w:p>
      <w:pPr>
        <w:pStyle w:val="Tytu"/>
        <w:numPr>
          <w:ilvl w:val="2"/>
          <w:numId w:val="9"/>
        </w:numPr>
        <w:ind w:left="993" w:hanging="1080"/>
        <w:rPr/>
      </w:pPr>
      <w:r>
        <w:rPr/>
        <w:t>część OPISOWA</w:t>
      </w:r>
    </w:p>
    <w:p>
      <w:pPr>
        <w:pStyle w:val="Nagwek1"/>
        <w:numPr>
          <w:ilvl w:val="0"/>
          <w:numId w:val="4"/>
        </w:numPr>
        <w:shd w:val="clear" w:fill="F04E23"/>
        <w:rPr/>
      </w:pPr>
      <w:bookmarkStart w:id="3" w:name="_Toc501550538"/>
      <w:bookmarkStart w:id="4" w:name="_Toc501574743"/>
      <w:bookmarkStart w:id="5" w:name="_Toc501620193"/>
      <w:bookmarkStart w:id="6" w:name="_Toc501625314"/>
      <w:bookmarkStart w:id="7" w:name="_Toc10627700"/>
      <w:bookmarkEnd w:id="3"/>
      <w:bookmarkEnd w:id="4"/>
      <w:bookmarkEnd w:id="5"/>
      <w:bookmarkEnd w:id="6"/>
      <w:bookmarkEnd w:id="7"/>
      <w:r>
        <w:rPr/>
        <w:t>Informacje podstawowe</w:t>
      </w:r>
    </w:p>
    <w:p>
      <w:pPr>
        <w:pStyle w:val="Nagwek2"/>
        <w:numPr>
          <w:ilvl w:val="1"/>
          <w:numId w:val="3"/>
        </w:numPr>
        <w:shd w:val="clear" w:fill="FCDBD3"/>
        <w:rPr/>
      </w:pPr>
      <w:bookmarkStart w:id="8" w:name="_Ref3727422"/>
      <w:bookmarkStart w:id="9" w:name="_Toc10627701"/>
      <w:bookmarkEnd w:id="8"/>
      <w:bookmarkEnd w:id="9"/>
      <w:r>
        <w:rPr/>
        <w:t>Podstawa opracowania</w:t>
      </w:r>
    </w:p>
    <w:p>
      <w:pPr>
        <w:pStyle w:val="ListParagraph"/>
        <w:numPr>
          <w:ilvl w:val="0"/>
          <w:numId w:val="9"/>
        </w:numPr>
        <w:rPr/>
      </w:pPr>
      <w:r>
        <w:rPr/>
        <w:t>Umowa z Zamawiającym nr PIiD.2710.35.2018 z dn. 29.11.2018r.</w:t>
      </w:r>
    </w:p>
    <w:p>
      <w:pPr>
        <w:pStyle w:val="ListParagraph"/>
        <w:numPr>
          <w:ilvl w:val="0"/>
          <w:numId w:val="9"/>
        </w:numPr>
        <w:rPr/>
      </w:pPr>
      <w:r>
        <w:rPr/>
        <w:t>Dokumentacja obiektu:</w:t>
      </w:r>
    </w:p>
    <w:p>
      <w:pPr>
        <w:pStyle w:val="ListParagraph"/>
        <w:numPr>
          <w:ilvl w:val="1"/>
          <w:numId w:val="9"/>
        </w:numPr>
        <w:ind w:left="1276" w:hanging="196"/>
        <w:jc w:val="left"/>
        <w:rPr/>
      </w:pPr>
      <w:bookmarkStart w:id="10" w:name="_Ref3727279"/>
      <w:r>
        <w:rPr/>
        <w:t>Wyciąg z książki obiektu budowlanego nr 6/94 wydana dn. 12.01.1994r. dla obiektu budowlanego szkoła Podstawowa w Mielęcinie,</w:t>
      </w:r>
      <w:bookmarkEnd w:id="10"/>
      <w:r>
        <w:rPr/>
        <w:t xml:space="preserve"> udostępniony przez Zamawiającego</w:t>
      </w:r>
    </w:p>
    <w:p>
      <w:pPr>
        <w:pStyle w:val="ListParagraph"/>
        <w:numPr>
          <w:ilvl w:val="1"/>
          <w:numId w:val="9"/>
        </w:numPr>
        <w:ind w:left="1276" w:hanging="196"/>
        <w:jc w:val="left"/>
        <w:rPr/>
      </w:pPr>
      <w:bookmarkStart w:id="11" w:name="_Ref3727272"/>
      <w:r>
        <w:rPr/>
        <w:t>Inwentaryzacja inż. M Rąbek z 08.1952 – rysunki i elewacje detali,</w:t>
      </w:r>
      <w:bookmarkEnd w:id="11"/>
      <w:r>
        <w:rPr/>
        <w:t xml:space="preserve"> udostępnione przez zamawiającego</w:t>
      </w:r>
    </w:p>
    <w:p>
      <w:pPr>
        <w:pStyle w:val="ListParagraph"/>
        <w:numPr>
          <w:ilvl w:val="1"/>
          <w:numId w:val="9"/>
        </w:numPr>
        <w:ind w:left="1276" w:hanging="196"/>
        <w:jc w:val="left"/>
        <w:rPr/>
      </w:pPr>
      <w:bookmarkStart w:id="12" w:name="_Ref3715545"/>
      <w:bookmarkEnd w:id="12"/>
      <w:r>
        <w:rPr/>
        <w:t>Pismo Wojewódzkiego Urzędu  Ochrony Zabytków w Szczecinie ZN.5183.19.2016.AM z dn. 04.03.2016r. w sprawie zaleceń konserwatorskich do remontu dworu w miejscowości Mielęcin,</w:t>
      </w:r>
    </w:p>
    <w:p>
      <w:pPr>
        <w:pStyle w:val="ListParagraph"/>
        <w:numPr>
          <w:ilvl w:val="1"/>
          <w:numId w:val="9"/>
        </w:numPr>
        <w:ind w:left="1276" w:hanging="196"/>
        <w:jc w:val="left"/>
        <w:rPr/>
      </w:pPr>
      <w:bookmarkStart w:id="13" w:name="_Ref3715005"/>
      <w:bookmarkEnd w:id="13"/>
      <w:r>
        <w:rPr/>
        <w:t>Audyt energetyczny budynku Szkoły Podstawowej im. Władysława Broniewskiego w Mielęcinie autorstwa dr inż. n. techn., mgr inż. arch. Karoliny Kurtz-Oreckiej - Szczecin, 10/11.2016r,</w:t>
      </w:r>
    </w:p>
    <w:p>
      <w:pPr>
        <w:pStyle w:val="ListParagraph"/>
        <w:numPr>
          <w:ilvl w:val="1"/>
          <w:numId w:val="9"/>
        </w:numPr>
        <w:ind w:left="1276" w:hanging="196"/>
        <w:jc w:val="left"/>
        <w:rPr/>
      </w:pPr>
      <w:bookmarkStart w:id="14" w:name="_Ref3716057"/>
      <w:bookmarkEnd w:id="14"/>
      <w:r>
        <w:rPr/>
        <w:t>Ekspertyza ornitologiczna i chiropterologiczna na potrzeby termomodernizacji budynku Szkoły Podstawowej w Mielęcinie (gmina Pyrzyce) autorstwa dr n. biol. Dawida Zyskowskiego – Szczecin 10.2016r.</w:t>
      </w:r>
    </w:p>
    <w:p>
      <w:pPr>
        <w:pStyle w:val="Nagwek2"/>
        <w:numPr>
          <w:ilvl w:val="1"/>
          <w:numId w:val="3"/>
        </w:numPr>
        <w:shd w:val="clear" w:fill="FCDBD3"/>
        <w:rPr/>
      </w:pPr>
      <w:bookmarkStart w:id="15" w:name="_Toc10627702"/>
      <w:bookmarkStart w:id="16" w:name="_Toc501550539"/>
      <w:bookmarkStart w:id="17" w:name="_Toc501574744"/>
      <w:bookmarkStart w:id="18" w:name="_Toc501620194"/>
      <w:bookmarkStart w:id="19" w:name="_Toc501625315"/>
      <w:bookmarkEnd w:id="15"/>
      <w:bookmarkEnd w:id="16"/>
      <w:bookmarkEnd w:id="17"/>
      <w:bookmarkEnd w:id="18"/>
      <w:bookmarkEnd w:id="19"/>
      <w:r>
        <w:rPr/>
        <w:t>Data opracowania</w:t>
      </w:r>
    </w:p>
    <w:p>
      <w:pPr>
        <w:pStyle w:val="Normal"/>
        <w:rPr/>
      </w:pPr>
      <w:r>
        <w:rPr/>
        <w:t>Przedmiotowy program funkcjonalno-użytkowy został opracowany w grudniu 2018 roku.</w:t>
      </w:r>
    </w:p>
    <w:p>
      <w:pPr>
        <w:pStyle w:val="Nagwek2"/>
        <w:numPr>
          <w:ilvl w:val="1"/>
          <w:numId w:val="3"/>
        </w:numPr>
        <w:shd w:val="clear" w:fill="FCDBD3"/>
        <w:rPr/>
      </w:pPr>
      <w:bookmarkStart w:id="20" w:name="_Toc10627703"/>
      <w:bookmarkEnd w:id="20"/>
      <w:r>
        <w:rPr/>
        <w:t>Nazwa przedsięwzięcia</w:t>
      </w:r>
    </w:p>
    <w:p>
      <w:pPr>
        <w:pStyle w:val="Normal"/>
        <w:rPr/>
      </w:pPr>
      <w:r>
        <w:rPr>
          <w:sz w:val="16"/>
        </w:rPr>
        <w:t>Termomodernizacja budynku Szkoły Podstawowej im. Władysława Broniewskiego w Mielęcinie.</w:t>
      </w:r>
    </w:p>
    <w:p>
      <w:pPr>
        <w:pStyle w:val="Nagwek2"/>
        <w:numPr>
          <w:ilvl w:val="1"/>
          <w:numId w:val="3"/>
        </w:numPr>
        <w:shd w:val="clear" w:fill="FCDBD3"/>
        <w:rPr/>
      </w:pPr>
      <w:bookmarkStart w:id="21" w:name="_Ref9273628"/>
      <w:bookmarkStart w:id="22" w:name="_Ref9273632"/>
      <w:bookmarkStart w:id="23" w:name="_Toc10627704"/>
      <w:bookmarkStart w:id="24" w:name="_Toc501550540"/>
      <w:bookmarkStart w:id="25" w:name="_Toc501574745"/>
      <w:bookmarkStart w:id="26" w:name="_Toc501620195"/>
      <w:bookmarkStart w:id="27" w:name="_Toc501625316"/>
      <w:bookmarkEnd w:id="21"/>
      <w:bookmarkEnd w:id="22"/>
      <w:bookmarkEnd w:id="23"/>
      <w:bookmarkEnd w:id="24"/>
      <w:bookmarkEnd w:id="25"/>
      <w:bookmarkEnd w:id="26"/>
      <w:bookmarkEnd w:id="27"/>
      <w:r>
        <w:rPr/>
        <w:t>Określenie inwestora</w:t>
      </w:r>
    </w:p>
    <w:p>
      <w:pPr>
        <w:pStyle w:val="Normal"/>
        <w:rPr/>
      </w:pPr>
      <w:r>
        <w:rPr/>
        <w:t>Inwestorem przedmiotowego zadania inwestycyjnego jest:</w:t>
      </w:r>
    </w:p>
    <w:p>
      <w:pPr>
        <w:pStyle w:val="Normal"/>
        <w:spacing w:before="0" w:after="0"/>
        <w:jc w:val="center"/>
        <w:rPr/>
      </w:pPr>
      <w:r>
        <w:rPr/>
        <w:t>Gmina Pyrzyce</w:t>
      </w:r>
    </w:p>
    <w:p>
      <w:pPr>
        <w:pStyle w:val="Normal"/>
        <w:spacing w:before="0" w:after="0"/>
        <w:jc w:val="center"/>
        <w:rPr/>
      </w:pPr>
      <w:r>
        <w:rPr/>
        <w:t>Plac Ratuszowy 1,</w:t>
      </w:r>
    </w:p>
    <w:p>
      <w:pPr>
        <w:pStyle w:val="Normal"/>
        <w:spacing w:before="0" w:after="200"/>
        <w:jc w:val="center"/>
        <w:rPr/>
      </w:pPr>
      <w:r>
        <w:rPr/>
        <w:t xml:space="preserve">74-200 Pyrzyce </w:t>
      </w:r>
    </w:p>
    <w:p>
      <w:pPr>
        <w:pStyle w:val="Normal"/>
        <w:spacing w:before="0" w:after="200"/>
        <w:rPr/>
      </w:pPr>
      <w:r>
        <w:rPr/>
        <w:t xml:space="preserve">Inwestor jest tożsamy z Zamawiającym w rozumieniu </w:t>
      </w:r>
      <w:r>
        <w:rPr/>
        <w:fldChar w:fldCharType="begin"/>
      </w:r>
      <w:r>
        <w:instrText> REF _Ref7007457 \h </w:instrText>
      </w:r>
      <w:r>
        <w:fldChar w:fldCharType="separate"/>
      </w:r>
      <w:r/>
      <w:r>
        <w:fldChar w:fldCharType="end"/>
      </w:r>
      <w:r>
        <w:rPr/>
        <w:fldChar w:fldCharType="begin"/>
      </w:r>
      <w:r>
        <w:instrText> REF _Ref7007457 \r \h </w:instrText>
      </w:r>
      <w:r>
        <w:fldChar w:fldCharType="separate"/>
      </w:r>
      <w:r>
        <w:t xml:space="preserve">[3] - </w:t>
      </w:r>
      <w:r>
        <w:fldChar w:fldCharType="end"/>
      </w:r>
    </w:p>
    <w:p>
      <w:pPr>
        <w:pStyle w:val="Nagwek2"/>
        <w:numPr>
          <w:ilvl w:val="1"/>
          <w:numId w:val="3"/>
        </w:numPr>
        <w:shd w:val="clear" w:fill="FCDBD3"/>
        <w:rPr/>
      </w:pPr>
      <w:bookmarkStart w:id="28" w:name="_Toc10627705"/>
      <w:bookmarkEnd w:id="28"/>
      <w:r>
        <w:rPr/>
        <w:t>Adres obiektu</w:t>
      </w:r>
    </w:p>
    <w:p>
      <w:pPr>
        <w:pStyle w:val="Normal"/>
        <w:rPr/>
      </w:pPr>
      <w:r>
        <w:rPr/>
        <w:t xml:space="preserve">Obiekt znajduje się przy ul. Głównej 72, 70-230 Mielęcin, gmina Pyrzyce (cz. Wiejska), powiat Pyrzyce na działce ewidencyjnej nr 47 obręb 0018 Pyrzyce. </w:t>
      </w:r>
    </w:p>
    <w:p>
      <w:pPr>
        <w:pStyle w:val="Nagwek2"/>
        <w:numPr>
          <w:ilvl w:val="1"/>
          <w:numId w:val="3"/>
        </w:numPr>
        <w:shd w:val="clear" w:fill="FCDBD3"/>
        <w:rPr/>
      </w:pPr>
      <w:bookmarkStart w:id="29" w:name="_Toc10627706"/>
      <w:bookmarkEnd w:id="29"/>
      <w:r>
        <w:rPr/>
        <w:t>Zakres opracowania</w:t>
      </w:r>
    </w:p>
    <w:p>
      <w:pPr>
        <w:pStyle w:val="Normal"/>
        <w:rPr/>
      </w:pPr>
      <w:r>
        <w:rPr/>
        <w:t>Zakres przedmiotowego opracowania obejmuje opracowanie Programu Funkcjonalno-Użytkowego zgodnie z Rozporządzeniem Ministra Infrastruktury z dn. 02.09.2004r. w sprawie szczegółowego zakresu i formy dokumentacji projektowej, specyfikacji technicznych wykonania i odbioru robót budowlanych oraz programu funkcjonalno-użytkowego (t.j. Dz.U.2013.1129 z dn. 24.09.2013r.).</w:t>
      </w:r>
    </w:p>
    <w:p>
      <w:pPr>
        <w:pStyle w:val="Nagwek2"/>
        <w:numPr>
          <w:ilvl w:val="1"/>
          <w:numId w:val="3"/>
        </w:numPr>
        <w:shd w:val="clear" w:fill="FCDBD3"/>
        <w:rPr/>
      </w:pPr>
      <w:bookmarkStart w:id="30" w:name="_Toc10627707"/>
      <w:bookmarkStart w:id="31" w:name="_Toc501550541"/>
      <w:bookmarkStart w:id="32" w:name="_Toc501574746"/>
      <w:bookmarkStart w:id="33" w:name="_Toc501620196"/>
      <w:bookmarkStart w:id="34" w:name="_Toc501625317"/>
      <w:bookmarkEnd w:id="30"/>
      <w:bookmarkEnd w:id="31"/>
      <w:bookmarkEnd w:id="32"/>
      <w:bookmarkEnd w:id="33"/>
      <w:bookmarkEnd w:id="34"/>
      <w:r>
        <w:rPr/>
        <w:t>Podstawowe pojęcia użyte w programie funkcjonalno-użytkowym</w:t>
      </w:r>
    </w:p>
    <w:tbl>
      <w:tblPr>
        <w:tblW w:w="8280" w:type="dxa"/>
        <w:jc w:val="left"/>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65" w:type="dxa"/>
          <w:bottom w:w="0" w:type="dxa"/>
          <w:right w:w="70" w:type="dxa"/>
        </w:tblCellMar>
        <w:tblLook w:firstRow="0" w:noVBand="0" w:lastRow="0" w:firstColumn="0" w:lastColumn="0" w:noHBand="0" w:val="0000"/>
      </w:tblPr>
      <w:tblGrid>
        <w:gridCol w:w="2415"/>
        <w:gridCol w:w="5864"/>
      </w:tblGrid>
      <w:tr>
        <w:trPr>
          <w:trHeight w:val="1030"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sz w:val="16"/>
                <w:szCs w:val="16"/>
              </w:rPr>
            </w:pPr>
            <w:r>
              <w:rPr>
                <w:rFonts w:cs="Arial"/>
                <w:b/>
                <w:sz w:val="16"/>
                <w:szCs w:val="16"/>
              </w:rPr>
              <w:t>Aprobata techniczna</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widowControl/>
              <w:bidi w:val="0"/>
              <w:spacing w:lineRule="auto" w:line="276" w:before="100" w:after="200"/>
              <w:jc w:val="both"/>
              <w:rPr>
                <w:rFonts w:cs="Arial"/>
                <w:sz w:val="16"/>
                <w:szCs w:val="16"/>
              </w:rPr>
            </w:pPr>
            <w:r>
              <w:rPr>
                <w:rFonts w:cs="Arial"/>
                <w:sz w:val="16"/>
                <w:szCs w:val="16"/>
              </w:rPr>
              <w:t>należy przez to rozumieć dokument potwierdzający pozytywna ocenę techniczną wyrobu stwierdzającą jego przydatność do stosowania w określonych warunkach, wydany przez jednostkę upoważniona (akredytowaną) do udzielania aprobat technicznych; spis jednostek aprobujących zestawiony jest w Rozporządzeniu MGPiB z dnia 19 grudnia 1994r.dotyczy aprobat na wyroby krajowe; listę jednostek uprawnionych do wydawania Europejskich aprobat technicznych określa Dyrektywa Rady z roku 1989 ( KE, DG Enterprise, Bruksela)</w:t>
            </w:r>
          </w:p>
        </w:tc>
      </w:tr>
      <w:tr>
        <w:trPr>
          <w:trHeight w:val="882"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Obiekt budowlany</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ind w:left="137" w:hanging="137"/>
              <w:rPr>
                <w:rFonts w:cs="Arial"/>
                <w:sz w:val="16"/>
                <w:szCs w:val="16"/>
              </w:rPr>
            </w:pPr>
            <w:r>
              <w:rPr>
                <w:rFonts w:cs="Arial"/>
                <w:sz w:val="16"/>
                <w:szCs w:val="16"/>
              </w:rPr>
              <w:t>a) budynek wraz z instalacjami i urządzeniami technicznymi,</w:t>
            </w:r>
          </w:p>
          <w:p>
            <w:pPr>
              <w:pStyle w:val="Normal"/>
              <w:spacing w:before="0" w:after="0"/>
              <w:ind w:left="137" w:hanging="137"/>
              <w:rPr>
                <w:rFonts w:cs="Arial"/>
                <w:sz w:val="16"/>
                <w:szCs w:val="16"/>
              </w:rPr>
            </w:pPr>
            <w:r>
              <w:rPr>
                <w:rFonts w:cs="Arial"/>
                <w:sz w:val="16"/>
                <w:szCs w:val="16"/>
              </w:rPr>
              <w:t>b) budowlę stanowiącą całość techniczno-użytkową wraz z instalacjami i urządzeniami,</w:t>
            </w:r>
          </w:p>
          <w:p>
            <w:pPr>
              <w:pStyle w:val="Normal"/>
              <w:spacing w:before="0" w:after="0"/>
              <w:ind w:left="137" w:hanging="137"/>
              <w:rPr>
                <w:rFonts w:cs="Arial"/>
                <w:sz w:val="16"/>
                <w:szCs w:val="16"/>
              </w:rPr>
            </w:pPr>
            <w:r>
              <w:rPr>
                <w:rFonts w:cs="Arial"/>
                <w:sz w:val="16"/>
                <w:szCs w:val="16"/>
              </w:rPr>
              <w:t>c) obiekt małej architektury;</w:t>
            </w:r>
          </w:p>
        </w:tc>
      </w:tr>
      <w:tr>
        <w:trPr>
          <w:trHeight w:val="754"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Budynek</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ind w:left="137" w:hanging="137"/>
              <w:rPr>
                <w:rFonts w:cs="Arial"/>
                <w:sz w:val="16"/>
                <w:szCs w:val="16"/>
              </w:rPr>
            </w:pPr>
            <w:r>
              <w:rPr>
                <w:rFonts w:cs="Arial"/>
                <w:sz w:val="16"/>
                <w:szCs w:val="16"/>
              </w:rPr>
              <w:t>należy przez to rozumieć taki obiekt budowlany, który jest trwale związany z gruntem, wydzielony z przestrzeni za pomocą przegród budowlanych oraz posiada fundamenty i dach;</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Budowa</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wykonywanie obiektu budowlanego w określonym miejscu, a także odbudowę, rozbudowę, nadbudowę obiektu budowlanego;</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Centralne ogrzewanie</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Centralne ogrzewanie – ogrzewanie, w którym ciepło potrzebne do ogrzewania budynku i pomieszczeń w tym budynku otrzymywane jest z jednego źródła ciepła i jest doprowadzane do ogrzewanych pomieszczeń za pomocą czynnika grzewczego.</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Certyfikat zgodności</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dokument wydany zgodnie z zasadami systemu certyfikacji wskazujący, że zapewniono odpowiedni stopień zaufania, iż należycie zidentyfikowano wyrób, a proces lub usługa są zgodne z określoną normą lub innymi dokumentami normatywnymi w odniesieniu do wyrobów dopuszczonych do obrotu i stosowania. Zgodnie z ustawą z dnia 7 lipca 1994r. Prawo Budowlane art.10 – w budownictwie certyfikat zgodności wykazuje, ze zapewniono zgodność wyrobu z PN lub aprobata techniczną ( w przypadku wyrobów , dla których nie ustalono PN)</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Czynnik grzewczy / chłodniczy</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płyn (np. woda) przenoszący ciepło w celu ogrzewania / chłodzenia.</w:t>
            </w:r>
          </w:p>
          <w:p>
            <w:pPr>
              <w:pStyle w:val="Normal"/>
              <w:spacing w:before="0" w:after="0"/>
              <w:rPr>
                <w:rFonts w:cs="Arial"/>
                <w:sz w:val="16"/>
                <w:szCs w:val="16"/>
              </w:rPr>
            </w:pPr>
            <w:r>
              <w:rPr>
                <w:rFonts w:cs="Arial"/>
                <w:sz w:val="16"/>
                <w:szCs w:val="16"/>
              </w:rPr>
              <w:t>Pod pojęciem „woda" jako czynnik grzewczy rozumiany jest również roztwór substancją zapobiegających korozji lub obniżających temperaturę zamarzania wody</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Dokumentacji budowy</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pozwolenie na budowę wraz z załączonym projektem budowlanym, dziennik budowy, protokoły odbiorów częściowych i końcowych, w miarę potrzeby, rysunki i opisy służące realizacji obiektu, operaty geodezyjne i książkę obmiarów, a w przypadku realizacji obiektów metodą montażu – także dziennik montażu</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Dokumentacji powykonawczej</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dokumentację budowy z naniesionymi zmianami dokonanymi w toku wykonywania robót oraz geodezyjnymi pomiarami powykonawczymi</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Dziennik budowy</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dziennik wydany przez właściwy organ zgodnie z obowiązującymi przepisami, stanowiący urzędowy dokument przebiegu robót budowlanych oraz zdarzeń i okoliczności zachodzących w czasie wykonywania robót</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Grupy, klasy, kategorie robót</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grupy, klasy, kategorie określone w rozporządzeniu nr 2195/2002 z dnia 5 listopada 2002 r. w sprawie Wspólnego Słownika Zamówień (Dz. Urz. L 340 z 16.12.2002 r., z poźn. zm.)</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Instalacja (centralnego) ogrzewania - zespól urządzeń, elementów i przewodów służących, do:</w:t>
            </w:r>
          </w:p>
          <w:p>
            <w:pPr>
              <w:pStyle w:val="Normal"/>
              <w:spacing w:before="0" w:after="0"/>
              <w:rPr>
                <w:rFonts w:cs="Arial"/>
                <w:sz w:val="16"/>
                <w:szCs w:val="16"/>
              </w:rPr>
            </w:pPr>
            <w:r>
              <w:rPr>
                <w:rFonts w:cs="Arial"/>
                <w:sz w:val="16"/>
                <w:szCs w:val="16"/>
              </w:rPr>
              <w:t>- wytwarzania czynnika grzewczego o wymaganej temperaturze i ciśnieniu lub przetwarzania tych parametrów (źródło ciepła)</w:t>
            </w:r>
          </w:p>
          <w:p>
            <w:pPr>
              <w:pStyle w:val="Normal"/>
              <w:spacing w:before="0" w:after="0"/>
              <w:rPr>
                <w:rFonts w:cs="Arial"/>
                <w:sz w:val="16"/>
                <w:szCs w:val="16"/>
              </w:rPr>
            </w:pPr>
            <w:r>
              <w:rPr>
                <w:rFonts w:cs="Arial"/>
                <w:sz w:val="16"/>
                <w:szCs w:val="16"/>
              </w:rPr>
              <w:t>- doprowadzenia czynnika grzewczego do ogrzewanego obiektu (część zewnętrzna instalacji)</w:t>
            </w:r>
          </w:p>
          <w:p>
            <w:pPr>
              <w:pStyle w:val="Normal"/>
              <w:spacing w:before="0" w:after="0"/>
              <w:rPr>
                <w:rFonts w:cs="Arial"/>
                <w:sz w:val="16"/>
                <w:szCs w:val="16"/>
              </w:rPr>
            </w:pPr>
            <w:r>
              <w:rPr>
                <w:rFonts w:cs="Arial"/>
                <w:sz w:val="16"/>
                <w:szCs w:val="16"/>
              </w:rPr>
              <w:t>- rozdziału i rozprowadzania czynnika grzewczego w ogrzewanym budynku i przekazania ciepła w pomieszczeniu (cześć wewnętrzna instalacji).</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Inspektor nadzoru (Inspektor Nadzoru Inwestorskiego), Inżynier</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osobę powołaną przez Zamawiającego o uprawnieniach określonych w przepisach ustawy Prawo Budowlane, której nazwisko lub nazwa wymienione są w umowie: osoba posiadająca odpowiednie wykształcenie techniczne i praktykę zawodową oraz uprawnienia budowlane, wykonująca samodzielne funkcje techniczne w budownictwie, której Zamawiający powierza nadzór nad budową obiektu budowlanego. reprezentuje on interesy Inwestora na budowie i wykonuje bieżącą kontrolę jakości i ilości wykonanych robót, bierze udział w sprawdzianach i odbiorach robót zakrywanych i zanikających, badaniu i odbiorze instalacji oraz urządzeń technicznych, jak również przy odbiorze gotowego obiektu</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Instrukcja technicznej obsługi (eksploatacji)</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opracowana przez projektanta lub dostawcę urządzeń technicznych i maszyn, określająca rodzaje i kolejność lub współzależność czynności obsługi, przeglądów i zabiegów konserwacyjnych, warunkujących ich efektywne i bezpieczne użytkowanie. Instrukcja techniczna obsługi (eksploatacji) jest również składnikiem dokumentacji powykonawczej obiektu budowlanego</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Kierownik Budowy</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osobę fizyczna, wyznaczoną przez Wykonawcę robót, upoważniona do kierowania robotami i do występowania w jego imieniu w sprawach realizacji kontraktu, ponosząca ustawową odpowiedzialność za prowadzoną budowę</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Kierownik Kontraktu</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pracownika Zamawiającego, wyznaczonego w umowie przez Zamawiającego do działania w jego imieniu i na jego rzecz przy realizacji umowy</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Laboratorium</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laboratorium badawcze, zaakceptowane przez Zamawiającego, niezbędne do przeprowadzenia wszelkich badań i prób związanych z oceną jakościową materiałów oraz Robót</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Materiały</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wszelkie materiały naturalne i wytwarzane jak również rożne tworzywa i wyroby niezbędne do wykonania robót, zgodnie z dokumentacją projektową i specyfikacjami technicznymi zaakceptowane przez Inspektora nadzoru, zgodnie z Dokumentacja Techniczną i Specyfikacjami Technicznymi</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Normy Europejskie</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oznaczają normy przyjęte przez Europejski Komitet Standaryzacji (CEN) oraz Europejski Komitet Standaryzacji elektrotechnicznej (CENELEC) jako „standardy europejskie (EN)” lub „dokumenty harmonizacyjne (HD)”, zgodnie z ogólnymi zasadami działania tych organizacji</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Obiekt budowlany</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w:t>
            </w:r>
          </w:p>
          <w:p>
            <w:pPr>
              <w:pStyle w:val="ListParagraph"/>
              <w:numPr>
                <w:ilvl w:val="0"/>
                <w:numId w:val="59"/>
              </w:numPr>
              <w:spacing w:before="0" w:after="0"/>
              <w:rPr>
                <w:rFonts w:cs="Arial"/>
                <w:sz w:val="16"/>
                <w:szCs w:val="16"/>
              </w:rPr>
            </w:pPr>
            <w:r>
              <w:rPr>
                <w:rFonts w:cs="Arial"/>
                <w:sz w:val="16"/>
                <w:szCs w:val="16"/>
              </w:rPr>
              <w:t>budynek wraz z instalacjami i urządzeniami technicznymi,</w:t>
            </w:r>
          </w:p>
          <w:p>
            <w:pPr>
              <w:pStyle w:val="ListParagraph"/>
              <w:numPr>
                <w:ilvl w:val="0"/>
                <w:numId w:val="59"/>
              </w:numPr>
              <w:spacing w:before="0" w:after="0"/>
              <w:rPr>
                <w:rFonts w:cs="Arial"/>
                <w:sz w:val="16"/>
                <w:szCs w:val="16"/>
              </w:rPr>
            </w:pPr>
            <w:r>
              <w:rPr>
                <w:rFonts w:cs="Arial"/>
                <w:sz w:val="16"/>
                <w:szCs w:val="16"/>
              </w:rPr>
              <w:t>budowlę stanowiącą całość techniczno-użytkową wraz z instalacjami i urządzeniami,</w:t>
            </w:r>
          </w:p>
          <w:p>
            <w:pPr>
              <w:pStyle w:val="ListParagraph"/>
              <w:numPr>
                <w:ilvl w:val="0"/>
                <w:numId w:val="59"/>
              </w:numPr>
              <w:spacing w:before="0" w:after="0"/>
              <w:rPr>
                <w:rFonts w:cs="Arial"/>
                <w:sz w:val="16"/>
                <w:szCs w:val="16"/>
              </w:rPr>
            </w:pPr>
            <w:r>
              <w:rPr>
                <w:rFonts w:cs="Arial"/>
                <w:sz w:val="16"/>
                <w:szCs w:val="16"/>
              </w:rPr>
              <w:t>obiekt małej architektury,</w:t>
            </w:r>
          </w:p>
          <w:p>
            <w:pPr>
              <w:pStyle w:val="Normal"/>
              <w:spacing w:before="0" w:after="0"/>
              <w:rPr>
                <w:rFonts w:cs="Arial"/>
                <w:sz w:val="16"/>
                <w:szCs w:val="16"/>
              </w:rPr>
            </w:pPr>
            <w:r>
              <w:rPr>
                <w:rFonts w:cs="Arial"/>
                <w:sz w:val="16"/>
                <w:szCs w:val="16"/>
              </w:rPr>
              <w:t>określone przepisami ustawy Prawo budowlane,</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Obszar oddziaływania obiektu</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teren wyznaczony w otoczeniu budowlanym na podstawie przepisów odrębnych, wprowadzających związane z tym obiektem ograniczenia w zagospodarowaniu tego terenu</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Odpowiednia zgodność</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zgodność wykonywanych Robót z dopuszczonymi tolerancjami , tolerancjami jeśli przedział tolerancji nie został określony – z przeciętnymi tolerancjami , przyjmowanymi zwyczajowo dla danego rodzaju Robót budowlanych</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Opłata</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kwotę należności wnoszoną przez zobowiązanego za określone ustawą obowiązkowe kontrole dokonywane przez właściwy organ,</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Organ samorządu zawodowego</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organy określone w ustawie z dnia 15 grudnia 2000 r. o samorządach zawodowych architektów, inżynierów budownictwa oraz urbanistów (Dz. U. z 2001 r. Nr 5, poz. 42 z poźn. zm.)</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Plac budowy, teren budowy</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przestrzeń, w której prowadzone są roboty budowlane wraz z przestrzenią zajmowana przez urządzenia zaplecza budowy przekazana Wykonawcy dla wykonania inwestycji terminie określonym w umowie</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Polecenie Inspektora Nadzoru</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wszelkie polecenia przekazane Wykonawcy przez Inspektora nadzoru w formie pisemnej dotyczące sposobu realizacji robót lub innych spraw związanych z prowadzeniem budowy</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Program funkcjonalno - użytkowy</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 xml:space="preserve">- dokument w rozumieniu Rozporządzenia Ministra Infrastruktury z dnia 2.09.2004 w sprawie szczegółowego zakresu i formy dokumentacji projektowej, specyfikacji technicznych wykonania i odbioru robót oraz programu funkcjonalno użytkowego (Dz.U. nr 202 poz. 2072 z póź. zmianami). </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Projektant, jednostka projektowania</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osobę fizyczną bądź prawną wykonującą na zlecenie Zamawiającego lub Wykonawcy dokumentację projektowa inwestycji</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Pozwolenie na budowę</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decyzję administracyjną zezwalającą na rozpoczęcie i prowadzenie budowy lub wykonywanie robót budowlanych innych niż budowa obiektu budowlanego;</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Prawo do dysponowania nieruchomością na cele budowlane</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tytuł prawny wynikający z prawa własności, użytkowania wieczystego, zarządu, ograniczonego prawa rzeczowego albo stosunku zobowiązaniowego, przewidującego uprawnienia do wykonywania robót budowlanych;</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Przebudowa</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wykonywanie robót budowlanych, w wyniku których następuje zmiana parametrów użytkowych lub technicznych istniejącego obiektu budowlanego, z wyjątkiem charakterystycznych parametrów, jak: kubatura, powierzchnia zabudowy, wysokość, długość, szerokość bądź liczba kondygnacji; w przypadku dróg są dopuszczalne zmiany charakterystycznych parametrów w zakresie niewymagającym zmiany granic pasa drogowego.</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Przedmiar robót</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wykaz Robót z podaniem ich ilości w kolejności technologicznej ich wykonania: zestawienie przewidzianych do wykonania robót podstawowych w kolejności technologicznej ich wykonania, ze szczegółowym opisem lub wskazaniem podstaw ustalających szczegółowy opis, oraz wskazanie szczegółowych specyfikacji technicznych wykonania i odbioru robót budowlanych, z wyliczeniem i zestawieniem ilości jednostek przedmiarowych robót podstawowych,</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Remont</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wykonywanie w istniejącym obiekcie budowlanym robót budowlanych polegających na odtworzeniu stanu pierwotnego, a niestanowiących bieżącej konserwacji, przy czym dopuszcza się stosowanie wyrobów budowlanych innych niż użyto w stanie pierwotnym</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Robota podstawowa</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minimalny zakres prac, które po wykonaniu są możliwe do odebrania pod względem ilości i wymogów jakościowych oraz uwzględniają przyjęty stopień scalenia robót</w:t>
            </w:r>
          </w:p>
        </w:tc>
      </w:tr>
      <w:tr>
        <w:trPr>
          <w:trHeight w:val="329"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Roboty budowlane</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rPr>
                <w:rFonts w:cs="Arial"/>
                <w:sz w:val="16"/>
                <w:szCs w:val="16"/>
              </w:rPr>
            </w:pPr>
            <w:r>
              <w:rPr>
                <w:rFonts w:cs="Arial"/>
                <w:sz w:val="16"/>
                <w:szCs w:val="16"/>
              </w:rPr>
              <w:t>należy przez to rozumieć budowę, a także prace polegające na przebudowie, montażu, remoncie lub rozbiórce obiektu budowlanego;</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Urządzenia budowlane</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textAlignment w:val="top"/>
              <w:rPr>
                <w:rFonts w:cs="Arial"/>
                <w:sz w:val="16"/>
                <w:szCs w:val="16"/>
              </w:rPr>
            </w:pPr>
            <w:r>
              <w:rPr>
                <w:rFonts w:cs="Arial"/>
                <w:sz w:val="16"/>
                <w:szCs w:val="16"/>
              </w:rPr>
              <w:t>należy przez to rozumieć urządzenia techniczne związane z obiektem budowlanym, zapewniające możliwość użytkowania obiektu zgodnie z jego przeznaczeniem, jak przyłącza i urządzenia instalacyjne, w tym służące oczyszczaniu lub gromadzeniu ścieków, a także przejazdy, ogrodzenia, place postojowe i place pod śmietniki;</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Ustalenia techniczne</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textAlignment w:val="top"/>
              <w:rPr>
                <w:rFonts w:cs="Arial"/>
                <w:sz w:val="16"/>
                <w:szCs w:val="16"/>
              </w:rPr>
            </w:pPr>
            <w:r>
              <w:rPr>
                <w:rFonts w:cs="Arial"/>
                <w:sz w:val="16"/>
                <w:szCs w:val="16"/>
              </w:rPr>
              <w:t>należy przez to rozumieć ustalenia podane w normach, aprobatach technicznych i szczegółowych specyfikacjach technicznych</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Właściwy organ</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textAlignment w:val="top"/>
              <w:rPr>
                <w:rFonts w:cs="Arial"/>
                <w:sz w:val="16"/>
                <w:szCs w:val="16"/>
              </w:rPr>
            </w:pPr>
            <w:r>
              <w:rPr>
                <w:rFonts w:cs="Arial"/>
                <w:sz w:val="16"/>
                <w:szCs w:val="16"/>
              </w:rPr>
              <w:t>należy przez to rozumieć organ nadzoru architektoniczno-budowlanego lub organ specjalistycznego nadzoru budowlanego, stosownie do ich właściwości określonych w rozdziale 8. Ustawy Prawo budowlane</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Woda instalacyjna</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textAlignment w:val="top"/>
              <w:rPr>
                <w:rFonts w:cs="Arial"/>
                <w:sz w:val="16"/>
                <w:szCs w:val="16"/>
              </w:rPr>
            </w:pPr>
            <w:r>
              <w:rPr>
                <w:rFonts w:cs="Arial"/>
                <w:sz w:val="16"/>
                <w:szCs w:val="16"/>
              </w:rPr>
              <w:t>woda wypełniająca instalację centralnego ogrzewania</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Wspólny Słownik Zamówień</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textAlignment w:val="top"/>
              <w:rPr>
                <w:rFonts w:cs="Arial"/>
                <w:sz w:val="16"/>
                <w:szCs w:val="16"/>
              </w:rPr>
            </w:pPr>
            <w:r>
              <w:rPr>
                <w:rFonts w:cs="Arial"/>
                <w:sz w:val="16"/>
                <w:szCs w:val="16"/>
              </w:rPr>
              <w:t>jest systemem klasyfikacji produktów, usług i robót budowlanych, stworzonych na potrzeby zamówień publicznych. Składa się ze słownika głównego oraz słownika uzupełniającego. Obowiązuje we wszystkich krajach Unii Europejskiej. Zgodnie z postanowieniami rozporządzenia 2151/2003 i rozporządzeń je zmieniających, stosowanie kodów CPV do określania przedmiotu zamówienia przez zamawiających z ówczesnych Państw Członkowskich UE stało się obowiązkowe z dniem 20 grudnia 2003 r. Polskie Prawo zamówień publicznych przewidziało obowiązek stosowania klasyfikacji CPV począwszy od dnia akcesji Polski do UE, tzn. od 1 maja 2004 r.</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Wyrób budowlany</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textAlignment w:val="top"/>
              <w:rPr>
                <w:rFonts w:cs="Arial"/>
                <w:sz w:val="16"/>
                <w:szCs w:val="16"/>
              </w:rPr>
            </w:pPr>
            <w:r>
              <w:rPr>
                <w:rFonts w:cs="Arial"/>
                <w:sz w:val="16"/>
                <w:szCs w:val="16"/>
              </w:rPr>
              <w:t>należy przez to rozumieć wyrób w rozumieniu przepisów o ocenie zgodności, wytworzony w celu wbudowania, wmontowania, zainstalowania lub zastosowania w sposób trwały w obiekcie budowlanym, wprowadzany do obrotu, jako wyrób pojedynczy lub jako zestaw wyrobów do stosowania we wzajemnym połączeniu stanowiącym integralną całość użytkową</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Zamawiający</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textAlignment w:val="top"/>
              <w:rPr/>
            </w:pPr>
            <w:r>
              <w:rPr>
                <w:rFonts w:cs="Arial"/>
                <w:sz w:val="16"/>
                <w:szCs w:val="16"/>
              </w:rPr>
              <w:t xml:space="preserve">należy przez to rozumieć Inwestora, udzielającego zamówienia, zgodnie z przepisami ustawy z dnia 29/01/2004r. Prawo Zamówień Publicznych, wskazy w pkt. </w:t>
            </w:r>
            <w:r>
              <w:rPr>
                <w:rFonts w:cs="Arial"/>
                <w:sz w:val="16"/>
                <w:szCs w:val="16"/>
              </w:rPr>
              <w:fldChar w:fldCharType="begin"/>
            </w:r>
            <w:r>
              <w:instrText> REF _Ref9273632 \r \h </w:instrText>
            </w:r>
            <w:r>
              <w:fldChar w:fldCharType="separate"/>
            </w:r>
            <w:r>
              <w:t>1.4</w:t>
            </w:r>
            <w:r>
              <w:fldChar w:fldCharType="end"/>
            </w:r>
            <w:r>
              <w:rPr>
                <w:rFonts w:cs="Arial"/>
                <w:sz w:val="16"/>
                <w:szCs w:val="16"/>
              </w:rPr>
              <w:t xml:space="preserve"> </w:t>
            </w:r>
            <w:r>
              <w:rPr>
                <w:rFonts w:cs="Arial"/>
                <w:sz w:val="16"/>
                <w:szCs w:val="16"/>
              </w:rPr>
              <w:fldChar w:fldCharType="begin"/>
            </w:r>
            <w:r>
              <w:instrText> REF _Ref9273628 \h </w:instrText>
            </w:r>
            <w:r>
              <w:fldChar w:fldCharType="separate"/>
            </w:r>
            <w:r/>
            <w:r>
              <w:fldChar w:fldCharType="end"/>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Zarządzający realizacją umowy</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textAlignment w:val="top"/>
              <w:rPr>
                <w:rFonts w:cs="Arial"/>
                <w:sz w:val="16"/>
                <w:szCs w:val="16"/>
              </w:rPr>
            </w:pPr>
            <w:r>
              <w:rPr>
                <w:rFonts w:cs="Arial"/>
                <w:sz w:val="16"/>
                <w:szCs w:val="16"/>
              </w:rPr>
              <w:t>jest to osoba prawna lub fizyczna określona w istotnych postanowieniach umowy, zwana dalej zarządzającym, wyznaczona przez zamawiającego, upoważniona do nadzorowania realizacji robót i administrowania umową w zakresie określonym w udzielonym pełnomocnictwie (zarządzający realizacją nie jest obecnie prawnie określony w przepisach)</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Znak zgodności</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textAlignment w:val="top"/>
              <w:rPr>
                <w:rFonts w:cs="Arial"/>
                <w:sz w:val="16"/>
                <w:szCs w:val="16"/>
              </w:rPr>
            </w:pPr>
            <w:r>
              <w:rPr>
                <w:rFonts w:cs="Arial"/>
                <w:sz w:val="16"/>
                <w:szCs w:val="16"/>
              </w:rPr>
              <w:t>zastrzeżony znak, nadawany zgodnie z zasadami systemu certyfikacji , wskazujący, że zapewniono odpowiedni stopień zaufania, iż dany wyrób jest zgodny z określoną normą lub innymi dokumentami normatywnymi</w:t>
            </w:r>
          </w:p>
        </w:tc>
      </w:tr>
      <w:tr>
        <w:trPr>
          <w:trHeight w:val="645" w:hRule="atLeast"/>
        </w:trPr>
        <w:tc>
          <w:tcPr>
            <w:tcW w:w="241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jc w:val="left"/>
              <w:textAlignment w:val="top"/>
              <w:rPr>
                <w:rFonts w:cs="Arial"/>
                <w:b/>
                <w:b/>
                <w:sz w:val="16"/>
                <w:szCs w:val="16"/>
              </w:rPr>
            </w:pPr>
            <w:r>
              <w:rPr>
                <w:rFonts w:cs="Arial"/>
                <w:b/>
                <w:sz w:val="16"/>
                <w:szCs w:val="16"/>
              </w:rPr>
              <w:t>Źródło ciepła</w:t>
            </w:r>
            <w:r>
              <w:rPr>
                <w:rFonts w:cs="Arial"/>
                <w:sz w:val="16"/>
                <w:szCs w:val="16"/>
              </w:rPr>
              <w:t xml:space="preserve"> </w:t>
              <w:br/>
            </w:r>
            <w:r>
              <w:rPr>
                <w:rFonts w:cs="Arial"/>
                <w:sz w:val="14"/>
                <w:szCs w:val="16"/>
              </w:rPr>
              <w:t>(w instalacji centralnego ogrzewania)</w:t>
            </w:r>
          </w:p>
        </w:tc>
        <w:tc>
          <w:tcPr>
            <w:tcW w:w="58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65" w:type="dxa"/>
            </w:tcMar>
          </w:tcPr>
          <w:p>
            <w:pPr>
              <w:pStyle w:val="Normal"/>
              <w:spacing w:before="0" w:after="0"/>
              <w:textAlignment w:val="top"/>
              <w:rPr>
                <w:rFonts w:cs="Arial"/>
                <w:sz w:val="16"/>
                <w:szCs w:val="16"/>
              </w:rPr>
            </w:pPr>
            <w:r>
              <w:rPr>
                <w:rFonts w:cs="Arial"/>
                <w:sz w:val="16"/>
                <w:szCs w:val="16"/>
              </w:rPr>
              <w:t>kocioł na określony rodzaj paliwa, np. gaz</w:t>
            </w:r>
          </w:p>
        </w:tc>
      </w:tr>
    </w:tbl>
    <w:p>
      <w:pPr>
        <w:pStyle w:val="Nagwek1"/>
        <w:numPr>
          <w:ilvl w:val="0"/>
          <w:numId w:val="4"/>
        </w:numPr>
        <w:shd w:val="clear" w:fill="F04E23"/>
        <w:rPr/>
      </w:pPr>
      <w:bookmarkStart w:id="35" w:name="_Toc501550542"/>
      <w:bookmarkStart w:id="36" w:name="_Toc501574747"/>
      <w:bookmarkStart w:id="37" w:name="_Toc501620197"/>
      <w:bookmarkStart w:id="38" w:name="_Toc501625318"/>
      <w:bookmarkStart w:id="39" w:name="_Toc10627708"/>
      <w:bookmarkEnd w:id="35"/>
      <w:bookmarkEnd w:id="36"/>
      <w:bookmarkEnd w:id="37"/>
      <w:bookmarkEnd w:id="38"/>
      <w:bookmarkEnd w:id="39"/>
      <w:r>
        <w:rPr/>
        <w:t>Opis ogólny przedmiotu zamówienia</w:t>
      </w:r>
    </w:p>
    <w:p>
      <w:pPr>
        <w:pStyle w:val="Nagwek2"/>
        <w:numPr>
          <w:ilvl w:val="1"/>
          <w:numId w:val="3"/>
        </w:numPr>
        <w:shd w:val="clear" w:fill="FCDBD3"/>
        <w:rPr/>
      </w:pPr>
      <w:bookmarkStart w:id="40" w:name="_Toc10627709"/>
      <w:bookmarkStart w:id="41" w:name="_Toc501550543"/>
      <w:bookmarkStart w:id="42" w:name="_Toc501574748"/>
      <w:bookmarkStart w:id="43" w:name="_Toc501620198"/>
      <w:bookmarkStart w:id="44" w:name="_Toc501625319"/>
      <w:bookmarkEnd w:id="40"/>
      <w:bookmarkEnd w:id="41"/>
      <w:bookmarkEnd w:id="42"/>
      <w:bookmarkEnd w:id="43"/>
      <w:bookmarkEnd w:id="44"/>
      <w:r>
        <w:rPr/>
        <w:t>Charakterystyczne parametry określoające zakres robót i wielkość obiektu</w:t>
      </w:r>
    </w:p>
    <w:p>
      <w:pPr>
        <w:pStyle w:val="Nagwek3"/>
        <w:numPr>
          <w:ilvl w:val="2"/>
          <w:numId w:val="3"/>
        </w:numPr>
        <w:rPr/>
      </w:pPr>
      <w:bookmarkStart w:id="45" w:name="_Toc10627710"/>
      <w:bookmarkEnd w:id="45"/>
      <w:r>
        <w:rPr/>
        <w:t>Cel i zakres przedsięwzięcia</w:t>
      </w:r>
    </w:p>
    <w:p>
      <w:pPr>
        <w:pStyle w:val="Normal"/>
        <w:rPr/>
      </w:pPr>
      <w:r>
        <w:rPr/>
        <w:t>Podstawowym celem przedsięwzięcia jest poprawa efektywności energetycznej budynku Szkoły Podstawowej im. Władysława Broniewskiego w Mielęcinie, poprzez zmniejszenie zużycia energii cieplnej w budynku. Obecny, wysoki poziom poboru energii cieplnej w budynku Szkoły Podstawowej im. Władysława Broniewskiego w Mielęcinie spowodowany jest złym stanem technicznym, wpływającym na energochłonność wskazanego obiektu.</w:t>
      </w:r>
    </w:p>
    <w:p>
      <w:pPr>
        <w:pStyle w:val="Normal"/>
        <w:rPr/>
      </w:pPr>
      <w:r>
        <w:rPr/>
        <w:t> </w:t>
      </w:r>
      <w:r>
        <w:rPr/>
        <w:t>Przestarzałe rozwiązania techniczne oraz długoletnie użytkowanie budynku powodują konieczność głębokiej termomodernizacji. Obecny stan techniczny obiektu, brak ocieplenia oraz zły stan stolarki powodują duże zapotrzebowanie na ciepło do utrzymania wymaganej normami temperatury. Niniejszy Program Funkcjonalno-Użytkowy zawiera rozwiązania, które mają zagwarantować zredukowanie zapotrzebowania na ciepło, poprzez usprawnienie systemu grzewczego oraz zmniejszenie zapotrzebowania energetycznego budynku poprzez wymianę oświetlenia na energooszczędne oraz technologii odnawialnych źródeł energii.</w:t>
      </w:r>
    </w:p>
    <w:p>
      <w:pPr>
        <w:pStyle w:val="Normal"/>
        <w:rPr/>
      </w:pPr>
      <w:r>
        <w:rPr/>
        <w:t xml:space="preserve">Zabytkowy budynek Szkoły wymaga przeprowadzenia szeregu prac i ulepszeń w zakresie wskazanym w audycie energetycznym </w:t>
      </w:r>
      <w:r>
        <w:rPr/>
        <w:fldChar w:fldCharType="begin"/>
      </w:r>
      <w:r>
        <w:instrText> REF _Ref3715005 \r \h </w:instrText>
      </w:r>
      <w:r>
        <w:fldChar w:fldCharType="separate"/>
      </w:r>
      <w:r>
        <w:t xml:space="preserve">[4] - </w:t>
      </w:r>
      <w:r>
        <w:fldChar w:fldCharType="end"/>
      </w:r>
      <w:r>
        <w:rPr/>
        <w:t>:</w:t>
      </w:r>
    </w:p>
    <w:p>
      <w:pPr>
        <w:pStyle w:val="ListParagraph"/>
        <w:numPr>
          <w:ilvl w:val="0"/>
          <w:numId w:val="10"/>
        </w:numPr>
        <w:rPr/>
      </w:pPr>
      <w:r>
        <w:rPr/>
        <w:t xml:space="preserve">modernizacji instalacji C.O. wraz z lokalnym źródłem ciepła, </w:t>
      </w:r>
    </w:p>
    <w:p>
      <w:pPr>
        <w:pStyle w:val="ListParagraph"/>
        <w:numPr>
          <w:ilvl w:val="0"/>
          <w:numId w:val="10"/>
        </w:numPr>
        <w:rPr/>
      </w:pPr>
      <w:r>
        <w:rPr/>
        <w:t>wymianie instalacji elektrycznej z modernizacją - wymianą źródeł oświetlenia podstawowego (wbudowanego) na źródła LED oraz wykonaniem instalacji PV o mocy 10,2kWp wraz z dostawą systemu demonstracyjnego,</w:t>
      </w:r>
    </w:p>
    <w:p>
      <w:pPr>
        <w:pStyle w:val="ListParagraph"/>
        <w:numPr>
          <w:ilvl w:val="0"/>
          <w:numId w:val="10"/>
        </w:numPr>
        <w:rPr/>
      </w:pPr>
      <w:r>
        <w:rPr/>
        <w:t>poprawy parametrów przegród budowlanych, w tym:</w:t>
      </w:r>
    </w:p>
    <w:p>
      <w:pPr>
        <w:pStyle w:val="ListParagraph"/>
        <w:numPr>
          <w:ilvl w:val="1"/>
          <w:numId w:val="10"/>
        </w:numPr>
        <w:rPr/>
      </w:pPr>
      <w:r>
        <w:rPr/>
        <w:t>ocieplenie ścian wewnętrznych wydzielających schody na poddasze,</w:t>
      </w:r>
    </w:p>
    <w:p>
      <w:pPr>
        <w:pStyle w:val="ListParagraph"/>
        <w:numPr>
          <w:ilvl w:val="1"/>
          <w:numId w:val="10"/>
        </w:numPr>
        <w:rPr/>
      </w:pPr>
      <w:r>
        <w:rPr/>
        <w:t>ocieplenie stropu pod poddaszem nieużytkowym,</w:t>
      </w:r>
    </w:p>
    <w:p>
      <w:pPr>
        <w:pStyle w:val="ListParagraph"/>
        <w:numPr>
          <w:ilvl w:val="1"/>
          <w:numId w:val="10"/>
        </w:numPr>
        <w:rPr/>
      </w:pPr>
      <w:r>
        <w:rPr/>
        <w:t xml:space="preserve">ocieplenie ścian w kontakcie z gruntem wraz z wykonaniem izolacji przeciwwilgociowych poziomych i pionowych </w:t>
      </w:r>
    </w:p>
    <w:p>
      <w:pPr>
        <w:pStyle w:val="ListParagraph"/>
        <w:numPr>
          <w:ilvl w:val="1"/>
          <w:numId w:val="10"/>
        </w:numPr>
        <w:rPr/>
      </w:pPr>
      <w:r>
        <w:rPr/>
        <w:t>ocieplenie stropu podcienia,</w:t>
      </w:r>
    </w:p>
    <w:p>
      <w:pPr>
        <w:pStyle w:val="ListParagraph"/>
        <w:numPr>
          <w:ilvl w:val="1"/>
          <w:numId w:val="10"/>
        </w:numPr>
        <w:rPr/>
      </w:pPr>
      <w:r>
        <w:rPr/>
        <w:t>ocieplenie tarasu,</w:t>
      </w:r>
    </w:p>
    <w:p>
      <w:pPr>
        <w:pStyle w:val="ListParagraph"/>
        <w:numPr>
          <w:ilvl w:val="0"/>
          <w:numId w:val="10"/>
        </w:numPr>
        <w:rPr/>
      </w:pPr>
      <w:r>
        <w:rPr/>
        <w:t>poprawy parametrów stolarki zewnętrznej, tzn. wymianie stolarki okiennej i drzwiowej</w:t>
      </w:r>
    </w:p>
    <w:p>
      <w:pPr>
        <w:pStyle w:val="ListParagraph"/>
        <w:numPr>
          <w:ilvl w:val="0"/>
          <w:numId w:val="10"/>
        </w:numPr>
        <w:rPr/>
      </w:pPr>
      <w:r>
        <w:rPr/>
        <w:t>ograniczenia napływu zimnego powietrza do wnętrza budynku przez wejście główne poprzez wydzielenie wiatrołapu,</w:t>
      </w:r>
    </w:p>
    <w:p>
      <w:pPr>
        <w:pStyle w:val="Normal"/>
        <w:rPr/>
      </w:pPr>
      <w:r>
        <w:rPr/>
        <w:t xml:space="preserve">wraz z niezbędnymi robotami odtworzeniowymi. Ze względu na stan techniczny obiekt wymaga również prac remontowych w zakresie wskazanym w Zaleceniach Zachodniopomorskiego Wojewódzkiego Konserwatora Zabytków </w:t>
      </w:r>
      <w:r>
        <w:rPr/>
        <w:fldChar w:fldCharType="begin"/>
      </w:r>
      <w:r>
        <w:instrText> REF _Ref3715545 \r \h </w:instrText>
      </w:r>
      <w:r>
        <w:fldChar w:fldCharType="separate"/>
      </w:r>
      <w:r>
        <w:t xml:space="preserve">[3] - </w:t>
      </w:r>
      <w:r>
        <w:fldChar w:fldCharType="end"/>
      </w:r>
      <w:r>
        <w:rPr/>
        <w:t>:</w:t>
      </w:r>
    </w:p>
    <w:p>
      <w:pPr>
        <w:pStyle w:val="ListParagraph"/>
        <w:numPr>
          <w:ilvl w:val="0"/>
          <w:numId w:val="11"/>
        </w:numPr>
        <w:rPr/>
      </w:pPr>
      <w:r>
        <w:rPr/>
        <w:t>uszczelnienie pokrycia dachowego nad korpusem głównym dworu,</w:t>
      </w:r>
    </w:p>
    <w:p>
      <w:pPr>
        <w:pStyle w:val="ListParagraph"/>
        <w:numPr>
          <w:ilvl w:val="0"/>
          <w:numId w:val="11"/>
        </w:numPr>
        <w:rPr/>
      </w:pPr>
      <w:r>
        <w:rPr/>
        <w:t>trwałe zabezpieczenie zwieńczenia górnej części wieży przed dostępem wód opadowych z wykonaniem odprowadzenia wód deszczowych z połaci dachu zgodnie z ww. Zaleceniami,</w:t>
      </w:r>
    </w:p>
    <w:p>
      <w:pPr>
        <w:pStyle w:val="ListParagraph"/>
        <w:numPr>
          <w:ilvl w:val="0"/>
          <w:numId w:val="11"/>
        </w:numPr>
        <w:rPr/>
      </w:pPr>
      <w:r>
        <w:rPr/>
        <w:t>remont elewacji budynku wraz z detalami zdobniczymi i uwzględnieniem odprowadzenia wód opadowych z terenu bezpośrednio przylegającego do murów dworu,</w:t>
      </w:r>
    </w:p>
    <w:p>
      <w:pPr>
        <w:pStyle w:val="ListParagraph"/>
        <w:numPr>
          <w:ilvl w:val="0"/>
          <w:numId w:val="11"/>
        </w:numPr>
        <w:rPr/>
      </w:pPr>
      <w:r>
        <w:rPr/>
        <w:t>wykonanie odwodnienia terenu bezpośrednio przyległego do murów budynku.</w:t>
      </w:r>
    </w:p>
    <w:p>
      <w:pPr>
        <w:pStyle w:val="Normal"/>
        <w:rPr/>
      </w:pPr>
      <w:r>
        <w:rPr/>
        <w:t>oraz robót niezbędnych do prawidłowego wykonania ww. robót termomodernizacyjnych i konserwatorskich oraz zapewnienia ich trwałości:</w:t>
      </w:r>
    </w:p>
    <w:p>
      <w:pPr>
        <w:pStyle w:val="ListParagraph"/>
        <w:numPr>
          <w:ilvl w:val="0"/>
          <w:numId w:val="43"/>
        </w:numPr>
        <w:rPr/>
      </w:pPr>
      <w:r>
        <w:rPr/>
        <w:t xml:space="preserve">wzmocnienie nadproży otworów drzwiowych i okiennych </w:t>
      </w:r>
    </w:p>
    <w:p>
      <w:pPr>
        <w:pStyle w:val="ListParagraph"/>
        <w:numPr>
          <w:ilvl w:val="0"/>
          <w:numId w:val="43"/>
        </w:numPr>
        <w:rPr/>
      </w:pPr>
      <w:r>
        <w:rPr/>
        <w:t>wzmocnienie lub wymiana (na podstawie wyników badań i obliczeń) elementów murowanych, stalowych i drewnianych konstrukcji głównej budynku</w:t>
      </w:r>
    </w:p>
    <w:p>
      <w:pPr>
        <w:pStyle w:val="Normal"/>
        <w:rPr/>
      </w:pPr>
      <w:r>
        <w:rPr/>
        <w:t>Przeprowadzenie ww. prac remontowych, poza kwestią utrzymania budynku w dobrym stanie technicznym i dopełnienia obowiązków z zakresu ochrony i opieki nad zabytkami, ma istotny wpływ na zapotrzebowanie na ciepło (negatywny wpływ uszkodzeń i ubytków oraz potencjalnego zawilgocenia przegród zewnętrznych), a zatem także na efektywność energetyczną obiektu. Tym samym, jest niezbędne do osiągniecia zamierzonego, końcowego rezultatu przedsięwzięcia:</w:t>
      </w:r>
    </w:p>
    <w:tbl>
      <w:tblPr>
        <w:tblStyle w:val="Tabela-Siatka"/>
        <w:tblW w:w="8664" w:type="dxa"/>
        <w:jc w:val="left"/>
        <w:tblInd w:w="-5" w:type="dxa"/>
        <w:tblCellMar>
          <w:top w:w="0" w:type="dxa"/>
          <w:left w:w="103" w:type="dxa"/>
          <w:bottom w:w="0" w:type="dxa"/>
          <w:right w:w="108" w:type="dxa"/>
        </w:tblCellMar>
        <w:tblLook w:firstRow="1" w:noVBand="1" w:lastRow="0" w:firstColumn="1" w:lastColumn="0" w:noHBand="0" w:val="04a0"/>
      </w:tblPr>
      <w:tblGrid>
        <w:gridCol w:w="492"/>
        <w:gridCol w:w="2593"/>
        <w:gridCol w:w="1416"/>
        <w:gridCol w:w="992"/>
        <w:gridCol w:w="875"/>
        <w:gridCol w:w="1030"/>
        <w:gridCol w:w="1265"/>
      </w:tblGrid>
      <w:tr>
        <w:trPr/>
        <w:tc>
          <w:tcPr>
            <w:tcW w:w="492" w:type="dxa"/>
            <w:vMerge w:val="restart"/>
            <w:tcBorders/>
            <w:shd w:fill="auto" w:val="clear"/>
            <w:tcMar>
              <w:left w:w="103" w:type="dxa"/>
            </w:tcMar>
            <w:vAlign w:val="center"/>
          </w:tcPr>
          <w:p>
            <w:pPr>
              <w:pStyle w:val="Normal"/>
              <w:spacing w:lineRule="auto" w:line="240" w:before="0" w:after="0"/>
              <w:jc w:val="right"/>
              <w:rPr>
                <w:rFonts w:ascii="Segoe UI Semibold" w:hAnsi="Segoe UI Semibold" w:cs="Segoe UI Semibold" w:asciiTheme="majorHAnsi" w:cstheme="majorHAnsi" w:hAnsiTheme="majorHAnsi"/>
                <w:sz w:val="16"/>
                <w:szCs w:val="18"/>
              </w:rPr>
            </w:pPr>
            <w:r>
              <w:rPr/>
              <w:br/>
            </w:r>
            <w:r>
              <w:rPr>
                <w:rFonts w:cs="Segoe UI Semibold" w:ascii="Segoe UI Semibold" w:hAnsi="Segoe UI Semibold" w:asciiTheme="majorHAnsi" w:cstheme="majorHAnsi" w:hAnsiTheme="majorHAnsi"/>
                <w:sz w:val="16"/>
                <w:szCs w:val="18"/>
              </w:rPr>
              <w:t>L.p.</w:t>
            </w:r>
          </w:p>
        </w:tc>
        <w:tc>
          <w:tcPr>
            <w:tcW w:w="2593" w:type="dxa"/>
            <w:vMerge w:val="restart"/>
            <w:tcBorders/>
            <w:shd w:fill="auto" w:val="clear"/>
            <w:tcMar>
              <w:left w:w="103" w:type="dxa"/>
            </w:tcMar>
            <w:vAlign w:val="center"/>
          </w:tcPr>
          <w:p>
            <w:pPr>
              <w:pStyle w:val="Normal"/>
              <w:spacing w:lineRule="auto" w:line="240" w:before="0" w:after="0"/>
              <w:jc w:val="center"/>
              <w:rPr>
                <w:rFonts w:ascii="Segoe UI Semibold" w:hAnsi="Segoe UI Semibold" w:cs="Segoe UI Semibold" w:asciiTheme="majorHAnsi" w:cstheme="majorHAnsi" w:hAnsiTheme="majorHAnsi"/>
                <w:sz w:val="16"/>
                <w:szCs w:val="18"/>
              </w:rPr>
            </w:pPr>
            <w:r>
              <w:rPr>
                <w:rFonts w:cs="Segoe UI Semibold" w:ascii="Segoe UI Semibold" w:hAnsi="Segoe UI Semibold" w:asciiTheme="majorHAnsi" w:cstheme="majorHAnsi" w:hAnsiTheme="majorHAnsi"/>
                <w:sz w:val="16"/>
                <w:szCs w:val="18"/>
              </w:rPr>
              <w:t>Wskaźnik rezultatów</w:t>
            </w:r>
          </w:p>
        </w:tc>
        <w:tc>
          <w:tcPr>
            <w:tcW w:w="1416" w:type="dxa"/>
            <w:vMerge w:val="restart"/>
            <w:tcBorders/>
            <w:shd w:fill="auto" w:val="clear"/>
            <w:tcMar>
              <w:left w:w="103" w:type="dxa"/>
            </w:tcMar>
            <w:vAlign w:val="center"/>
          </w:tcPr>
          <w:p>
            <w:pPr>
              <w:pStyle w:val="Normal"/>
              <w:spacing w:lineRule="auto" w:line="240" w:before="0" w:after="0"/>
              <w:jc w:val="center"/>
              <w:rPr>
                <w:rFonts w:ascii="Segoe UI Semibold" w:hAnsi="Segoe UI Semibold" w:cs="Segoe UI Semibold" w:asciiTheme="majorHAnsi" w:cstheme="majorHAnsi" w:hAnsiTheme="majorHAnsi"/>
                <w:sz w:val="16"/>
                <w:szCs w:val="18"/>
              </w:rPr>
            </w:pPr>
            <w:r>
              <w:rPr>
                <w:rFonts w:cs="Segoe UI Semibold" w:ascii="Segoe UI Semibold" w:hAnsi="Segoe UI Semibold" w:asciiTheme="majorHAnsi" w:cstheme="majorHAnsi" w:hAnsiTheme="majorHAnsi"/>
                <w:sz w:val="16"/>
                <w:szCs w:val="18"/>
              </w:rPr>
              <w:t>j.m.</w:t>
            </w:r>
          </w:p>
        </w:tc>
        <w:tc>
          <w:tcPr>
            <w:tcW w:w="992" w:type="dxa"/>
            <w:tcBorders/>
            <w:shd w:fill="auto" w:val="clear"/>
            <w:tcMar>
              <w:left w:w="103" w:type="dxa"/>
            </w:tcMar>
            <w:vAlign w:val="center"/>
          </w:tcPr>
          <w:p>
            <w:pPr>
              <w:pStyle w:val="Normal"/>
              <w:spacing w:lineRule="auto" w:line="240" w:before="0" w:after="0"/>
              <w:jc w:val="center"/>
              <w:rPr>
                <w:rFonts w:ascii="Segoe UI Semibold" w:hAnsi="Segoe UI Semibold" w:cs="Segoe UI Semibold" w:asciiTheme="majorHAnsi" w:cstheme="majorHAnsi" w:hAnsiTheme="majorHAnsi"/>
                <w:sz w:val="16"/>
                <w:szCs w:val="18"/>
              </w:rPr>
            </w:pPr>
            <w:r>
              <w:rPr>
                <w:rFonts w:cs="Segoe UI Semibold" w:ascii="Segoe UI Semibold" w:hAnsi="Segoe UI Semibold" w:asciiTheme="majorHAnsi" w:cstheme="majorHAnsi" w:hAnsiTheme="majorHAnsi"/>
                <w:sz w:val="16"/>
                <w:szCs w:val="18"/>
              </w:rPr>
              <w:t>Wartość bazowa</w:t>
            </w:r>
          </w:p>
        </w:tc>
        <w:tc>
          <w:tcPr>
            <w:tcW w:w="875" w:type="dxa"/>
            <w:tcBorders/>
            <w:shd w:fill="auto" w:val="clear"/>
            <w:tcMar>
              <w:left w:w="103" w:type="dxa"/>
            </w:tcMar>
            <w:vAlign w:val="center"/>
          </w:tcPr>
          <w:p>
            <w:pPr>
              <w:pStyle w:val="Normal"/>
              <w:spacing w:lineRule="auto" w:line="240" w:before="0" w:after="0"/>
              <w:jc w:val="center"/>
              <w:rPr>
                <w:rFonts w:ascii="Segoe UI Semibold" w:hAnsi="Segoe UI Semibold" w:cs="Segoe UI Semibold" w:asciiTheme="majorHAnsi" w:cstheme="majorHAnsi" w:hAnsiTheme="majorHAnsi"/>
                <w:sz w:val="16"/>
                <w:szCs w:val="18"/>
              </w:rPr>
            </w:pPr>
            <w:r>
              <w:rPr>
                <w:rFonts w:cs="Segoe UI Semibold" w:ascii="Segoe UI Semibold" w:hAnsi="Segoe UI Semibold" w:asciiTheme="majorHAnsi" w:cstheme="majorHAnsi" w:hAnsiTheme="majorHAnsi"/>
                <w:sz w:val="16"/>
                <w:szCs w:val="18"/>
              </w:rPr>
              <w:t>Wartość docelowa</w:t>
            </w:r>
          </w:p>
        </w:tc>
        <w:tc>
          <w:tcPr>
            <w:tcW w:w="2295" w:type="dxa"/>
            <w:gridSpan w:val="2"/>
            <w:tcBorders/>
            <w:shd w:fill="auto" w:val="clear"/>
            <w:tcMar>
              <w:left w:w="103" w:type="dxa"/>
            </w:tcMar>
          </w:tcPr>
          <w:p>
            <w:pPr>
              <w:pStyle w:val="Normal"/>
              <w:spacing w:lineRule="auto" w:line="240" w:before="0" w:after="0"/>
              <w:jc w:val="center"/>
              <w:rPr>
                <w:rFonts w:ascii="Segoe UI Semibold" w:hAnsi="Segoe UI Semibold" w:cs="Segoe UI Semibold" w:asciiTheme="majorHAnsi" w:cstheme="majorHAnsi" w:hAnsiTheme="majorHAnsi"/>
                <w:sz w:val="16"/>
                <w:szCs w:val="18"/>
              </w:rPr>
            </w:pPr>
            <w:r>
              <w:rPr>
                <w:rFonts w:cs="Segoe UI Semibold" w:ascii="Segoe UI Semibold" w:hAnsi="Segoe UI Semibold" w:asciiTheme="majorHAnsi" w:cstheme="majorHAnsi" w:hAnsiTheme="majorHAnsi"/>
                <w:sz w:val="16"/>
                <w:szCs w:val="18"/>
              </w:rPr>
              <w:t>Efekt w wyniku termomodernizacji</w:t>
            </w:r>
          </w:p>
        </w:tc>
      </w:tr>
      <w:tr>
        <w:trPr/>
        <w:tc>
          <w:tcPr>
            <w:tcW w:w="492" w:type="dxa"/>
            <w:vMerge w:val="continue"/>
            <w:tcBorders/>
            <w:shd w:fill="auto" w:val="clear"/>
            <w:tcMar>
              <w:left w:w="103" w:type="dxa"/>
            </w:tcMar>
            <w:vAlign w:val="center"/>
          </w:tcPr>
          <w:p>
            <w:pPr>
              <w:pStyle w:val="Normal"/>
              <w:spacing w:lineRule="auto" w:line="240" w:before="0" w:after="0"/>
              <w:jc w:val="right"/>
              <w:rPr>
                <w:rFonts w:cs="Segoe UI Light" w:cstheme="minorHAnsi"/>
                <w:sz w:val="16"/>
                <w:szCs w:val="18"/>
              </w:rPr>
            </w:pPr>
            <w:r>
              <w:rPr>
                <w:rFonts w:cs="Segoe UI Light" w:cstheme="minorHAnsi"/>
                <w:sz w:val="16"/>
                <w:szCs w:val="18"/>
              </w:rPr>
            </w:r>
          </w:p>
        </w:tc>
        <w:tc>
          <w:tcPr>
            <w:tcW w:w="2593" w:type="dxa"/>
            <w:vMerge w:val="continue"/>
            <w:tcBorders/>
            <w:shd w:fill="auto" w:val="clear"/>
            <w:tcMar>
              <w:left w:w="103" w:type="dxa"/>
            </w:tcMar>
            <w:vAlign w:val="center"/>
          </w:tcPr>
          <w:p>
            <w:pPr>
              <w:pStyle w:val="Normal"/>
              <w:spacing w:lineRule="auto" w:line="240" w:before="0" w:after="0"/>
              <w:jc w:val="left"/>
              <w:rPr>
                <w:rFonts w:cs="Segoe UI Light" w:cstheme="minorHAnsi"/>
                <w:sz w:val="16"/>
                <w:szCs w:val="18"/>
              </w:rPr>
            </w:pPr>
            <w:r>
              <w:rPr>
                <w:rFonts w:cs="Segoe UI Light" w:cstheme="minorHAnsi"/>
                <w:sz w:val="16"/>
                <w:szCs w:val="18"/>
              </w:rPr>
            </w:r>
          </w:p>
        </w:tc>
        <w:tc>
          <w:tcPr>
            <w:tcW w:w="1416" w:type="dxa"/>
            <w:vMerge w:val="continue"/>
            <w:tcBorders/>
            <w:shd w:fill="auto" w:val="clear"/>
            <w:tcMar>
              <w:left w:w="103" w:type="dxa"/>
            </w:tcMar>
            <w:vAlign w:val="center"/>
          </w:tcPr>
          <w:p>
            <w:pPr>
              <w:pStyle w:val="Normal"/>
              <w:spacing w:lineRule="auto" w:line="240" w:before="0" w:after="0"/>
              <w:jc w:val="center"/>
              <w:rPr>
                <w:rFonts w:cs="Segoe UI Light" w:cstheme="minorHAnsi"/>
                <w:sz w:val="16"/>
                <w:szCs w:val="18"/>
              </w:rPr>
            </w:pPr>
            <w:r>
              <w:rPr>
                <w:rFonts w:cs="Segoe UI Light" w:cstheme="minorHAnsi"/>
                <w:sz w:val="16"/>
                <w:szCs w:val="18"/>
              </w:rPr>
            </w:r>
          </w:p>
        </w:tc>
        <w:tc>
          <w:tcPr>
            <w:tcW w:w="992" w:type="dxa"/>
            <w:tcBorders/>
            <w:shd w:fill="auto" w:val="clear"/>
            <w:tcMar>
              <w:left w:w="103" w:type="dxa"/>
            </w:tcMar>
            <w:vAlign w:val="center"/>
          </w:tcPr>
          <w:p>
            <w:pPr>
              <w:pStyle w:val="Normal"/>
              <w:spacing w:lineRule="auto" w:line="240" w:before="0" w:after="0"/>
              <w:jc w:val="center"/>
              <w:rPr>
                <w:rFonts w:cs="Segoe UI Light" w:cstheme="minorHAnsi"/>
                <w:sz w:val="16"/>
                <w:szCs w:val="18"/>
              </w:rPr>
            </w:pPr>
            <w:r>
              <w:rPr>
                <w:rFonts w:cs="Segoe UI Light" w:cstheme="minorHAnsi"/>
                <w:sz w:val="16"/>
                <w:szCs w:val="18"/>
              </w:rPr>
              <w:t>przed modernizacją</w:t>
            </w:r>
          </w:p>
        </w:tc>
        <w:tc>
          <w:tcPr>
            <w:tcW w:w="3170" w:type="dxa"/>
            <w:gridSpan w:val="3"/>
            <w:tcBorders/>
            <w:shd w:fill="auto" w:val="clear"/>
            <w:tcMar>
              <w:left w:w="103" w:type="dxa"/>
            </w:tcMar>
            <w:vAlign w:val="center"/>
          </w:tcPr>
          <w:p>
            <w:pPr>
              <w:pStyle w:val="Normal"/>
              <w:spacing w:lineRule="auto" w:line="240" w:before="0" w:after="0"/>
              <w:jc w:val="center"/>
              <w:rPr>
                <w:rFonts w:cs="Segoe UI Light" w:cstheme="minorHAnsi"/>
                <w:sz w:val="16"/>
                <w:szCs w:val="18"/>
              </w:rPr>
            </w:pPr>
            <w:r>
              <w:rPr>
                <w:rFonts w:cs="Segoe UI Light" w:cstheme="minorHAnsi"/>
                <w:sz w:val="16"/>
                <w:szCs w:val="18"/>
              </w:rPr>
              <w:t>po modernizacji</w:t>
            </w:r>
          </w:p>
        </w:tc>
      </w:tr>
      <w:tr>
        <w:trPr/>
        <w:tc>
          <w:tcPr>
            <w:tcW w:w="492" w:type="dxa"/>
            <w:tcBorders/>
            <w:shd w:fill="auto" w:val="clear"/>
            <w:tcMar>
              <w:left w:w="103" w:type="dxa"/>
            </w:tcMar>
            <w:vAlign w:val="center"/>
          </w:tcPr>
          <w:p>
            <w:pPr>
              <w:pStyle w:val="Normal"/>
              <w:spacing w:lineRule="auto" w:line="240" w:before="0" w:after="0"/>
              <w:jc w:val="right"/>
              <w:rPr>
                <w:rFonts w:cs="Segoe UI Light" w:cstheme="minorHAnsi"/>
                <w:sz w:val="18"/>
                <w:szCs w:val="18"/>
              </w:rPr>
            </w:pPr>
            <w:r>
              <w:rPr>
                <w:rFonts w:cs="Segoe UI Light" w:cstheme="minorHAnsi"/>
                <w:sz w:val="18"/>
                <w:szCs w:val="18"/>
              </w:rPr>
              <w:t>1</w:t>
            </w:r>
          </w:p>
        </w:tc>
        <w:tc>
          <w:tcPr>
            <w:tcW w:w="2593" w:type="dxa"/>
            <w:tcBorders/>
            <w:shd w:fill="auto" w:val="clear"/>
            <w:tcMar>
              <w:left w:w="103" w:type="dxa"/>
            </w:tcMar>
            <w:vAlign w:val="center"/>
          </w:tcPr>
          <w:p>
            <w:pPr>
              <w:pStyle w:val="Normal"/>
              <w:spacing w:lineRule="auto" w:line="240" w:before="0" w:after="0"/>
              <w:jc w:val="left"/>
              <w:rPr>
                <w:rFonts w:cs="Segoe UI Light" w:cstheme="minorHAnsi"/>
                <w:sz w:val="18"/>
                <w:szCs w:val="18"/>
              </w:rPr>
            </w:pPr>
            <w:r>
              <w:rPr>
                <w:rFonts w:cs="Segoe UI Light" w:cstheme="minorHAnsi"/>
                <w:sz w:val="18"/>
                <w:szCs w:val="18"/>
              </w:rPr>
              <w:t>Spadek emisji gazów cieplarnianych</w:t>
            </w:r>
          </w:p>
        </w:tc>
        <w:tc>
          <w:tcPr>
            <w:tcW w:w="1416"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tony równoważnika CO</w:t>
            </w:r>
            <w:r>
              <w:rPr>
                <w:rFonts w:cs="Segoe UI Light" w:cstheme="minorHAnsi"/>
                <w:sz w:val="18"/>
                <w:szCs w:val="18"/>
                <w:vertAlign w:val="subscript"/>
              </w:rPr>
              <w:t>2</w:t>
            </w:r>
            <w:r>
              <w:rPr>
                <w:rFonts w:cs="Segoe UI Light" w:cstheme="minorHAnsi"/>
                <w:sz w:val="18"/>
                <w:szCs w:val="18"/>
              </w:rPr>
              <w:t>/rok</w:t>
            </w:r>
          </w:p>
        </w:tc>
        <w:tc>
          <w:tcPr>
            <w:tcW w:w="992"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95,661</w:t>
            </w:r>
          </w:p>
        </w:tc>
        <w:tc>
          <w:tcPr>
            <w:tcW w:w="87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62,682</w:t>
            </w:r>
          </w:p>
        </w:tc>
        <w:tc>
          <w:tcPr>
            <w:tcW w:w="1030"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32,979</w:t>
            </w:r>
          </w:p>
        </w:tc>
        <w:tc>
          <w:tcPr>
            <w:tcW w:w="126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34,47%</w:t>
            </w:r>
          </w:p>
        </w:tc>
      </w:tr>
      <w:tr>
        <w:trPr/>
        <w:tc>
          <w:tcPr>
            <w:tcW w:w="492" w:type="dxa"/>
            <w:tcBorders/>
            <w:shd w:fill="auto" w:val="clear"/>
            <w:tcMar>
              <w:left w:w="103" w:type="dxa"/>
            </w:tcMar>
            <w:vAlign w:val="center"/>
          </w:tcPr>
          <w:p>
            <w:pPr>
              <w:pStyle w:val="Normal"/>
              <w:spacing w:lineRule="auto" w:line="240" w:before="0" w:after="0"/>
              <w:jc w:val="right"/>
              <w:rPr>
                <w:rFonts w:cs="Segoe UI Light" w:cstheme="minorHAnsi"/>
                <w:sz w:val="18"/>
                <w:szCs w:val="18"/>
              </w:rPr>
            </w:pPr>
            <w:r>
              <w:rPr>
                <w:rFonts w:cs="Segoe UI Light" w:cstheme="minorHAnsi"/>
                <w:sz w:val="18"/>
                <w:szCs w:val="18"/>
              </w:rPr>
              <w:t>2</w:t>
            </w:r>
          </w:p>
        </w:tc>
        <w:tc>
          <w:tcPr>
            <w:tcW w:w="2593" w:type="dxa"/>
            <w:tcBorders/>
            <w:shd w:fill="auto" w:val="clear"/>
            <w:tcMar>
              <w:left w:w="103" w:type="dxa"/>
            </w:tcMar>
            <w:vAlign w:val="center"/>
          </w:tcPr>
          <w:p>
            <w:pPr>
              <w:pStyle w:val="Normal"/>
              <w:spacing w:lineRule="auto" w:line="240" w:before="0" w:after="0"/>
              <w:jc w:val="left"/>
              <w:rPr>
                <w:rFonts w:cs="Segoe UI Light" w:cstheme="minorHAnsi"/>
                <w:sz w:val="18"/>
                <w:szCs w:val="18"/>
              </w:rPr>
            </w:pPr>
            <w:r>
              <w:rPr>
                <w:rFonts w:cs="Segoe UI Light" w:cstheme="minorHAnsi"/>
                <w:sz w:val="18"/>
                <w:szCs w:val="18"/>
              </w:rPr>
              <w:t>Zmniejszenie rocznego zużycia energii pierwotnej w budynku</w:t>
            </w:r>
          </w:p>
        </w:tc>
        <w:tc>
          <w:tcPr>
            <w:tcW w:w="1416"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kWh/rok</w:t>
            </w:r>
          </w:p>
        </w:tc>
        <w:tc>
          <w:tcPr>
            <w:tcW w:w="992"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w:t>
            </w:r>
          </w:p>
        </w:tc>
        <w:tc>
          <w:tcPr>
            <w:tcW w:w="87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w:t>
            </w:r>
          </w:p>
        </w:tc>
        <w:tc>
          <w:tcPr>
            <w:tcW w:w="1030"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130 791</w:t>
            </w:r>
          </w:p>
        </w:tc>
        <w:tc>
          <w:tcPr>
            <w:tcW w:w="126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w:t>
            </w:r>
          </w:p>
        </w:tc>
      </w:tr>
      <w:tr>
        <w:trPr/>
        <w:tc>
          <w:tcPr>
            <w:tcW w:w="492" w:type="dxa"/>
            <w:tcBorders/>
            <w:shd w:fill="auto" w:val="clear"/>
            <w:tcMar>
              <w:left w:w="103" w:type="dxa"/>
            </w:tcMar>
            <w:vAlign w:val="center"/>
          </w:tcPr>
          <w:p>
            <w:pPr>
              <w:pStyle w:val="Normal"/>
              <w:spacing w:lineRule="auto" w:line="240" w:before="0" w:after="0"/>
              <w:jc w:val="right"/>
              <w:rPr>
                <w:rFonts w:cs="Segoe UI Light" w:cstheme="minorHAnsi"/>
                <w:sz w:val="18"/>
                <w:szCs w:val="18"/>
              </w:rPr>
            </w:pPr>
            <w:r>
              <w:rPr>
                <w:rFonts w:cs="Segoe UI Light" w:cstheme="minorHAnsi"/>
                <w:sz w:val="18"/>
                <w:szCs w:val="18"/>
              </w:rPr>
              <w:t>3</w:t>
            </w:r>
          </w:p>
        </w:tc>
        <w:tc>
          <w:tcPr>
            <w:tcW w:w="2593" w:type="dxa"/>
            <w:tcBorders/>
            <w:shd w:fill="auto" w:val="clear"/>
            <w:tcMar>
              <w:left w:w="103" w:type="dxa"/>
            </w:tcMar>
            <w:vAlign w:val="center"/>
          </w:tcPr>
          <w:p>
            <w:pPr>
              <w:pStyle w:val="Normal"/>
              <w:spacing w:lineRule="auto" w:line="240" w:before="0" w:after="0"/>
              <w:jc w:val="left"/>
              <w:rPr>
                <w:rFonts w:cs="Segoe UI Light" w:cstheme="minorHAnsi"/>
                <w:sz w:val="18"/>
                <w:szCs w:val="18"/>
              </w:rPr>
            </w:pPr>
            <w:r>
              <w:rPr>
                <w:rFonts w:cs="Segoe UI Light" w:cstheme="minorHAnsi"/>
                <w:sz w:val="18"/>
                <w:szCs w:val="18"/>
              </w:rPr>
              <w:t>Produkcja energii elektrycznej z nowo wybudowanych instalacji wykorzystujących OZE</w:t>
            </w:r>
          </w:p>
        </w:tc>
        <w:tc>
          <w:tcPr>
            <w:tcW w:w="1416"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MWhe/rok</w:t>
            </w:r>
          </w:p>
        </w:tc>
        <w:tc>
          <w:tcPr>
            <w:tcW w:w="992"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0</w:t>
            </w:r>
          </w:p>
        </w:tc>
        <w:tc>
          <w:tcPr>
            <w:tcW w:w="87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6,98</w:t>
            </w:r>
          </w:p>
        </w:tc>
        <w:tc>
          <w:tcPr>
            <w:tcW w:w="1030"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6,98</w:t>
            </w:r>
          </w:p>
        </w:tc>
        <w:tc>
          <w:tcPr>
            <w:tcW w:w="126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100%</w:t>
            </w:r>
          </w:p>
        </w:tc>
      </w:tr>
      <w:tr>
        <w:trPr/>
        <w:tc>
          <w:tcPr>
            <w:tcW w:w="492" w:type="dxa"/>
            <w:tcBorders/>
            <w:shd w:fill="auto" w:val="clear"/>
            <w:tcMar>
              <w:left w:w="103" w:type="dxa"/>
            </w:tcMar>
            <w:vAlign w:val="center"/>
          </w:tcPr>
          <w:p>
            <w:pPr>
              <w:pStyle w:val="Normal"/>
              <w:spacing w:lineRule="auto" w:line="240" w:before="0" w:after="0"/>
              <w:jc w:val="right"/>
              <w:rPr>
                <w:rFonts w:cs="Segoe UI Light" w:cstheme="minorHAnsi"/>
                <w:sz w:val="18"/>
                <w:szCs w:val="18"/>
              </w:rPr>
            </w:pPr>
            <w:r>
              <w:rPr>
                <w:rFonts w:cs="Segoe UI Light" w:cstheme="minorHAnsi"/>
                <w:sz w:val="18"/>
                <w:szCs w:val="18"/>
              </w:rPr>
              <w:t>4</w:t>
            </w:r>
          </w:p>
        </w:tc>
        <w:tc>
          <w:tcPr>
            <w:tcW w:w="2593" w:type="dxa"/>
            <w:tcBorders/>
            <w:shd w:fill="auto" w:val="clear"/>
            <w:tcMar>
              <w:left w:w="103" w:type="dxa"/>
            </w:tcMar>
            <w:vAlign w:val="center"/>
          </w:tcPr>
          <w:p>
            <w:pPr>
              <w:pStyle w:val="Normal"/>
              <w:spacing w:lineRule="auto" w:line="240" w:before="0" w:after="0"/>
              <w:jc w:val="left"/>
              <w:rPr>
                <w:rFonts w:cs="Segoe UI Light" w:cstheme="minorHAnsi"/>
                <w:sz w:val="18"/>
                <w:szCs w:val="18"/>
              </w:rPr>
            </w:pPr>
            <w:r>
              <w:rPr>
                <w:rFonts w:cs="Segoe UI Light" w:cstheme="minorHAnsi"/>
                <w:sz w:val="18"/>
                <w:szCs w:val="18"/>
              </w:rPr>
              <w:t>Redukcja zużycia energii elektrycznej z uwzględnieniem energii wytwarzanej na miejscu</w:t>
            </w:r>
          </w:p>
        </w:tc>
        <w:tc>
          <w:tcPr>
            <w:tcW w:w="1416"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MWh/rok</w:t>
            </w:r>
          </w:p>
        </w:tc>
        <w:tc>
          <w:tcPr>
            <w:tcW w:w="992"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w:t>
            </w:r>
          </w:p>
        </w:tc>
        <w:tc>
          <w:tcPr>
            <w:tcW w:w="87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w:t>
            </w:r>
          </w:p>
        </w:tc>
        <w:tc>
          <w:tcPr>
            <w:tcW w:w="1030"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24,816</w:t>
            </w:r>
          </w:p>
        </w:tc>
        <w:tc>
          <w:tcPr>
            <w:tcW w:w="126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w:t>
            </w:r>
          </w:p>
        </w:tc>
      </w:tr>
      <w:tr>
        <w:trPr/>
        <w:tc>
          <w:tcPr>
            <w:tcW w:w="492" w:type="dxa"/>
            <w:tcBorders/>
            <w:shd w:fill="auto" w:val="clear"/>
            <w:tcMar>
              <w:left w:w="103" w:type="dxa"/>
            </w:tcMar>
            <w:vAlign w:val="center"/>
          </w:tcPr>
          <w:p>
            <w:pPr>
              <w:pStyle w:val="Normal"/>
              <w:spacing w:lineRule="auto" w:line="240" w:before="0" w:after="0"/>
              <w:jc w:val="right"/>
              <w:rPr>
                <w:rFonts w:cs="Segoe UI Light" w:cstheme="minorHAnsi"/>
                <w:sz w:val="18"/>
                <w:szCs w:val="18"/>
              </w:rPr>
            </w:pPr>
            <w:r>
              <w:rPr>
                <w:rFonts w:cs="Segoe UI Light" w:cstheme="minorHAnsi"/>
                <w:sz w:val="18"/>
                <w:szCs w:val="18"/>
              </w:rPr>
              <w:t>5</w:t>
            </w:r>
          </w:p>
        </w:tc>
        <w:tc>
          <w:tcPr>
            <w:tcW w:w="2593" w:type="dxa"/>
            <w:tcBorders/>
            <w:shd w:fill="auto" w:val="clear"/>
            <w:tcMar>
              <w:left w:w="103" w:type="dxa"/>
            </w:tcMar>
            <w:vAlign w:val="center"/>
          </w:tcPr>
          <w:p>
            <w:pPr>
              <w:pStyle w:val="Normal"/>
              <w:spacing w:lineRule="auto" w:line="240" w:before="0" w:after="0"/>
              <w:jc w:val="left"/>
              <w:rPr>
                <w:rFonts w:cs="Segoe UI Light" w:cstheme="minorHAnsi"/>
                <w:sz w:val="18"/>
                <w:szCs w:val="18"/>
              </w:rPr>
            </w:pPr>
            <w:r>
              <w:rPr>
                <w:rFonts w:cs="Segoe UI Light" w:cstheme="minorHAnsi"/>
                <w:sz w:val="18"/>
                <w:szCs w:val="18"/>
              </w:rPr>
              <w:t>Zmniejszenie zużycia energii końcowej</w:t>
            </w:r>
          </w:p>
        </w:tc>
        <w:tc>
          <w:tcPr>
            <w:tcW w:w="1416"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GJ/rok</w:t>
            </w:r>
          </w:p>
        </w:tc>
        <w:tc>
          <w:tcPr>
            <w:tcW w:w="992"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1343,184</w:t>
            </w:r>
          </w:p>
        </w:tc>
        <w:tc>
          <w:tcPr>
            <w:tcW w:w="87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771,595</w:t>
            </w:r>
          </w:p>
        </w:tc>
        <w:tc>
          <w:tcPr>
            <w:tcW w:w="1030"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571,59</w:t>
            </w:r>
          </w:p>
        </w:tc>
        <w:tc>
          <w:tcPr>
            <w:tcW w:w="126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42,55%</w:t>
            </w:r>
          </w:p>
        </w:tc>
      </w:tr>
      <w:tr>
        <w:trPr/>
        <w:tc>
          <w:tcPr>
            <w:tcW w:w="492" w:type="dxa"/>
            <w:tcBorders/>
            <w:shd w:fill="auto" w:val="clear"/>
            <w:tcMar>
              <w:left w:w="103" w:type="dxa"/>
            </w:tcMar>
            <w:vAlign w:val="center"/>
          </w:tcPr>
          <w:p>
            <w:pPr>
              <w:pStyle w:val="Normal"/>
              <w:spacing w:lineRule="auto" w:line="240" w:before="0" w:after="0"/>
              <w:jc w:val="right"/>
              <w:rPr>
                <w:rFonts w:cs="Segoe UI Light" w:cstheme="minorHAnsi"/>
                <w:sz w:val="18"/>
                <w:szCs w:val="18"/>
              </w:rPr>
            </w:pPr>
            <w:r>
              <w:rPr>
                <w:rFonts w:cs="Segoe UI Light" w:cstheme="minorHAnsi"/>
                <w:sz w:val="18"/>
                <w:szCs w:val="18"/>
              </w:rPr>
              <w:t>6</w:t>
            </w:r>
          </w:p>
        </w:tc>
        <w:tc>
          <w:tcPr>
            <w:tcW w:w="2593" w:type="dxa"/>
            <w:tcBorders/>
            <w:shd w:fill="auto" w:val="clear"/>
            <w:tcMar>
              <w:left w:w="103" w:type="dxa"/>
            </w:tcMar>
            <w:vAlign w:val="center"/>
          </w:tcPr>
          <w:p>
            <w:pPr>
              <w:pStyle w:val="Normal"/>
              <w:spacing w:lineRule="auto" w:line="240" w:before="0" w:after="0"/>
              <w:jc w:val="left"/>
              <w:rPr>
                <w:rFonts w:cs="Segoe UI Light" w:cstheme="minorHAnsi"/>
                <w:sz w:val="18"/>
                <w:szCs w:val="18"/>
              </w:rPr>
            </w:pPr>
            <w:r>
              <w:rPr>
                <w:rFonts w:cs="Segoe UI Light" w:cstheme="minorHAnsi"/>
                <w:sz w:val="18"/>
                <w:szCs w:val="18"/>
              </w:rPr>
              <w:t>Redukcja zużycia energii cieplnej</w:t>
            </w:r>
          </w:p>
        </w:tc>
        <w:tc>
          <w:tcPr>
            <w:tcW w:w="1416"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GJ/rok</w:t>
            </w:r>
          </w:p>
        </w:tc>
        <w:tc>
          <w:tcPr>
            <w:tcW w:w="992"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1244,533</w:t>
            </w:r>
          </w:p>
        </w:tc>
        <w:tc>
          <w:tcPr>
            <w:tcW w:w="87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712,673</w:t>
            </w:r>
          </w:p>
        </w:tc>
        <w:tc>
          <w:tcPr>
            <w:tcW w:w="1030"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531,86</w:t>
            </w:r>
          </w:p>
        </w:tc>
        <w:tc>
          <w:tcPr>
            <w:tcW w:w="126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42,74%</w:t>
            </w:r>
          </w:p>
        </w:tc>
      </w:tr>
      <w:tr>
        <w:trPr/>
        <w:tc>
          <w:tcPr>
            <w:tcW w:w="492" w:type="dxa"/>
            <w:tcBorders/>
            <w:shd w:fill="auto" w:val="clear"/>
            <w:tcMar>
              <w:left w:w="103" w:type="dxa"/>
            </w:tcMar>
            <w:vAlign w:val="center"/>
          </w:tcPr>
          <w:p>
            <w:pPr>
              <w:pStyle w:val="Normal"/>
              <w:spacing w:lineRule="auto" w:line="240" w:before="0" w:after="0"/>
              <w:jc w:val="right"/>
              <w:rPr>
                <w:rFonts w:cs="Segoe UI Light" w:cstheme="minorHAnsi"/>
                <w:sz w:val="18"/>
                <w:szCs w:val="18"/>
              </w:rPr>
            </w:pPr>
            <w:r>
              <w:rPr>
                <w:rFonts w:cs="Segoe UI Light" w:cstheme="minorHAnsi"/>
                <w:sz w:val="18"/>
                <w:szCs w:val="18"/>
              </w:rPr>
              <w:t>7</w:t>
            </w:r>
          </w:p>
        </w:tc>
        <w:tc>
          <w:tcPr>
            <w:tcW w:w="2593" w:type="dxa"/>
            <w:tcBorders/>
            <w:shd w:fill="auto" w:val="clear"/>
            <w:tcMar>
              <w:left w:w="103" w:type="dxa"/>
            </w:tcMar>
            <w:vAlign w:val="center"/>
          </w:tcPr>
          <w:p>
            <w:pPr>
              <w:pStyle w:val="Normal"/>
              <w:spacing w:lineRule="auto" w:line="240" w:before="0" w:after="0"/>
              <w:jc w:val="left"/>
              <w:rPr>
                <w:rFonts w:cs="Segoe UI Light" w:cstheme="minorHAnsi"/>
                <w:sz w:val="18"/>
                <w:szCs w:val="18"/>
              </w:rPr>
            </w:pPr>
            <w:r>
              <w:rPr>
                <w:rFonts w:cs="Segoe UI Light" w:cstheme="minorHAnsi"/>
                <w:sz w:val="18"/>
                <w:szCs w:val="18"/>
              </w:rPr>
              <w:t xml:space="preserve">Dodatkowa zdolność wytwarzania energii elektrycznej ze źródeł odnawialnych </w:t>
            </w:r>
          </w:p>
        </w:tc>
        <w:tc>
          <w:tcPr>
            <w:tcW w:w="1416"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[MWe]</w:t>
            </w:r>
          </w:p>
        </w:tc>
        <w:tc>
          <w:tcPr>
            <w:tcW w:w="992"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0</w:t>
            </w:r>
          </w:p>
        </w:tc>
        <w:tc>
          <w:tcPr>
            <w:tcW w:w="87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0,0102</w:t>
            </w:r>
          </w:p>
        </w:tc>
        <w:tc>
          <w:tcPr>
            <w:tcW w:w="1030"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0,0102</w:t>
            </w:r>
          </w:p>
        </w:tc>
        <w:tc>
          <w:tcPr>
            <w:tcW w:w="126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100%</w:t>
            </w:r>
          </w:p>
        </w:tc>
      </w:tr>
    </w:tbl>
    <w:p>
      <w:pPr>
        <w:pStyle w:val="Quote"/>
        <w:rPr/>
      </w:pPr>
      <w:r>
        <w:rPr/>
        <w:t>Źródło: zestawienie na podstawie audytu energetycznego</w:t>
      </w:r>
      <w:r>
        <w:rPr/>
        <w:fldChar w:fldCharType="begin"/>
      </w:r>
      <w:r>
        <w:instrText> REF _Ref3715005 \r \h </w:instrText>
      </w:r>
      <w:r>
        <w:fldChar w:fldCharType="separate"/>
      </w:r>
      <w:r>
        <w:t xml:space="preserve">[4] - </w:t>
      </w:r>
      <w:r>
        <w:fldChar w:fldCharType="end"/>
      </w:r>
    </w:p>
    <w:p>
      <w:pPr>
        <w:pStyle w:val="Normal"/>
        <w:rPr>
          <w:rStyle w:val="Strong"/>
        </w:rPr>
      </w:pPr>
      <w:r>
        <w:rPr>
          <w:rStyle w:val="Strong"/>
        </w:rPr>
        <w:t>Efekt ekologiczny</w:t>
      </w:r>
    </w:p>
    <w:tbl>
      <w:tblPr>
        <w:tblStyle w:val="Tabela-Siatka"/>
        <w:tblW w:w="8664" w:type="dxa"/>
        <w:jc w:val="left"/>
        <w:tblInd w:w="-5" w:type="dxa"/>
        <w:tblCellMar>
          <w:top w:w="0" w:type="dxa"/>
          <w:left w:w="103" w:type="dxa"/>
          <w:bottom w:w="0" w:type="dxa"/>
          <w:right w:w="108" w:type="dxa"/>
        </w:tblCellMar>
        <w:tblLook w:firstRow="1" w:noVBand="1" w:lastRow="0" w:firstColumn="1" w:lastColumn="0" w:noHBand="0" w:val="04a0"/>
      </w:tblPr>
      <w:tblGrid>
        <w:gridCol w:w="492"/>
        <w:gridCol w:w="2593"/>
        <w:gridCol w:w="1134"/>
        <w:gridCol w:w="1134"/>
        <w:gridCol w:w="1015"/>
        <w:gridCol w:w="1030"/>
        <w:gridCol w:w="1265"/>
      </w:tblGrid>
      <w:tr>
        <w:trPr/>
        <w:tc>
          <w:tcPr>
            <w:tcW w:w="8663" w:type="dxa"/>
            <w:gridSpan w:val="7"/>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Efekt ekologiczny</w:t>
            </w:r>
          </w:p>
        </w:tc>
      </w:tr>
      <w:tr>
        <w:trPr/>
        <w:tc>
          <w:tcPr>
            <w:tcW w:w="492" w:type="dxa"/>
            <w:tcBorders/>
            <w:shd w:fill="auto" w:val="clear"/>
            <w:tcMar>
              <w:left w:w="103" w:type="dxa"/>
            </w:tcMar>
            <w:vAlign w:val="center"/>
          </w:tcPr>
          <w:p>
            <w:pPr>
              <w:pStyle w:val="Normal"/>
              <w:spacing w:lineRule="auto" w:line="240" w:before="0" w:after="0"/>
              <w:jc w:val="right"/>
              <w:rPr>
                <w:rFonts w:cs="Segoe UI Light" w:cstheme="minorHAnsi"/>
                <w:sz w:val="18"/>
                <w:szCs w:val="18"/>
              </w:rPr>
            </w:pPr>
            <w:r>
              <w:rPr>
                <w:rFonts w:cs="Segoe UI Light" w:cstheme="minorHAnsi"/>
                <w:sz w:val="18"/>
                <w:szCs w:val="18"/>
              </w:rPr>
              <w:t>2</w:t>
            </w:r>
          </w:p>
        </w:tc>
        <w:tc>
          <w:tcPr>
            <w:tcW w:w="2593" w:type="dxa"/>
            <w:tcBorders/>
            <w:shd w:fill="auto" w:val="clear"/>
            <w:tcMar>
              <w:left w:w="103" w:type="dxa"/>
            </w:tcMar>
            <w:vAlign w:val="center"/>
          </w:tcPr>
          <w:p>
            <w:pPr>
              <w:pStyle w:val="Normal"/>
              <w:spacing w:lineRule="auto" w:line="240" w:before="0" w:after="0"/>
              <w:jc w:val="left"/>
              <w:rPr>
                <w:rFonts w:cs="Segoe UI Light" w:cstheme="minorHAnsi"/>
                <w:sz w:val="18"/>
                <w:szCs w:val="18"/>
              </w:rPr>
            </w:pPr>
            <w:r>
              <w:rPr>
                <w:rFonts w:cs="Segoe UI Light" w:cstheme="minorHAnsi"/>
                <w:sz w:val="18"/>
                <w:szCs w:val="18"/>
              </w:rPr>
              <w:t>Ograniczenie gazów cieplarnianych związanych z użytkowaniem budynku</w:t>
            </w:r>
          </w:p>
        </w:tc>
        <w:tc>
          <w:tcPr>
            <w:tcW w:w="1134"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Mg CO</w:t>
            </w:r>
            <w:r>
              <w:rPr>
                <w:rFonts w:cs="Segoe UI Light" w:cstheme="minorHAnsi"/>
                <w:sz w:val="18"/>
                <w:szCs w:val="18"/>
                <w:vertAlign w:val="subscript"/>
              </w:rPr>
              <w:t>2</w:t>
            </w:r>
            <w:r>
              <w:rPr>
                <w:rFonts w:cs="Segoe UI Light" w:cstheme="minorHAnsi"/>
                <w:sz w:val="18"/>
                <w:szCs w:val="18"/>
              </w:rPr>
              <w:t>/rok</w:t>
            </w:r>
          </w:p>
        </w:tc>
        <w:tc>
          <w:tcPr>
            <w:tcW w:w="1134"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95,661</w:t>
            </w:r>
          </w:p>
        </w:tc>
        <w:tc>
          <w:tcPr>
            <w:tcW w:w="101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62,682</w:t>
            </w:r>
          </w:p>
        </w:tc>
        <w:tc>
          <w:tcPr>
            <w:tcW w:w="1030"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32,979</w:t>
            </w:r>
          </w:p>
        </w:tc>
        <w:tc>
          <w:tcPr>
            <w:tcW w:w="1265" w:type="dxa"/>
            <w:tcBorders/>
            <w:shd w:fill="auto" w:val="clear"/>
            <w:tcMar>
              <w:left w:w="103" w:type="dxa"/>
            </w:tcMar>
            <w:vAlign w:val="center"/>
          </w:tcPr>
          <w:p>
            <w:pPr>
              <w:pStyle w:val="Normal"/>
              <w:spacing w:lineRule="auto" w:line="240" w:before="0" w:after="0"/>
              <w:jc w:val="center"/>
              <w:rPr>
                <w:rFonts w:cs="Segoe UI Light" w:cstheme="minorHAnsi"/>
                <w:sz w:val="18"/>
                <w:szCs w:val="18"/>
              </w:rPr>
            </w:pPr>
            <w:r>
              <w:rPr>
                <w:rFonts w:cs="Segoe UI Light" w:cstheme="minorHAnsi"/>
                <w:sz w:val="18"/>
                <w:szCs w:val="18"/>
              </w:rPr>
              <w:t>34,47%</w:t>
            </w:r>
          </w:p>
        </w:tc>
      </w:tr>
    </w:tbl>
    <w:p>
      <w:pPr>
        <w:pStyle w:val="Quote"/>
        <w:rPr/>
      </w:pPr>
      <w:r>
        <w:rPr/>
        <w:t>Źródło: zestawienie na podstawie audytu energetycznego</w:t>
      </w:r>
      <w:r>
        <w:rPr/>
        <w:fldChar w:fldCharType="begin"/>
      </w:r>
      <w:r>
        <w:instrText> REF _Ref3715005 \r \h </w:instrText>
      </w:r>
      <w:r>
        <w:fldChar w:fldCharType="separate"/>
      </w:r>
      <w:r>
        <w:t xml:space="preserve">[4] - </w:t>
      </w:r>
      <w:r>
        <w:fldChar w:fldCharType="end"/>
      </w:r>
    </w:p>
    <w:p>
      <w:pPr>
        <w:pStyle w:val="Normal"/>
        <w:rPr/>
      </w:pPr>
      <w:r>
        <w:rPr/>
        <w:t>Przeprowadzenie niezbędnego zakresu robót budowlanych wymagać będzie przygotowania wielobranżowej dokumentacji projektowej, dodatkowych opracowań poprzedzających (wymaganych przepisami odrębnymi) oraz uzyskania wszelkich niezbędnych uzgodnień, zgód i decyzji, w tym wynikających z prawa ochrony zwierząt, prawa wodnego, ochrony zabytków i opiece nad zabytkami oraz prawa budowlanego.</w:t>
      </w:r>
    </w:p>
    <w:p>
      <w:pPr>
        <w:pStyle w:val="Nagwek2"/>
        <w:numPr>
          <w:ilvl w:val="1"/>
          <w:numId w:val="3"/>
        </w:numPr>
        <w:shd w:val="clear" w:fill="FCDBD3"/>
        <w:rPr/>
      </w:pPr>
      <w:bookmarkStart w:id="46" w:name="_Toc10627711"/>
      <w:bookmarkStart w:id="47" w:name="_Toc5015505431"/>
      <w:bookmarkStart w:id="48" w:name="_Toc5015747481"/>
      <w:bookmarkStart w:id="49" w:name="_Toc5016201981"/>
      <w:bookmarkStart w:id="50" w:name="_Toc5016253191"/>
      <w:bookmarkEnd w:id="46"/>
      <w:bookmarkEnd w:id="47"/>
      <w:bookmarkEnd w:id="48"/>
      <w:bookmarkEnd w:id="49"/>
      <w:bookmarkEnd w:id="50"/>
      <w:r>
        <w:rPr/>
        <w:t>Aktualne uwarunkowania Wykonania Przedmiotu Zamówienia</w:t>
      </w:r>
    </w:p>
    <w:p>
      <w:pPr>
        <w:pStyle w:val="Normal"/>
        <w:tabs>
          <w:tab w:val="left" w:pos="6465" w:leader="none"/>
        </w:tabs>
        <w:rPr/>
      </w:pPr>
      <w:r>
        <w:rPr/>
        <w:t>Zamawiający zastrzega, że obiekt podczas wykonywania wszystkich prac budowlanych może być użytkowany przynajmniej w części, w związku z czym należy uzgodnić z Zamawiającym harmonogram robót umożliwiający zmianę organizacji pracy szkoły w sposób zapewniający jak najmniejszą dezorganizację pracy szkoły i bezpieczeństwo użytkowania obiektu podczas prac. Zamawiający wymaga od przyszłego Wykonawcy, iż wszelkie prace wewnętrzne należy prowadzić piętrami, a o ich rozpoczęciu należy poinformować Zamawiającego z minimum dwutygodniowym wyprzedzeniem, przy czym wykonanie montażu odbiorników instalacji grzewczej wraz z elementami regulującymi ich pracę oraz płukanie i regulację instalacji C.O. należy zakończyć przed rozpoczęciem sezonu grzewczego. Do obowiązków Wykonawcy należeć będzie również zabezpieczenie i zmagazynowanie w czasie trwania robót wyposażenia znajdującego się na stanie pomieszczeń szkoły. Zakłada się, że w tym celu, w zależności od terminu i harmonogramu prac, w miarę możliwości mogą zostać wykorzystane pomieszczenia szkoły, w których na danym etapie nie będą prowadzone roboty lub że Wykonawca zapewni ich bezpieczne zmagazynowanie w odpowiednich warunkach poza terenem budowy. Wykonawca będzie ponosił wszelką odpowiedzialność za sprawność i uszkodzenia wyposażenia podczas robót. W związku z powyższym należy protokolarnie skatalogować wyposażenie i sprawdzić jego stan przed demontażem i/lub przygotowaniem do zmagazynowania oraz protokolarnie zdać je Użytkownikowi po zakończeniu robót, po przeprowadzeniu sprawdzenia stanu i sprawności. Ww. czynności powinny odbywać się z udziałem wyznaczonego przedstawiciela Użytkownika, Zamawiającego oraz Wykonawcy. Koszty zmagazynowania ww. wyposażenia należy uwzględnić w cenie Zamówienia.</w:t>
      </w:r>
    </w:p>
    <w:p>
      <w:pPr>
        <w:pStyle w:val="Normal"/>
        <w:tabs>
          <w:tab w:val="left" w:pos="6465" w:leader="none"/>
        </w:tabs>
        <w:rPr/>
      </w:pPr>
      <w:r>
        <w:rPr/>
        <w:t>Budynek Szkoły jest wpisany do Wojewódzkiego Rejestru Zabytków pod nr rej. A – 296 decyzją z dn. 22.12.2006r. i podlega ścisłej ochronie konserwatorskiej na podstawie przepisów Ustawy z dn. 23.07.2003r. o ochronie zabytków i opiece nad zabytkami (t.j. Dz.U.2018.2067 z dn. 30.10.2018r.). W związku z powyższym zabronione jest m.in. prowadzenie prac termomodernizacyjnych polegających na ociepleniu ścian zewnętrznych. Lokalizacja paneli fotowoltaicznych musi być ustalona w porozumieniu i zaakceptowana przez Zachodniopomorskiego Wojewódzkiego Konserwatora Zabytków. Zgodnie z wytycznymi - pismo ZN.5183.19.2016.AM z dnia 04.03.2016r. – Zachodniopomorskiego Wojewódzkiego Konserwatora Zabytków w Szczecinie, należy:</w:t>
      </w:r>
    </w:p>
    <w:p>
      <w:pPr>
        <w:pStyle w:val="ListParagraph"/>
        <w:numPr>
          <w:ilvl w:val="0"/>
          <w:numId w:val="12"/>
        </w:numPr>
        <w:tabs>
          <w:tab w:val="left" w:pos="6465" w:leader="none"/>
        </w:tabs>
        <w:rPr/>
      </w:pPr>
      <w:r>
        <w:rPr/>
        <w:t>przeprowadzić remont elewacji z zachowaniem stanu istniejącego przy wzmocnieniu i uzupełnieniu zdegradowanych partii oraz spoin, z zachowaniem oryginalnej formy, techniki i technologii wykończenia elewacji,</w:t>
      </w:r>
    </w:p>
    <w:p>
      <w:pPr>
        <w:pStyle w:val="ListParagraph"/>
        <w:numPr>
          <w:ilvl w:val="0"/>
          <w:numId w:val="12"/>
        </w:numPr>
        <w:tabs>
          <w:tab w:val="left" w:pos="6465" w:leader="none"/>
        </w:tabs>
        <w:rPr/>
      </w:pPr>
      <w:r>
        <w:rPr/>
        <w:t>uzupełnić spoinowanie i ewentualne miejscowe przemurowania krawędzi ceglanych murów szczytowych z zachowaniem oryginalnej formy, techniki i technologii wykończenia szczytów, z wykonaniem opierzenia gzymsów i parapetów na elewacji budynku wraz z uzupełnieniem brakujących fragmentów gzymsów i parapetów z zachowaniem oryginalnej formy, techniki i technologii, materiałów i formy tych elementów,</w:t>
      </w:r>
    </w:p>
    <w:p>
      <w:pPr>
        <w:pStyle w:val="ListParagraph"/>
        <w:numPr>
          <w:ilvl w:val="0"/>
          <w:numId w:val="12"/>
        </w:numPr>
        <w:tabs>
          <w:tab w:val="left" w:pos="6465" w:leader="none"/>
        </w:tabs>
        <w:rPr/>
      </w:pPr>
      <w:r>
        <w:rPr/>
        <w:t>uwzględnić przy remoncie elewacji wykonanie odprowadzenia wód deszczowych z terenu bezpośrednio przylegającego do murów budynku</w:t>
      </w:r>
    </w:p>
    <w:p>
      <w:pPr>
        <w:pStyle w:val="ListParagraph"/>
        <w:numPr>
          <w:ilvl w:val="0"/>
          <w:numId w:val="12"/>
        </w:numPr>
        <w:tabs>
          <w:tab w:val="left" w:pos="6465" w:leader="none"/>
        </w:tabs>
        <w:rPr/>
      </w:pPr>
      <w:r>
        <w:rPr/>
        <w:t>wykonanie trwałego zabezpieczenia zwieńczenia górnej części wieży przed dostępem wód opadowych z wykonaniem odprowadzenia wody deszczowej z połaci dachu rynnami i rurą spustową przymocowaną na tylnej ścianie (mało eksponowanej) na niższe połacie dachowe,</w:t>
      </w:r>
    </w:p>
    <w:p>
      <w:pPr>
        <w:pStyle w:val="ListParagraph"/>
        <w:numPr>
          <w:ilvl w:val="0"/>
          <w:numId w:val="12"/>
        </w:numPr>
        <w:tabs>
          <w:tab w:val="left" w:pos="6465" w:leader="none"/>
        </w:tabs>
        <w:rPr/>
      </w:pPr>
      <w:r>
        <w:rPr/>
        <w:t>przeprowadzić prace uszczelniające pokrycie dachowe nad górnym korpusem dworu,</w:t>
      </w:r>
    </w:p>
    <w:p>
      <w:pPr>
        <w:pStyle w:val="ListParagraph"/>
        <w:numPr>
          <w:ilvl w:val="0"/>
          <w:numId w:val="12"/>
        </w:numPr>
        <w:tabs>
          <w:tab w:val="left" w:pos="6465" w:leader="none"/>
        </w:tabs>
        <w:rPr/>
      </w:pPr>
      <w:r>
        <w:rPr/>
        <w:t>uwzględnić odtworzenie dekoracji zniszczonych dekoracji architektonicznych.</w:t>
      </w:r>
    </w:p>
    <w:p>
      <w:pPr>
        <w:pStyle w:val="Normal"/>
        <w:tabs>
          <w:tab w:val="left" w:pos="6465" w:leader="none"/>
        </w:tabs>
        <w:rPr/>
      </w:pPr>
      <w:r>
        <w:rPr/>
        <w:t>W związku z powyższymi pracami należy przygotować dokumentację konserwatorską (program prac konserwatorskich).</w:t>
      </w:r>
    </w:p>
    <w:p>
      <w:pPr>
        <w:pStyle w:val="Normal"/>
        <w:tabs>
          <w:tab w:val="left" w:pos="6465" w:leader="none"/>
        </w:tabs>
        <w:rPr/>
      </w:pPr>
      <w:r>
        <w:rPr/>
        <w:t>Ponadto zaznacza się, że zgodnie z powyższymi zaleceniami prowadzenie prac remonotowo-rewaloryzacyjnych przy przedmiotowym zabytku podlega następującym zasadom:</w:t>
      </w:r>
    </w:p>
    <w:p>
      <w:pPr>
        <w:pStyle w:val="ListParagraph"/>
        <w:numPr>
          <w:ilvl w:val="0"/>
          <w:numId w:val="13"/>
        </w:numPr>
        <w:tabs>
          <w:tab w:val="left" w:pos="6465" w:leader="none"/>
        </w:tabs>
        <w:ind w:left="426" w:hanging="0"/>
        <w:rPr/>
      </w:pPr>
      <w:r>
        <w:rPr/>
        <w:t>Obowiązuje zachowanie i rewaloryzacja następujących elementów budowli:</w:t>
      </w:r>
    </w:p>
    <w:p>
      <w:pPr>
        <w:pStyle w:val="ListParagraph"/>
        <w:numPr>
          <w:ilvl w:val="0"/>
          <w:numId w:val="14"/>
        </w:numPr>
        <w:tabs>
          <w:tab w:val="left" w:pos="6465" w:leader="none"/>
        </w:tabs>
        <w:ind w:left="709" w:hanging="142"/>
        <w:rPr/>
      </w:pPr>
      <w:r>
        <w:rPr/>
        <w:t>ukształtowania bryły, w tym wysokości ścian obwodowych i kształtu dachu,</w:t>
      </w:r>
    </w:p>
    <w:p>
      <w:pPr>
        <w:pStyle w:val="ListParagraph"/>
        <w:numPr>
          <w:ilvl w:val="0"/>
          <w:numId w:val="14"/>
        </w:numPr>
        <w:tabs>
          <w:tab w:val="left" w:pos="6465" w:leader="none"/>
        </w:tabs>
        <w:ind w:left="709" w:hanging="142"/>
        <w:rPr/>
      </w:pPr>
      <w:r>
        <w:rPr/>
        <w:t>kompozycji elewacji, w tym rozmieszczenia i kształtu otworów okiennych, drzwiowych oraz wystroju architektonicznego (gzymsy, opaski, boniowania itp.),</w:t>
      </w:r>
    </w:p>
    <w:p>
      <w:pPr>
        <w:pStyle w:val="ListParagraph"/>
        <w:numPr>
          <w:ilvl w:val="0"/>
          <w:numId w:val="14"/>
        </w:numPr>
        <w:tabs>
          <w:tab w:val="left" w:pos="6465" w:leader="none"/>
        </w:tabs>
        <w:ind w:left="709" w:hanging="142"/>
        <w:rPr/>
      </w:pPr>
      <w:r>
        <w:rPr/>
        <w:t>stolarki okiennej i drzwiowej a w przypadku jej znacznego zniszczenia - odtworzenie starej formy,</w:t>
      </w:r>
    </w:p>
    <w:p>
      <w:pPr>
        <w:pStyle w:val="ListParagraph"/>
        <w:numPr>
          <w:ilvl w:val="0"/>
          <w:numId w:val="14"/>
        </w:numPr>
        <w:tabs>
          <w:tab w:val="left" w:pos="6465" w:leader="none"/>
        </w:tabs>
        <w:ind w:left="709" w:hanging="142"/>
        <w:rPr/>
      </w:pPr>
      <w:r>
        <w:rPr/>
        <w:t>zasadniczej kompozycji wnętrza wraz z wystrojem i zachowanym wyposażeniem (piece, kominki, drzwi i inne)</w:t>
      </w:r>
    </w:p>
    <w:p>
      <w:pPr>
        <w:pStyle w:val="ListParagraph"/>
        <w:numPr>
          <w:ilvl w:val="0"/>
          <w:numId w:val="13"/>
        </w:numPr>
        <w:tabs>
          <w:tab w:val="left" w:pos="6465" w:leader="none"/>
        </w:tabs>
        <w:ind w:left="567" w:hanging="141"/>
        <w:rPr/>
      </w:pPr>
      <w:r>
        <w:rPr/>
        <w:t>W przypadkach, gdy stan techniczny ww. elementów nie pozwala na ich zachowanie, wymagane jest ich odtworzenie w oparciu o uprzednio wykonaną inwentaryzację.</w:t>
      </w:r>
    </w:p>
    <w:p>
      <w:pPr>
        <w:pStyle w:val="ListParagraph"/>
        <w:numPr>
          <w:ilvl w:val="0"/>
          <w:numId w:val="13"/>
        </w:numPr>
        <w:tabs>
          <w:tab w:val="left" w:pos="6465" w:leader="none"/>
        </w:tabs>
        <w:ind w:left="567" w:hanging="141"/>
        <w:rPr/>
      </w:pPr>
      <w:r>
        <w:rPr/>
        <w:t>Prace remontowo-rewaloryzacyjne prowadzi się na podstawie projektu, zatwierdzonego przez Wojewódzkiego Konserwatora Zabytków.</w:t>
      </w:r>
    </w:p>
    <w:p>
      <w:pPr>
        <w:pStyle w:val="Normal"/>
        <w:rPr/>
      </w:pPr>
      <w:r>
        <w:rPr/>
        <w:t xml:space="preserve">Dodatkowo, powyższe prace będą wiązały się z koniecznością zaprojektowania i wykonania rozwiązań kompensacyjnych wskazanych w Ekspertyzie ornitologicznej i chiropterologicznej </w:t>
      </w:r>
      <w:r>
        <w:rPr/>
        <w:fldChar w:fldCharType="begin"/>
      </w:r>
      <w:r>
        <w:instrText> REF _Ref3716057 \r \h </w:instrText>
      </w:r>
      <w:r>
        <w:fldChar w:fldCharType="separate"/>
      </w:r>
      <w:r>
        <w:t xml:space="preserve">[5] - </w:t>
      </w:r>
      <w:r>
        <w:fldChar w:fldCharType="end"/>
      </w:r>
      <w:r>
        <w:rPr/>
        <w:t>, w związku z występowaniem na elewacji i w części nieogrzewanego poddasza siedlisk gatunków chronionych – ptaków i nietoperzy.</w:t>
      </w:r>
    </w:p>
    <w:p>
      <w:pPr>
        <w:pStyle w:val="Normal"/>
        <w:rPr/>
      </w:pPr>
      <w:r>
        <w:rPr/>
        <w:t>Zgodnie z obowiązującymi przepisami, w tym Prawa budowlanego, ww. uwarunkowań wynikających m.in. z ochrony zwierząt, ochrony gatunkowej i ochrony siedlisk, realizacja inwestycji w żadnym przypadku nie może spowodować zagrożenia środowiska. W związku z powyższym ustalenia ww. ekspertyzy ornitologicznej i chiropterologicznej należy uwzględnić w dokumentacji projektowej i konserwatorskiej (kwestia maksymalnego zachowania istniejących siedlisk i zapewnienia rozwiązań kompensacyjnych za likwidowane siedliska), w harmonogramie robót budowlanych a następnie przebiegu robót. W związku z faktem, iż znajdująca się w posiadaniu Zamawiającego ekspertyza ornitologiczna i chiropterologiczna została sporządzona 2 lata przed sporządzeniem przedmiotowego Programu Funkcjonalno-Użytkowego oraz coroczne zmiany (porzucanie i tworzenie nowych siedlisk), na etapie wykonawczym należy ją przeprowadzić ponownie, w celu określenia jak najbardziej aktualnego stanu i lokalizacji siedlisk oraz zimowisk, jeszcze przed rozpoczęciem robót budowlanych, tak aby na ich etapie zminimalizować związane z nimi konieczne zmiany. Nowe siedliska należy uwzględnić w wymaganym prawem postępowaniu. Należy uzyskać wszelkie niezbędne uzgodnienia, odstępstwa, zgody i decyzje związane z ochroną występujących w i na budynku gatunków chronionych ptaków oraz nietoperzy oraz ich siedliskami i ewentualnymi zimowiskami.</w:t>
      </w:r>
    </w:p>
    <w:p>
      <w:pPr>
        <w:pStyle w:val="Normal"/>
        <w:rPr/>
      </w:pPr>
      <w:r>
        <w:rPr/>
        <w:t xml:space="preserve">Ze względu na zabytkowy charakter elewacji oraz wytyczne konserwatorskie, wszelkie budki dla ptaków i schrony dla nietoperzy należy zapewnić w ramach elementów wkomponowanych w elewację i elementy zdobnicze na elewacji budynku, obróbki blacharskie itp. w sposób możliwie niewidoczny i dopuszczalny ze stanowiska Zachodniopomorskiego Konserwatora Zabytków. </w:t>
      </w:r>
    </w:p>
    <w:p>
      <w:pPr>
        <w:pStyle w:val="Normal"/>
        <w:rPr/>
      </w:pPr>
      <w:r>
        <w:rPr/>
        <w:t>Ponadto, zabytkowy budynek Szkoły znajduje się na terenie zabytkowego parku z 2 poł. XIX, wpisanego do Zachodniopomorskiego Rejestru Zabytków pod nr rej.: A-952 decyzją z dn. 12.12.1980r. w związku z czym wszelkie roboty budowlane polegające na budowie, przebudowie, rozbudowie lub remoncie prowadzone w otoczeniu budynku Szkoły (w obrębie przedmiotowego zabytkowego parku) również wymagają uzyskania zatwierdzenia projektu budowlanego dla tych robót i wyrażenia zgody na ich prowadzenie przez Zachodniopomorskiego Wojewódzkiego Konserwatora Zabytków, a następnie, albo zgłoszenia robót budowlanych na obszarze wpisanym do rejestru zabytków albo zatwierdzenia projektu budowlanego i wydania decyzji o pozwoleniu na budowę na prowadzenie robót budowlanych na obszarze wpisanym do rejestru zabytków. Dopuszcza się wariantowe przeprowadzenie procedury administracyjnej poprzedzającej rozpoczęcie robót budowlanych:</w:t>
      </w:r>
    </w:p>
    <w:p>
      <w:pPr>
        <w:pStyle w:val="ListParagraph"/>
        <w:numPr>
          <w:ilvl w:val="0"/>
          <w:numId w:val="71"/>
        </w:numPr>
        <w:rPr/>
      </w:pPr>
      <w:r>
        <w:rPr/>
        <w:t xml:space="preserve">Wariant I: </w:t>
      </w:r>
    </w:p>
    <w:p>
      <w:pPr>
        <w:pStyle w:val="ListParagraph"/>
        <w:numPr>
          <w:ilvl w:val="1"/>
          <w:numId w:val="71"/>
        </w:numPr>
        <w:rPr/>
      </w:pPr>
      <w:r>
        <w:rPr/>
        <w:t>Prace dotyczące budynku od zewnątrz i od wenątrz – postępowanie zatwierdzające projekt budowlany i wydanie decyzji o pozwoleniu na budowę</w:t>
      </w:r>
    </w:p>
    <w:p>
      <w:pPr>
        <w:pStyle w:val="ListParagraph"/>
        <w:numPr>
          <w:ilvl w:val="1"/>
          <w:numId w:val="71"/>
        </w:numPr>
        <w:rPr/>
      </w:pPr>
      <w:r>
        <w:rPr/>
        <w:t>Prace dotyczące instalacji zewnętrznych wokół budynku – zgłoszenie robót budowlanych</w:t>
      </w:r>
    </w:p>
    <w:p>
      <w:pPr>
        <w:pStyle w:val="ListParagraph"/>
        <w:numPr>
          <w:ilvl w:val="0"/>
          <w:numId w:val="71"/>
        </w:numPr>
        <w:rPr/>
      </w:pPr>
      <w:r>
        <w:rPr/>
        <w:t>Wariant II:</w:t>
      </w:r>
    </w:p>
    <w:p>
      <w:pPr>
        <w:pStyle w:val="ListParagraph"/>
        <w:numPr>
          <w:ilvl w:val="1"/>
          <w:numId w:val="71"/>
        </w:numPr>
        <w:rPr/>
      </w:pPr>
      <w:r>
        <w:rPr/>
        <w:t xml:space="preserve">W związku z kompleksową realizacją inwestycji wymaga się, aby wszelkie roboty budowlane w otoczeniu budynku Szkoły w Mielęcinie objęte były jedną dokumentacją projektową, wspólną z dokumentacją projektową dla budynku Szkoły, w podziale na tomy: zagospodarowania terenu w zakresie niezbędnych robót wokół budynku (tom I) oraz robót budowlanych w zakresie budynku (tom II). </w:t>
      </w:r>
    </w:p>
    <w:p>
      <w:pPr>
        <w:pStyle w:val="Normal"/>
        <w:rPr/>
      </w:pPr>
      <w:r>
        <w:rPr/>
        <w:t xml:space="preserve">W związku z powyższym, w zależności od wybranego przez Wykonawcę wariantu ścieżki administracyjnej wymaga się przeprowadzenia jednego, łącznego postępowania administracyjnego, polegającego na uzyskaniu zatwierdzenia projektu budowlanego i zgody Zachodniopomorskiego Wojewódzkiego Konserwatora Zbytków na prowadzenie robót budowlanych przy obiekcie wpisanym do rejestru zabytków i położonym na obszarze wpisanym do rejestru zabytków (wariant II) lub odpowiednio dwóch (wariant I). W przypadku wariantu I Wykonawca zobowiązany będzie do wskazania w dokumentacji budowlanej stanowiącej załącznik do wniosku o zatwierdzenie projektu budowlanego i wydania decyzji o pozwoleniu na budowę wskazać opisowo i graficznie zakres prac podlegających zgłoszeniu z zaznaczeniem, iż podlegają one odrębnemu opracowaniu. W przypadku realizacji łącznej (wariant II) Wykonawca będzie zobowiązany w miarę potrzeb do uzyskania dodatkowych decyzji (decyzja o lokalizacji inwestycji celu publicznego). Wybór ścieżki postępowania należy do Wykonawcy, wszelkie koszty związane z wybranym wariantem należy uwzględnić w cenie Zamówienia. Zamawiający dopuszczę możliwość zmiany ścieżki postępowania na etapie projektu budowlanego, w takim przypadku wszelkie związane z tym koszty będą obciążały Wykonawcę i nie będą podlegały dodatkowemu wynagrodzeniu. </w:t>
      </w:r>
    </w:p>
    <w:p>
      <w:pPr>
        <w:pStyle w:val="Normal"/>
        <w:rPr/>
      </w:pPr>
      <w:r>
        <w:rPr/>
        <w:t>Uwaga: W związku z objęciem budynku Szkoły w Mielęcinie wpisem do Rejestru Zabytków, osoby pełniące funkcję kierownika budowy i inspektora nadzoru inwestorskiego, spełniać muszą warunki określone przepisami §24 Rozporządzenia Ministra Kultury i Dziedzictwa Narodowego z dn. 27.07.2011r. w sprawie prowadzenia prac konserwatorskich, restauratorskich, robót budowlanych, badań konserwatorskich, badań architektonicznych i innych działań przy zabytku wpisanym do rejestru zabytków oraz badań archeologicznych (Dz.U.2018.1609 z dn. 22.08.2018r.), który określa, iż robotami budowlanymi przy zabytkach nieruchomych mogą kierować osoby, które posiadają odpowiednie uprawnienia budowlane określone przepisami Prawa budowlanego oraz odbyły co najmniej 2-letnią praktykę zawodową na budowie przy zabytkach nieruchomych wpisanych do rejestru zabytków. Powyższe przepisy stosuje się również do wykonywania nadzoru inwestorskiego.</w:t>
      </w:r>
    </w:p>
    <w:p>
      <w:pPr>
        <w:pStyle w:val="Normal"/>
        <w:rPr/>
      </w:pPr>
      <w:r>
        <w:rPr/>
        <w:t xml:space="preserve">Ponadto, obiekt nie posiada oryginalnej dokumentacji budowlanej, dostępny materiał archiwalny dokumentujący stan techniczny i elementy budynku wymaga uzupełnienia i aktualizacji, poprzez przeprowadzenie inwentaryzacji i oceny stanu technicznego. Sporządzenie inwentaryzacji wymaga wykonania pomiarów na miejscu, z natury. </w:t>
      </w:r>
    </w:p>
    <w:p>
      <w:pPr>
        <w:pStyle w:val="Normal"/>
        <w:rPr/>
      </w:pPr>
      <w:r>
        <w:rPr/>
        <w:t xml:space="preserve">W posiadaniu Zamawiającego znajduje się następująca dokumentacja archiwalna dla obiektu (w tym dokumentacja wskazana w pkt </w:t>
      </w:r>
      <w:r>
        <w:rPr/>
        <w:fldChar w:fldCharType="begin"/>
      </w:r>
      <w:r>
        <w:instrText> REF _Ref3727422 \r \h </w:instrText>
      </w:r>
      <w:r>
        <w:fldChar w:fldCharType="separate"/>
      </w:r>
      <w:r>
        <w:t>1.1</w:t>
      </w:r>
      <w:r>
        <w:fldChar w:fldCharType="end"/>
      </w:r>
      <w:r>
        <w:rPr/>
        <w:t xml:space="preserve"> </w:t>
      </w:r>
      <w:r>
        <w:rPr/>
        <w:fldChar w:fldCharType="begin"/>
      </w:r>
      <w:r>
        <w:instrText> REF _Ref3727422 \h </w:instrText>
      </w:r>
      <w:r>
        <w:fldChar w:fldCharType="separate"/>
      </w:r>
      <w:r/>
      <w:r>
        <w:fldChar w:fldCharType="end"/>
      </w:r>
      <w:r>
        <w:rPr/>
        <w:t>):</w:t>
      </w:r>
    </w:p>
    <w:p>
      <w:pPr>
        <w:pStyle w:val="ListParagraph"/>
        <w:numPr>
          <w:ilvl w:val="1"/>
          <w:numId w:val="15"/>
        </w:numPr>
        <w:jc w:val="left"/>
        <w:rPr/>
      </w:pPr>
      <w:r>
        <w:rPr/>
        <w:fldChar w:fldCharType="begin"/>
      </w:r>
      <w:r>
        <w:instrText> REF _Ref3727279 \h </w:instrText>
      </w:r>
      <w:r>
        <w:fldChar w:fldCharType="separate"/>
      </w:r>
      <w:r>
        <w:t>Wyciąg z książki obiektu budowlanego nr 6/94 wydana dn. 12.01.1994r. dla obiektu budowlanego szkoła Podstawowa w Mielęcinie,</w:t>
      </w:r>
      <w:r>
        <w:fldChar w:fldCharType="end"/>
      </w:r>
      <w:r>
        <w:rPr/>
        <w:t xml:space="preserve"> </w:t>
      </w:r>
      <w:r>
        <w:rPr/>
        <w:fldChar w:fldCharType="begin"/>
      </w:r>
      <w:r>
        <w:instrText> REF _Ref3727279 \r \h </w:instrText>
      </w:r>
      <w:r>
        <w:fldChar w:fldCharType="separate"/>
      </w:r>
      <w:r>
        <w:t xml:space="preserve">[1] - </w:t>
      </w:r>
      <w:r>
        <w:fldChar w:fldCharType="end"/>
      </w:r>
      <w:r>
        <w:rPr/>
        <w:t>,</w:t>
      </w:r>
    </w:p>
    <w:p>
      <w:pPr>
        <w:pStyle w:val="ListParagraph"/>
        <w:numPr>
          <w:ilvl w:val="1"/>
          <w:numId w:val="15"/>
        </w:numPr>
        <w:jc w:val="left"/>
        <w:rPr/>
      </w:pPr>
      <w:r>
        <w:rPr/>
        <w:fldChar w:fldCharType="begin"/>
      </w:r>
      <w:r>
        <w:instrText> REF _Ref3727272 \h </w:instrText>
      </w:r>
      <w:r>
        <w:fldChar w:fldCharType="separate"/>
      </w:r>
      <w:r>
        <w:t>Inwentaryzacja inż. M Rąbek z 08.1952 – rysunki i elewacje detali,</w:t>
      </w:r>
      <w:r>
        <w:fldChar w:fldCharType="end"/>
      </w:r>
      <w:r>
        <w:rPr/>
        <w:t xml:space="preserve"> </w:t>
      </w:r>
      <w:r>
        <w:rPr/>
        <w:fldChar w:fldCharType="begin"/>
      </w:r>
      <w:r>
        <w:instrText> REF _Ref3727272 \r \h </w:instrText>
      </w:r>
      <w:r>
        <w:fldChar w:fldCharType="separate"/>
      </w:r>
      <w:r>
        <w:t xml:space="preserve">[2] - </w:t>
      </w:r>
      <w:r>
        <w:fldChar w:fldCharType="end"/>
      </w:r>
      <w:r>
        <w:rPr/>
        <w:t>,</w:t>
      </w:r>
    </w:p>
    <w:p>
      <w:pPr>
        <w:pStyle w:val="ListParagraph"/>
        <w:numPr>
          <w:ilvl w:val="1"/>
          <w:numId w:val="15"/>
        </w:numPr>
        <w:jc w:val="left"/>
        <w:rPr/>
      </w:pPr>
      <w:r>
        <w:rPr/>
        <w:fldChar w:fldCharType="begin"/>
      </w:r>
      <w:r>
        <w:instrText> REF _Ref3727510 \h </w:instrText>
      </w:r>
      <w:r>
        <w:fldChar w:fldCharType="separate"/>
      </w:r>
      <w:r>
        <w:t>Błąd: Nie znaleziono źródła odwołania</w:t>
      </w:r>
      <w:r>
        <w:fldChar w:fldCharType="end"/>
      </w:r>
      <w:r>
        <w:rPr/>
        <w:t xml:space="preserve"> </w:t>
      </w:r>
      <w:r>
        <w:rPr/>
        <w:fldChar w:fldCharType="begin"/>
      </w:r>
      <w:r>
        <w:instrText> REF _Ref3727510 \r \h </w:instrText>
      </w:r>
      <w:r>
        <w:fldChar w:fldCharType="separate"/>
      </w:r>
      <w:r>
        <w:t>Błąd: Nie znaleziono źródła odwołania</w:t>
      </w:r>
      <w:r>
        <w:fldChar w:fldCharType="end"/>
      </w:r>
      <w:r>
        <w:rPr/>
        <w:t>,</w:t>
      </w:r>
    </w:p>
    <w:p>
      <w:pPr>
        <w:pStyle w:val="ListParagraph"/>
        <w:numPr>
          <w:ilvl w:val="1"/>
          <w:numId w:val="15"/>
        </w:numPr>
        <w:jc w:val="left"/>
        <w:rPr/>
      </w:pPr>
      <w:r>
        <w:rPr/>
        <w:t xml:space="preserve">protokoły przeglądu technicznego, </w:t>
      </w:r>
    </w:p>
    <w:p>
      <w:pPr>
        <w:pStyle w:val="ListParagraph"/>
        <w:numPr>
          <w:ilvl w:val="1"/>
          <w:numId w:val="15"/>
        </w:numPr>
        <w:jc w:val="left"/>
        <w:rPr/>
      </w:pPr>
      <w:r>
        <w:rPr/>
        <w:t>dokumentacja konserwatorska zabytku w miejskiej ewidencji zabytków (karta biała) stanowiąca załącznik nr 1A.</w:t>
      </w:r>
    </w:p>
    <w:p>
      <w:pPr>
        <w:pStyle w:val="Normal"/>
        <w:rPr/>
      </w:pPr>
      <w:r>
        <w:rPr/>
        <w:t>Pełna dokumentacja rejestrowa zabytku znajduje się w siedzibie Zachodniopomorskiego Oddziału Narodowego Instytutu Dziedzictwa w Szczecinie.</w:t>
      </w:r>
    </w:p>
    <w:p>
      <w:pPr>
        <w:pStyle w:val="Normal"/>
        <w:rPr/>
      </w:pPr>
      <w:r>
        <w:rPr/>
        <w:t>Ww. istniejąca dokumentacja archiwalna powinna służyć uzupełniająco i pomocniczo do ww. opracowań poprzedzających sporządzenie programu prac konserwatorskich i dokumentacji projektowej (projekt budowlany, wykonawczy, STWiOR). Zaznacza się, że korzystanie z dostępnej dokumentacji archiwalnej nie zwalnia Wykonawcy z obowiązku przeprowadzenia wszelkich czynności niezbędnych do prawidłowego wykonania Przedmiotu Zamówienia, w tym w szczególności: wizji lokalnej, oględzin i pomiarów na obiekcie. Przeprowadzenie ww. czynności nie może powodować pogorszenia stanu technicznego obiektu, uszkodzeń i ubytków. Przeprowadzenie wszelkich niezbędnych badań konserwatorskich i architektonicznych wymagać będzie od Wykonawcy uzyskania pozwolenia Zachodniopomorskiego Wojewódzkiego Konserwatora Zabytków na ich prowadzenie. Ponadto zwraca się uwagę na możliwe pozostawanie obiektu w użytkowaniu podczas prowadzenia ww. czynności, chyba że Wykonawca uzgodni uprzednio, tj. najdalej na etapie przystąpienia do przygotowania dokumentacji projektowej, z Zamawiającym termin, w którym szkoła będzie nieczynna. W celu przeprowadzenia ww. czynności przygotowawczych, Zamawiający zobowiązuje się udostępnić Wykonawcy budynek Szkoły, w uzgodnionym terminie. Szczegółowe warunki udostępnienia obiektu określone będą w umowie.</w:t>
      </w:r>
    </w:p>
    <w:p>
      <w:pPr>
        <w:pStyle w:val="Normal"/>
        <w:rPr/>
      </w:pPr>
      <w:r>
        <w:rPr/>
        <w:t xml:space="preserve">Obiekt jest położony poza obszarem objętym obecnie obowiązującymi miejscowymi planami zagospodarowania przestrzennego – znajduje się na terenie uprzednio objętym Planem Ogólnym Zagospodarowania Przestrzennego Gminy Pyrzyce – Wsie (uchwała Nr XXV/149/87 Rady Narodowej Miasta i Gminy Pyrzyce z dnia 11 grudnia 1987 r. w sprawie zatwierdzenia planu ogólnego zagospodarowania przestrzennego miasta i gminy Pyrzyce, Dz. Urz. Woj. Szczec. z 1988 r. Nr 2, poz. 26; z 1992 r. Nr 6, poz. 76, Nr 9, poz. 124, Nr 12, poz. 146, Nr 13, poz. 147; z 1994 r. Nr 6, poz. 68; z 1995 r. Nr 14, poz. 113, Dz. Urz. Woj. Zachodniopomorskiego z 2001 r. Nr 3, poz. 21).Ze względu na zakres planowanych robót, który nie będzie zmieniał charakteru i kształtu zabudowy oraz zagospodarowania terenu, nie przewiduje się wystąpienia o decyzję o lokalizacji inwestycji celu publicznego, chyba że Wykonawca uzna inaczej. Wystąpienie o ww. decyzję obciąża Wykonawcę i nie podlega dodatkowemu wynagrodzeniu. </w:t>
      </w:r>
    </w:p>
    <w:p>
      <w:pPr>
        <w:pStyle w:val="Normal"/>
        <w:rPr/>
      </w:pPr>
      <w:r>
        <w:rPr/>
        <w:t>Obiekt nie znajduje się na obszarze objętym formami ochrony przyrody, terenie lub obszarze górniczym.</w:t>
      </w:r>
    </w:p>
    <w:p>
      <w:pPr>
        <w:pStyle w:val="Nagwek2"/>
        <w:numPr>
          <w:ilvl w:val="1"/>
          <w:numId w:val="3"/>
        </w:numPr>
        <w:shd w:val="clear" w:fill="FCDBD3"/>
        <w:rPr/>
      </w:pPr>
      <w:bookmarkStart w:id="51" w:name="_Toc10627712"/>
      <w:bookmarkEnd w:id="51"/>
      <w:r>
        <w:rPr/>
        <w:t>Ogólne właściwości Funkcjonalno-użytkowe</w:t>
      </w:r>
    </w:p>
    <w:p>
      <w:pPr>
        <w:pStyle w:val="Nagwek3"/>
        <w:numPr>
          <w:ilvl w:val="2"/>
          <w:numId w:val="3"/>
        </w:numPr>
        <w:rPr/>
      </w:pPr>
      <w:bookmarkStart w:id="52" w:name="_Toc10627713"/>
      <w:bookmarkEnd w:id="52"/>
      <w:r>
        <w:rPr/>
        <w:t>Lokalizacja i status zabytku architektury</w:t>
      </w:r>
    </w:p>
    <w:p>
      <w:pPr>
        <w:pStyle w:val="Normal"/>
        <w:rPr/>
      </w:pPr>
      <w:r>
        <w:rPr/>
        <w:t>Budynek Szkoły Podstawowej im. Władysława Broniewskiego znajduje się w południowo-zachodniej części wsi Mielęcin, w wiejskiej części gminy Pyrzyce. Zarówno sam obiekt neoklasycystycznego pałacu, jak i teren na którym jest położony, znajdują się pod ścisłą ochroną konserwatorską i są wpisane do rejestru zabytków województwa zachodniopomorskiego:</w:t>
      </w:r>
    </w:p>
    <w:p>
      <w:pPr>
        <w:pStyle w:val="ListParagraph"/>
        <w:numPr>
          <w:ilvl w:val="0"/>
          <w:numId w:val="17"/>
        </w:numPr>
        <w:rPr/>
      </w:pPr>
      <w:r>
        <w:rPr/>
        <w:t>Pałac – pod nr rej. A – 296 decyzją z dn. 22.12.2006r.,</w:t>
      </w:r>
    </w:p>
    <w:p>
      <w:pPr>
        <w:pStyle w:val="ListParagraph"/>
        <w:numPr>
          <w:ilvl w:val="0"/>
          <w:numId w:val="17"/>
        </w:numPr>
        <w:rPr/>
      </w:pPr>
      <w:r>
        <w:rPr/>
        <w:t>Park – pod nr rej.: A-952 decyzją z dn. 12.12.1980r.,</w:t>
      </w:r>
    </w:p>
    <w:p>
      <w:pPr>
        <w:pStyle w:val="Normal"/>
        <w:rPr/>
      </w:pPr>
      <w:r>
        <w:rPr/>
        <w:t>przy czym wyodrębniona działka (nr 47 obręb 0018 Pyrzyce), na której terenie znajduje się szkoła stanowi jedynie część założenia parkowego.</w:t>
      </w:r>
    </w:p>
    <w:p>
      <w:pPr>
        <w:pStyle w:val="Normal"/>
        <w:rPr/>
      </w:pPr>
      <w:r>
        <w:rPr/>
        <w:t>Na terenie szkoły poza zabytkowym budynkiem pałacu znajduje się jeszcze, w północno-zachodnim narożniku, niewielki budynek o powierzchni zabudowy 30m</w:t>
      </w:r>
      <w:r>
        <w:rPr>
          <w:vertAlign w:val="superscript"/>
        </w:rPr>
        <w:t>2</w:t>
      </w:r>
      <w:r>
        <w:rPr/>
        <w:t>, a bezpośrednio, na wprost za budynkiem w ostatnich latach wykonany został plac zabaw.</w:t>
      </w:r>
    </w:p>
    <w:p>
      <w:pPr>
        <w:pStyle w:val="Nagwek3"/>
        <w:numPr>
          <w:ilvl w:val="2"/>
          <w:numId w:val="3"/>
        </w:numPr>
        <w:rPr/>
      </w:pPr>
      <w:bookmarkStart w:id="53" w:name="_Toc10627714"/>
      <w:bookmarkEnd w:id="53"/>
      <w:r>
        <w:rPr/>
        <w:t>Charakterystyka obiektu</w:t>
      </w:r>
    </w:p>
    <w:p>
      <w:pPr>
        <w:pStyle w:val="Nagwek4"/>
        <w:numPr>
          <w:ilvl w:val="3"/>
          <w:numId w:val="3"/>
        </w:numPr>
        <w:rPr/>
      </w:pPr>
      <w:r>
        <w:rPr/>
        <w:t>kategoria zagrożenia ludzi i klasa odporności pożarowej budynku oraz jego elementów</w:t>
      </w:r>
    </w:p>
    <w:p>
      <w:pPr>
        <w:pStyle w:val="Normal"/>
        <w:rPr/>
      </w:pPr>
      <w:r>
        <w:rPr/>
        <w:t>Ze względu na gabaryty i funkcję obiekt kwalifikowany jest jako:</w:t>
      </w:r>
    </w:p>
    <w:p>
      <w:pPr>
        <w:pStyle w:val="ListParagraph"/>
        <w:numPr>
          <w:ilvl w:val="0"/>
          <w:numId w:val="48"/>
        </w:numPr>
        <w:rPr/>
      </w:pPr>
      <w:r>
        <w:rPr/>
        <w:t>Budynek średniowysoki (SW)</w:t>
      </w:r>
    </w:p>
    <w:p>
      <w:pPr>
        <w:pStyle w:val="ListParagraph"/>
        <w:numPr>
          <w:ilvl w:val="0"/>
          <w:numId w:val="48"/>
        </w:numPr>
        <w:rPr/>
      </w:pPr>
      <w:r>
        <w:rPr/>
        <w:t>ZLIII, jako budynek użyteczności publicznej - szkoła ze strefą ZLII (przedszkole) i ZLI (sala gimnastyczna)</w:t>
      </w:r>
    </w:p>
    <w:p>
      <w:pPr>
        <w:pStyle w:val="Normal"/>
        <w:rPr/>
      </w:pPr>
      <w:r>
        <w:rPr/>
        <w:t>Na tej podstawie, podstawową wymaganą klasę odporności pożarowej dla przedmiotowego budynku szkoły w Mielęcinie określono jako „B”, z możliwością obniżenia do „C” – ze względu na 2-kondygnacyjnośc budynku i poziom stropu nad I-wszą kondygnacją poniżej 9m nad poziomem terenu. W związku z powyższym klasa odporności ogniowej poszczególnych elementów budynku (wraz z uszczelnieniami złączy i dylatacjami) powinna spełniać następujące wymagania (w nawiasach podano wymagania dla obniżonej klasy odporności pożarowej budynku):</w:t>
      </w:r>
    </w:p>
    <w:p>
      <w:pPr>
        <w:pStyle w:val="ListParagraph"/>
        <w:numPr>
          <w:ilvl w:val="0"/>
          <w:numId w:val="49"/>
        </w:numPr>
        <w:rPr/>
      </w:pPr>
      <w:r>
        <w:rPr/>
        <w:t>główna konstrukcja nośna: R120 (R60),</w:t>
      </w:r>
    </w:p>
    <w:p>
      <w:pPr>
        <w:pStyle w:val="ListParagraph"/>
        <w:numPr>
          <w:ilvl w:val="0"/>
          <w:numId w:val="49"/>
        </w:numPr>
        <w:rPr/>
      </w:pPr>
      <w:r>
        <w:rPr/>
        <w:t>konstrukcja dachu: R30 (R15),</w:t>
      </w:r>
    </w:p>
    <w:p>
      <w:pPr>
        <w:pStyle w:val="ListParagraph"/>
        <w:numPr>
          <w:ilvl w:val="0"/>
          <w:numId w:val="49"/>
        </w:numPr>
        <w:rPr/>
      </w:pPr>
      <w:r>
        <w:rPr/>
        <w:t xml:space="preserve">strop </w:t>
      </w:r>
      <w:r>
        <w:rPr>
          <w:vertAlign w:val="superscript"/>
        </w:rPr>
        <w:t>1)</w:t>
      </w:r>
      <w:r>
        <w:rPr/>
        <w:t>: REI60 (REI60),</w:t>
      </w:r>
    </w:p>
    <w:p>
      <w:pPr>
        <w:pStyle w:val="ListParagraph"/>
        <w:numPr>
          <w:ilvl w:val="0"/>
          <w:numId w:val="49"/>
        </w:numPr>
        <w:rPr/>
      </w:pPr>
      <w:r>
        <w:rPr/>
        <w:t xml:space="preserve">ściana zewnętrzna </w:t>
      </w:r>
      <w:r>
        <w:rPr>
          <w:vertAlign w:val="superscript"/>
        </w:rPr>
        <w:t>1),2)</w:t>
      </w:r>
      <w:r>
        <w:rPr/>
        <w:t>: EI60[o↔ i] (EI30[o↔ i])</w:t>
      </w:r>
    </w:p>
    <w:p>
      <w:pPr>
        <w:pStyle w:val="ListParagraph"/>
        <w:numPr>
          <w:ilvl w:val="0"/>
          <w:numId w:val="49"/>
        </w:numPr>
        <w:rPr/>
      </w:pPr>
      <w:r>
        <w:rPr/>
        <w:t xml:space="preserve">ściana wewnętrzna </w:t>
      </w:r>
      <w:r>
        <w:rPr>
          <w:vertAlign w:val="superscript"/>
        </w:rPr>
        <w:t>1)</w:t>
      </w:r>
      <w:r>
        <w:rPr/>
        <w:t>: EI30 (EI15),</w:t>
      </w:r>
    </w:p>
    <w:p>
      <w:pPr>
        <w:pStyle w:val="ListParagraph"/>
        <w:numPr>
          <w:ilvl w:val="0"/>
          <w:numId w:val="49"/>
        </w:numPr>
        <w:rPr/>
      </w:pPr>
      <w:r>
        <w:rPr/>
        <w:t xml:space="preserve">przekrycie dachu </w:t>
      </w:r>
      <w:r>
        <w:rPr>
          <w:vertAlign w:val="superscript"/>
        </w:rPr>
        <w:t>3)</w:t>
      </w:r>
      <w:r>
        <w:rPr/>
        <w:t>: RE30 (RE15),</w:t>
      </w:r>
    </w:p>
    <w:p>
      <w:pPr>
        <w:pStyle w:val="Normal"/>
        <w:rPr/>
      </w:pPr>
      <w:r>
        <w:rPr/>
        <w:t xml:space="preserve">gdzie: </w:t>
      </w:r>
    </w:p>
    <w:p>
      <w:pPr>
        <w:pStyle w:val="ListParagraph"/>
        <w:numPr>
          <w:ilvl w:val="0"/>
          <w:numId w:val="50"/>
        </w:numPr>
        <w:rPr/>
      </w:pPr>
      <w:r>
        <w:rPr/>
        <w:t>R oznacza nośność ogniowa (w minutach), określona zgodnie z Polską Normą dotyczącą zasad ustalania klas odporności ogniowej elementów budynku,</w:t>
      </w:r>
    </w:p>
    <w:p>
      <w:pPr>
        <w:pStyle w:val="ListParagraph"/>
        <w:numPr>
          <w:ilvl w:val="0"/>
          <w:numId w:val="50"/>
        </w:numPr>
        <w:rPr/>
      </w:pPr>
      <w:r>
        <w:rPr/>
        <w:t>E oznacza szczelność ogniowa (w minutach), określona jw.,</w:t>
      </w:r>
    </w:p>
    <w:p>
      <w:pPr>
        <w:pStyle w:val="ListParagraph"/>
        <w:numPr>
          <w:ilvl w:val="0"/>
          <w:numId w:val="50"/>
        </w:numPr>
        <w:rPr/>
      </w:pPr>
      <w:r>
        <w:rPr/>
        <w:t>I oznacza izolacyjność ogniowa (w minutach), określona jw.,</w:t>
      </w:r>
    </w:p>
    <w:p>
      <w:pPr>
        <w:pStyle w:val="Normal"/>
        <w:rPr/>
      </w:pPr>
      <w:r>
        <w:rPr/>
        <w:t>przy czym:</w:t>
      </w:r>
    </w:p>
    <w:p>
      <w:pPr>
        <w:pStyle w:val="Normal"/>
        <w:rPr/>
      </w:pPr>
      <w:r>
        <w:rPr>
          <w:vertAlign w:val="superscript"/>
        </w:rPr>
        <w:t>1)</w:t>
      </w:r>
      <w:r>
        <w:rPr/>
        <w:t xml:space="preserve"> – jeżeli przegroda jest częścią głównej konstrukcji nośnej, powinna spełniać także kryteria nośności ogniowej (R) odpowiednio do wymagań zawartych w kol. 2 i 3 dla danej klasy odporności pożarowej budynku.</w:t>
      </w:r>
    </w:p>
    <w:p>
      <w:pPr>
        <w:pStyle w:val="Normal"/>
        <w:rPr/>
      </w:pPr>
      <w:r>
        <w:rPr>
          <w:vertAlign w:val="superscript"/>
        </w:rPr>
        <w:t>2)</w:t>
      </w:r>
      <w:r>
        <w:rPr/>
        <w:t xml:space="preserve"> – Klasa odporności ogniowej dotyczy pasa międzykondygnacyjnego wraz z połączeniem ze stropem.</w:t>
      </w:r>
    </w:p>
    <w:p>
      <w:pPr>
        <w:pStyle w:val="Normal"/>
        <w:rPr/>
      </w:pPr>
      <w:r>
        <w:rPr>
          <w:vertAlign w:val="superscript"/>
        </w:rPr>
        <w:t>3)</w:t>
      </w:r>
      <w:r>
        <w:rPr/>
        <w:t xml:space="preserve"> – Wymagania nie dotyczą naświetli dachowych, świetlików, lukarn i okien połaciowych (z zastrzeżeniem §218 warunków technicznych), jeśli otwory w połaci dachowej nie zajmują więcej niż 20% jej powierzchni; nie dotyczą także budynku, w którym nad najwyższą kondygnacją znajduje się strop albo inna przegroda, spełniająca kryteria określone jak dla stropu.</w:t>
      </w:r>
    </w:p>
    <w:p>
      <w:pPr>
        <w:pStyle w:val="Normal"/>
        <w:rPr/>
      </w:pPr>
      <w:r>
        <w:rPr/>
        <w:t>Ze względu na wartość historyczną obiektu, zaleca się utrzymanie wymaganej, nieobniżonej klasy odporności pożarowej. Obniżenie ww. klasy dopuszcza się za potwierdzeniem z wybranym rzeczoznawcą ds. ochrony przeciwpożarowej na etapie przygotowania dokumentacji proejktowej i poinformowaniem o tym Zamawiającego.</w:t>
      </w:r>
    </w:p>
    <w:p>
      <w:pPr>
        <w:pStyle w:val="Nagwek4"/>
        <w:numPr>
          <w:ilvl w:val="3"/>
          <w:numId w:val="3"/>
        </w:numPr>
        <w:rPr/>
      </w:pPr>
      <w:r>
        <w:rPr/>
        <w:t>informacje historyczne</w:t>
      </w:r>
    </w:p>
    <w:p>
      <w:pPr>
        <w:pStyle w:val="Normal"/>
        <w:rPr/>
      </w:pPr>
      <w:r>
        <w:rPr/>
      </w:r>
    </w:p>
    <w:p>
      <w:pPr>
        <w:pStyle w:val="Nagwek4"/>
        <w:numPr>
          <w:ilvl w:val="3"/>
          <w:numId w:val="3"/>
        </w:numPr>
        <w:rPr/>
      </w:pPr>
      <w:r>
        <w:rPr/>
        <w:t>Forma architektoniczna</w:t>
      </w:r>
    </w:p>
    <w:p>
      <w:pPr>
        <w:pStyle w:val="Normal"/>
        <w:rPr/>
      </w:pPr>
      <w:r>
        <w:rPr/>
        <w:t xml:space="preserve">Budynek szkoły stanowi dwukondygnacyjny, podpiwniczony neoklasycystyczny pałac zaprojektowany w duchu renesansu (tzw. „kostiumie francuskim”). Budynek składa się z szeregu przecinających się brył prostopadłościennych z wyraźnie zaakcentowanym korpusem głównym i wieżą. Dominujący element założenia - korpus główny na osi wschód-zachód, zaakcentowany został w osi wejściowej – poprzeczną bryłą oraz w południowo-wschodnim narożniku poprzez 5-cio kondygnacyjną wieżę, charakterystyczną dla renesansowych willi włoskich. </w:t>
      </w:r>
    </w:p>
    <w:p>
      <w:pPr>
        <w:pStyle w:val="Normal"/>
        <w:rPr/>
      </w:pPr>
      <w:r>
        <w:rPr/>
        <w:t>Oś głównego wejścia, prostopadła do korpusu głównego, podkreślona jest przewyższeniem i wysunięciem, ryzalitem w stosunku do lica korpusu głównego budynku – zarówno od strony wejście głównego (północ), jak i od strony ogrodu (południe). Podzielony w ten sposób na dwa skrzydła korpus, przekryty jest dachem płaskim – w części zachodniej kopertowym, w części wschodniej – dwuspadowym z wyciągniętą na wysokość jednej, dodatkowej kondygnacji wieży.</w:t>
      </w:r>
    </w:p>
    <w:p>
      <w:pPr>
        <w:pStyle w:val="Normal"/>
        <w:rPr/>
      </w:pPr>
      <w:r>
        <w:rPr/>
        <w:t xml:space="preserve">Na elewacji dominuje oryginalna elewacja z czerwonej cegły przełamana detalem architektonicznym tynkowanych gzymsów, pilastrów, Pałac na całym obwodzie przyziemia posiada wysoki kamienny cokół, wykończony masywnym gzymsem. </w:t>
      </w:r>
    </w:p>
    <w:p>
      <w:pPr>
        <w:pStyle w:val="Normal"/>
        <w:rPr/>
      </w:pPr>
      <w:r>
        <w:rPr/>
        <w:t xml:space="preserve">Wejście główne do budynku zostało wyraźnie zaakcentowane w elewacji frontowej poprzez zastosowanie podcienia z symetrycznie rozstawioną parą kolumn. Podział na trzy pola utrzymany został na całej wysokości partii wejścia, z powtórzeniem w kondygnacji I piętra podziałów za pomocą półkolumn pomiędzy polami okiennymi. Od strony ogrodowej bryła osi poprzecznej wydłużona jest dodatkowo jedno-kondygnacyjnym ryzalitem, na którym znajduje się taras. </w:t>
      </w:r>
    </w:p>
    <w:p>
      <w:pPr>
        <w:pStyle w:val="Nagwek4"/>
        <w:numPr>
          <w:ilvl w:val="3"/>
          <w:numId w:val="3"/>
        </w:numPr>
        <w:rPr/>
      </w:pPr>
      <w:r>
        <w:rPr/>
        <w:t>Wstępna diagnoza stanu istneijącego</w:t>
      </w:r>
    </w:p>
    <w:p>
      <w:pPr>
        <w:pStyle w:val="Normal"/>
        <w:rPr/>
      </w:pPr>
      <w:r>
        <w:rPr/>
        <w:t xml:space="preserve">Stan techniczny obiektu ze względu na brak działań konserwatorskich w ostatnich dekadach wymaga podjęcia działań naprawczych. Widoczne są liczne ubytki, rysy i spękania na wszystkich elewacjach, w tym większości nadproży okiennych i drzwiowych. Widoczne są ubytki cegieł i wypełnienia zaprawą. Również korpus narożnej wieży posiada liczne pęknięcia i zarysowania przez całą wysokość. Elewacja ogrodowa budynku. </w:t>
      </w:r>
    </w:p>
    <w:p>
      <w:pPr>
        <w:pStyle w:val="Normal"/>
        <w:rPr/>
      </w:pPr>
      <w:r>
        <w:rPr/>
        <w:t>Zachowana do chwili obecnej elewacja budynku uległa znacznemu zubożeniu w stosunku do stanu zinwentaryzowanego w połowie XXw., silnie zniszczony jest ceglany, tynkowany detal architektoniczny wszystkich elewacji:</w:t>
      </w:r>
    </w:p>
    <w:p>
      <w:pPr>
        <w:pStyle w:val="ListParagraph"/>
        <w:numPr>
          <w:ilvl w:val="0"/>
          <w:numId w:val="44"/>
        </w:numPr>
        <w:rPr/>
      </w:pPr>
      <w:r>
        <w:rPr/>
        <w:t>Widoczne ubytki listew przyokiennych, zwieńczeń okien, parapetów,</w:t>
      </w:r>
    </w:p>
    <w:p>
      <w:pPr>
        <w:pStyle w:val="ListParagraph"/>
        <w:numPr>
          <w:ilvl w:val="0"/>
          <w:numId w:val="44"/>
        </w:numPr>
        <w:rPr/>
      </w:pPr>
      <w:r>
        <w:rPr/>
        <w:t>Ubytki i uszkodzenia gzymsów, w szczególności wskutek przekształceń otworów stolarki,</w:t>
      </w:r>
    </w:p>
    <w:p>
      <w:pPr>
        <w:pStyle w:val="ListParagraph"/>
        <w:numPr>
          <w:ilvl w:val="0"/>
          <w:numId w:val="44"/>
        </w:numPr>
        <w:rPr/>
      </w:pPr>
      <w:r>
        <w:rPr/>
        <w:t>Brak dekoracyjnego portalu w elewacji wschodniej (wejście boczne),</w:t>
      </w:r>
    </w:p>
    <w:p>
      <w:pPr>
        <w:pStyle w:val="ListParagraph"/>
        <w:numPr>
          <w:ilvl w:val="0"/>
          <w:numId w:val="44"/>
        </w:numPr>
        <w:rPr/>
      </w:pPr>
      <w:r>
        <w:rPr/>
        <w:t>Zdegradowany detal podcienia – brak kanelurowania i głowic kolumn (w wyniku wykonania dodatkowego belkowania).</w:t>
      </w:r>
    </w:p>
    <w:p>
      <w:pPr>
        <w:pStyle w:val="ListParagraph"/>
        <w:numPr>
          <w:ilvl w:val="0"/>
          <w:numId w:val="44"/>
        </w:numPr>
        <w:rPr/>
      </w:pPr>
      <w:r>
        <w:rPr/>
        <w:t>Ubytki i spękania dekoracji pól podokiennych.</w:t>
      </w:r>
    </w:p>
    <w:p>
      <w:pPr>
        <w:pStyle w:val="Normal"/>
        <w:rPr/>
      </w:pPr>
      <w:r>
        <w:rPr/>
        <w:t xml:space="preserve">Wewnątrz obiekt w większości znajduje się w zadowalającym stanie, jednak część nieogrzewana piwnic wykazuje silne zawilgocenie z widocznymi wykwitami i zaciekami na ścianach. Część tynków wewnętrznych ww. ścian jest wybrakowana, w związku z czym widoczne są fragmenty muru ścian piwnic. W pomieszczeniach tej części piwnic widoczne są instalacje, m.in. wodociągowe, które potencjalnie mogą wymagać wymiany ze względu na przynajmniej powierzchniową korozję. W tej części również elementy stalowe konstrukcji – nadproża i belki stropu nad piwnicą są widocznie skorodowane. </w:t>
      </w:r>
    </w:p>
    <w:p>
      <w:pPr>
        <w:pStyle w:val="Normal"/>
        <w:rPr/>
      </w:pPr>
      <w:r>
        <w:rPr/>
        <w:t>Podobnie, w narożnej wieży widoczne jest skorodowanie odsłoniętych belek stropowych oraz uszkodzenia ścian (spękania). Wewnątrz nieużytkowanych kondygnacji wieży – dostępnych drabiną z kondygnacji parteru brak jest już praktycznie tynków wewnętrznych – odsłonięte są zarówno ściany jak i stropy.</w:t>
      </w:r>
    </w:p>
    <w:p>
      <w:pPr>
        <w:pStyle w:val="Nagwek2"/>
        <w:numPr>
          <w:ilvl w:val="1"/>
          <w:numId w:val="3"/>
        </w:numPr>
        <w:shd w:val="clear" w:fill="FCDBD3"/>
        <w:rPr/>
      </w:pPr>
      <w:bookmarkStart w:id="54" w:name="_Toc10627715"/>
      <w:bookmarkEnd w:id="54"/>
      <w:r>
        <w:rPr/>
        <w:t>szczegółowe właściwości funkcjonalno-użytkowe</w:t>
      </w:r>
    </w:p>
    <w:p>
      <w:pPr>
        <w:pStyle w:val="Nagwek4"/>
        <w:numPr>
          <w:ilvl w:val="3"/>
          <w:numId w:val="3"/>
        </w:numPr>
        <w:rPr/>
      </w:pPr>
      <w:r>
        <w:rPr/>
        <w:t>Zestawienie pomieszczeń i wskaźniki kubaturowo-powierzchniowe</w:t>
      </w:r>
    </w:p>
    <w:p>
      <w:pPr>
        <w:pStyle w:val="Caption"/>
        <w:keepNext/>
        <w:rPr/>
      </w:pPr>
      <w:r>
        <w:rPr/>
        <w:t xml:space="preserve">Tabela </w:t>
      </w:r>
      <w:r>
        <w:rPr/>
        <w:fldChar w:fldCharType="begin"/>
      </w:r>
      <w:r>
        <w:instrText> SEQ Tabela \* ARABIC </w:instrText>
      </w:r>
      <w:r>
        <w:fldChar w:fldCharType="separate"/>
      </w:r>
      <w:r>
        <w:t>1</w:t>
      </w:r>
      <w:r>
        <w:fldChar w:fldCharType="end"/>
      </w:r>
      <w:r>
        <w:rPr/>
        <w:t xml:space="preserve"> Zestawienie powierzchni pomieszczeń</w:t>
      </w:r>
    </w:p>
    <w:tbl>
      <w:tblPr>
        <w:tblStyle w:val="Tabela-Siatka"/>
        <w:tblW w:w="6514" w:type="dxa"/>
        <w:jc w:val="left"/>
        <w:tblInd w:w="-5" w:type="dxa"/>
        <w:tblCellMar>
          <w:top w:w="0" w:type="dxa"/>
          <w:left w:w="103" w:type="dxa"/>
          <w:bottom w:w="0" w:type="dxa"/>
          <w:right w:w="108" w:type="dxa"/>
        </w:tblCellMar>
        <w:tblLook w:firstRow="1" w:noVBand="1" w:lastRow="0" w:firstColumn="1" w:lastColumn="0" w:noHBand="0" w:val="04a0"/>
      </w:tblPr>
      <w:tblGrid>
        <w:gridCol w:w="1427"/>
        <w:gridCol w:w="652"/>
        <w:gridCol w:w="2286"/>
        <w:gridCol w:w="1"/>
        <w:gridCol w:w="877"/>
        <w:gridCol w:w="1271"/>
      </w:tblGrid>
      <w:tr>
        <w:trPr/>
        <w:tc>
          <w:tcPr>
            <w:tcW w:w="1427" w:type="dxa"/>
            <w:tcBorders/>
            <w:shd w:fill="auto" w:val="clear"/>
            <w:tcMar>
              <w:left w:w="103" w:type="dxa"/>
            </w:tcMar>
            <w:vAlign w:val="center"/>
          </w:tcPr>
          <w:p>
            <w:pPr>
              <w:pStyle w:val="Normal"/>
              <w:spacing w:lineRule="auto" w:line="240" w:before="0" w:after="0"/>
              <w:jc w:val="center"/>
              <w:rPr>
                <w:b/>
                <w:b/>
                <w:sz w:val="16"/>
              </w:rPr>
            </w:pPr>
            <w:r>
              <w:rPr>
                <w:b/>
                <w:sz w:val="16"/>
              </w:rPr>
              <w:t>Kondygnacja</w:t>
            </w:r>
          </w:p>
        </w:tc>
        <w:tc>
          <w:tcPr>
            <w:tcW w:w="652" w:type="dxa"/>
            <w:tcBorders/>
            <w:shd w:fill="auto" w:val="clear"/>
            <w:tcMar>
              <w:left w:w="103" w:type="dxa"/>
            </w:tcMar>
            <w:vAlign w:val="center"/>
          </w:tcPr>
          <w:p>
            <w:pPr>
              <w:pStyle w:val="Normal"/>
              <w:spacing w:lineRule="auto" w:line="240" w:before="0" w:after="0"/>
              <w:jc w:val="center"/>
              <w:rPr>
                <w:b/>
                <w:b/>
                <w:sz w:val="16"/>
              </w:rPr>
            </w:pPr>
            <w:r>
              <w:rPr>
                <w:b/>
                <w:sz w:val="16"/>
              </w:rPr>
              <w:t>Nr pom.</w:t>
            </w:r>
          </w:p>
        </w:tc>
        <w:tc>
          <w:tcPr>
            <w:tcW w:w="2287" w:type="dxa"/>
            <w:gridSpan w:val="2"/>
            <w:tcBorders/>
            <w:shd w:fill="auto" w:val="clear"/>
            <w:tcMar>
              <w:left w:w="103" w:type="dxa"/>
            </w:tcMar>
            <w:vAlign w:val="center"/>
          </w:tcPr>
          <w:p>
            <w:pPr>
              <w:pStyle w:val="Normal"/>
              <w:spacing w:lineRule="auto" w:line="240" w:before="0" w:after="0"/>
              <w:jc w:val="center"/>
              <w:rPr>
                <w:b/>
                <w:b/>
                <w:sz w:val="16"/>
              </w:rPr>
            </w:pPr>
            <w:r>
              <w:rPr>
                <w:b/>
                <w:sz w:val="16"/>
              </w:rPr>
              <w:t>Nazwa</w:t>
            </w:r>
          </w:p>
        </w:tc>
        <w:tc>
          <w:tcPr>
            <w:tcW w:w="877" w:type="dxa"/>
            <w:tcBorders/>
            <w:shd w:fill="auto" w:val="clear"/>
            <w:tcMar>
              <w:left w:w="103" w:type="dxa"/>
            </w:tcMar>
            <w:vAlign w:val="center"/>
          </w:tcPr>
          <w:p>
            <w:pPr>
              <w:pStyle w:val="Normal"/>
              <w:spacing w:lineRule="auto" w:line="240" w:before="0" w:after="0"/>
              <w:jc w:val="center"/>
              <w:rPr>
                <w:b/>
                <w:b/>
                <w:sz w:val="16"/>
              </w:rPr>
            </w:pPr>
            <w:r>
              <w:rPr>
                <w:b/>
                <w:sz w:val="16"/>
              </w:rPr>
              <w:t>Pow. [m</w:t>
            </w:r>
            <w:r>
              <w:rPr>
                <w:b/>
                <w:sz w:val="16"/>
                <w:vertAlign w:val="superscript"/>
              </w:rPr>
              <w:t>2</w:t>
            </w:r>
            <w:r>
              <w:rPr>
                <w:b/>
                <w:sz w:val="16"/>
              </w:rPr>
              <w:t>]</w:t>
            </w:r>
          </w:p>
        </w:tc>
        <w:tc>
          <w:tcPr>
            <w:tcW w:w="1271" w:type="dxa"/>
            <w:tcBorders/>
            <w:shd w:fill="auto" w:val="clear"/>
            <w:tcMar>
              <w:left w:w="103" w:type="dxa"/>
            </w:tcMar>
          </w:tcPr>
          <w:p>
            <w:pPr>
              <w:pStyle w:val="Normal"/>
              <w:spacing w:lineRule="auto" w:line="240" w:before="0" w:after="0"/>
              <w:jc w:val="center"/>
              <w:rPr>
                <w:b/>
                <w:b/>
                <w:sz w:val="16"/>
              </w:rPr>
            </w:pPr>
            <w:r>
              <w:rPr>
                <w:b/>
                <w:sz w:val="16"/>
              </w:rPr>
              <w:t>Rodzaj powierzchni</w:t>
            </w:r>
          </w:p>
        </w:tc>
      </w:tr>
      <w:tr>
        <w:trPr/>
        <w:tc>
          <w:tcPr>
            <w:tcW w:w="1427" w:type="dxa"/>
            <w:vMerge w:val="restart"/>
            <w:tcBorders/>
            <w:shd w:fill="auto" w:val="clear"/>
            <w:tcMar>
              <w:left w:w="103" w:type="dxa"/>
            </w:tcMar>
            <w:vAlign w:val="center"/>
          </w:tcPr>
          <w:p>
            <w:pPr>
              <w:pStyle w:val="Normal"/>
              <w:spacing w:lineRule="auto" w:line="240" w:before="0" w:after="0"/>
              <w:jc w:val="center"/>
              <w:rPr/>
            </w:pPr>
            <w:r>
              <w:rPr/>
              <w:t>-1 (piwnice)</w:t>
            </w:r>
          </w:p>
        </w:tc>
        <w:tc>
          <w:tcPr>
            <w:tcW w:w="652" w:type="dxa"/>
            <w:tcBorders/>
            <w:shd w:fill="auto" w:val="clear"/>
            <w:tcMar>
              <w:left w:w="103" w:type="dxa"/>
            </w:tcMar>
            <w:vAlign w:val="center"/>
          </w:tcPr>
          <w:p>
            <w:pPr>
              <w:pStyle w:val="Normal"/>
              <w:spacing w:lineRule="auto" w:line="240" w:before="0" w:after="0"/>
              <w:jc w:val="right"/>
              <w:rPr/>
            </w:pPr>
            <w:r>
              <w:rPr/>
              <w:t>001K</w:t>
            </w:r>
          </w:p>
        </w:tc>
        <w:tc>
          <w:tcPr>
            <w:tcW w:w="2287" w:type="dxa"/>
            <w:gridSpan w:val="2"/>
            <w:tcBorders/>
            <w:shd w:fill="auto" w:val="clear"/>
            <w:tcMar>
              <w:left w:w="103" w:type="dxa"/>
            </w:tcMar>
            <w:vAlign w:val="center"/>
          </w:tcPr>
          <w:p>
            <w:pPr>
              <w:pStyle w:val="Normal"/>
              <w:spacing w:lineRule="auto" w:line="240" w:before="0" w:after="0"/>
              <w:jc w:val="left"/>
              <w:rPr/>
            </w:pPr>
            <w:r>
              <w:rPr/>
              <w:t>Korytarz</w:t>
            </w:r>
          </w:p>
        </w:tc>
        <w:tc>
          <w:tcPr>
            <w:tcW w:w="877" w:type="dxa"/>
            <w:tcBorders/>
            <w:shd w:fill="auto" w:val="clear"/>
            <w:tcMar>
              <w:left w:w="103" w:type="dxa"/>
            </w:tcMar>
            <w:vAlign w:val="center"/>
          </w:tcPr>
          <w:p>
            <w:pPr>
              <w:pStyle w:val="Normal"/>
              <w:spacing w:lineRule="auto" w:line="240" w:before="0" w:after="0"/>
              <w:jc w:val="center"/>
              <w:rPr/>
            </w:pPr>
            <w:r>
              <w:rPr/>
              <w:t>24,05</w:t>
            </w:r>
          </w:p>
        </w:tc>
        <w:tc>
          <w:tcPr>
            <w:tcW w:w="1271" w:type="dxa"/>
            <w:vMerge w:val="restart"/>
            <w:tcBorders/>
            <w:shd w:fill="auto" w:val="clear"/>
            <w:tcMar>
              <w:left w:w="103" w:type="dxa"/>
            </w:tcMar>
            <w:vAlign w:val="center"/>
          </w:tcPr>
          <w:p>
            <w:pPr>
              <w:pStyle w:val="Normal"/>
              <w:spacing w:lineRule="auto" w:line="240" w:before="0" w:after="0"/>
              <w:jc w:val="center"/>
              <w:rPr/>
            </w:pPr>
            <w:r>
              <w:rPr/>
              <w:t>pow. ruchu</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002K</w:t>
            </w:r>
          </w:p>
        </w:tc>
        <w:tc>
          <w:tcPr>
            <w:tcW w:w="2287" w:type="dxa"/>
            <w:gridSpan w:val="2"/>
            <w:tcBorders/>
            <w:shd w:fill="auto" w:val="clear"/>
            <w:tcMar>
              <w:left w:w="103" w:type="dxa"/>
            </w:tcMar>
            <w:vAlign w:val="center"/>
          </w:tcPr>
          <w:p>
            <w:pPr>
              <w:pStyle w:val="Normal"/>
              <w:spacing w:lineRule="auto" w:line="240" w:before="0" w:after="0"/>
              <w:jc w:val="left"/>
              <w:rPr/>
            </w:pPr>
            <w:r>
              <w:rPr/>
              <w:t>Korytarz</w:t>
            </w:r>
          </w:p>
        </w:tc>
        <w:tc>
          <w:tcPr>
            <w:tcW w:w="877" w:type="dxa"/>
            <w:tcBorders/>
            <w:shd w:fill="auto" w:val="clear"/>
            <w:tcMar>
              <w:left w:w="103" w:type="dxa"/>
            </w:tcMar>
            <w:vAlign w:val="center"/>
          </w:tcPr>
          <w:p>
            <w:pPr>
              <w:pStyle w:val="Normal"/>
              <w:spacing w:lineRule="auto" w:line="240" w:before="0" w:after="0"/>
              <w:jc w:val="center"/>
              <w:rPr/>
            </w:pPr>
            <w:r>
              <w:rPr/>
              <w:t>35,92</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003K</w:t>
            </w:r>
          </w:p>
        </w:tc>
        <w:tc>
          <w:tcPr>
            <w:tcW w:w="2287" w:type="dxa"/>
            <w:gridSpan w:val="2"/>
            <w:tcBorders/>
            <w:shd w:fill="auto" w:val="clear"/>
            <w:tcMar>
              <w:left w:w="103" w:type="dxa"/>
            </w:tcMar>
            <w:vAlign w:val="center"/>
          </w:tcPr>
          <w:p>
            <w:pPr>
              <w:pStyle w:val="Normal"/>
              <w:spacing w:lineRule="auto" w:line="240" w:before="0" w:after="0"/>
              <w:jc w:val="left"/>
              <w:rPr/>
            </w:pPr>
            <w:r>
              <w:rPr/>
              <w:t>Klatka schodowa</w:t>
            </w:r>
          </w:p>
        </w:tc>
        <w:tc>
          <w:tcPr>
            <w:tcW w:w="877" w:type="dxa"/>
            <w:tcBorders/>
            <w:shd w:fill="auto" w:val="clear"/>
            <w:tcMar>
              <w:left w:w="103" w:type="dxa"/>
            </w:tcMar>
            <w:vAlign w:val="center"/>
          </w:tcPr>
          <w:p>
            <w:pPr>
              <w:pStyle w:val="Normal"/>
              <w:spacing w:lineRule="auto" w:line="240" w:before="0" w:after="0"/>
              <w:jc w:val="center"/>
              <w:rPr/>
            </w:pPr>
            <w:r>
              <w:rPr/>
              <w:t>10,93</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0A</w:t>
            </w:r>
          </w:p>
        </w:tc>
        <w:tc>
          <w:tcPr>
            <w:tcW w:w="2287" w:type="dxa"/>
            <w:gridSpan w:val="2"/>
            <w:tcBorders/>
            <w:shd w:fill="auto" w:val="clear"/>
            <w:tcMar>
              <w:left w:w="103" w:type="dxa"/>
            </w:tcMar>
            <w:vAlign w:val="center"/>
          </w:tcPr>
          <w:p>
            <w:pPr>
              <w:pStyle w:val="Normal"/>
              <w:spacing w:lineRule="auto" w:line="240" w:before="0" w:after="0"/>
              <w:jc w:val="left"/>
              <w:rPr/>
            </w:pPr>
            <w:r>
              <w:rPr/>
              <w:t>sanitariat dla dziewcząt</w:t>
            </w:r>
          </w:p>
        </w:tc>
        <w:tc>
          <w:tcPr>
            <w:tcW w:w="877" w:type="dxa"/>
            <w:tcBorders/>
            <w:shd w:fill="auto" w:val="clear"/>
            <w:tcMar>
              <w:left w:w="103" w:type="dxa"/>
            </w:tcMar>
            <w:vAlign w:val="center"/>
          </w:tcPr>
          <w:p>
            <w:pPr>
              <w:pStyle w:val="Normal"/>
              <w:spacing w:lineRule="auto" w:line="240" w:before="0" w:after="0"/>
              <w:jc w:val="center"/>
              <w:rPr/>
            </w:pPr>
            <w:r>
              <w:rPr/>
              <w:t>13,03</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0B</w:t>
            </w:r>
          </w:p>
        </w:tc>
        <w:tc>
          <w:tcPr>
            <w:tcW w:w="2287" w:type="dxa"/>
            <w:gridSpan w:val="2"/>
            <w:tcBorders/>
            <w:shd w:fill="auto" w:val="clear"/>
            <w:tcMar>
              <w:left w:w="103" w:type="dxa"/>
            </w:tcMar>
            <w:vAlign w:val="center"/>
          </w:tcPr>
          <w:p>
            <w:pPr>
              <w:pStyle w:val="Normal"/>
              <w:spacing w:lineRule="auto" w:line="240" w:before="0" w:after="0"/>
              <w:jc w:val="left"/>
              <w:rPr/>
            </w:pPr>
            <w:r>
              <w:rPr/>
              <w:t>sanitariat dla chłopców</w:t>
            </w:r>
          </w:p>
        </w:tc>
        <w:tc>
          <w:tcPr>
            <w:tcW w:w="877" w:type="dxa"/>
            <w:tcBorders/>
            <w:shd w:fill="auto" w:val="clear"/>
            <w:tcMar>
              <w:left w:w="103" w:type="dxa"/>
            </w:tcMar>
            <w:vAlign w:val="center"/>
          </w:tcPr>
          <w:p>
            <w:pPr>
              <w:pStyle w:val="Normal"/>
              <w:spacing w:lineRule="auto" w:line="240" w:before="0" w:after="0"/>
              <w:jc w:val="center"/>
              <w:rPr/>
            </w:pPr>
            <w:r>
              <w:rPr/>
              <w:t>17,21</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w:t>
            </w:r>
          </w:p>
        </w:tc>
        <w:tc>
          <w:tcPr>
            <w:tcW w:w="2287" w:type="dxa"/>
            <w:gridSpan w:val="2"/>
            <w:tcBorders/>
            <w:shd w:fill="auto" w:val="clear"/>
            <w:tcMar>
              <w:left w:w="103" w:type="dxa"/>
            </w:tcMar>
            <w:vAlign w:val="center"/>
          </w:tcPr>
          <w:p>
            <w:pPr>
              <w:pStyle w:val="Normal"/>
              <w:spacing w:lineRule="auto" w:line="240" w:before="0" w:after="0"/>
              <w:jc w:val="left"/>
              <w:rPr/>
            </w:pPr>
            <w:r>
              <w:rPr/>
              <w:t xml:space="preserve">sala lekcyjna (techniczna) </w:t>
            </w:r>
          </w:p>
        </w:tc>
        <w:tc>
          <w:tcPr>
            <w:tcW w:w="877" w:type="dxa"/>
            <w:tcBorders/>
            <w:shd w:fill="auto" w:val="clear"/>
            <w:tcMar>
              <w:left w:w="103" w:type="dxa"/>
            </w:tcMar>
            <w:vAlign w:val="center"/>
          </w:tcPr>
          <w:p>
            <w:pPr>
              <w:pStyle w:val="Normal"/>
              <w:spacing w:lineRule="auto" w:line="240" w:before="0" w:after="0"/>
              <w:jc w:val="center"/>
              <w:rPr/>
            </w:pPr>
            <w:r>
              <w:rPr/>
              <w:t>24,51</w:t>
            </w:r>
          </w:p>
        </w:tc>
        <w:tc>
          <w:tcPr>
            <w:tcW w:w="1271" w:type="dxa"/>
            <w:tcBorders/>
            <w:shd w:fill="auto" w:val="clear"/>
            <w:tcMar>
              <w:left w:w="103" w:type="dxa"/>
            </w:tcMar>
            <w:vAlign w:val="center"/>
          </w:tcPr>
          <w:p>
            <w:pPr>
              <w:pStyle w:val="Normal"/>
              <w:spacing w:lineRule="auto" w:line="240" w:before="0" w:after="0"/>
              <w:jc w:val="center"/>
              <w:rPr/>
            </w:pPr>
            <w:r>
              <w:rPr/>
              <w:t>pow. usług.</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2</w:t>
            </w:r>
          </w:p>
        </w:tc>
        <w:tc>
          <w:tcPr>
            <w:tcW w:w="2287" w:type="dxa"/>
            <w:gridSpan w:val="2"/>
            <w:tcBorders/>
            <w:shd w:fill="auto" w:val="clear"/>
            <w:tcMar>
              <w:left w:w="103" w:type="dxa"/>
            </w:tcMar>
            <w:vAlign w:val="center"/>
          </w:tcPr>
          <w:p>
            <w:pPr>
              <w:pStyle w:val="Normal"/>
              <w:spacing w:lineRule="auto" w:line="240" w:before="0" w:after="0"/>
              <w:jc w:val="left"/>
              <w:rPr/>
            </w:pPr>
            <w:r>
              <w:rPr/>
              <w:t>magazynek środków czystości</w:t>
            </w:r>
          </w:p>
        </w:tc>
        <w:tc>
          <w:tcPr>
            <w:tcW w:w="877" w:type="dxa"/>
            <w:tcBorders/>
            <w:shd w:fill="auto" w:val="clear"/>
            <w:tcMar>
              <w:left w:w="103" w:type="dxa"/>
            </w:tcMar>
            <w:vAlign w:val="center"/>
          </w:tcPr>
          <w:p>
            <w:pPr>
              <w:pStyle w:val="Normal"/>
              <w:spacing w:lineRule="auto" w:line="240" w:before="0" w:after="0"/>
              <w:jc w:val="center"/>
              <w:rPr/>
            </w:pPr>
            <w:r>
              <w:rPr/>
              <w:t>2,90</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3</w:t>
            </w:r>
          </w:p>
        </w:tc>
        <w:tc>
          <w:tcPr>
            <w:tcW w:w="2287" w:type="dxa"/>
            <w:gridSpan w:val="2"/>
            <w:tcBorders/>
            <w:shd w:fill="auto" w:val="clear"/>
            <w:tcMar>
              <w:left w:w="103" w:type="dxa"/>
            </w:tcMar>
            <w:vAlign w:val="center"/>
          </w:tcPr>
          <w:p>
            <w:pPr>
              <w:pStyle w:val="Normal"/>
              <w:spacing w:lineRule="auto" w:line="240" w:before="0" w:after="0"/>
              <w:jc w:val="left"/>
              <w:rPr/>
            </w:pPr>
            <w:r>
              <w:rPr/>
              <w:t>Szatnia</w:t>
            </w:r>
          </w:p>
        </w:tc>
        <w:tc>
          <w:tcPr>
            <w:tcW w:w="877" w:type="dxa"/>
            <w:tcBorders/>
            <w:shd w:fill="auto" w:val="clear"/>
            <w:tcMar>
              <w:left w:w="103" w:type="dxa"/>
            </w:tcMar>
            <w:vAlign w:val="center"/>
          </w:tcPr>
          <w:p>
            <w:pPr>
              <w:pStyle w:val="Normal"/>
              <w:spacing w:lineRule="auto" w:line="240" w:before="0" w:after="0"/>
              <w:jc w:val="center"/>
              <w:rPr/>
            </w:pPr>
            <w:r>
              <w:rPr/>
              <w:t>42,83</w:t>
            </w:r>
          </w:p>
        </w:tc>
        <w:tc>
          <w:tcPr>
            <w:tcW w:w="1271" w:type="dxa"/>
            <w:tcBorders/>
            <w:shd w:fill="auto" w:val="clear"/>
            <w:tcMar>
              <w:left w:w="103" w:type="dxa"/>
            </w:tcMar>
            <w:vAlign w:val="center"/>
          </w:tcPr>
          <w:p>
            <w:pPr>
              <w:pStyle w:val="Normal"/>
              <w:spacing w:lineRule="auto" w:line="240" w:before="0" w:after="0"/>
              <w:jc w:val="center"/>
              <w:rPr/>
            </w:pPr>
            <w:r>
              <w:rPr/>
              <w:t>pow. podst.</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4</w:t>
            </w:r>
          </w:p>
        </w:tc>
        <w:tc>
          <w:tcPr>
            <w:tcW w:w="2287" w:type="dxa"/>
            <w:gridSpan w:val="2"/>
            <w:tcBorders/>
            <w:shd w:fill="auto" w:val="clear"/>
            <w:tcMar>
              <w:left w:w="103" w:type="dxa"/>
            </w:tcMar>
            <w:vAlign w:val="center"/>
          </w:tcPr>
          <w:p>
            <w:pPr>
              <w:pStyle w:val="Normal"/>
              <w:spacing w:lineRule="auto" w:line="240" w:before="0" w:after="0"/>
              <w:jc w:val="left"/>
              <w:rPr/>
            </w:pPr>
            <w:r>
              <w:rPr/>
              <w:t>pomieszczenie socjalne</w:t>
            </w:r>
          </w:p>
        </w:tc>
        <w:tc>
          <w:tcPr>
            <w:tcW w:w="877" w:type="dxa"/>
            <w:tcBorders/>
            <w:shd w:fill="auto" w:val="clear"/>
            <w:tcMar>
              <w:left w:w="103" w:type="dxa"/>
            </w:tcMar>
            <w:vAlign w:val="center"/>
          </w:tcPr>
          <w:p>
            <w:pPr>
              <w:pStyle w:val="Normal"/>
              <w:spacing w:lineRule="auto" w:line="240" w:before="0" w:after="0"/>
              <w:jc w:val="center"/>
              <w:rPr/>
            </w:pPr>
            <w:r>
              <w:rPr/>
              <w:t>7,63</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4A</w:t>
            </w:r>
          </w:p>
        </w:tc>
        <w:tc>
          <w:tcPr>
            <w:tcW w:w="2287" w:type="dxa"/>
            <w:gridSpan w:val="2"/>
            <w:tcBorders/>
            <w:shd w:fill="auto" w:val="clear"/>
            <w:tcMar>
              <w:left w:w="103" w:type="dxa"/>
            </w:tcMar>
            <w:vAlign w:val="center"/>
          </w:tcPr>
          <w:p>
            <w:pPr>
              <w:pStyle w:val="Normal"/>
              <w:spacing w:lineRule="auto" w:line="240" w:before="0" w:after="0"/>
              <w:jc w:val="left"/>
              <w:rPr/>
            </w:pPr>
            <w:r>
              <w:rPr/>
              <w:t>magazyn produktów suchych, mroźnia</w:t>
            </w:r>
          </w:p>
        </w:tc>
        <w:tc>
          <w:tcPr>
            <w:tcW w:w="877" w:type="dxa"/>
            <w:tcBorders/>
            <w:shd w:fill="auto" w:val="clear"/>
            <w:tcMar>
              <w:left w:w="103" w:type="dxa"/>
            </w:tcMar>
            <w:vAlign w:val="center"/>
          </w:tcPr>
          <w:p>
            <w:pPr>
              <w:pStyle w:val="Normal"/>
              <w:spacing w:lineRule="auto" w:line="240" w:before="0" w:after="0"/>
              <w:jc w:val="center"/>
              <w:rPr/>
            </w:pPr>
            <w:r>
              <w:rPr/>
              <w:t>9,66</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4B</w:t>
            </w:r>
          </w:p>
        </w:tc>
        <w:tc>
          <w:tcPr>
            <w:tcW w:w="2287" w:type="dxa"/>
            <w:gridSpan w:val="2"/>
            <w:tcBorders/>
            <w:shd w:fill="auto" w:val="clear"/>
            <w:tcMar>
              <w:left w:w="103" w:type="dxa"/>
            </w:tcMar>
            <w:vAlign w:val="center"/>
          </w:tcPr>
          <w:p>
            <w:pPr>
              <w:pStyle w:val="Normal"/>
              <w:spacing w:lineRule="auto" w:line="240" w:before="0" w:after="0"/>
              <w:jc w:val="left"/>
              <w:rPr/>
            </w:pPr>
            <w:r>
              <w:rPr/>
              <w:t>magazyn warzyw</w:t>
            </w:r>
          </w:p>
        </w:tc>
        <w:tc>
          <w:tcPr>
            <w:tcW w:w="877" w:type="dxa"/>
            <w:tcBorders/>
            <w:shd w:fill="auto" w:val="clear"/>
            <w:tcMar>
              <w:left w:w="103" w:type="dxa"/>
            </w:tcMar>
            <w:vAlign w:val="center"/>
          </w:tcPr>
          <w:p>
            <w:pPr>
              <w:pStyle w:val="Normal"/>
              <w:spacing w:lineRule="auto" w:line="240" w:before="0" w:after="0"/>
              <w:jc w:val="center"/>
              <w:rPr/>
            </w:pPr>
            <w:r>
              <w:rPr/>
              <w:t>14,00</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5</w:t>
            </w:r>
          </w:p>
        </w:tc>
        <w:tc>
          <w:tcPr>
            <w:tcW w:w="2287" w:type="dxa"/>
            <w:gridSpan w:val="2"/>
            <w:tcBorders/>
            <w:shd w:fill="auto" w:val="clear"/>
            <w:tcMar>
              <w:left w:w="103" w:type="dxa"/>
            </w:tcMar>
            <w:vAlign w:val="center"/>
          </w:tcPr>
          <w:p>
            <w:pPr>
              <w:pStyle w:val="Normal"/>
              <w:spacing w:lineRule="auto" w:line="240" w:before="0" w:after="0"/>
              <w:jc w:val="left"/>
              <w:rPr/>
            </w:pPr>
            <w:r>
              <w:rPr/>
              <w:t>pomieszczenie gospodarcze</w:t>
            </w:r>
          </w:p>
        </w:tc>
        <w:tc>
          <w:tcPr>
            <w:tcW w:w="877" w:type="dxa"/>
            <w:tcBorders/>
            <w:shd w:fill="auto" w:val="clear"/>
            <w:tcMar>
              <w:left w:w="103" w:type="dxa"/>
            </w:tcMar>
            <w:vAlign w:val="center"/>
          </w:tcPr>
          <w:p>
            <w:pPr>
              <w:pStyle w:val="Normal"/>
              <w:spacing w:lineRule="auto" w:line="240" w:before="0" w:after="0"/>
              <w:jc w:val="center"/>
              <w:rPr/>
            </w:pPr>
            <w:r>
              <w:rPr/>
              <w:t>1,60</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6</w:t>
            </w:r>
          </w:p>
        </w:tc>
        <w:tc>
          <w:tcPr>
            <w:tcW w:w="2287" w:type="dxa"/>
            <w:gridSpan w:val="2"/>
            <w:tcBorders/>
            <w:shd w:fill="auto" w:val="clear"/>
            <w:tcMar>
              <w:left w:w="103" w:type="dxa"/>
            </w:tcMar>
            <w:vAlign w:val="center"/>
          </w:tcPr>
          <w:p>
            <w:pPr>
              <w:pStyle w:val="Normal"/>
              <w:spacing w:lineRule="auto" w:line="240" w:before="0" w:after="0"/>
              <w:jc w:val="left"/>
              <w:rPr/>
            </w:pPr>
            <w:r>
              <w:rPr/>
              <w:t>Przedsionek</w:t>
            </w:r>
          </w:p>
        </w:tc>
        <w:tc>
          <w:tcPr>
            <w:tcW w:w="877" w:type="dxa"/>
            <w:tcBorders/>
            <w:shd w:fill="auto" w:val="clear"/>
            <w:tcMar>
              <w:left w:w="103" w:type="dxa"/>
            </w:tcMar>
            <w:vAlign w:val="center"/>
          </w:tcPr>
          <w:p>
            <w:pPr>
              <w:pStyle w:val="Normal"/>
              <w:spacing w:lineRule="auto" w:line="240" w:before="0" w:after="0"/>
              <w:jc w:val="center"/>
              <w:rPr/>
            </w:pPr>
            <w:r>
              <w:rPr/>
              <w:t>7,80</w:t>
            </w:r>
          </w:p>
        </w:tc>
        <w:tc>
          <w:tcPr>
            <w:tcW w:w="1271" w:type="dxa"/>
            <w:tcBorders/>
            <w:shd w:fill="auto" w:val="clear"/>
            <w:tcMar>
              <w:left w:w="103" w:type="dxa"/>
            </w:tcMar>
            <w:vAlign w:val="center"/>
          </w:tcPr>
          <w:p>
            <w:pPr>
              <w:pStyle w:val="Normal"/>
              <w:spacing w:lineRule="auto" w:line="240" w:before="0" w:after="0"/>
              <w:jc w:val="center"/>
              <w:rPr/>
            </w:pPr>
            <w:r>
              <w:rPr/>
              <w:t>pow. ruchu.</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6A</w:t>
            </w:r>
          </w:p>
        </w:tc>
        <w:tc>
          <w:tcPr>
            <w:tcW w:w="2287" w:type="dxa"/>
            <w:gridSpan w:val="2"/>
            <w:tcBorders/>
            <w:shd w:fill="auto" w:val="clear"/>
            <w:tcMar>
              <w:left w:w="103" w:type="dxa"/>
            </w:tcMar>
            <w:vAlign w:val="center"/>
          </w:tcPr>
          <w:p>
            <w:pPr>
              <w:pStyle w:val="Normal"/>
              <w:spacing w:lineRule="auto" w:line="240" w:before="0" w:after="0"/>
              <w:jc w:val="left"/>
              <w:rPr/>
            </w:pPr>
            <w:r>
              <w:rPr/>
              <w:t>przebieralnia dla dziewcząt</w:t>
            </w:r>
          </w:p>
        </w:tc>
        <w:tc>
          <w:tcPr>
            <w:tcW w:w="877" w:type="dxa"/>
            <w:tcBorders/>
            <w:shd w:fill="auto" w:val="clear"/>
            <w:tcMar>
              <w:left w:w="103" w:type="dxa"/>
            </w:tcMar>
            <w:vAlign w:val="center"/>
          </w:tcPr>
          <w:p>
            <w:pPr>
              <w:pStyle w:val="Normal"/>
              <w:spacing w:lineRule="auto" w:line="240" w:before="0" w:after="0"/>
              <w:jc w:val="center"/>
              <w:rPr/>
            </w:pPr>
            <w:r>
              <w:rPr/>
              <w:t>7,34</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6B</w:t>
            </w:r>
          </w:p>
        </w:tc>
        <w:tc>
          <w:tcPr>
            <w:tcW w:w="2287" w:type="dxa"/>
            <w:gridSpan w:val="2"/>
            <w:tcBorders/>
            <w:shd w:fill="auto" w:val="clear"/>
            <w:tcMar>
              <w:left w:w="103" w:type="dxa"/>
            </w:tcMar>
            <w:vAlign w:val="center"/>
          </w:tcPr>
          <w:p>
            <w:pPr>
              <w:pStyle w:val="Normal"/>
              <w:spacing w:lineRule="auto" w:line="240" w:before="0" w:after="0"/>
              <w:jc w:val="left"/>
              <w:rPr/>
            </w:pPr>
            <w:r>
              <w:rPr/>
              <w:t>przebieralnia dla chłopców</w:t>
            </w:r>
          </w:p>
        </w:tc>
        <w:tc>
          <w:tcPr>
            <w:tcW w:w="877" w:type="dxa"/>
            <w:tcBorders/>
            <w:shd w:fill="auto" w:val="clear"/>
            <w:tcMar>
              <w:left w:w="103" w:type="dxa"/>
            </w:tcMar>
            <w:vAlign w:val="center"/>
          </w:tcPr>
          <w:p>
            <w:pPr>
              <w:pStyle w:val="Normal"/>
              <w:spacing w:lineRule="auto" w:line="240" w:before="0" w:after="0"/>
              <w:jc w:val="center"/>
              <w:rPr/>
            </w:pPr>
            <w:r>
              <w:rPr/>
              <w:t>14,23</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7</w:t>
            </w:r>
          </w:p>
        </w:tc>
        <w:tc>
          <w:tcPr>
            <w:tcW w:w="2287" w:type="dxa"/>
            <w:gridSpan w:val="2"/>
            <w:tcBorders/>
            <w:shd w:fill="auto" w:val="clear"/>
            <w:tcMar>
              <w:left w:w="103" w:type="dxa"/>
            </w:tcMar>
            <w:vAlign w:val="center"/>
          </w:tcPr>
          <w:p>
            <w:pPr>
              <w:pStyle w:val="Normal"/>
              <w:spacing w:lineRule="auto" w:line="240" w:before="0" w:after="0"/>
              <w:jc w:val="left"/>
              <w:rPr/>
            </w:pPr>
            <w:r>
              <w:rPr/>
              <w:t>Kotłownia</w:t>
            </w:r>
          </w:p>
        </w:tc>
        <w:tc>
          <w:tcPr>
            <w:tcW w:w="877" w:type="dxa"/>
            <w:tcBorders/>
            <w:shd w:fill="auto" w:val="clear"/>
            <w:tcMar>
              <w:left w:w="103" w:type="dxa"/>
            </w:tcMar>
            <w:vAlign w:val="center"/>
          </w:tcPr>
          <w:p>
            <w:pPr>
              <w:pStyle w:val="Normal"/>
              <w:spacing w:lineRule="auto" w:line="240" w:before="0" w:after="0"/>
              <w:jc w:val="center"/>
              <w:rPr/>
            </w:pPr>
            <w:r>
              <w:rPr/>
              <w:t>94,32</w:t>
            </w:r>
          </w:p>
        </w:tc>
        <w:tc>
          <w:tcPr>
            <w:tcW w:w="1271" w:type="dxa"/>
            <w:tcBorders/>
            <w:shd w:fill="auto" w:val="clear"/>
            <w:tcMar>
              <w:left w:w="103" w:type="dxa"/>
            </w:tcMar>
            <w:vAlign w:val="center"/>
          </w:tcPr>
          <w:p>
            <w:pPr>
              <w:pStyle w:val="Normal"/>
              <w:spacing w:lineRule="auto" w:line="240" w:before="0" w:after="0"/>
              <w:jc w:val="center"/>
              <w:rPr/>
            </w:pPr>
            <w:r>
              <w:rPr/>
              <w:t>pow. usług.</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8</w:t>
            </w:r>
          </w:p>
        </w:tc>
        <w:tc>
          <w:tcPr>
            <w:tcW w:w="2287" w:type="dxa"/>
            <w:gridSpan w:val="2"/>
            <w:tcBorders/>
            <w:shd w:fill="auto" w:val="clear"/>
            <w:tcMar>
              <w:left w:w="103" w:type="dxa"/>
            </w:tcMar>
            <w:vAlign w:val="center"/>
          </w:tcPr>
          <w:p>
            <w:pPr>
              <w:pStyle w:val="Normal"/>
              <w:spacing w:lineRule="auto" w:line="240" w:before="0" w:after="0"/>
              <w:jc w:val="left"/>
              <w:rPr/>
            </w:pPr>
            <w:r>
              <w:rPr/>
              <w:t>Kuchnia</w:t>
            </w:r>
          </w:p>
        </w:tc>
        <w:tc>
          <w:tcPr>
            <w:tcW w:w="877" w:type="dxa"/>
            <w:tcBorders/>
            <w:shd w:fill="auto" w:val="clear"/>
            <w:tcMar>
              <w:left w:w="103" w:type="dxa"/>
            </w:tcMar>
            <w:vAlign w:val="center"/>
          </w:tcPr>
          <w:p>
            <w:pPr>
              <w:pStyle w:val="Normal"/>
              <w:spacing w:lineRule="auto" w:line="240" w:before="0" w:after="0"/>
              <w:jc w:val="center"/>
              <w:rPr/>
            </w:pPr>
            <w:r>
              <w:rPr/>
              <w:t>12,54</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9</w:t>
            </w:r>
          </w:p>
        </w:tc>
        <w:tc>
          <w:tcPr>
            <w:tcW w:w="2287" w:type="dxa"/>
            <w:gridSpan w:val="2"/>
            <w:tcBorders/>
            <w:shd w:fill="auto" w:val="clear"/>
            <w:tcMar>
              <w:left w:w="103" w:type="dxa"/>
            </w:tcMar>
            <w:vAlign w:val="center"/>
          </w:tcPr>
          <w:p>
            <w:pPr>
              <w:pStyle w:val="Normal"/>
              <w:spacing w:lineRule="auto" w:line="240" w:before="0" w:after="0"/>
              <w:jc w:val="left"/>
              <w:rPr/>
            </w:pPr>
            <w:r>
              <w:rPr/>
              <w:t>Jadalnia</w:t>
            </w:r>
          </w:p>
        </w:tc>
        <w:tc>
          <w:tcPr>
            <w:tcW w:w="877" w:type="dxa"/>
            <w:tcBorders/>
            <w:shd w:fill="auto" w:val="clear"/>
            <w:tcMar>
              <w:left w:w="103" w:type="dxa"/>
            </w:tcMar>
            <w:vAlign w:val="center"/>
          </w:tcPr>
          <w:p>
            <w:pPr>
              <w:pStyle w:val="Normal"/>
              <w:spacing w:lineRule="auto" w:line="240" w:before="0" w:after="0"/>
              <w:jc w:val="center"/>
              <w:rPr/>
            </w:pPr>
            <w:r>
              <w:rPr/>
              <w:t>34,80</w:t>
            </w:r>
          </w:p>
        </w:tc>
        <w:tc>
          <w:tcPr>
            <w:tcW w:w="1271" w:type="dxa"/>
            <w:tcBorders/>
            <w:shd w:fill="auto" w:val="clear"/>
            <w:tcMar>
              <w:left w:w="103" w:type="dxa"/>
            </w:tcMar>
            <w:vAlign w:val="center"/>
          </w:tcPr>
          <w:p>
            <w:pPr>
              <w:pStyle w:val="Normal"/>
              <w:spacing w:lineRule="auto" w:line="240" w:before="0" w:after="0"/>
              <w:jc w:val="center"/>
              <w:rPr/>
            </w:pPr>
            <w:r>
              <w:rPr/>
              <w:t>pow. podst.</w:t>
            </w:r>
          </w:p>
        </w:tc>
      </w:tr>
      <w:tr>
        <w:trPr/>
        <w:tc>
          <w:tcPr>
            <w:tcW w:w="4365" w:type="dxa"/>
            <w:gridSpan w:val="3"/>
            <w:tcBorders/>
            <w:shd w:fill="auto" w:val="clear"/>
            <w:tcMar>
              <w:left w:w="103" w:type="dxa"/>
            </w:tcMar>
            <w:vAlign w:val="center"/>
          </w:tcPr>
          <w:p>
            <w:pPr>
              <w:pStyle w:val="Normal"/>
              <w:spacing w:lineRule="auto" w:line="240" w:before="0" w:after="0"/>
              <w:jc w:val="left"/>
              <w:rPr/>
            </w:pPr>
            <w:r>
              <w:rPr/>
              <w:t>RAZEM PIWNICA:</w:t>
            </w:r>
          </w:p>
        </w:tc>
        <w:tc>
          <w:tcPr>
            <w:tcW w:w="2149" w:type="dxa"/>
            <w:gridSpan w:val="3"/>
            <w:tcBorders/>
            <w:shd w:fill="auto" w:val="clear"/>
            <w:tcMar>
              <w:left w:w="103" w:type="dxa"/>
            </w:tcMar>
            <w:vAlign w:val="center"/>
          </w:tcPr>
          <w:p>
            <w:pPr>
              <w:pStyle w:val="Normal"/>
              <w:spacing w:lineRule="auto" w:line="240" w:before="0" w:after="0"/>
              <w:jc w:val="left"/>
              <w:rPr>
                <w:vertAlign w:val="superscript"/>
              </w:rPr>
            </w:pPr>
            <w:r>
              <w:rPr/>
              <w:t>375,3m</w:t>
            </w:r>
            <w:r>
              <w:rPr>
                <w:vertAlign w:val="superscript"/>
              </w:rPr>
              <w:t>2</w:t>
            </w:r>
          </w:p>
        </w:tc>
      </w:tr>
      <w:tr>
        <w:trPr/>
        <w:tc>
          <w:tcPr>
            <w:tcW w:w="1427" w:type="dxa"/>
            <w:vMerge w:val="restart"/>
            <w:tcBorders/>
            <w:shd w:fill="auto" w:val="clear"/>
            <w:tcMar>
              <w:left w:w="103" w:type="dxa"/>
            </w:tcMar>
            <w:vAlign w:val="center"/>
          </w:tcPr>
          <w:p>
            <w:pPr>
              <w:pStyle w:val="Normal"/>
              <w:spacing w:lineRule="auto" w:line="240" w:before="0" w:after="0"/>
              <w:jc w:val="center"/>
              <w:rPr/>
            </w:pPr>
            <w:r>
              <w:rPr/>
              <w:t>+1 (parter)</w:t>
            </w:r>
          </w:p>
        </w:tc>
        <w:tc>
          <w:tcPr>
            <w:tcW w:w="652" w:type="dxa"/>
            <w:tcBorders/>
            <w:shd w:fill="auto" w:val="clear"/>
            <w:tcMar>
              <w:left w:w="103" w:type="dxa"/>
            </w:tcMar>
            <w:vAlign w:val="center"/>
          </w:tcPr>
          <w:p>
            <w:pPr>
              <w:pStyle w:val="Normal"/>
              <w:spacing w:lineRule="auto" w:line="240" w:before="0" w:after="0"/>
              <w:jc w:val="right"/>
              <w:rPr/>
            </w:pPr>
            <w:r>
              <w:rPr/>
              <w:t>01K</w:t>
            </w:r>
          </w:p>
        </w:tc>
        <w:tc>
          <w:tcPr>
            <w:tcW w:w="2287" w:type="dxa"/>
            <w:gridSpan w:val="2"/>
            <w:tcBorders/>
            <w:shd w:fill="auto" w:val="clear"/>
            <w:tcMar>
              <w:left w:w="103" w:type="dxa"/>
            </w:tcMar>
            <w:vAlign w:val="center"/>
          </w:tcPr>
          <w:p>
            <w:pPr>
              <w:pStyle w:val="Normal"/>
              <w:spacing w:lineRule="auto" w:line="240" w:before="0" w:after="0"/>
              <w:jc w:val="left"/>
              <w:rPr/>
            </w:pPr>
            <w:r>
              <w:rPr/>
              <w:t>Komunikacja – hall główny z klatką schodową</w:t>
            </w:r>
          </w:p>
        </w:tc>
        <w:tc>
          <w:tcPr>
            <w:tcW w:w="877" w:type="dxa"/>
            <w:tcBorders/>
            <w:shd w:fill="auto" w:val="clear"/>
            <w:tcMar>
              <w:left w:w="103" w:type="dxa"/>
            </w:tcMar>
            <w:vAlign w:val="center"/>
          </w:tcPr>
          <w:p>
            <w:pPr>
              <w:pStyle w:val="Normal"/>
              <w:spacing w:lineRule="auto" w:line="240" w:before="0" w:after="0"/>
              <w:jc w:val="center"/>
              <w:rPr/>
            </w:pPr>
            <w:r>
              <w:rPr/>
              <w:t>46,81</w:t>
            </w:r>
          </w:p>
        </w:tc>
        <w:tc>
          <w:tcPr>
            <w:tcW w:w="1271" w:type="dxa"/>
            <w:vMerge w:val="restart"/>
            <w:tcBorders/>
            <w:shd w:fill="auto" w:val="clear"/>
            <w:tcMar>
              <w:left w:w="103" w:type="dxa"/>
            </w:tcMar>
            <w:vAlign w:val="center"/>
          </w:tcPr>
          <w:p>
            <w:pPr>
              <w:pStyle w:val="Normal"/>
              <w:spacing w:lineRule="auto" w:line="240" w:before="0" w:after="0"/>
              <w:jc w:val="center"/>
              <w:rPr/>
            </w:pPr>
            <w:r>
              <w:rPr/>
              <w:t>pow. ruchu</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02K</w:t>
            </w:r>
          </w:p>
        </w:tc>
        <w:tc>
          <w:tcPr>
            <w:tcW w:w="2287" w:type="dxa"/>
            <w:gridSpan w:val="2"/>
            <w:tcBorders/>
            <w:shd w:fill="auto" w:val="clear"/>
            <w:tcMar>
              <w:left w:w="103" w:type="dxa"/>
            </w:tcMar>
            <w:vAlign w:val="center"/>
          </w:tcPr>
          <w:p>
            <w:pPr>
              <w:pStyle w:val="Normal"/>
              <w:spacing w:lineRule="auto" w:line="240" w:before="0" w:after="0"/>
              <w:jc w:val="left"/>
              <w:rPr/>
            </w:pPr>
            <w:r>
              <w:rPr/>
              <w:t>korytarz</w:t>
            </w:r>
          </w:p>
        </w:tc>
        <w:tc>
          <w:tcPr>
            <w:tcW w:w="877" w:type="dxa"/>
            <w:tcBorders/>
            <w:shd w:fill="auto" w:val="clear"/>
            <w:tcMar>
              <w:left w:w="103" w:type="dxa"/>
            </w:tcMar>
            <w:vAlign w:val="center"/>
          </w:tcPr>
          <w:p>
            <w:pPr>
              <w:pStyle w:val="Normal"/>
              <w:spacing w:lineRule="auto" w:line="240" w:before="0" w:after="0"/>
              <w:jc w:val="center"/>
              <w:rPr/>
            </w:pPr>
            <w:r>
              <w:rPr/>
              <w:t>21,28</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03K</w:t>
            </w:r>
          </w:p>
        </w:tc>
        <w:tc>
          <w:tcPr>
            <w:tcW w:w="2287" w:type="dxa"/>
            <w:gridSpan w:val="2"/>
            <w:tcBorders/>
            <w:shd w:fill="auto" w:val="clear"/>
            <w:tcMar>
              <w:left w:w="103" w:type="dxa"/>
            </w:tcMar>
            <w:vAlign w:val="center"/>
          </w:tcPr>
          <w:p>
            <w:pPr>
              <w:pStyle w:val="Normal"/>
              <w:spacing w:lineRule="auto" w:line="240" w:before="0" w:after="0"/>
              <w:jc w:val="left"/>
              <w:rPr/>
            </w:pPr>
            <w:r>
              <w:rPr/>
              <w:t>wiatrołap</w:t>
            </w:r>
          </w:p>
        </w:tc>
        <w:tc>
          <w:tcPr>
            <w:tcW w:w="877" w:type="dxa"/>
            <w:tcBorders/>
            <w:shd w:fill="auto" w:val="clear"/>
            <w:tcMar>
              <w:left w:w="103" w:type="dxa"/>
            </w:tcMar>
            <w:vAlign w:val="center"/>
          </w:tcPr>
          <w:p>
            <w:pPr>
              <w:pStyle w:val="Normal"/>
              <w:spacing w:lineRule="auto" w:line="240" w:before="0" w:after="0"/>
              <w:jc w:val="center"/>
              <w:rPr/>
            </w:pPr>
            <w:r>
              <w:rPr/>
              <w:t>17,52</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10</w:t>
            </w:r>
          </w:p>
        </w:tc>
        <w:tc>
          <w:tcPr>
            <w:tcW w:w="2287" w:type="dxa"/>
            <w:gridSpan w:val="2"/>
            <w:tcBorders/>
            <w:shd w:fill="auto" w:val="clear"/>
            <w:tcMar>
              <w:left w:w="103" w:type="dxa"/>
            </w:tcMar>
            <w:vAlign w:val="center"/>
          </w:tcPr>
          <w:p>
            <w:pPr>
              <w:pStyle w:val="Normal"/>
              <w:spacing w:lineRule="auto" w:line="240" w:before="0" w:after="0"/>
              <w:jc w:val="left"/>
              <w:rPr/>
            </w:pPr>
            <w:r>
              <w:rPr/>
              <w:t>przedsionek</w:t>
            </w:r>
          </w:p>
        </w:tc>
        <w:tc>
          <w:tcPr>
            <w:tcW w:w="877" w:type="dxa"/>
            <w:tcBorders/>
            <w:shd w:fill="auto" w:val="clear"/>
            <w:tcMar>
              <w:left w:w="103" w:type="dxa"/>
            </w:tcMar>
            <w:vAlign w:val="center"/>
          </w:tcPr>
          <w:p>
            <w:pPr>
              <w:pStyle w:val="Normal"/>
              <w:spacing w:lineRule="auto" w:line="240" w:before="0" w:after="0"/>
              <w:jc w:val="center"/>
              <w:rPr/>
            </w:pPr>
            <w:r>
              <w:rPr/>
              <w:t>18,10</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10A</w:t>
            </w:r>
          </w:p>
        </w:tc>
        <w:tc>
          <w:tcPr>
            <w:tcW w:w="2287" w:type="dxa"/>
            <w:gridSpan w:val="2"/>
            <w:tcBorders/>
            <w:shd w:fill="auto" w:val="clear"/>
            <w:tcMar>
              <w:left w:w="103" w:type="dxa"/>
            </w:tcMar>
            <w:vAlign w:val="center"/>
          </w:tcPr>
          <w:p>
            <w:pPr>
              <w:pStyle w:val="Normal"/>
              <w:spacing w:lineRule="auto" w:line="240" w:before="0" w:after="0"/>
              <w:jc w:val="left"/>
              <w:rPr/>
            </w:pPr>
            <w:r>
              <w:rPr/>
              <w:t>sala przedszkolna</w:t>
            </w:r>
          </w:p>
        </w:tc>
        <w:tc>
          <w:tcPr>
            <w:tcW w:w="877" w:type="dxa"/>
            <w:tcBorders/>
            <w:shd w:fill="auto" w:val="clear"/>
            <w:tcMar>
              <w:left w:w="103" w:type="dxa"/>
            </w:tcMar>
            <w:vAlign w:val="center"/>
          </w:tcPr>
          <w:p>
            <w:pPr>
              <w:pStyle w:val="Normal"/>
              <w:spacing w:lineRule="auto" w:line="240" w:before="0" w:after="0"/>
              <w:jc w:val="center"/>
              <w:rPr/>
            </w:pPr>
            <w:r>
              <w:rPr/>
              <w:t>34,80</w:t>
            </w:r>
          </w:p>
        </w:tc>
        <w:tc>
          <w:tcPr>
            <w:tcW w:w="1271" w:type="dxa"/>
            <w:vMerge w:val="restart"/>
            <w:tcBorders/>
            <w:shd w:fill="auto" w:val="clear"/>
            <w:tcMar>
              <w:left w:w="103" w:type="dxa"/>
            </w:tcMar>
            <w:vAlign w:val="center"/>
          </w:tcPr>
          <w:p>
            <w:pPr>
              <w:pStyle w:val="Normal"/>
              <w:spacing w:lineRule="auto" w:line="240" w:before="0" w:after="0"/>
              <w:jc w:val="center"/>
              <w:rPr/>
            </w:pPr>
            <w:r>
              <w:rPr/>
              <w:t>pow. podst.</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10B</w:t>
            </w:r>
          </w:p>
        </w:tc>
        <w:tc>
          <w:tcPr>
            <w:tcW w:w="2287" w:type="dxa"/>
            <w:gridSpan w:val="2"/>
            <w:tcBorders/>
            <w:shd w:fill="auto" w:val="clear"/>
            <w:tcMar>
              <w:left w:w="103" w:type="dxa"/>
            </w:tcMar>
            <w:vAlign w:val="center"/>
          </w:tcPr>
          <w:p>
            <w:pPr>
              <w:pStyle w:val="Normal"/>
              <w:spacing w:lineRule="auto" w:line="240" w:before="0" w:after="0"/>
              <w:jc w:val="left"/>
              <w:rPr/>
            </w:pPr>
            <w:r>
              <w:rPr/>
              <w:t>sala przedszkolna</w:t>
            </w:r>
          </w:p>
        </w:tc>
        <w:tc>
          <w:tcPr>
            <w:tcW w:w="877" w:type="dxa"/>
            <w:tcBorders/>
            <w:shd w:fill="auto" w:val="clear"/>
            <w:tcMar>
              <w:left w:w="103" w:type="dxa"/>
            </w:tcMar>
            <w:vAlign w:val="center"/>
          </w:tcPr>
          <w:p>
            <w:pPr>
              <w:pStyle w:val="Normal"/>
              <w:spacing w:lineRule="auto" w:line="240" w:before="0" w:after="0"/>
              <w:jc w:val="center"/>
              <w:rPr/>
            </w:pPr>
            <w:r>
              <w:rPr/>
              <w:t>35,63</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10C</w:t>
            </w:r>
          </w:p>
        </w:tc>
        <w:tc>
          <w:tcPr>
            <w:tcW w:w="2287" w:type="dxa"/>
            <w:gridSpan w:val="2"/>
            <w:tcBorders/>
            <w:shd w:fill="auto" w:val="clear"/>
            <w:tcMar>
              <w:left w:w="103" w:type="dxa"/>
            </w:tcMar>
            <w:vAlign w:val="center"/>
          </w:tcPr>
          <w:p>
            <w:pPr>
              <w:pStyle w:val="Normal"/>
              <w:spacing w:lineRule="auto" w:line="240" w:before="0" w:after="0"/>
              <w:jc w:val="left"/>
              <w:rPr/>
            </w:pPr>
            <w:r>
              <w:rPr/>
              <w:t>sala lekcyjna (edukacja wczesnoszkolna)</w:t>
            </w:r>
          </w:p>
        </w:tc>
        <w:tc>
          <w:tcPr>
            <w:tcW w:w="877" w:type="dxa"/>
            <w:tcBorders/>
            <w:shd w:fill="auto" w:val="clear"/>
            <w:tcMar>
              <w:left w:w="103" w:type="dxa"/>
            </w:tcMar>
            <w:vAlign w:val="center"/>
          </w:tcPr>
          <w:p>
            <w:pPr>
              <w:pStyle w:val="Normal"/>
              <w:spacing w:lineRule="auto" w:line="240" w:before="0" w:after="0"/>
              <w:jc w:val="center"/>
              <w:rPr/>
            </w:pPr>
            <w:r>
              <w:rPr/>
              <w:t>26,0</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10D</w:t>
            </w:r>
          </w:p>
        </w:tc>
        <w:tc>
          <w:tcPr>
            <w:tcW w:w="2287" w:type="dxa"/>
            <w:gridSpan w:val="2"/>
            <w:tcBorders/>
            <w:shd w:fill="auto" w:val="clear"/>
            <w:tcMar>
              <w:left w:w="103" w:type="dxa"/>
            </w:tcMar>
            <w:vAlign w:val="center"/>
          </w:tcPr>
          <w:p>
            <w:pPr>
              <w:pStyle w:val="Normal"/>
              <w:spacing w:lineRule="auto" w:line="240" w:before="0" w:after="0"/>
              <w:jc w:val="left"/>
              <w:rPr/>
            </w:pPr>
            <w:r>
              <w:rPr/>
              <w:t>sanitariat</w:t>
            </w:r>
          </w:p>
        </w:tc>
        <w:tc>
          <w:tcPr>
            <w:tcW w:w="877" w:type="dxa"/>
            <w:tcBorders/>
            <w:shd w:fill="auto" w:val="clear"/>
            <w:tcMar>
              <w:left w:w="103" w:type="dxa"/>
            </w:tcMar>
            <w:vAlign w:val="center"/>
          </w:tcPr>
          <w:p>
            <w:pPr>
              <w:pStyle w:val="Normal"/>
              <w:spacing w:lineRule="auto" w:line="240" w:before="0" w:after="0"/>
              <w:jc w:val="center"/>
              <w:rPr/>
            </w:pPr>
            <w:r>
              <w:rPr/>
              <w:t>19,60</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11</w:t>
            </w:r>
          </w:p>
        </w:tc>
        <w:tc>
          <w:tcPr>
            <w:tcW w:w="2287" w:type="dxa"/>
            <w:gridSpan w:val="2"/>
            <w:tcBorders/>
            <w:shd w:fill="auto" w:val="clear"/>
            <w:tcMar>
              <w:left w:w="103" w:type="dxa"/>
            </w:tcMar>
            <w:vAlign w:val="center"/>
          </w:tcPr>
          <w:p>
            <w:pPr>
              <w:pStyle w:val="Normal"/>
              <w:spacing w:lineRule="auto" w:line="240" w:before="0" w:after="0"/>
              <w:jc w:val="left"/>
              <w:rPr/>
            </w:pPr>
            <w:r>
              <w:rPr/>
              <w:t>pomieszczenie do zajęć wf (sala gimnastyczna)</w:t>
            </w:r>
          </w:p>
        </w:tc>
        <w:tc>
          <w:tcPr>
            <w:tcW w:w="877" w:type="dxa"/>
            <w:tcBorders/>
            <w:shd w:fill="auto" w:val="clear"/>
            <w:tcMar>
              <w:left w:w="103" w:type="dxa"/>
            </w:tcMar>
            <w:vAlign w:val="center"/>
          </w:tcPr>
          <w:p>
            <w:pPr>
              <w:pStyle w:val="Normal"/>
              <w:spacing w:lineRule="auto" w:line="240" w:before="0" w:after="0"/>
              <w:jc w:val="center"/>
              <w:rPr/>
            </w:pPr>
            <w:r>
              <w:rPr/>
              <w:t>104,30</w:t>
            </w:r>
          </w:p>
        </w:tc>
        <w:tc>
          <w:tcPr>
            <w:tcW w:w="1271" w:type="dxa"/>
            <w:vMerge w:val="restart"/>
            <w:tcBorders/>
            <w:shd w:fill="auto" w:val="clear"/>
            <w:tcMar>
              <w:left w:w="103" w:type="dxa"/>
            </w:tcMar>
            <w:vAlign w:val="center"/>
          </w:tcPr>
          <w:p>
            <w:pPr>
              <w:pStyle w:val="Normal"/>
              <w:spacing w:lineRule="auto" w:line="240" w:before="0" w:after="0"/>
              <w:jc w:val="center"/>
              <w:rPr/>
            </w:pPr>
            <w:r>
              <w:rPr/>
              <w:t>pow. podst.</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12</w:t>
            </w:r>
          </w:p>
        </w:tc>
        <w:tc>
          <w:tcPr>
            <w:tcW w:w="2287" w:type="dxa"/>
            <w:gridSpan w:val="2"/>
            <w:tcBorders/>
            <w:shd w:fill="auto" w:val="clear"/>
            <w:tcMar>
              <w:left w:w="103" w:type="dxa"/>
            </w:tcMar>
            <w:vAlign w:val="center"/>
          </w:tcPr>
          <w:p>
            <w:pPr>
              <w:pStyle w:val="Normal"/>
              <w:spacing w:lineRule="auto" w:line="240" w:before="0" w:after="0"/>
              <w:jc w:val="left"/>
              <w:rPr/>
            </w:pPr>
            <w:r>
              <w:rPr/>
              <w:t>sala lekcyjna (matematyczno-fizyczna)</w:t>
            </w:r>
          </w:p>
        </w:tc>
        <w:tc>
          <w:tcPr>
            <w:tcW w:w="877" w:type="dxa"/>
            <w:tcBorders/>
            <w:shd w:fill="auto" w:val="clear"/>
            <w:tcMar>
              <w:left w:w="103" w:type="dxa"/>
            </w:tcMar>
            <w:vAlign w:val="center"/>
          </w:tcPr>
          <w:p>
            <w:pPr>
              <w:pStyle w:val="Normal"/>
              <w:spacing w:lineRule="auto" w:line="240" w:before="0" w:after="0"/>
              <w:jc w:val="center"/>
              <w:rPr/>
            </w:pPr>
            <w:r>
              <w:rPr/>
              <w:t>59,40</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13</w:t>
            </w:r>
          </w:p>
        </w:tc>
        <w:tc>
          <w:tcPr>
            <w:tcW w:w="2287" w:type="dxa"/>
            <w:gridSpan w:val="2"/>
            <w:tcBorders/>
            <w:shd w:fill="auto" w:val="clear"/>
            <w:tcMar>
              <w:left w:w="103" w:type="dxa"/>
            </w:tcMar>
            <w:vAlign w:val="center"/>
          </w:tcPr>
          <w:p>
            <w:pPr>
              <w:pStyle w:val="Normal"/>
              <w:spacing w:lineRule="auto" w:line="240" w:before="0" w:after="0"/>
              <w:jc w:val="left"/>
              <w:rPr/>
            </w:pPr>
            <w:r>
              <w:rPr/>
              <w:t>archiwum</w:t>
            </w:r>
          </w:p>
        </w:tc>
        <w:tc>
          <w:tcPr>
            <w:tcW w:w="877" w:type="dxa"/>
            <w:tcBorders/>
            <w:shd w:fill="auto" w:val="clear"/>
            <w:tcMar>
              <w:left w:w="103" w:type="dxa"/>
            </w:tcMar>
            <w:vAlign w:val="center"/>
          </w:tcPr>
          <w:p>
            <w:pPr>
              <w:pStyle w:val="Normal"/>
              <w:spacing w:lineRule="auto" w:line="240" w:before="0" w:after="0"/>
              <w:jc w:val="center"/>
              <w:rPr/>
            </w:pPr>
            <w:r>
              <w:rPr/>
              <w:t>7,10</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14</w:t>
            </w:r>
          </w:p>
        </w:tc>
        <w:tc>
          <w:tcPr>
            <w:tcW w:w="2287" w:type="dxa"/>
            <w:gridSpan w:val="2"/>
            <w:tcBorders/>
            <w:shd w:fill="auto" w:val="clear"/>
            <w:tcMar>
              <w:left w:w="103" w:type="dxa"/>
            </w:tcMar>
            <w:vAlign w:val="center"/>
          </w:tcPr>
          <w:p>
            <w:pPr>
              <w:pStyle w:val="Normal"/>
              <w:spacing w:lineRule="auto" w:line="240" w:before="0" w:after="0"/>
              <w:jc w:val="left"/>
              <w:rPr/>
            </w:pPr>
            <w:r>
              <w:rPr/>
              <w:t>świetlica</w:t>
            </w:r>
          </w:p>
        </w:tc>
        <w:tc>
          <w:tcPr>
            <w:tcW w:w="877" w:type="dxa"/>
            <w:tcBorders/>
            <w:shd w:fill="auto" w:val="clear"/>
            <w:tcMar>
              <w:left w:w="103" w:type="dxa"/>
            </w:tcMar>
            <w:vAlign w:val="center"/>
          </w:tcPr>
          <w:p>
            <w:pPr>
              <w:pStyle w:val="Normal"/>
              <w:spacing w:lineRule="auto" w:line="240" w:before="0" w:after="0"/>
              <w:jc w:val="center"/>
              <w:rPr/>
            </w:pPr>
            <w:r>
              <w:rPr/>
              <w:t>87,96</w:t>
            </w:r>
          </w:p>
        </w:tc>
        <w:tc>
          <w:tcPr>
            <w:tcW w:w="1271" w:type="dxa"/>
            <w:tcBorders/>
            <w:shd w:fill="auto" w:val="clear"/>
            <w:tcMar>
              <w:left w:w="103" w:type="dxa"/>
            </w:tcMar>
            <w:vAlign w:val="center"/>
          </w:tcPr>
          <w:p>
            <w:pPr>
              <w:pStyle w:val="Normal"/>
              <w:spacing w:lineRule="auto" w:line="240" w:before="0" w:after="0"/>
              <w:jc w:val="center"/>
              <w:rPr/>
            </w:pPr>
            <w:r>
              <w:rPr/>
              <w:t>pow. podst.</w:t>
            </w:r>
          </w:p>
        </w:tc>
      </w:tr>
      <w:tr>
        <w:trPr/>
        <w:tc>
          <w:tcPr>
            <w:tcW w:w="4365" w:type="dxa"/>
            <w:gridSpan w:val="3"/>
            <w:tcBorders/>
            <w:shd w:fill="auto" w:val="clear"/>
            <w:tcMar>
              <w:left w:w="103" w:type="dxa"/>
            </w:tcMar>
            <w:vAlign w:val="center"/>
          </w:tcPr>
          <w:p>
            <w:pPr>
              <w:pStyle w:val="Normal"/>
              <w:spacing w:lineRule="auto" w:line="240" w:before="0" w:after="0"/>
              <w:jc w:val="left"/>
              <w:rPr/>
            </w:pPr>
            <w:r>
              <w:rPr/>
              <w:t>RAZEM PARTER:</w:t>
            </w:r>
          </w:p>
        </w:tc>
        <w:tc>
          <w:tcPr>
            <w:tcW w:w="2149" w:type="dxa"/>
            <w:gridSpan w:val="3"/>
            <w:tcBorders/>
            <w:shd w:fill="auto" w:val="clear"/>
            <w:tcMar>
              <w:left w:w="103" w:type="dxa"/>
            </w:tcMar>
            <w:vAlign w:val="center"/>
          </w:tcPr>
          <w:p>
            <w:pPr>
              <w:pStyle w:val="Normal"/>
              <w:spacing w:lineRule="auto" w:line="240" w:before="0" w:after="0"/>
              <w:jc w:val="left"/>
              <w:rPr/>
            </w:pPr>
            <w:r>
              <w:fldChar w:fldCharType="begin"/>
            </w:r>
            <w:r>
              <w:instrText>=SUM(D17:D28) \# "0,00"</w:instrText>
            </w:r>
            <w:r>
              <w:fldChar w:fldCharType="separate"/>
            </w:r>
            <w:bookmarkStart w:id="55" w:name="__Fieldmark__8024_2990695077"/>
            <w:r>
              <w:rPr/>
              <w:t>4</w:t>
            </w:r>
            <w:bookmarkStart w:id="56" w:name="__Fieldmark__5282_3028668986"/>
            <w:r>
              <w:rPr/>
              <w:t>78,50</w:t>
            </w:r>
            <w:r>
              <w:rPr/>
            </w:r>
            <w:r>
              <w:fldChar w:fldCharType="end"/>
            </w:r>
            <w:bookmarkEnd w:id="55"/>
            <w:bookmarkEnd w:id="56"/>
            <w:r>
              <w:rPr/>
              <w:t>m</w:t>
            </w:r>
            <w:r>
              <w:rPr>
                <w:vertAlign w:val="superscript"/>
              </w:rPr>
              <w:t>2</w:t>
            </w:r>
          </w:p>
        </w:tc>
      </w:tr>
      <w:tr>
        <w:trPr/>
        <w:tc>
          <w:tcPr>
            <w:tcW w:w="1427" w:type="dxa"/>
            <w:vMerge w:val="restart"/>
            <w:tcBorders/>
            <w:shd w:fill="auto" w:val="clear"/>
            <w:tcMar>
              <w:left w:w="103" w:type="dxa"/>
            </w:tcMar>
            <w:vAlign w:val="center"/>
          </w:tcPr>
          <w:p>
            <w:pPr>
              <w:pStyle w:val="Normal"/>
              <w:spacing w:lineRule="auto" w:line="240" w:before="0" w:after="0"/>
              <w:jc w:val="center"/>
              <w:rPr/>
            </w:pPr>
            <w:r>
              <w:rPr/>
              <w:t>+2</w:t>
            </w:r>
          </w:p>
          <w:p>
            <w:pPr>
              <w:pStyle w:val="Normal"/>
              <w:spacing w:lineRule="auto" w:line="240" w:before="0" w:after="0"/>
              <w:jc w:val="center"/>
              <w:rPr/>
            </w:pPr>
            <w:r>
              <w:rPr/>
              <w:t>(I piętro)</w:t>
            </w:r>
          </w:p>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11K</w:t>
            </w:r>
          </w:p>
        </w:tc>
        <w:tc>
          <w:tcPr>
            <w:tcW w:w="2287" w:type="dxa"/>
            <w:gridSpan w:val="2"/>
            <w:tcBorders/>
            <w:shd w:fill="auto" w:val="clear"/>
            <w:tcMar>
              <w:left w:w="103" w:type="dxa"/>
            </w:tcMar>
            <w:vAlign w:val="center"/>
          </w:tcPr>
          <w:p>
            <w:pPr>
              <w:pStyle w:val="Normal"/>
              <w:spacing w:lineRule="auto" w:line="240" w:before="0" w:after="0"/>
              <w:rPr/>
            </w:pPr>
            <w:r>
              <w:rPr/>
              <w:t>Klatka schodowa</w:t>
            </w:r>
          </w:p>
        </w:tc>
        <w:tc>
          <w:tcPr>
            <w:tcW w:w="877" w:type="dxa"/>
            <w:tcBorders/>
            <w:shd w:fill="auto" w:val="clear"/>
            <w:tcMar>
              <w:left w:w="103" w:type="dxa"/>
            </w:tcMar>
            <w:vAlign w:val="center"/>
          </w:tcPr>
          <w:p>
            <w:pPr>
              <w:pStyle w:val="Normal"/>
              <w:spacing w:lineRule="auto" w:line="240" w:before="0" w:after="0"/>
              <w:jc w:val="center"/>
              <w:rPr/>
            </w:pPr>
            <w:r>
              <w:rPr/>
              <w:t>28,56</w:t>
            </w:r>
          </w:p>
        </w:tc>
        <w:tc>
          <w:tcPr>
            <w:tcW w:w="1271" w:type="dxa"/>
            <w:vMerge w:val="restart"/>
            <w:tcBorders/>
            <w:shd w:fill="auto" w:val="clear"/>
            <w:tcMar>
              <w:left w:w="103" w:type="dxa"/>
            </w:tcMar>
            <w:vAlign w:val="center"/>
          </w:tcPr>
          <w:p>
            <w:pPr>
              <w:pStyle w:val="Normal"/>
              <w:spacing w:lineRule="auto" w:line="240" w:before="0" w:after="0"/>
              <w:jc w:val="center"/>
              <w:rPr/>
            </w:pPr>
            <w:r>
              <w:rPr/>
              <w:t>pow. ruchu</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12K</w:t>
            </w:r>
          </w:p>
        </w:tc>
        <w:tc>
          <w:tcPr>
            <w:tcW w:w="2287" w:type="dxa"/>
            <w:gridSpan w:val="2"/>
            <w:tcBorders/>
            <w:shd w:fill="auto" w:val="clear"/>
            <w:tcMar>
              <w:left w:w="103" w:type="dxa"/>
            </w:tcMar>
            <w:vAlign w:val="center"/>
          </w:tcPr>
          <w:p>
            <w:pPr>
              <w:pStyle w:val="Normal"/>
              <w:spacing w:lineRule="auto" w:line="240" w:before="0" w:after="0"/>
              <w:rPr/>
            </w:pPr>
            <w:r>
              <w:rPr/>
              <w:t>korytarz</w:t>
            </w:r>
          </w:p>
        </w:tc>
        <w:tc>
          <w:tcPr>
            <w:tcW w:w="877" w:type="dxa"/>
            <w:tcBorders/>
            <w:shd w:fill="auto" w:val="clear"/>
            <w:tcMar>
              <w:left w:w="103" w:type="dxa"/>
            </w:tcMar>
            <w:vAlign w:val="center"/>
          </w:tcPr>
          <w:p>
            <w:pPr>
              <w:pStyle w:val="Normal"/>
              <w:spacing w:lineRule="auto" w:line="240" w:before="0" w:after="0"/>
              <w:jc w:val="center"/>
              <w:rPr/>
            </w:pPr>
            <w:r>
              <w:rPr/>
              <w:t>45,92</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13K</w:t>
            </w:r>
          </w:p>
        </w:tc>
        <w:tc>
          <w:tcPr>
            <w:tcW w:w="2287" w:type="dxa"/>
            <w:gridSpan w:val="2"/>
            <w:tcBorders/>
            <w:shd w:fill="auto" w:val="clear"/>
            <w:tcMar>
              <w:left w:w="103" w:type="dxa"/>
            </w:tcMar>
            <w:vAlign w:val="center"/>
          </w:tcPr>
          <w:p>
            <w:pPr>
              <w:pStyle w:val="Normal"/>
              <w:spacing w:lineRule="auto" w:line="240" w:before="0" w:after="0"/>
              <w:rPr/>
            </w:pPr>
            <w:r>
              <w:rPr/>
              <w:t>korytarz</w:t>
            </w:r>
          </w:p>
        </w:tc>
        <w:tc>
          <w:tcPr>
            <w:tcW w:w="877" w:type="dxa"/>
            <w:tcBorders/>
            <w:shd w:fill="auto" w:val="clear"/>
            <w:tcMar>
              <w:left w:w="103" w:type="dxa"/>
            </w:tcMar>
            <w:vAlign w:val="center"/>
          </w:tcPr>
          <w:p>
            <w:pPr>
              <w:pStyle w:val="Normal"/>
              <w:spacing w:lineRule="auto" w:line="240" w:before="0" w:after="0"/>
              <w:jc w:val="center"/>
              <w:rPr/>
            </w:pPr>
            <w:r>
              <w:rPr/>
              <w:t>23,70</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15</w:t>
            </w:r>
          </w:p>
        </w:tc>
        <w:tc>
          <w:tcPr>
            <w:tcW w:w="2287" w:type="dxa"/>
            <w:gridSpan w:val="2"/>
            <w:tcBorders/>
            <w:shd w:fill="auto" w:val="clear"/>
            <w:tcMar>
              <w:left w:w="103" w:type="dxa"/>
            </w:tcMar>
            <w:vAlign w:val="center"/>
          </w:tcPr>
          <w:p>
            <w:pPr>
              <w:pStyle w:val="Normal"/>
              <w:spacing w:lineRule="auto" w:line="240" w:before="0" w:after="0"/>
              <w:rPr/>
            </w:pPr>
            <w:r>
              <w:rPr/>
              <w:t>biblioteka</w:t>
            </w:r>
          </w:p>
        </w:tc>
        <w:tc>
          <w:tcPr>
            <w:tcW w:w="877" w:type="dxa"/>
            <w:tcBorders/>
            <w:shd w:fill="auto" w:val="clear"/>
            <w:tcMar>
              <w:left w:w="103" w:type="dxa"/>
            </w:tcMar>
            <w:vAlign w:val="center"/>
          </w:tcPr>
          <w:p>
            <w:pPr>
              <w:pStyle w:val="Normal"/>
              <w:spacing w:lineRule="auto" w:line="240" w:before="0" w:after="0"/>
              <w:jc w:val="center"/>
              <w:rPr/>
            </w:pPr>
            <w:r>
              <w:rPr/>
              <w:t>13,44</w:t>
            </w:r>
          </w:p>
        </w:tc>
        <w:tc>
          <w:tcPr>
            <w:tcW w:w="1271" w:type="dxa"/>
            <w:tcBorders/>
            <w:shd w:fill="auto" w:val="clear"/>
            <w:tcMar>
              <w:left w:w="103" w:type="dxa"/>
            </w:tcMar>
            <w:vAlign w:val="center"/>
          </w:tcPr>
          <w:p>
            <w:pPr>
              <w:pStyle w:val="Normal"/>
              <w:spacing w:lineRule="auto" w:line="240" w:before="0" w:after="0"/>
              <w:jc w:val="center"/>
              <w:rPr/>
            </w:pPr>
            <w:r>
              <w:rPr/>
              <w:t>pow. podst.</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16</w:t>
            </w:r>
          </w:p>
        </w:tc>
        <w:tc>
          <w:tcPr>
            <w:tcW w:w="2287" w:type="dxa"/>
            <w:gridSpan w:val="2"/>
            <w:tcBorders/>
            <w:shd w:fill="auto" w:val="clear"/>
            <w:tcMar>
              <w:left w:w="103" w:type="dxa"/>
            </w:tcMar>
            <w:vAlign w:val="center"/>
          </w:tcPr>
          <w:p>
            <w:pPr>
              <w:pStyle w:val="Normal"/>
              <w:spacing w:lineRule="auto" w:line="240" w:before="0" w:after="0"/>
              <w:jc w:val="left"/>
              <w:rPr/>
            </w:pPr>
            <w:r>
              <w:rPr/>
              <w:t>sala lekcyjna (historyczno-geograficzna)</w:t>
            </w:r>
          </w:p>
        </w:tc>
        <w:tc>
          <w:tcPr>
            <w:tcW w:w="877" w:type="dxa"/>
            <w:tcBorders/>
            <w:shd w:fill="auto" w:val="clear"/>
            <w:tcMar>
              <w:left w:w="103" w:type="dxa"/>
            </w:tcMar>
            <w:vAlign w:val="center"/>
          </w:tcPr>
          <w:p>
            <w:pPr>
              <w:pStyle w:val="Normal"/>
              <w:spacing w:lineRule="auto" w:line="240" w:before="0" w:after="0"/>
              <w:jc w:val="center"/>
              <w:rPr/>
            </w:pPr>
            <w:r>
              <w:rPr/>
              <w:t>42,21</w:t>
            </w:r>
          </w:p>
        </w:tc>
        <w:tc>
          <w:tcPr>
            <w:tcW w:w="1271" w:type="dxa"/>
            <w:tcBorders/>
            <w:shd w:fill="auto" w:val="clear"/>
            <w:tcMar>
              <w:left w:w="103" w:type="dxa"/>
            </w:tcMar>
            <w:vAlign w:val="center"/>
          </w:tcPr>
          <w:p>
            <w:pPr>
              <w:pStyle w:val="Normal"/>
              <w:spacing w:lineRule="auto" w:line="240" w:before="0" w:after="0"/>
              <w:jc w:val="center"/>
              <w:rPr/>
            </w:pPr>
            <w:r>
              <w:rPr/>
              <w:t>pow. podst.</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17</w:t>
            </w:r>
          </w:p>
        </w:tc>
        <w:tc>
          <w:tcPr>
            <w:tcW w:w="2287" w:type="dxa"/>
            <w:gridSpan w:val="2"/>
            <w:tcBorders/>
            <w:shd w:fill="auto" w:val="clear"/>
            <w:tcMar>
              <w:left w:w="103" w:type="dxa"/>
            </w:tcMar>
            <w:vAlign w:val="center"/>
          </w:tcPr>
          <w:p>
            <w:pPr>
              <w:pStyle w:val="Normal"/>
              <w:spacing w:lineRule="auto" w:line="240" w:before="0" w:after="0"/>
              <w:rPr/>
            </w:pPr>
            <w:r>
              <w:rPr/>
              <w:t>przedsionek</w:t>
            </w:r>
          </w:p>
        </w:tc>
        <w:tc>
          <w:tcPr>
            <w:tcW w:w="877" w:type="dxa"/>
            <w:tcBorders/>
            <w:shd w:fill="auto" w:val="clear"/>
            <w:tcMar>
              <w:left w:w="103" w:type="dxa"/>
            </w:tcMar>
            <w:vAlign w:val="center"/>
          </w:tcPr>
          <w:p>
            <w:pPr>
              <w:pStyle w:val="Normal"/>
              <w:spacing w:lineRule="auto" w:line="240" w:before="0" w:after="0"/>
              <w:jc w:val="center"/>
              <w:rPr/>
            </w:pPr>
            <w:r>
              <w:rPr/>
              <w:t>4,58</w:t>
            </w:r>
          </w:p>
        </w:tc>
        <w:tc>
          <w:tcPr>
            <w:tcW w:w="1271" w:type="dxa"/>
            <w:tcBorders/>
            <w:shd w:fill="auto" w:val="clear"/>
            <w:tcMar>
              <w:left w:w="103" w:type="dxa"/>
            </w:tcMar>
            <w:vAlign w:val="center"/>
          </w:tcPr>
          <w:p>
            <w:pPr>
              <w:pStyle w:val="Normal"/>
              <w:spacing w:lineRule="auto" w:line="240" w:before="0" w:after="0"/>
              <w:jc w:val="center"/>
              <w:rPr/>
            </w:pPr>
            <w:r>
              <w:rPr/>
              <w:t>pow. ruchu</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17A</w:t>
            </w:r>
          </w:p>
        </w:tc>
        <w:tc>
          <w:tcPr>
            <w:tcW w:w="2287" w:type="dxa"/>
            <w:gridSpan w:val="2"/>
            <w:tcBorders/>
            <w:shd w:fill="auto" w:val="clear"/>
            <w:tcMar>
              <w:left w:w="103" w:type="dxa"/>
            </w:tcMar>
            <w:vAlign w:val="center"/>
          </w:tcPr>
          <w:p>
            <w:pPr>
              <w:pStyle w:val="Normal"/>
              <w:spacing w:lineRule="auto" w:line="240" w:before="0" w:after="0"/>
              <w:rPr/>
            </w:pPr>
            <w:r>
              <w:rPr/>
              <w:t>sala lekcyjna (polonistyczna)</w:t>
            </w:r>
          </w:p>
        </w:tc>
        <w:tc>
          <w:tcPr>
            <w:tcW w:w="877" w:type="dxa"/>
            <w:tcBorders/>
            <w:shd w:fill="auto" w:val="clear"/>
            <w:tcMar>
              <w:left w:w="103" w:type="dxa"/>
            </w:tcMar>
            <w:vAlign w:val="center"/>
          </w:tcPr>
          <w:p>
            <w:pPr>
              <w:pStyle w:val="Normal"/>
              <w:spacing w:lineRule="auto" w:line="240" w:before="0" w:after="0"/>
              <w:jc w:val="center"/>
              <w:rPr/>
            </w:pPr>
            <w:r>
              <w:rPr/>
              <w:t>21,24</w:t>
            </w:r>
          </w:p>
        </w:tc>
        <w:tc>
          <w:tcPr>
            <w:tcW w:w="1271" w:type="dxa"/>
            <w:vMerge w:val="restart"/>
            <w:tcBorders/>
            <w:shd w:fill="auto" w:val="clear"/>
            <w:tcMar>
              <w:left w:w="103" w:type="dxa"/>
            </w:tcMar>
            <w:vAlign w:val="center"/>
          </w:tcPr>
          <w:p>
            <w:pPr>
              <w:pStyle w:val="Normal"/>
              <w:spacing w:lineRule="auto" w:line="240" w:before="0" w:after="0"/>
              <w:jc w:val="center"/>
              <w:rPr/>
            </w:pPr>
            <w:r>
              <w:rPr/>
              <w:t>pow. podst.</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17B</w:t>
            </w:r>
          </w:p>
        </w:tc>
        <w:tc>
          <w:tcPr>
            <w:tcW w:w="2287" w:type="dxa"/>
            <w:gridSpan w:val="2"/>
            <w:tcBorders/>
            <w:shd w:fill="auto" w:val="clear"/>
            <w:tcMar>
              <w:left w:w="103" w:type="dxa"/>
            </w:tcMar>
            <w:vAlign w:val="center"/>
          </w:tcPr>
          <w:p>
            <w:pPr>
              <w:pStyle w:val="Normal"/>
              <w:spacing w:lineRule="auto" w:line="240" w:before="0" w:after="0"/>
              <w:rPr/>
            </w:pPr>
            <w:r>
              <w:rPr/>
              <w:t>gabinet profilaktyki zdrowotnej i pomocy przedlekarskiej</w:t>
            </w:r>
          </w:p>
        </w:tc>
        <w:tc>
          <w:tcPr>
            <w:tcW w:w="877" w:type="dxa"/>
            <w:tcBorders/>
            <w:shd w:fill="auto" w:val="clear"/>
            <w:tcMar>
              <w:left w:w="103" w:type="dxa"/>
            </w:tcMar>
            <w:vAlign w:val="center"/>
          </w:tcPr>
          <w:p>
            <w:pPr>
              <w:pStyle w:val="Normal"/>
              <w:spacing w:lineRule="auto" w:line="240" w:before="0" w:after="0"/>
              <w:jc w:val="center"/>
              <w:rPr/>
            </w:pPr>
            <w:r>
              <w:rPr/>
              <w:t>10,27</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18</w:t>
            </w:r>
          </w:p>
        </w:tc>
        <w:tc>
          <w:tcPr>
            <w:tcW w:w="2287" w:type="dxa"/>
            <w:gridSpan w:val="2"/>
            <w:tcBorders/>
            <w:shd w:fill="auto" w:val="clear"/>
            <w:tcMar>
              <w:left w:w="103" w:type="dxa"/>
            </w:tcMar>
            <w:vAlign w:val="center"/>
          </w:tcPr>
          <w:p>
            <w:pPr>
              <w:pStyle w:val="Normal"/>
              <w:spacing w:lineRule="auto" w:line="240" w:before="0" w:after="0"/>
              <w:rPr/>
            </w:pPr>
            <w:r>
              <w:rPr/>
              <w:t>przedsionek</w:t>
            </w:r>
          </w:p>
        </w:tc>
        <w:tc>
          <w:tcPr>
            <w:tcW w:w="877" w:type="dxa"/>
            <w:tcBorders/>
            <w:shd w:fill="auto" w:val="clear"/>
            <w:tcMar>
              <w:left w:w="103" w:type="dxa"/>
            </w:tcMar>
            <w:vAlign w:val="center"/>
          </w:tcPr>
          <w:p>
            <w:pPr>
              <w:pStyle w:val="Normal"/>
              <w:spacing w:lineRule="auto" w:line="240" w:before="0" w:after="0"/>
              <w:jc w:val="center"/>
              <w:rPr/>
            </w:pPr>
            <w:r>
              <w:rPr/>
              <w:t>9,34</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18A</w:t>
            </w:r>
          </w:p>
        </w:tc>
        <w:tc>
          <w:tcPr>
            <w:tcW w:w="2287" w:type="dxa"/>
            <w:gridSpan w:val="2"/>
            <w:tcBorders/>
            <w:shd w:fill="auto" w:val="clear"/>
            <w:tcMar>
              <w:left w:w="103" w:type="dxa"/>
            </w:tcMar>
            <w:vAlign w:val="center"/>
          </w:tcPr>
          <w:p>
            <w:pPr>
              <w:pStyle w:val="Normal"/>
              <w:spacing w:lineRule="auto" w:line="240" w:before="0" w:after="0"/>
              <w:rPr/>
            </w:pPr>
            <w:r>
              <w:rPr/>
              <w:t>sanitariat</w:t>
            </w:r>
          </w:p>
        </w:tc>
        <w:tc>
          <w:tcPr>
            <w:tcW w:w="877" w:type="dxa"/>
            <w:tcBorders/>
            <w:shd w:fill="auto" w:val="clear"/>
            <w:tcMar>
              <w:left w:w="103" w:type="dxa"/>
            </w:tcMar>
            <w:vAlign w:val="center"/>
          </w:tcPr>
          <w:p>
            <w:pPr>
              <w:pStyle w:val="Normal"/>
              <w:spacing w:lineRule="auto" w:line="240" w:before="0" w:after="0"/>
              <w:jc w:val="center"/>
              <w:rPr/>
            </w:pPr>
            <w:r>
              <w:rPr/>
              <w:t>3,73</w:t>
            </w:r>
          </w:p>
        </w:tc>
        <w:tc>
          <w:tcPr>
            <w:tcW w:w="1271" w:type="dxa"/>
            <w:tcBorders/>
            <w:shd w:fill="auto" w:val="clear"/>
            <w:tcMar>
              <w:left w:w="103" w:type="dxa"/>
            </w:tcMar>
            <w:vAlign w:val="center"/>
          </w:tcPr>
          <w:p>
            <w:pPr>
              <w:pStyle w:val="Normal"/>
              <w:spacing w:lineRule="auto" w:line="240" w:before="0" w:after="0"/>
              <w:jc w:val="center"/>
              <w:rPr/>
            </w:pPr>
            <w:r>
              <w:rPr/>
              <w:t>pow. pom.</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18B</w:t>
            </w:r>
          </w:p>
        </w:tc>
        <w:tc>
          <w:tcPr>
            <w:tcW w:w="2287" w:type="dxa"/>
            <w:gridSpan w:val="2"/>
            <w:tcBorders/>
            <w:shd w:fill="auto" w:val="clear"/>
            <w:tcMar>
              <w:left w:w="103" w:type="dxa"/>
            </w:tcMar>
            <w:vAlign w:val="center"/>
          </w:tcPr>
          <w:p>
            <w:pPr>
              <w:pStyle w:val="Normal"/>
              <w:spacing w:lineRule="auto" w:line="240" w:before="0" w:after="0"/>
              <w:rPr/>
            </w:pPr>
            <w:r>
              <w:rPr/>
              <w:t>sekretariat</w:t>
            </w:r>
          </w:p>
        </w:tc>
        <w:tc>
          <w:tcPr>
            <w:tcW w:w="877" w:type="dxa"/>
            <w:tcBorders/>
            <w:shd w:fill="auto" w:val="clear"/>
            <w:tcMar>
              <w:left w:w="103" w:type="dxa"/>
            </w:tcMar>
            <w:vAlign w:val="center"/>
          </w:tcPr>
          <w:p>
            <w:pPr>
              <w:pStyle w:val="Normal"/>
              <w:spacing w:lineRule="auto" w:line="240" w:before="0" w:after="0"/>
              <w:jc w:val="center"/>
              <w:rPr/>
            </w:pPr>
            <w:r>
              <w:rPr/>
              <w:t>19,45</w:t>
            </w:r>
          </w:p>
        </w:tc>
        <w:tc>
          <w:tcPr>
            <w:tcW w:w="1271" w:type="dxa"/>
            <w:vMerge w:val="restart"/>
            <w:tcBorders/>
            <w:shd w:fill="auto" w:val="clear"/>
            <w:tcMar>
              <w:left w:w="103" w:type="dxa"/>
            </w:tcMar>
            <w:vAlign w:val="center"/>
          </w:tcPr>
          <w:p>
            <w:pPr>
              <w:pStyle w:val="Normal"/>
              <w:spacing w:lineRule="auto" w:line="240" w:before="0" w:after="0"/>
              <w:jc w:val="center"/>
              <w:rPr/>
            </w:pPr>
            <w:r>
              <w:rPr/>
              <w:t>pow. podst.</w:t>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18C</w:t>
            </w:r>
          </w:p>
        </w:tc>
        <w:tc>
          <w:tcPr>
            <w:tcW w:w="2287" w:type="dxa"/>
            <w:gridSpan w:val="2"/>
            <w:tcBorders/>
            <w:shd w:fill="auto" w:val="clear"/>
            <w:tcMar>
              <w:left w:w="103" w:type="dxa"/>
            </w:tcMar>
            <w:vAlign w:val="center"/>
          </w:tcPr>
          <w:p>
            <w:pPr>
              <w:pStyle w:val="Normal"/>
              <w:spacing w:lineRule="auto" w:line="240" w:before="0" w:after="0"/>
              <w:rPr/>
            </w:pPr>
            <w:r>
              <w:rPr/>
              <w:t>pokój nauczycielski</w:t>
            </w:r>
          </w:p>
        </w:tc>
        <w:tc>
          <w:tcPr>
            <w:tcW w:w="877" w:type="dxa"/>
            <w:tcBorders/>
            <w:shd w:fill="auto" w:val="clear"/>
            <w:tcMar>
              <w:left w:w="103" w:type="dxa"/>
            </w:tcMar>
            <w:vAlign w:val="center"/>
          </w:tcPr>
          <w:p>
            <w:pPr>
              <w:pStyle w:val="Normal"/>
              <w:spacing w:lineRule="auto" w:line="240" w:before="0" w:after="0"/>
              <w:jc w:val="center"/>
              <w:rPr/>
            </w:pPr>
            <w:r>
              <w:rPr/>
              <w:t>14,85</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18D</w:t>
            </w:r>
          </w:p>
        </w:tc>
        <w:tc>
          <w:tcPr>
            <w:tcW w:w="2287" w:type="dxa"/>
            <w:gridSpan w:val="2"/>
            <w:tcBorders/>
            <w:shd w:fill="auto" w:val="clear"/>
            <w:tcMar>
              <w:left w:w="103" w:type="dxa"/>
            </w:tcMar>
            <w:vAlign w:val="center"/>
          </w:tcPr>
          <w:p>
            <w:pPr>
              <w:pStyle w:val="Normal"/>
              <w:spacing w:lineRule="auto" w:line="240" w:before="0" w:after="0"/>
              <w:rPr/>
            </w:pPr>
            <w:r>
              <w:rPr/>
              <w:t>gabinet dyrektora</w:t>
            </w:r>
          </w:p>
        </w:tc>
        <w:tc>
          <w:tcPr>
            <w:tcW w:w="877" w:type="dxa"/>
            <w:tcBorders/>
            <w:shd w:fill="auto" w:val="clear"/>
            <w:tcMar>
              <w:left w:w="103" w:type="dxa"/>
            </w:tcMar>
            <w:vAlign w:val="center"/>
          </w:tcPr>
          <w:p>
            <w:pPr>
              <w:pStyle w:val="Normal"/>
              <w:spacing w:lineRule="auto" w:line="240" w:before="0" w:after="0"/>
              <w:jc w:val="center"/>
              <w:rPr/>
            </w:pPr>
            <w:r>
              <w:rPr/>
              <w:t>13,48</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19</w:t>
            </w:r>
          </w:p>
        </w:tc>
        <w:tc>
          <w:tcPr>
            <w:tcW w:w="2287" w:type="dxa"/>
            <w:gridSpan w:val="2"/>
            <w:tcBorders/>
            <w:shd w:fill="auto" w:val="clear"/>
            <w:tcMar>
              <w:left w:w="103" w:type="dxa"/>
            </w:tcMar>
            <w:vAlign w:val="center"/>
          </w:tcPr>
          <w:p>
            <w:pPr>
              <w:pStyle w:val="Normal"/>
              <w:spacing w:lineRule="auto" w:line="240" w:before="0" w:after="0"/>
              <w:rPr/>
            </w:pPr>
            <w:r>
              <w:rPr/>
              <w:t>pracownia komputerowa</w:t>
            </w:r>
          </w:p>
        </w:tc>
        <w:tc>
          <w:tcPr>
            <w:tcW w:w="877" w:type="dxa"/>
            <w:tcBorders/>
            <w:shd w:fill="auto" w:val="clear"/>
            <w:tcMar>
              <w:left w:w="103" w:type="dxa"/>
            </w:tcMar>
            <w:vAlign w:val="center"/>
          </w:tcPr>
          <w:p>
            <w:pPr>
              <w:pStyle w:val="Normal"/>
              <w:spacing w:lineRule="auto" w:line="240" w:before="0" w:after="0"/>
              <w:jc w:val="center"/>
              <w:rPr/>
            </w:pPr>
            <w:r>
              <w:rPr/>
              <w:t>23,45</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20</w:t>
            </w:r>
          </w:p>
        </w:tc>
        <w:tc>
          <w:tcPr>
            <w:tcW w:w="2287" w:type="dxa"/>
            <w:gridSpan w:val="2"/>
            <w:tcBorders/>
            <w:shd w:fill="auto" w:val="clear"/>
            <w:tcMar>
              <w:left w:w="103" w:type="dxa"/>
            </w:tcMar>
            <w:vAlign w:val="center"/>
          </w:tcPr>
          <w:p>
            <w:pPr>
              <w:pStyle w:val="Normal"/>
              <w:spacing w:lineRule="auto" w:line="240" w:before="0" w:after="0"/>
              <w:rPr/>
            </w:pPr>
            <w:r>
              <w:rPr/>
              <w:t>sala lekcyjna (edukacja wczesnoszkolna)</w:t>
            </w:r>
          </w:p>
        </w:tc>
        <w:tc>
          <w:tcPr>
            <w:tcW w:w="877" w:type="dxa"/>
            <w:tcBorders/>
            <w:shd w:fill="auto" w:val="clear"/>
            <w:tcMar>
              <w:left w:w="103" w:type="dxa"/>
            </w:tcMar>
            <w:vAlign w:val="center"/>
          </w:tcPr>
          <w:p>
            <w:pPr>
              <w:pStyle w:val="Normal"/>
              <w:spacing w:lineRule="auto" w:line="240" w:before="0" w:after="0"/>
              <w:jc w:val="center"/>
              <w:rPr/>
            </w:pPr>
            <w:r>
              <w:rPr/>
              <w:t>51,11</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21</w:t>
            </w:r>
          </w:p>
        </w:tc>
        <w:tc>
          <w:tcPr>
            <w:tcW w:w="2287" w:type="dxa"/>
            <w:gridSpan w:val="2"/>
            <w:tcBorders/>
            <w:shd w:fill="auto" w:val="clear"/>
            <w:tcMar>
              <w:left w:w="103" w:type="dxa"/>
            </w:tcMar>
            <w:vAlign w:val="center"/>
          </w:tcPr>
          <w:p>
            <w:pPr>
              <w:pStyle w:val="Normal"/>
              <w:spacing w:lineRule="auto" w:line="240" w:before="0" w:after="0"/>
              <w:rPr/>
            </w:pPr>
            <w:r>
              <w:rPr/>
              <w:t>sala lekcyjna (edukacja wczesnoszkolna)</w:t>
            </w:r>
          </w:p>
        </w:tc>
        <w:tc>
          <w:tcPr>
            <w:tcW w:w="877" w:type="dxa"/>
            <w:tcBorders/>
            <w:shd w:fill="auto" w:val="clear"/>
            <w:tcMar>
              <w:left w:w="103" w:type="dxa"/>
            </w:tcMar>
            <w:vAlign w:val="center"/>
          </w:tcPr>
          <w:p>
            <w:pPr>
              <w:pStyle w:val="Normal"/>
              <w:spacing w:lineRule="auto" w:line="240" w:before="0" w:after="0"/>
              <w:jc w:val="center"/>
              <w:rPr/>
            </w:pPr>
            <w:r>
              <w:rPr/>
              <w:t>49,07</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22</w:t>
            </w:r>
          </w:p>
        </w:tc>
        <w:tc>
          <w:tcPr>
            <w:tcW w:w="2287" w:type="dxa"/>
            <w:gridSpan w:val="2"/>
            <w:tcBorders/>
            <w:shd w:fill="auto" w:val="clear"/>
            <w:tcMar>
              <w:left w:w="103" w:type="dxa"/>
            </w:tcMar>
            <w:vAlign w:val="center"/>
          </w:tcPr>
          <w:p>
            <w:pPr>
              <w:pStyle w:val="Normal"/>
              <w:spacing w:lineRule="auto" w:line="240" w:before="0" w:after="0"/>
              <w:rPr/>
            </w:pPr>
            <w:r>
              <w:rPr/>
              <w:t>sala lekcyjna (języków obcych)</w:t>
            </w:r>
          </w:p>
        </w:tc>
        <w:tc>
          <w:tcPr>
            <w:tcW w:w="877" w:type="dxa"/>
            <w:tcBorders/>
            <w:shd w:fill="auto" w:val="clear"/>
            <w:tcMar>
              <w:left w:w="103" w:type="dxa"/>
            </w:tcMar>
            <w:vAlign w:val="center"/>
          </w:tcPr>
          <w:p>
            <w:pPr>
              <w:pStyle w:val="Normal"/>
              <w:spacing w:lineRule="auto" w:line="240" w:before="0" w:after="0"/>
              <w:jc w:val="center"/>
              <w:rPr/>
            </w:pPr>
            <w:r>
              <w:rPr/>
              <w:t>41,54</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c>
          <w:tcPr>
            <w:tcW w:w="1427" w:type="dxa"/>
            <w:vMerge w:val="continue"/>
            <w:tcBorders/>
            <w:shd w:fill="auto" w:val="clear"/>
            <w:tcMar>
              <w:left w:w="103" w:type="dxa"/>
            </w:tcMar>
            <w:vAlign w:val="center"/>
          </w:tcPr>
          <w:p>
            <w:pPr>
              <w:pStyle w:val="Normal"/>
              <w:spacing w:lineRule="auto" w:line="240" w:before="0" w:after="0"/>
              <w:jc w:val="center"/>
              <w:rPr/>
            </w:pPr>
            <w:r>
              <w:rPr/>
            </w:r>
          </w:p>
        </w:tc>
        <w:tc>
          <w:tcPr>
            <w:tcW w:w="652" w:type="dxa"/>
            <w:tcBorders/>
            <w:shd w:fill="auto" w:val="clear"/>
            <w:tcMar>
              <w:left w:w="103" w:type="dxa"/>
            </w:tcMar>
            <w:vAlign w:val="center"/>
          </w:tcPr>
          <w:p>
            <w:pPr>
              <w:pStyle w:val="Normal"/>
              <w:spacing w:lineRule="auto" w:line="240" w:before="0" w:after="0"/>
              <w:jc w:val="right"/>
              <w:rPr/>
            </w:pPr>
            <w:r>
              <w:rPr/>
              <w:t>23</w:t>
            </w:r>
          </w:p>
        </w:tc>
        <w:tc>
          <w:tcPr>
            <w:tcW w:w="2287" w:type="dxa"/>
            <w:gridSpan w:val="2"/>
            <w:tcBorders/>
            <w:shd w:fill="auto" w:val="clear"/>
            <w:tcMar>
              <w:left w:w="103" w:type="dxa"/>
            </w:tcMar>
            <w:vAlign w:val="center"/>
          </w:tcPr>
          <w:p>
            <w:pPr>
              <w:pStyle w:val="Normal"/>
              <w:spacing w:lineRule="auto" w:line="240" w:before="0" w:after="0"/>
              <w:jc w:val="left"/>
              <w:rPr/>
            </w:pPr>
            <w:r>
              <w:rPr/>
              <w:t>sala lekcyjna (biologiczno-chemiczna</w:t>
            </w:r>
          </w:p>
        </w:tc>
        <w:tc>
          <w:tcPr>
            <w:tcW w:w="877" w:type="dxa"/>
            <w:tcBorders/>
            <w:shd w:fill="auto" w:val="clear"/>
            <w:tcMar>
              <w:left w:w="103" w:type="dxa"/>
            </w:tcMar>
            <w:vAlign w:val="center"/>
          </w:tcPr>
          <w:p>
            <w:pPr>
              <w:pStyle w:val="Normal"/>
              <w:spacing w:lineRule="auto" w:line="240" w:before="0" w:after="0"/>
              <w:jc w:val="center"/>
              <w:rPr/>
            </w:pPr>
            <w:r>
              <w:rPr/>
              <w:t>28,35</w:t>
            </w:r>
          </w:p>
        </w:tc>
        <w:tc>
          <w:tcPr>
            <w:tcW w:w="1271" w:type="dxa"/>
            <w:vMerge w:val="continue"/>
            <w:tcBorders/>
            <w:shd w:fill="auto" w:val="clear"/>
            <w:tcMar>
              <w:left w:w="103" w:type="dxa"/>
            </w:tcMar>
            <w:vAlign w:val="center"/>
          </w:tcPr>
          <w:p>
            <w:pPr>
              <w:pStyle w:val="Normal"/>
              <w:spacing w:lineRule="auto" w:line="240" w:before="0" w:after="0"/>
              <w:jc w:val="center"/>
              <w:rPr/>
            </w:pPr>
            <w:r>
              <w:rPr/>
            </w:r>
          </w:p>
        </w:tc>
      </w:tr>
      <w:tr>
        <w:trPr>
          <w:trHeight w:val="70" w:hRule="atLeast"/>
        </w:trPr>
        <w:tc>
          <w:tcPr>
            <w:tcW w:w="4365" w:type="dxa"/>
            <w:gridSpan w:val="3"/>
            <w:tcBorders/>
            <w:shd w:fill="auto" w:val="clear"/>
            <w:tcMar>
              <w:left w:w="103" w:type="dxa"/>
            </w:tcMar>
            <w:vAlign w:val="center"/>
          </w:tcPr>
          <w:p>
            <w:pPr>
              <w:pStyle w:val="Normal"/>
              <w:spacing w:lineRule="auto" w:line="240" w:before="0" w:after="0"/>
              <w:jc w:val="left"/>
              <w:rPr/>
            </w:pPr>
            <w:r>
              <w:rPr/>
              <w:t>RAZEM I PIĘTRO:</w:t>
            </w:r>
          </w:p>
        </w:tc>
        <w:tc>
          <w:tcPr>
            <w:tcW w:w="2149" w:type="dxa"/>
            <w:gridSpan w:val="3"/>
            <w:tcBorders/>
            <w:shd w:fill="auto" w:val="clear"/>
            <w:tcMar>
              <w:left w:w="103" w:type="dxa"/>
            </w:tcMar>
            <w:vAlign w:val="center"/>
          </w:tcPr>
          <w:p>
            <w:pPr>
              <w:pStyle w:val="Normal"/>
              <w:spacing w:lineRule="auto" w:line="240" w:before="0" w:after="0"/>
              <w:jc w:val="left"/>
              <w:rPr>
                <w:vertAlign w:val="superscript"/>
              </w:rPr>
            </w:pPr>
            <w:r>
              <w:rPr/>
              <w:t>444,29m</w:t>
            </w:r>
            <w:r>
              <w:rPr>
                <w:vertAlign w:val="superscript"/>
              </w:rPr>
              <w:t>2</w:t>
            </w:r>
          </w:p>
        </w:tc>
      </w:tr>
      <w:tr>
        <w:trPr>
          <w:trHeight w:val="70" w:hRule="atLeast"/>
        </w:trPr>
        <w:tc>
          <w:tcPr>
            <w:tcW w:w="4365" w:type="dxa"/>
            <w:gridSpan w:val="3"/>
            <w:tcBorders/>
            <w:shd w:fill="auto" w:val="clear"/>
            <w:tcMar>
              <w:left w:w="103" w:type="dxa"/>
            </w:tcMar>
            <w:vAlign w:val="center"/>
          </w:tcPr>
          <w:p>
            <w:pPr>
              <w:pStyle w:val="Normal"/>
              <w:spacing w:lineRule="auto" w:line="240" w:before="0" w:after="0"/>
              <w:jc w:val="left"/>
              <w:rPr/>
            </w:pPr>
            <w:r>
              <w:rPr/>
              <w:t>RAZEM POW&gt; UŻYTKOWA:</w:t>
            </w:r>
          </w:p>
        </w:tc>
        <w:tc>
          <w:tcPr>
            <w:tcW w:w="2149" w:type="dxa"/>
            <w:gridSpan w:val="3"/>
            <w:tcBorders/>
            <w:shd w:fill="auto" w:val="clear"/>
            <w:tcMar>
              <w:left w:w="103" w:type="dxa"/>
            </w:tcMar>
            <w:vAlign w:val="center"/>
          </w:tcPr>
          <w:p>
            <w:pPr>
              <w:pStyle w:val="Normal"/>
              <w:spacing w:lineRule="auto" w:line="240" w:before="0" w:after="0"/>
              <w:jc w:val="left"/>
              <w:rPr/>
            </w:pPr>
            <w:r>
              <w:rPr/>
              <w:t>1298,09m</w:t>
            </w:r>
            <w:r>
              <w:rPr>
                <w:vertAlign w:val="superscript"/>
              </w:rPr>
              <w:t>2</w:t>
            </w:r>
            <w:r>
              <w:rPr/>
              <w:t>*</w:t>
            </w:r>
          </w:p>
        </w:tc>
      </w:tr>
    </w:tbl>
    <w:p>
      <w:pPr>
        <w:pStyle w:val="Normal"/>
        <w:rPr/>
      </w:pPr>
      <w:r>
        <w:rPr/>
        <w:t>UWAGA: Powierzchnia wg książki obiektu budowlanego i audytu (1242m</w:t>
      </w:r>
      <w:r>
        <w:rPr>
          <w:vertAlign w:val="superscript"/>
        </w:rPr>
        <w:t>2</w:t>
      </w:r>
      <w:r>
        <w:rPr/>
        <w:t>) odbiega od powierzchni zestawionej na podstawie rysunków użytkownika (1298m</w:t>
      </w:r>
      <w:r>
        <w:rPr>
          <w:vertAlign w:val="superscript"/>
        </w:rPr>
        <w:t>2</w:t>
      </w:r>
      <w:r>
        <w:rPr/>
        <w:t>) o ok. 56m</w:t>
      </w:r>
      <w:r>
        <w:rPr>
          <w:vertAlign w:val="superscript"/>
        </w:rPr>
        <w:t>2</w:t>
      </w:r>
      <w:r>
        <w:rPr/>
        <w:t>. W tabeli nr 2 podano obydwie wartości. Należy zweryfikować na etapie inwentaryzacji.</w:t>
      </w:r>
    </w:p>
    <w:p>
      <w:pPr>
        <w:pStyle w:val="Normal"/>
        <w:rPr/>
      </w:pPr>
      <w:r>
        <w:rPr/>
        <w:t xml:space="preserve">Tabela </w:t>
      </w:r>
      <w:r>
        <w:rPr/>
        <w:fldChar w:fldCharType="begin"/>
      </w:r>
      <w:r>
        <w:instrText> SEQ Tabela \* ARABIC </w:instrText>
      </w:r>
      <w:r>
        <w:fldChar w:fldCharType="separate"/>
      </w:r>
      <w:r>
        <w:t>2</w:t>
      </w:r>
      <w:r>
        <w:fldChar w:fldCharType="end"/>
      </w:r>
      <w:r>
        <w:rPr/>
        <w:t xml:space="preserve"> Zestawienie wskaźników powierzchniowych i kubaturowych dla budynku Szkoły Podstawowej w Mielęcinie</w:t>
      </w:r>
    </w:p>
    <w:tbl>
      <w:tblPr>
        <w:tblStyle w:val="Tabela-Siatka"/>
        <w:tblW w:w="6058" w:type="dxa"/>
        <w:jc w:val="left"/>
        <w:tblInd w:w="-5" w:type="dxa"/>
        <w:tblCellMar>
          <w:top w:w="0" w:type="dxa"/>
          <w:left w:w="103" w:type="dxa"/>
          <w:bottom w:w="0" w:type="dxa"/>
          <w:right w:w="108" w:type="dxa"/>
        </w:tblCellMar>
        <w:tblLook w:firstRow="1" w:noVBand="1" w:lastRow="0" w:firstColumn="1" w:lastColumn="0" w:noHBand="0" w:val="04a0"/>
      </w:tblPr>
      <w:tblGrid>
        <w:gridCol w:w="514"/>
        <w:gridCol w:w="3095"/>
        <w:gridCol w:w="518"/>
        <w:gridCol w:w="1930"/>
      </w:tblGrid>
      <w:tr>
        <w:trPr/>
        <w:tc>
          <w:tcPr>
            <w:tcW w:w="514" w:type="dxa"/>
            <w:tcBorders/>
            <w:shd w:fill="auto" w:val="clear"/>
            <w:tcMar>
              <w:left w:w="103" w:type="dxa"/>
            </w:tcMar>
          </w:tcPr>
          <w:p>
            <w:pPr>
              <w:pStyle w:val="Normal"/>
              <w:spacing w:lineRule="auto" w:line="240" w:before="0" w:after="0"/>
              <w:rPr/>
            </w:pPr>
            <w:r>
              <w:rPr/>
              <w:t>Lp.</w:t>
            </w:r>
          </w:p>
        </w:tc>
        <w:tc>
          <w:tcPr>
            <w:tcW w:w="3095" w:type="dxa"/>
            <w:tcBorders/>
            <w:shd w:fill="auto" w:val="clear"/>
            <w:tcMar>
              <w:left w:w="103" w:type="dxa"/>
            </w:tcMar>
          </w:tcPr>
          <w:p>
            <w:pPr>
              <w:pStyle w:val="Normal"/>
              <w:spacing w:lineRule="auto" w:line="240" w:before="0" w:after="0"/>
              <w:rPr/>
            </w:pPr>
            <w:r>
              <w:rPr/>
              <w:t>Wskaźnik</w:t>
            </w:r>
          </w:p>
        </w:tc>
        <w:tc>
          <w:tcPr>
            <w:tcW w:w="518" w:type="dxa"/>
            <w:tcBorders/>
            <w:shd w:fill="auto" w:val="clear"/>
            <w:tcMar>
              <w:left w:w="103" w:type="dxa"/>
            </w:tcMar>
          </w:tcPr>
          <w:p>
            <w:pPr>
              <w:pStyle w:val="Normal"/>
              <w:spacing w:lineRule="auto" w:line="240" w:before="0" w:after="0"/>
              <w:rPr/>
            </w:pPr>
            <w:r>
              <w:rPr/>
              <w:t>j.m.</w:t>
            </w:r>
          </w:p>
        </w:tc>
        <w:tc>
          <w:tcPr>
            <w:tcW w:w="1930" w:type="dxa"/>
            <w:tcBorders/>
            <w:shd w:fill="auto" w:val="clear"/>
            <w:tcMar>
              <w:left w:w="103" w:type="dxa"/>
            </w:tcMar>
          </w:tcPr>
          <w:p>
            <w:pPr>
              <w:pStyle w:val="Normal"/>
              <w:spacing w:lineRule="auto" w:line="240" w:before="0" w:after="0"/>
              <w:rPr/>
            </w:pPr>
            <w:r>
              <w:rPr/>
              <w:t>Wartość</w:t>
            </w:r>
          </w:p>
        </w:tc>
      </w:tr>
      <w:tr>
        <w:trPr/>
        <w:tc>
          <w:tcPr>
            <w:tcW w:w="514" w:type="dxa"/>
            <w:tcBorders/>
            <w:shd w:fill="auto" w:val="clear"/>
            <w:tcMar>
              <w:left w:w="103" w:type="dxa"/>
            </w:tcMar>
          </w:tcPr>
          <w:p>
            <w:pPr>
              <w:pStyle w:val="Normal"/>
              <w:spacing w:lineRule="auto" w:line="240" w:before="0" w:after="0"/>
              <w:rPr/>
            </w:pPr>
            <w:r>
              <w:rPr/>
              <w:t>1.</w:t>
            </w:r>
          </w:p>
        </w:tc>
        <w:tc>
          <w:tcPr>
            <w:tcW w:w="3095" w:type="dxa"/>
            <w:tcBorders/>
            <w:shd w:fill="auto" w:val="clear"/>
            <w:tcMar>
              <w:left w:w="103" w:type="dxa"/>
            </w:tcMar>
          </w:tcPr>
          <w:p>
            <w:pPr>
              <w:pStyle w:val="Normal"/>
              <w:spacing w:lineRule="auto" w:line="240" w:before="0" w:after="0"/>
              <w:rPr/>
            </w:pPr>
            <w:r>
              <w:rPr/>
              <w:t>Powierzchnia zabudowy (na podstawie książki obiektu)</w:t>
            </w:r>
          </w:p>
        </w:tc>
        <w:tc>
          <w:tcPr>
            <w:tcW w:w="518" w:type="dxa"/>
            <w:tcBorders/>
            <w:shd w:fill="auto" w:val="clear"/>
            <w:tcMar>
              <w:left w:w="103" w:type="dxa"/>
            </w:tcMar>
          </w:tcPr>
          <w:p>
            <w:pPr>
              <w:pStyle w:val="Normal"/>
              <w:spacing w:lineRule="auto" w:line="240" w:before="0" w:after="0"/>
              <w:rPr/>
            </w:pPr>
            <w:r>
              <w:rPr/>
              <w:t>m</w:t>
            </w:r>
            <w:r>
              <w:rPr>
                <w:vertAlign w:val="superscript"/>
              </w:rPr>
              <w:t>2</w:t>
            </w:r>
          </w:p>
        </w:tc>
        <w:tc>
          <w:tcPr>
            <w:tcW w:w="1930" w:type="dxa"/>
            <w:tcBorders/>
            <w:shd w:fill="auto" w:val="clear"/>
            <w:tcMar>
              <w:left w:w="103" w:type="dxa"/>
            </w:tcMar>
          </w:tcPr>
          <w:p>
            <w:pPr>
              <w:pStyle w:val="Normal"/>
              <w:spacing w:lineRule="auto" w:line="240" w:before="0" w:after="0"/>
              <w:rPr/>
            </w:pPr>
            <w:r>
              <w:rPr/>
              <w:t>607</w:t>
            </w:r>
          </w:p>
        </w:tc>
      </w:tr>
      <w:tr>
        <w:trPr/>
        <w:tc>
          <w:tcPr>
            <w:tcW w:w="514" w:type="dxa"/>
            <w:tcBorders/>
            <w:shd w:fill="auto" w:val="clear"/>
            <w:tcMar>
              <w:left w:w="103" w:type="dxa"/>
            </w:tcMar>
          </w:tcPr>
          <w:p>
            <w:pPr>
              <w:pStyle w:val="Normal"/>
              <w:spacing w:lineRule="auto" w:line="240" w:before="0" w:after="0"/>
              <w:rPr/>
            </w:pPr>
            <w:r>
              <w:rPr/>
              <w:t>2.</w:t>
            </w:r>
          </w:p>
        </w:tc>
        <w:tc>
          <w:tcPr>
            <w:tcW w:w="3095" w:type="dxa"/>
            <w:tcBorders/>
            <w:shd w:fill="auto" w:val="clear"/>
            <w:tcMar>
              <w:left w:w="103" w:type="dxa"/>
            </w:tcMar>
          </w:tcPr>
          <w:p>
            <w:pPr>
              <w:pStyle w:val="Normal"/>
              <w:spacing w:lineRule="auto" w:line="240" w:before="0" w:after="0"/>
              <w:rPr/>
            </w:pPr>
            <w:r>
              <w:rPr/>
              <w:t>Powierzchnia użytkowa całkowita</w:t>
            </w:r>
          </w:p>
        </w:tc>
        <w:tc>
          <w:tcPr>
            <w:tcW w:w="518" w:type="dxa"/>
            <w:tcBorders/>
            <w:shd w:fill="auto" w:val="clear"/>
            <w:tcMar>
              <w:left w:w="103" w:type="dxa"/>
            </w:tcMar>
          </w:tcPr>
          <w:p>
            <w:pPr>
              <w:pStyle w:val="Normal"/>
              <w:spacing w:lineRule="auto" w:line="240" w:before="0" w:after="0"/>
              <w:rPr/>
            </w:pPr>
            <w:r>
              <w:rPr/>
              <w:t>m</w:t>
            </w:r>
            <w:r>
              <w:rPr>
                <w:vertAlign w:val="superscript"/>
              </w:rPr>
              <w:t>2</w:t>
            </w:r>
          </w:p>
        </w:tc>
        <w:tc>
          <w:tcPr>
            <w:tcW w:w="1930" w:type="dxa"/>
            <w:tcBorders/>
            <w:shd w:fill="auto" w:val="clear"/>
            <w:tcMar>
              <w:left w:w="103" w:type="dxa"/>
            </w:tcMar>
          </w:tcPr>
          <w:p>
            <w:pPr>
              <w:pStyle w:val="Normal"/>
              <w:spacing w:lineRule="auto" w:line="240" w:before="0" w:after="0"/>
              <w:rPr/>
            </w:pPr>
            <w:r>
              <w:rPr/>
              <w:t>1242-1298*</w:t>
            </w:r>
          </w:p>
        </w:tc>
      </w:tr>
      <w:tr>
        <w:trPr/>
        <w:tc>
          <w:tcPr>
            <w:tcW w:w="514" w:type="dxa"/>
            <w:tcBorders/>
            <w:shd w:fill="auto" w:val="clear"/>
            <w:tcMar>
              <w:left w:w="103" w:type="dxa"/>
            </w:tcMar>
          </w:tcPr>
          <w:p>
            <w:pPr>
              <w:pStyle w:val="Normal"/>
              <w:spacing w:lineRule="auto" w:line="240" w:before="0" w:after="0"/>
              <w:rPr/>
            </w:pPr>
            <w:r>
              <w:rPr/>
              <w:t>3.</w:t>
            </w:r>
          </w:p>
        </w:tc>
        <w:tc>
          <w:tcPr>
            <w:tcW w:w="3095" w:type="dxa"/>
            <w:tcBorders/>
            <w:shd w:fill="auto" w:val="clear"/>
            <w:tcMar>
              <w:left w:w="103" w:type="dxa"/>
            </w:tcMar>
          </w:tcPr>
          <w:p>
            <w:pPr>
              <w:pStyle w:val="Normal"/>
              <w:spacing w:lineRule="auto" w:line="240" w:before="0" w:after="0"/>
              <w:rPr/>
            </w:pPr>
            <w:r>
              <w:rPr/>
              <w:t>Kubatura</w:t>
            </w:r>
          </w:p>
        </w:tc>
        <w:tc>
          <w:tcPr>
            <w:tcW w:w="518" w:type="dxa"/>
            <w:tcBorders/>
            <w:shd w:fill="auto" w:val="clear"/>
            <w:tcMar>
              <w:left w:w="103" w:type="dxa"/>
            </w:tcMar>
          </w:tcPr>
          <w:p>
            <w:pPr>
              <w:pStyle w:val="Normal"/>
              <w:spacing w:lineRule="auto" w:line="240" w:before="0" w:after="0"/>
              <w:rPr>
                <w:vertAlign w:val="superscript"/>
              </w:rPr>
            </w:pPr>
            <w:r>
              <w:rPr/>
              <w:t>m</w:t>
            </w:r>
            <w:r>
              <w:rPr>
                <w:vertAlign w:val="superscript"/>
              </w:rPr>
              <w:t>3</w:t>
            </w:r>
          </w:p>
        </w:tc>
        <w:tc>
          <w:tcPr>
            <w:tcW w:w="1930" w:type="dxa"/>
            <w:tcBorders/>
            <w:shd w:fill="auto" w:val="clear"/>
            <w:tcMar>
              <w:left w:w="103" w:type="dxa"/>
            </w:tcMar>
          </w:tcPr>
          <w:p>
            <w:pPr>
              <w:pStyle w:val="Normal"/>
              <w:spacing w:lineRule="auto" w:line="240" w:before="0" w:after="0"/>
              <w:rPr>
                <w:vertAlign w:val="superscript"/>
              </w:rPr>
            </w:pPr>
            <w:r>
              <w:rPr/>
              <w:t>6949</w:t>
            </w:r>
          </w:p>
        </w:tc>
      </w:tr>
    </w:tbl>
    <w:p>
      <w:pPr>
        <w:pStyle w:val="Quote"/>
        <w:rPr/>
      </w:pPr>
      <w:r>
        <w:rPr/>
        <w:t>źródło: dokumentacja archiwalna</w:t>
      </w:r>
      <w:r>
        <w:rPr/>
        <w:fldChar w:fldCharType="begin"/>
      </w:r>
      <w:r>
        <w:instrText> REF _Ref3727279 \r \h </w:instrText>
      </w:r>
      <w:r>
        <w:fldChar w:fldCharType="separate"/>
      </w:r>
      <w:r>
        <w:t xml:space="preserve">[1] - </w:t>
      </w:r>
      <w:r>
        <w:fldChar w:fldCharType="end"/>
      </w:r>
      <w:r>
        <w:rPr/>
        <w:t xml:space="preserve">, Audyt energetyczny </w:t>
      </w:r>
      <w:r>
        <w:rPr/>
        <w:fldChar w:fldCharType="begin"/>
      </w:r>
      <w:r>
        <w:instrText> REF _Ref3715005 \r \h </w:instrText>
      </w:r>
      <w:r>
        <w:fldChar w:fldCharType="separate"/>
      </w:r>
      <w:r>
        <w:t xml:space="preserve">[4] - </w:t>
      </w:r>
      <w:r>
        <w:fldChar w:fldCharType="end"/>
      </w:r>
    </w:p>
    <w:p>
      <w:pPr>
        <w:pStyle w:val="Nagwek4"/>
        <w:numPr>
          <w:ilvl w:val="3"/>
          <w:numId w:val="3"/>
        </w:numPr>
        <w:rPr/>
      </w:pPr>
      <w:r>
        <w:rPr/>
        <w:t>wielkości możliwych przekroczeń lub pomniejszenia parametrów powierzchni, kubatur lub wsikaźników</w:t>
      </w:r>
    </w:p>
    <w:p>
      <w:pPr>
        <w:pStyle w:val="Normal"/>
        <w:rPr/>
      </w:pPr>
      <w:r>
        <w:rPr/>
        <w:t>Zamawiający dopuszcza możliwość korekty ww. powierzchni i kubatur, w wyniku przeprowadzonej inwentaryzacji obiektu, z jednoznacznym wskazaniem normy, na której podstawie zostaną ustalone powierzchnie i kubatury budynku. W stosunku do projektowanych zmian w powierzchniach oraz kubaturach (w wyniku prac remontowych i odtworzeniowych – m.in. ze względu na zmiany w grubości warstw wykończeniowych ścian, oraz przebudowy) Zamawiający dopuszcza możliwość korekty ze względu na ww. korekty w wyniku przeprowadzonej inwentaryzacji oraz, jeśli przemawiają za tym względy techniczno - ekonomiczne oraz zostanie uzyskana akceptacja Zamawiającego. Zamawiający zastrzega, że ostateczne rozwiązania w zakresie architektury, technologii i rozwiązań branżowych oraz wykończenia obiektu ustalane będą przez Wykonawcę w porozumieniu z Zamawiającym.</w:t>
      </w:r>
    </w:p>
    <w:p>
      <w:pPr>
        <w:pStyle w:val="Normal"/>
        <w:rPr/>
      </w:pPr>
      <w:r>
        <w:rPr/>
        <w:t xml:space="preserve">Dopuszczalne zmiany w zakresie możliwych przekroczeń i pomniejszenia: </w:t>
      </w:r>
      <w:r>
        <w:rPr>
          <w:rFonts w:cs="Segoe UI Light" w:cstheme="minorHAnsi"/>
        </w:rPr>
        <w:t>≤</w:t>
      </w:r>
      <w:r>
        <w:rPr/>
        <w:t>10%,</w:t>
      </w:r>
    </w:p>
    <w:p>
      <w:pPr>
        <w:pStyle w:val="Normal"/>
        <w:rPr/>
      </w:pPr>
      <w:r>
        <w:rPr/>
        <w:t xml:space="preserve">przy zachowaniu zgodności z obowiązującymi przepisami i normami. </w:t>
      </w:r>
    </w:p>
    <w:p>
      <w:pPr>
        <w:pStyle w:val="Normal"/>
        <w:rPr/>
      </w:pPr>
      <w:r>
        <w:rPr/>
        <w:t xml:space="preserve">Zastosowane w projekcie rozwiązania architektoniczne oraz technologiczne nie mogą przekroczyć zakładanego przez Wykonawcę w ofercie cenowej kosztu inwestycji. </w:t>
      </w:r>
    </w:p>
    <w:p>
      <w:pPr>
        <w:pStyle w:val="Nagwek1"/>
        <w:numPr>
          <w:ilvl w:val="0"/>
          <w:numId w:val="3"/>
        </w:numPr>
        <w:shd w:val="clear" w:fill="F04E23"/>
        <w:rPr/>
      </w:pPr>
      <w:bookmarkStart w:id="57" w:name="_Toc10627716"/>
      <w:bookmarkEnd w:id="57"/>
      <w:r>
        <w:rPr/>
        <w:t>Wymagania Zamawiajacego w stosunku do Przedmiotu Zamówienia</w:t>
      </w:r>
    </w:p>
    <w:p>
      <w:pPr>
        <w:pStyle w:val="Normal"/>
        <w:rPr/>
      </w:pPr>
      <w:r>
        <w:rPr/>
        <w:t>Ze względu na specyfikę, na przedmiotową Inwestycję składają się:</w:t>
      </w:r>
    </w:p>
    <w:p>
      <w:pPr>
        <w:pStyle w:val="ListParagraph"/>
        <w:numPr>
          <w:ilvl w:val="0"/>
          <w:numId w:val="29"/>
        </w:numPr>
        <w:rPr/>
      </w:pPr>
      <w:r>
        <w:rPr/>
        <w:t>Usługi projektowe ze wszystkimi towarzyszącymi im czynnościami, tj. przygotowaniem niezbędnych opracowań, dokumentów oraz przeprowadzeniem niezbędnych prac przygotowawczych, jak np. badań, oraz postępowań, w tym uzyskania ostatecznej decyzji o zatwierdzeniu projektu budowalnego i pozwoleniu na budowę.</w:t>
      </w:r>
    </w:p>
    <w:p>
      <w:pPr>
        <w:pStyle w:val="ListParagraph"/>
        <w:numPr>
          <w:ilvl w:val="0"/>
          <w:numId w:val="29"/>
        </w:numPr>
        <w:rPr/>
      </w:pPr>
      <w:r>
        <w:rPr/>
        <w:t>Roboty budowlane i montażowe wraz ze wszystkimi czynnościami im towarzyszącymi, niezbędnymi do zgodnego z obowiązującymi przepisami użytkowania obiektu po zakończeniu robót.</w:t>
      </w:r>
    </w:p>
    <w:p>
      <w:pPr>
        <w:pStyle w:val="ListParagraph"/>
        <w:numPr>
          <w:ilvl w:val="0"/>
          <w:numId w:val="29"/>
        </w:numPr>
        <w:rPr/>
      </w:pPr>
      <w:r>
        <w:rPr/>
        <w:t>Dostawa wyrobów, urządzeń i systemów związanych z wykonaniem ww. robót budowlanych i montażowych oraz dostawa gotowych urządzeń (zestawu demonstracyjnego instalacji PV) do celów demonstracyjnych w związku z realizacją wniosku o dofinansowanie z Regionalnego Programu Operacyjnego.</w:t>
      </w:r>
    </w:p>
    <w:p>
      <w:pPr>
        <w:pStyle w:val="ListParagraph"/>
        <w:numPr>
          <w:ilvl w:val="0"/>
          <w:numId w:val="29"/>
        </w:numPr>
        <w:rPr/>
      </w:pPr>
      <w:r>
        <w:rPr/>
        <w:t>Usługi gwarancyjne, serwisowe, szkoleniowe i instruktażowe związane z wykonanymi robotami budowlanymi i montażowymi, systemami i urządzeniami.</w:t>
      </w:r>
    </w:p>
    <w:p>
      <w:pPr>
        <w:pStyle w:val="Normal"/>
        <w:rPr/>
      </w:pPr>
      <w:r>
        <w:rPr/>
        <w:t>Zarówno prace projektowe, jak roboty budowlane i montażowe, dostawy oraz pozostałe usługi związane z realizacją przedmiotowej inwestycji muszą umożliwiać Zamawiającemu prawidłowe rozliczenie inwestycji, tj. uwzględniające szczegółowe wymagania odnośnie sposobu dofinansowania inwestycji z Regionalnego Programu Operacyjnego.</w:t>
      </w:r>
    </w:p>
    <w:p>
      <w:pPr>
        <w:pStyle w:val="Nagwek3"/>
        <w:numPr>
          <w:ilvl w:val="2"/>
          <w:numId w:val="3"/>
        </w:numPr>
        <w:rPr/>
      </w:pPr>
      <w:bookmarkStart w:id="58" w:name="_Toc10627717"/>
      <w:bookmarkEnd w:id="58"/>
      <w:r>
        <w:rPr/>
        <w:t>Wymagania organizacyjne odnośnie prac projektowych</w:t>
      </w:r>
    </w:p>
    <w:p>
      <w:pPr>
        <w:pStyle w:val="ListParagraph"/>
        <w:numPr>
          <w:ilvl w:val="0"/>
          <w:numId w:val="24"/>
        </w:numPr>
        <w:rPr/>
      </w:pPr>
      <w:r>
        <w:rPr/>
        <w:t>Wykonawca będzie zobowiązany do wskazania Projektanta wiodącego, który będzie osobą wyznaczoną do kontaktów z Zamawiającym. Jednocześnie Projektant wiodący wskaże osobę zastępującą go w przypadku nieobecności. Równocześnie, Zamawiający wskaże osobę odpowiedzialną bezpośrednio za kontakt z Projektantem i osobę zastępującą ją w przypadku nieobecności, zwaną dalej głównym przedstawicielem Zamawiającego.</w:t>
      </w:r>
    </w:p>
    <w:p>
      <w:pPr>
        <w:pStyle w:val="ListParagraph"/>
        <w:numPr>
          <w:ilvl w:val="0"/>
          <w:numId w:val="24"/>
        </w:numPr>
        <w:rPr/>
      </w:pPr>
      <w:r>
        <w:rPr/>
        <w:t>Projektant wskaże osobę / osoby, które zostaną upoważnione przez Zamawiającego do występowania w jego imieniu i podejmowania wszelkich działań w celu uzyskania warunków, wytycznych, uzgodnień, opinii, zgód, postanowień i decyzji na etapie projektowania oraz uzyskania decyzji stanowiących zezwolenia na realizację inwestycji,</w:t>
      </w:r>
    </w:p>
    <w:p>
      <w:pPr>
        <w:pStyle w:val="ListParagraph"/>
        <w:numPr>
          <w:ilvl w:val="0"/>
          <w:numId w:val="24"/>
        </w:numPr>
        <w:rPr/>
      </w:pPr>
      <w:r>
        <w:rPr/>
        <w:t>Projektant wiodący będzie zobowiązany do przedstawienia Zamawiającemu przyjętego harmonogramu prac projektowych wraz z uwzględnieniem terminów uzyskania niezbędnych do realizacji inwestycji opinii, zgód, uzgodnień i decyzji administracyjnych,</w:t>
      </w:r>
    </w:p>
    <w:p>
      <w:pPr>
        <w:pStyle w:val="ListParagraph"/>
        <w:numPr>
          <w:ilvl w:val="0"/>
          <w:numId w:val="24"/>
        </w:numPr>
        <w:rPr/>
      </w:pPr>
      <w:r>
        <w:rPr/>
        <w:t>W ramach harmonogramu prac Projektant uzgodni z Zamawiającym termin i liczbę spotkań koordynacyjnych z udziałem Zamawiającego i co najmniej projektanta branżowego i poszczególnych projektantów branżowych (według potrzeb), przy czym:</w:t>
      </w:r>
    </w:p>
    <w:p>
      <w:pPr>
        <w:pStyle w:val="ListParagraph"/>
        <w:numPr>
          <w:ilvl w:val="1"/>
          <w:numId w:val="24"/>
        </w:numPr>
        <w:rPr/>
      </w:pPr>
      <w:r>
        <w:rPr/>
        <w:t xml:space="preserve"> </w:t>
      </w:r>
      <w:r>
        <w:rPr/>
        <w:t>zmiana terminu ww. spotkań Zamawiającego z Projektantami, wymaga uzgodnienia nie dalej niż na 5 dni roboczych przed spotkaniem; w szczególnie uzasadnionych przypadkach sytuacji dopuszcza się termin 3 dni roboczych,</w:t>
      </w:r>
    </w:p>
    <w:p>
      <w:pPr>
        <w:pStyle w:val="ListParagraph"/>
        <w:numPr>
          <w:ilvl w:val="1"/>
          <w:numId w:val="24"/>
        </w:numPr>
        <w:rPr/>
      </w:pPr>
      <w:r>
        <w:rPr/>
        <w:t>Liczbę spotkań koordynacyjnych należy ustalić na etapie przygotowania harmonogramu prac, przy czym nie może wynosić mniej niż 3 oraz rzadziej niż 1 na 2 miesiące,</w:t>
      </w:r>
    </w:p>
    <w:p>
      <w:pPr>
        <w:pStyle w:val="ListParagraph"/>
        <w:numPr>
          <w:ilvl w:val="1"/>
          <w:numId w:val="24"/>
        </w:numPr>
        <w:rPr/>
      </w:pPr>
      <w:r>
        <w:rPr/>
        <w:t>W trakcie etapu projektowania Wykonawca w razie konieczności może wystąpić o dodatkowe spotkania koordynacyjne,</w:t>
      </w:r>
    </w:p>
    <w:p>
      <w:pPr>
        <w:pStyle w:val="ListParagraph"/>
        <w:numPr>
          <w:ilvl w:val="0"/>
          <w:numId w:val="24"/>
        </w:numPr>
        <w:rPr/>
      </w:pPr>
      <w:r>
        <w:rPr/>
        <w:t>z przebiegu i ustaleń ww. narad roboczych osoba obecna na spotkaniu, reprezentująca i wskazana przez Zamawiającego do kontaktu z Projektantem, sporządzi protokół:</w:t>
      </w:r>
    </w:p>
    <w:p>
      <w:pPr>
        <w:pStyle w:val="ListParagraph"/>
        <w:numPr>
          <w:ilvl w:val="1"/>
          <w:numId w:val="24"/>
        </w:numPr>
        <w:ind w:left="1276" w:hanging="226"/>
        <w:rPr/>
      </w:pPr>
      <w:r>
        <w:rPr/>
        <w:t xml:space="preserve"> </w:t>
      </w:r>
      <w:r>
        <w:rPr/>
        <w:t xml:space="preserve">określający postęp prac, stan koordynacji i niezbędne zmiany, ze wskazaniem ich przyczyn oraz uzgodni termin usunięcia ewentualnych kolizji i wprowadzenia niezbędnych zmian w dokumentacji poszczególnych branż, </w:t>
      </w:r>
    </w:p>
    <w:p>
      <w:pPr>
        <w:pStyle w:val="ListParagraph"/>
        <w:numPr>
          <w:ilvl w:val="1"/>
          <w:numId w:val="24"/>
        </w:numPr>
        <w:ind w:left="1276" w:hanging="226"/>
        <w:rPr/>
      </w:pPr>
      <w:r>
        <w:rPr/>
        <w:t xml:space="preserve">przedmiotowy protokół zostanie przekazany w ciągu 3 dni roboczych od spotkania do akceptacji przez uczestników spotkania, </w:t>
      </w:r>
    </w:p>
    <w:p>
      <w:pPr>
        <w:pStyle w:val="ListParagraph"/>
        <w:numPr>
          <w:ilvl w:val="1"/>
          <w:numId w:val="24"/>
        </w:numPr>
        <w:ind w:left="1276" w:hanging="226"/>
        <w:rPr/>
      </w:pPr>
      <w:r>
        <w:rPr/>
        <w:t xml:space="preserve">w przypadku uwag do protokołu Projektant wiodący wskaże je drogą korespondencji elektronicznej do osoby odpowiedzialnej za sporządzenie przedmiotowego protokołu oraz do wiadomości głównego przedstawiciela Zamawiającego (jeżeli będą to dwie różne osoby), </w:t>
      </w:r>
    </w:p>
    <w:p>
      <w:pPr>
        <w:pStyle w:val="ListParagraph"/>
        <w:numPr>
          <w:ilvl w:val="1"/>
          <w:numId w:val="24"/>
        </w:numPr>
        <w:ind w:left="1276" w:hanging="226"/>
        <w:rPr/>
      </w:pPr>
      <w:r>
        <w:rPr/>
        <w:t>o sposobie załatwienia ww. uwag do protokołu z narady przedstawiciel Zamawiającego poinformuje Projektanta wiodącego drogą korespondencji elektronicznej,</w:t>
      </w:r>
    </w:p>
    <w:p>
      <w:pPr>
        <w:pStyle w:val="ListParagraph"/>
        <w:numPr>
          <w:ilvl w:val="1"/>
          <w:numId w:val="24"/>
        </w:numPr>
        <w:ind w:left="1276" w:hanging="226"/>
        <w:rPr/>
      </w:pPr>
      <w:r>
        <w:rPr/>
        <w:t>w przypadku braku podania adresu korespondencji e-mail przez osoby obecne na spotkaniu, osobą odpowiedzialną za przekazanie im protokołu, potwierdzenie jego treści lub wniesienie uwag jest osoba wskazana do reprezentowania właściwej ww. osobie strony – tj. dla osób z ramienia Wykonawcy – Projektant wiodący, dla osób z ramienia Zamawiającego – główny przedstawiciel Zamawiającego,</w:t>
      </w:r>
    </w:p>
    <w:p>
      <w:pPr>
        <w:pStyle w:val="ListParagraph"/>
        <w:numPr>
          <w:ilvl w:val="0"/>
          <w:numId w:val="24"/>
        </w:numPr>
        <w:rPr/>
      </w:pPr>
      <w:r>
        <w:rPr/>
        <w:t xml:space="preserve">zakończenie etapu projektowego powinno zostać zakończone odbyciem się ostatecznej narady zatwierdzającej; </w:t>
      </w:r>
    </w:p>
    <w:p>
      <w:pPr>
        <w:pStyle w:val="ListParagraph"/>
        <w:numPr>
          <w:ilvl w:val="0"/>
          <w:numId w:val="24"/>
        </w:numPr>
        <w:rPr/>
      </w:pPr>
      <w:r>
        <w:rPr/>
        <w:t>Zamawiający może sam odstąpić od organizacji części spotkań koordynacyjnych i/lub zastąpić je koordynacją drogą korespondencji elektronicznej; Zamawiający powiadomi o powyższym Projektanta wiodącego, z tym, że jeśli w powyższej sytuacji Projektant wyrazi konieczność odbycia przedmiotowej narady, należy ją odbyć,</w:t>
      </w:r>
    </w:p>
    <w:p>
      <w:pPr>
        <w:pStyle w:val="ListParagraph"/>
        <w:numPr>
          <w:ilvl w:val="0"/>
          <w:numId w:val="24"/>
        </w:numPr>
        <w:rPr/>
      </w:pPr>
      <w:r>
        <w:rPr/>
        <w:t>modyfikacja bądź zmiana rozwiązań wskazanych w programie funkcjonalno-użytkowym na etapie prac projektowych będzie możliwa wyłącznie za zgodą Zamawiającego,</w:t>
      </w:r>
    </w:p>
    <w:p>
      <w:pPr>
        <w:pStyle w:val="ListParagraph"/>
        <w:numPr>
          <w:ilvl w:val="0"/>
          <w:numId w:val="24"/>
        </w:numPr>
        <w:rPr/>
      </w:pPr>
      <w:r>
        <w:rPr/>
        <w:t>jeżeli nie ustalono inaczej wszelkie wiążące uzgodnienia w zakresie rozwiązań projektowych pomiędzy Projektantem lub jego przedstawicielami a Zamawiającym wymagają formy pisemnej / potwierdzonej przez drugą stronę przynajmniej w formie odpowiedzi w korespondencji elektronicznej, notatki ze spotkania bez uwag lub po akceptacji wniesionych uwag,</w:t>
      </w:r>
    </w:p>
    <w:p>
      <w:pPr>
        <w:pStyle w:val="ListParagraph"/>
        <w:numPr>
          <w:ilvl w:val="0"/>
          <w:numId w:val="24"/>
        </w:numPr>
        <w:rPr/>
      </w:pPr>
      <w:r>
        <w:rPr/>
        <w:t>projektant opracuje dokumentacje w następujących ilościach:</w:t>
      </w:r>
    </w:p>
    <w:p>
      <w:pPr>
        <w:pStyle w:val="ListParagraph"/>
        <w:numPr>
          <w:ilvl w:val="1"/>
          <w:numId w:val="24"/>
        </w:numPr>
        <w:ind w:left="1134" w:hanging="54"/>
        <w:rPr/>
      </w:pPr>
      <w:r>
        <w:rPr/>
        <w:t>dokumentacja projektowa stanowiąca podstawę do uzyskania decyzji o pozwoleniu na budowę w ilości 6 egzemplarzy w wersji papierowej oraz wersję elektroniczną w formacie word, excel, .pdf, .JPG dla części opisowej oraz .pdf i .dwg, .dxf lub innym kompatybilnym, zaakceptowanym przez Zamawiającego formacie plików CAD dla części graficznej – w tym: 1 egzemplarz w wersji papierowej i elektronicznej dla Zamawiającego, 1 egzemplarz w wersji papierowej i elektronicznej przeznaczony do złożenia do WKZ, 4 egzemplarze w wersji papierowej do złożenia w ramach postępowania wydanie decyzji o zatwierdzeniu projektu budowlanego i pozwoleniu na budowę;</w:t>
      </w:r>
    </w:p>
    <w:p>
      <w:pPr>
        <w:pStyle w:val="ListParagraph"/>
        <w:numPr>
          <w:ilvl w:val="1"/>
          <w:numId w:val="24"/>
        </w:numPr>
        <w:ind w:left="1134" w:hanging="54"/>
        <w:rPr/>
      </w:pPr>
      <w:r>
        <w:rPr/>
        <w:t>dokumentacja wykonawcza w ilości 4 egzemplarzy wersji papierowej oraz wersję elektroniczną w formacie word, excel, .pdf, .JPG dla części opisowej oraz .pdf i .dwg, .dxf lub innym kompatybilnym, zaakceptowanym przez Zamawiającego formacie plików CAD dla części graficznej) – w tym: 2 egzemplarze w wersji papierowej i elektronicznej dla zamawiającego;</w:t>
      </w:r>
    </w:p>
    <w:p>
      <w:pPr>
        <w:pStyle w:val="ListParagraph"/>
        <w:numPr>
          <w:ilvl w:val="1"/>
          <w:numId w:val="24"/>
        </w:numPr>
        <w:ind w:left="1134" w:hanging="54"/>
        <w:rPr/>
      </w:pPr>
      <w:r>
        <w:rPr/>
        <w:t>dokumentacja powykonawcza w ilości 2 egzemplarze w wersji papierowej oraz wersję elektroniczną w formacie word, excel, .pdf, .JPG dla części opisowej oraz .pdf i .dwg, .dxf lub innym kompatybilnym, zaakceptowanym przez Zamawiającego formacie plików CAD dla części graficznej)</w:t>
      </w:r>
    </w:p>
    <w:p>
      <w:pPr>
        <w:pStyle w:val="ListParagraph"/>
        <w:numPr>
          <w:ilvl w:val="1"/>
          <w:numId w:val="24"/>
        </w:numPr>
        <w:ind w:left="1134" w:hanging="54"/>
        <w:rPr/>
      </w:pPr>
      <w:r>
        <w:rPr/>
        <w:t>Wykonawca przekaże Zamawiającemu dokumentację elektroniczną na trwałym nośniku oraz umożliwi Zamawiającemu dostęp do dokumentacji elektronicznej na wybranym rozwiązaniu serwerowym do czasu 3 miesięcy od zakończenia realizacji Zadania. Dostęp do ww. przestrzeni dyskowej musi być zabezpieczony i ograniczony do wskazanych osób.</w:t>
      </w:r>
    </w:p>
    <w:p>
      <w:pPr>
        <w:pStyle w:val="Nagwek3"/>
        <w:numPr>
          <w:ilvl w:val="2"/>
          <w:numId w:val="3"/>
        </w:numPr>
        <w:rPr/>
      </w:pPr>
      <w:bookmarkStart w:id="59" w:name="_Toc10627718"/>
      <w:bookmarkEnd w:id="59"/>
      <w:r>
        <w:rPr/>
        <w:t>Wymagania Wspólne odnośnie dokumentacji projektowej</w:t>
      </w:r>
    </w:p>
    <w:p>
      <w:pPr>
        <w:pStyle w:val="Normal"/>
        <w:rPr/>
      </w:pPr>
      <w:r>
        <w:rPr/>
        <w:t>Do obowiązków Wykonawcy należeć będzie:</w:t>
      </w:r>
    </w:p>
    <w:p>
      <w:pPr>
        <w:pStyle w:val="ListParagraph"/>
        <w:numPr>
          <w:ilvl w:val="0"/>
          <w:numId w:val="19"/>
        </w:numPr>
        <w:rPr/>
      </w:pPr>
      <w:r>
        <w:rPr/>
        <w:t>sporządzenie mapy do celów projektowych, jeśli zajdzie taka potrzeba</w:t>
      </w:r>
    </w:p>
    <w:p>
      <w:pPr>
        <w:pStyle w:val="ListParagraph"/>
        <w:numPr>
          <w:ilvl w:val="0"/>
          <w:numId w:val="19"/>
        </w:numPr>
        <w:rPr/>
      </w:pPr>
      <w:r>
        <w:rPr/>
        <w:t>sporządzenie wszelkich opracowań specjalistycznych, zwanych dalej opracowaniami towarzyszącymi, niezbędnych do uzyskania wszelkich zaleceń, wytycznych, warunków, opinii, uzgodnień, zgód, postanowień i decyzji w zakresie przedmiotu inwestycji, wymaganych prawem i specyfiką inwestycji,</w:t>
      </w:r>
    </w:p>
    <w:p>
      <w:pPr>
        <w:pStyle w:val="ListParagraph"/>
        <w:numPr>
          <w:ilvl w:val="0"/>
          <w:numId w:val="19"/>
        </w:numPr>
        <w:rPr/>
      </w:pPr>
      <w:r>
        <w:rPr/>
        <w:t>sporządzenie kompletnej dokumentacji projektowej, wraz z uzyskaniem wszelkich niezbędnych zaleceń, wytycznych, warunków, opinii, uzgodnień, zgód, postanowień i decyzji w zakresie przedmiotu inwestycji,</w:t>
      </w:r>
    </w:p>
    <w:p>
      <w:pPr>
        <w:pStyle w:val="ListParagraph"/>
        <w:numPr>
          <w:ilvl w:val="0"/>
          <w:numId w:val="19"/>
        </w:numPr>
        <w:rPr/>
      </w:pPr>
      <w:r>
        <w:rPr/>
        <w:t>uzyskanie na podstawie wyżej wymienionych ostatecznej decyzji o zatwierdzeniu projektu budowlanego i pozwoleniu na budowę, umożliwiającej realizację inwestycji.</w:t>
      </w:r>
    </w:p>
    <w:p>
      <w:pPr>
        <w:pStyle w:val="Normal"/>
        <w:rPr/>
      </w:pPr>
      <w:r>
        <w:rPr/>
        <w:t>Zamawiający dostarczy Wykonawcy oświadczenie o prawie do dysponowania nieruchomością na cele budowlane/</w:t>
      </w:r>
    </w:p>
    <w:p>
      <w:pPr>
        <w:pStyle w:val="Normal"/>
        <w:rPr/>
      </w:pPr>
      <w:r>
        <w:rPr/>
        <w:t xml:space="preserve">Zamawiający upoważni Wykonawcę wyłonionego w przetargu nieograniczonym do występowania w jego imieniu, podejmowania wszelkich działań w celu uzyskania wszelkich niezbędnych wytycznych, warunków, opinii, uzgodnień, zgód, postanowień i decyzji w zakresie przedmiotu inwestycji, tzn. na etapie projektowania, postępowania administracyjnego, przeprowadzenia robót budowlanych oraz uzyskania pozwolenia na użytkowanie lub uzyskania braku sprzeciwu przed przystąpieniem do użytkowania. </w:t>
      </w:r>
    </w:p>
    <w:p>
      <w:pPr>
        <w:pStyle w:val="Nagwek3"/>
        <w:numPr>
          <w:ilvl w:val="2"/>
          <w:numId w:val="3"/>
        </w:numPr>
        <w:rPr/>
      </w:pPr>
      <w:bookmarkStart w:id="60" w:name="_Toc10627719"/>
      <w:bookmarkStart w:id="61" w:name="_Toc5260874"/>
      <w:bookmarkEnd w:id="60"/>
      <w:bookmarkEnd w:id="61"/>
      <w:r>
        <w:rPr/>
        <w:t>Dokumentacja geotechniczna</w:t>
      </w:r>
    </w:p>
    <w:p>
      <w:pPr>
        <w:pStyle w:val="Normal"/>
        <w:rPr/>
      </w:pPr>
      <w:r>
        <w:rPr/>
        <w:t xml:space="preserve">W związku z faktem, iż obiekt Szkoły w Mielęcinie jest obiektem zabytkowym, mając na względzie treść §4, ust. 3 pkt 3) ppkt h) </w:t>
      </w:r>
      <w:r>
        <w:rPr/>
        <w:fldChar w:fldCharType="begin"/>
      </w:r>
      <w:r>
        <w:instrText> REF _Ref7012784 \h </w:instrText>
      </w:r>
      <w:r>
        <w:fldChar w:fldCharType="separate"/>
      </w:r>
      <w:r/>
      <w:r>
        <w:fldChar w:fldCharType="end"/>
      </w:r>
      <w:r>
        <w:rPr/>
        <w:fldChar w:fldCharType="begin"/>
      </w:r>
      <w:r>
        <w:instrText> REF _Ref7012784 \r \h </w:instrText>
      </w:r>
      <w:r>
        <w:fldChar w:fldCharType="separate"/>
      </w:r>
      <w:r>
        <w:t xml:space="preserve">[47] - </w:t>
      </w:r>
      <w:r>
        <w:fldChar w:fldCharType="end"/>
      </w:r>
      <w:r>
        <w:rPr/>
        <w:t>, na etapie sporządzenia przedmiotowego Programu Funkcjonalno-Użytkowego budynek szkoły zaliczono wstępnie do III-ciej kategorii geotechnicznej. Przy określeniu powyższej kategorii kierowano się jedynie wskazanym zaszeregowaniem obiektu jako zabytku, w związku z brakiem dokumentacji geotechnicznej wskazującej na warunki gruntowe i wodne w otoczeniu obiektu. W związku z powyższym, przedmiotowe wstępne wskazanie kategorii geotechnicznej, nie zwalnia Projektanta z wynikającego z Rozporządzenia zrewidowania założeń przyjętych w przedmiotowym PFU obowiązku określenia kategorii geotechnicznej przez projektanta na podstawie wymaganych do przeprowadzenia badań geotechnicznych gruntu, analizy danych archiwalnych, w tym analizy i oceny dokumentacji geotechnicznej, geologiczno-inżynierskiej i hydrogeologicznej, obserwacji geodezyjnych zachowania się obiektu oraz innych danych dotyczących podłoża badanego terenu i jego otoczenia.</w:t>
      </w:r>
    </w:p>
    <w:p>
      <w:pPr>
        <w:pStyle w:val="Normal"/>
        <w:rPr/>
      </w:pPr>
      <w:r>
        <w:rPr/>
        <w:t>Ponadto badania gruntowe ze względu na uwarunkowania istniejące, tzn. fakt iż dotyczącą obiektu istniejącego zabytkowego, dla którego brak kompletnej dokumentacji obiektu, w tym dokumentacji warunków gruntowych i konstrukcji obiektu, muszą uwzględniać ustalenie głębokości i sposobu jego fundamentowania oraz sposobu rozpoznania konstrukcyjnego rozwiązania fundamentów. W związku z powyższym zakres opracowań składających się na dokumentację geotechniczną powinien zawierać:</w:t>
      </w:r>
    </w:p>
    <w:p>
      <w:pPr>
        <w:pStyle w:val="ListParagraph"/>
        <w:numPr>
          <w:ilvl w:val="0"/>
          <w:numId w:val="31"/>
        </w:numPr>
        <w:rPr/>
      </w:pPr>
      <w:r>
        <w:rPr/>
        <w:t>ww. analizę materiałów archiwalnych dotyczących obiektu i terenu,</w:t>
      </w:r>
    </w:p>
    <w:p>
      <w:pPr>
        <w:pStyle w:val="ListParagraph"/>
        <w:numPr>
          <w:ilvl w:val="0"/>
          <w:numId w:val="31"/>
        </w:numPr>
        <w:rPr/>
      </w:pPr>
      <w:r>
        <w:rPr/>
        <w:t>opracowanie przeprowadzonych, aktualnych wyników badań z określeniem przyczyn niszczenia obiektu.</w:t>
      </w:r>
    </w:p>
    <w:p>
      <w:pPr>
        <w:pStyle w:val="Normal"/>
        <w:rPr/>
      </w:pPr>
      <w:r>
        <w:rPr/>
        <w:t xml:space="preserve">W związku z powyższym, na etapie prac projektowych Wykonawca będzie zobowiązany do przeprowadzenia szczegółowych badań geotechnicznych na potrzeby kontroli zgodności przyjętych rozwiązań projektowych z warunkami istniejącymi oraz ustalenia geotechnicznych warunków posadowienia budynku. </w:t>
      </w:r>
    </w:p>
    <w:p>
      <w:pPr>
        <w:pStyle w:val="Normal"/>
        <w:rPr/>
      </w:pPr>
      <w:r>
        <w:rPr/>
        <w:t xml:space="preserve">W celu  ustalenie głębokości i sposobu jego fundamentowania oraz rozpoznania konstrukcyjnego rozwiązania fundamentów należy przeprowadzić odkrywki fundamentów i wykonanie tzw. dołów próbnych sięgających do spodu fundamentów. Odkrywki i doły próbne należy wykonać co najmniej w narożnikach budynku oraz w miejscach, w których ze względu na np. kształt budynku, konstrukcja i fundamenty budynku mogą pracować w nierównomierny, odmienny sposób i gdzie najsilniej występują oznaki naruszenia współpracy z podłożem, jak np. wysunięcie środkowej bryły budynku (w części z salą gimnastyczną) i narożna wieża. Z tego również względu zaleca się wykonanie ww. czynności po uprzednim zinwentaryzowaniu wszelkich uszkodzeń widocznych na elewacjach budynku, w tym rys, spękań, ugięć elementów konstrukcyjnych. Ponadto należy wykonać odkrywki fundamentów i doły próbne wewnątrz budynku (pod ścianami wewnętrznymi budynku), z rozpoznaniem i uwzględnieniem oryginalnej tkanki budynku i fragmentów budynku przekształconych po II wojnie światowej, w szczególności w części poniżej przebudowanej głównej klatki schodowej. </w:t>
        <w:br/>
        <w:t>Ww. odkrywki i doły próbne należy wykonać parzyście – tzn. każdej odkrywce i dołowi próbnemu wykonanemu na zewnątrz budynku musi odpowiadać wykonanie analogicznej odkrywki i dołu próbnego wewnątrz budynku. Analogicznie należy postępować w przypadku przylegających do siebie elementów oryginalnych piwnic i fundamentów sąsiadujących bezpośrednio z elementami nawarstwionymi, co ma służyć szczegółowemu określeniu:</w:t>
      </w:r>
    </w:p>
    <w:p>
      <w:pPr>
        <w:pStyle w:val="ListParagraph"/>
        <w:numPr>
          <w:ilvl w:val="0"/>
          <w:numId w:val="33"/>
        </w:numPr>
        <w:rPr/>
      </w:pPr>
      <w:r>
        <w:rPr/>
        <w:t xml:space="preserve">współpracy budynku z gruntem, </w:t>
      </w:r>
    </w:p>
    <w:p>
      <w:pPr>
        <w:pStyle w:val="ListParagraph"/>
        <w:numPr>
          <w:ilvl w:val="0"/>
          <w:numId w:val="33"/>
        </w:numPr>
        <w:rPr/>
      </w:pPr>
      <w:r>
        <w:rPr/>
        <w:t xml:space="preserve">współpracy oryginalnych i nawarstwionych elementów konstrukcji budynku, </w:t>
      </w:r>
    </w:p>
    <w:p>
      <w:pPr>
        <w:pStyle w:val="ListParagraph"/>
        <w:numPr>
          <w:ilvl w:val="0"/>
          <w:numId w:val="33"/>
        </w:numPr>
        <w:rPr/>
      </w:pPr>
      <w:r>
        <w:rPr/>
        <w:t xml:space="preserve">materiałów, sposobu i stopnia zabezpieczenia ww. elementów przed korozją, </w:t>
      </w:r>
    </w:p>
    <w:p>
      <w:pPr>
        <w:pStyle w:val="ListParagraph"/>
        <w:numPr>
          <w:ilvl w:val="0"/>
          <w:numId w:val="33"/>
        </w:numPr>
        <w:rPr/>
      </w:pPr>
      <w:r>
        <w:rPr/>
        <w:t xml:space="preserve">przyczyn ich ewentualnego niszczenia, </w:t>
      </w:r>
    </w:p>
    <w:p>
      <w:pPr>
        <w:pStyle w:val="ListParagraph"/>
        <w:numPr>
          <w:ilvl w:val="0"/>
          <w:numId w:val="33"/>
        </w:numPr>
        <w:rPr/>
      </w:pPr>
      <w:r>
        <w:rPr/>
        <w:t>dalszej analizie i doborowi szczegółowych rozwiązań naprawczych i prewencyjnych.</w:t>
      </w:r>
    </w:p>
    <w:p>
      <w:pPr>
        <w:pStyle w:val="Normal"/>
        <w:rPr/>
      </w:pPr>
      <w:r>
        <w:rPr/>
        <w:t>Głębokość dołów próbnych należy dostosować do rzeczywistej głębokości fundamentów, tak aby umożliwiały prawidłowe określenie głębokości ich posadowienia, zbadanie ich cech wytrzymałościowych i wymiarów, a także określenie rodzaju gruntu bezpośrednio pod fundamentami.</w:t>
      </w:r>
    </w:p>
    <w:p>
      <w:pPr>
        <w:pStyle w:val="Normal"/>
        <w:rPr/>
      </w:pPr>
      <w:r>
        <w:rPr/>
        <w:t>Dla ustalenia uwarstwienia podłoża gruntowego należy wykonać wokół budynku odwierty badawcze. Miejsca i głębokość otworów badawczych powinny zostać dobrane z uwzględnieniem szczegółowych rozwiązań projektowych. Ich głębokość nie może być mniejsza niż 3m poniżej poziomu posadowienia fundamentów. Szczególną uwagę należy zwrócić na teren bezpośrednio przyległy do murów wieży.</w:t>
      </w:r>
    </w:p>
    <w:p>
      <w:pPr>
        <w:pStyle w:val="Normal"/>
        <w:rPr/>
      </w:pPr>
      <w:r>
        <w:rPr/>
        <w:t>Dla obiektu należy ustalić zakres badań geotechnicznych z uwzględnieniem jego wstępnie określonej kategorii, w zależności od przewidywanego stopnia skomplikowania warunków gruntowych oraz specyfiki i charakteru obiektu budowlanego lub rodzaju planowanych prac. Należy określić:</w:t>
      </w:r>
    </w:p>
    <w:p>
      <w:pPr>
        <w:pStyle w:val="ListParagraph"/>
        <w:numPr>
          <w:ilvl w:val="0"/>
          <w:numId w:val="27"/>
        </w:numPr>
        <w:rPr/>
      </w:pPr>
      <w:r>
        <w:rPr/>
        <w:t>Rodzaj gruntów,</w:t>
      </w:r>
    </w:p>
    <w:p>
      <w:pPr>
        <w:pStyle w:val="ListParagraph"/>
        <w:numPr>
          <w:ilvl w:val="0"/>
          <w:numId w:val="27"/>
        </w:numPr>
        <w:rPr/>
      </w:pPr>
      <w:r>
        <w:rPr/>
        <w:t>Fizyczne i mechaniczne parametry gruntu, takie jak: kąt tarcia wewnętrznego, spójność, wytrzymałość na ścinanie bez odpływu, moduł ściśliwości lub odkształcenia, uzyskane w badaniach laboratoryjnych lub w terenie, w szczególności za pomocą takich metod jak:</w:t>
      </w:r>
    </w:p>
    <w:p>
      <w:pPr>
        <w:pStyle w:val="ListParagraph"/>
        <w:numPr>
          <w:ilvl w:val="1"/>
          <w:numId w:val="27"/>
        </w:numPr>
        <w:rPr/>
      </w:pPr>
      <w:r>
        <w:rPr/>
        <w:t>sondowania statyczne i dynamiczne,</w:t>
      </w:r>
    </w:p>
    <w:p>
      <w:pPr>
        <w:pStyle w:val="ListParagraph"/>
        <w:numPr>
          <w:ilvl w:val="1"/>
          <w:numId w:val="27"/>
        </w:numPr>
        <w:rPr/>
      </w:pPr>
      <w:r>
        <w:rPr/>
        <w:t>badania presjometryczne i dylatometryczne,</w:t>
      </w:r>
    </w:p>
    <w:p>
      <w:pPr>
        <w:pStyle w:val="ListParagraph"/>
        <w:numPr>
          <w:ilvl w:val="1"/>
          <w:numId w:val="27"/>
        </w:numPr>
        <w:rPr/>
      </w:pPr>
      <w:r>
        <w:rPr/>
        <w:t>badania sondą krzyżakową,</w:t>
      </w:r>
    </w:p>
    <w:p>
      <w:pPr>
        <w:pStyle w:val="ListParagraph"/>
        <w:numPr>
          <w:ilvl w:val="1"/>
          <w:numId w:val="27"/>
        </w:numPr>
        <w:rPr/>
      </w:pPr>
      <w:r>
        <w:rPr/>
        <w:t>badania próbnych obciążeń gruntu,</w:t>
      </w:r>
    </w:p>
    <w:p>
      <w:pPr>
        <w:pStyle w:val="ListParagraph"/>
        <w:numPr>
          <w:ilvl w:val="0"/>
          <w:numId w:val="27"/>
        </w:numPr>
        <w:rPr/>
      </w:pPr>
      <w:r>
        <w:rPr/>
        <w:t>właściwość wód gruntowych.</w:t>
      </w:r>
    </w:p>
    <w:p>
      <w:pPr>
        <w:pStyle w:val="Normal"/>
        <w:rPr/>
      </w:pPr>
      <w:r>
        <w:rPr/>
        <w:t>Dla zabytku należy przeprowadzić badanie stosunków wodnych, polegające co najmniej na:</w:t>
      </w:r>
    </w:p>
    <w:p>
      <w:pPr>
        <w:pStyle w:val="ListParagraph"/>
        <w:numPr>
          <w:ilvl w:val="0"/>
          <w:numId w:val="32"/>
        </w:numPr>
        <w:rPr/>
      </w:pPr>
      <w:r>
        <w:rPr/>
        <w:t>obserwacji stanu wód podskórnych i gruntowych, w celu ustalenia wahań poziomu ich zwierciadła,</w:t>
      </w:r>
    </w:p>
    <w:p>
      <w:pPr>
        <w:pStyle w:val="ListParagraph"/>
        <w:numPr>
          <w:ilvl w:val="0"/>
          <w:numId w:val="32"/>
        </w:numPr>
        <w:rPr/>
      </w:pPr>
      <w:r>
        <w:rPr/>
        <w:t>wyznaczeniu kierunku przepływu wód,</w:t>
      </w:r>
    </w:p>
    <w:p>
      <w:pPr>
        <w:pStyle w:val="ListParagraph"/>
        <w:numPr>
          <w:ilvl w:val="0"/>
          <w:numId w:val="32"/>
        </w:numPr>
        <w:rPr/>
      </w:pPr>
      <w:r>
        <w:rPr/>
        <w:t>określeniu wpływu cieków wodnych w otoczeniu obiektu, w szczególności Kanału Młyńskiego, na stan wód gruntowych i kierunek ich przepływu,</w:t>
      </w:r>
    </w:p>
    <w:p>
      <w:pPr>
        <w:pStyle w:val="ListParagraph"/>
        <w:numPr>
          <w:ilvl w:val="0"/>
          <w:numId w:val="32"/>
        </w:numPr>
        <w:rPr/>
      </w:pPr>
      <w:r>
        <w:rPr/>
        <w:t>sformułowaniu wniosków, w jaki sposób występujące zjawiska hydrograficzne wpływają na warunki posadowienia, stateczność i trwałość obiektu zabytkowego.</w:t>
      </w:r>
    </w:p>
    <w:p>
      <w:pPr>
        <w:pStyle w:val="Normal"/>
        <w:rPr/>
      </w:pPr>
      <w:r>
        <w:rPr/>
        <w:t xml:space="preserve">Wahania zwierciadła wody i kierunek jej przepływu należy ustalić za pomocą wykonanych w tym celu tzw. otworów obserwacyjnych. Otwory (minimum trzy) należy usytuować tak, aby obiekt znalazł się wewnątrz figury zarysowanej ich układem. Obserwację otworów należy prowadzić systematycznie (np. dwa razy w miesiącu lub raz na tydzień) i dodatkowo po ulewnych deszczach i dłużej trwających opadach. W trakcie badania należy ustalić wpływ konfiguracji terenu na spływ wód opadowych, w szczególności czy spływają w kierunku budynku, czy go omijają oraz przeanalizować wpływ wszelkich istniejących w otoczeniu urządzeń wodnych, melioracyjnych, jak np. drenaże, rowy odwadniające. </w:t>
      </w:r>
    </w:p>
    <w:p>
      <w:pPr>
        <w:pStyle w:val="Normal"/>
        <w:rPr/>
      </w:pPr>
      <w:r>
        <w:rPr/>
        <w:t>Dodatkowo, ze względu na wstępnie określoną III-kategorię geotechniczną powyższy zakres badań należy uzupełnić badaniami niezbędnymi do przeprowadzenia obliczeń analitycznych i numerycznych dla przyjętego modelu geotechnicznego podłoża, w uzgodnieniu z wykonawcą specjalistycznych robót geotechnicznych.</w:t>
      </w:r>
    </w:p>
    <w:p>
      <w:pPr>
        <w:pStyle w:val="Normal"/>
        <w:rPr/>
      </w:pPr>
      <w:r>
        <w:rPr/>
        <w:t>Ze względu na zakres planowanych prac niezbędne jest dodatkowo przeprowadzenie odkrywek fundamentów. W zależności od przyjętego zakresu robót badania należy uzupełnić o:</w:t>
      </w:r>
    </w:p>
    <w:p>
      <w:pPr>
        <w:pStyle w:val="ListParagraph"/>
        <w:numPr>
          <w:ilvl w:val="0"/>
          <w:numId w:val="28"/>
        </w:numPr>
        <w:rPr/>
      </w:pPr>
      <w:r>
        <w:rPr/>
        <w:t>badania efektów wzmocnienia gruntów i materiałów stosowanych do wzmocnienia gruntów - w przypadku wzmacniania podłoża gruntowego,</w:t>
      </w:r>
    </w:p>
    <w:p>
      <w:pPr>
        <w:pStyle w:val="Normal"/>
        <w:rPr/>
      </w:pPr>
      <w:r>
        <w:rPr/>
        <w:t>Zaznacza się, że w związku przyjęciem na etapie koncepcji, na podstawie przeprowadzonych wstępnych badań geotechnicznych oraz dostępnej dokumentacji geotechnicznej dla terenów sąsiednich, kategorii posadowienia obiektów kubaturowych, jako kategorii II należy zweryfikować te założenia. Dla zamierzenia budowlanego i poszczególnych obiektów w jego ramach należy wykonać odpowiednie badania geotechniczne w zakresie wynikającym ze specyfiki inwestycji i jej składowych. Koszty i zamówienie ww. badań geotechnicznych należą do zakresu obowiązków projektanta. Zakres prac ustalony z uprawnioną do ich wykonywania osobą należy potwierdzić z Inwestorem.</w:t>
      </w:r>
    </w:p>
    <w:p>
      <w:pPr>
        <w:pStyle w:val="Normal"/>
        <w:rPr/>
      </w:pPr>
      <w:r>
        <w:rPr/>
        <w:t>Na podstawie wykonanych badań należy ponadto sporządzić, niezależnie od kategorii posadowienia obiektów opinię geotechniczną. Należy przy tym zweryfikować wstępnie ustaloną kategorię II posadowienia obiektów. Ponadto w związku z ww. II kategorią, należy wykonać:</w:t>
      </w:r>
    </w:p>
    <w:p>
      <w:pPr>
        <w:pStyle w:val="ListParagraph"/>
        <w:numPr>
          <w:ilvl w:val="0"/>
          <w:numId w:val="26"/>
        </w:numPr>
        <w:rPr/>
      </w:pPr>
      <w:r>
        <w:rPr/>
        <w:t>dokumentację badań podłoża gruntowego,</w:t>
      </w:r>
    </w:p>
    <w:p>
      <w:pPr>
        <w:pStyle w:val="ListParagraph"/>
        <w:numPr>
          <w:ilvl w:val="0"/>
          <w:numId w:val="25"/>
        </w:numPr>
        <w:rPr/>
      </w:pPr>
      <w:r>
        <w:rPr/>
        <w:t>projekt geotechniczny,</w:t>
      </w:r>
    </w:p>
    <w:p>
      <w:pPr>
        <w:pStyle w:val="ListParagraph"/>
        <w:numPr>
          <w:ilvl w:val="0"/>
          <w:numId w:val="25"/>
        </w:numPr>
        <w:rPr/>
      </w:pPr>
      <w:r>
        <w:rPr/>
        <w:t>dokumentację geologiczno-inżynierską, zgodną z .</w:t>
      </w:r>
    </w:p>
    <w:p>
      <w:pPr>
        <w:pStyle w:val="Normal"/>
        <w:rPr/>
      </w:pPr>
      <w:r>
        <w:rPr/>
        <w:t>Dokumentacja badań podłoża gruntowego, zgodnie z Polskimi Normami PN-EN 1997-1: Eurokod 7: Projektowanie geotechniczne - Część 1: Zasady ogólne i PN-EN 1997-2: Eurokod 7: Projektowanie geotechniczne - Część 2: Rozpoznanie i badanie podłoża gruntowego powinna zawierać opis metodyki polowych i laboratoryjnych badań gruntów, ich wyniki i interpretację, model geologiczny oraz zestawienie wyprowadzonych wartości danych geotechnicznych dla każdej warstwy.</w:t>
      </w:r>
    </w:p>
    <w:p>
      <w:pPr>
        <w:pStyle w:val="Normal"/>
        <w:rPr/>
      </w:pPr>
      <w:r>
        <w:rPr/>
        <w:t>Projekt geotechniczny zgodnie z Polskimi Normami PN-EN 1997-1: Eurokod 7: Projektowanie geotechniczne - Część 1: Zasady ogólne i PN-EN 1997-2: Eurokod 7: Projektowanie geotechniczne - Część 2: Rozpoznanie i badanie podłoża gruntowego powinien zawierać:</w:t>
      </w:r>
    </w:p>
    <w:p>
      <w:pPr>
        <w:pStyle w:val="ListParagraph"/>
        <w:numPr>
          <w:ilvl w:val="0"/>
          <w:numId w:val="30"/>
        </w:numPr>
        <w:rPr/>
      </w:pPr>
      <w:r>
        <w:rPr/>
        <w:t>prognozę zmian właściwości podłoża gruntowego w czasie;</w:t>
      </w:r>
    </w:p>
    <w:p>
      <w:pPr>
        <w:pStyle w:val="ListParagraph"/>
        <w:numPr>
          <w:ilvl w:val="0"/>
          <w:numId w:val="30"/>
        </w:numPr>
        <w:rPr/>
      </w:pPr>
      <w:r>
        <w:rPr/>
        <w:t>określenie obliczeniowych parametrów geotechnicznych;</w:t>
      </w:r>
    </w:p>
    <w:p>
      <w:pPr>
        <w:pStyle w:val="ListParagraph"/>
        <w:numPr>
          <w:ilvl w:val="0"/>
          <w:numId w:val="30"/>
        </w:numPr>
        <w:rPr/>
      </w:pPr>
      <w:r>
        <w:rPr/>
        <w:t>określenie częściowych współczynników bezpieczeństwa do obliczeń geotechnicznych;</w:t>
      </w:r>
    </w:p>
    <w:p>
      <w:pPr>
        <w:pStyle w:val="ListParagraph"/>
        <w:numPr>
          <w:ilvl w:val="0"/>
          <w:numId w:val="30"/>
        </w:numPr>
        <w:rPr/>
      </w:pPr>
      <w:r>
        <w:rPr/>
        <w:t>określenie oddziaływań od gruntu;</w:t>
      </w:r>
    </w:p>
    <w:p>
      <w:pPr>
        <w:pStyle w:val="ListParagraph"/>
        <w:numPr>
          <w:ilvl w:val="0"/>
          <w:numId w:val="30"/>
        </w:numPr>
        <w:rPr/>
      </w:pPr>
      <w:r>
        <w:rPr/>
        <w:t>przyjęcie modelu obliczeniowego podłoża gruntowego, a w prostych przypadkach projektowego przekroju geotechnicznego;</w:t>
      </w:r>
    </w:p>
    <w:p>
      <w:pPr>
        <w:pStyle w:val="ListParagraph"/>
        <w:numPr>
          <w:ilvl w:val="0"/>
          <w:numId w:val="30"/>
        </w:numPr>
        <w:rPr/>
      </w:pPr>
      <w:r>
        <w:rPr/>
        <w:t>obliczenie nośności i osiadania podłoża gruntowego oraz ogólnej stateczności;</w:t>
      </w:r>
    </w:p>
    <w:p>
      <w:pPr>
        <w:pStyle w:val="ListParagraph"/>
        <w:numPr>
          <w:ilvl w:val="0"/>
          <w:numId w:val="30"/>
        </w:numPr>
        <w:rPr/>
      </w:pPr>
      <w:r>
        <w:rPr/>
        <w:t>ustalenie danych niezbędnych do zaprojektowania fundamentów;</w:t>
      </w:r>
    </w:p>
    <w:p>
      <w:pPr>
        <w:pStyle w:val="ListParagraph"/>
        <w:numPr>
          <w:ilvl w:val="0"/>
          <w:numId w:val="30"/>
        </w:numPr>
        <w:rPr/>
      </w:pPr>
      <w:r>
        <w:rPr/>
        <w:t>specyfikację badań niezbędnych do zapewnienia wymaganej jakości robót ziemnych i specjalistycznych robót geotechnicznych;</w:t>
      </w:r>
    </w:p>
    <w:p>
      <w:pPr>
        <w:pStyle w:val="ListParagraph"/>
        <w:numPr>
          <w:ilvl w:val="0"/>
          <w:numId w:val="30"/>
        </w:numPr>
        <w:rPr/>
      </w:pPr>
      <w:r>
        <w:rPr/>
        <w:t>określenie szkodliwości oddziaływań wód gruntowych na obiekt budowlany i sposobów przeciwdziałania tym zagrożeniom;</w:t>
      </w:r>
    </w:p>
    <w:p>
      <w:pPr>
        <w:pStyle w:val="ListParagraph"/>
        <w:numPr>
          <w:ilvl w:val="0"/>
          <w:numId w:val="30"/>
        </w:numPr>
        <w:rPr/>
      </w:pPr>
      <w:r>
        <w:rPr/>
        <w:t>określenie zakresu niezbędnego monitorowania wybudowanego obiektu budowlanego, obiektów sąsiadujących i otaczającego gruntu, niezbędnego do rozpoznania zagrożeń mogących wystąpić w trakcie robót budowlanych lub w ich wyniku oraz w czasie użytkowania obiektu budowlanego.</w:t>
      </w:r>
    </w:p>
    <w:p>
      <w:pPr>
        <w:pStyle w:val="Normal"/>
        <w:rPr/>
      </w:pPr>
      <w:r>
        <w:rPr/>
        <w:t>W przypadku ustalenia odmiennej kategorii posadowienia obiektów, zakres opracowania dokumentacji geotechnicznej należy dostosować do wymagań formalno-prawnych wynikających z Prawa budowlanego (Dz.U.2017.1332 t.j., z późn. zm.) oraz Rozporządzenia Ministra Transportu, budownictwa i gospodarki morskiej z dn. 25.04.2012 w sprawie ustalania geotechnicznych warunków posadawiania obiektów budowlanych (Dz.U.2012.463). Przy określaniu geotechnicznych warunków posadowienia obiektu oraz prowadzeniu badań, w tym doborze metod, sprzętu i urządzeń oraz przygotowaniu próbek do badań laboratoryjnych, należy stosować obowiązujące normy, w szczególności Polską Normą PN-EN 1997-2 Eurokod 7: Projektowanie geotechniczne - Część 2: Rozpoznanie i badanie podłoża gruntowego.</w:t>
      </w:r>
    </w:p>
    <w:p>
      <w:pPr>
        <w:pStyle w:val="Nagwek3"/>
        <w:numPr>
          <w:ilvl w:val="2"/>
          <w:numId w:val="3"/>
        </w:numPr>
        <w:rPr/>
      </w:pPr>
      <w:bookmarkStart w:id="62" w:name="_Toc5260875"/>
      <w:bookmarkStart w:id="63" w:name="_Toc10627720"/>
      <w:bookmarkStart w:id="64" w:name="_Toc501550554"/>
      <w:bookmarkStart w:id="65" w:name="_Toc501574759"/>
      <w:bookmarkStart w:id="66" w:name="_Toc501620209"/>
      <w:bookmarkStart w:id="67" w:name="_Toc501625330"/>
      <w:bookmarkEnd w:id="62"/>
      <w:bookmarkEnd w:id="63"/>
      <w:bookmarkEnd w:id="64"/>
      <w:bookmarkEnd w:id="65"/>
      <w:bookmarkEnd w:id="66"/>
      <w:bookmarkEnd w:id="67"/>
      <w:r>
        <w:rPr/>
        <w:t>Mapa do celów projektowych</w:t>
      </w:r>
    </w:p>
    <w:p>
      <w:pPr>
        <w:pStyle w:val="Normal"/>
        <w:rPr/>
      </w:pPr>
      <w:r>
        <w:rPr/>
        <w:t>Sporządzenie mapy sytuacyjno-wysokościowej do celów projektowych będzie należeć do obowiązków projektanta. Koszt wykonania ww. mapy należy uwzględnić w kosztach prac projektowych. Mapę należy wykonać zgodnie z Rozporządzeniem Ministra Gospodarki Przestrzennej I Budownictwa z dn. 21 lutego 1995 r. w sprawie rodzaju i zakresu opracowań geodezyjno-kartograficznych oraz czynności geodezyjnych obowiązujących w budownictwie (Dz.U.1995.25.133).</w:t>
      </w:r>
    </w:p>
    <w:p>
      <w:pPr>
        <w:pStyle w:val="Normal"/>
        <w:rPr/>
      </w:pPr>
      <w:r>
        <w:rPr/>
        <w:t>Mapa do celów projektowych dla inwestycji powinna obejmować również obszar otaczający teren inwestycji w pasie co najmniej 30m i uwzględniać w zakresie ewentualne przyłącza, włączenie do cieków wodnych itp., w zakresie niezbędnym do kompletnego wykonania projektów branżowych oraz uzyskania związanych z nimi warunków, uzgodnień, odstępstw, zgód, postanowień i decyzji. Skala ww. mapy dla przedmiotowego zamierzenia budowlanego powinna wynosić 1:500, przy czym dopuszcza się za pisemną zgodą Zamawiającego wykonanie mapy w mniejszej skali, jednak w skali nie mniejszej niż 1:1 000.</w:t>
      </w:r>
    </w:p>
    <w:p>
      <w:pPr>
        <w:pStyle w:val="Nagwek3"/>
        <w:numPr>
          <w:ilvl w:val="2"/>
          <w:numId w:val="3"/>
        </w:numPr>
        <w:rPr/>
      </w:pPr>
      <w:bookmarkStart w:id="68" w:name="_Toc10627721"/>
      <w:r>
        <w:rPr/>
        <w:t>Inwentaryzacja</w:t>
      </w:r>
      <w:bookmarkEnd w:id="68"/>
      <w:r>
        <w:rPr/>
        <w:t xml:space="preserve"> </w:t>
      </w:r>
    </w:p>
    <w:p>
      <w:pPr>
        <w:pStyle w:val="Normal"/>
        <w:rPr/>
      </w:pPr>
      <w:r>
        <w:rPr/>
        <w:t xml:space="preserve">Ze względu na brak kompletnej dokumentacji obiektu należy wykonać szczegółową inwentaryzację obiektu w zakresie architektoniczno-budowlanym, konstrukcyjnym i instalacyjnym. </w:t>
      </w:r>
    </w:p>
    <w:p>
      <w:pPr>
        <w:pStyle w:val="Normal"/>
        <w:rPr/>
      </w:pPr>
      <w:r>
        <w:rPr/>
        <w:t>W ramach inwentaryzacji architektonicznej należy wykonać szczegółową inwentaryzację elementów oryginalnych, takich jak elementy wystroju architektonicznego i dekoracyjne, stolarka okienna, stolarka drzwiowa, wszelkie elementy oryginalne przeznaczone do demontażu i/lub silnie uszkodzone, przeznaczone do odtworzenia, wzmocnienia lub wymiany.</w:t>
      </w:r>
    </w:p>
    <w:p>
      <w:pPr>
        <w:pStyle w:val="Nagwek3"/>
        <w:numPr>
          <w:ilvl w:val="2"/>
          <w:numId w:val="3"/>
        </w:numPr>
        <w:rPr/>
      </w:pPr>
      <w:bookmarkStart w:id="69" w:name="_Toc10627722"/>
      <w:bookmarkEnd w:id="69"/>
      <w:r>
        <w:rPr/>
        <w:t>Program prac konserwatorskich i badania konserwatorskie i architektoniczne</w:t>
      </w:r>
    </w:p>
    <w:p>
      <w:pPr>
        <w:pStyle w:val="Normal"/>
        <w:rPr/>
      </w:pPr>
      <w:r>
        <w:rPr/>
        <w:t>Dla obiektu, zgodnie z zaleceniami Wojewódzkiego Konserwatora Zabytków należy przygotować program prac konserwatorskich. Zakres programu prac konserwatorskich należy dostosować do zakresu planowanych robót oraz wyników badań i analiz poprzedzających jego przygotowanie. W tym celu Wykonawca przed opracowaniem ww. programu prac konserwatorskich zobowiązany jest do przeprowadzenia niezbędnych badań i analiz, tj.:</w:t>
      </w:r>
    </w:p>
    <w:p>
      <w:pPr>
        <w:pStyle w:val="ListParagraph"/>
        <w:numPr>
          <w:ilvl w:val="1"/>
          <w:numId w:val="72"/>
        </w:numPr>
        <w:rPr/>
      </w:pPr>
      <w:r>
        <w:rPr/>
        <w:t>oględziny i rozpoznanie wstępne pomieszczeń budynku o historycznej wartości,</w:t>
      </w:r>
    </w:p>
    <w:p>
      <w:pPr>
        <w:pStyle w:val="ListParagraph"/>
        <w:numPr>
          <w:ilvl w:val="1"/>
          <w:numId w:val="72"/>
        </w:numPr>
        <w:rPr/>
      </w:pPr>
      <w:r>
        <w:rPr/>
        <w:t>przegląd udostępnionej dokumentacji budynku,</w:t>
      </w:r>
    </w:p>
    <w:p>
      <w:pPr>
        <w:pStyle w:val="ListParagraph"/>
        <w:numPr>
          <w:ilvl w:val="1"/>
          <w:numId w:val="72"/>
        </w:numPr>
        <w:rPr/>
      </w:pPr>
      <w:r>
        <w:rPr/>
        <w:t>analizę dotychczas przeprowadzonych prac konserwatorskich, remontowych i adaptacyjnych,</w:t>
      </w:r>
    </w:p>
    <w:p>
      <w:pPr>
        <w:pStyle w:val="ListParagraph"/>
        <w:numPr>
          <w:ilvl w:val="1"/>
          <w:numId w:val="72"/>
        </w:numPr>
        <w:rPr/>
      </w:pPr>
      <w:r>
        <w:rPr/>
        <w:t>badania in situ na obiekcie Szkoły, poprzedzające prace projektowe nad projektem budowlanym i dalej wykonawczym:</w:t>
      </w:r>
    </w:p>
    <w:p>
      <w:pPr>
        <w:pStyle w:val="ListParagraph"/>
        <w:numPr>
          <w:ilvl w:val="2"/>
          <w:numId w:val="73"/>
        </w:numPr>
        <w:rPr/>
      </w:pPr>
      <w:r>
        <w:rPr/>
        <w:t>badania warunków geotechnicznych i stosunków wodnych, zgodnie z wymaganiami dla dokumentacji geotechnicznej,</w:t>
      </w:r>
    </w:p>
    <w:p>
      <w:pPr>
        <w:pStyle w:val="ListParagraph"/>
        <w:numPr>
          <w:ilvl w:val="2"/>
          <w:numId w:val="73"/>
        </w:numPr>
        <w:rPr/>
      </w:pPr>
      <w:r>
        <w:rPr/>
        <w:t>badania stanu zarysowań konstrukcji – inwentaryzację rys, szczelin i pęknięć na ścianach zewnętrznych i wewnętrznych, ze szczególnym zwróceniem uwagi na wieżę i przyległą partię budynku oraz obserwacją ich stabilności (np. poprzez założenie szklanych plomb),</w:t>
      </w:r>
    </w:p>
    <w:p>
      <w:pPr>
        <w:pStyle w:val="ListParagraph"/>
        <w:numPr>
          <w:ilvl w:val="2"/>
          <w:numId w:val="73"/>
        </w:numPr>
        <w:rPr/>
      </w:pPr>
      <w:r>
        <w:rPr/>
        <w:t>badania stanu zawilgocenia elementów konstrukcyjnych (m.in. fundamenty, mury zewnętrzne i wewnętrzne, więźba),</w:t>
      </w:r>
    </w:p>
    <w:p>
      <w:pPr>
        <w:pStyle w:val="ListParagraph"/>
        <w:numPr>
          <w:ilvl w:val="2"/>
          <w:numId w:val="73"/>
        </w:numPr>
        <w:rPr/>
      </w:pPr>
      <w:r>
        <w:rPr/>
        <w:t>badania stanu zasolenia murów,</w:t>
      </w:r>
    </w:p>
    <w:p>
      <w:pPr>
        <w:pStyle w:val="ListParagraph"/>
        <w:numPr>
          <w:ilvl w:val="2"/>
          <w:numId w:val="73"/>
        </w:numPr>
        <w:rPr/>
      </w:pPr>
      <w:r>
        <w:rPr/>
        <w:t>badania stanu tynków – inwentaryzacja zniszczeń tynku (wewnątrz i na zewnątrz), określające pierwotne warstwy tynku i malatur (m.in. ze względu na konieczność usunięcia oryginalnych tynków zewnętrznych w celu wykonania systemu ogrzewania płaszczyznowego),</w:t>
      </w:r>
    </w:p>
    <w:p>
      <w:pPr>
        <w:pStyle w:val="ListParagraph"/>
        <w:numPr>
          <w:ilvl w:val="2"/>
          <w:numId w:val="73"/>
        </w:numPr>
        <w:rPr/>
      </w:pPr>
      <w:r>
        <w:rPr/>
        <w:t>badania stanu mikologiczne – cały budynek (elementy konstrukcyjne i wykończenie),</w:t>
      </w:r>
    </w:p>
    <w:p>
      <w:pPr>
        <w:pStyle w:val="ListParagraph"/>
        <w:numPr>
          <w:ilvl w:val="2"/>
          <w:numId w:val="73"/>
        </w:numPr>
        <w:rPr/>
      </w:pPr>
      <w:r>
        <w:rPr/>
        <w:t>badania   stratygraficzne, analiza   nawarstwień   i   opracowań kolorystycznych,</w:t>
      </w:r>
    </w:p>
    <w:p>
      <w:pPr>
        <w:pStyle w:val="ListParagraph"/>
        <w:numPr>
          <w:ilvl w:val="1"/>
          <w:numId w:val="72"/>
        </w:numPr>
        <w:rPr/>
      </w:pPr>
      <w:r>
        <w:rPr/>
        <w:t>dokumentacja fotograficzną,</w:t>
      </w:r>
    </w:p>
    <w:p>
      <w:pPr>
        <w:pStyle w:val="Normal"/>
        <w:rPr/>
      </w:pPr>
      <w:r>
        <w:rPr/>
        <w:t xml:space="preserve">WW. prace mają na celu zapewnienie prawidłowego zaprojektowania szczegółowych rozwiązań w związku z termomodernizacją oraz niezbędnymi pracami remontowymi. Wykonawca po odbyciu wizji lokalnej zweryfikuje ww. zakres badań i w razie konieczności ujmie niezbędne dodatkowe badania w Zamówieniu.  </w:t>
      </w:r>
    </w:p>
    <w:p>
      <w:pPr>
        <w:pStyle w:val="Normal"/>
        <w:rPr/>
      </w:pPr>
      <w:r>
        <w:rPr/>
        <w:t xml:space="preserve">W celu przeprowadzenia badań Wykonawca uzyska wszelkie niezbędne zgody i decyzje oraz uzgodni ich terminy z Zamawiającym. Koszty przeprowadzenia badań, uzyskania zgód i decyzji należy uwzględnić w cenie Zamówienia i nie będą podlegały dodatkowemu wynagrodzeniu. </w:t>
      </w:r>
    </w:p>
    <w:p>
      <w:pPr>
        <w:pStyle w:val="Nagwek3"/>
        <w:numPr>
          <w:ilvl w:val="2"/>
          <w:numId w:val="3"/>
        </w:numPr>
        <w:rPr/>
      </w:pPr>
      <w:bookmarkStart w:id="70" w:name="_Toc10627723"/>
      <w:bookmarkEnd w:id="70"/>
      <w:r>
        <w:rPr/>
        <w:t>Projekt budowlany</w:t>
      </w:r>
    </w:p>
    <w:p>
      <w:pPr>
        <w:pStyle w:val="Normal"/>
        <w:rPr/>
      </w:pPr>
      <w:r>
        <w:rPr/>
        <w:t>W zakresie opracowań branżowych składających się na wielobranżowy Projekt budowlany należy, w celu uzyskania decyzji umożliwiającej realizacje inwestycji, wykonać co najmniej następujące elementy dokumentacji:</w:t>
      </w:r>
    </w:p>
    <w:p>
      <w:pPr>
        <w:pStyle w:val="ListParagraph"/>
        <w:numPr>
          <w:ilvl w:val="0"/>
          <w:numId w:val="20"/>
        </w:numPr>
        <w:rPr/>
      </w:pPr>
      <w:r>
        <w:rPr/>
        <w:t>Projekt architektoniczno-konserwatorski,</w:t>
      </w:r>
    </w:p>
    <w:p>
      <w:pPr>
        <w:pStyle w:val="ListParagraph"/>
        <w:numPr>
          <w:ilvl w:val="0"/>
          <w:numId w:val="20"/>
        </w:numPr>
        <w:rPr/>
      </w:pPr>
      <w:r>
        <w:rPr/>
        <w:t>Projekt konstrukcji wraz z ekspertyzami,</w:t>
      </w:r>
    </w:p>
    <w:p>
      <w:pPr>
        <w:pStyle w:val="ListParagraph"/>
        <w:numPr>
          <w:ilvl w:val="0"/>
          <w:numId w:val="20"/>
        </w:numPr>
        <w:rPr/>
      </w:pPr>
      <w:r>
        <w:rPr/>
        <w:t>Projekt instalacji sanitarnych,</w:t>
      </w:r>
    </w:p>
    <w:p>
      <w:pPr>
        <w:pStyle w:val="ListParagraph"/>
        <w:numPr>
          <w:ilvl w:val="0"/>
          <w:numId w:val="20"/>
        </w:numPr>
        <w:rPr/>
      </w:pPr>
      <w:r>
        <w:rPr/>
        <w:t>Projekt instalacji elektrycznych.</w:t>
      </w:r>
    </w:p>
    <w:p>
      <w:pPr>
        <w:pStyle w:val="Normal"/>
        <w:rPr/>
      </w:pPr>
      <w:r>
        <w:rPr/>
        <w:t xml:space="preserve">Ww. wielobranżowy projekt budowlany należy wykonać zgodnie z art.. 34 </w:t>
      </w:r>
      <w:r>
        <w:rPr/>
        <w:fldChar w:fldCharType="begin"/>
      </w:r>
      <w:r>
        <w:instrText> REF _Ref7006977 \h </w:instrText>
      </w:r>
      <w:r>
        <w:fldChar w:fldCharType="separate"/>
      </w:r>
      <w:r/>
      <w:r>
        <w:fldChar w:fldCharType="end"/>
      </w:r>
      <w:r>
        <w:rPr/>
        <w:fldChar w:fldCharType="begin"/>
      </w:r>
      <w:r>
        <w:instrText> REF _Ref7006977 \r \h </w:instrText>
      </w:r>
      <w:r>
        <w:fldChar w:fldCharType="separate"/>
      </w:r>
      <w:r>
        <w:t xml:space="preserve">[6] - </w:t>
      </w:r>
      <w:r>
        <w:fldChar w:fldCharType="end"/>
      </w:r>
      <w:r>
        <w:rPr/>
        <w:t xml:space="preserve">i </w:t>
      </w:r>
      <w:r>
        <w:rPr/>
        <w:fldChar w:fldCharType="begin"/>
      </w:r>
      <w:r>
        <w:instrText> REF _Ref7007215 \h </w:instrText>
      </w:r>
      <w:r>
        <w:fldChar w:fldCharType="separate"/>
      </w:r>
      <w:r/>
      <w:r>
        <w:fldChar w:fldCharType="end"/>
      </w:r>
      <w:r>
        <w:rPr/>
        <w:fldChar w:fldCharType="begin"/>
      </w:r>
      <w:r>
        <w:instrText> REF _Ref7007215 \r \h </w:instrText>
      </w:r>
      <w:r>
        <w:fldChar w:fldCharType="separate"/>
      </w:r>
      <w:r>
        <w:t xml:space="preserve">[8] - </w:t>
      </w:r>
      <w:r>
        <w:fldChar w:fldCharType="end"/>
      </w:r>
    </w:p>
    <w:p>
      <w:pPr>
        <w:pStyle w:val="Normal"/>
        <w:rPr/>
      </w:pPr>
      <w:r>
        <w:rPr/>
        <w:t>Rysunki i obliczenia, które powinien sporządzić projektant, będą wykonane i przekazane zgodnie z wymaganiami podanymi niżej.</w:t>
      </w:r>
    </w:p>
    <w:p>
      <w:pPr>
        <w:pStyle w:val="Normal"/>
        <w:rPr/>
      </w:pPr>
      <w:r>
        <w:rPr/>
        <w:t>Rozmiary arkuszy powinny być zgodnie z rozmiarami powszechnie stosowanymi wg normy PN-EN ISO 5457:2002 Dokumentacja techniczna wyrobu -- Wymiary i układ arkuszy rysunkowych. Zaleca się stosowanie tzw. formatów głównej serii ISO-A, tzn. A0, A1, A2, A3 oraz A4 i w miarę potrzeb ich pochodnych, chyba, że inne rozmiary zostaną uzgodnione z nadzorem inwestorskim/przedstawicielem ze strony zamawiającego.</w:t>
      </w:r>
    </w:p>
    <w:p>
      <w:pPr>
        <w:pStyle w:val="Normal"/>
        <w:rPr/>
      </w:pPr>
      <w:r>
        <w:rPr/>
        <w:t>Rysunki powinny być czytelne i kompletne. Zastosowana skala zależeć będzie od rodzaju rysunku i/lub przedstawianych szczegółów.</w:t>
      </w:r>
    </w:p>
    <w:p>
      <w:pPr>
        <w:pStyle w:val="Normal"/>
        <w:rPr/>
      </w:pPr>
      <w:r>
        <w:rPr/>
        <w:t>Zaleca się stosowanie podziałek rysunków wg PN-EN ISO 5455:1998 Rysunek techniczny – Podziałki i w związku z tym przyjęcie następujących skal w opracowaniu:</w:t>
      </w:r>
    </w:p>
    <w:p>
      <w:pPr>
        <w:pStyle w:val="Caption"/>
        <w:rPr/>
      </w:pPr>
      <w:bookmarkStart w:id="71" w:name="_Toc325712499"/>
      <w:r>
        <w:rPr/>
        <w:t xml:space="preserve">Tabela </w:t>
      </w:r>
      <w:r>
        <w:rPr/>
        <w:fldChar w:fldCharType="begin"/>
      </w:r>
      <w:r>
        <w:instrText> SEQ Tabela \* ARABIC </w:instrText>
      </w:r>
      <w:r>
        <w:fldChar w:fldCharType="separate"/>
      </w:r>
      <w:r>
        <w:t>3</w:t>
      </w:r>
      <w:r>
        <w:fldChar w:fldCharType="end"/>
      </w:r>
      <w:bookmarkEnd w:id="71"/>
      <w:r>
        <w:rPr/>
        <w:t> Skala rysunków</w:t>
      </w:r>
    </w:p>
    <w:tbl>
      <w:tblPr>
        <w:tblW w:w="5000" w:type="pct"/>
        <w:jc w:val="left"/>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103" w:type="dxa"/>
          <w:bottom w:w="0" w:type="dxa"/>
          <w:right w:w="108" w:type="dxa"/>
        </w:tblCellMar>
        <w:tblLook w:firstRow="1" w:noVBand="1" w:lastRow="0" w:firstColumn="1" w:lastColumn="0" w:noHBand="0" w:val="04a0"/>
      </w:tblPr>
      <w:tblGrid>
        <w:gridCol w:w="650"/>
        <w:gridCol w:w="3137"/>
        <w:gridCol w:w="6199"/>
      </w:tblGrid>
      <w:tr>
        <w:trPr>
          <w:tblHeader w:val="true"/>
        </w:trPr>
        <w:tc>
          <w:tcPr>
            <w:tcW w:w="65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widowControl/>
              <w:bidi w:val="0"/>
              <w:spacing w:lineRule="auto" w:line="276" w:before="100" w:after="200"/>
              <w:jc w:val="both"/>
              <w:rPr>
                <w:b/>
                <w:b/>
                <w:sz w:val="16"/>
              </w:rPr>
            </w:pPr>
            <w:r>
              <w:rPr>
                <w:b/>
                <w:sz w:val="16"/>
              </w:rPr>
              <w:t>Lp.</w:t>
            </w:r>
          </w:p>
        </w:tc>
        <w:tc>
          <w:tcPr>
            <w:tcW w:w="313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vAlign w:val="center"/>
          </w:tcPr>
          <w:p>
            <w:pPr>
              <w:pStyle w:val="Normal"/>
              <w:widowControl/>
              <w:bidi w:val="0"/>
              <w:spacing w:lineRule="auto" w:line="276" w:before="100" w:after="200"/>
              <w:jc w:val="both"/>
              <w:rPr>
                <w:b/>
                <w:b/>
                <w:sz w:val="16"/>
              </w:rPr>
            </w:pPr>
            <w:r>
              <w:rPr>
                <w:b/>
                <w:sz w:val="16"/>
              </w:rPr>
              <w:t xml:space="preserve">Plany dróg i sieci </w:t>
            </w:r>
          </w:p>
        </w:tc>
        <w:tc>
          <w:tcPr>
            <w:tcW w:w="619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vAlign w:val="center"/>
          </w:tcPr>
          <w:p>
            <w:pPr>
              <w:pStyle w:val="Normal"/>
              <w:widowControl/>
              <w:bidi w:val="0"/>
              <w:spacing w:lineRule="auto" w:line="276" w:before="100" w:after="200"/>
              <w:jc w:val="both"/>
              <w:rPr>
                <w:b/>
                <w:b/>
                <w:sz w:val="16"/>
              </w:rPr>
            </w:pPr>
            <w:r>
              <w:rPr>
                <w:b/>
                <w:sz w:val="16"/>
              </w:rPr>
              <w:t>1:1000 i/lub 1:500</w:t>
            </w:r>
          </w:p>
        </w:tc>
      </w:tr>
      <w:tr>
        <w:trPr/>
        <w:tc>
          <w:tcPr>
            <w:tcW w:w="65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widowControl/>
              <w:bidi w:val="0"/>
              <w:spacing w:lineRule="auto" w:line="276" w:before="100" w:after="200"/>
              <w:jc w:val="both"/>
              <w:rPr>
                <w:sz w:val="16"/>
              </w:rPr>
            </w:pPr>
            <w:r>
              <w:rPr>
                <w:sz w:val="16"/>
              </w:rPr>
              <w:t>1</w:t>
            </w:r>
          </w:p>
        </w:tc>
        <w:tc>
          <w:tcPr>
            <w:tcW w:w="313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vAlign w:val="center"/>
          </w:tcPr>
          <w:p>
            <w:pPr>
              <w:pStyle w:val="Normal"/>
              <w:widowControl/>
              <w:bidi w:val="0"/>
              <w:spacing w:lineRule="auto" w:line="276" w:before="100" w:after="200"/>
              <w:jc w:val="both"/>
              <w:rPr>
                <w:sz w:val="16"/>
              </w:rPr>
            </w:pPr>
            <w:r>
              <w:rPr>
                <w:sz w:val="16"/>
              </w:rPr>
              <w:t>Profile rurociągów</w:t>
            </w:r>
          </w:p>
        </w:tc>
        <w:tc>
          <w:tcPr>
            <w:tcW w:w="619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vAlign w:val="center"/>
          </w:tcPr>
          <w:p>
            <w:pPr>
              <w:pStyle w:val="Normal"/>
              <w:widowControl/>
              <w:bidi w:val="0"/>
              <w:spacing w:lineRule="auto" w:line="276" w:before="100" w:after="200"/>
              <w:jc w:val="both"/>
              <w:rPr>
                <w:sz w:val="16"/>
              </w:rPr>
            </w:pPr>
            <w:r>
              <w:rPr>
                <w:sz w:val="16"/>
              </w:rPr>
              <w:t>skala pozioma, ze skalą pionową 5 do 10 razy większą niż skala pozioma</w:t>
            </w:r>
          </w:p>
        </w:tc>
      </w:tr>
      <w:tr>
        <w:trPr/>
        <w:tc>
          <w:tcPr>
            <w:tcW w:w="65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widowControl/>
              <w:bidi w:val="0"/>
              <w:spacing w:lineRule="auto" w:line="276" w:before="100" w:after="200"/>
              <w:jc w:val="both"/>
              <w:rPr>
                <w:sz w:val="16"/>
              </w:rPr>
            </w:pPr>
            <w:r>
              <w:rPr>
                <w:sz w:val="16"/>
              </w:rPr>
              <w:t>2</w:t>
            </w:r>
          </w:p>
        </w:tc>
        <w:tc>
          <w:tcPr>
            <w:tcW w:w="313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vAlign w:val="center"/>
          </w:tcPr>
          <w:p>
            <w:pPr>
              <w:pStyle w:val="Normal"/>
              <w:widowControl/>
              <w:bidi w:val="0"/>
              <w:spacing w:lineRule="auto" w:line="276" w:before="100" w:after="200"/>
              <w:jc w:val="both"/>
              <w:rPr>
                <w:sz w:val="16"/>
              </w:rPr>
            </w:pPr>
            <w:r>
              <w:rPr>
                <w:sz w:val="16"/>
              </w:rPr>
              <w:t>Zagospodarowanie terenu</w:t>
            </w:r>
          </w:p>
        </w:tc>
        <w:tc>
          <w:tcPr>
            <w:tcW w:w="619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vAlign w:val="center"/>
          </w:tcPr>
          <w:p>
            <w:pPr>
              <w:pStyle w:val="Normal"/>
              <w:widowControl/>
              <w:bidi w:val="0"/>
              <w:spacing w:lineRule="auto" w:line="276" w:before="100" w:after="200"/>
              <w:jc w:val="both"/>
              <w:rPr>
                <w:sz w:val="16"/>
              </w:rPr>
            </w:pPr>
            <w:r>
              <w:rPr>
                <w:sz w:val="16"/>
              </w:rPr>
              <w:t>1:1000 i/ lub 1:500</w:t>
            </w:r>
          </w:p>
        </w:tc>
      </w:tr>
      <w:tr>
        <w:trPr/>
        <w:tc>
          <w:tcPr>
            <w:tcW w:w="65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widowControl/>
              <w:bidi w:val="0"/>
              <w:spacing w:lineRule="auto" w:line="276" w:before="100" w:after="200"/>
              <w:jc w:val="both"/>
              <w:rPr>
                <w:sz w:val="16"/>
              </w:rPr>
            </w:pPr>
            <w:r>
              <w:rPr>
                <w:sz w:val="16"/>
              </w:rPr>
              <w:t>3</w:t>
            </w:r>
          </w:p>
        </w:tc>
        <w:tc>
          <w:tcPr>
            <w:tcW w:w="313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vAlign w:val="center"/>
          </w:tcPr>
          <w:p>
            <w:pPr>
              <w:pStyle w:val="Normal"/>
              <w:widowControl/>
              <w:bidi w:val="0"/>
              <w:spacing w:lineRule="auto" w:line="276" w:before="100" w:after="200"/>
              <w:jc w:val="both"/>
              <w:rPr>
                <w:sz w:val="16"/>
              </w:rPr>
            </w:pPr>
            <w:r>
              <w:rPr>
                <w:sz w:val="16"/>
              </w:rPr>
              <w:t>Plany ogólne</w:t>
            </w:r>
          </w:p>
        </w:tc>
        <w:tc>
          <w:tcPr>
            <w:tcW w:w="619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vAlign w:val="center"/>
          </w:tcPr>
          <w:p>
            <w:pPr>
              <w:pStyle w:val="Normal"/>
              <w:widowControl/>
              <w:bidi w:val="0"/>
              <w:spacing w:lineRule="auto" w:line="276" w:before="100" w:after="200"/>
              <w:jc w:val="both"/>
              <w:rPr>
                <w:sz w:val="16"/>
              </w:rPr>
            </w:pPr>
            <w:r>
              <w:rPr>
                <w:sz w:val="16"/>
              </w:rPr>
              <w:t>1:100 i/lub 1:50</w:t>
            </w:r>
          </w:p>
        </w:tc>
      </w:tr>
      <w:tr>
        <w:trPr/>
        <w:tc>
          <w:tcPr>
            <w:tcW w:w="65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tcPr>
          <w:p>
            <w:pPr>
              <w:pStyle w:val="Normal"/>
              <w:widowControl/>
              <w:bidi w:val="0"/>
              <w:spacing w:lineRule="auto" w:line="276" w:before="100" w:after="200"/>
              <w:jc w:val="both"/>
              <w:rPr>
                <w:sz w:val="16"/>
              </w:rPr>
            </w:pPr>
            <w:r>
              <w:rPr>
                <w:sz w:val="16"/>
              </w:rPr>
              <w:t>4</w:t>
            </w:r>
          </w:p>
        </w:tc>
        <w:tc>
          <w:tcPr>
            <w:tcW w:w="313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vAlign w:val="center"/>
          </w:tcPr>
          <w:p>
            <w:pPr>
              <w:pStyle w:val="Normal"/>
              <w:widowControl/>
              <w:bidi w:val="0"/>
              <w:spacing w:lineRule="auto" w:line="276" w:before="100" w:after="200"/>
              <w:jc w:val="both"/>
              <w:rPr>
                <w:sz w:val="16"/>
              </w:rPr>
            </w:pPr>
            <w:r>
              <w:rPr>
                <w:sz w:val="16"/>
              </w:rPr>
              <w:t>Szczegóły</w:t>
            </w:r>
          </w:p>
        </w:tc>
        <w:tc>
          <w:tcPr>
            <w:tcW w:w="619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103" w:type="dxa"/>
            </w:tcMar>
            <w:vAlign w:val="center"/>
          </w:tcPr>
          <w:p>
            <w:pPr>
              <w:pStyle w:val="Normal"/>
              <w:widowControl/>
              <w:bidi w:val="0"/>
              <w:spacing w:lineRule="auto" w:line="276" w:before="100" w:after="200"/>
              <w:jc w:val="both"/>
              <w:rPr>
                <w:sz w:val="16"/>
              </w:rPr>
            </w:pPr>
            <w:r>
              <w:rPr>
                <w:sz w:val="16"/>
              </w:rPr>
              <w:t>1:20 do 1:5</w:t>
            </w:r>
          </w:p>
        </w:tc>
      </w:tr>
    </w:tbl>
    <w:p>
      <w:pPr>
        <w:pStyle w:val="Normal"/>
        <w:ind w:left="709" w:hanging="709"/>
        <w:rPr>
          <w:b/>
          <w:b/>
          <w:bCs/>
        </w:rPr>
      </w:pPr>
      <w:r>
        <w:rPr>
          <w:b/>
          <w:bCs/>
        </w:rPr>
        <w:t>Uwaga: Przed złożeniem wniosku o wydanie decyzji o pozwoleniu na budowę dokumentacja techniczna musi zostać uzgodniona z Zamawiającym.</w:t>
      </w:r>
    </w:p>
    <w:p>
      <w:pPr>
        <w:pStyle w:val="Normal"/>
        <w:ind w:left="709" w:hanging="709"/>
        <w:jc w:val="left"/>
        <w:rPr>
          <w:b/>
          <w:b/>
          <w:bCs/>
        </w:rPr>
      </w:pPr>
      <w:r>
        <w:rPr>
          <w:b/>
          <w:bCs/>
        </w:rPr>
        <w:t xml:space="preserve">Uwaga: W przypadku odrębnego postępowania na zgłoszeni dla instalacji zewnętrznych wokół budynku (wariant I) należy uzgodnić z Zamawiającym obydwie dokumentacje (dla instalacji zewnętrznych i dla budynku), przed wystąpieniem z którąkolwiek na ścieżkę postępowania administracyjnego. </w:t>
      </w:r>
    </w:p>
    <w:p>
      <w:pPr>
        <w:pStyle w:val="Normal"/>
        <w:rPr/>
      </w:pPr>
      <w:r>
        <w:rPr/>
        <w:t>Przy sporządzaniu dokumentacji należy stosować aktualne normy rysunkowe, w tym w szczególności:</w:t>
      </w:r>
    </w:p>
    <w:p>
      <w:pPr>
        <w:pStyle w:val="ListParagraph"/>
        <w:numPr>
          <w:ilvl w:val="0"/>
          <w:numId w:val="21"/>
        </w:numPr>
        <w:rPr/>
      </w:pPr>
      <w:r>
        <w:rPr/>
        <w:t>PN-EN ISO 4157-1:2001 - Rysunek budowlany -- Systemy oznaczeń -- Część 1: Budynki i części budynków</w:t>
      </w:r>
    </w:p>
    <w:p>
      <w:pPr>
        <w:pStyle w:val="ListParagraph"/>
        <w:numPr>
          <w:ilvl w:val="0"/>
          <w:numId w:val="21"/>
        </w:numPr>
        <w:rPr/>
      </w:pPr>
      <w:r>
        <w:rPr/>
        <w:t>PN-EN ISO 4157-2:2001 - Rysunek budowlany -- Systemy oznaczeń -- Część 2: Nazwy i numery pomieszczeń</w:t>
      </w:r>
    </w:p>
    <w:p>
      <w:pPr>
        <w:pStyle w:val="ListParagraph"/>
        <w:numPr>
          <w:ilvl w:val="0"/>
          <w:numId w:val="21"/>
        </w:numPr>
        <w:rPr/>
      </w:pPr>
      <w:r>
        <w:rPr/>
        <w:t>PN-EN ISO 4157-3:2001 - Rysunek budowlany -- Systemy oznaczeń -- Część 3: Identyfikatory pomieszczeń</w:t>
      </w:r>
    </w:p>
    <w:p>
      <w:pPr>
        <w:pStyle w:val="ListParagraph"/>
        <w:numPr>
          <w:ilvl w:val="0"/>
          <w:numId w:val="21"/>
        </w:numPr>
        <w:rPr/>
      </w:pPr>
      <w:r>
        <w:rPr/>
        <w:t>PN-EN ISO 6284:2001 - Rysunek budowlany - Oznaczanie odchyłek granicznych</w:t>
      </w:r>
    </w:p>
    <w:p>
      <w:pPr>
        <w:pStyle w:val="ListParagraph"/>
        <w:numPr>
          <w:ilvl w:val="0"/>
          <w:numId w:val="21"/>
        </w:numPr>
        <w:rPr/>
      </w:pPr>
      <w:r>
        <w:rPr/>
        <w:t>PN-EN ISO 11091:2001 - Rysunek budowlany -- Projekty zagospodarowania terenu</w:t>
      </w:r>
    </w:p>
    <w:p>
      <w:pPr>
        <w:pStyle w:val="ListParagraph"/>
        <w:numPr>
          <w:ilvl w:val="0"/>
          <w:numId w:val="21"/>
        </w:numPr>
        <w:rPr/>
      </w:pPr>
      <w:r>
        <w:rPr/>
        <w:t>PN-B-01025:2004 - Rysunek budowlany -- Oznaczenia graficzne na rysunkach architektoniczno-budowlanych</w:t>
      </w:r>
    </w:p>
    <w:p>
      <w:pPr>
        <w:pStyle w:val="ListParagraph"/>
        <w:numPr>
          <w:ilvl w:val="0"/>
          <w:numId w:val="21"/>
        </w:numPr>
        <w:rPr/>
      </w:pPr>
      <w:r>
        <w:rPr/>
        <w:t>PN-B-01027:2002 - Rysunek budowlany -- Oznaczenia graficzne stosowane w projektach zagospodarowania działki lub terenu</w:t>
      </w:r>
    </w:p>
    <w:p>
      <w:pPr>
        <w:pStyle w:val="ListParagraph"/>
        <w:numPr>
          <w:ilvl w:val="0"/>
          <w:numId w:val="21"/>
        </w:numPr>
        <w:rPr/>
      </w:pPr>
      <w:r>
        <w:rPr/>
        <w:t>PN-B-01029:2000 - Rysunek budowlany -- Zasady wymiarowania na rysunkach architektoniczno-budowlanych</w:t>
      </w:r>
    </w:p>
    <w:p>
      <w:pPr>
        <w:pStyle w:val="ListParagraph"/>
        <w:numPr>
          <w:ilvl w:val="0"/>
          <w:numId w:val="21"/>
        </w:numPr>
        <w:rPr/>
      </w:pPr>
      <w:r>
        <w:rPr/>
        <w:t>PN-ISO 9836: 1997 - Właściwości użytkowe w budownictwie - Określanie i obliczanie wskaźników powierzchniowych i kubaturowych PN-EN ISO 9431:2011 - Rysunek budowlany -- Części arkusza rysunkowego przeznaczone na rysunek, tekst i tabliczkę tytułową</w:t>
      </w:r>
    </w:p>
    <w:p>
      <w:pPr>
        <w:pStyle w:val="ListParagraph"/>
        <w:numPr>
          <w:ilvl w:val="0"/>
          <w:numId w:val="21"/>
        </w:numPr>
        <w:rPr/>
      </w:pPr>
      <w:r>
        <w:rPr/>
        <w:t>PN-ISO 128-23:2002 Rysunek techniczny -- Ogólne zasady przedstawiania -- Część 23: Linie na rysunkach budowlanych</w:t>
      </w:r>
    </w:p>
    <w:p>
      <w:pPr>
        <w:pStyle w:val="ListParagraph"/>
        <w:numPr>
          <w:ilvl w:val="0"/>
          <w:numId w:val="21"/>
        </w:numPr>
        <w:rPr/>
      </w:pPr>
      <w:r>
        <w:rPr/>
        <w:t>PN-EN ISO 128-20:2002 - Rysunek techniczny -- Zasady ogólne przedstawiania -- Część 20: Wymagania podstawowe dotyczące linii</w:t>
      </w:r>
    </w:p>
    <w:p>
      <w:pPr>
        <w:pStyle w:val="ListParagraph"/>
        <w:numPr>
          <w:ilvl w:val="0"/>
          <w:numId w:val="21"/>
        </w:numPr>
        <w:rPr/>
      </w:pPr>
      <w:r>
        <w:rPr/>
        <w:t>PN-EN ISO 128-21:2006 - Rysunek techniczny -- Zasady ogólne przedstawiania -- Część 21: Linie w systemach CAD</w:t>
      </w:r>
    </w:p>
    <w:p>
      <w:pPr>
        <w:pStyle w:val="ListParagraph"/>
        <w:numPr>
          <w:ilvl w:val="0"/>
          <w:numId w:val="21"/>
        </w:numPr>
        <w:rPr/>
      </w:pPr>
      <w:r>
        <w:rPr/>
        <w:t>PN-ISO 128-22:2003 - Rysunek techniczny -- Zasady ogólne przedstawiania -- Część 22: Wymagania podstawowe i zastosowanie linii wskazujących i linii odniesienia</w:t>
      </w:r>
    </w:p>
    <w:p>
      <w:pPr>
        <w:pStyle w:val="Normal"/>
        <w:rPr/>
      </w:pPr>
      <w:r>
        <w:rPr/>
        <w:t xml:space="preserve">Przy sporządzaniu dokumentacji projektowej należy stosować się do przepisów </w:t>
      </w:r>
      <w:r>
        <w:rPr/>
        <w:fldChar w:fldCharType="begin"/>
      </w:r>
      <w:r>
        <w:instrText> REF _Ref7007457 \h </w:instrText>
      </w:r>
      <w:r>
        <w:fldChar w:fldCharType="separate"/>
      </w:r>
      <w:r/>
      <w:r>
        <w:fldChar w:fldCharType="end"/>
      </w:r>
      <w:r>
        <w:rPr/>
        <w:fldChar w:fldCharType="begin"/>
      </w:r>
      <w:r>
        <w:instrText> REF _Ref7007457 \r \h </w:instrText>
      </w:r>
      <w:r>
        <w:fldChar w:fldCharType="separate"/>
      </w:r>
      <w:r>
        <w:t xml:space="preserve">[3] - </w:t>
      </w:r>
      <w:r>
        <w:fldChar w:fldCharType="end"/>
      </w:r>
    </w:p>
    <w:p>
      <w:pPr>
        <w:pStyle w:val="Nagwek4"/>
        <w:numPr>
          <w:ilvl w:val="3"/>
          <w:numId w:val="3"/>
        </w:numPr>
        <w:rPr/>
      </w:pPr>
      <w:bookmarkStart w:id="72" w:name="_Toc501550557"/>
      <w:bookmarkStart w:id="73" w:name="_Toc501574762"/>
      <w:bookmarkStart w:id="74" w:name="_Toc501620211"/>
      <w:bookmarkStart w:id="75" w:name="_Toc501625332"/>
      <w:bookmarkStart w:id="76" w:name="_Toc5260877"/>
      <w:bookmarkEnd w:id="72"/>
      <w:bookmarkEnd w:id="73"/>
      <w:bookmarkEnd w:id="74"/>
      <w:bookmarkEnd w:id="75"/>
      <w:bookmarkEnd w:id="76"/>
      <w:r>
        <w:rPr/>
        <w:t>Pozwolenie na budowę</w:t>
      </w:r>
    </w:p>
    <w:p>
      <w:pPr>
        <w:pStyle w:val="Normal"/>
        <w:rPr/>
      </w:pPr>
      <w:r>
        <w:rPr/>
        <w:t>W ramach przedmiotu zamówienia projektant jest zobowiązany do uzyskania decyzji o pozwoleniu na budowę z klauzulą ostateczności. Wyłącznie decyzja z taką klauzulą stanowi podstawę do finalnego rozliczenia etapu prac projektowych w zakresie projektu budowlanego. Pozwolenie na budowę należy uzyskać dla całego zamierzenia budowlanego.</w:t>
      </w:r>
    </w:p>
    <w:p>
      <w:pPr>
        <w:pStyle w:val="Normal"/>
        <w:rPr/>
      </w:pPr>
      <w:r>
        <w:rPr/>
        <w:t xml:space="preserve">Koszty opłat administracyjnych obciążają projektanta i powinny zostać przez niego uwzględnione w wycenie. </w:t>
      </w:r>
    </w:p>
    <w:p>
      <w:pPr>
        <w:pStyle w:val="Normal"/>
        <w:rPr/>
      </w:pPr>
      <w:r>
        <w:rPr/>
        <w:t>Przygotowanie kompletnego wniosku, o którym mowa w art. 33 ustawy Prawo budowlane, wraz ze wszystkimi niezbędnymi załącznikami, należy do obowiązków projektanta. Projektant jest zobowiązany w rozsądnym terminie powiadomić Zamawiającego o konieczności przekazania przez niego dokumentów, które powinien on dostarczyć projektantowi lub wymagają osobistego sporządzenia przez Zamawiającego. Rozsądny termin oznacza minimum 7 dni roboczych dla dokumentów potwierdzających ustalone uprzednio posiadane prawo, oświadczeń itp. Natomiast w przypadku spraw złożonych, gdzie uzyskanie takiego dokumentu wiązać się może z określonym terminem administracyjnym, należy termin ten doliczyć do ww. 7 dni roboczych.</w:t>
      </w:r>
    </w:p>
    <w:p>
      <w:pPr>
        <w:pStyle w:val="Normal"/>
        <w:rPr/>
      </w:pPr>
      <w:r>
        <w:rPr/>
        <w:t>Po złożeniu wniosku projektant przedstawi zamawiającemu potwierdzenie złożenia wniosku i poda numer sprawy.</w:t>
      </w:r>
    </w:p>
    <w:p>
      <w:pPr>
        <w:pStyle w:val="Nagwek3"/>
        <w:numPr>
          <w:ilvl w:val="2"/>
          <w:numId w:val="3"/>
        </w:numPr>
        <w:rPr/>
      </w:pPr>
      <w:bookmarkStart w:id="77" w:name="_Toc501550558"/>
      <w:bookmarkStart w:id="78" w:name="_Toc501574763"/>
      <w:bookmarkStart w:id="79" w:name="_Toc501620212"/>
      <w:bookmarkStart w:id="80" w:name="_Toc501625333"/>
      <w:bookmarkStart w:id="81" w:name="_Toc5260878"/>
      <w:bookmarkStart w:id="82" w:name="_Toc10627724"/>
      <w:bookmarkEnd w:id="77"/>
      <w:bookmarkEnd w:id="78"/>
      <w:bookmarkEnd w:id="79"/>
      <w:bookmarkEnd w:id="80"/>
      <w:bookmarkEnd w:id="81"/>
      <w:bookmarkEnd w:id="82"/>
      <w:r>
        <w:rPr/>
        <w:t>Opracowanie operatów</w:t>
      </w:r>
    </w:p>
    <w:p>
      <w:pPr>
        <w:pStyle w:val="Normal"/>
        <w:spacing w:before="0" w:after="200"/>
        <w:rPr/>
      </w:pPr>
      <w:r>
        <w:rPr/>
        <w:t xml:space="preserve">Do obowiązku projektanta należy opracowanie wszystkich operatów, m.in. operatów wodno-prawnych związanych ze zmianą stosunków wodnych i wykonaniem drenaży, odprowadzeniem wód opadowych, niezbędnych do uzyskania zgód i uzgodnień w drodze zgłoszeń lub decyzji administracyjnych niezbędnych na etapie procesu projektowania oraz wymaganych do wszelkich zgód, uzgodnień i decyzji poprzedzających i/lub wymaganych do złożenia wniosku o zatwierdzenie projektu budowalnego i uzyskanie decyzji o pozwoleniu na budowę. Dodatkowo należy opracować operat przeciwpożarowy i instrukcję pożarową oraz informację i plan BIOZ (zgodnie z </w:t>
      </w:r>
      <w:r>
        <w:rPr/>
        <w:fldChar w:fldCharType="begin"/>
      </w:r>
      <w:r>
        <w:instrText> REF _Ref10433882 \h </w:instrText>
      </w:r>
      <w:r>
        <w:fldChar w:fldCharType="separate"/>
      </w:r>
      <w:r/>
      <w:r>
        <w:fldChar w:fldCharType="end"/>
      </w:r>
      <w:r>
        <w:rPr/>
        <w:fldChar w:fldCharType="begin"/>
      </w:r>
      <w:r>
        <w:instrText> REF _Ref10433882 \r \h </w:instrText>
      </w:r>
      <w:r>
        <w:fldChar w:fldCharType="separate"/>
      </w:r>
      <w:r>
        <w:t xml:space="preserve">[9] - </w:t>
      </w:r>
      <w:r>
        <w:fldChar w:fldCharType="end"/>
      </w:r>
      <w:r>
        <w:rPr/>
        <w:t>).</w:t>
      </w:r>
    </w:p>
    <w:p>
      <w:pPr>
        <w:pStyle w:val="Nagwek3"/>
        <w:numPr>
          <w:ilvl w:val="2"/>
          <w:numId w:val="3"/>
        </w:numPr>
        <w:rPr/>
      </w:pPr>
      <w:bookmarkStart w:id="83" w:name="_Toc501550559"/>
      <w:bookmarkStart w:id="84" w:name="_Toc501574764"/>
      <w:bookmarkStart w:id="85" w:name="_Toc501620213"/>
      <w:bookmarkStart w:id="86" w:name="_Toc501625334"/>
      <w:bookmarkStart w:id="87" w:name="_Toc5260879"/>
      <w:bookmarkStart w:id="88" w:name="_Toc10627725"/>
      <w:bookmarkEnd w:id="83"/>
      <w:bookmarkEnd w:id="84"/>
      <w:bookmarkEnd w:id="85"/>
      <w:bookmarkEnd w:id="86"/>
      <w:bookmarkEnd w:id="87"/>
      <w:bookmarkEnd w:id="88"/>
      <w:r>
        <w:rPr/>
        <w:t>Projekt wykonawczy, przedmiary robót i specyfikacje techniczne</w:t>
      </w:r>
    </w:p>
    <w:p>
      <w:pPr>
        <w:pStyle w:val="Normal"/>
        <w:rPr/>
      </w:pPr>
      <w:r>
        <w:rPr/>
        <w:t>W celu prawidłowego wykonania robót budowlanych należy przed rozpoczęciem robót budowlanych opracować dokumentację wykonawczą, a podczas prowadzenia prac również rysunki warsztatowe. Projektant przygotuje i przedłoży wszystkie rysunki robocze (budowlane, wykonawcze) oraz obliczenia wraz ze szczegółami dotyczącymi konstrukcji i wykonania robót. Rysunki i obliczenia zostaną przekazane nadzorowi inwestorskiemu / Inżynierowi Kontraktu do zatwierdzenia.</w:t>
      </w:r>
    </w:p>
    <w:p>
      <w:pPr>
        <w:pStyle w:val="Normal"/>
        <w:rPr/>
      </w:pPr>
      <w:r>
        <w:rPr/>
        <w:t>Projekt wykonawczy powinien być opracowany minimum w następujących branżach:</w:t>
      </w:r>
    </w:p>
    <w:p>
      <w:pPr>
        <w:pStyle w:val="ListParagraph"/>
        <w:numPr>
          <w:ilvl w:val="0"/>
          <w:numId w:val="22"/>
        </w:numPr>
        <w:rPr/>
      </w:pPr>
      <w:r>
        <w:rPr/>
        <w:t>Architektonicznej w pełnym zakresie,</w:t>
      </w:r>
    </w:p>
    <w:p>
      <w:pPr>
        <w:pStyle w:val="ListParagraph"/>
        <w:numPr>
          <w:ilvl w:val="0"/>
          <w:numId w:val="22"/>
        </w:numPr>
        <w:rPr/>
      </w:pPr>
      <w:r>
        <w:rPr/>
        <w:t xml:space="preserve">konstrukcyjno – budowlanej, w tym: </w:t>
      </w:r>
    </w:p>
    <w:p>
      <w:pPr>
        <w:pStyle w:val="ListParagraph"/>
        <w:numPr>
          <w:ilvl w:val="1"/>
          <w:numId w:val="22"/>
        </w:numPr>
        <w:rPr/>
      </w:pPr>
      <w:r>
        <w:rPr/>
        <w:t xml:space="preserve">konstrukcji pod instalację PV, niezbędnych do tego wzmocnień konstrukcji </w:t>
      </w:r>
    </w:p>
    <w:p>
      <w:pPr>
        <w:pStyle w:val="ListParagraph"/>
        <w:numPr>
          <w:ilvl w:val="1"/>
          <w:numId w:val="22"/>
        </w:numPr>
        <w:rPr/>
      </w:pPr>
      <w:r>
        <w:rPr/>
        <w:t>wzmocnień i/lub wymiany elementów wynikających ze stanu technicznego zabytkowej substancji budynku, w oparciu o przeprowadzoną ekspertyzę techniczną konstrukcji budynku oraz pozostałe adekwatne badania konserwatorskie</w:t>
      </w:r>
    </w:p>
    <w:p>
      <w:pPr>
        <w:pStyle w:val="ListParagraph"/>
        <w:numPr>
          <w:ilvl w:val="0"/>
          <w:numId w:val="22"/>
        </w:numPr>
        <w:rPr/>
      </w:pPr>
      <w:r>
        <w:rPr/>
        <w:t>instalacji sanitarnych:</w:t>
      </w:r>
    </w:p>
    <w:p>
      <w:pPr>
        <w:pStyle w:val="ListParagraph"/>
        <w:numPr>
          <w:ilvl w:val="1"/>
          <w:numId w:val="22"/>
        </w:numPr>
        <w:rPr/>
      </w:pPr>
      <w:r>
        <w:rPr/>
        <w:t>instalacji odprowadzenia wód opadowych z połaci dachowych i zewnętrznej instalacji kanalizacji deszczowej,</w:t>
      </w:r>
    </w:p>
    <w:p>
      <w:pPr>
        <w:pStyle w:val="ListParagraph"/>
        <w:numPr>
          <w:ilvl w:val="1"/>
          <w:numId w:val="22"/>
        </w:numPr>
        <w:rPr/>
      </w:pPr>
      <w:r>
        <w:rPr/>
        <w:t>instalacji grzewczej wewnętrznej (C.O.),</w:t>
      </w:r>
    </w:p>
    <w:p>
      <w:pPr>
        <w:pStyle w:val="ListParagraph"/>
        <w:numPr>
          <w:ilvl w:val="0"/>
          <w:numId w:val="22"/>
        </w:numPr>
        <w:rPr/>
      </w:pPr>
      <w:r>
        <w:rPr/>
        <w:t>instalacji elektrycznych w tym m.in.:</w:t>
      </w:r>
    </w:p>
    <w:p>
      <w:pPr>
        <w:pStyle w:val="ListParagraph"/>
        <w:numPr>
          <w:ilvl w:val="1"/>
          <w:numId w:val="22"/>
        </w:numPr>
        <w:rPr/>
      </w:pPr>
      <w:r>
        <w:rPr/>
        <w:t xml:space="preserve"> </w:t>
      </w:r>
      <w:r>
        <w:rPr/>
        <w:t>wymiany instalacji gniazd wtyczkowych, oświetlenia podstawowego, ewakuacyjnego i awaryjnego),</w:t>
      </w:r>
    </w:p>
    <w:p>
      <w:pPr>
        <w:pStyle w:val="ListParagraph"/>
        <w:numPr>
          <w:ilvl w:val="1"/>
          <w:numId w:val="22"/>
        </w:numPr>
        <w:rPr/>
      </w:pPr>
      <w:r>
        <w:rPr/>
        <w:t>instalacji elektrycznych autonomicznej instalacji PV wraz z niezbędnymi elementami nowej instalacji elektrycznej oraz modułem demonstracyjnym,</w:t>
      </w:r>
    </w:p>
    <w:p>
      <w:pPr>
        <w:pStyle w:val="ListParagraph"/>
        <w:numPr>
          <w:ilvl w:val="1"/>
          <w:numId w:val="22"/>
        </w:numPr>
        <w:rPr/>
      </w:pPr>
      <w:r>
        <w:rPr/>
        <w:t>instalacji przeciwpożarowych (wg wymagań),</w:t>
      </w:r>
    </w:p>
    <w:p>
      <w:pPr>
        <w:pStyle w:val="ListParagraph"/>
        <w:numPr>
          <w:ilvl w:val="0"/>
          <w:numId w:val="22"/>
        </w:numPr>
        <w:rPr/>
      </w:pPr>
      <w:r>
        <w:rPr/>
        <w:t>projektu wykończenia wnętrz (w zakresie ingerencji w istniejące wykończenie i układ wnętrz),</w:t>
      </w:r>
    </w:p>
    <w:p>
      <w:pPr>
        <w:pStyle w:val="ListParagraph"/>
        <w:numPr>
          <w:ilvl w:val="0"/>
          <w:numId w:val="22"/>
        </w:numPr>
        <w:rPr/>
      </w:pPr>
      <w:r>
        <w:rPr/>
        <w:t xml:space="preserve">wielobranżowy zagospodarowania terenu – w zakresie instalacji i robót odtworzeniowych w istniejącym zagospodarowaniu wokół budynku </w:t>
      </w:r>
    </w:p>
    <w:p>
      <w:pPr>
        <w:pStyle w:val="Normal"/>
        <w:rPr/>
      </w:pPr>
      <w:r>
        <w:rPr/>
        <w:t xml:space="preserve">Do projektu wykonawczego opracować należy specyfikacje techniczne wykonania i odbioru robót, zgodne z </w:t>
      </w:r>
      <w:r>
        <w:rPr/>
        <w:fldChar w:fldCharType="begin"/>
      </w:r>
      <w:r>
        <w:instrText> REF _Ref7009112 \h </w:instrText>
      </w:r>
      <w:r>
        <w:fldChar w:fldCharType="separate"/>
      </w:r>
      <w:r>
        <w:t>Rozporządzenie Ministra Infrastruktury z dn. 02.09.2004 r. w sprawie szczegółowego zakresu i formy dokumentacji projektowej, specyfikacji technicznych wykonania i odbioru robót budowlanych oraz programu funkcjonalno-użytkowego (t.. Dz.U.2013.1129 z dn. 24.09.2013r.),</w:t>
      </w:r>
      <w:r>
        <w:fldChar w:fldCharType="end"/>
      </w:r>
      <w:r>
        <w:rPr/>
        <w:fldChar w:fldCharType="begin"/>
      </w:r>
      <w:r>
        <w:instrText> REF _Ref7009112 \r \h </w:instrText>
      </w:r>
      <w:r>
        <w:fldChar w:fldCharType="separate"/>
      </w:r>
      <w:r>
        <w:t xml:space="preserve">[4] - </w:t>
      </w:r>
      <w:r>
        <w:fldChar w:fldCharType="end"/>
      </w:r>
      <w:r>
        <w:rPr/>
        <w:t>.</w:t>
      </w:r>
    </w:p>
    <w:p>
      <w:pPr>
        <w:pStyle w:val="Nagwek3"/>
        <w:numPr>
          <w:ilvl w:val="2"/>
          <w:numId w:val="3"/>
        </w:numPr>
        <w:rPr/>
      </w:pPr>
      <w:bookmarkStart w:id="89" w:name="_Toc501550556"/>
      <w:bookmarkStart w:id="90" w:name="_Toc501574761"/>
      <w:bookmarkStart w:id="91" w:name="_Toc501620214"/>
      <w:bookmarkStart w:id="92" w:name="_Toc501625335"/>
      <w:bookmarkStart w:id="93" w:name="_Toc5260880"/>
      <w:bookmarkStart w:id="94" w:name="_Toc10627726"/>
      <w:bookmarkEnd w:id="89"/>
      <w:bookmarkEnd w:id="90"/>
      <w:bookmarkEnd w:id="91"/>
      <w:bookmarkEnd w:id="92"/>
      <w:bookmarkEnd w:id="93"/>
      <w:bookmarkEnd w:id="94"/>
      <w:r>
        <w:rPr/>
        <w:t>Przedmiar i kosztorys inwestorski</w:t>
      </w:r>
    </w:p>
    <w:p>
      <w:pPr>
        <w:pStyle w:val="Normal"/>
        <w:rPr/>
      </w:pPr>
      <w:r>
        <w:rPr/>
        <w:t>Ze względu na współfinansowanie projektu ze środków pomocowych Unii Europejskiej, w celu umożliwienia rozliczenia kosztów kwalifikowalnych i niekwalifikowalnych inwestycji, projektant przedstawi Zamawiającemu przedmiar i kosztorys inwestorski z podziałem kosztów uwzględniającym zakres kosztów kwalifikowalnych i niekwalifikowalnych wskazany przez służby inwestycyjne zamawiającego.</w:t>
      </w:r>
    </w:p>
    <w:p>
      <w:pPr>
        <w:pStyle w:val="Normal"/>
        <w:rPr/>
      </w:pPr>
      <w:r>
        <w:rPr/>
        <w:t xml:space="preserve">Kosztorysy i przedmiary należy opracować zgodnie z </w:t>
      </w:r>
      <w:r>
        <w:rPr/>
        <w:fldChar w:fldCharType="begin"/>
      </w:r>
      <w:r>
        <w:instrText> REF _Ref7009252 \h </w:instrText>
      </w:r>
      <w:r>
        <w:fldChar w:fldCharType="separate"/>
      </w:r>
      <w:r/>
      <w:r>
        <w:fldChar w:fldCharType="end"/>
      </w:r>
      <w:r>
        <w:rPr/>
        <w:fldChar w:fldCharType="begin"/>
      </w:r>
      <w:r>
        <w:instrText> REF _Ref7009252 \r \h </w:instrText>
      </w:r>
      <w:r>
        <w:fldChar w:fldCharType="separate"/>
      </w:r>
      <w:r>
        <w:t xml:space="preserve">[5] - </w:t>
      </w:r>
      <w:r>
        <w:fldChar w:fldCharType="end"/>
      </w:r>
      <w:r>
        <w:rPr/>
        <w:t>.</w:t>
      </w:r>
    </w:p>
    <w:p>
      <w:pPr>
        <w:pStyle w:val="Nagwek3"/>
        <w:numPr>
          <w:ilvl w:val="2"/>
          <w:numId w:val="3"/>
        </w:numPr>
        <w:rPr/>
      </w:pPr>
      <w:bookmarkStart w:id="95" w:name="_Toc501620215"/>
      <w:bookmarkStart w:id="96" w:name="_Toc501625336"/>
      <w:bookmarkStart w:id="97" w:name="_Toc5260881"/>
      <w:bookmarkStart w:id="98" w:name="_Toc10627727"/>
      <w:bookmarkStart w:id="99" w:name="_Toc501550560"/>
      <w:bookmarkStart w:id="100" w:name="_Toc501574765"/>
      <w:bookmarkEnd w:id="95"/>
      <w:bookmarkEnd w:id="96"/>
      <w:bookmarkEnd w:id="97"/>
      <w:bookmarkEnd w:id="98"/>
      <w:bookmarkEnd w:id="99"/>
      <w:bookmarkEnd w:id="100"/>
      <w:r>
        <w:rPr/>
        <w:t>Nadzór autorski</w:t>
      </w:r>
    </w:p>
    <w:p>
      <w:pPr>
        <w:pStyle w:val="Normal"/>
        <w:rPr/>
      </w:pPr>
      <w:r>
        <w:rPr/>
        <w:t>Do obowiązków projektanta będzie należało zapewnienie sprawowania nadzoru autorskiego przez uprawnionych do tego projektantów poszczególnych branż. Projektant zobowiązany jest zapewnić nadzór autorski. Koszty tego nadzoru obciążają projektanta.</w:t>
      </w:r>
    </w:p>
    <w:p>
      <w:pPr>
        <w:pStyle w:val="Normal"/>
        <w:rPr/>
      </w:pPr>
      <w:r>
        <w:rPr/>
        <w:t>Projektant jest zobowiązany zapewnić sprawowanie nadzoru autorskiego w sposób nienaruszających praw autorskich majątkowych i osobistych oraz zgodny z ustawą Prawo zamówień publicznych. Wszelkie roszczenia z tytułu naruszenia autorskich praw majątkowych, osobistych i/lub praw zależnych związane ze sprawowaniem nadzoru autorskiego obciążają projektanta w sposób wyłączny.</w:t>
      </w:r>
    </w:p>
    <w:p>
      <w:pPr>
        <w:pStyle w:val="Nagwek3"/>
        <w:numPr>
          <w:ilvl w:val="2"/>
          <w:numId w:val="3"/>
        </w:numPr>
        <w:rPr/>
      </w:pPr>
      <w:bookmarkStart w:id="101" w:name="_Toc10627728"/>
      <w:bookmarkStart w:id="102" w:name="_Toc5260882"/>
      <w:r>
        <w:rPr/>
        <w:t>Szczegółowe wymagania organizacyjne</w:t>
      </w:r>
      <w:bookmarkEnd w:id="101"/>
      <w:bookmarkEnd w:id="102"/>
      <w:r>
        <w:rPr/>
        <w:t xml:space="preserve"> dla robót budowlanych</w:t>
      </w:r>
    </w:p>
    <w:p>
      <w:pPr>
        <w:pStyle w:val="Normal"/>
        <w:rPr/>
      </w:pPr>
      <w:r>
        <w:rPr/>
        <w:t>Przed przystąpieniem do realizacji inwestycji należy przygotować projekt organizacji terenu budowy uwzględniając wszystkie niezbędne elementy zagospodarowania placu budowy między innymi:</w:t>
      </w:r>
    </w:p>
    <w:p>
      <w:pPr>
        <w:pStyle w:val="Normal"/>
        <w:numPr>
          <w:ilvl w:val="0"/>
          <w:numId w:val="23"/>
        </w:numPr>
        <w:spacing w:before="100" w:after="200"/>
        <w:contextualSpacing/>
        <w:rPr/>
      </w:pPr>
      <w:r>
        <w:rPr/>
        <w:t>organizację robót budowlanych,</w:t>
      </w:r>
    </w:p>
    <w:p>
      <w:pPr>
        <w:pStyle w:val="Normal"/>
        <w:numPr>
          <w:ilvl w:val="0"/>
          <w:numId w:val="23"/>
        </w:numPr>
        <w:spacing w:before="100" w:after="200"/>
        <w:contextualSpacing/>
        <w:rPr/>
      </w:pPr>
      <w:r>
        <w:rPr/>
        <w:t>zabezpieczenie interesu osób trzecich,</w:t>
      </w:r>
    </w:p>
    <w:p>
      <w:pPr>
        <w:pStyle w:val="Normal"/>
        <w:numPr>
          <w:ilvl w:val="0"/>
          <w:numId w:val="23"/>
        </w:numPr>
        <w:spacing w:before="100" w:after="200"/>
        <w:contextualSpacing/>
        <w:rPr/>
      </w:pPr>
      <w:r>
        <w:rPr/>
        <w:t>warunki dotyczące organizacji ruchu,</w:t>
      </w:r>
    </w:p>
    <w:p>
      <w:pPr>
        <w:pStyle w:val="Normal"/>
        <w:numPr>
          <w:ilvl w:val="0"/>
          <w:numId w:val="23"/>
        </w:numPr>
        <w:spacing w:before="100" w:after="200"/>
        <w:contextualSpacing/>
        <w:rPr/>
      </w:pPr>
      <w:r>
        <w:rPr/>
        <w:t>zapewnienie warunków bezpieczeństwa pracy,</w:t>
      </w:r>
    </w:p>
    <w:p>
      <w:pPr>
        <w:pStyle w:val="Normal"/>
        <w:numPr>
          <w:ilvl w:val="0"/>
          <w:numId w:val="23"/>
        </w:numPr>
        <w:spacing w:before="100" w:after="200"/>
        <w:contextualSpacing/>
        <w:rPr/>
      </w:pPr>
      <w:r>
        <w:rPr/>
        <w:t>organizację zaplecza dla potrzeb budowy,</w:t>
      </w:r>
    </w:p>
    <w:p>
      <w:pPr>
        <w:pStyle w:val="Normal"/>
        <w:numPr>
          <w:ilvl w:val="0"/>
          <w:numId w:val="23"/>
        </w:numPr>
        <w:spacing w:before="100" w:after="200"/>
        <w:contextualSpacing/>
        <w:rPr/>
      </w:pPr>
      <w:r>
        <w:rPr/>
        <w:t>zabezpieczenie wjazdu i wyjazdu na teren budowy,</w:t>
      </w:r>
    </w:p>
    <w:p>
      <w:pPr>
        <w:pStyle w:val="Normal"/>
        <w:numPr>
          <w:ilvl w:val="0"/>
          <w:numId w:val="23"/>
        </w:numPr>
        <w:spacing w:before="100" w:after="200"/>
        <w:contextualSpacing/>
        <w:rPr/>
      </w:pPr>
      <w:r>
        <w:rPr/>
        <w:t>prace rozbiórkowe, demontażowe, niwelacyjne, likwidację i przebudowę istniejących instalacji zewnętrznych i urządzeń infrastruktury technicznej, będących w kolizji z nowym układem,</w:t>
      </w:r>
    </w:p>
    <w:p>
      <w:pPr>
        <w:pStyle w:val="Normal"/>
        <w:numPr>
          <w:ilvl w:val="0"/>
          <w:numId w:val="23"/>
        </w:numPr>
        <w:spacing w:before="100" w:after="200"/>
        <w:contextualSpacing/>
        <w:rPr/>
      </w:pPr>
      <w:r>
        <w:rPr/>
        <w:t xml:space="preserve">zabezpieczenie elementów istniejącego zagospodarowania terenu, które nie są objęte zakresem przedmiotowej inwestycji, </w:t>
      </w:r>
    </w:p>
    <w:p>
      <w:pPr>
        <w:pStyle w:val="Normal"/>
        <w:rPr/>
      </w:pPr>
      <w:r>
        <w:rPr/>
        <w:t>Wykonanie wszelkich prac, wraz z kosztami ich wykonania, w celu przygotowania terenu do realizacji inwestycji, jak i uzyskanie niezbędnych uzgodnień, opinii, pozwoleń leży po stronie Wykonawcy.</w:t>
      </w:r>
    </w:p>
    <w:p>
      <w:pPr>
        <w:pStyle w:val="Normal"/>
        <w:rPr/>
      </w:pPr>
      <w:r>
        <w:rPr/>
        <w:t>Plac budowy zostanie przekazany Wykonawcy: po uzyskaniu prawomocnej decyzji zatwierdzającej projekt budowlany i udzielającej pozwolenia na budowę, a w przypadku zastosowania procedury zgłoszenia dla elementów zagospodarowania wokół budynku, po upływie ustawowego terminu na wyrażenie przez organ sprzeciwu wobec wniosku.</w:t>
      </w:r>
    </w:p>
    <w:p>
      <w:pPr>
        <w:pStyle w:val="Nagwek2"/>
        <w:numPr>
          <w:ilvl w:val="1"/>
          <w:numId w:val="3"/>
        </w:numPr>
        <w:shd w:val="clear" w:fill="FCDBD3"/>
        <w:rPr/>
      </w:pPr>
      <w:bookmarkStart w:id="103" w:name="_Toc10627729"/>
      <w:bookmarkEnd w:id="103"/>
      <w:r>
        <w:rPr/>
        <w:t>Zakres dla poszczególnych branż</w:t>
      </w:r>
    </w:p>
    <w:p>
      <w:pPr>
        <w:pStyle w:val="Nagwek3"/>
        <w:numPr>
          <w:ilvl w:val="2"/>
          <w:numId w:val="3"/>
        </w:numPr>
        <w:rPr/>
      </w:pPr>
      <w:bookmarkStart w:id="104" w:name="_Toc10627730"/>
      <w:bookmarkEnd w:id="104"/>
      <w:r>
        <w:rPr/>
        <w:t>Zakres robót budowlanych objętych dokumentacją projektową</w:t>
      </w:r>
    </w:p>
    <w:p>
      <w:pPr>
        <w:pStyle w:val="Normal"/>
        <w:rPr/>
      </w:pPr>
      <w:r>
        <w:rPr/>
        <w:t>Dla planowanego zamierzenia budowlanego zakres robót budowlanych obejmować będzie w szczególności:</w:t>
      </w:r>
    </w:p>
    <w:p>
      <w:pPr>
        <w:pStyle w:val="ListParagraph"/>
        <w:numPr>
          <w:ilvl w:val="0"/>
          <w:numId w:val="18"/>
        </w:numPr>
        <w:rPr/>
      </w:pPr>
      <w:r>
        <w:rPr/>
        <w:t>ocieplenie ścian w kontakcie z gruntem wraz z wykonaniem izolacji przeciwwilgociowych pionowych i poziomych,</w:t>
      </w:r>
    </w:p>
    <w:p>
      <w:pPr>
        <w:pStyle w:val="ListParagraph"/>
        <w:numPr>
          <w:ilvl w:val="0"/>
          <w:numId w:val="18"/>
        </w:numPr>
        <w:rPr/>
      </w:pPr>
      <w:r>
        <w:rPr/>
        <w:t>wykonanie odwodnienia terenu bezpośredni przylegającego do murów przyziemia,</w:t>
      </w:r>
    </w:p>
    <w:p>
      <w:pPr>
        <w:pStyle w:val="ListParagraph"/>
        <w:numPr>
          <w:ilvl w:val="0"/>
          <w:numId w:val="18"/>
        </w:numPr>
        <w:rPr/>
      </w:pPr>
      <w:r>
        <w:rPr/>
        <w:t>ocieplenie ścian wewnętrznych wydzielających schody i poddasze,</w:t>
      </w:r>
    </w:p>
    <w:p>
      <w:pPr>
        <w:pStyle w:val="ListParagraph"/>
        <w:numPr>
          <w:ilvl w:val="0"/>
          <w:numId w:val="18"/>
        </w:numPr>
        <w:rPr/>
      </w:pPr>
      <w:r>
        <w:rPr/>
        <w:t>ocieplenie stropu pod poddaszem nieużytkowym,</w:t>
      </w:r>
    </w:p>
    <w:p>
      <w:pPr>
        <w:pStyle w:val="ListParagraph"/>
        <w:numPr>
          <w:ilvl w:val="0"/>
          <w:numId w:val="18"/>
        </w:numPr>
        <w:rPr/>
      </w:pPr>
      <w:r>
        <w:rPr/>
        <w:t>ocieplenie tarasu,</w:t>
      </w:r>
    </w:p>
    <w:p>
      <w:pPr>
        <w:pStyle w:val="ListParagraph"/>
        <w:numPr>
          <w:ilvl w:val="0"/>
          <w:numId w:val="18"/>
        </w:numPr>
        <w:rPr/>
      </w:pPr>
      <w:r>
        <w:rPr/>
        <w:t>ocieplenie stropu podcienia wejścia głównego,</w:t>
      </w:r>
    </w:p>
    <w:p>
      <w:pPr>
        <w:pStyle w:val="ListParagraph"/>
        <w:numPr>
          <w:ilvl w:val="0"/>
          <w:numId w:val="18"/>
        </w:numPr>
        <w:rPr/>
      </w:pPr>
      <w:r>
        <w:rPr/>
        <w:t>ograniczenie napływu zimnego powietrza przez wejście główne – wydzielenie wiatrołapu,</w:t>
      </w:r>
    </w:p>
    <w:p>
      <w:pPr>
        <w:pStyle w:val="ListParagraph"/>
        <w:numPr>
          <w:ilvl w:val="0"/>
          <w:numId w:val="18"/>
        </w:numPr>
        <w:rPr/>
      </w:pPr>
      <w:r>
        <w:rPr/>
        <w:t>wymianę stolarki zewnętrznej,</w:t>
      </w:r>
    </w:p>
    <w:p>
      <w:pPr>
        <w:pStyle w:val="ListParagraph"/>
        <w:numPr>
          <w:ilvl w:val="0"/>
          <w:numId w:val="18"/>
        </w:numPr>
        <w:rPr/>
      </w:pPr>
      <w:r>
        <w:rPr/>
        <w:t>wymianę stolarki okiennej,</w:t>
      </w:r>
    </w:p>
    <w:p>
      <w:pPr>
        <w:pStyle w:val="ListParagraph"/>
        <w:numPr>
          <w:ilvl w:val="0"/>
          <w:numId w:val="18"/>
        </w:numPr>
        <w:rPr/>
      </w:pPr>
      <w:r>
        <w:rPr/>
        <w:t>remont konserwatorski elewacji wraz wykonaniem niezbędnych rozwiązań kompensacyjnych (ze względu na istniejące siedliska ptaków i nietoperzy),</w:t>
      </w:r>
    </w:p>
    <w:p>
      <w:pPr>
        <w:pStyle w:val="ListParagraph"/>
        <w:numPr>
          <w:ilvl w:val="0"/>
          <w:numId w:val="18"/>
        </w:numPr>
        <w:rPr/>
      </w:pPr>
      <w:r>
        <w:rPr/>
        <w:t>modernizację instalacji C.O wraz ze źródłem ciepła,</w:t>
      </w:r>
    </w:p>
    <w:p>
      <w:pPr>
        <w:pStyle w:val="ListParagraph"/>
        <w:numPr>
          <w:ilvl w:val="0"/>
          <w:numId w:val="18"/>
        </w:numPr>
        <w:rPr/>
      </w:pPr>
      <w:r>
        <w:rPr/>
        <w:t>wymiana instalacji elektrycznej,</w:t>
      </w:r>
    </w:p>
    <w:p>
      <w:pPr>
        <w:pStyle w:val="ListParagraph"/>
        <w:numPr>
          <w:ilvl w:val="0"/>
          <w:numId w:val="18"/>
        </w:numPr>
        <w:rPr/>
      </w:pPr>
      <w:r>
        <w:rPr/>
        <w:t>roboty odtworzeniowe i remontowe wewnątrz budynku w związku z modernizacją instalacji C.O. i elektrycznej – wykonanie nowych tynków wewnętrznych ścian zewnętrznych (w związku z wybranym systemem ogrzewania ściennego),</w:t>
      </w:r>
    </w:p>
    <w:p>
      <w:pPr>
        <w:pStyle w:val="ListParagraph"/>
        <w:numPr>
          <w:ilvl w:val="0"/>
          <w:numId w:val="18"/>
        </w:numPr>
        <w:rPr/>
      </w:pPr>
      <w:r>
        <w:rPr/>
        <w:t>budowa instalacji PV wraz z modułem demonstracyjnym.</w:t>
      </w:r>
    </w:p>
    <w:p>
      <w:pPr>
        <w:pStyle w:val="Nagwek3"/>
        <w:numPr>
          <w:ilvl w:val="2"/>
          <w:numId w:val="3"/>
        </w:numPr>
        <w:rPr/>
      </w:pPr>
      <w:bookmarkStart w:id="105" w:name="_Toc10627731"/>
      <w:bookmarkEnd w:id="105"/>
      <w:r>
        <w:rPr/>
        <w:t>Architektura i konstrukcja</w:t>
      </w:r>
    </w:p>
    <w:p>
      <w:pPr>
        <w:pStyle w:val="Normal"/>
        <w:rPr/>
      </w:pPr>
      <w:r>
        <w:rPr/>
        <w:t xml:space="preserve">Roboty budowlane w ramach branży architektura i konstrukcja obejmują roboty wskazane przez audyt energetyczny, roboty odtworzeniowe i roboty naprawce wynikające ze stanu technicznego obiektu. </w:t>
      </w:r>
    </w:p>
    <w:p>
      <w:pPr>
        <w:pStyle w:val="Nagwek4"/>
        <w:numPr>
          <w:ilvl w:val="3"/>
          <w:numId w:val="3"/>
        </w:numPr>
        <w:rPr/>
      </w:pPr>
      <w:r>
        <w:rPr/>
        <w:t>Projektowane ocieplenia</w:t>
      </w:r>
    </w:p>
    <w:p>
      <w:pPr>
        <w:pStyle w:val="Normal"/>
        <w:rPr/>
      </w:pPr>
      <w:r>
        <w:rPr/>
        <w:t>Zgodnie z przeprowadzonym na potrzeby termomodernizacji audytem i przyjętym w nim wariantem realizacyjny, należy zaprojektować i wykonać przebudowę ocieplenia fragmentów budynku, wg wykazu w punkcie 3.2.1. :</w:t>
      </w:r>
    </w:p>
    <w:p>
      <w:pPr>
        <w:pStyle w:val="ListParagraph"/>
        <w:numPr>
          <w:ilvl w:val="0"/>
          <w:numId w:val="18"/>
        </w:numPr>
        <w:rPr/>
      </w:pPr>
      <w:r>
        <w:rPr/>
        <w:t>ocieplenie ścian w kontakcie z gruntem wraz z wykonaniem izolacji przeciwwilgociowych pionowych i poziomych,</w:t>
      </w:r>
    </w:p>
    <w:p>
      <w:pPr>
        <w:pStyle w:val="ListParagraph"/>
        <w:numPr>
          <w:ilvl w:val="0"/>
          <w:numId w:val="18"/>
        </w:numPr>
        <w:rPr/>
      </w:pPr>
      <w:r>
        <w:rPr/>
        <w:t>ocieplenie ścian wewnętrznych wydzielających schody i poddasze,</w:t>
      </w:r>
    </w:p>
    <w:p>
      <w:pPr>
        <w:pStyle w:val="ListParagraph"/>
        <w:numPr>
          <w:ilvl w:val="0"/>
          <w:numId w:val="18"/>
        </w:numPr>
        <w:rPr/>
      </w:pPr>
      <w:r>
        <w:rPr/>
        <w:t>ocieplenie stropu pod poddaszem nieużytkowym,</w:t>
      </w:r>
    </w:p>
    <w:p>
      <w:pPr>
        <w:pStyle w:val="ListParagraph"/>
        <w:numPr>
          <w:ilvl w:val="0"/>
          <w:numId w:val="18"/>
        </w:numPr>
        <w:rPr/>
      </w:pPr>
      <w:r>
        <w:rPr/>
        <w:t>ocieplenie tarasu,</w:t>
      </w:r>
    </w:p>
    <w:p>
      <w:pPr>
        <w:pStyle w:val="ListParagraph"/>
        <w:numPr>
          <w:ilvl w:val="0"/>
          <w:numId w:val="18"/>
        </w:numPr>
        <w:rPr/>
      </w:pPr>
      <w:r>
        <w:rPr/>
        <w:t>ocieplenie stropu podcienia wejścia głównego,</w:t>
      </w:r>
    </w:p>
    <w:p>
      <w:pPr>
        <w:pStyle w:val="Normal"/>
        <w:rPr/>
      </w:pPr>
      <w:r>
        <w:rPr/>
        <w:t>Szczegółowe wymagania dla poszczególnych ociepleń zostały opisane poniżej.</w:t>
      </w:r>
    </w:p>
    <w:p>
      <w:pPr>
        <w:pStyle w:val="Normal"/>
        <w:rPr>
          <w:b/>
          <w:b/>
          <w:u w:val="single"/>
        </w:rPr>
      </w:pPr>
      <w:r>
        <w:rPr>
          <w:b/>
          <w:u w:val="single"/>
        </w:rPr>
        <w:t>Ocieplenie ścianki wewnętrznej wydzielającej klatkę schodową</w:t>
      </w:r>
    </w:p>
    <w:p>
      <w:pPr>
        <w:pStyle w:val="Normal"/>
        <w:rPr/>
      </w:pPr>
      <w:r>
        <w:rPr/>
        <w:t>Należy zaprojektować i wykonać przebudowę ścianki wydzielającej schody na poddasze (powierzchnia przebudowy ścianki wg audytu ok. 16,95m</w:t>
      </w:r>
      <w:r>
        <w:rPr>
          <w:vertAlign w:val="superscript"/>
        </w:rPr>
        <w:t>2</w:t>
      </w:r>
      <w:r>
        <w:rPr/>
        <w:t>), jako obudowę w lekkiej konstrukcji z wypełnieniem wełną mineralną i okładzinami z płyt gipsowo-kartonowych. Ścianka musi spełniać wymagania wynikające z ochrony przeciwpożarowej, tj. zapewniać wydzielenie min. EI30, z tego względu należy stosować kompletne rozwiązania systemowe, dopuszczone jako zestaw wyrobów i posiadające udokumentowane właściwości ogniochronne i ognioodporne. W związku z powyższym należy m.in. zastosować płyty ogniochronne DF. Ze względu na grubość wymaganej wg audytu grubość warstwy izolacyjnej (18cm), należy zastosować konstrukcję z podwójnych profili. Przewodność cieplna wełny mineralnej nie może być większa niż 0,033W/(mK), a całkowity współczynnik przenikania ciepła przegrody po przebudowie nie może być wyższy niż 0,20W/(m</w:t>
      </w:r>
      <w:r>
        <w:rPr>
          <w:vertAlign w:val="superscript"/>
        </w:rPr>
        <w:t>2</w:t>
      </w:r>
      <w:r>
        <w:rPr/>
        <w:t xml:space="preserve">K). </w:t>
      </w:r>
    </w:p>
    <w:p>
      <w:pPr>
        <w:pStyle w:val="Normal"/>
        <w:rPr/>
      </w:pPr>
      <w:r>
        <w:rPr/>
        <w:t>Uwaga: w celu zapewnienia odpowiedniej klasy odporności ogniowej elementu należy wykonać go zgodnie z rozwiązaniami i szczegółami zalecanymi przez wybranego na etapie wykonania producenta i dokumentem dopuszczającym wyrobu i potwierdzającym jego właściwości ogniochronne i ognioodporne.</w:t>
      </w:r>
    </w:p>
    <w:p>
      <w:pPr>
        <w:pStyle w:val="Normal"/>
        <w:rPr>
          <w:b/>
          <w:b/>
        </w:rPr>
      </w:pPr>
      <w:r>
        <w:rPr>
          <w:b/>
        </w:rPr>
        <w:t>Ocieplenie stropu pod poddaszem nieużytkowym</w:t>
      </w:r>
    </w:p>
    <w:p>
      <w:pPr>
        <w:pStyle w:val="Normal"/>
        <w:rPr/>
      </w:pPr>
      <w:r>
        <w:rPr/>
        <w:t>Ze względu na brak użytkowania pomieszczeń poddasza – poddasze nieużytkowe, należy wykonać docieplenie pomiędzy kondygnacjami ogrzewanymi a nieogrzewanymi w obiekcie. W związku z powyższym należy ocieplić ok. 514m</w:t>
      </w:r>
      <w:r>
        <w:rPr>
          <w:vertAlign w:val="superscript"/>
        </w:rPr>
        <w:t>2</w:t>
      </w:r>
      <w:r>
        <w:rPr/>
        <w:t xml:space="preserve"> stropu pod poddaszem nieużytkowym do osiągnięcia współczynnik przenikania ciepła przegrody nie wyższego niż 0,15W/(m</w:t>
      </w:r>
      <w:r>
        <w:rPr>
          <w:vertAlign w:val="superscript"/>
        </w:rPr>
        <w:t>2</w:t>
      </w:r>
      <w:r>
        <w:rPr/>
        <w:t>K). Docieplenie należy wykonać za pomocą warstwy wełny mineralnej o grubości 22cm i przewodności cieplnej nie gorszej niż 0,035W/(mK).</w:t>
      </w:r>
    </w:p>
    <w:p>
      <w:pPr>
        <w:pStyle w:val="Normal"/>
        <w:rPr/>
      </w:pPr>
      <w:r>
        <w:rPr/>
        <w:t>Warstwę docieplenia należy ułożyć na powierzchni stropu, zabezpieczyć membraną wiatroszczelną, wysoko paroprzepuszczalną. Przed wykonaniem docieplenia w razie konieczności należy przeprowadzić wszelkie prace konserwacyjne, naprawcze i wzmacniające konstrukcję stropu i więźby dachowej, w tym zabezpieczenie p.poż. Dodatkowo w celu konserwacji i serwisowania urządzeń, instalacji i konstrukcji należy zaprojektować i wykonać pomosty komunikacyjne.</w:t>
      </w:r>
    </w:p>
    <w:p>
      <w:pPr>
        <w:pStyle w:val="Normal"/>
        <w:rPr>
          <w:b/>
          <w:b/>
        </w:rPr>
      </w:pPr>
      <w:r>
        <w:rPr>
          <w:b/>
        </w:rPr>
        <w:t>Ocieplenie tarasu</w:t>
      </w:r>
    </w:p>
    <w:p>
      <w:pPr>
        <w:pStyle w:val="Normal"/>
        <w:rPr/>
      </w:pPr>
      <w:r>
        <w:rPr/>
        <w:t>W ramach planowanych ulepszeń termomodernizacyjnych należy zaprojektować i wykonać ocieplenie tarasu nad salą gimnastyczną o powierzchni łącznej docieplenia wg audytu ok. 30,20m</w:t>
      </w:r>
      <w:r>
        <w:rPr>
          <w:vertAlign w:val="superscript"/>
        </w:rPr>
        <w:t>2</w:t>
      </w:r>
      <w:r>
        <w:rPr/>
        <w:t xml:space="preserve">. W ramach audytu przyjęte zostało wariantowe rozwiązanie sposobu docieplenia tarasu – w zależności od wyników odkrywek przeprowadzonych na miejscu. Jako wariant podstawowy przewidziano docieplenie tarasu od zewnątrz płytami fenolowymi grubości 13cm i o  przewodności cieplnej nie gorszej niż 0,021W/(mK). W przypadku stwierdzenia braku możliwości prawidłowego wykonania ww. wariantu usprawnienia, dopuszcza się częściowe wykonanie ww. ocieplenia od wewnątrz.  W takim przypadku należy wykonać warstwę izolacji termicznej o brakującej grubości (względem przyjętej w audycie całkowitej grubości docieplenia) od wewnątrz, na powierzchni sufitu w ryzalicie sali gimnastycznej. </w:t>
      </w:r>
    </w:p>
    <w:p>
      <w:pPr>
        <w:pStyle w:val="Normal"/>
        <w:rPr/>
      </w:pPr>
      <w:r>
        <w:rPr/>
        <w:t>W celu wykonania usprawnienia należy rozebrać istniejące warstwy tarasu, wykonać nowe warstwy izolacji przeciwwilgociowych, wykonać izolacje termiczną z płyt fenolowych, ukształtować spadki i warstwy wykończeniowe pozwalające na użytkowanie tarasu.</w:t>
      </w:r>
    </w:p>
    <w:p>
      <w:pPr>
        <w:pStyle w:val="Normal"/>
        <w:rPr>
          <w:b/>
          <w:b/>
        </w:rPr>
      </w:pPr>
      <w:r>
        <w:rPr>
          <w:b/>
        </w:rPr>
        <w:t>Ocieplenie stropu podcienia wejścia głównego</w:t>
      </w:r>
    </w:p>
    <w:p>
      <w:pPr>
        <w:pStyle w:val="Normal"/>
        <w:rPr/>
      </w:pPr>
      <w:r>
        <w:rPr/>
        <w:t>W obrębie podcienia wejścia głównego należy wykonać ocieplenie stropu od zewnątrz metodą lekką mokrą o łącznej powierzchni wg audytu wynoszącej ok. 13,18m</w:t>
      </w:r>
      <w:r>
        <w:rPr>
          <w:vertAlign w:val="superscript"/>
        </w:rPr>
        <w:t>2</w:t>
      </w:r>
      <w:r>
        <w:rPr/>
        <w:t xml:space="preserve">.  Do wykonania ww. ocieplenia należy zastosować styropian fasadowy o grubości 15cm i przewodności cieplnej nie gorszej niż 0,033W/(mK). Ocieplenie należy wykonać poza na całości pola podcienia – poza belkowaniem wspartym na kolumnach. </w:t>
      </w:r>
    </w:p>
    <w:p>
      <w:pPr>
        <w:pStyle w:val="Normal"/>
        <w:rPr>
          <w:b/>
          <w:b/>
        </w:rPr>
      </w:pPr>
      <w:r>
        <w:rPr>
          <w:b/>
        </w:rPr>
        <w:t>Ocieplenie ścian w kontakcie z gruntem wraz z wykonaniem izolacji przeciwwilgociowych pionowych i poziomych</w:t>
      </w:r>
    </w:p>
    <w:p>
      <w:pPr>
        <w:pStyle w:val="Normal"/>
        <w:rPr/>
      </w:pPr>
      <w:r>
        <w:rPr/>
        <w:t xml:space="preserve">W związku z planowaną termomodernizacją oraz stanem technicznym obiektu dla ścian i murów w kontakcie z gruntem należy wykonać osuszenie, zaizolowanie – poziome (metodą iniekcji krystalicznej) i pionowe, z zabezpieczeniem górnej powierzchni izolacji. </w:t>
      </w:r>
    </w:p>
    <w:p>
      <w:pPr>
        <w:pStyle w:val="Normal"/>
        <w:rPr/>
      </w:pPr>
      <w:r>
        <w:rPr/>
        <w:t>Dodatkowo:</w:t>
      </w:r>
    </w:p>
    <w:p>
      <w:pPr>
        <w:pStyle w:val="ListParagraph"/>
        <w:numPr>
          <w:ilvl w:val="0"/>
          <w:numId w:val="39"/>
        </w:numPr>
        <w:rPr/>
      </w:pPr>
      <w:r>
        <w:rPr/>
        <w:t xml:space="preserve">przed wykonaniem powyższych izolacji należy ocenić konieczność odsolenia i odgrzybienia ścian, posadzek piwnicy i stropów nad piwnicą. W tym celu należy wykonać badania konserwatorskie, przynajmniej w zakresie wskazanym w punkcie. </w:t>
      </w:r>
    </w:p>
    <w:p>
      <w:pPr>
        <w:pStyle w:val="ListParagraph"/>
        <w:numPr>
          <w:ilvl w:val="0"/>
          <w:numId w:val="39"/>
        </w:numPr>
        <w:rPr/>
      </w:pPr>
      <w:r>
        <w:rPr/>
        <w:t>Wykonanie tynków wewnętrznych zakłada się jako tynków renowacyjnych</w:t>
      </w:r>
    </w:p>
    <w:p>
      <w:pPr>
        <w:pStyle w:val="ListParagraph"/>
        <w:numPr>
          <w:ilvl w:val="0"/>
          <w:numId w:val="39"/>
        </w:numPr>
        <w:rPr/>
      </w:pPr>
      <w:r>
        <w:rPr/>
        <w:t>Wybór tynków wewnętrznych należy skoordynować i dopasować do dobranego na etapie audytu systemu ogrzewania obiektu</w:t>
      </w:r>
    </w:p>
    <w:p>
      <w:pPr>
        <w:pStyle w:val="ListParagraph"/>
        <w:numPr>
          <w:ilvl w:val="0"/>
          <w:numId w:val="39"/>
        </w:numPr>
        <w:rPr/>
      </w:pPr>
      <w:r>
        <w:rPr/>
        <w:t xml:space="preserve"> </w:t>
      </w:r>
      <w:r>
        <w:rPr/>
        <w:t>Wykonanie czynności związanych z osuszaniem, izolacją ścian należy skoordynować z pozostałymi pracami w obrębie piwnic</w:t>
      </w:r>
    </w:p>
    <w:p>
      <w:pPr>
        <w:pStyle w:val="ListParagraph"/>
        <w:numPr>
          <w:ilvl w:val="0"/>
          <w:numId w:val="39"/>
        </w:numPr>
        <w:rPr/>
      </w:pPr>
      <w:r>
        <w:rPr/>
        <w:t>Należy wykonać izolację zewnętrzną ww. ścian – za pomocą mas bitumicznych lub dwóch papy.</w:t>
      </w:r>
    </w:p>
    <w:p>
      <w:pPr>
        <w:pStyle w:val="ListParagraph"/>
        <w:numPr>
          <w:ilvl w:val="0"/>
          <w:numId w:val="39"/>
        </w:numPr>
        <w:rPr/>
      </w:pPr>
      <w:r>
        <w:rPr/>
        <w:t>Wraz z ociepleniem ścian piwnic należy wykonać drenaż opaskowy oraz odtworzenie nawierzchni opaski wokół budynku.</w:t>
      </w:r>
    </w:p>
    <w:p>
      <w:pPr>
        <w:pStyle w:val="Nagwek4"/>
        <w:numPr>
          <w:ilvl w:val="3"/>
          <w:numId w:val="3"/>
        </w:numPr>
        <w:rPr/>
      </w:pPr>
      <w:r>
        <w:rPr/>
        <w:t>Ograniczenie napływu zimnego powietrza przez wejście główne</w:t>
      </w:r>
    </w:p>
    <w:p>
      <w:pPr>
        <w:pStyle w:val="Normal"/>
        <w:rPr/>
      </w:pPr>
      <w:r>
        <w:rPr/>
        <w:t xml:space="preserve">W g audytu energetycznego, usprawnienie polega na wprowadzeniu pod płytę spocznika głównej klatki schodowej ścianki szklanej - ślusarki o podwyższonej odporności na obciążenie ruchem, która wydzieli wiatrołap, oraz wprowadzenie przepon pomiędzy krawędzią spocznika oraz elementami otworowymi i/lub ścianami. </w:t>
      </w:r>
    </w:p>
    <w:p>
      <w:pPr>
        <w:pStyle w:val="Normal"/>
        <w:rPr/>
      </w:pPr>
      <w:r>
        <w:rPr/>
        <w:t>Zgodnie z informacją podaną w ww. audycie kubatura hall w stanie istniejącym wynosi ok. 260 m</w:t>
      </w:r>
      <w:r>
        <w:rPr>
          <w:vertAlign w:val="superscript"/>
        </w:rPr>
        <w:t>3</w:t>
      </w:r>
      <w:r>
        <w:rPr/>
        <w:t>, wprowadzenie ścianki spowoduje wydzielenie wiatrołapu o kubaturze 14,6 m</w:t>
      </w:r>
      <w:r>
        <w:rPr>
          <w:vertAlign w:val="superscript"/>
        </w:rPr>
        <w:t>3</w:t>
      </w:r>
      <w:r>
        <w:rPr/>
        <w:t>.</w:t>
      </w:r>
    </w:p>
    <w:p>
      <w:pPr>
        <w:pStyle w:val="Normal"/>
        <w:rPr/>
      </w:pPr>
      <w:r>
        <w:rPr/>
        <w:t>W związku z ogrzewaniem płaszczyznowym zaprojektowanym wg ww. audytu na pełnym obwodzie ścian zewnętrznych, pomieszczenie wiatrołapu będzie pomieszczeniem ogrzewanym.</w:t>
      </w:r>
    </w:p>
    <w:p>
      <w:pPr>
        <w:pStyle w:val="Normal"/>
        <w:rPr/>
      </w:pPr>
      <w:r>
        <w:rPr/>
        <w:t>Wymagania związane z wydzieleniem wiatrołapu i projektowaną stolarką:</w:t>
      </w:r>
    </w:p>
    <w:p>
      <w:pPr>
        <w:pStyle w:val="ListParagraph"/>
        <w:numPr>
          <w:ilvl w:val="0"/>
          <w:numId w:val="51"/>
        </w:numPr>
        <w:rPr/>
      </w:pPr>
      <w:r>
        <w:rPr/>
        <w:t>Szerokość i głębokość wiatrołapu nie mniejsza niż:</w:t>
      </w:r>
    </w:p>
    <w:p>
      <w:pPr>
        <w:pStyle w:val="ListParagraph"/>
        <w:numPr>
          <w:ilvl w:val="1"/>
          <w:numId w:val="51"/>
        </w:numPr>
        <w:rPr/>
      </w:pPr>
      <w:r>
        <w:rPr/>
        <w:t xml:space="preserve"> </w:t>
      </w:r>
      <w:r>
        <w:rPr/>
        <w:t>140cm, przy czym wszelkiego rodzaju stolarka nie może przewężać dróg ewakuacyjnych,</w:t>
      </w:r>
    </w:p>
    <w:p>
      <w:pPr>
        <w:pStyle w:val="ListParagraph"/>
        <w:numPr>
          <w:ilvl w:val="1"/>
          <w:numId w:val="51"/>
        </w:numPr>
        <w:rPr/>
      </w:pPr>
      <w:r>
        <w:rPr/>
        <w:t>Kubatura docelowa: ok. 14,6m</w:t>
      </w:r>
      <w:r>
        <w:rPr>
          <w:vertAlign w:val="superscript"/>
        </w:rPr>
        <w:t>3</w:t>
      </w:r>
      <w:r>
        <w:rPr/>
        <w:t>,</w:t>
      </w:r>
    </w:p>
    <w:p>
      <w:pPr>
        <w:pStyle w:val="ListParagraph"/>
        <w:numPr>
          <w:ilvl w:val="0"/>
          <w:numId w:val="51"/>
        </w:numPr>
        <w:rPr/>
      </w:pPr>
      <w:r>
        <w:rPr/>
        <w:t xml:space="preserve">Wymagania dla ślusarki: </w:t>
      </w:r>
    </w:p>
    <w:p>
      <w:pPr>
        <w:pStyle w:val="ListParagraph"/>
        <w:numPr>
          <w:ilvl w:val="1"/>
          <w:numId w:val="51"/>
        </w:numPr>
        <w:rPr/>
      </w:pPr>
      <w:r>
        <w:rPr/>
        <w:t>szerokość drzwi w przejściu (szerokość drzwi w pozycji otwartej do 90 stopni) nie mniejsza niż szerokość biegu schodowego służącego do ewakuacji,</w:t>
      </w:r>
    </w:p>
    <w:p>
      <w:pPr>
        <w:pStyle w:val="ListParagraph"/>
        <w:numPr>
          <w:ilvl w:val="1"/>
          <w:numId w:val="51"/>
        </w:numPr>
        <w:rPr/>
      </w:pPr>
      <w:r>
        <w:rPr/>
        <w:t>drzwi dwuskrzydłowe, przy czym skrzydło główne o szerokości w drzwi w przejściu (jw.) nie mniejsza niż 90,0cm,</w:t>
      </w:r>
    </w:p>
    <w:p>
      <w:pPr>
        <w:pStyle w:val="ListParagraph"/>
        <w:numPr>
          <w:ilvl w:val="1"/>
          <w:numId w:val="51"/>
        </w:numPr>
        <w:rPr/>
      </w:pPr>
      <w:r>
        <w:rPr/>
        <w:t>wysokość w świetle ościeżnicy min. 200cm,</w:t>
      </w:r>
    </w:p>
    <w:p>
      <w:pPr>
        <w:pStyle w:val="ListParagraph"/>
        <w:numPr>
          <w:ilvl w:val="1"/>
          <w:numId w:val="51"/>
        </w:numPr>
        <w:rPr/>
      </w:pPr>
      <w:r>
        <w:rPr/>
        <w:t>brak progu,</w:t>
      </w:r>
    </w:p>
    <w:p>
      <w:pPr>
        <w:pStyle w:val="ListParagraph"/>
        <w:numPr>
          <w:ilvl w:val="1"/>
          <w:numId w:val="51"/>
        </w:numPr>
        <w:rPr/>
      </w:pPr>
      <w:r>
        <w:rPr/>
        <w:t>ślusarka otwierana na zewnątrz – w kierunku ewakuacji,</w:t>
      </w:r>
    </w:p>
    <w:p>
      <w:pPr>
        <w:pStyle w:val="ListParagraph"/>
        <w:numPr>
          <w:ilvl w:val="1"/>
          <w:numId w:val="51"/>
        </w:numPr>
        <w:rPr/>
      </w:pPr>
      <w:r>
        <w:rPr/>
        <w:t>ślusarka wyposażona w samozamykacze,</w:t>
      </w:r>
    </w:p>
    <w:p>
      <w:pPr>
        <w:pStyle w:val="ListParagraph"/>
        <w:numPr>
          <w:ilvl w:val="1"/>
          <w:numId w:val="51"/>
        </w:numPr>
        <w:rPr/>
      </w:pPr>
      <w:r>
        <w:rPr/>
        <w:t>wypełnienie: zestawy szybowe ze szkła bezpiecznego, np. klejone folią PVB; w przypadku przezroczystych tafli szklanych należy je oznakować białymi poprzecznymi pasami,</w:t>
      </w:r>
    </w:p>
    <w:p>
      <w:pPr>
        <w:pStyle w:val="ListParagraph"/>
        <w:numPr>
          <w:ilvl w:val="1"/>
          <w:numId w:val="51"/>
        </w:numPr>
        <w:rPr/>
      </w:pPr>
      <w:r>
        <w:rPr/>
        <w:t>rama: jak najmniej widoczna, ślusarka stalowa lub aluminiowa,</w:t>
      </w:r>
    </w:p>
    <w:p>
      <w:pPr>
        <w:pStyle w:val="ListParagraph"/>
        <w:numPr>
          <w:ilvl w:val="1"/>
          <w:numId w:val="51"/>
        </w:numPr>
        <w:rPr/>
      </w:pPr>
      <w:r>
        <w:rPr/>
        <w:t>estetyka: kolorystykę należy uzgodnić z Zamawiającym na etapie przygotowania dokumentacji projektowej,</w:t>
      </w:r>
    </w:p>
    <w:p>
      <w:pPr>
        <w:pStyle w:val="ListParagraph"/>
        <w:numPr>
          <w:ilvl w:val="1"/>
          <w:numId w:val="51"/>
        </w:numPr>
        <w:rPr/>
      </w:pPr>
      <w:r>
        <w:rPr/>
        <w:t>ślusarka obiektowa, III klasa mechaniczna,</w:t>
      </w:r>
    </w:p>
    <w:p>
      <w:pPr>
        <w:pStyle w:val="ListParagraph"/>
        <w:numPr>
          <w:ilvl w:val="1"/>
          <w:numId w:val="51"/>
        </w:numPr>
        <w:rPr/>
      </w:pPr>
      <w:r>
        <w:rPr/>
        <w:t>Wyposażenie: okucia, samozamykacz.</w:t>
      </w:r>
    </w:p>
    <w:p>
      <w:pPr>
        <w:pStyle w:val="Normal"/>
        <w:rPr/>
      </w:pPr>
      <w:r>
        <w:rPr/>
        <w:t xml:space="preserve">Wszystkie okucia i urządzenia dodatkowe powinny funkcjonować zgodnie ze swoim przeznaczeniem w sposób przewidziany przez instrukcję obsługi drzwi. </w:t>
      </w:r>
    </w:p>
    <w:p>
      <w:pPr>
        <w:pStyle w:val="Nagwek4"/>
        <w:numPr>
          <w:ilvl w:val="3"/>
          <w:numId w:val="3"/>
        </w:numPr>
        <w:rPr/>
      </w:pPr>
      <w:r>
        <w:rPr/>
        <w:t>Wymiana stolarki zewnętrznej</w:t>
      </w:r>
    </w:p>
    <w:p>
      <w:pPr>
        <w:pStyle w:val="Normal"/>
        <w:rPr/>
      </w:pPr>
      <w:r>
        <w:rPr/>
        <w:t xml:space="preserve">Wymiana stolarki obejmuje: </w:t>
      </w:r>
    </w:p>
    <w:p>
      <w:pPr>
        <w:pStyle w:val="ListParagraph"/>
        <w:numPr>
          <w:ilvl w:val="0"/>
          <w:numId w:val="38"/>
        </w:numPr>
        <w:rPr/>
      </w:pPr>
      <w:r>
        <w:rPr/>
        <w:t>Demontaż istniejącej stolarki drzwiowej zewnętrznej,</w:t>
      </w:r>
    </w:p>
    <w:p>
      <w:pPr>
        <w:pStyle w:val="ListParagraph"/>
        <w:numPr>
          <w:ilvl w:val="0"/>
          <w:numId w:val="38"/>
        </w:numPr>
        <w:rPr/>
      </w:pPr>
      <w:r>
        <w:rPr/>
        <w:t>Demontaż istniejącej stolarki okiennej,</w:t>
      </w:r>
    </w:p>
    <w:p>
      <w:pPr>
        <w:pStyle w:val="ListParagraph"/>
        <w:numPr>
          <w:ilvl w:val="0"/>
          <w:numId w:val="38"/>
        </w:numPr>
        <w:rPr/>
      </w:pPr>
      <w:r>
        <w:rPr/>
        <w:t>Montaż nowej stolarki okiennej (odwzorowującej stolarkę zdemontowaną),</w:t>
      </w:r>
    </w:p>
    <w:p>
      <w:pPr>
        <w:pStyle w:val="ListParagraph"/>
        <w:numPr>
          <w:ilvl w:val="0"/>
          <w:numId w:val="38"/>
        </w:numPr>
        <w:rPr/>
      </w:pPr>
      <w:r>
        <w:rPr/>
        <w:t>Montaż nowej stolarki drzwiowej (odwzorowującej stolarkę zdemontowaną).</w:t>
      </w:r>
    </w:p>
    <w:p>
      <w:pPr>
        <w:pStyle w:val="Normal"/>
        <w:rPr>
          <w:b/>
          <w:b/>
        </w:rPr>
      </w:pPr>
      <w:r>
        <w:rPr>
          <w:b/>
        </w:rPr>
        <w:t>Wymiana stolarki okiennej</w:t>
      </w:r>
    </w:p>
    <w:p>
      <w:pPr>
        <w:pStyle w:val="Normal"/>
        <w:rPr/>
      </w:pPr>
      <w:r>
        <w:rPr/>
        <w:t>Należy zaprojektować i wykonać wyminę istniejącej zdegradowanej stolarki okiennej (łączna powierzchnia wymiany okien wg audytu energetycznego: ok. 204,52m</w:t>
      </w:r>
      <w:r>
        <w:rPr>
          <w:vertAlign w:val="superscript"/>
        </w:rPr>
        <w:t>2</w:t>
      </w:r>
      <w:r>
        <w:rPr/>
        <w:t>, nową stolarkę okienną o współczynniku przenikania ciepła całego wyrobu nie większym niż 0,9W/(m</w:t>
      </w:r>
      <w:r>
        <w:rPr>
          <w:vertAlign w:val="superscript"/>
        </w:rPr>
        <w:t>2</w:t>
      </w:r>
      <w:r>
        <w:rPr/>
        <w:t>K). Nowe okna muszą odzwierciedlać pierwotny układ i podziały okien wymienianych oraz posiadać konstrukcję wykonaną z tego samego materiału - drewna. Nowe okna należy wykonać w oparciu o szczegółową inwentaryzację istniejącej stolarki okiennej. Na tej podstawie należy zaprojektować i wykonać nowe podwójne okna drewniane z szybą zespoloną. Należy przewidzieć montaż ww. okien w grubości muru powielający dawny układ skrzynkowy, oraz zapewnić wykonanie płycin bocznych pomiędzy poszczególnymi oknami, pod płycinami wprowadzić pasy materiału o podwyższonej izolacyjności termicznej. W oknach należy zamontować nawiewniki, zgodnie z wymaganiami obowiązujących przepisów.</w:t>
      </w:r>
    </w:p>
    <w:p>
      <w:pPr>
        <w:pStyle w:val="Normal"/>
        <w:rPr/>
      </w:pPr>
      <w:r>
        <w:rPr/>
        <w:t>Ponadto, na etapie inwentaryzacji należy przy tym szczegółowo zbadać i przeanalizować, które okna są oryginalne, a które wymienione, w związku z widocznymi w elewacjach budynku powiększonymi otworami okiennymi (odcinki usuniętych gzymsów nad oknami). W przypadku ww. nawarstwień (okna o wymiarze zmienionym do pierwotnego, mające negatywny wpływ na kompozycję elewacji i elementów dekoracyjnych) zakłada się usunięcie nawarstwień i odtworzenie okien w wymiarze pierwotnym. W związku z powyższym oraz planowanym remontem elewacji, w tym odtworzeniem zniszczonego detalu elewacji i koniecznością wzmocnienia części elementów konstrukcyjnych zakłada się wykonanie nowych nadproży stalowych oraz odtworzenie wybrakowanego detalu architektonicznego.</w:t>
      </w:r>
    </w:p>
    <w:p>
      <w:pPr>
        <w:pStyle w:val="Normal"/>
        <w:rPr>
          <w:b/>
          <w:b/>
        </w:rPr>
      </w:pPr>
      <w:r>
        <w:rPr>
          <w:b/>
        </w:rPr>
        <w:t>Wymiana stolarki zewnętrznej</w:t>
      </w:r>
    </w:p>
    <w:p>
      <w:pPr>
        <w:pStyle w:val="Normal"/>
        <w:rPr/>
      </w:pPr>
      <w:r>
        <w:rPr/>
        <w:t>Należy zaprojektować i wykonać wymianę stolarki zewnętrznej płycinowej o powierzchni łącznej wymiany ok. 4,82m</w:t>
      </w:r>
      <w:r>
        <w:rPr>
          <w:vertAlign w:val="superscript"/>
        </w:rPr>
        <w:t>2</w:t>
      </w:r>
      <w:r>
        <w:rPr/>
        <w:t>, na nową stolarkę drzwiową zewnętrzną spełanijącą wymagania przepisów techniczno-budowlanych na 2021r., tzn. o współczynniku przenikania ciepła kompletnego wyrobu nie większym niż 1,30W/(m</w:t>
      </w:r>
      <w:r>
        <w:rPr>
          <w:vertAlign w:val="superscript"/>
        </w:rPr>
        <w:t>2</w:t>
      </w:r>
      <w:r>
        <w:rPr/>
        <w:t>K). Analogicznie jak dla stolarki okiennej, należy zinwentaryzować stolarkę drzwiową zewnętrzną obiektu z określeniem na podstawie badań i oględzin oryginalności stolarki. Nowe, termoizolacyjne drzwi zewnętrzne należy zaprojektować i wykonać z odtworzeniem detalu i kolorystyki ww. drzwi oryginalnych. W miejsce nawarstwień (drzwi bez wartości historycznej), należy wykonać nowe drzwi spójne z drzwiami stanowiącymi odtworzenie drzwi oryginalnych.</w:t>
      </w:r>
    </w:p>
    <w:p>
      <w:pPr>
        <w:pStyle w:val="Normal"/>
        <w:rPr>
          <w:b/>
          <w:b/>
        </w:rPr>
      </w:pPr>
      <w:r>
        <w:rPr>
          <w:b/>
        </w:rPr>
        <w:t>Dodatkowe wymagania</w:t>
      </w:r>
    </w:p>
    <w:p>
      <w:pPr>
        <w:pStyle w:val="Normal"/>
        <w:rPr/>
      </w:pPr>
      <w:r>
        <w:rPr/>
        <w:t>Zarówno stolarka drzwiowa jak i okienna musi posiadać podwyższoną odporność na włamanie, min klasę RC 3. Stolarka drzwiowa nie może posiadać progów większych niż 0,02m. Wymiary stolarki drzwiowej powinny spełniać wymagania obowiązującego prawa – ze względu na historyczny charakter dopuszcza się pozostawienie drzwi o innych niż wymagane wymiarach, po uzgodnieniu z rzeczoznawcą p.poż. i ds. higieniczno-sanitarnych oraz w porozumieniu z Wojewódzkim Konserwatorem Zabytków i w miarę potrzeb uzyskaniu niezbędnych odstępstw od przepisów.</w:t>
      </w:r>
    </w:p>
    <w:p>
      <w:pPr>
        <w:pStyle w:val="Nagwek4"/>
        <w:numPr>
          <w:ilvl w:val="3"/>
          <w:numId w:val="3"/>
        </w:numPr>
        <w:rPr/>
      </w:pPr>
      <w:r>
        <w:rPr/>
        <w:t>Roboty odtworzeniowe</w:t>
      </w:r>
    </w:p>
    <w:p>
      <w:pPr>
        <w:pStyle w:val="Normal"/>
        <w:rPr/>
      </w:pPr>
      <w:r>
        <w:rPr/>
        <w:t>W związku z zakresem prac instalacyjnych – wymianą instalacji elektrycznych oraz modernizacją instalacji ogrzewania, niezbędne jest usunięcie wszystkich warstw tynków wewnętrznych oraz następnie wykonanie nowych warstw tynków, gładzi i przeprowadzenie prac malarskich.</w:t>
      </w:r>
    </w:p>
    <w:p>
      <w:pPr>
        <w:pStyle w:val="Normal"/>
        <w:rPr/>
      </w:pPr>
      <w:r>
        <w:rPr/>
        <w:t xml:space="preserve">Rodzaj tynków należy zweryfikować po przeprowadzeniu badań konserwatorskich i architektonicznych – wstępnie zakłada się wykonanie tynków cementowo-wapiennych (jedno lub dwuwarstwowych) z dodatkową warstwą gładzi. </w:t>
      </w:r>
    </w:p>
    <w:p>
      <w:pPr>
        <w:pStyle w:val="Normal"/>
        <w:rPr/>
      </w:pPr>
      <w:r>
        <w:rPr/>
        <w:t xml:space="preserve">W związku ze stanem murów piwnic (zawilgocenie i korozja biologiczna), nowe tynki w kondygnacji piwnicy można wykonać dopiero po przeprowadzeniu osuszenia ścian. Tynki należy dostosować do rodzaju pomieszczeń oraz instalacji płaszczyznowego ogrzewania ścian – ze względu na ww. instalację nie zakłada się wykonania tynków renowacyjnych. </w:t>
      </w:r>
    </w:p>
    <w:p>
      <w:pPr>
        <w:pStyle w:val="Normal"/>
        <w:rPr/>
      </w:pPr>
      <w:r>
        <w:rPr/>
        <w:t>Nowe tynki należy wykonać na wszystkich ścianach wewnętrznych. Należy odtworzyć okładziny i malowanie ścian. Do prac malarskich należy zastosować farby obiektowe – o podwyższonej odporności na uderzenia, zarysowania i ścieranie, a także odporne na zmywanie i szorowanie. W pomieszczeniach posiadających okładziny ceramiczne (w szczególności pomieszczeniach wilgotnych należy odtworzyć – wykonać z nowych materiałów) te okładziny. Ewentualne zmiany w rodzaju wykończenia ścian należy uzgodnić z Zamawiającym i Użytkownikiem na etapie wykonania dokumentacji projektowej.</w:t>
      </w:r>
    </w:p>
    <w:p>
      <w:pPr>
        <w:pStyle w:val="Nagwek5"/>
        <w:numPr>
          <w:ilvl w:val="4"/>
          <w:numId w:val="3"/>
        </w:numPr>
        <w:rPr/>
      </w:pPr>
      <w:r>
        <w:rPr/>
        <w:t>ściany</w:t>
      </w:r>
    </w:p>
    <w:p>
      <w:pPr>
        <w:pStyle w:val="Normal"/>
        <w:rPr/>
      </w:pPr>
      <w:r>
        <w:rPr/>
        <w:t>W pomieszczeniach suchych, klasach, biurowych oraz na drogach komunikacji wewnętrznej należy wykonać dodatkową warstwę z gładzi gipsowej i pokryć je wodnymi farbami lateksowymi o podwyższonej odporności na ścieranie i zmywanie. Należy zastosować farby:</w:t>
      </w:r>
    </w:p>
    <w:p>
      <w:pPr>
        <w:pStyle w:val="ListParagraph"/>
        <w:numPr>
          <w:ilvl w:val="0"/>
          <w:numId w:val="87"/>
        </w:numPr>
        <w:rPr/>
      </w:pPr>
      <w:r>
        <w:rPr/>
        <w:t xml:space="preserve">min. II klasy odporności na szorowanie wg ISO PN-EN 13300:2002 - Farby i lakiery -- Wodne wyroby lakierowe i systemy powłokowe na wewnętrzne ściany i sufity -- Klasyfikacja,  </w:t>
      </w:r>
    </w:p>
    <w:p>
      <w:pPr>
        <w:pStyle w:val="ListParagraph"/>
        <w:numPr>
          <w:ilvl w:val="0"/>
          <w:numId w:val="87"/>
        </w:numPr>
        <w:rPr/>
      </w:pPr>
      <w:r>
        <w:rPr/>
        <w:t>min. II klasy wg PN-C-81914:2002 Farby dyspersyjne stosowane wewnątrz,</w:t>
      </w:r>
    </w:p>
    <w:p>
      <w:pPr>
        <w:pStyle w:val="ListParagraph"/>
        <w:numPr>
          <w:ilvl w:val="0"/>
          <w:numId w:val="87"/>
        </w:numPr>
        <w:rPr/>
      </w:pPr>
      <w:r>
        <w:rPr/>
        <w:t>wytrzymującą nie mniej niż 4000 cykli dla odporności na zmywanie wg PN-EN ISO 11998:2007 - Farby i lakiery -- Oznaczanie odporności powłok na szorowanie na mokro i ich podatności na czyszczenie.</w:t>
      </w:r>
    </w:p>
    <w:p>
      <w:pPr>
        <w:pStyle w:val="Normal"/>
        <w:rPr/>
      </w:pPr>
      <w:r>
        <w:rPr/>
        <w:t>Ściany w pomieszczeniach węzłów higieniczno-sanitarnych składających się na pom. toalet należy pokryć okładziną z płytek ceramicznych ściennych na pełną wysokość, a w przypadku sufitów tych pomieszczeń i ścian oraz sufitów pomieszczeń socjalnego i porządkowych należy zastosować powłoki malarskie zgodne o ww. wymaganiach dla farb, z tym że ustala się wymóg klasy I wg ISO PN-EN 13300:2002 / PN-C-81914:2002 dla tych pomieszczeń. Do pomieszczeń higieniczno-sanitarnych należy stosować zmywalne farby wodne lateksowe, przeznaczone di obiektów użyteczności publicznej do pomieszczeń o podwyższonej ścieralności, przeznaczonymi do pomieszczeń o podwyższonej wilgotności i wymaganiach higieniczno-sanitarnych, zapewniając zmywalność ścian min. na 2,0m wys.</w:t>
      </w:r>
    </w:p>
    <w:p>
      <w:pPr>
        <w:pStyle w:val="Normal"/>
        <w:rPr/>
      </w:pPr>
      <w:r>
        <w:rPr/>
        <w:t>Płytki ścienne należy dobrać tak, aby spełniały wymagania określone w PN-EN 14411:2016-09 - Płytki ceramiczne -- Definicja, klasyfikacja, właściwości, ocena i weryfikacja stałości właściwości użytkowych i znakowanie dla płytek ceramicznych o zmniejszonej nasiąkliwości wodnej E &lt; 6% - grupa co najmniej BII, pokryte szkliwem błyszczącym lub matowym.</w:t>
      </w:r>
    </w:p>
    <w:p>
      <w:pPr>
        <w:pStyle w:val="Normal"/>
        <w:rPr/>
      </w:pPr>
      <w:r>
        <w:rPr/>
        <w:t>W rejonie ewentualnych blatów roboczych należy wykonać fartuch ochronny na wysokość ok. 60cm powyżej blatu i co najmniej 30cm poniżej, z materiału odpornego na szorowanie, zmywanie, wysoką temperaturę, który należy uszczelnić na połączeniu z blatem.</w:t>
      </w:r>
    </w:p>
    <w:p>
      <w:pPr>
        <w:pStyle w:val="Nagwek5"/>
        <w:numPr>
          <w:ilvl w:val="4"/>
          <w:numId w:val="3"/>
        </w:numPr>
        <w:rPr/>
      </w:pPr>
      <w:r>
        <w:rPr/>
        <w:t>posadzki z wykladzin PVC</w:t>
      </w:r>
    </w:p>
    <w:p>
      <w:pPr>
        <w:pStyle w:val="Normal"/>
        <w:rPr/>
      </w:pPr>
      <w:r>
        <w:rPr/>
        <w:t>W ciągach komunikacyjnych, pomieszczeniach biurowych oraz klasach zakłada się zaprojektowanie podłóg z warstwą wierzchnią z wykładziny PVC obiektowej układaną w płytkach lub ewentualnie z rolki. Właściwie dobraną wykładzinę powinny cechować:</w:t>
      </w:r>
    </w:p>
    <w:p>
      <w:pPr>
        <w:pStyle w:val="ListParagraph"/>
        <w:numPr>
          <w:ilvl w:val="0"/>
          <w:numId w:val="88"/>
        </w:numPr>
        <w:rPr/>
      </w:pPr>
      <w:r>
        <w:rPr/>
        <w:t xml:space="preserve">odporność i długotrwałe użytkowanie (wysoka odporność na ścieranie, odporność na odkształcenia pod wpływem mebli i wyposażenia), </w:t>
      </w:r>
    </w:p>
    <w:p>
      <w:pPr>
        <w:pStyle w:val="ListParagraph"/>
        <w:numPr>
          <w:ilvl w:val="0"/>
          <w:numId w:val="88"/>
        </w:numPr>
        <w:rPr/>
      </w:pPr>
      <w:r>
        <w:rPr/>
        <w:t>bezpieczeństwo (antypoślizgowość, właściwa klasa trudnopalności),</w:t>
      </w:r>
    </w:p>
    <w:p>
      <w:pPr>
        <w:pStyle w:val="ListParagraph"/>
        <w:numPr>
          <w:ilvl w:val="0"/>
          <w:numId w:val="88"/>
        </w:numPr>
        <w:rPr/>
      </w:pPr>
      <w:r>
        <w:rPr/>
        <w:t>łatwe utrzymanie czystości (zabezpieczenie powierzchni przed zabrudzeniem, odporność na środki chemiczne),</w:t>
      </w:r>
    </w:p>
    <w:p>
      <w:pPr>
        <w:pStyle w:val="ListParagraph"/>
        <w:numPr>
          <w:ilvl w:val="0"/>
          <w:numId w:val="88"/>
        </w:numPr>
        <w:rPr/>
      </w:pPr>
      <w:r>
        <w:rPr/>
        <w:t>estetyka,</w:t>
      </w:r>
    </w:p>
    <w:p>
      <w:pPr>
        <w:pStyle w:val="ListParagraph"/>
        <w:numPr>
          <w:ilvl w:val="0"/>
          <w:numId w:val="88"/>
        </w:numPr>
        <w:rPr/>
      </w:pPr>
      <w:r>
        <w:rPr/>
        <w:t>właściwości dodatkowe, w tym w szczególności: tłumienie hałasu, antyelektrostatyka, trwałość barw i nieodbarwianie pod wpływem promieni UV.</w:t>
      </w:r>
    </w:p>
    <w:p>
      <w:pPr>
        <w:pStyle w:val="Normal"/>
        <w:ind w:left="60" w:hanging="0"/>
        <w:rPr/>
      </w:pPr>
      <w:r>
        <w:rPr/>
        <w:t>W związku z powyższym zakłada się zastosowanie wykładzin PVC heterogenicznych o następujących parametrach, spełniającą ogólne wymagania stawiane dla posadzek PVC tzw. obiektowych i zgodnych z wymaganiami wg PN-EN 14041:2006 - Elastyczne, włókiennicze i laminowane pokrycia podłogowe – Właściwości zasadnicze wraz z poprawką PN-EN 14041:2006/AC:2007P oraz PN-EN 13845:2017:10 - Elastyczne pokrycia podłogowe -- Pokrycia podłogowe z poli(chlorku winylu) na bazie materiałów zwiększających odporność na poślizg -- Specyfikacja:</w:t>
      </w:r>
    </w:p>
    <w:p>
      <w:pPr>
        <w:pStyle w:val="ListParagraph"/>
        <w:numPr>
          <w:ilvl w:val="0"/>
          <w:numId w:val="89"/>
        </w:numPr>
        <w:rPr/>
      </w:pPr>
      <w:r>
        <w:rPr/>
        <w:t>antypoślizgowość wg normy DIN 51130 zalecane R10, jednak nie mniej niż R9- zgodnie z przeznaczeniem pomieszczeń.</w:t>
      </w:r>
    </w:p>
    <w:p>
      <w:pPr>
        <w:pStyle w:val="ListParagraph"/>
        <w:numPr>
          <w:ilvl w:val="0"/>
          <w:numId w:val="89"/>
        </w:numPr>
        <w:rPr/>
      </w:pPr>
      <w:r>
        <w:rPr/>
        <w:t>odporność na poślizg – dynamiczny współczynnik tarcia DS: ≥ 0,30 wg PN-EN 13893:2004 Elastyczne, laminowane i włókiennicze pokrycia podłogowe – Pomiar dynamicznego współczynnika tarcia na suchych powierzchniach podłogowych;</w:t>
      </w:r>
    </w:p>
    <w:p>
      <w:pPr>
        <w:pStyle w:val="ListParagraph"/>
        <w:numPr>
          <w:ilvl w:val="0"/>
          <w:numId w:val="89"/>
        </w:numPr>
        <w:rPr/>
      </w:pPr>
      <w:r>
        <w:rPr/>
        <w:t>klasyfikacja użytkowania 34/43 wg PN-EN ISO 10874 - Elastyczne, włókiennicze i laminowane pokrycia podłogowe – Klasyfikacja;</w:t>
      </w:r>
    </w:p>
    <w:p>
      <w:pPr>
        <w:pStyle w:val="ListParagraph"/>
        <w:numPr>
          <w:ilvl w:val="0"/>
          <w:numId w:val="89"/>
        </w:numPr>
        <w:rPr/>
      </w:pPr>
      <w:r>
        <w:rPr/>
        <w:t>odporność na ścieranie grupy T wg PN-EN ISO 1582:2012 - Elastyczne pokrycia podłogowe -Heterogeniczne pokrycia podłogowe z poli(chlorku winylu) – Specyfikacja;</w:t>
      </w:r>
    </w:p>
    <w:p>
      <w:pPr>
        <w:pStyle w:val="ListParagraph"/>
        <w:numPr>
          <w:ilvl w:val="0"/>
          <w:numId w:val="89"/>
        </w:numPr>
        <w:rPr/>
      </w:pPr>
      <w:r>
        <w:rPr/>
        <w:t>klasyfikacja reakcji na ogień min. Bfl-s1 PN-EN 13501-1+A1:2010 - Klasyfikacja ogniowa wyrobów budowlanych i elementów budynków -- Część 1: Klasyfikacja na podstawie wyników badań reakcji na ogień;</w:t>
      </w:r>
    </w:p>
    <w:p>
      <w:pPr>
        <w:pStyle w:val="ListParagraph"/>
        <w:numPr>
          <w:ilvl w:val="0"/>
          <w:numId w:val="89"/>
        </w:numPr>
        <w:rPr/>
      </w:pPr>
      <w:r>
        <w:rPr/>
        <w:t>zachowanie elektryczne antystatyczne i rozpraszające wg PN-EN 14041:2006 - Elastyczne, włókiennicze i laminowane pokrycia podłogowe – Właściwości zasadnicze wraz z poprawką PN-EN 14041:2006/AC:2007P;</w:t>
      </w:r>
    </w:p>
    <w:p>
      <w:pPr>
        <w:pStyle w:val="ListParagraph"/>
        <w:numPr>
          <w:ilvl w:val="0"/>
          <w:numId w:val="89"/>
        </w:numPr>
        <w:rPr/>
      </w:pPr>
      <w:r>
        <w:rPr/>
        <w:t xml:space="preserve">rezystancja elektryczna </w:t>
      </w:r>
      <w:r>
        <w:rPr>
          <w:rFonts w:cs="Segoe UI Light" w:cstheme="minorHAnsi"/>
        </w:rPr>
        <w:t>≤</w:t>
      </w:r>
      <w:r>
        <w:rPr/>
        <w:t>10</w:t>
      </w:r>
      <w:r>
        <w:rPr>
          <w:rFonts w:cs="Segoe UI Light" w:cstheme="minorHAnsi"/>
        </w:rPr>
        <w:t>Ω</w:t>
      </w:r>
      <w:r>
        <w:rPr/>
        <w:t xml:space="preserve"> wg PN-EN 1081:2001 - Elastyczne pokrycia podłogowe – Wyznaczanie rezystancji elektrycznej wraz z poprawką PN-EN 1081:2001/Ap1:2003P;</w:t>
      </w:r>
    </w:p>
    <w:p>
      <w:pPr>
        <w:pStyle w:val="ListParagraph"/>
        <w:numPr>
          <w:ilvl w:val="0"/>
          <w:numId w:val="89"/>
        </w:numPr>
        <w:rPr/>
      </w:pPr>
      <w:r>
        <w:rPr/>
        <w:t xml:space="preserve">ocena zdolności do elektryzacji </w:t>
      </w:r>
      <w:r>
        <w:rPr>
          <w:rFonts w:cs="Segoe UI Light" w:cstheme="minorHAnsi"/>
        </w:rPr>
        <w:t>≤</w:t>
      </w:r>
      <w:r>
        <w:rPr/>
        <w:t>2kV wg EN 1815;</w:t>
      </w:r>
    </w:p>
    <w:p>
      <w:pPr>
        <w:pStyle w:val="ListParagraph"/>
        <w:numPr>
          <w:ilvl w:val="0"/>
          <w:numId w:val="89"/>
        </w:numPr>
        <w:rPr/>
      </w:pPr>
      <w:r>
        <w:rPr/>
        <w:t>bardzo dobra odporność na krzesła na rolkach wg ISO 4918 / PN-EN 425:2004 - Elastyczne i laminowane pokrycia podłogowe -- Badanie metodą krzesła na rolkach;</w:t>
      </w:r>
    </w:p>
    <w:p>
      <w:pPr>
        <w:pStyle w:val="ListParagraph"/>
        <w:numPr>
          <w:ilvl w:val="0"/>
          <w:numId w:val="89"/>
        </w:numPr>
        <w:rPr/>
      </w:pPr>
      <w:r>
        <w:rPr/>
        <w:t xml:space="preserve">trwałość kolorów </w:t>
      </w:r>
      <w:r>
        <w:rPr>
          <w:rFonts w:cs="Segoe UI Light" w:cstheme="minorHAnsi"/>
        </w:rPr>
        <w:t>≥</w:t>
      </w:r>
      <w:r>
        <w:rPr/>
        <w:t>6 wg PN-EN ISO 105-B02:2014-11 - Tekstylia -- Badania odporności wybarwień -- Część B02: Odporność wybarwień na działanie światła sztucznego: Test płowienia w świetle łukowej lampy ksenonowej;</w:t>
      </w:r>
    </w:p>
    <w:p>
      <w:pPr>
        <w:pStyle w:val="ListParagraph"/>
        <w:numPr>
          <w:ilvl w:val="0"/>
          <w:numId w:val="89"/>
        </w:numPr>
        <w:rPr/>
      </w:pPr>
      <w:r>
        <w:rPr/>
        <w:t xml:space="preserve">bardzo dobra odporność na zabrudzenia i chemikalia wg PN-EN ISO 26987:2012 Elastyczne pokrycia podłogowe -- Wyznaczanie odporności na zabrudzenie i chemikalia; </w:t>
      </w:r>
    </w:p>
    <w:p>
      <w:pPr>
        <w:pStyle w:val="ListParagraph"/>
        <w:numPr>
          <w:ilvl w:val="0"/>
          <w:numId w:val="89"/>
        </w:numPr>
        <w:rPr/>
      </w:pPr>
      <w:r>
        <w:rPr/>
        <w:t xml:space="preserve">przewodność cieplna ok. 0,25 W/(m·K). </w:t>
      </w:r>
    </w:p>
    <w:p>
      <w:pPr>
        <w:pStyle w:val="Normal"/>
        <w:rPr/>
      </w:pPr>
      <w:r>
        <w:rPr/>
        <w:t>W pomieszczeniach higieniczno-sanitarnych (szatniach, toaletach, przedsionkach/umywalniach i natryskach), na klatkach schodowych i w pom. porządkowych i pom. technicznych należy wykonać posadzkę z odpowiednich płytek ceramicznych.</w:t>
      </w:r>
    </w:p>
    <w:p>
      <w:pPr>
        <w:pStyle w:val="Nagwek4"/>
        <w:numPr>
          <w:ilvl w:val="3"/>
          <w:numId w:val="3"/>
        </w:numPr>
        <w:rPr/>
      </w:pPr>
      <w:r>
        <w:rPr/>
        <w:t>Posadzki ceramiczne</w:t>
      </w:r>
    </w:p>
    <w:p>
      <w:pPr>
        <w:pStyle w:val="Normal"/>
        <w:rPr/>
      </w:pPr>
      <w:r>
        <w:rPr/>
        <w:t xml:space="preserve">Materiały na posadzki z płytek ceramicznych należy dobrać tak, aby spełniały one wymagania określone w PN-EN 14411:2016-09 - Płytki ceramiczne -- Definicja, klasyfikacja, właściwości, ocena i weryfikacja stałości właściwości użytkowych i znakowanie dla co najmniej płytek ceramicznych o zmniejszonej nasiąkliwości wodnej 3% &lt; E </w:t>
      </w:r>
      <w:r>
        <w:rPr>
          <w:rFonts w:cs="Segoe UI Light" w:cstheme="minorHAnsi"/>
        </w:rPr>
        <w:t>≤</w:t>
      </w:r>
      <w:r>
        <w:rPr/>
        <w:t xml:space="preserve"> 6% - grupa BIIa o odpowiedniej twardości, odporne na zadrapania i zarysowania, wytrzymałe na obciążenia mechaniczne i zużycie oraz o odpowiednich właściwościach antypoślizgowych:</w:t>
      </w:r>
    </w:p>
    <w:p>
      <w:pPr>
        <w:pStyle w:val="ListParagraph"/>
        <w:numPr>
          <w:ilvl w:val="0"/>
          <w:numId w:val="90"/>
        </w:numPr>
        <w:rPr/>
      </w:pPr>
      <w:r>
        <w:rPr/>
        <w:t>klasa ścieralności min. PEI IV wg PN-EN ISO 10545-7:2000 - Płytki i płyty ceramiczne -- Oznaczanie odporności na ścieranie powierzchni płytek szkliwionych</w:t>
      </w:r>
    </w:p>
    <w:p>
      <w:pPr>
        <w:pStyle w:val="ListParagraph"/>
        <w:numPr>
          <w:ilvl w:val="0"/>
          <w:numId w:val="90"/>
        </w:numPr>
        <w:rPr/>
      </w:pPr>
      <w:r>
        <w:rPr/>
        <w:t>antypoślizgowość R 10 wg DIN 51130</w:t>
      </w:r>
    </w:p>
    <w:p>
      <w:pPr>
        <w:pStyle w:val="ListParagraph"/>
        <w:numPr>
          <w:ilvl w:val="0"/>
          <w:numId w:val="90"/>
        </w:numPr>
        <w:rPr/>
      </w:pPr>
      <w:r>
        <w:rPr/>
        <w:t>antypoślizgowość przy chodzeniu na boso klasa B (ze względu na natryski) wg DIN 51097</w:t>
      </w:r>
    </w:p>
    <w:p>
      <w:pPr>
        <w:pStyle w:val="ListParagraph"/>
        <w:numPr>
          <w:ilvl w:val="0"/>
          <w:numId w:val="90"/>
        </w:numPr>
        <w:rPr/>
      </w:pPr>
      <w:r>
        <w:rPr/>
        <w:t xml:space="preserve">wytrzymałość na zginanie </w:t>
      </w:r>
      <w:r>
        <w:rPr>
          <w:rFonts w:cs="Segoe UI Light" w:cstheme="minorHAnsi"/>
        </w:rPr>
        <w:t>≥ 22</w:t>
      </w:r>
      <w:r>
        <w:rPr/>
        <w:t>MPa wg PN-EN ISO 10545-4</w:t>
      </w:r>
    </w:p>
    <w:p>
      <w:pPr>
        <w:pStyle w:val="ListParagraph"/>
        <w:numPr>
          <w:ilvl w:val="0"/>
          <w:numId w:val="90"/>
        </w:numPr>
        <w:rPr/>
      </w:pPr>
      <w:r>
        <w:rPr/>
        <w:t xml:space="preserve">siła łamiąca dla </w:t>
      </w:r>
      <w:r>
        <w:rPr>
          <w:rFonts w:cs="Segoe UI Light" w:cstheme="minorHAnsi"/>
        </w:rPr>
        <w:t>≥ 7,5mm, min. 1000N, dla &lt;7,5mm min 600N;</w:t>
      </w:r>
    </w:p>
    <w:p>
      <w:pPr>
        <w:pStyle w:val="ListParagraph"/>
        <w:numPr>
          <w:ilvl w:val="0"/>
          <w:numId w:val="90"/>
        </w:numPr>
        <w:rPr/>
      </w:pPr>
      <w:r>
        <w:rPr/>
        <w:t>wymagana odporność na pękanie włoskowate</w:t>
      </w:r>
    </w:p>
    <w:p>
      <w:pPr>
        <w:pStyle w:val="ListParagraph"/>
        <w:numPr>
          <w:ilvl w:val="0"/>
          <w:numId w:val="90"/>
        </w:numPr>
        <w:rPr/>
      </w:pPr>
      <w:r>
        <w:rPr/>
        <w:t>odporność na kwasy i zasady o słabym stężeniu GLA wg PN-EN ISO 10545-13</w:t>
      </w:r>
    </w:p>
    <w:p>
      <w:pPr>
        <w:pStyle w:val="ListParagraph"/>
        <w:numPr>
          <w:ilvl w:val="0"/>
          <w:numId w:val="90"/>
        </w:numPr>
        <w:rPr/>
      </w:pPr>
      <w:r>
        <w:rPr/>
        <w:t>odporność na działanie środków domowego użytku i solu do basenów kąpielowych GA wg PN-EN ISO 10545-13</w:t>
      </w:r>
    </w:p>
    <w:p>
      <w:pPr>
        <w:pStyle w:val="ListParagraph"/>
        <w:numPr>
          <w:ilvl w:val="0"/>
          <w:numId w:val="90"/>
        </w:numPr>
        <w:rPr/>
      </w:pPr>
      <w:r>
        <w:rPr/>
        <w:t>odporność na plamienie min. 3 klasa PN-EN ISO 10545-14</w:t>
      </w:r>
    </w:p>
    <w:p>
      <w:pPr>
        <w:pStyle w:val="Normal"/>
        <w:rPr/>
      </w:pPr>
      <w:r>
        <w:rPr/>
        <w:t>Posadzki należy wykonać z zastosowaniem odpowiednich zapraw do spoinowania, tj. klasy 2WA wg PN-EN 13888:2010 – Zaprawy do spoinowania płytek – Wymagania, ocena zgodności, klasyfikacja i oznaczenie oraz za pomocą kleju spełniającego wymagania PN-EN 12004-1:2017-03 - Kleje do płytek ceramicznych -- Część 1: Wymagania, ocena i weryfikacja stałości właściwości użytkowych, klasyfikacja i znakowanie.</w:t>
      </w:r>
    </w:p>
    <w:p>
      <w:pPr>
        <w:pStyle w:val="Normal"/>
        <w:rPr/>
      </w:pPr>
      <w:r>
        <w:rPr/>
      </w:r>
    </w:p>
    <w:p>
      <w:pPr>
        <w:pStyle w:val="Nagwek4"/>
        <w:numPr>
          <w:ilvl w:val="3"/>
          <w:numId w:val="3"/>
        </w:numPr>
        <w:rPr/>
      </w:pPr>
      <w:r>
        <w:rPr/>
        <w:t>Zabezpieczenie ogniochronne stropów drewnianych i wymiana warstw wykończeniowych podłóg</w:t>
      </w:r>
    </w:p>
    <w:p>
      <w:pPr>
        <w:pStyle w:val="Normal"/>
        <w:rPr/>
      </w:pPr>
      <w:r>
        <w:rPr/>
        <w:t>W ramach remontu należy wykonać zabezpieczenie ogniochronne stropów z doprowadzeniem ich do wymaganej klasy odporności pożarowej elementów budynku. Ponadto w związku z usunięciem warstw tynku na ścianach należy przewidzieć wymianę warstw wykończeniowych podłóg. W tym celu należy przeprowadzić następujące roboty:</w:t>
      </w:r>
    </w:p>
    <w:p>
      <w:pPr>
        <w:pStyle w:val="ListParagraph"/>
        <w:numPr>
          <w:ilvl w:val="0"/>
          <w:numId w:val="75"/>
        </w:numPr>
        <w:rPr/>
      </w:pPr>
      <w:r>
        <w:rPr/>
        <w:t>Demontaż i rozbiórka warstw wykończeniowych – podłoga piwnic, stopy międzykondygnacyjne kondygnacji użytkowych,</w:t>
      </w:r>
    </w:p>
    <w:p>
      <w:pPr>
        <w:pStyle w:val="ListParagraph"/>
        <w:numPr>
          <w:ilvl w:val="0"/>
          <w:numId w:val="75"/>
        </w:numPr>
        <w:rPr/>
      </w:pPr>
      <w:r>
        <w:rPr/>
        <w:t>Usunięcie istniejącego wypełnienia stropów – strop nad parterem i nad I-wszym piętrem,</w:t>
      </w:r>
    </w:p>
    <w:p>
      <w:pPr>
        <w:pStyle w:val="ListParagraph"/>
        <w:numPr>
          <w:ilvl w:val="0"/>
          <w:numId w:val="75"/>
        </w:numPr>
        <w:rPr/>
      </w:pPr>
      <w:r>
        <w:rPr/>
        <w:t>Zabezpieczenie istniejącej konstrukcji (w tym: ogniochronne, antykorozyjne przed korozją biologiczną),</w:t>
      </w:r>
    </w:p>
    <w:p>
      <w:pPr>
        <w:pStyle w:val="ListParagraph"/>
        <w:numPr>
          <w:ilvl w:val="0"/>
          <w:numId w:val="75"/>
        </w:numPr>
        <w:rPr/>
      </w:pPr>
      <w:r>
        <w:rPr/>
        <w:t>Wykonanie izolacji – paraizolacja i wypełnienie wełną mineralną, z uwzględnieniem wymagań akustycznych poszczególnych pomieszczeń oraz ich przeznaczenia i rodzaju – w podziale na pomieszczenia suche i o podwyższonej wilgotności,</w:t>
      </w:r>
    </w:p>
    <w:p>
      <w:pPr>
        <w:pStyle w:val="ListParagraph"/>
        <w:numPr>
          <w:ilvl w:val="0"/>
          <w:numId w:val="75"/>
        </w:numPr>
        <w:rPr/>
      </w:pPr>
      <w:r>
        <w:rPr/>
        <w:t>Wykonanie ewentualnych wzmocnień – na podstawie ekspertyzy konstrukcji</w:t>
      </w:r>
    </w:p>
    <w:p>
      <w:pPr>
        <w:pStyle w:val="ListParagraph"/>
        <w:numPr>
          <w:ilvl w:val="0"/>
          <w:numId w:val="75"/>
        </w:numPr>
        <w:rPr/>
      </w:pPr>
      <w:r>
        <w:rPr/>
        <w:t>Wykonanie warstw nośnych podłogi z płyt drewnopochodnych i/lub suchego jastrychu – strop między parterem a I-wszym piętra</w:t>
      </w:r>
    </w:p>
    <w:p>
      <w:pPr>
        <w:pStyle w:val="ListParagraph"/>
        <w:numPr>
          <w:ilvl w:val="0"/>
          <w:numId w:val="75"/>
        </w:numPr>
        <w:rPr/>
      </w:pPr>
      <w:r>
        <w:rPr/>
        <w:t>Wykonanie warstwy izolacji akustycznej oraz odtworzenie warstw wykończeniowych podłogi – strop między kondygnacyjny I-wszego piętra, parter</w:t>
      </w:r>
    </w:p>
    <w:p>
      <w:pPr>
        <w:pStyle w:val="ListParagraph"/>
        <w:numPr>
          <w:ilvl w:val="0"/>
          <w:numId w:val="75"/>
        </w:numPr>
        <w:rPr/>
      </w:pPr>
      <w:r>
        <w:rPr/>
        <w:t>Wykonanie sufitów w suchej zabudowie na szkielecie metalowym z okładziną z płyt ogniochronnych DF.</w:t>
      </w:r>
    </w:p>
    <w:p>
      <w:pPr>
        <w:pStyle w:val="Normal"/>
        <w:rPr/>
      </w:pPr>
      <w:r>
        <w:rPr/>
        <w:t>Uwaga: Dla pomieszczeń piwnic oraz o podwyższonej wilgotności należy zaprojektować i wykonać izolacje przeciwwilgociowe.</w:t>
      </w:r>
    </w:p>
    <w:p>
      <w:pPr>
        <w:pStyle w:val="Nagwek4"/>
        <w:numPr>
          <w:ilvl w:val="3"/>
          <w:numId w:val="3"/>
        </w:numPr>
        <w:rPr/>
      </w:pPr>
      <w:r>
        <w:rPr/>
        <w:t>Elementy konstrukcyjne</w:t>
      </w:r>
    </w:p>
    <w:p>
      <w:pPr>
        <w:pStyle w:val="Normal"/>
        <w:rPr/>
      </w:pPr>
      <w:r>
        <w:rPr/>
        <w:t>Dla planowanego obiektu należy przeprowadzić inwentaryzację budowlaną, sporządzić ekspertyzę techniczną w zakresie stanu konstrukcji i określenia możliwości montażu ogniw PV na istniejącej konstrukcji dachu. W przypadku stwierdzenia przekroczenia dopuszczalnych wartości ugięć należy zaprojektować i wykonać wzmocnienie istniejącej konstrukcji. W przypadku stwierdzenia ubytków, uszkodzeń, zawilgoceń w istniejącej konstrukcji należy wykonać projekt napraw konstrukcji. Powyższe dotyczy zarówno konstrukcji murowych, jak i stalowych elementów konstrukcji stropów, nadproży i podciągów.</w:t>
      </w:r>
    </w:p>
    <w:p>
      <w:pPr>
        <w:pStyle w:val="Normal"/>
        <w:rPr/>
      </w:pPr>
      <w:r>
        <w:rPr/>
        <w:t>Zaprojektowane rozwiązania powinny każdorazowo zakładać zachowanie w maksymalnym stopniu oryginalnych elementów konstrukcyjnych i dążyć do zachowania wyrazu architektonicznego (być jak najmniej widoczne).</w:t>
      </w:r>
    </w:p>
    <w:p>
      <w:pPr>
        <w:pStyle w:val="Nagwek5"/>
        <w:numPr>
          <w:ilvl w:val="4"/>
          <w:numId w:val="3"/>
        </w:numPr>
        <w:rPr/>
      </w:pPr>
      <w:r>
        <w:rPr/>
        <w:t>Podkonstrukcja pod ogniwa PV</w:t>
      </w:r>
    </w:p>
    <w:p>
      <w:pPr>
        <w:pStyle w:val="Normal"/>
        <w:rPr/>
      </w:pPr>
      <w:r>
        <w:rPr/>
        <w:t xml:space="preserve">Pod montaż paneli fotowoltaicznych należy zaprojektować i wykonać podkonstrukcję – system wsporczy z profili aluminiowych, stali cynkowanej lub stali nierdzewnej. Ww. konstrukcję należy zaprojektować i wykonać zgodnie z obowiązującymi przepisami i normami oraz dostosować do zaprojektowanego układu montażu paneli – poziomy lub wertykalny. </w:t>
      </w:r>
    </w:p>
    <w:p>
      <w:pPr>
        <w:pStyle w:val="Normal"/>
        <w:rPr/>
      </w:pPr>
      <w:r>
        <w:rPr/>
        <w:t>Wymagania odnośnie konstrukcji:</w:t>
      </w:r>
    </w:p>
    <w:p>
      <w:pPr>
        <w:pStyle w:val="ListParagraph"/>
        <w:numPr>
          <w:ilvl w:val="0"/>
          <w:numId w:val="92"/>
        </w:numPr>
        <w:rPr/>
      </w:pPr>
      <w:r>
        <w:rPr/>
        <w:t>stosować lekkie konstrukcje systemowe przeznaczone do montażu modułów fotowoltaicznych na dachach odpowiedniego rodzaju,</w:t>
      </w:r>
    </w:p>
    <w:p>
      <w:pPr>
        <w:pStyle w:val="ListParagraph"/>
        <w:numPr>
          <w:ilvl w:val="0"/>
          <w:numId w:val="92"/>
        </w:numPr>
        <w:rPr/>
      </w:pPr>
      <w:r>
        <w:rPr/>
        <w:t>stosować elementy wsporcze, szyny, klemy, haki, kotwy, śruby z jednego wybranego systemu montażowego,</w:t>
      </w:r>
    </w:p>
    <w:p>
      <w:pPr>
        <w:pStyle w:val="ListParagraph"/>
        <w:numPr>
          <w:ilvl w:val="0"/>
          <w:numId w:val="92"/>
        </w:numPr>
        <w:rPr/>
      </w:pPr>
      <w:r>
        <w:rPr/>
        <w:t>należy zastosować system montażowy zapewniający odporność na parcie wiatru zgodnie ze strefą wiatrową i wymaganiami normowymi.</w:t>
      </w:r>
    </w:p>
    <w:p>
      <w:pPr>
        <w:pStyle w:val="Nagwek5"/>
        <w:numPr>
          <w:ilvl w:val="4"/>
          <w:numId w:val="3"/>
        </w:numPr>
        <w:rPr/>
      </w:pPr>
      <w:r>
        <w:rPr/>
        <w:t>Wzmocnienia istniejącej konstrukcji dachu</w:t>
      </w:r>
    </w:p>
    <w:p>
      <w:pPr>
        <w:pStyle w:val="Normal"/>
        <w:rPr/>
      </w:pPr>
      <w:r>
        <w:rPr/>
        <w:t xml:space="preserve">Po wykonaniu ekspertyzy konstrukcji oraz z uwzględnieniem dodatkowego obciążenia konstrukcji systemem ogniw PV należy uwzględnić konieczność wykonania wzmocnień istniejącej konstrukcji dachu. </w:t>
      </w:r>
    </w:p>
    <w:p>
      <w:pPr>
        <w:pStyle w:val="Nagwek5"/>
        <w:numPr>
          <w:ilvl w:val="4"/>
          <w:numId w:val="3"/>
        </w:numPr>
        <w:rPr/>
      </w:pPr>
      <w:r>
        <w:rPr/>
        <w:t>Mury zewnętrzne</w:t>
      </w:r>
    </w:p>
    <w:p>
      <w:pPr>
        <w:pStyle w:val="Normal"/>
        <w:rPr/>
      </w:pPr>
      <w:r>
        <w:rPr/>
        <w:t xml:space="preserve">W związku z widocznymi uszkodzeniami murów zewnętrznych należy przewidzieć konieczność napraw murów, wzmocnienia i/lub wymiany nadproży drzwiowych i okiennych. W szczególności należy uwzględnić spękania i zarysowania widoczne na murach wieży. W zależności od wyniku badań i analiz poprzedzających etap wykonania dokumentacji projektowej należy dobrać technologię napraw i wzmocnienia murów wieży. Po wykonaniu badań i analiz oraz opracowaniu dokumentacji geotechnicznej należy w ocenić i w miarę konieczności zaprojektować wzmocnienie fundamentów. </w:t>
      </w:r>
    </w:p>
    <w:p>
      <w:pPr>
        <w:pStyle w:val="Nagwek5"/>
        <w:numPr>
          <w:ilvl w:val="4"/>
          <w:numId w:val="3"/>
        </w:numPr>
        <w:rPr/>
      </w:pPr>
      <w:r>
        <w:rPr/>
        <w:t>Remont elewacji i orynnowanie</w:t>
      </w:r>
    </w:p>
    <w:p>
      <w:pPr>
        <w:pStyle w:val="Normal"/>
        <w:rPr/>
      </w:pPr>
      <w:r>
        <w:rPr/>
        <w:t>W ramach inwestycji należy wykonać renowację zabytkowej elewacji ceglanej. W związku z powyższym należy oczyścić partie murów chemicznie i/lub mechanicznie, wykonać niezbędne uzupełnienia zapraw i elementów muru (cegieł, kamienia w partii cokołowej) oraz odtworzyć zniszczony detal i jego tynkowanie. Wszelkie prace należy wykonywać na podstawie przeprowadzonych badań konserwatorskich i projektu prac konserwatorskich, w którym należy określić wytyczne i zalecenia do ww. renowacji, w tym:</w:t>
      </w:r>
    </w:p>
    <w:p>
      <w:pPr>
        <w:pStyle w:val="ListParagraph"/>
        <w:numPr>
          <w:ilvl w:val="0"/>
          <w:numId w:val="76"/>
        </w:numPr>
        <w:rPr/>
      </w:pPr>
      <w:r>
        <w:rPr/>
        <w:t>odtworzenie detalu na podstawie dokumentacji archiwalnej i inwentaryzacji,</w:t>
      </w:r>
    </w:p>
    <w:p>
      <w:pPr>
        <w:pStyle w:val="ListParagraph"/>
        <w:numPr>
          <w:ilvl w:val="0"/>
          <w:numId w:val="76"/>
        </w:numPr>
        <w:rPr/>
      </w:pPr>
      <w:r>
        <w:rPr/>
        <w:t>rodzaj, materiał (skład materiału/wyrobu), jego kolorystykę i technikę wykonania robót,</w:t>
      </w:r>
    </w:p>
    <w:p>
      <w:pPr>
        <w:pStyle w:val="ListParagraph"/>
        <w:numPr>
          <w:ilvl w:val="0"/>
          <w:numId w:val="76"/>
        </w:numPr>
        <w:rPr/>
      </w:pPr>
      <w:r>
        <w:rPr/>
        <w:t>zakres niezbędnych napraw.</w:t>
      </w:r>
    </w:p>
    <w:p>
      <w:pPr>
        <w:pStyle w:val="Normal"/>
        <w:rPr/>
      </w:pPr>
      <w:r>
        <w:rPr/>
        <w:t>W renowacji należy uwzględnić zalecenia Wojewódzkiego Konserwatora Zabytków oraz konieczność zachowania siedlisk i/lub kompensacji wynikających z ekspertyzy ornitologicznej i chiropterologicznej.</w:t>
      </w:r>
    </w:p>
    <w:p>
      <w:pPr>
        <w:pStyle w:val="Normal"/>
        <w:rPr/>
      </w:pPr>
      <w:r>
        <w:rPr/>
        <w:t xml:space="preserve">Zgodnie z zaleceniami wojewódzkiego Konserwatora zabytków należy zaprojektować i wykonać uszczelnienie dachu oraz zabezpieczenie dachu wieży przed warunkami atmosferycznymi. Szczegółowe rozwiązania techniczne należy określić w wyniku przeprowadzonej inwentaryzacji i oceny stanu technicznego. </w:t>
      </w:r>
    </w:p>
    <w:p>
      <w:pPr>
        <w:pStyle w:val="Normal"/>
        <w:rPr/>
      </w:pPr>
      <w:r>
        <w:rPr/>
        <w:t>Zaprojektowane i wykonane orynnowanie musi spełniać wymagania obowiązujących norm i przepisów. Orynnowanie i obróbki blacharskie należy wykonać zgodnie z zaleceniami Wojewódzkiego Konserwatora Zabytków. Rury spustowe należy włączyć do instalacji kanalizacji deszczowej istniejącej na terenie, z dochowaniem obowiązków wynikających z obowiązujących przepisów prawa, w tym w szczególności Prawa wodnego.</w:t>
      </w:r>
    </w:p>
    <w:p>
      <w:pPr>
        <w:pStyle w:val="Nagwek3"/>
        <w:numPr>
          <w:ilvl w:val="2"/>
          <w:numId w:val="3"/>
        </w:numPr>
        <w:rPr/>
      </w:pPr>
      <w:bookmarkStart w:id="106" w:name="_Toc10627732"/>
      <w:bookmarkEnd w:id="106"/>
      <w:r>
        <w:rPr/>
        <w:t>Instalacje sanitarne</w:t>
      </w:r>
    </w:p>
    <w:p>
      <w:pPr>
        <w:pStyle w:val="Nagwek4"/>
        <w:numPr>
          <w:ilvl w:val="3"/>
          <w:numId w:val="3"/>
        </w:numPr>
        <w:rPr/>
      </w:pPr>
      <w:r>
        <w:rPr/>
        <w:t>Modernizacja instalacji C.O wraz ze źródłem ciepła</w:t>
      </w:r>
    </w:p>
    <w:p>
      <w:pPr>
        <w:pStyle w:val="Normal"/>
        <w:rPr/>
      </w:pPr>
      <w:r>
        <w:rPr/>
        <w:t>W ramach głębokiej termomodernizacji planuje się wg rozwiązań wskazanych w audycie energetycznym modernizację instalacji C.O. w obrębie budynku – wymianę źródła ciepła demontaż starej instalacji oraz elementów grzejnych, wykonanie nowej instalacji grzewczej (rur i pionów), montaż hybrydowych, radiacyjnych elementów grzejnych montowanych podtynkowo i prowadzonych na całym obwodzie ścian zewnętrznych.</w:t>
      </w:r>
    </w:p>
    <w:p>
      <w:pPr>
        <w:pStyle w:val="Normal"/>
        <w:rPr/>
      </w:pPr>
      <w:r>
        <w:rPr/>
        <w:t>Zakres robót:</w:t>
      </w:r>
    </w:p>
    <w:p>
      <w:pPr>
        <w:pStyle w:val="ListParagraph"/>
        <w:numPr>
          <w:ilvl w:val="0"/>
          <w:numId w:val="67"/>
        </w:numPr>
        <w:rPr/>
      </w:pPr>
      <w:r>
        <w:rPr/>
        <w:t>Demontaż instalacji centralnego ogrzewania (grzejniki, rurociągi, armatura, izolacja termiczna, istniejących zabudów),</w:t>
      </w:r>
    </w:p>
    <w:p>
      <w:pPr>
        <w:pStyle w:val="ListParagraph"/>
        <w:numPr>
          <w:ilvl w:val="0"/>
          <w:numId w:val="67"/>
        </w:numPr>
        <w:rPr/>
      </w:pPr>
      <w:r>
        <w:rPr/>
        <w:t>Demontaż istniejącego źródła ciepła – kotła gazowego,</w:t>
      </w:r>
    </w:p>
    <w:p>
      <w:pPr>
        <w:pStyle w:val="ListParagraph"/>
        <w:numPr>
          <w:ilvl w:val="0"/>
          <w:numId w:val="67"/>
        </w:numPr>
        <w:rPr/>
      </w:pPr>
      <w:r>
        <w:rPr/>
        <w:t>Podczas prac demontażowych, składowanie zdemontowanych urządzeń i instalacji w uzgodnionym z Użytkownikiem miejscu. Wykonawca zobowiązany jest na własny koszt do usunięcia i utylizacji materiałów pochodzących z demontażu,</w:t>
      </w:r>
    </w:p>
    <w:p>
      <w:pPr>
        <w:pStyle w:val="ListParagraph"/>
        <w:numPr>
          <w:ilvl w:val="0"/>
          <w:numId w:val="67"/>
        </w:numPr>
        <w:rPr/>
      </w:pPr>
      <w:r>
        <w:rPr/>
        <w:t>Montaż nowego źródła ciepła zgodnie z wymaganiami audytu,</w:t>
      </w:r>
    </w:p>
    <w:p>
      <w:pPr>
        <w:pStyle w:val="ListParagraph"/>
        <w:numPr>
          <w:ilvl w:val="0"/>
          <w:numId w:val="67"/>
        </w:numPr>
        <w:rPr/>
      </w:pPr>
      <w:r>
        <w:rPr/>
        <w:t>Wykonanie nowej instalacji centralnego ogrzewania (rurociągi i piony instalacyjne) oraz montaż niezbędnej armatury i urządzeń,</w:t>
      </w:r>
    </w:p>
    <w:p>
      <w:pPr>
        <w:pStyle w:val="ListParagraph"/>
        <w:numPr>
          <w:ilvl w:val="0"/>
          <w:numId w:val="67"/>
        </w:numPr>
        <w:rPr/>
      </w:pPr>
      <w:r>
        <w:rPr/>
        <w:t>Wykonanie i montaż automatyki i systemu sterowania systemem c.o. umożliwiającego kontrolę klimatu poszczególnych pomieszczeń,</w:t>
      </w:r>
    </w:p>
    <w:p>
      <w:pPr>
        <w:pStyle w:val="ListParagraph"/>
        <w:numPr>
          <w:ilvl w:val="0"/>
          <w:numId w:val="67"/>
        </w:numPr>
        <w:rPr/>
      </w:pPr>
      <w:r>
        <w:rPr/>
        <w:t>Roboty odtworzeniowe, w tym remont całej powierzchni przegród pomieszczenia wraz z jej malowaniem oraz, w przypadku pomieszczeń posiadających okładziny ścienne, wykonanie nowych okładzin, w tym glazury i terakoty (odtworzenie stanu istniejącego) po zdemontowanej instalacji i grzejnikach oraz wykonaniu nowych instalacji (zgodne z opisem dla robót odtworzeniowych). Dodatkowo wykonać należy uzupełnienia istniejących przepustów przez ściany oraz stropy poszczególnych kondygnacji, spełniające wymagania obowiązujących przepisów w zakresie ochrony pożarowej,</w:t>
      </w:r>
    </w:p>
    <w:p>
      <w:pPr>
        <w:pStyle w:val="ListParagraph"/>
        <w:numPr>
          <w:ilvl w:val="0"/>
          <w:numId w:val="67"/>
        </w:numPr>
        <w:rPr/>
      </w:pPr>
      <w:r>
        <w:rPr/>
        <w:t xml:space="preserve">Rurociągi poziome wstępnie założone pod stropem przyziemia. </w:t>
      </w:r>
    </w:p>
    <w:p>
      <w:pPr>
        <w:pStyle w:val="ListParagraph"/>
        <w:numPr>
          <w:ilvl w:val="0"/>
          <w:numId w:val="67"/>
        </w:numPr>
        <w:rPr/>
      </w:pPr>
      <w:r>
        <w:rPr/>
        <w:t>Piony instalacji centralnego ogrzewania prowadzić w bruździe ściennej.</w:t>
      </w:r>
    </w:p>
    <w:p>
      <w:pPr>
        <w:pStyle w:val="ListParagraph"/>
        <w:numPr>
          <w:ilvl w:val="0"/>
          <w:numId w:val="67"/>
        </w:numPr>
        <w:rPr/>
      </w:pPr>
      <w:r>
        <w:rPr/>
        <w:t>Rurociągi poziome wykonać z rur stalowych cienkościennych zabezpieczonych przed korozją przez zewnętrzną warstwą cynku. Rurociągi łączone przez zaprasowywanie.</w:t>
      </w:r>
    </w:p>
    <w:p>
      <w:pPr>
        <w:pStyle w:val="ListParagraph"/>
        <w:numPr>
          <w:ilvl w:val="0"/>
          <w:numId w:val="67"/>
        </w:numPr>
        <w:rPr/>
      </w:pPr>
      <w:r>
        <w:rPr/>
        <w:t>Piony instalacji centralnego ogrzewania wykonać z rur wielowarstwowych z polietylenu sieciowanego z wkładką antydyfuzyjną.</w:t>
      </w:r>
    </w:p>
    <w:p>
      <w:pPr>
        <w:pStyle w:val="ListParagraph"/>
        <w:numPr>
          <w:ilvl w:val="0"/>
          <w:numId w:val="67"/>
        </w:numPr>
        <w:rPr/>
      </w:pPr>
      <w:r>
        <w:rPr/>
        <w:t>Instalację montować do przegród w sposób trwały za pomocą systemowych zawiesi i podpór zgodnych z wymaganiami obowiązujących norm.</w:t>
      </w:r>
    </w:p>
    <w:p>
      <w:pPr>
        <w:pStyle w:val="ListParagraph"/>
        <w:numPr>
          <w:ilvl w:val="0"/>
          <w:numId w:val="67"/>
        </w:numPr>
        <w:rPr/>
      </w:pPr>
      <w:r>
        <w:rPr/>
        <w:t>Wykonanie kompensacji montowanych rurociągów poziomych jak i pionowych przez kompensację naturalną lub kompensatory mieszkowe zgodnie z wytycznymi producenta zastosowanego systemu.</w:t>
      </w:r>
    </w:p>
    <w:p>
      <w:pPr>
        <w:pStyle w:val="ListParagraph"/>
        <w:numPr>
          <w:ilvl w:val="0"/>
          <w:numId w:val="67"/>
        </w:numPr>
        <w:rPr/>
      </w:pPr>
      <w:r>
        <w:rPr/>
        <w:t>Należy przewidzieć montaż zaworów podpionowych pod każdym pionem instalacji. Na przewodzie powrotnym stosować regulatory różnicy ciśnień oraz zawór kulowy odcinający. Na przewodzie zasilający stosować zawór regulacyjny z możliwością odcięcia wyposażony w złączki do pomiaru przepływu. Zawory połączone muszą być ze sobą rurką kapilarną.</w:t>
      </w:r>
    </w:p>
    <w:p>
      <w:pPr>
        <w:pStyle w:val="ListParagraph"/>
        <w:numPr>
          <w:ilvl w:val="0"/>
          <w:numId w:val="67"/>
        </w:numPr>
        <w:rPr/>
      </w:pPr>
      <w:r>
        <w:rPr/>
        <w:t>Montaż automatycznych odpowietrzników na rurociągach zasilających w najwyższych punktach instalacji.</w:t>
      </w:r>
    </w:p>
    <w:p>
      <w:pPr>
        <w:pStyle w:val="ListParagraph"/>
        <w:numPr>
          <w:ilvl w:val="0"/>
          <w:numId w:val="67"/>
        </w:numPr>
        <w:rPr/>
      </w:pPr>
      <w:r>
        <w:rPr/>
        <w:t>Montaż zaworów spustowych w najniższych punktach instalacji.</w:t>
      </w:r>
    </w:p>
    <w:p>
      <w:pPr>
        <w:pStyle w:val="ListParagraph"/>
        <w:numPr>
          <w:ilvl w:val="0"/>
          <w:numId w:val="67"/>
        </w:numPr>
        <w:rPr/>
      </w:pPr>
      <w:r>
        <w:rPr/>
        <w:t>Po zakończeniu montażu instalacji, przed wykonaniem izolacji termicznej przeprowadzić należy odpowiednie próby szczelności zgodnie z wytycznymi producenta zastosowanego systemu.</w:t>
      </w:r>
    </w:p>
    <w:p>
      <w:pPr>
        <w:pStyle w:val="ListParagraph"/>
        <w:numPr>
          <w:ilvl w:val="0"/>
          <w:numId w:val="67"/>
        </w:numPr>
        <w:rPr/>
      </w:pPr>
      <w:r>
        <w:rPr/>
        <w:t>Regulacja hydrauliczna wykonanej instalacji centralnego ogrzewania.</w:t>
      </w:r>
    </w:p>
    <w:p>
      <w:pPr>
        <w:pStyle w:val="ListParagraph"/>
        <w:numPr>
          <w:ilvl w:val="0"/>
          <w:numId w:val="67"/>
        </w:numPr>
        <w:rPr/>
      </w:pPr>
      <w:r>
        <w:rPr/>
        <w:t>Wykonanie, po pomyślnej próbie szczelności, izolacji termicznej rurociągów z zastosowaniem otuliny z pianki poliuretanowej lub kauczuku o wartości współczynnika przewodności cieplnej λ=0,035 W/mK, oraz grubości zgodnie z WT. Nie dopuszcza się izolacji wykonywanej w technologiach mokrych.</w:t>
      </w:r>
    </w:p>
    <w:p>
      <w:pPr>
        <w:pStyle w:val="ListParagraph"/>
        <w:numPr>
          <w:ilvl w:val="0"/>
          <w:numId w:val="67"/>
        </w:numPr>
        <w:rPr/>
      </w:pPr>
      <w:r>
        <w:rPr/>
        <w:t>Materiał otulin powinien być niepalny lub zapalny samogasnący i nierozprzestrzeniający ognia.</w:t>
      </w:r>
    </w:p>
    <w:p>
      <w:pPr>
        <w:pStyle w:val="ListParagraph"/>
        <w:numPr>
          <w:ilvl w:val="0"/>
          <w:numId w:val="67"/>
        </w:numPr>
        <w:rPr/>
      </w:pPr>
      <w:r>
        <w:rPr/>
        <w:t>Wykonawca w ramach wykonywanych prac sprawdzi zawartość stężenia jonów chlorkowych i siarczanowych zładu instalacji i w przypadku stężenia większego niż 50mg/l zastosuje inhibitor korozji.</w:t>
      </w:r>
    </w:p>
    <w:p>
      <w:pPr>
        <w:pStyle w:val="Nagwek5"/>
        <w:numPr>
          <w:ilvl w:val="4"/>
          <w:numId w:val="3"/>
        </w:numPr>
        <w:rPr/>
      </w:pPr>
      <w:r>
        <w:rPr/>
        <w:t>Wymiana źródła ciepła – kocioł gazowy, oraz instalacji.</w:t>
      </w:r>
    </w:p>
    <w:p>
      <w:pPr>
        <w:pStyle w:val="Normal"/>
        <w:rPr/>
      </w:pPr>
      <w:r>
        <w:rPr/>
        <w:t>Zgodnie z audytem energetycznym należy zaprojektować i przeprowadzić wymianę istniejącego źródła ciepła – kotła gazowego na nowy. Szczegółowe parametry kotła należy określić na etapie wykonania projektu budowlanego, przy uwzględnieniu pozostałych usprawneń termomodernizacyjnych. Zgodnie z audytem zmodernizowane źródło ciepła musi pozwalać na spełnienie następujących wymagań w odniesieniu do instalacji c.o. po modernizacji:</w:t>
      </w:r>
    </w:p>
    <w:p>
      <w:pPr>
        <w:pStyle w:val="ListParagraph"/>
        <w:numPr>
          <w:ilvl w:val="0"/>
          <w:numId w:val="85"/>
        </w:numPr>
        <w:rPr/>
      </w:pPr>
      <w:r>
        <w:rPr/>
        <w:t>Średnia sezonowa sprawność całkowita systemu: 0,80</w:t>
      </w:r>
    </w:p>
    <w:p>
      <w:pPr>
        <w:pStyle w:val="ListParagraph"/>
        <w:numPr>
          <w:ilvl w:val="0"/>
          <w:numId w:val="85"/>
        </w:numPr>
        <w:rPr/>
      </w:pPr>
      <w:r>
        <w:rPr/>
        <w:t>Współczynniki wd, Wt: 0,85 / 0,95 0,85 / 0,95</w:t>
      </w:r>
    </w:p>
    <w:p>
      <w:pPr>
        <w:pStyle w:val="ListParagraph"/>
        <w:numPr>
          <w:ilvl w:val="0"/>
          <w:numId w:val="85"/>
        </w:numPr>
        <w:rPr/>
      </w:pPr>
      <w:r>
        <w:rPr/>
        <w:t>Zapotrzebowanie na energię użytkową.: 1018,11 GJ/rok</w:t>
      </w:r>
    </w:p>
    <w:p>
      <w:pPr>
        <w:pStyle w:val="ListParagraph"/>
        <w:numPr>
          <w:ilvl w:val="0"/>
          <w:numId w:val="85"/>
        </w:numPr>
        <w:rPr/>
      </w:pPr>
      <w:r>
        <w:rPr/>
        <w:t>Zapotrzebowanie na energię końcową: 1054,00 GJ/rok</w:t>
      </w:r>
    </w:p>
    <w:p>
      <w:pPr>
        <w:pStyle w:val="ListParagraph"/>
        <w:numPr>
          <w:ilvl w:val="0"/>
          <w:numId w:val="85"/>
        </w:numPr>
        <w:rPr/>
      </w:pPr>
      <w:r>
        <w:rPr/>
        <w:t>Zapotrzebowanie na moc: 0,144 MW</w:t>
      </w:r>
    </w:p>
    <w:p>
      <w:pPr>
        <w:pStyle w:val="Normal"/>
        <w:rPr/>
      </w:pPr>
      <w:r>
        <w:rPr/>
        <w:t xml:space="preserve">W związku z wymianą instalacji należy również zaprojektować i wykonać wymianę rurociągów i pionów instancyjnych, urządzeń, (w tym pomp) oraz armatury i oprzyrządowania instalacji, zgodnie z ww. zakresem robót instalacyjnych. </w:t>
      </w:r>
    </w:p>
    <w:p>
      <w:pPr>
        <w:pStyle w:val="Normal"/>
        <w:rPr/>
      </w:pPr>
      <w:r>
        <w:rPr/>
        <w:t>W ogrzewanych pomieszczeniach należy zaprojektować instalację centralnego ogrzewania wodnego systemu pompowego, zamkniętego, zabezpieczonego przeponowym naczyniem wzbiorczym. Przewody instalacji c.o. w obrębie pomieszczeń prowadzić pod stropem.</w:t>
      </w:r>
    </w:p>
    <w:p>
      <w:pPr>
        <w:pStyle w:val="Normal"/>
        <w:rPr/>
      </w:pPr>
      <w:r>
        <w:rPr/>
        <w:t xml:space="preserve">Czynnikiem grzewczym będzie woda o parametrach zmiennych, szczytowo wynoszących 70/50ºC. Czynnik grzewczy przygotowywany będzie w kotłowni gazowej. </w:t>
      </w:r>
    </w:p>
    <w:p>
      <w:pPr>
        <w:pStyle w:val="Normal"/>
        <w:rPr/>
      </w:pPr>
      <w:r>
        <w:rPr/>
        <w:t xml:space="preserve">Wartości obliczeniowych temperatur wewnętrznych w pomieszczeniach przyjąć zgodnie z </w:t>
      </w:r>
      <w:r>
        <w:rPr/>
        <w:fldChar w:fldCharType="begin"/>
      </w:r>
      <w:r>
        <w:instrText> REF _Ref10613371 \r \h </w:instrText>
      </w:r>
      <w:r>
        <w:fldChar w:fldCharType="separate"/>
      </w:r>
      <w:r>
        <w:t xml:space="preserve">[7] - </w:t>
      </w:r>
      <w:r>
        <w:fldChar w:fldCharType="end"/>
      </w:r>
      <w:r>
        <w:rPr/>
        <w:fldChar w:fldCharType="begin"/>
      </w:r>
      <w:r>
        <w:instrText> REF _Ref10613371 \h </w:instrText>
      </w:r>
      <w:r>
        <w:fldChar w:fldCharType="separate"/>
      </w:r>
      <w:r/>
      <w:r>
        <w:fldChar w:fldCharType="end"/>
      </w:r>
      <w:r>
        <w:rPr/>
        <w:t>.</w:t>
      </w:r>
    </w:p>
    <w:p>
      <w:pPr>
        <w:pStyle w:val="Normal"/>
        <w:rPr/>
      </w:pPr>
      <w:r>
        <w:rPr/>
        <w:t xml:space="preserve">Jako elementy grzejne dla pomieszczeń biurowych i socjalnych przyjąć podtynkowy płaszczyznowy system ogrzewania, zgodnie z dalszą częścią PFU. W szczególnie uzasadnionych przypadkach, gdzie ze względów technicznych niemożliwe będzie wykonanie ww. systemu, wymagane będzie ogrzanie pomieszczenia zamkniętego (nieprzylegajacego do ścian zewnętrznych) lub wykonanie ww. systemu podtynkowego będzie niemożliwe ze względu na wymagane wykończenie ścian (ze względów higieniczno-sanitarnych) dopuszcza się niskotemperaturowe stalowe grzejniki, zasilane centralnie z dołu i fabrycznie wyposażone w zawory termostatyczne i ręczne odpowietrzniki. Do grzejników zastosować głowice termostatyczne z ograniczeniem temperatury do +16°C. Gałązki zasilające i powrotne przy grzejnikach płytowych wyposażyć w grzejnikowe zawory odcinające z funkcją napełniania i opróżniania. </w:t>
      </w:r>
    </w:p>
    <w:p>
      <w:pPr>
        <w:pStyle w:val="Normal"/>
        <w:rPr/>
      </w:pPr>
      <w:r>
        <w:rPr/>
        <w:t>Przewody projektowanej instalacji c.o. w budynku wykonać przy użyciu rur stalowych ocynkowanych zewnętrznie łączonych na zaciski. Do kompensacji wydłużeń termicznych odcinków poziomych stosować kompensację naturalną (kształtną).</w:t>
      </w:r>
    </w:p>
    <w:p>
      <w:pPr>
        <w:pStyle w:val="Normal"/>
        <w:rPr/>
      </w:pPr>
      <w:r>
        <w:rPr/>
        <w:t>Przejścia przez ściany i stropy wykonać w tulejach ochronnych z rur PCV, PE lub PP o średnicy większej o 2 dymensje od średnicy nominalnej przewodu (nie dotyczy przejść przez przegrody oddzielenia pożarowego). Wolną przestrzeń między rurami wypełnić materiałem elastycznym, nieagresywnym. Rura ochronna powinna być dłuższa od grubości przegrody budowlanej co najmniej o 2 cm.</w:t>
      </w:r>
    </w:p>
    <w:p>
      <w:pPr>
        <w:pStyle w:val="Normal"/>
        <w:rPr/>
      </w:pPr>
      <w:r>
        <w:rPr/>
        <w:t>Przewody prowadzane pod stropem podwieszać za pomocą mocowań systemowych. Stosować uchwyty metalowe z wkładką gumową. Do kompensacji wydłużeń termicznych stosować kompensację U-kształtową.</w:t>
      </w:r>
    </w:p>
    <w:p>
      <w:pPr>
        <w:pStyle w:val="Normal"/>
        <w:rPr/>
      </w:pPr>
      <w:r>
        <w:rPr/>
        <w:t>Przewody c.o. izolować izolacją termiczną z pianki polietylenowej i poliuretanowej.</w:t>
      </w:r>
    </w:p>
    <w:p>
      <w:pPr>
        <w:pStyle w:val="Normal"/>
        <w:spacing w:before="100" w:after="0"/>
        <w:rPr/>
      </w:pPr>
      <w:r>
        <w:rPr/>
        <w:t>Zastosować izolację termiczną rur c.o. za pomocą elementów z pianki poliuretanowej (rury prowadzone po wierzchu) i pianki polietylenowej (w warstwie posadzki) o następujących grubościach:</w:t>
      </w:r>
    </w:p>
    <w:p>
      <w:pPr>
        <w:pStyle w:val="ListParagraph"/>
        <w:numPr>
          <w:ilvl w:val="0"/>
          <w:numId w:val="86"/>
        </w:numPr>
        <w:spacing w:before="100" w:after="0"/>
        <w:rPr/>
      </w:pPr>
      <w:r>
        <w:rPr/>
        <w:t>przewody o średnicy nominalnej do 22 mm – grubość izolacji 20 mm,</w:t>
      </w:r>
    </w:p>
    <w:p>
      <w:pPr>
        <w:pStyle w:val="ListParagraph"/>
        <w:numPr>
          <w:ilvl w:val="0"/>
          <w:numId w:val="86"/>
        </w:numPr>
        <w:spacing w:before="100" w:after="0"/>
        <w:rPr/>
      </w:pPr>
      <w:r>
        <w:rPr/>
        <w:t>przewody o średnicy nominalnej 28 mm – grubość izolacji 25 mm,</w:t>
      </w:r>
    </w:p>
    <w:p>
      <w:pPr>
        <w:pStyle w:val="ListParagraph"/>
        <w:numPr>
          <w:ilvl w:val="0"/>
          <w:numId w:val="86"/>
        </w:numPr>
        <w:spacing w:before="100" w:after="0"/>
        <w:rPr/>
      </w:pPr>
      <w:r>
        <w:rPr/>
        <w:t>przewody o średnicy nominalnej 35 mm – grubość izolacji 30 mm,</w:t>
      </w:r>
    </w:p>
    <w:p>
      <w:pPr>
        <w:pStyle w:val="ListParagraph"/>
        <w:numPr>
          <w:ilvl w:val="0"/>
          <w:numId w:val="86"/>
        </w:numPr>
        <w:spacing w:before="100" w:after="0"/>
        <w:rPr/>
      </w:pPr>
      <w:r>
        <w:rPr/>
        <w:t>przewody o średnicy nominalnej 42 mm – grubość izolacji 40 mm,</w:t>
      </w:r>
    </w:p>
    <w:p>
      <w:pPr>
        <w:pStyle w:val="ListParagraph"/>
        <w:numPr>
          <w:ilvl w:val="0"/>
          <w:numId w:val="86"/>
        </w:numPr>
        <w:spacing w:before="100" w:after="0"/>
        <w:rPr/>
      </w:pPr>
      <w:r>
        <w:rPr/>
        <w:t>przewody o średnicy nominalnej 54 mm – grubość izolacji 50 mm.</w:t>
      </w:r>
    </w:p>
    <w:p>
      <w:pPr>
        <w:pStyle w:val="Normal"/>
        <w:rPr/>
      </w:pPr>
      <w:r>
        <w:rPr/>
        <w:t>Do instalacji prowadzonej w bruzdach ściennych przewidzieć izolację z polietylenu o grubości 9 mm.</w:t>
      </w:r>
    </w:p>
    <w:p>
      <w:pPr>
        <w:pStyle w:val="Normal"/>
        <w:rPr/>
      </w:pPr>
      <w:r>
        <w:rPr/>
        <w:t>Opaski izolacji należy oznakować zgodnie z PN-B-01400 w kolorach (karmin – zasilanie, niebieski – powrót).</w:t>
      </w:r>
    </w:p>
    <w:p>
      <w:pPr>
        <w:pStyle w:val="Normal"/>
        <w:rPr/>
      </w:pPr>
      <w:r>
        <w:rPr/>
        <w:t>Na przewodach należy oznaczyć kierunki przepływu zgodnie z dokumentacją. Całość prac należy wykonać zgodnie z normą PN-B-02421.</w:t>
      </w:r>
    </w:p>
    <w:p>
      <w:pPr>
        <w:pStyle w:val="Normal"/>
        <w:rPr/>
      </w:pPr>
      <w:r>
        <w:rPr/>
        <w:t>Należy stosować izolacje termiczne z pianki polietylenowej klasyfikowane jako materiał nierozprzestrzeniający ognia wg PN-B-02873:96.</w:t>
      </w:r>
    </w:p>
    <w:p>
      <w:pPr>
        <w:pStyle w:val="Normal"/>
        <w:rPr/>
      </w:pPr>
      <w:r>
        <w:rPr/>
        <w:t xml:space="preserve">Izolacja przewodów c.o. powinna być wykonana w sposób zapewniający nierozprzestrzenianie się ognia, zgodnie z § 267 ust. 8 </w:t>
      </w:r>
      <w:r>
        <w:rPr/>
        <w:fldChar w:fldCharType="begin"/>
      </w:r>
      <w:r>
        <w:instrText> REF _Ref10613371 \r \h </w:instrText>
      </w:r>
      <w:r>
        <w:fldChar w:fldCharType="separate"/>
      </w:r>
      <w:r>
        <w:t xml:space="preserve">[7] - </w:t>
      </w:r>
      <w:r>
        <w:fldChar w:fldCharType="end"/>
      </w:r>
      <w:r>
        <w:rPr/>
        <w:fldChar w:fldCharType="begin"/>
      </w:r>
      <w:r>
        <w:instrText> REF _Ref10613371 \h </w:instrText>
      </w:r>
      <w:r>
        <w:fldChar w:fldCharType="separate"/>
      </w:r>
      <w:r/>
      <w:r>
        <w:fldChar w:fldCharType="end"/>
      </w:r>
      <w:r>
        <w:rPr/>
        <w:t>.</w:t>
      </w:r>
    </w:p>
    <w:p>
      <w:pPr>
        <w:pStyle w:val="Normal"/>
        <w:rPr/>
      </w:pPr>
      <w:r>
        <w:rPr/>
        <w:t>Odpowiedni strumień masy czynnika grzewczego w elementach grzejnych instalacji c.o. należy zapewnić przez właściwe nastawy wstępne zaworów termostatycznych.</w:t>
      </w:r>
    </w:p>
    <w:p>
      <w:pPr>
        <w:pStyle w:val="Normal"/>
        <w:rPr/>
      </w:pPr>
      <w:r>
        <w:rPr/>
        <w:t>Odpowietrzenie instalacji c.o. zrealizować za pomocą ręcznych odpowietrzników grzejnikowych. W najwyższych miejscach instalacji c.o. na pionach przewidzieć automatyczne zawory odpowietrzające 1/2” z zaworami stopowymi i kulowymi zaworami odcinającymi DN15.</w:t>
      </w:r>
    </w:p>
    <w:p>
      <w:pPr>
        <w:pStyle w:val="Normal"/>
        <w:rPr/>
      </w:pPr>
      <w:r>
        <w:rPr/>
        <w:t>Odwodnienie instalacji c.o. zrealizować poprzez zawory spustowe w kotłowni gazowej. Niezależnie każdy z grzejników wyposażyć na podejściu w kątowe zawory z funkcją odcięcia i spustu wody z grzejnika bez konieczności wyłączania instalacji c.o.</w:t>
      </w:r>
    </w:p>
    <w:p>
      <w:pPr>
        <w:pStyle w:val="Normal"/>
        <w:rPr/>
      </w:pPr>
      <w:r>
        <w:rPr/>
        <w:t>Po wykonaniu instalacji należy ją poddać próbie szczelności. Przed przystąpieniem do prób całą instalację należy przepłukać wodą wodociągową z prędkością przepływu nie mniejszą niż 2 m/s do czasu osiągnięcia pełnej czystości wody. Należy wykonać próbę na zimno przed zakryciem instalacji.</w:t>
      </w:r>
    </w:p>
    <w:p>
      <w:pPr>
        <w:pStyle w:val="Normal"/>
        <w:rPr/>
      </w:pPr>
      <w:r>
        <w:rPr/>
        <w:t>Po płukaniu instalację napełnić wodą uzdatnioną i dokładnie odpowietrzyć. Przy ciśnieniu statycznym słupa wody dokonać przeglądu szczelności instalacji.</w:t>
      </w:r>
    </w:p>
    <w:p>
      <w:pPr>
        <w:pStyle w:val="Normal"/>
        <w:rPr/>
      </w:pPr>
      <w:r>
        <w:rPr/>
        <w:t>Ciśnienie próbne wynosi 0.4 MPa. Do instalacji należy podłączyć ręczną pompę do badania szczelności. Czas trwania próby instalacji wynosi 30 min.</w:t>
      </w:r>
    </w:p>
    <w:p>
      <w:pPr>
        <w:pStyle w:val="Normal"/>
        <w:rPr/>
      </w:pPr>
      <w:r>
        <w:rPr/>
        <w:t>Do pomiaru ciśnienia stosować manometr tarczowy o średnicy tarczy co najmniej 150 mm i zakresie wskazań o 50% większym od ciśnienia próbnego (0,6 MPa). Działka elementarna nie może być większa od 0,1 bar.</w:t>
      </w:r>
    </w:p>
    <w:p>
      <w:pPr>
        <w:pStyle w:val="Normal"/>
        <w:rPr/>
      </w:pPr>
      <w:r>
        <w:rPr/>
        <w:t>Po pomyślnie przeprowadzonej próbie instalację napełnić wodą uzdatnioną do celów ciepłowniczych. Nie dopuszcza się napełniania i uzupełniania zładu wodą wodociągową.</w:t>
      </w:r>
    </w:p>
    <w:p>
      <w:pPr>
        <w:pStyle w:val="Nagwek5"/>
        <w:numPr>
          <w:ilvl w:val="4"/>
          <w:numId w:val="3"/>
        </w:numPr>
        <w:rPr/>
      </w:pPr>
      <w:r>
        <w:rPr/>
        <w:t>Podtynkowy, płaszczyznowy system Ogrzewania</w:t>
      </w:r>
    </w:p>
    <w:p>
      <w:pPr>
        <w:pStyle w:val="Normal"/>
        <w:rPr/>
      </w:pPr>
      <w:r>
        <w:rPr/>
        <w:t xml:space="preserve">W ramach inwestycji, zgodnie z audytem energetycznym, należy wykonać nowy system centralnego ogrzewania obiektu, w tym wymianę tradycyjnych grzejników na podtynkowy system ogrzewania płaszczyznowego, o którego zastosowaniu zdecydowano w związku z zabytkową, ceglaną elewacją budynku i wynikającym z tego brakiem możliwości wykonania docieplenia obiektu od zewnątrz. </w:t>
      </w:r>
    </w:p>
    <w:p>
      <w:pPr>
        <w:pStyle w:val="Normal"/>
        <w:rPr/>
      </w:pPr>
      <w:r>
        <w:rPr/>
        <w:t>Projektowany układ grzewczy powinien cechować się:</w:t>
      </w:r>
    </w:p>
    <w:p>
      <w:pPr>
        <w:pStyle w:val="ListParagraph"/>
        <w:numPr>
          <w:ilvl w:val="0"/>
          <w:numId w:val="66"/>
        </w:numPr>
        <w:rPr/>
      </w:pPr>
      <w:r>
        <w:rPr/>
        <w:t>kompatybilnością z dowolnym źródłem ciepła, dopuszczonym w ramach audytu energetycznego i przedmiotowego PFU,</w:t>
      </w:r>
    </w:p>
    <w:p>
      <w:pPr>
        <w:pStyle w:val="ListParagraph"/>
        <w:numPr>
          <w:ilvl w:val="0"/>
          <w:numId w:val="66"/>
        </w:numPr>
        <w:rPr/>
      </w:pPr>
      <w:r>
        <w:rPr/>
        <w:t>małą bezwładnością układu umożliwiającą szybkie niwelowanie bieżących strat energii,</w:t>
      </w:r>
    </w:p>
    <w:p>
      <w:pPr>
        <w:pStyle w:val="ListParagraph"/>
        <w:numPr>
          <w:ilvl w:val="0"/>
          <w:numId w:val="66"/>
        </w:numPr>
        <w:rPr/>
      </w:pPr>
      <w:r>
        <w:rPr/>
        <w:t>niskotemperaturową redystrybucją ciepła, przy jednoczesnym zastosowaniu tradycyjnego wysokotemperaturowego źródła ciepła i instalacji zasilającej</w:t>
      </w:r>
    </w:p>
    <w:p>
      <w:pPr>
        <w:pStyle w:val="ListParagraph"/>
        <w:numPr>
          <w:ilvl w:val="0"/>
          <w:numId w:val="66"/>
        </w:numPr>
        <w:rPr/>
      </w:pPr>
      <w:r>
        <w:rPr/>
        <w:t>wyrównanym rozkładem temperatur w funkcji wysokości pomieszczenia,</w:t>
      </w:r>
    </w:p>
    <w:p>
      <w:pPr>
        <w:pStyle w:val="ListParagraph"/>
        <w:numPr>
          <w:ilvl w:val="0"/>
          <w:numId w:val="66"/>
        </w:numPr>
        <w:rPr/>
      </w:pPr>
      <w:r>
        <w:rPr/>
        <w:t>ograniczeniem efektu konwekcji ciepłego powietrza – system oparty o promieniowanie jako główny sposób przekazywania energii</w:t>
      </w:r>
    </w:p>
    <w:p>
      <w:pPr>
        <w:pStyle w:val="ListParagraph"/>
        <w:numPr>
          <w:ilvl w:val="0"/>
          <w:numId w:val="66"/>
        </w:numPr>
        <w:rPr/>
      </w:pPr>
      <w:r>
        <w:rPr/>
        <w:t>możliwością precyzyjnego sterowania i zaprogramowania pracy systemu, uwzgledniającą specyfikę obiektu (placówka szkolna i przedszkolna w obiekcie zabytkowym) z możliwością zdalnego sterowania,</w:t>
      </w:r>
    </w:p>
    <w:p>
      <w:pPr>
        <w:pStyle w:val="ListParagraph"/>
        <w:numPr>
          <w:ilvl w:val="0"/>
          <w:numId w:val="66"/>
        </w:numPr>
        <w:rPr/>
      </w:pPr>
      <w:r>
        <w:rPr/>
        <w:t>możliwością długoterminowego programowania systemu oraz monitorowania statystyk jego funkcjonowania,</w:t>
      </w:r>
    </w:p>
    <w:p>
      <w:pPr>
        <w:pStyle w:val="ListParagraph"/>
        <w:numPr>
          <w:ilvl w:val="0"/>
          <w:numId w:val="66"/>
        </w:numPr>
        <w:rPr/>
      </w:pPr>
      <w:r>
        <w:rPr/>
        <w:t>możliwością regulacji i ustawienia temperatury dla poszczególnych pomieszczeń, w zależności od ich specyfiki i przeznaczenia, zgodnie z obowiązującymi wymaganiami,</w:t>
      </w:r>
    </w:p>
    <w:p>
      <w:pPr>
        <w:pStyle w:val="ListParagraph"/>
        <w:numPr>
          <w:ilvl w:val="0"/>
          <w:numId w:val="66"/>
        </w:numPr>
        <w:rPr/>
      </w:pPr>
      <w:r>
        <w:rPr/>
        <w:t>możliwością włączenia/wyłączenia z pracy systemu wybranych pomieszczeń,</w:t>
      </w:r>
    </w:p>
    <w:p>
      <w:pPr>
        <w:pStyle w:val="ListParagraph"/>
        <w:numPr>
          <w:ilvl w:val="0"/>
          <w:numId w:val="66"/>
        </w:numPr>
        <w:rPr/>
      </w:pPr>
      <w:r>
        <w:rPr/>
        <w:t>łatwością obsługi,</w:t>
      </w:r>
    </w:p>
    <w:p>
      <w:pPr>
        <w:pStyle w:val="ListParagraph"/>
        <w:numPr>
          <w:ilvl w:val="0"/>
          <w:numId w:val="66"/>
        </w:numPr>
        <w:rPr/>
      </w:pPr>
      <w:r>
        <w:rPr/>
        <w:t>trwałością i bezawaryjnością – gwarancja bezawaryjnego działania układu i jego poszczególnych elementów na min. 5 lat</w:t>
      </w:r>
    </w:p>
    <w:p>
      <w:pPr>
        <w:pStyle w:val="ListParagraph"/>
        <w:numPr>
          <w:ilvl w:val="0"/>
          <w:numId w:val="66"/>
        </w:numPr>
        <w:rPr/>
      </w:pPr>
      <w:r>
        <w:rPr/>
        <w:t>ekonomicznością rozwiązania rozumiana jako suma kosztów instalacji i eksploatacji systemu, przy analizie kosztów eksploatacyjnych układu grzewczego (w tym m.in. kosztów ogrzewania, konserwacji) na przestrzeni min. 5lat użytkowania układu.</w:t>
      </w:r>
    </w:p>
    <w:p>
      <w:pPr>
        <w:pStyle w:val="Nagwek6"/>
        <w:numPr>
          <w:ilvl w:val="5"/>
          <w:numId w:val="3"/>
        </w:numPr>
        <w:rPr/>
      </w:pPr>
      <w:r>
        <w:rPr/>
        <w:t>Wymagania odnośnie budowy i zasady działania systemu.</w:t>
      </w:r>
    </w:p>
    <w:p>
      <w:pPr>
        <w:pStyle w:val="ListParagraph"/>
        <w:numPr>
          <w:ilvl w:val="0"/>
          <w:numId w:val="65"/>
        </w:numPr>
        <w:rPr/>
      </w:pPr>
      <w:r>
        <w:rPr/>
        <w:t xml:space="preserve">przyłącze wodne: system jednorurowy, łączenie szeregowe; instalacja wodna rozprowadzająca czynnik grzewczy (wodę) w budynku, </w:t>
      </w:r>
    </w:p>
    <w:p>
      <w:pPr>
        <w:pStyle w:val="ListParagraph"/>
        <w:numPr>
          <w:ilvl w:val="0"/>
          <w:numId w:val="65"/>
        </w:numPr>
        <w:rPr/>
      </w:pPr>
      <w:r>
        <w:rPr/>
        <w:t>rozdzielacz</w:t>
      </w:r>
    </w:p>
    <w:p>
      <w:pPr>
        <w:pStyle w:val="ListParagraph"/>
        <w:numPr>
          <w:ilvl w:val="0"/>
          <w:numId w:val="65"/>
        </w:numPr>
        <w:rPr/>
      </w:pPr>
      <w:r>
        <w:rPr/>
        <w:t xml:space="preserve">instalacja: </w:t>
      </w:r>
    </w:p>
    <w:p>
      <w:pPr>
        <w:pStyle w:val="ListParagraph"/>
        <w:numPr>
          <w:ilvl w:val="0"/>
          <w:numId w:val="65"/>
        </w:numPr>
        <w:rPr/>
      </w:pPr>
      <w:r>
        <w:rPr/>
        <w:t>elementy grzejne: grzejniki podtynkowe złożone z:</w:t>
      </w:r>
    </w:p>
    <w:p>
      <w:pPr>
        <w:pStyle w:val="ListParagraph"/>
        <w:numPr>
          <w:ilvl w:val="1"/>
          <w:numId w:val="65"/>
        </w:numPr>
        <w:rPr/>
      </w:pPr>
      <w:r>
        <w:rPr/>
        <w:t>dolnego kolektora wodnego - separacja układu wodnego od części grzewczej, odbiór energii cieplnej z wody w instalacji c.o.,</w:t>
      </w:r>
    </w:p>
    <w:p>
      <w:pPr>
        <w:pStyle w:val="ListParagraph"/>
        <w:numPr>
          <w:ilvl w:val="1"/>
          <w:numId w:val="65"/>
        </w:numPr>
        <w:rPr/>
      </w:pPr>
      <w:r>
        <w:rPr/>
        <w:t>suchych rdzeni radiacyjnych wypełnionych czynnikiem grzewczym, np. gazem chłodniczym, w celu rozprowadzenia energii cieplnej w całości grzejnika</w:t>
      </w:r>
    </w:p>
    <w:p>
      <w:pPr>
        <w:pStyle w:val="ListParagraph"/>
        <w:numPr>
          <w:ilvl w:val="1"/>
          <w:numId w:val="65"/>
        </w:numPr>
        <w:rPr/>
      </w:pPr>
      <w:r>
        <w:rPr/>
        <w:t>metalowe elementy radiacyjne z materiału o wysokiej odporności na korozję (np. aluminium) - równomierne oddawanie energii cieplnej do pomieszczenia (płaszczyznowo), np. siatka metalowa, z równoczesnym wzmocnieniem tynków (redukcja możliwości powstawania spękań na ścianach wewnętrznych)</w:t>
      </w:r>
    </w:p>
    <w:p>
      <w:pPr>
        <w:pStyle w:val="Normal"/>
        <w:rPr/>
      </w:pPr>
      <w:r>
        <w:rPr/>
        <w:t>UWAGA: w celu zmniejszenia oporu cieplnego przy płaszczyznowym oddawaniu energii cieplnej do pomieszczenia warstwa tynku powinna być dość cienka. W związku z powyższym wstępnie założono 15-20mm grubości tynków na ścianach. Rodzaj tynków należy określić szczegółowo na podstawie wymagań producenta danego systemu, wybranego do realizacji oraz zaleceń i instrukcji wykonania danego producenta tynków, wybranych na etapie wykonania dokumentacji projektowej. Ze względu na wymóg kompatybilności, nie dopuszcza się zmiany raz wybranych systemów i tynków, chyba że Wykonawca przedstawi dokumentację potwierdzającą kompatybilność zmienionych wyrobów, materiałów i urządzeń i wykaże, że zmiana co najmniej nie pogorszy parametrów uprzednio zaprojektowanych. Zmiany musi zostać pisemnie zaakceptowana przez projektanta branżowego i głównego projektanta oraz zatwierdzona przez Inspektora Nadzoru Inwestorskiego.</w:t>
      </w:r>
    </w:p>
    <w:p>
      <w:pPr>
        <w:pStyle w:val="Normal"/>
        <w:rPr>
          <w:b/>
          <w:b/>
        </w:rPr>
      </w:pPr>
      <w:r>
        <w:rPr>
          <w:b/>
        </w:rPr>
        <w:t>Lokalizacja grzejników</w:t>
      </w:r>
    </w:p>
    <w:p>
      <w:pPr>
        <w:pStyle w:val="Normal"/>
        <w:rPr/>
      </w:pPr>
      <w:r>
        <w:rPr/>
        <w:t>Lokalizacja grzejników powinna wynikać z ukształtowania powierzchni pomieszczenia oraz sposobu jego aranżacji. Panele grzewcze należy zaprojektować w miejscach odsłoniętych, przynajmniej na ścianach zewnętrznych, przy oknach w miejscu największych strat ciepła. Układ grzejników należy zaprojektować jako łączony szeregowo, tak aby powrót z pierwszego grzejnika stanowił zasilanie kolejnego. Maksymalna liczba grzejników podłączonych do jednego obwodu zależy od doboru przepływów i wysokości parametru i należy ustalić ją na etapie wykonania dokumentacji projektowej, zgodnie z zaleceniami projektowymi dobranego na tym etapie, konkretnego systemu.</w:t>
      </w:r>
    </w:p>
    <w:p>
      <w:pPr>
        <w:pStyle w:val="Normal"/>
        <w:rPr/>
      </w:pPr>
      <w:r>
        <w:rPr/>
        <w:t xml:space="preserve">UWAGA: W przypadku szczególnie uzasadnionym, jak np. pomieszczenia zamknięte, wymagające ogrzewania i/lub ściany, na których ze względów technologicznych niemożliwy okaże się montaż podtynkowy grzejników należy zaprojektować i wykonać tradycyjne grzejniki płytowe lub żeberkowe wg wymagań WT i obowiązujących norm. W takim przypadku ww. rozwiązanie należy bezwzględnie uzgodnić z Inspektorem Nadzoru przed zakończeniem etapu wykonania projektu budowlanego. </w:t>
      </w:r>
    </w:p>
    <w:p>
      <w:pPr>
        <w:pStyle w:val="Nagwek6"/>
        <w:numPr>
          <w:ilvl w:val="5"/>
          <w:numId w:val="3"/>
        </w:numPr>
        <w:rPr/>
      </w:pPr>
      <w:r>
        <w:rPr/>
        <w:t>Warunki wykonania systemu</w:t>
      </w:r>
    </w:p>
    <w:p>
      <w:pPr>
        <w:pStyle w:val="Normal"/>
        <w:rPr>
          <w:b/>
          <w:b/>
        </w:rPr>
      </w:pPr>
      <w:r>
        <w:rPr>
          <w:b/>
        </w:rPr>
        <w:t>Montaż grzejników w technologii mokrej zabudowy</w:t>
      </w:r>
    </w:p>
    <w:p>
      <w:pPr>
        <w:pStyle w:val="Normal"/>
        <w:rPr/>
      </w:pPr>
      <w:r>
        <w:rPr/>
        <w:t>Grzejniki należy zamontować do ściany za pomocą systemowych klipsów montażowych, np. kołków montażowych, zgodnie z zaleceniami i instrukcją montażu wybranego do realizacji systemu. Uchwyty należy umieścić we wcześniej przygotowanych otworach w ścianie, o średnicy dopasowanej do wymagań systemu montażowego, zgodnie z zaleceniami producenta. Minimalna ilość uchwytów dla ściany prostej wynosi 4 sztuki, w przypadku występowania krzywizn należy zastosować większą ilość uchwytów pozwalającą na stabilne zamocowanie grzejnika do ściany i bezpieczne ułożenie warstwy tynku. Grzejnik zaleca się mocować tak, aby kolektor wodny znajdował się na wysokości ostatniej warstwy projektowanej termoizolacji posadzki. Przed zakończeniem robót tynkarskich, elementy przeznaczone do włączenia w instalację zasilającą należy pozostawić fabrycznie zabezpieczone, a w przypadku braku takiego zabezpieczenia należy je wykonać, tak aby nie zaszła możliwość dostania się zanieczyszczeń do wnętrza elementu kolektora grzejnika, co zaś może wpłynąć na jego zmniejszoną wydajność lub nawet uszkodzenie.</w:t>
      </w:r>
    </w:p>
    <w:p>
      <w:pPr>
        <w:pStyle w:val="Normal"/>
        <w:rPr/>
      </w:pPr>
      <w:r>
        <w:rPr>
          <w:b/>
        </w:rPr>
        <w:t>Instalacja zasilająca grzejniki</w:t>
      </w:r>
    </w:p>
    <w:p>
      <w:pPr>
        <w:pStyle w:val="Normal"/>
        <w:rPr/>
      </w:pPr>
      <w:r>
        <w:rPr/>
        <w:t>Do wykonania instalacji zasilającej grzejniki należy zastosować rozwiązania systemowe, np. preizolowane elastyczne przewody/rury z tworzywa sztucznego o wysokiej trwałości i stabilności chemicznej i izolacyjności termicznej. Przewody instalacyjne do grzejników należy prowadzić w otulinie, jeśli nie zastosowano systemowych preizolowanych elastycznych rur z tworzywa i układać w warstwie izolującej posadzkę lub w bruzdach ściennych. Miejsca przejść przez przegrody budowlane oraz szczeliny dylatacyjne należy zabezpieczyć rurą osłonową. Przewody przesyłowe doprowadzające należy mocować do podłoża za pomocą uchwytów. Nie należy wypełniać przestrzeni pomiędzy systemową preizolowaną rurą z tworzywa a przegrodą budowalną pianką PUR lub PIR z uwagi na zawarte w niej związki chemiczne, chyba że zalecenia i instrukcja montażu danego systemu wyraźnie zaleca takie rozwiązanie.</w:t>
      </w:r>
    </w:p>
    <w:p>
      <w:pPr>
        <w:pStyle w:val="Normal"/>
        <w:rPr>
          <w:b/>
          <w:b/>
        </w:rPr>
      </w:pPr>
      <w:r>
        <w:rPr>
          <w:b/>
        </w:rPr>
        <w:t xml:space="preserve">Podłączenie do rozdzielacza </w:t>
      </w:r>
    </w:p>
    <w:p>
      <w:pPr>
        <w:pStyle w:val="Normal"/>
        <w:rPr/>
      </w:pPr>
      <w:r>
        <w:rPr/>
        <w:t>Podłączenie rur zasilających grzejniki do rozdzielacza należy wykonać za pomocą śrubunku do rozdzielacza systemowego, kompatybilnego z rodzajem, średnicami i sposobem łączenia właściwym dla wybranego systemu rur zasilających i instalacji c.o. w budynku. Po wykonaniu podłączenia oraz przeprowadzeniu próby szczelności instalacji i uruchomieniu ogrzewania na parametrze roboczym zaleca się dokonanie wtórnej wizualnej kontroli połączenia kształtek do rozdzielacza.</w:t>
      </w:r>
    </w:p>
    <w:p>
      <w:pPr>
        <w:pStyle w:val="Normal"/>
        <w:rPr>
          <w:b/>
          <w:b/>
        </w:rPr>
      </w:pPr>
      <w:r>
        <w:rPr>
          <w:b/>
        </w:rPr>
        <w:t>Połączenia paneli grzewczych</w:t>
      </w:r>
    </w:p>
    <w:p>
      <w:pPr>
        <w:pStyle w:val="Normal"/>
        <w:rPr/>
      </w:pPr>
      <w:r>
        <w:rPr/>
        <w:t xml:space="preserve">Kolektor wodny w grzejniku podtynkowym powinien być obustronnie zakończony złączem o średnicy zewnętrznej dopasowanej do systemu rur zasilających. Dopuszcza się wyłącznie wykonanie połączeń z grzejnikiem przy zastosowaniu systemów rurowych dopuszczonych przez danego producenta podtynkowych grzejników płaszczyznowych. Połączeniu przewodu zasilającego należy wykonać ścisłe z zaleceniami i instrukcją montażu dla danego systemu. Dopuszcza się połączenia nie bezpośrednie z innymi systemami orurowania niż wymagane przez producenta, przy zastosowaniu odpowiednich złączek i przejściówek, w przypadku dopuszczenia takiego rozwiązania przez producenta danego systemu instalacji (grzejników i przewodów, rur zasilających). </w:t>
      </w:r>
    </w:p>
    <w:p>
      <w:pPr>
        <w:pStyle w:val="Normal"/>
        <w:rPr/>
      </w:pPr>
      <w:r>
        <w:rPr/>
        <w:t xml:space="preserve">Kolejność montażu połączenia instalacji zasilającej z zainstalowanym grzejnikiem: </w:t>
      </w:r>
    </w:p>
    <w:p>
      <w:pPr>
        <w:pStyle w:val="Tretekstu"/>
        <w:numPr>
          <w:ilvl w:val="0"/>
          <w:numId w:val="34"/>
        </w:numPr>
        <w:spacing w:before="0" w:after="0"/>
        <w:rPr/>
      </w:pPr>
      <w:r>
        <w:rPr/>
        <w:t>zdjęcie osłony zabezpieczającej końcówkę kolektora lub wykonanego na budowie zabezpieczenia (w przypadku braku zabezpieczenia fabrycznego),</w:t>
      </w:r>
    </w:p>
    <w:p>
      <w:pPr>
        <w:pStyle w:val="Tretekstu"/>
        <w:numPr>
          <w:ilvl w:val="0"/>
          <w:numId w:val="34"/>
        </w:numPr>
        <w:spacing w:before="0" w:after="0"/>
        <w:rPr/>
      </w:pPr>
      <w:r>
        <w:rPr/>
        <w:t>sprawdzenie czystości złączki kolektora. W przypadku wystąpienia zanieczyszczenia należy dokładnie oczyścić złączkę,</w:t>
      </w:r>
    </w:p>
    <w:p>
      <w:pPr>
        <w:pStyle w:val="Tretekstu"/>
        <w:numPr>
          <w:ilvl w:val="0"/>
          <w:numId w:val="34"/>
        </w:numPr>
        <w:spacing w:before="0" w:after="0"/>
        <w:rPr/>
      </w:pPr>
      <w:r>
        <w:rPr/>
        <w:t>Wykonanie połączenia systemowego zgodnie z zaleceniami i instrukcją danego systemu przy użyciu łącznika systemowego, np.: nałożenie opaski zaciskowej, na przewód zasilający, nasunięcie przewodu zasilającego na przyłącze grzejnikowe (nypel karbowany), nasunięcie opaski zaciskowej i jej zaciśnięcie w pozycji - środek długości nypla karbowanego,</w:t>
      </w:r>
    </w:p>
    <w:p>
      <w:pPr>
        <w:pStyle w:val="Tretekstu"/>
        <w:numPr>
          <w:ilvl w:val="0"/>
          <w:numId w:val="34"/>
        </w:numPr>
        <w:spacing w:before="0" w:after="0"/>
        <w:rPr/>
      </w:pPr>
      <w:r>
        <w:rPr/>
        <w:t>sprawdzenie połączenia.</w:t>
      </w:r>
    </w:p>
    <w:p>
      <w:pPr>
        <w:pStyle w:val="Normal"/>
        <w:rPr>
          <w:b/>
          <w:b/>
        </w:rPr>
      </w:pPr>
      <w:r>
        <w:rPr>
          <w:b/>
        </w:rPr>
        <w:t xml:space="preserve">Pola grzewcze, dylatacje </w:t>
      </w:r>
    </w:p>
    <w:p>
      <w:pPr>
        <w:pStyle w:val="Normal"/>
        <w:rPr/>
      </w:pPr>
      <w:r>
        <w:rPr/>
        <w:t>Zakłada się zastosowanie systemu niewymagającego stosowania dylatacji z wykorzystaniem grzejników podtynkowych dla układów ściennych. Element radiacyjny grzejnika pełnić ma fakcję wzmocnienia warstwy tynku. Wszelkie dylatacje należy wykonać zgodnie ze sztuką budowlaną niezależnie od stosowania ww. systemu ogrzewania płaszczyznowego. W przypadku gdy producent tynku określił maksymalną powierzchnie bez dylatacji należy przyjąć podział układu grzewczego na strefy. Tynki stosowane do grzejników podtynkowych, powinny charakteryzować się dobrą przewodnością cieplną. Zastosowanie podtynkowych grzejników nie powinno powodować zmiany grubości tynku.</w:t>
      </w:r>
    </w:p>
    <w:p>
      <w:pPr>
        <w:pStyle w:val="Normal"/>
        <w:rPr>
          <w:b/>
          <w:b/>
        </w:rPr>
      </w:pPr>
      <w:r>
        <w:rPr>
          <w:b/>
        </w:rPr>
        <w:t>Rozruch instalacji – rozgrzewanie ścian</w:t>
      </w:r>
    </w:p>
    <w:p>
      <w:pPr>
        <w:pStyle w:val="Normal"/>
        <w:rPr/>
      </w:pPr>
      <w:r>
        <w:rPr/>
        <w:t xml:space="preserve">Rozgrzewanie ścian można rozpocząć po uzyskaniu odpowiedniej twardości tynku, w czasie wskazanym przez producenta. Należy ograniczyć temperaturę zasilania do 25ºC. Podnoszenie temperatury czynnika grzewczego należy prowadzić stopniowo, zwiększając ją o 5ºC na dobę. </w:t>
      </w:r>
    </w:p>
    <w:p>
      <w:pPr>
        <w:pStyle w:val="Normal"/>
        <w:rPr/>
      </w:pPr>
      <w:r>
        <w:rPr/>
        <w:t>Nowoczesne piece posiadają automatyczny program suszenia. Po całkowitym wyschnięciu tynku według zaleceń producenta tynku, należy wygrzać ściany wpuszczając do układu grzewczego czynnik o temperaturze co najmniej 60ºC na czas 24 do 48 godzin. Po zakończeniu ww. czynności można przystąpić do wykonania gładzi i malowania ścian.</w:t>
      </w:r>
    </w:p>
    <w:p>
      <w:pPr>
        <w:pStyle w:val="Normal"/>
        <w:rPr/>
      </w:pPr>
      <w:r>
        <w:rPr/>
        <w:t>Zalecane rodzaje tynków:</w:t>
      </w:r>
    </w:p>
    <w:p>
      <w:pPr>
        <w:pStyle w:val="ListParagraph"/>
        <w:numPr>
          <w:ilvl w:val="0"/>
          <w:numId w:val="68"/>
        </w:numPr>
        <w:rPr/>
      </w:pPr>
      <w:r>
        <w:rPr/>
        <w:t>gipsowe,</w:t>
      </w:r>
    </w:p>
    <w:p>
      <w:pPr>
        <w:pStyle w:val="ListParagraph"/>
        <w:numPr>
          <w:ilvl w:val="0"/>
          <w:numId w:val="68"/>
        </w:numPr>
        <w:rPr/>
      </w:pPr>
      <w:r>
        <w:rPr/>
        <w:t>cementowo– wapienne,</w:t>
      </w:r>
    </w:p>
    <w:p>
      <w:pPr>
        <w:pStyle w:val="ListParagraph"/>
        <w:numPr>
          <w:ilvl w:val="0"/>
          <w:numId w:val="68"/>
        </w:numPr>
        <w:rPr/>
      </w:pPr>
      <w:r>
        <w:rPr/>
        <w:t>wapienne,</w:t>
      </w:r>
    </w:p>
    <w:p>
      <w:pPr>
        <w:pStyle w:val="ListParagraph"/>
        <w:numPr>
          <w:ilvl w:val="0"/>
          <w:numId w:val="68"/>
        </w:numPr>
        <w:rPr/>
      </w:pPr>
      <w:r>
        <w:rPr/>
        <w:t>gliniane,</w:t>
      </w:r>
    </w:p>
    <w:p>
      <w:pPr>
        <w:pStyle w:val="ListParagraph"/>
        <w:numPr>
          <w:ilvl w:val="0"/>
          <w:numId w:val="68"/>
        </w:numPr>
        <w:rPr/>
      </w:pPr>
      <w:r>
        <w:rPr/>
        <w:t>inne specjalne tynki</w:t>
      </w:r>
    </w:p>
    <w:p>
      <w:pPr>
        <w:pStyle w:val="Normal"/>
        <w:rPr/>
      </w:pPr>
      <w:r>
        <w:rPr/>
        <w:t>Prowadzenie przewodów elektrycznych</w:t>
      </w:r>
    </w:p>
    <w:p>
      <w:pPr>
        <w:pStyle w:val="Normal"/>
        <w:rPr/>
      </w:pPr>
      <w:r>
        <w:rPr/>
        <w:t>Dopuszcza się umieszczanie przewodów instalacji i rozmieszczenie urządzeń elektrycznych w strefie grzejnika pod warunkiem zachowania odległości 20 cm od górnej rzędnej kolektora grzejnika. Otwór np. dla gniazda wtyczkowego należy wykonać w siatce radiatora bez uszkodzenia elementów grzejnych.</w:t>
      </w:r>
    </w:p>
    <w:p>
      <w:pPr>
        <w:pStyle w:val="Normal"/>
        <w:rPr>
          <w:b/>
          <w:b/>
        </w:rPr>
      </w:pPr>
      <w:r>
        <w:rPr>
          <w:b/>
        </w:rPr>
        <w:t>Pozostałe zalecenia montażowe</w:t>
      </w:r>
    </w:p>
    <w:p>
      <w:pPr>
        <w:pStyle w:val="Normal"/>
        <w:rPr/>
      </w:pPr>
      <w:r>
        <w:rPr/>
        <w:t>Montaż instalacji należy wykonywać po dokonaniu wymiany stolarki drzwiowej i okiennej, tj. zamontowanymi oknami oraz drzwiami.</w:t>
      </w:r>
    </w:p>
    <w:p>
      <w:pPr>
        <w:pStyle w:val="Normal"/>
        <w:rPr/>
      </w:pPr>
      <w:r>
        <w:rPr/>
        <w:t>Podczas montażu grzejników należy zachować szczególną ostrożność, aby nie uszkodzić kolektora oraz rdzeni. Uszkodzenie w postaci przebicia rdzenia, zagięcia spowoduje, że grzejnik nie będzie działał prawidłowo.</w:t>
      </w:r>
    </w:p>
    <w:p>
      <w:pPr>
        <w:pStyle w:val="Normal"/>
        <w:rPr/>
      </w:pPr>
      <w:r>
        <w:rPr/>
        <w:t>Podczas wykonywania posadzki instalacja powinna znajdować się pod ciśnieniem określonym przez producenta, np. nie mniejszym niż 2,0 bar, w celu uniknięcia deformacji rury.</w:t>
      </w:r>
    </w:p>
    <w:p>
      <w:pPr>
        <w:pStyle w:val="Normal"/>
        <w:rPr/>
      </w:pPr>
      <w:r>
        <w:rPr/>
        <w:t>Zaleca się, aby firma i/lub jej pracownik, montujący system posiadał certyfikat wydany przez producenta danych grzejników i systemu zasilającego, poświadczający uzyskanie wymaganych kwalifikacji</w:t>
      </w:r>
    </w:p>
    <w:p>
      <w:pPr>
        <w:pStyle w:val="Normal"/>
        <w:rPr/>
      </w:pPr>
      <w:r>
        <w:rPr/>
        <w:t>Przed przystąpieniem do realizacji dla systemu ogrzewania należy wykonać pełną dokumentację branżową wykonawczą składającą się zarówno z części opisowej, jak i graficznej oraz STWiOR.</w:t>
      </w:r>
    </w:p>
    <w:p>
      <w:pPr>
        <w:pStyle w:val="Normal"/>
        <w:rPr>
          <w:b/>
          <w:b/>
          <w:bCs/>
          <w:u w:val="single"/>
        </w:rPr>
      </w:pPr>
      <w:r>
        <w:rPr>
          <w:b/>
          <w:bCs/>
          <w:u w:val="single"/>
        </w:rPr>
        <w:t>Pierwsze uruchomienie</w:t>
      </w:r>
    </w:p>
    <w:p>
      <w:pPr>
        <w:pStyle w:val="Normal"/>
        <w:rPr/>
      </w:pPr>
      <w:r>
        <w:rPr/>
        <w:t>Po weryfikacji prawidłowości montażu należy przeprowadzić przepłukanie i odpowietrzenie grzejników i rurociągów grzewczych. W tym celu należy wykonać następujące czynności:</w:t>
      </w:r>
    </w:p>
    <w:p>
      <w:pPr>
        <w:pStyle w:val="ListParagraph"/>
        <w:numPr>
          <w:ilvl w:val="0"/>
          <w:numId w:val="69"/>
        </w:numPr>
        <w:rPr/>
      </w:pPr>
      <w:r>
        <w:rPr/>
        <w:t>na belce rozdzielacza zamknąć zawory wszystkich obwodów grzewczych,</w:t>
      </w:r>
    </w:p>
    <w:p>
      <w:pPr>
        <w:pStyle w:val="ListParagraph"/>
        <w:numPr>
          <w:ilvl w:val="0"/>
          <w:numId w:val="69"/>
        </w:numPr>
        <w:rPr/>
      </w:pPr>
      <w:r>
        <w:rPr/>
        <w:t>zamknąć zawory między pionami a rozdzielaczami,</w:t>
      </w:r>
    </w:p>
    <w:p>
      <w:pPr>
        <w:pStyle w:val="ListParagraph"/>
        <w:numPr>
          <w:ilvl w:val="0"/>
          <w:numId w:val="69"/>
        </w:numPr>
        <w:rPr/>
      </w:pPr>
      <w:r>
        <w:rPr/>
        <w:t>napełnić i odpowietrzyć piony,</w:t>
      </w:r>
    </w:p>
    <w:p>
      <w:pPr>
        <w:pStyle w:val="ListParagraph"/>
        <w:numPr>
          <w:ilvl w:val="0"/>
          <w:numId w:val="69"/>
        </w:numPr>
        <w:rPr/>
      </w:pPr>
      <w:r>
        <w:rPr/>
        <w:t>sprawdzić szczelność pionów.</w:t>
      </w:r>
    </w:p>
    <w:p>
      <w:pPr>
        <w:pStyle w:val="Normal"/>
        <w:rPr>
          <w:b/>
          <w:b/>
        </w:rPr>
      </w:pPr>
      <w:r>
        <w:rPr>
          <w:b/>
        </w:rPr>
        <w:t>Pętle grzewcze</w:t>
      </w:r>
    </w:p>
    <w:p>
      <w:pPr>
        <w:pStyle w:val="Normal"/>
        <w:rPr/>
      </w:pPr>
      <w:r>
        <w:rPr/>
        <w:t>Na zaworze spustowym belki powrotnej należy zamontować wąż, a drugi koniec odprowadzić do kanalizacji. Do belki zasilającej również za pomocą węża doprowadzamy wodę z wodociągu.</w:t>
      </w:r>
    </w:p>
    <w:p>
      <w:pPr>
        <w:pStyle w:val="ListParagraph"/>
        <w:numPr>
          <w:ilvl w:val="0"/>
          <w:numId w:val="70"/>
        </w:numPr>
        <w:rPr/>
      </w:pPr>
      <w:r>
        <w:rPr/>
        <w:t>otworzyć zawór zasilający pierwszego obwodu grzewczego,</w:t>
      </w:r>
    </w:p>
    <w:p>
      <w:pPr>
        <w:pStyle w:val="ListParagraph"/>
        <w:numPr>
          <w:ilvl w:val="0"/>
          <w:numId w:val="70"/>
        </w:numPr>
        <w:rPr/>
      </w:pPr>
      <w:r>
        <w:rPr/>
        <w:t>otworzyć zawór powrotny tego samego obwodu grzewczego,</w:t>
      </w:r>
    </w:p>
    <w:p>
      <w:pPr>
        <w:pStyle w:val="ListParagraph"/>
        <w:numPr>
          <w:ilvl w:val="0"/>
          <w:numId w:val="70"/>
        </w:numPr>
        <w:rPr/>
      </w:pPr>
      <w:r>
        <w:rPr/>
        <w:t>otworzyć zawór spustowy na pionie powrotnym,</w:t>
      </w:r>
    </w:p>
    <w:p>
      <w:pPr>
        <w:pStyle w:val="ListParagraph"/>
        <w:numPr>
          <w:ilvl w:val="0"/>
          <w:numId w:val="70"/>
        </w:numPr>
        <w:rPr/>
      </w:pPr>
      <w:r>
        <w:rPr/>
        <w:t>otworzyć zawór dopustowy,</w:t>
      </w:r>
    </w:p>
    <w:p>
      <w:pPr>
        <w:pStyle w:val="ListParagraph"/>
        <w:numPr>
          <w:ilvl w:val="0"/>
          <w:numId w:val="70"/>
        </w:numPr>
        <w:rPr/>
      </w:pPr>
      <w:r>
        <w:rPr/>
        <w:t>przelać wodę przez pierwszą pętlę grzewczą i obserwować wodę wypływającą do kanalizacji,</w:t>
      </w:r>
    </w:p>
    <w:p>
      <w:pPr>
        <w:pStyle w:val="ListParagraph"/>
        <w:numPr>
          <w:ilvl w:val="0"/>
          <w:numId w:val="70"/>
        </w:numPr>
        <w:rPr/>
      </w:pPr>
      <w:r>
        <w:rPr/>
        <w:t>jeżeli woda przepływająca przez układ jest czysta bez pęcherzyków powietrza, należy zamknąć zawór na powrocie,</w:t>
      </w:r>
    </w:p>
    <w:p>
      <w:pPr>
        <w:pStyle w:val="ListParagraph"/>
        <w:numPr>
          <w:ilvl w:val="0"/>
          <w:numId w:val="70"/>
        </w:numPr>
        <w:rPr/>
      </w:pPr>
      <w:r>
        <w:rPr/>
        <w:t xml:space="preserve">otworzyć zawory na drugiej pętli i postępować jak wyżej, </w:t>
      </w:r>
    </w:p>
    <w:p>
      <w:pPr>
        <w:pStyle w:val="ListParagraph"/>
        <w:numPr>
          <w:ilvl w:val="0"/>
          <w:numId w:val="70"/>
        </w:numPr>
        <w:rPr/>
      </w:pPr>
      <w:r>
        <w:rPr/>
        <w:t>płukać  każdą z pętli osobno aż do ostatniej.</w:t>
      </w:r>
    </w:p>
    <w:p>
      <w:pPr>
        <w:pStyle w:val="Normal"/>
        <w:rPr>
          <w:b/>
          <w:b/>
        </w:rPr>
      </w:pPr>
      <w:r>
        <w:rPr>
          <w:b/>
        </w:rPr>
        <w:t>Próba szczelności instalacji</w:t>
      </w:r>
    </w:p>
    <w:p>
      <w:pPr>
        <w:pStyle w:val="Normal"/>
        <w:rPr/>
      </w:pPr>
      <w:r>
        <w:rPr/>
        <w:t>Po przepłukaniu rurociągów, należy otworzyć wszystkie zawory na obwodach grzewczych, zamknąć zawór spustowy i dopustowy na belkach rozdzielaczy. Otwrzyć zawory między pionami a rozdzielaczami. Napełnićukład grzewczy wodą następnie sprężyć zład grzewczy do wymaganej wartości ciśnienia.</w:t>
      </w:r>
    </w:p>
    <w:p>
      <w:pPr>
        <w:pStyle w:val="Normal"/>
        <w:rPr>
          <w:b/>
          <w:b/>
        </w:rPr>
      </w:pPr>
      <w:r>
        <w:rPr>
          <w:b/>
        </w:rPr>
        <w:t>Wstępny rozruch</w:t>
      </w:r>
    </w:p>
    <w:p>
      <w:pPr>
        <w:pStyle w:val="Normal"/>
        <w:rPr/>
      </w:pPr>
      <w:r>
        <w:rPr/>
        <w:t>Jeżeli powyższe czynności zostały wykonane pomyślnie a wynik próby jest prawidłowy, należy przystąpić do pierwszego, wstępnego rozruchu. W tym celu należy uruchomić źródło ciepła i podać na układ grzewczy temperaturę. Wysokość temperatury wody w tym momencie nie ma znaczenia. Wykonać wstępną regulację przepływów w poszczególnych pętlach grzewczych, aby zachować równowagę oporów hydraulicznych w rurociągach. Wielkość przepływów w poszczególnych pętlach należy ustawić na podstawie dokumentacji projektowej.</w:t>
      </w:r>
    </w:p>
    <w:p>
      <w:pPr>
        <w:pStyle w:val="Normal"/>
        <w:rPr>
          <w:b/>
          <w:b/>
        </w:rPr>
      </w:pPr>
      <w:r>
        <w:rPr>
          <w:b/>
        </w:rPr>
        <w:t>Pomiar kontrolny parametrów pracy</w:t>
      </w:r>
    </w:p>
    <w:p>
      <w:pPr>
        <w:pStyle w:val="Normal"/>
        <w:rPr/>
      </w:pPr>
      <w:r>
        <w:rPr/>
        <w:t>Nie uruchamiając sterowania, należy właczyć ogrzewanie i po upływie 1 godziny dokonać kontrolnego pomiaru wydajności poszczególnych ścian grzewczych za pomocą kamery termowizyjnej. Jeżeli wszystkie ściany mają równą temperaturę ( +/- 5 stopni C ) wynik kontroli jest pozytywny. W przypadku gdy wystąpiły rozbieżności w pomiarach wydajności poszczególnych obwodów – należy dokonać korekty na rotometrach stosownie do wyników pomiaru. Po upływie 1 godziny należy dokonać powtórnego pomiaru. Czynności regulacyjne są ostatnim etapem uruchamiania systemu grzejników podtynkowych.</w:t>
      </w:r>
    </w:p>
    <w:p>
      <w:pPr>
        <w:pStyle w:val="Normal"/>
        <w:rPr>
          <w:b/>
          <w:b/>
        </w:rPr>
      </w:pPr>
      <w:r>
        <w:rPr>
          <w:b/>
        </w:rPr>
        <w:t>Sposoby transportu i przechowywania</w:t>
      </w:r>
    </w:p>
    <w:p>
      <w:pPr>
        <w:pStyle w:val="Normal"/>
        <w:rPr/>
      </w:pPr>
      <w:r>
        <w:rPr/>
        <w:t>Grzejniki podtynkowe powinny posiadać opakowania producenta. Podczas transportu i magazynowania nie mogą być rzucane, przygniatane. Można je transportować w pozycji stojącej i/lub horyzontalnej stosownie do zaleceń producenta. W czasie transportu należy zabezpieczyć je przed przypadkowym przesuwaniem. Opakowania należy zabezpieczyć przed deszczem oraz nadmierną wilgocią.</w:t>
      </w:r>
    </w:p>
    <w:p>
      <w:pPr>
        <w:pStyle w:val="Nagwek4"/>
        <w:numPr>
          <w:ilvl w:val="3"/>
          <w:numId w:val="3"/>
        </w:numPr>
        <w:rPr/>
      </w:pPr>
      <w:r>
        <w:rPr/>
        <w:t>Odprowadzenie wód opadowych wokół budynku</w:t>
      </w:r>
    </w:p>
    <w:p>
      <w:pPr>
        <w:pStyle w:val="Normal"/>
        <w:rPr/>
      </w:pPr>
      <w:r>
        <w:rPr/>
        <w:t xml:space="preserve">W celu odprowadzenia wód opadowych wokół budynku, które należy wykonać zgodnie z zaleceniami Wojewódzkiego Konserwatora Zabytków, wymaga się zaprojektowanie i wykonanie drenażu opaskowego wokół budynku. Drenaż należy wykonać na etapie wykonywania osuszania i izolacji murów w kontakcie z gruntem. Drenaż należy włączyć do istniejącej na terenie instalacji kanalizacji deszczowej, z odprowadzeniem do cieku wodnego. W związku z zaprojektowaniem i wykonaniem drenażu należy dopełnić obowiązków wynikających z obowiązujących przepisów, w tym w szczególności z Prawa wodnego.  Po wykonaniu drenażu i izolacji murów w kontakcie z gruntem należy wykonać roboty odtworzeniowe nawierzchni wokół budynku z bezwzględnym zachowaniem spadków od ścian budynku. </w:t>
      </w:r>
    </w:p>
    <w:p>
      <w:pPr>
        <w:pStyle w:val="Normal"/>
        <w:rPr/>
      </w:pPr>
      <w:r>
        <w:rPr/>
        <w:t xml:space="preserve">Rurociągi wykonać z rur PVC łączonych na wcisk i uszczelkę o średnicach dostosowanych do ilości odprowadzanych ścieków deszczowych do istniejącej lub nowoprojektowanej studzienki. Na zewnętrznych przewodach kanalizacji deszczowej zaprojektować studnie kanalizacyjne umożliwiające prawidłową eksploatację instalacji. </w:t>
      </w:r>
    </w:p>
    <w:p>
      <w:pPr>
        <w:pStyle w:val="Normal"/>
        <w:rPr/>
      </w:pPr>
      <w:r>
        <w:rPr/>
        <w:t xml:space="preserve">Studzienki wykonać jako kompletne prefabrykowane studzienki rewizyjne betonowe f 1200 mm oraz studnie f 1000 mm Prefabrykowane elementy studzienek łączone są za pomocą uszczelek gumowych. Dopuszcza się montaż studzienek inspekcyjnych z tworzyw sztucznych o średnicach DN600 i DN425 w miejscach, które nie spowodują braku możliwości właściwej eksploatacji instalacji. </w:t>
      </w:r>
    </w:p>
    <w:p>
      <w:pPr>
        <w:pStyle w:val="Normal"/>
        <w:rPr/>
      </w:pPr>
      <w:r>
        <w:rPr/>
        <w:t>Drenaż opaskowy należy wykonać z rur drenarskich perforowanych PVC-U w otulinie z geowłókniny co wyeliminuje możliwość przenikania ziaren otaczającej gleby do drenu. Na drenażu opaskowym zamontować studzienki drenarskie rewizyjne o średnicy Ø315 lub Ø425.</w:t>
      </w:r>
    </w:p>
    <w:p>
      <w:pPr>
        <w:pStyle w:val="Nagwek3"/>
        <w:numPr>
          <w:ilvl w:val="2"/>
          <w:numId w:val="3"/>
        </w:numPr>
        <w:rPr/>
      </w:pPr>
      <w:bookmarkStart w:id="107" w:name="_Toc10627733"/>
      <w:bookmarkEnd w:id="107"/>
      <w:r>
        <w:rPr/>
        <w:t>Instalacje elektryczne</w:t>
      </w:r>
    </w:p>
    <w:p>
      <w:pPr>
        <w:pStyle w:val="Tretekstu"/>
        <w:ind w:right="758" w:hanging="0"/>
        <w:rPr/>
      </w:pPr>
      <w:r>
        <w:rPr>
          <w:color w:val="000009"/>
        </w:rPr>
        <w:t>Zakres prac projektowych i robót branży elektrycznej obejmuje wszystkie czynności mające na celu przebudowę, modernizację, wymianę i wykonanie instalacji elektrycznych obejmujących:</w:t>
      </w:r>
    </w:p>
    <w:p>
      <w:pPr>
        <w:pStyle w:val="Tretekstu"/>
        <w:numPr>
          <w:ilvl w:val="0"/>
          <w:numId w:val="34"/>
        </w:numPr>
        <w:spacing w:before="0" w:after="0"/>
        <w:rPr/>
      </w:pPr>
      <w:r>
        <w:rPr/>
        <w:t>demontaż istniejących opraw oświetleniowych wraz z okablowaniem zasilającym i włącznikami,</w:t>
      </w:r>
    </w:p>
    <w:p>
      <w:pPr>
        <w:pStyle w:val="Tretekstu"/>
        <w:numPr>
          <w:ilvl w:val="0"/>
          <w:numId w:val="34"/>
        </w:numPr>
        <w:spacing w:before="0" w:after="0"/>
        <w:rPr/>
      </w:pPr>
      <w:r>
        <w:rPr/>
        <w:t>demontaż istniejących gniazd wtyczkowych wraz z okablowaniem zasilającym,</w:t>
      </w:r>
    </w:p>
    <w:p>
      <w:pPr>
        <w:pStyle w:val="Tretekstu"/>
        <w:numPr>
          <w:ilvl w:val="0"/>
          <w:numId w:val="34"/>
        </w:numPr>
        <w:spacing w:before="0" w:after="0"/>
        <w:rPr/>
      </w:pPr>
      <w:r>
        <w:rPr/>
        <w:t>demontaż istniejących rozdzielnic elektrycznych,</w:t>
      </w:r>
    </w:p>
    <w:p>
      <w:pPr>
        <w:pStyle w:val="Tretekstu"/>
        <w:numPr>
          <w:ilvl w:val="0"/>
          <w:numId w:val="34"/>
        </w:numPr>
        <w:spacing w:before="0" w:after="0"/>
        <w:rPr/>
      </w:pPr>
      <w:r>
        <w:rPr/>
        <w:t>montaż opraw oświetleniowych typu LED,</w:t>
      </w:r>
    </w:p>
    <w:p>
      <w:pPr>
        <w:pStyle w:val="Tretekstu"/>
        <w:numPr>
          <w:ilvl w:val="0"/>
          <w:numId w:val="34"/>
        </w:numPr>
        <w:spacing w:before="0" w:after="0"/>
        <w:rPr/>
      </w:pPr>
      <w:r>
        <w:rPr/>
        <w:t>układanie przewodów w ramach modernizacji instalacji gniazd wtyczkowych oraz zasilającej oprawy i rozdzielnic elektrycznych</w:t>
      </w:r>
    </w:p>
    <w:p>
      <w:pPr>
        <w:pStyle w:val="Tretekstu"/>
        <w:numPr>
          <w:ilvl w:val="0"/>
          <w:numId w:val="34"/>
        </w:numPr>
        <w:spacing w:before="0" w:after="0"/>
        <w:rPr/>
      </w:pPr>
      <w:r>
        <w:rPr/>
        <w:t>montaż elementów sterujących instalacji oświetlenia wewnętrznego i gniazd wtyczkowych</w:t>
      </w:r>
    </w:p>
    <w:p>
      <w:pPr>
        <w:pStyle w:val="Tretekstu"/>
        <w:numPr>
          <w:ilvl w:val="0"/>
          <w:numId w:val="34"/>
        </w:numPr>
        <w:spacing w:before="0" w:after="0"/>
        <w:rPr/>
      </w:pPr>
      <w:r>
        <w:rPr/>
        <w:t>instalację zasilającą urządzenia elektryczne branży sanitarnej</w:t>
      </w:r>
    </w:p>
    <w:p>
      <w:pPr>
        <w:pStyle w:val="Tretekstu"/>
        <w:numPr>
          <w:ilvl w:val="0"/>
          <w:numId w:val="34"/>
        </w:numPr>
        <w:spacing w:before="0" w:after="0"/>
        <w:rPr/>
      </w:pPr>
      <w:r>
        <w:rPr/>
        <w:t>montaż mikro instalacji fotowoltaicznej</w:t>
      </w:r>
    </w:p>
    <w:p>
      <w:pPr>
        <w:pStyle w:val="Tretekstu"/>
        <w:numPr>
          <w:ilvl w:val="0"/>
          <w:numId w:val="34"/>
        </w:numPr>
        <w:spacing w:before="0" w:after="0"/>
        <w:rPr/>
      </w:pPr>
      <w:r>
        <w:rPr/>
        <w:t>wykonanie pomiarów i odbiór instalacji.</w:t>
      </w:r>
    </w:p>
    <w:p>
      <w:pPr>
        <w:pStyle w:val="Tretekstu"/>
        <w:spacing w:before="0" w:after="0"/>
        <w:rPr/>
      </w:pPr>
      <w:r>
        <w:rPr/>
        <w:t>W celu prawidłowego zrealizowania inwestycji w zakresie branży instalacje elektryczne należy:</w:t>
      </w:r>
    </w:p>
    <w:p>
      <w:pPr>
        <w:pStyle w:val="Tretekstu"/>
        <w:numPr>
          <w:ilvl w:val="0"/>
          <w:numId w:val="35"/>
        </w:numPr>
        <w:spacing w:before="0" w:after="0"/>
        <w:rPr/>
      </w:pPr>
      <w:r>
        <w:rPr/>
        <w:t>dokonać oględzin istniejących instalacji i wyposażenia,</w:t>
      </w:r>
    </w:p>
    <w:p>
      <w:pPr>
        <w:pStyle w:val="Tretekstu"/>
        <w:numPr>
          <w:ilvl w:val="0"/>
          <w:numId w:val="35"/>
        </w:numPr>
        <w:spacing w:before="0" w:after="0"/>
        <w:rPr/>
      </w:pPr>
      <w:r>
        <w:rPr/>
        <w:t>dokonać obliczeń przewodów zasilających, zabezpieczeń, urządzeń, oświetlenia i zaprojektować je w oparciu o obowiązujące przepisy i normy.</w:t>
      </w:r>
    </w:p>
    <w:p>
      <w:pPr>
        <w:pStyle w:val="Nagwek4"/>
        <w:numPr>
          <w:ilvl w:val="3"/>
          <w:numId w:val="3"/>
        </w:numPr>
        <w:rPr/>
      </w:pPr>
      <w:r>
        <w:rPr/>
        <w:t xml:space="preserve">cechy obiektu dotyczące rozwiązań budowlano-konstrukcyjnych i wskaźników ekonomicznych oraz </w:t>
        <w:tab/>
        <w:t>Właściwości wyrobów budowlanych</w:t>
      </w:r>
    </w:p>
    <w:p>
      <w:pPr>
        <w:pStyle w:val="Nagwek5"/>
        <w:numPr>
          <w:ilvl w:val="4"/>
          <w:numId w:val="3"/>
        </w:numPr>
        <w:rPr/>
      </w:pPr>
      <w:r>
        <w:rPr/>
        <w:t>wymiana InstalacjI elektrycznEJ</w:t>
      </w:r>
    </w:p>
    <w:p>
      <w:pPr>
        <w:pStyle w:val="Normal"/>
        <w:rPr/>
      </w:pPr>
      <w:r>
        <w:rPr/>
        <w:t xml:space="preserve">Ze względu na stan techniczny instalacji elektrycznej należy wymienić instalację elektryczną w budynku. Należy zapewnić </w:t>
      </w:r>
    </w:p>
    <w:p>
      <w:pPr>
        <w:pStyle w:val="Nagwek5"/>
        <w:numPr>
          <w:ilvl w:val="4"/>
          <w:numId w:val="3"/>
        </w:numPr>
        <w:rPr/>
      </w:pPr>
      <w:r>
        <w:rPr/>
        <w:t>Wymiana opraw wewnętrznych na oprawy typu LED</w:t>
      </w:r>
    </w:p>
    <w:p>
      <w:pPr>
        <w:pStyle w:val="Normal"/>
        <w:rPr>
          <w:b/>
          <w:b/>
        </w:rPr>
      </w:pPr>
      <w:r>
        <w:rPr>
          <w:b/>
        </w:rPr>
        <w:t>Wymiana oświetlenia podstawowego</w:t>
      </w:r>
    </w:p>
    <w:p>
      <w:pPr>
        <w:pStyle w:val="Normal"/>
        <w:rPr/>
      </w:pPr>
      <w:r>
        <w:rPr/>
        <w:t>W ramach działań termomodernizacyjnych należy zaprojektować i wykonać wymianę wszystkich opraw oświetleniowych wewnątrz budynku, w sumie 182szt., oprawy typu LED. Zaprojektowane rozwiązanie nie może być gorsze niż przyjęte w audycie energetycznym, tj. zakładające wymianę opraw oświetleniowych na następujące oprawy:</w:t>
      </w:r>
    </w:p>
    <w:p>
      <w:pPr>
        <w:pStyle w:val="ListParagraph"/>
        <w:numPr>
          <w:ilvl w:val="0"/>
          <w:numId w:val="40"/>
        </w:numPr>
        <w:rPr/>
      </w:pPr>
      <w:r>
        <w:rPr/>
        <w:t>jarzeniowych 2x36W o spr. 0,8 na oprawy LED-owe 2x20W – 89szt.</w:t>
      </w:r>
    </w:p>
    <w:p>
      <w:pPr>
        <w:pStyle w:val="ListParagraph"/>
        <w:numPr>
          <w:ilvl w:val="0"/>
          <w:numId w:val="40"/>
        </w:numPr>
        <w:rPr/>
      </w:pPr>
      <w:r>
        <w:rPr/>
        <w:t>jarzeniowych 1x36W o spr. 0,8 na oprawy LED-owe 1x20W – 4szt.</w:t>
      </w:r>
    </w:p>
    <w:p>
      <w:pPr>
        <w:pStyle w:val="ListParagraph"/>
        <w:numPr>
          <w:ilvl w:val="0"/>
          <w:numId w:val="40"/>
        </w:numPr>
        <w:rPr/>
      </w:pPr>
      <w:r>
        <w:rPr/>
        <w:t xml:space="preserve">jarzeniowych 1x18W o spr. 0,8 na oprawy LED-owe 1x10W – 2szt. </w:t>
      </w:r>
    </w:p>
    <w:p>
      <w:pPr>
        <w:pStyle w:val="ListParagraph"/>
        <w:numPr>
          <w:ilvl w:val="0"/>
          <w:numId w:val="40"/>
        </w:numPr>
        <w:rPr/>
      </w:pPr>
      <w:r>
        <w:rPr/>
        <w:t>z żarowymi źródłami 1x60W na oprawy LED-owe 1x8W – 83 szt.</w:t>
      </w:r>
    </w:p>
    <w:p>
      <w:pPr>
        <w:pStyle w:val="ListParagraph"/>
        <w:numPr>
          <w:ilvl w:val="0"/>
          <w:numId w:val="40"/>
        </w:numPr>
        <w:rPr/>
      </w:pPr>
      <w:r>
        <w:rPr/>
        <w:t>z żarowymi źródłami 3x60W na oprawy LED-owe 1x8W – 4szt.</w:t>
      </w:r>
    </w:p>
    <w:p>
      <w:pPr>
        <w:pStyle w:val="Normal"/>
        <w:rPr/>
      </w:pPr>
      <w:r>
        <w:rPr/>
        <w:t>Zakres robót i usług związanych z przedmiotową wymianą obejmuje prace projektowe, prace budowlane oraz przeszkolenie i instruktaż, obsługę gwarancyjną i   serwisową   wymienionych opraw wraz z ewentualnymi elementami sterującymi (urządzenia, okablowanie, systemy). Dla wymiany oświetlenia wewnętrznego na oprawy typu LED należy wykonać projekt oświetlenia, który:</w:t>
      </w:r>
    </w:p>
    <w:p>
      <w:pPr>
        <w:pStyle w:val="ListParagraph"/>
        <w:numPr>
          <w:ilvl w:val="0"/>
          <w:numId w:val="41"/>
        </w:numPr>
        <w:rPr/>
      </w:pPr>
      <w:r>
        <w:rPr/>
        <w:t>zweryfikuje założenia przyjęte w audycie wobec wymagań normowych odnośnie parametrów oświetlenia wewnętrznego w poszczególnych pomieszczeniach szkoły, szczególnie ze względu na:</w:t>
      </w:r>
    </w:p>
    <w:p>
      <w:pPr>
        <w:pStyle w:val="ListParagraph"/>
        <w:numPr>
          <w:ilvl w:val="1"/>
          <w:numId w:val="41"/>
        </w:numPr>
        <w:rPr/>
      </w:pPr>
      <w:r>
        <w:rPr/>
        <w:t>właściwości i specyfikę poszczególnych pomieszczeń: wymiary, rozlokowanie punktów świetlnych, okien,</w:t>
      </w:r>
    </w:p>
    <w:p>
      <w:pPr>
        <w:pStyle w:val="ListParagraph"/>
        <w:numPr>
          <w:ilvl w:val="1"/>
          <w:numId w:val="41"/>
        </w:numPr>
        <w:rPr/>
      </w:pPr>
      <w:r>
        <w:rPr/>
        <w:t>funkcję i przeznaczenie danego pomieszczenia oraz rodzaj czynności wykonywanych w danym pomieszczeniu, ze szczególnym zwróceniem uwagi na pomieszczenia pełniące zróżnicowane funkcje, jak np. sala gimnastyczna (funkcja sportowa i audytoryjna – apele, egzaminy itp.),</w:t>
      </w:r>
    </w:p>
    <w:p>
      <w:pPr>
        <w:pStyle w:val="Normal"/>
        <w:rPr/>
      </w:pPr>
      <w:r>
        <w:rPr/>
        <w:t>i będzie obejmował:</w:t>
      </w:r>
    </w:p>
    <w:p>
      <w:pPr>
        <w:pStyle w:val="ListParagraph"/>
        <w:numPr>
          <w:ilvl w:val="0"/>
          <w:numId w:val="41"/>
        </w:numPr>
        <w:rPr/>
      </w:pPr>
      <w:r>
        <w:rPr/>
        <w:t xml:space="preserve">inwentaryzację istniejącej instalacji oświetleniowej z zestawieniem opraw i pomieszczeń </w:t>
      </w:r>
    </w:p>
    <w:p>
      <w:pPr>
        <w:pStyle w:val="ListParagraph"/>
        <w:numPr>
          <w:ilvl w:val="0"/>
          <w:numId w:val="41"/>
        </w:numPr>
        <w:rPr/>
      </w:pPr>
      <w:r>
        <w:rPr/>
        <w:t>zestawienie nowego, wymienianego oświetlenia w poszczególnych pomieszczeniach,</w:t>
      </w:r>
    </w:p>
    <w:p>
      <w:pPr>
        <w:pStyle w:val="ListParagraph"/>
        <w:numPr>
          <w:ilvl w:val="0"/>
          <w:numId w:val="41"/>
        </w:numPr>
        <w:rPr/>
      </w:pPr>
      <w:r>
        <w:rPr/>
        <w:t>tabelaryczne zestawienie opraw użytych w projekcie,</w:t>
      </w:r>
    </w:p>
    <w:p>
      <w:pPr>
        <w:pStyle w:val="ListParagraph"/>
        <w:numPr>
          <w:ilvl w:val="0"/>
          <w:numId w:val="41"/>
        </w:numPr>
        <w:rPr/>
      </w:pPr>
      <w:r>
        <w:rPr/>
        <w:t>karty katalogowe opraw użytych w projekcie modernizacji oświetlenia, dokumenty dopuszczenia wyrobu, deklaracje CE,</w:t>
      </w:r>
    </w:p>
    <w:p>
      <w:pPr>
        <w:pStyle w:val="ListParagraph"/>
        <w:numPr>
          <w:ilvl w:val="0"/>
          <w:numId w:val="41"/>
        </w:numPr>
        <w:rPr/>
      </w:pPr>
      <w:r>
        <w:rPr/>
        <w:t>obliczenia fotometryczne,</w:t>
      </w:r>
    </w:p>
    <w:p>
      <w:pPr>
        <w:pStyle w:val="ListParagraph"/>
        <w:numPr>
          <w:ilvl w:val="0"/>
          <w:numId w:val="41"/>
        </w:numPr>
        <w:rPr/>
      </w:pPr>
      <w:r>
        <w:rPr/>
        <w:t xml:space="preserve">wszelkie roboty towarzyszące prawidłowemu wykonaniu wymiany oświetlenia, w tym roboty rozbiórkowe i demontażowe (starych opraw i okablowania zasilającego, włączników itp.) oraz montażowe zastępujących je elementów instalacji i urządzeń, na podstawie dobranych na etapie projektu przez projektanta branżowego </w:t>
      </w:r>
    </w:p>
    <w:p>
      <w:pPr>
        <w:pStyle w:val="ListParagraph"/>
        <w:numPr>
          <w:ilvl w:val="0"/>
          <w:numId w:val="41"/>
        </w:numPr>
        <w:rPr/>
      </w:pPr>
      <w:r>
        <w:rPr/>
        <w:t>tabelę z wyliczeniem czasu zwrotu inwestycji dla wymienianego oświetlenia</w:t>
      </w:r>
    </w:p>
    <w:p>
      <w:pPr>
        <w:pStyle w:val="Normal"/>
        <w:rPr/>
      </w:pPr>
      <w:r>
        <w:rPr/>
        <w:t>Dodatkowo, w związku z wymianą oświetlenia i ogólnym stanem technicznym istniejącej instalacji elektrycznej należy uwzględnić wymianę instalacji zasilającej oświetlenie na nowe okablowanie. W przypadku pomieszczeń wymagających zróżnicowanego, odmiennego oświetlenia dla różnych funkcji, które pełnią (wskazany wyżej przykład Sali gimnastycznej), należy przewidzieć możliwość regulacji intensywności i liczby źródeł oświetlenia. Niezależnie od powyższego wymagania zaleca się, aby zastosowane oprawy i okablowanie umożliwiały w przyszłości automatyzację sterowania oświetleniem w budynku, tj. były kompatybilne z normą IEC (EN) 60929 E4 i interfejsem DALI, tj. spełniały następujące wymagania i umożliwiały następujące rozwiązania:</w:t>
      </w:r>
    </w:p>
    <w:p>
      <w:pPr>
        <w:pStyle w:val="ListParagraph"/>
        <w:numPr>
          <w:ilvl w:val="0"/>
          <w:numId w:val="42"/>
        </w:numPr>
        <w:rPr/>
      </w:pPr>
      <w:r>
        <w:rPr/>
        <w:t>prostota okablowania – wszystkie elementy systemu połączone ze sobą zwyczajnym przewodem pięciożyłowym, a nie specjalnym kablem,</w:t>
      </w:r>
    </w:p>
    <w:p>
      <w:pPr>
        <w:pStyle w:val="ListParagraph"/>
        <w:numPr>
          <w:ilvl w:val="0"/>
          <w:numId w:val="42"/>
        </w:numPr>
        <w:rPr/>
      </w:pPr>
      <w:r>
        <w:rPr/>
        <w:t>możliwość instalowania różnego typu czujników/sensorów (czujniki światła, pasywne czujniki podczerwieni itp.),</w:t>
      </w:r>
    </w:p>
    <w:p>
      <w:pPr>
        <w:pStyle w:val="ListParagraph"/>
        <w:numPr>
          <w:ilvl w:val="0"/>
          <w:numId w:val="42"/>
        </w:numPr>
        <w:rPr/>
      </w:pPr>
      <w:r>
        <w:rPr/>
        <w:t>możliwość podłączenia do 64 urządzeń do jednej linii sterującej o długości do 300 metrów (dla ograniczenia spadku napięcia do 2V),</w:t>
      </w:r>
    </w:p>
    <w:p>
      <w:pPr>
        <w:pStyle w:val="ListParagraph"/>
        <w:numPr>
          <w:ilvl w:val="0"/>
          <w:numId w:val="42"/>
        </w:numPr>
        <w:rPr/>
      </w:pPr>
      <w:r>
        <w:rPr/>
        <w:t>odporność linii sterującej na odwrotną polaryzację,</w:t>
      </w:r>
    </w:p>
    <w:p>
      <w:pPr>
        <w:pStyle w:val="ListParagraph"/>
        <w:numPr>
          <w:ilvl w:val="0"/>
          <w:numId w:val="42"/>
        </w:numPr>
        <w:rPr/>
      </w:pPr>
      <w:r>
        <w:rPr/>
        <w:t>możliwość przydzielenia każdego, posiadającego indywidualny adres, urządzenia do dowolnej grupy i schematu oświetleniowego, przy czym maksymalna ilość grup i schematów może osiągnąć 16,</w:t>
      </w:r>
    </w:p>
    <w:p>
      <w:pPr>
        <w:pStyle w:val="ListParagraph"/>
        <w:numPr>
          <w:ilvl w:val="0"/>
          <w:numId w:val="42"/>
        </w:numPr>
        <w:rPr/>
      </w:pPr>
      <w:r>
        <w:rPr/>
        <w:t>łatwość definiowania schematów oświetleniowych i możliwość synchronizacji stanów przejściowych dla tych schematów,</w:t>
      </w:r>
    </w:p>
    <w:p>
      <w:pPr>
        <w:pStyle w:val="ListParagraph"/>
        <w:numPr>
          <w:ilvl w:val="0"/>
          <w:numId w:val="42"/>
        </w:numPr>
        <w:rPr/>
      </w:pPr>
      <w:r>
        <w:rPr/>
        <w:t>logarytmicznej charakterystyki ściemniania odpowiadającej właściwościom ludzkiego oka,</w:t>
      </w:r>
    </w:p>
    <w:p>
      <w:pPr>
        <w:pStyle w:val="ListParagraph"/>
        <w:numPr>
          <w:ilvl w:val="0"/>
          <w:numId w:val="42"/>
        </w:numPr>
        <w:rPr/>
      </w:pPr>
      <w:r>
        <w:rPr/>
        <w:t>załączania, selektywnego wyłączania i ściemniania za pośrednictwem linii sterującej bez użycia dodatkowych przekaźników,</w:t>
      </w:r>
    </w:p>
    <w:p>
      <w:pPr>
        <w:pStyle w:val="ListParagraph"/>
        <w:numPr>
          <w:ilvl w:val="0"/>
          <w:numId w:val="42"/>
        </w:numPr>
        <w:rPr/>
      </w:pPr>
      <w:r>
        <w:rPr/>
        <w:t>niezależności fazy napięcia sieci dla układu zasilania od linii sterującej,</w:t>
      </w:r>
    </w:p>
    <w:p>
      <w:pPr>
        <w:pStyle w:val="ListParagraph"/>
        <w:numPr>
          <w:ilvl w:val="0"/>
          <w:numId w:val="42"/>
        </w:numPr>
        <w:rPr/>
      </w:pPr>
      <w:r>
        <w:rPr/>
        <w:t>łatwości rekonfiguracji systemu – możliwość szybkiej zmiany działania systemu bez jakichkolwiek zmian w sprzęcie,</w:t>
      </w:r>
    </w:p>
    <w:p>
      <w:pPr>
        <w:pStyle w:val="ListParagraph"/>
        <w:numPr>
          <w:ilvl w:val="0"/>
          <w:numId w:val="42"/>
        </w:numPr>
        <w:rPr/>
      </w:pPr>
      <w:r>
        <w:rPr/>
        <w:t>łatwości modyfikacji i rozbudowy systemu o nowe elementy – możliwość dołączenia nowych elementów systemu w dowolnym miejscu,</w:t>
      </w:r>
    </w:p>
    <w:p>
      <w:pPr>
        <w:pStyle w:val="ListParagraph"/>
        <w:numPr>
          <w:ilvl w:val="0"/>
          <w:numId w:val="42"/>
        </w:numPr>
        <w:rPr/>
      </w:pPr>
      <w:r>
        <w:rPr/>
        <w:t xml:space="preserve">obecność kanału zwrotnego - dwukierunkowy przepływ informacji w kablu połączeniowym, tzn. zapewnienie przez kabel możliwości przenoszenia informacji statusowych o warunkach pracy lampy, takich jak: poziom oświetlenia, status węzła, uszkodzenia itp., </w:t>
      </w:r>
    </w:p>
    <w:p>
      <w:pPr>
        <w:pStyle w:val="ListParagraph"/>
        <w:numPr>
          <w:ilvl w:val="0"/>
          <w:numId w:val="42"/>
        </w:numPr>
        <w:rPr/>
      </w:pPr>
      <w:r>
        <w:rPr/>
        <w:t xml:space="preserve">możliwość zintegrowania z innymi systemami automatyzacji budynku. </w:t>
      </w:r>
    </w:p>
    <w:p>
      <w:pPr>
        <w:pStyle w:val="Normal"/>
        <w:spacing w:before="0" w:after="0"/>
        <w:rPr/>
      </w:pPr>
      <w:r>
        <w:rPr/>
        <w:t>Wymogi wspólne i ogólne odnośnie oświetlenia LED:</w:t>
      </w:r>
    </w:p>
    <w:p>
      <w:pPr>
        <w:pStyle w:val="ListParagraph"/>
        <w:numPr>
          <w:ilvl w:val="0"/>
          <w:numId w:val="37"/>
        </w:numPr>
        <w:spacing w:before="0" w:after="0"/>
        <w:rPr/>
      </w:pPr>
      <w:r>
        <w:rPr/>
        <w:t>barwa światła CCT (K): 4000K klasach i korytarzach, 3000K w toaletach i pomieszczeniach gospodarczych;</w:t>
      </w:r>
    </w:p>
    <w:p>
      <w:pPr>
        <w:pStyle w:val="ListParagraph"/>
        <w:numPr>
          <w:ilvl w:val="0"/>
          <w:numId w:val="37"/>
        </w:numPr>
        <w:spacing w:before="0" w:after="0"/>
        <w:rPr/>
      </w:pPr>
      <w:r>
        <w:rPr/>
        <w:t>trwałość znamionowa L80: 50 000h;</w:t>
      </w:r>
    </w:p>
    <w:p>
      <w:pPr>
        <w:pStyle w:val="ListParagraph"/>
        <w:numPr>
          <w:ilvl w:val="0"/>
          <w:numId w:val="37"/>
        </w:numPr>
        <w:spacing w:before="0" w:after="0"/>
        <w:rPr/>
      </w:pPr>
      <w:r>
        <w:rPr/>
        <w:t>trwałość zasilacza: &gt; 50 000h / F10,</w:t>
      </w:r>
    </w:p>
    <w:p>
      <w:pPr>
        <w:pStyle w:val="ListParagraph"/>
        <w:numPr>
          <w:ilvl w:val="0"/>
          <w:numId w:val="37"/>
        </w:numPr>
        <w:spacing w:before="0" w:after="0"/>
        <w:rPr/>
      </w:pPr>
      <w:r>
        <w:rPr/>
        <w:t>odporność opraw w miejscach narażonych na uszkodzenia (w szczególności sala gimnastyczna): IK08 lub IK10</w:t>
      </w:r>
    </w:p>
    <w:p>
      <w:pPr>
        <w:pStyle w:val="ListParagraph"/>
        <w:numPr>
          <w:ilvl w:val="0"/>
          <w:numId w:val="37"/>
        </w:numPr>
        <w:spacing w:before="0" w:after="0"/>
        <w:rPr/>
      </w:pPr>
      <w:r>
        <w:rPr/>
        <w:t>stopień ochrony oprawy oświetleniowej:</w:t>
      </w:r>
    </w:p>
    <w:p>
      <w:pPr>
        <w:pStyle w:val="ListParagraph"/>
        <w:numPr>
          <w:ilvl w:val="1"/>
          <w:numId w:val="47"/>
        </w:numPr>
        <w:spacing w:before="0" w:after="0"/>
        <w:rPr/>
      </w:pPr>
      <w:r>
        <w:rPr/>
        <w:t>pomieszczenia suche (sale lekcyjne, biblioteka, sala gimnastyczna): min. IP20 (ochrona przed ciałami stałymi większymi niż 12mm),</w:t>
      </w:r>
    </w:p>
    <w:p>
      <w:pPr>
        <w:pStyle w:val="ListParagraph"/>
        <w:numPr>
          <w:ilvl w:val="1"/>
          <w:numId w:val="47"/>
        </w:numPr>
        <w:spacing w:before="0" w:after="0"/>
        <w:rPr/>
      </w:pPr>
      <w:r>
        <w:rPr/>
        <w:t>pomieszczenia o podwyższonej wilgotności (szatnie, umywalnie, kotłownia, hydrowęzły): min. IP44</w:t>
      </w:r>
    </w:p>
    <w:p>
      <w:pPr>
        <w:pStyle w:val="ListParagraph"/>
        <w:numPr>
          <w:ilvl w:val="1"/>
          <w:numId w:val="47"/>
        </w:numPr>
        <w:spacing w:before="0" w:after="0"/>
        <w:rPr/>
      </w:pPr>
      <w:r>
        <w:rPr/>
        <w:t>wnętrza pomocnicze, piwnice, klatki schodowe, przejścia, wejścia do budynków: min. IP21,</w:t>
      </w:r>
    </w:p>
    <w:p>
      <w:pPr>
        <w:pStyle w:val="ListParagraph"/>
        <w:numPr>
          <w:ilvl w:val="1"/>
          <w:numId w:val="47"/>
        </w:numPr>
        <w:spacing w:before="0" w:after="0"/>
        <w:rPr/>
      </w:pPr>
      <w:r>
        <w:rPr/>
        <w:t>oświetlenie drzwi wejściowych: min. IP43</w:t>
      </w:r>
    </w:p>
    <w:p>
      <w:pPr>
        <w:pStyle w:val="ListParagraph"/>
        <w:numPr>
          <w:ilvl w:val="1"/>
          <w:numId w:val="47"/>
        </w:numPr>
        <w:spacing w:before="0" w:after="0"/>
        <w:rPr/>
      </w:pPr>
      <w:r>
        <w:rPr/>
        <w:t>uwaga: ze względu na ewentualne ryzyko zalania, na strychu, również po uszczelnieniu zakłada się wymóg stopnia ochrony oprawy IP44.</w:t>
      </w:r>
    </w:p>
    <w:p>
      <w:pPr>
        <w:pStyle w:val="Normal"/>
        <w:rPr/>
      </w:pPr>
      <w:r>
        <w:rPr/>
        <w:t>Szczegółowe wymagania minimalne dla oświetlenia ze względu na rodzaj pomieszczenia:</w:t>
      </w:r>
    </w:p>
    <w:p>
      <w:pPr>
        <w:pStyle w:val="ListParagraph"/>
        <w:numPr>
          <w:ilvl w:val="0"/>
          <w:numId w:val="45"/>
        </w:numPr>
        <w:rPr/>
      </w:pPr>
      <w:r>
        <w:rPr/>
        <w:t>Sala lekcyjna:</w:t>
      </w:r>
    </w:p>
    <w:p>
      <w:pPr>
        <w:pStyle w:val="ListParagraph"/>
        <w:numPr>
          <w:ilvl w:val="1"/>
          <w:numId w:val="45"/>
        </w:numPr>
        <w:rPr/>
      </w:pPr>
      <w:r>
        <w:rPr/>
        <w:t>Płaszczyzna robocza/strefa ławek szkolnych:</w:t>
      </w:r>
    </w:p>
    <w:p>
      <w:pPr>
        <w:pStyle w:val="ListParagraph"/>
        <w:numPr>
          <w:ilvl w:val="2"/>
          <w:numId w:val="45"/>
        </w:numPr>
        <w:rPr/>
      </w:pPr>
      <w:r>
        <w:rPr/>
        <w:t>natężenie oświetlenia E</w:t>
      </w:r>
      <w:r>
        <w:rPr>
          <w:vertAlign w:val="subscript"/>
        </w:rPr>
        <w:t>m</w:t>
      </w:r>
      <w:r>
        <w:rPr>
          <w:rFonts w:cs="Segoe UI Light" w:cstheme="minorHAnsi"/>
        </w:rPr>
        <w:t>≥</w:t>
      </w:r>
      <w:r>
        <w:rPr/>
        <w:t>300lx,</w:t>
      </w:r>
    </w:p>
    <w:p>
      <w:pPr>
        <w:pStyle w:val="ListParagraph"/>
        <w:numPr>
          <w:ilvl w:val="2"/>
          <w:numId w:val="45"/>
        </w:numPr>
        <w:rPr/>
      </w:pPr>
      <w:r>
        <w:rPr/>
        <w:t xml:space="preserve">(dla zajęć wieczorowych </w:t>
      </w:r>
      <w:r>
        <w:rPr>
          <w:rFonts w:cs="Segoe UI Light" w:cstheme="minorHAnsi"/>
        </w:rPr>
        <w:t>≥</w:t>
      </w:r>
      <w:r>
        <w:rPr/>
        <w:t>500lx),</w:t>
      </w:r>
    </w:p>
    <w:p>
      <w:pPr>
        <w:pStyle w:val="ListParagraph"/>
        <w:numPr>
          <w:ilvl w:val="2"/>
          <w:numId w:val="45"/>
        </w:numPr>
        <w:rPr/>
      </w:pPr>
      <w:r>
        <w:rPr/>
        <w:t>równomierność oświetlenia U</w:t>
      </w:r>
      <w:r>
        <w:rPr>
          <w:vertAlign w:val="subscript"/>
        </w:rPr>
        <w:t>o</w:t>
      </w:r>
      <w:r>
        <w:rPr>
          <w:rFonts w:cs="Segoe UI Light" w:cstheme="minorHAnsi"/>
        </w:rPr>
        <w:t>≥</w:t>
      </w:r>
      <w:r>
        <w:rPr/>
        <w:t>0,60,</w:t>
      </w:r>
    </w:p>
    <w:p>
      <w:pPr>
        <w:pStyle w:val="ListParagraph"/>
        <w:numPr>
          <w:ilvl w:val="2"/>
          <w:numId w:val="45"/>
        </w:numPr>
        <w:rPr/>
      </w:pPr>
      <w:r>
        <w:rPr/>
        <w:t>wskaźnik ograniczenia olśnienia UGR</w:t>
      </w:r>
      <w:r>
        <w:rPr>
          <w:rFonts w:cs="Segoe UI Light" w:cstheme="minorHAnsi"/>
        </w:rPr>
        <w:t>≤</w:t>
      </w:r>
      <w:r>
        <w:rPr/>
        <w:t>19</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2"/>
          <w:numId w:val="45"/>
        </w:numPr>
        <w:rPr/>
      </w:pPr>
      <w:r>
        <w:rPr/>
        <w:t>sterowanie oświetleniem</w:t>
      </w:r>
    </w:p>
    <w:p>
      <w:pPr>
        <w:pStyle w:val="ListParagraph"/>
        <w:numPr>
          <w:ilvl w:val="1"/>
          <w:numId w:val="45"/>
        </w:numPr>
        <w:rPr/>
      </w:pPr>
      <w:r>
        <w:rPr/>
        <w:t>Płaszczyzna robocza/strefa tablicy:</w:t>
      </w:r>
    </w:p>
    <w:p>
      <w:pPr>
        <w:pStyle w:val="ListParagraph"/>
        <w:numPr>
          <w:ilvl w:val="2"/>
          <w:numId w:val="45"/>
        </w:numPr>
        <w:rPr/>
      </w:pPr>
      <w:r>
        <w:rPr/>
        <w:t>natężenie oświetlenia E</w:t>
      </w:r>
      <w:r>
        <w:rPr>
          <w:vertAlign w:val="subscript"/>
        </w:rPr>
        <w:t>m</w:t>
      </w:r>
      <w:r>
        <w:rPr>
          <w:rFonts w:cs="Segoe UI Light" w:cstheme="minorHAnsi"/>
        </w:rPr>
        <w:t>≥</w:t>
      </w:r>
      <w:r>
        <w:rPr/>
        <w:t>500lx,</w:t>
      </w:r>
    </w:p>
    <w:p>
      <w:pPr>
        <w:pStyle w:val="ListParagraph"/>
        <w:numPr>
          <w:ilvl w:val="2"/>
          <w:numId w:val="45"/>
        </w:numPr>
        <w:rPr/>
      </w:pPr>
      <w:r>
        <w:rPr/>
        <w:t>równomierność oświetlenia U</w:t>
      </w:r>
      <w:r>
        <w:rPr>
          <w:vertAlign w:val="subscript"/>
        </w:rPr>
        <w:t>o</w:t>
      </w:r>
      <w:r>
        <w:rPr>
          <w:rFonts w:cs="Segoe UI Light" w:cstheme="minorHAnsi"/>
        </w:rPr>
        <w:t>≥</w:t>
      </w:r>
      <w:r>
        <w:rPr/>
        <w:t>0,70,</w:t>
      </w:r>
    </w:p>
    <w:p>
      <w:pPr>
        <w:pStyle w:val="ListParagraph"/>
        <w:numPr>
          <w:ilvl w:val="2"/>
          <w:numId w:val="45"/>
        </w:numPr>
        <w:rPr/>
      </w:pPr>
      <w:r>
        <w:rPr/>
        <w:t>wskaźnik ograniczenia olśnienia UGR</w:t>
      </w:r>
      <w:r>
        <w:rPr>
          <w:rFonts w:cs="Segoe UI Light" w:cstheme="minorHAnsi"/>
        </w:rPr>
        <w:t>≤</w:t>
      </w:r>
      <w:r>
        <w:rPr/>
        <w:t>19,</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2"/>
          <w:numId w:val="45"/>
        </w:numPr>
        <w:rPr/>
      </w:pPr>
      <w:r>
        <w:rPr/>
        <w:t>ochrona przed refleksami</w:t>
      </w:r>
    </w:p>
    <w:p>
      <w:pPr>
        <w:pStyle w:val="ListParagraph"/>
        <w:numPr>
          <w:ilvl w:val="0"/>
          <w:numId w:val="45"/>
        </w:numPr>
        <w:rPr/>
      </w:pPr>
      <w:r>
        <w:rPr/>
        <w:t>sala komputerowa:</w:t>
      </w:r>
    </w:p>
    <w:p>
      <w:pPr>
        <w:pStyle w:val="ListParagraph"/>
        <w:numPr>
          <w:ilvl w:val="1"/>
          <w:numId w:val="45"/>
        </w:numPr>
        <w:rPr/>
      </w:pPr>
      <w:r>
        <w:rPr/>
        <w:t>natężenie oświetlenia E</w:t>
      </w:r>
      <w:r>
        <w:rPr>
          <w:vertAlign w:val="subscript"/>
        </w:rPr>
        <w:t>m</w:t>
      </w:r>
      <w:r>
        <w:rPr>
          <w:rFonts w:cs="Segoe UI Light" w:cstheme="minorHAnsi"/>
        </w:rPr>
        <w:t>≥</w:t>
      </w:r>
      <w:r>
        <w:rPr/>
        <w:t>300lx,</w:t>
      </w:r>
    </w:p>
    <w:p>
      <w:pPr>
        <w:pStyle w:val="ListParagraph"/>
        <w:numPr>
          <w:ilvl w:val="1"/>
          <w:numId w:val="45"/>
        </w:numPr>
        <w:rPr/>
      </w:pPr>
      <w:r>
        <w:rPr/>
        <w:t>równomierność oświetlenia U</w:t>
      </w:r>
      <w:r>
        <w:rPr>
          <w:vertAlign w:val="subscript"/>
        </w:rPr>
        <w:t>o</w:t>
      </w:r>
      <w:r>
        <w:rPr>
          <w:rFonts w:cs="Segoe UI Light" w:cstheme="minorHAnsi"/>
        </w:rPr>
        <w:t>≥</w:t>
      </w:r>
      <w:r>
        <w:rPr/>
        <w:t>0,60,</w:t>
      </w:r>
    </w:p>
    <w:p>
      <w:pPr>
        <w:pStyle w:val="ListParagraph"/>
        <w:numPr>
          <w:ilvl w:val="1"/>
          <w:numId w:val="45"/>
        </w:numPr>
        <w:rPr/>
      </w:pPr>
      <w:r>
        <w:rPr/>
        <w:t>wskaźnik ograniczenia olśnienia UGR</w:t>
      </w:r>
      <w:r>
        <w:rPr>
          <w:rFonts w:cs="Segoe UI Light" w:cstheme="minorHAnsi"/>
        </w:rPr>
        <w:t>≤19</w:t>
      </w:r>
      <w:r>
        <w:rPr/>
        <w:t>,</w:t>
      </w:r>
    </w:p>
    <w:p>
      <w:pPr>
        <w:pStyle w:val="ListParagraph"/>
        <w:numPr>
          <w:ilvl w:val="1"/>
          <w:numId w:val="45"/>
        </w:numPr>
        <w:rPr/>
      </w:pPr>
      <w:r>
        <w:rPr/>
        <w:t>wskaźnik oddawania barw R</w:t>
      </w:r>
      <w:r>
        <w:rPr>
          <w:vertAlign w:val="subscript"/>
        </w:rPr>
        <w:t>a</w:t>
      </w:r>
      <w:r>
        <w:rPr>
          <w:rFonts w:cs="Segoe UI Light" w:cstheme="minorHAnsi"/>
        </w:rPr>
        <w:t>≥</w:t>
      </w:r>
      <w:r>
        <w:rPr/>
        <w:t>80,</w:t>
      </w:r>
    </w:p>
    <w:p>
      <w:pPr>
        <w:pStyle w:val="ListParagraph"/>
        <w:numPr>
          <w:ilvl w:val="0"/>
          <w:numId w:val="45"/>
        </w:numPr>
        <w:rPr/>
      </w:pPr>
      <w:r>
        <w:rPr/>
        <w:t>sala plastyczna:</w:t>
      </w:r>
    </w:p>
    <w:p>
      <w:pPr>
        <w:pStyle w:val="ListParagraph"/>
        <w:numPr>
          <w:ilvl w:val="1"/>
          <w:numId w:val="45"/>
        </w:numPr>
        <w:rPr/>
      </w:pPr>
      <w:r>
        <w:rPr/>
        <w:t>natężenie oświetlenia E</w:t>
      </w:r>
      <w:r>
        <w:rPr>
          <w:vertAlign w:val="subscript"/>
        </w:rPr>
        <w:t>m</w:t>
      </w:r>
      <w:r>
        <w:rPr>
          <w:rFonts w:cs="Segoe UI Light" w:cstheme="minorHAnsi"/>
        </w:rPr>
        <w:t>≥</w:t>
      </w:r>
      <w:r>
        <w:rPr/>
        <w:t>500lx,</w:t>
      </w:r>
    </w:p>
    <w:p>
      <w:pPr>
        <w:pStyle w:val="ListParagraph"/>
        <w:numPr>
          <w:ilvl w:val="1"/>
          <w:numId w:val="45"/>
        </w:numPr>
        <w:rPr/>
      </w:pPr>
      <w:r>
        <w:rPr/>
        <w:t>równomierność oświetlenia U</w:t>
      </w:r>
      <w:r>
        <w:rPr>
          <w:vertAlign w:val="subscript"/>
        </w:rPr>
        <w:t>o</w:t>
      </w:r>
      <w:r>
        <w:rPr>
          <w:rFonts w:cs="Segoe UI Light" w:cstheme="minorHAnsi"/>
        </w:rPr>
        <w:t>≥</w:t>
      </w:r>
      <w:r>
        <w:rPr/>
        <w:t>0,60,</w:t>
      </w:r>
    </w:p>
    <w:p>
      <w:pPr>
        <w:pStyle w:val="ListParagraph"/>
        <w:numPr>
          <w:ilvl w:val="1"/>
          <w:numId w:val="45"/>
        </w:numPr>
        <w:rPr/>
      </w:pPr>
      <w:r>
        <w:rPr/>
        <w:t>wskaźnik ograniczenia olśnienia UGR</w:t>
      </w:r>
      <w:r>
        <w:rPr>
          <w:rFonts w:cs="Segoe UI Light" w:cstheme="minorHAnsi"/>
        </w:rPr>
        <w:t>≤19</w:t>
      </w:r>
      <w:r>
        <w:rPr/>
        <w:t>,</w:t>
      </w:r>
    </w:p>
    <w:p>
      <w:pPr>
        <w:pStyle w:val="ListParagraph"/>
        <w:numPr>
          <w:ilvl w:val="1"/>
          <w:numId w:val="45"/>
        </w:numPr>
        <w:rPr/>
      </w:pPr>
      <w:r>
        <w:rPr/>
        <w:t>wskaźnik oddawania barw R</w:t>
      </w:r>
      <w:r>
        <w:rPr>
          <w:vertAlign w:val="subscript"/>
        </w:rPr>
        <w:t>a</w:t>
      </w:r>
      <w:r>
        <w:rPr>
          <w:rFonts w:cs="Segoe UI Light" w:cstheme="minorHAnsi"/>
        </w:rPr>
        <w:t>≥</w:t>
      </w:r>
      <w:r>
        <w:rPr/>
        <w:t>80,</w:t>
      </w:r>
    </w:p>
    <w:p>
      <w:pPr>
        <w:pStyle w:val="ListParagraph"/>
        <w:numPr>
          <w:ilvl w:val="0"/>
          <w:numId w:val="45"/>
        </w:numPr>
        <w:rPr/>
      </w:pPr>
      <w:r>
        <w:rPr/>
        <w:t>sala do zajęć technicznych:</w:t>
      </w:r>
    </w:p>
    <w:p>
      <w:pPr>
        <w:pStyle w:val="ListParagraph"/>
        <w:numPr>
          <w:ilvl w:val="1"/>
          <w:numId w:val="45"/>
        </w:numPr>
        <w:rPr/>
      </w:pPr>
      <w:r>
        <w:rPr/>
        <w:t>płaszczyzna robocza w pracowniach zajęć praktycznych i laboratoriach:</w:t>
      </w:r>
    </w:p>
    <w:p>
      <w:pPr>
        <w:pStyle w:val="ListParagraph"/>
        <w:numPr>
          <w:ilvl w:val="2"/>
          <w:numId w:val="45"/>
        </w:numPr>
        <w:rPr/>
      </w:pPr>
      <w:r>
        <w:rPr/>
        <w:t>natężenie oświetlenia E</w:t>
      </w:r>
      <w:r>
        <w:rPr>
          <w:vertAlign w:val="subscript"/>
        </w:rPr>
        <w:t>m</w:t>
      </w:r>
      <w:r>
        <w:rPr>
          <w:rFonts w:cs="Segoe UI Light" w:cstheme="minorHAnsi"/>
        </w:rPr>
        <w:t>≥</w:t>
      </w:r>
      <w:r>
        <w:rPr/>
        <w:t>500lx,</w:t>
      </w:r>
    </w:p>
    <w:p>
      <w:pPr>
        <w:pStyle w:val="ListParagraph"/>
        <w:numPr>
          <w:ilvl w:val="2"/>
          <w:numId w:val="45"/>
        </w:numPr>
        <w:rPr/>
      </w:pPr>
      <w:r>
        <w:rPr/>
        <w:t>równomierność oświetlenia U</w:t>
      </w:r>
      <w:r>
        <w:rPr>
          <w:vertAlign w:val="subscript"/>
        </w:rPr>
        <w:t>o</w:t>
      </w:r>
      <w:r>
        <w:rPr>
          <w:rFonts w:cs="Segoe UI Light" w:cstheme="minorHAnsi"/>
        </w:rPr>
        <w:t>≥</w:t>
      </w:r>
      <w:r>
        <w:rPr/>
        <w:t>0,60,</w:t>
      </w:r>
    </w:p>
    <w:p>
      <w:pPr>
        <w:pStyle w:val="ListParagraph"/>
        <w:numPr>
          <w:ilvl w:val="2"/>
          <w:numId w:val="45"/>
        </w:numPr>
        <w:rPr/>
      </w:pPr>
      <w:r>
        <w:rPr/>
        <w:t>wskaźnik ograniczenia olśnienia UGR</w:t>
      </w:r>
      <w:r>
        <w:rPr>
          <w:rFonts w:cs="Segoe UI Light" w:cstheme="minorHAnsi"/>
        </w:rPr>
        <w:t>≤19</w:t>
      </w:r>
      <w:r>
        <w:rPr/>
        <w:t>,</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1"/>
          <w:numId w:val="45"/>
        </w:numPr>
        <w:rPr/>
      </w:pPr>
      <w:r>
        <w:rPr/>
        <w:t>płaszczyzna robocza w pracowniach w pracowniach rysunku technicznego:</w:t>
      </w:r>
    </w:p>
    <w:p>
      <w:pPr>
        <w:pStyle w:val="ListParagraph"/>
        <w:numPr>
          <w:ilvl w:val="2"/>
          <w:numId w:val="45"/>
        </w:numPr>
        <w:rPr/>
      </w:pPr>
      <w:r>
        <w:rPr/>
        <w:t>natężenie oświetlenia E</w:t>
      </w:r>
      <w:r>
        <w:rPr>
          <w:vertAlign w:val="subscript"/>
        </w:rPr>
        <w:t>m</w:t>
      </w:r>
      <w:r>
        <w:rPr>
          <w:rFonts w:cs="Segoe UI Light" w:cstheme="minorHAnsi"/>
        </w:rPr>
        <w:t>≥75</w:t>
      </w:r>
      <w:r>
        <w:rPr/>
        <w:t>0lx,</w:t>
      </w:r>
    </w:p>
    <w:p>
      <w:pPr>
        <w:pStyle w:val="ListParagraph"/>
        <w:numPr>
          <w:ilvl w:val="2"/>
          <w:numId w:val="45"/>
        </w:numPr>
        <w:rPr/>
      </w:pPr>
      <w:r>
        <w:rPr/>
        <w:t>równomierność oświetlenia U</w:t>
      </w:r>
      <w:r>
        <w:rPr>
          <w:vertAlign w:val="subscript"/>
        </w:rPr>
        <w:t>o</w:t>
      </w:r>
      <w:r>
        <w:rPr>
          <w:rFonts w:cs="Segoe UI Light" w:cstheme="minorHAnsi"/>
        </w:rPr>
        <w:t>≥</w:t>
      </w:r>
      <w:r>
        <w:rPr/>
        <w:t>0,70,</w:t>
      </w:r>
    </w:p>
    <w:p>
      <w:pPr>
        <w:pStyle w:val="ListParagraph"/>
        <w:numPr>
          <w:ilvl w:val="2"/>
          <w:numId w:val="45"/>
        </w:numPr>
        <w:rPr/>
      </w:pPr>
      <w:r>
        <w:rPr/>
        <w:t>wskaźnik ograniczenia olśnienia UGR</w:t>
      </w:r>
      <w:r>
        <w:rPr>
          <w:rFonts w:cs="Segoe UI Light" w:cstheme="minorHAnsi"/>
        </w:rPr>
        <w:t>≤16</w:t>
      </w:r>
      <w:r>
        <w:rPr/>
        <w:t>,</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0"/>
          <w:numId w:val="45"/>
        </w:numPr>
        <w:rPr/>
      </w:pPr>
      <w:r>
        <w:rPr/>
        <w:t>biblioteka/czytelnia:</w:t>
      </w:r>
    </w:p>
    <w:p>
      <w:pPr>
        <w:pStyle w:val="ListParagraph"/>
        <w:numPr>
          <w:ilvl w:val="1"/>
          <w:numId w:val="45"/>
        </w:numPr>
        <w:rPr/>
      </w:pPr>
      <w:r>
        <w:rPr/>
        <w:t>Oświetlenie regałów:</w:t>
      </w:r>
    </w:p>
    <w:p>
      <w:pPr>
        <w:pStyle w:val="ListParagraph"/>
        <w:numPr>
          <w:ilvl w:val="2"/>
          <w:numId w:val="45"/>
        </w:numPr>
        <w:rPr/>
      </w:pPr>
      <w:r>
        <w:rPr/>
        <w:t>natężenie oświetlenia E</w:t>
      </w:r>
      <w:r>
        <w:rPr>
          <w:vertAlign w:val="subscript"/>
        </w:rPr>
        <w:t>m</w:t>
      </w:r>
      <w:r>
        <w:rPr>
          <w:rFonts w:cs="Segoe UI Light" w:cstheme="minorHAnsi"/>
        </w:rPr>
        <w:t>≥</w:t>
      </w:r>
      <w:r>
        <w:rPr/>
        <w:t>200lx,</w:t>
      </w:r>
    </w:p>
    <w:p>
      <w:pPr>
        <w:pStyle w:val="ListParagraph"/>
        <w:numPr>
          <w:ilvl w:val="2"/>
          <w:numId w:val="45"/>
        </w:numPr>
        <w:rPr/>
      </w:pPr>
      <w:r>
        <w:rPr/>
        <w:t>równomierność oświetlenia U</w:t>
      </w:r>
      <w:r>
        <w:rPr>
          <w:vertAlign w:val="subscript"/>
        </w:rPr>
        <w:t>o</w:t>
      </w:r>
      <w:r>
        <w:rPr>
          <w:rFonts w:cs="Segoe UI Light" w:cstheme="minorHAnsi"/>
        </w:rPr>
        <w:t>≥</w:t>
      </w:r>
      <w:r>
        <w:rPr/>
        <w:t>0,60,</w:t>
      </w:r>
    </w:p>
    <w:p>
      <w:pPr>
        <w:pStyle w:val="ListParagraph"/>
        <w:numPr>
          <w:ilvl w:val="2"/>
          <w:numId w:val="45"/>
        </w:numPr>
        <w:rPr/>
      </w:pPr>
      <w:r>
        <w:rPr/>
        <w:t>wskaźnik ograniczenia olśnienia UGR</w:t>
      </w:r>
      <w:r>
        <w:rPr>
          <w:rFonts w:cs="Segoe UI Light" w:cstheme="minorHAnsi"/>
        </w:rPr>
        <w:t>≤19</w:t>
      </w:r>
      <w:r>
        <w:rPr/>
        <w:t>,</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1"/>
          <w:numId w:val="45"/>
        </w:numPr>
        <w:rPr/>
      </w:pPr>
      <w:r>
        <w:rPr/>
        <w:t>obszary do czytania:</w:t>
      </w:r>
    </w:p>
    <w:p>
      <w:pPr>
        <w:pStyle w:val="ListParagraph"/>
        <w:numPr>
          <w:ilvl w:val="2"/>
          <w:numId w:val="45"/>
        </w:numPr>
        <w:rPr/>
      </w:pPr>
      <w:r>
        <w:rPr/>
        <w:t>natężenie oświetlenia E</w:t>
      </w:r>
      <w:r>
        <w:rPr>
          <w:vertAlign w:val="subscript"/>
        </w:rPr>
        <w:t>m</w:t>
      </w:r>
      <w:r>
        <w:rPr>
          <w:rFonts w:cs="Segoe UI Light" w:cstheme="minorHAnsi"/>
        </w:rPr>
        <w:t>≥</w:t>
      </w:r>
      <w:r>
        <w:rPr/>
        <w:t>500lx,</w:t>
      </w:r>
    </w:p>
    <w:p>
      <w:pPr>
        <w:pStyle w:val="ListParagraph"/>
        <w:numPr>
          <w:ilvl w:val="2"/>
          <w:numId w:val="45"/>
        </w:numPr>
        <w:rPr/>
      </w:pPr>
      <w:r>
        <w:rPr/>
        <w:t>równomierność oświetlenia U</w:t>
      </w:r>
      <w:r>
        <w:rPr>
          <w:vertAlign w:val="subscript"/>
        </w:rPr>
        <w:t>o</w:t>
      </w:r>
      <w:r>
        <w:rPr>
          <w:rFonts w:cs="Segoe UI Light" w:cstheme="minorHAnsi"/>
        </w:rPr>
        <w:t>≥</w:t>
      </w:r>
      <w:r>
        <w:rPr/>
        <w:t>0,60,</w:t>
      </w:r>
    </w:p>
    <w:p>
      <w:pPr>
        <w:pStyle w:val="ListParagraph"/>
        <w:numPr>
          <w:ilvl w:val="2"/>
          <w:numId w:val="45"/>
        </w:numPr>
        <w:rPr/>
      </w:pPr>
      <w:r>
        <w:rPr/>
        <w:t>wskaźnik ograniczenia olśnienia UGR</w:t>
      </w:r>
      <w:r>
        <w:rPr>
          <w:rFonts w:cs="Segoe UI Light" w:cstheme="minorHAnsi"/>
        </w:rPr>
        <w:t>≤19</w:t>
      </w:r>
      <w:r>
        <w:rPr/>
        <w:t>,</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0"/>
          <w:numId w:val="45"/>
        </w:numPr>
        <w:rPr/>
      </w:pPr>
      <w:r>
        <w:rPr/>
        <w:t>pokój nauczycielski/gabinet:</w:t>
      </w:r>
    </w:p>
    <w:p>
      <w:pPr>
        <w:pStyle w:val="ListParagraph"/>
        <w:numPr>
          <w:ilvl w:val="1"/>
          <w:numId w:val="45"/>
        </w:numPr>
        <w:rPr/>
      </w:pPr>
      <w:r>
        <w:rPr/>
        <w:t>Pokoje nauczycielskie:</w:t>
      </w:r>
    </w:p>
    <w:p>
      <w:pPr>
        <w:pStyle w:val="ListParagraph"/>
        <w:numPr>
          <w:ilvl w:val="2"/>
          <w:numId w:val="45"/>
        </w:numPr>
        <w:rPr/>
      </w:pPr>
      <w:r>
        <w:rPr/>
        <w:t>natężenie oświetlenia E</w:t>
      </w:r>
      <w:r>
        <w:rPr>
          <w:vertAlign w:val="subscript"/>
        </w:rPr>
        <w:t>m</w:t>
      </w:r>
      <w:r>
        <w:rPr>
          <w:rFonts w:cs="Segoe UI Light" w:cstheme="minorHAnsi"/>
        </w:rPr>
        <w:t>≥</w:t>
      </w:r>
      <w:r>
        <w:rPr/>
        <w:t>300lx,</w:t>
      </w:r>
    </w:p>
    <w:p>
      <w:pPr>
        <w:pStyle w:val="ListParagraph"/>
        <w:numPr>
          <w:ilvl w:val="2"/>
          <w:numId w:val="45"/>
        </w:numPr>
        <w:rPr/>
      </w:pPr>
      <w:r>
        <w:rPr/>
        <w:t>równomierność oświetlenia U</w:t>
      </w:r>
      <w:r>
        <w:rPr>
          <w:vertAlign w:val="subscript"/>
        </w:rPr>
        <w:t>o</w:t>
      </w:r>
      <w:r>
        <w:rPr>
          <w:rFonts w:cs="Segoe UI Light" w:cstheme="minorHAnsi"/>
        </w:rPr>
        <w:t>≥</w:t>
      </w:r>
      <w:r>
        <w:rPr/>
        <w:t>0,60,</w:t>
      </w:r>
    </w:p>
    <w:p>
      <w:pPr>
        <w:pStyle w:val="ListParagraph"/>
        <w:numPr>
          <w:ilvl w:val="2"/>
          <w:numId w:val="45"/>
        </w:numPr>
        <w:rPr/>
      </w:pPr>
      <w:r>
        <w:rPr/>
        <w:t>wskaźnik ograniczenia olśnienia UGR</w:t>
      </w:r>
      <w:r>
        <w:rPr>
          <w:rFonts w:cs="Segoe UI Light" w:cstheme="minorHAnsi"/>
        </w:rPr>
        <w:t>≤19</w:t>
      </w:r>
      <w:r>
        <w:rPr/>
        <w:t>,</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1"/>
          <w:numId w:val="45"/>
        </w:numPr>
        <w:rPr/>
      </w:pPr>
      <w:r>
        <w:rPr/>
        <w:t>Gabinety i biura:</w:t>
      </w:r>
    </w:p>
    <w:p>
      <w:pPr>
        <w:pStyle w:val="ListParagraph"/>
        <w:numPr>
          <w:ilvl w:val="2"/>
          <w:numId w:val="45"/>
        </w:numPr>
        <w:rPr/>
      </w:pPr>
      <w:r>
        <w:rPr/>
        <w:t>natężenie oświetlenia E</w:t>
      </w:r>
      <w:r>
        <w:rPr>
          <w:vertAlign w:val="subscript"/>
        </w:rPr>
        <w:t>m</w:t>
      </w:r>
      <w:r>
        <w:rPr>
          <w:rFonts w:cs="Segoe UI Light" w:cstheme="minorHAnsi"/>
        </w:rPr>
        <w:t>≥</w:t>
      </w:r>
      <w:r>
        <w:rPr/>
        <w:t>500lx,</w:t>
      </w:r>
    </w:p>
    <w:p>
      <w:pPr>
        <w:pStyle w:val="ListParagraph"/>
        <w:numPr>
          <w:ilvl w:val="2"/>
          <w:numId w:val="45"/>
        </w:numPr>
        <w:rPr/>
      </w:pPr>
      <w:r>
        <w:rPr/>
        <w:t>równomierność oświetlenia U</w:t>
      </w:r>
      <w:r>
        <w:rPr>
          <w:vertAlign w:val="subscript"/>
        </w:rPr>
        <w:t>o</w:t>
      </w:r>
      <w:r>
        <w:rPr>
          <w:rFonts w:cs="Segoe UI Light" w:cstheme="minorHAnsi"/>
        </w:rPr>
        <w:t>≥</w:t>
      </w:r>
      <w:r>
        <w:rPr/>
        <w:t>0,60,</w:t>
      </w:r>
    </w:p>
    <w:p>
      <w:pPr>
        <w:pStyle w:val="ListParagraph"/>
        <w:numPr>
          <w:ilvl w:val="2"/>
          <w:numId w:val="45"/>
        </w:numPr>
        <w:rPr/>
      </w:pPr>
      <w:r>
        <w:rPr/>
        <w:t>wskaźnik ograniczenia olśnienia UGR</w:t>
      </w:r>
      <w:r>
        <w:rPr>
          <w:rFonts w:cs="Segoe UI Light" w:cstheme="minorHAnsi"/>
        </w:rPr>
        <w:t>≤19</w:t>
      </w:r>
      <w:r>
        <w:rPr/>
        <w:t>,</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0"/>
          <w:numId w:val="45"/>
        </w:numPr>
        <w:rPr/>
      </w:pPr>
      <w:r>
        <w:rPr/>
        <w:t>korytarz:</w:t>
      </w:r>
    </w:p>
    <w:p>
      <w:pPr>
        <w:pStyle w:val="ListParagraph"/>
        <w:numPr>
          <w:ilvl w:val="1"/>
          <w:numId w:val="45"/>
        </w:numPr>
        <w:rPr/>
      </w:pPr>
      <w:r>
        <w:rPr/>
        <w:t>natężenie oświetlenia E</w:t>
      </w:r>
      <w:r>
        <w:rPr>
          <w:vertAlign w:val="subscript"/>
        </w:rPr>
        <w:t>m</w:t>
      </w:r>
      <w:r>
        <w:rPr>
          <w:rFonts w:cs="Segoe UI Light" w:cstheme="minorHAnsi"/>
        </w:rPr>
        <w:t>≥</w:t>
      </w:r>
      <w:r>
        <w:rPr/>
        <w:t>100lx,</w:t>
      </w:r>
    </w:p>
    <w:p>
      <w:pPr>
        <w:pStyle w:val="ListParagraph"/>
        <w:numPr>
          <w:ilvl w:val="1"/>
          <w:numId w:val="45"/>
        </w:numPr>
        <w:rPr/>
      </w:pPr>
      <w:r>
        <w:rPr/>
        <w:t>równomierność oświetlenia U</w:t>
      </w:r>
      <w:r>
        <w:rPr>
          <w:vertAlign w:val="subscript"/>
        </w:rPr>
        <w:t>o</w:t>
      </w:r>
      <w:r>
        <w:rPr>
          <w:rFonts w:cs="Segoe UI Light" w:cstheme="minorHAnsi"/>
        </w:rPr>
        <w:t>≥</w:t>
      </w:r>
      <w:r>
        <w:rPr/>
        <w:t>0,40,</w:t>
      </w:r>
    </w:p>
    <w:p>
      <w:pPr>
        <w:pStyle w:val="ListParagraph"/>
        <w:numPr>
          <w:ilvl w:val="1"/>
          <w:numId w:val="45"/>
        </w:numPr>
        <w:rPr/>
      </w:pPr>
      <w:r>
        <w:rPr/>
        <w:t>wskaźnik ograniczenia olśnienia UGR</w:t>
      </w:r>
      <w:r>
        <w:rPr>
          <w:rFonts w:cs="Segoe UI Light" w:cstheme="minorHAnsi"/>
        </w:rPr>
        <w:t>≤25</w:t>
      </w:r>
      <w:r>
        <w:rPr/>
        <w:t>,</w:t>
      </w:r>
    </w:p>
    <w:p>
      <w:pPr>
        <w:pStyle w:val="ListParagraph"/>
        <w:numPr>
          <w:ilvl w:val="1"/>
          <w:numId w:val="45"/>
        </w:numPr>
        <w:rPr/>
      </w:pPr>
      <w:r>
        <w:rPr/>
        <w:t>wskaźnik oddawania barw R</w:t>
      </w:r>
      <w:r>
        <w:rPr>
          <w:vertAlign w:val="subscript"/>
        </w:rPr>
        <w:t>a</w:t>
      </w:r>
      <w:r>
        <w:rPr>
          <w:rFonts w:cs="Segoe UI Light" w:cstheme="minorHAnsi"/>
        </w:rPr>
        <w:t>≥</w:t>
      </w:r>
      <w:r>
        <w:rPr/>
        <w:t>80,</w:t>
      </w:r>
    </w:p>
    <w:p>
      <w:pPr>
        <w:pStyle w:val="ListParagraph"/>
        <w:numPr>
          <w:ilvl w:val="0"/>
          <w:numId w:val="45"/>
        </w:numPr>
        <w:rPr/>
      </w:pPr>
      <w:r>
        <w:rPr/>
        <w:t>świetlica:</w:t>
      </w:r>
    </w:p>
    <w:p>
      <w:pPr>
        <w:pStyle w:val="ListParagraph"/>
        <w:numPr>
          <w:ilvl w:val="1"/>
          <w:numId w:val="45"/>
        </w:numPr>
        <w:rPr/>
      </w:pPr>
      <w:r>
        <w:rPr/>
        <w:t>Przestrzeń/pomieszczenia do samodzielnej nauki:</w:t>
      </w:r>
    </w:p>
    <w:p>
      <w:pPr>
        <w:pStyle w:val="ListParagraph"/>
        <w:numPr>
          <w:ilvl w:val="2"/>
          <w:numId w:val="45"/>
        </w:numPr>
        <w:rPr/>
      </w:pPr>
      <w:r>
        <w:rPr/>
        <w:t>natężenie oświetlenia E</w:t>
      </w:r>
      <w:r>
        <w:rPr>
          <w:vertAlign w:val="subscript"/>
        </w:rPr>
        <w:t>m</w:t>
      </w:r>
      <w:r>
        <w:rPr>
          <w:rFonts w:cs="Segoe UI Light" w:cstheme="minorHAnsi"/>
        </w:rPr>
        <w:t>≥</w:t>
      </w:r>
      <w:r>
        <w:rPr/>
        <w:t>300lx,</w:t>
      </w:r>
    </w:p>
    <w:p>
      <w:pPr>
        <w:pStyle w:val="ListParagraph"/>
        <w:numPr>
          <w:ilvl w:val="2"/>
          <w:numId w:val="45"/>
        </w:numPr>
        <w:rPr/>
      </w:pPr>
      <w:r>
        <w:rPr/>
        <w:t>równomierność oświetlenia U</w:t>
      </w:r>
      <w:r>
        <w:rPr>
          <w:vertAlign w:val="subscript"/>
        </w:rPr>
        <w:t>o</w:t>
      </w:r>
      <w:r>
        <w:rPr>
          <w:rFonts w:cs="Segoe UI Light" w:cstheme="minorHAnsi"/>
        </w:rPr>
        <w:t>≥</w:t>
      </w:r>
      <w:r>
        <w:rPr/>
        <w:t>0,60,</w:t>
      </w:r>
    </w:p>
    <w:p>
      <w:pPr>
        <w:pStyle w:val="ListParagraph"/>
        <w:numPr>
          <w:ilvl w:val="2"/>
          <w:numId w:val="45"/>
        </w:numPr>
        <w:rPr/>
      </w:pPr>
      <w:r>
        <w:rPr/>
        <w:t>wskaźnik ograniczenia olśnienia UGR</w:t>
      </w:r>
      <w:r>
        <w:rPr>
          <w:rFonts w:cs="Segoe UI Light" w:cstheme="minorHAnsi"/>
        </w:rPr>
        <w:t>≤19</w:t>
      </w:r>
      <w:r>
        <w:rPr/>
        <w:t>,</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1"/>
          <w:numId w:val="45"/>
        </w:numPr>
        <w:rPr/>
      </w:pPr>
      <w:r>
        <w:rPr/>
        <w:t>przestrzeń/pomieszczenia do odrabiania lekcji:</w:t>
      </w:r>
    </w:p>
    <w:p>
      <w:pPr>
        <w:pStyle w:val="ListParagraph"/>
        <w:numPr>
          <w:ilvl w:val="2"/>
          <w:numId w:val="45"/>
        </w:numPr>
        <w:rPr/>
      </w:pPr>
      <w:r>
        <w:rPr/>
        <w:t>natężenie oświetlenia E</w:t>
      </w:r>
      <w:r>
        <w:rPr>
          <w:vertAlign w:val="subscript"/>
        </w:rPr>
        <w:t>m</w:t>
      </w:r>
      <w:r>
        <w:rPr>
          <w:rFonts w:cs="Segoe UI Light" w:cstheme="minorHAnsi"/>
        </w:rPr>
        <w:t>≥</w:t>
      </w:r>
      <w:r>
        <w:rPr/>
        <w:t>500lx,</w:t>
      </w:r>
    </w:p>
    <w:p>
      <w:pPr>
        <w:pStyle w:val="ListParagraph"/>
        <w:numPr>
          <w:ilvl w:val="2"/>
          <w:numId w:val="45"/>
        </w:numPr>
        <w:rPr/>
      </w:pPr>
      <w:r>
        <w:rPr/>
        <w:t>równomierność oświetlenia U</w:t>
      </w:r>
      <w:r>
        <w:rPr>
          <w:vertAlign w:val="subscript"/>
        </w:rPr>
        <w:t>o</w:t>
      </w:r>
      <w:r>
        <w:rPr>
          <w:rFonts w:cs="Segoe UI Light" w:cstheme="minorHAnsi"/>
        </w:rPr>
        <w:t>≥</w:t>
      </w:r>
      <w:r>
        <w:rPr/>
        <w:t>0,60,</w:t>
      </w:r>
    </w:p>
    <w:p>
      <w:pPr>
        <w:pStyle w:val="ListParagraph"/>
        <w:numPr>
          <w:ilvl w:val="2"/>
          <w:numId w:val="45"/>
        </w:numPr>
        <w:rPr/>
      </w:pPr>
      <w:r>
        <w:rPr/>
        <w:t>wskaźnik ograniczenia olśnienia UGR</w:t>
      </w:r>
      <w:r>
        <w:rPr>
          <w:rFonts w:cs="Segoe UI Light" w:cstheme="minorHAnsi"/>
        </w:rPr>
        <w:t>≤</w:t>
      </w:r>
      <w:r>
        <w:rPr/>
        <w:t>22,</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0"/>
          <w:numId w:val="45"/>
        </w:numPr>
        <w:rPr/>
      </w:pPr>
      <w:r>
        <w:rPr/>
        <w:t>stołówka/kuchnia:</w:t>
      </w:r>
    </w:p>
    <w:p>
      <w:pPr>
        <w:pStyle w:val="ListParagraph"/>
        <w:numPr>
          <w:ilvl w:val="1"/>
          <w:numId w:val="45"/>
        </w:numPr>
        <w:rPr/>
      </w:pPr>
      <w:r>
        <w:rPr/>
        <w:t>stołówka szkolna:</w:t>
      </w:r>
    </w:p>
    <w:p>
      <w:pPr>
        <w:pStyle w:val="ListParagraph"/>
        <w:numPr>
          <w:ilvl w:val="2"/>
          <w:numId w:val="45"/>
        </w:numPr>
        <w:rPr/>
      </w:pPr>
      <w:r>
        <w:rPr/>
        <w:t>natężenie oświetlenia E</w:t>
      </w:r>
      <w:r>
        <w:rPr>
          <w:vertAlign w:val="subscript"/>
        </w:rPr>
        <w:t>m</w:t>
      </w:r>
      <w:r>
        <w:rPr>
          <w:rFonts w:cs="Segoe UI Light" w:cstheme="minorHAnsi"/>
        </w:rPr>
        <w:t>≥</w:t>
      </w:r>
      <w:r>
        <w:rPr/>
        <w:t>200lx,</w:t>
      </w:r>
    </w:p>
    <w:p>
      <w:pPr>
        <w:pStyle w:val="ListParagraph"/>
        <w:numPr>
          <w:ilvl w:val="2"/>
          <w:numId w:val="45"/>
        </w:numPr>
        <w:rPr/>
      </w:pPr>
      <w:r>
        <w:rPr/>
        <w:t>równomierność oświetlenia U</w:t>
      </w:r>
      <w:r>
        <w:rPr>
          <w:vertAlign w:val="subscript"/>
        </w:rPr>
        <w:t>o</w:t>
      </w:r>
      <w:r>
        <w:rPr>
          <w:rFonts w:cs="Segoe UI Light" w:cstheme="minorHAnsi"/>
        </w:rPr>
        <w:t>≥</w:t>
      </w:r>
      <w:r>
        <w:rPr/>
        <w:t>0,40,</w:t>
      </w:r>
    </w:p>
    <w:p>
      <w:pPr>
        <w:pStyle w:val="ListParagraph"/>
        <w:numPr>
          <w:ilvl w:val="2"/>
          <w:numId w:val="45"/>
        </w:numPr>
        <w:rPr/>
      </w:pPr>
      <w:r>
        <w:rPr/>
        <w:t>wskaźnik ograniczenia olśnienia UGR</w:t>
      </w:r>
      <w:r>
        <w:rPr>
          <w:rFonts w:cs="Segoe UI Light" w:cstheme="minorHAnsi"/>
        </w:rPr>
        <w:t>≤</w:t>
      </w:r>
      <w:r>
        <w:rPr/>
        <w:t>22,</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1"/>
          <w:numId w:val="45"/>
        </w:numPr>
        <w:rPr/>
      </w:pPr>
      <w:r>
        <w:rPr/>
        <w:t>kuchnia szkolna:</w:t>
      </w:r>
    </w:p>
    <w:p>
      <w:pPr>
        <w:pStyle w:val="ListParagraph"/>
        <w:numPr>
          <w:ilvl w:val="2"/>
          <w:numId w:val="45"/>
        </w:numPr>
        <w:rPr/>
      </w:pPr>
      <w:r>
        <w:rPr/>
        <w:t>natężenie oświetlenia E</w:t>
      </w:r>
      <w:r>
        <w:rPr>
          <w:vertAlign w:val="subscript"/>
        </w:rPr>
        <w:t>m</w:t>
      </w:r>
      <w:r>
        <w:rPr>
          <w:rFonts w:cs="Segoe UI Light" w:cstheme="minorHAnsi"/>
        </w:rPr>
        <w:t>≥</w:t>
      </w:r>
      <w:r>
        <w:rPr/>
        <w:t>500lx,</w:t>
      </w:r>
    </w:p>
    <w:p>
      <w:pPr>
        <w:pStyle w:val="ListParagraph"/>
        <w:numPr>
          <w:ilvl w:val="2"/>
          <w:numId w:val="45"/>
        </w:numPr>
        <w:rPr/>
      </w:pPr>
      <w:r>
        <w:rPr/>
        <w:t>równomierność oświetlenia U</w:t>
      </w:r>
      <w:r>
        <w:rPr>
          <w:vertAlign w:val="subscript"/>
        </w:rPr>
        <w:t>o</w:t>
      </w:r>
      <w:r>
        <w:rPr>
          <w:rFonts w:cs="Segoe UI Light" w:cstheme="minorHAnsi"/>
        </w:rPr>
        <w:t>≥</w:t>
      </w:r>
      <w:r>
        <w:rPr/>
        <w:t>0,60,</w:t>
      </w:r>
    </w:p>
    <w:p>
      <w:pPr>
        <w:pStyle w:val="ListParagraph"/>
        <w:numPr>
          <w:ilvl w:val="2"/>
          <w:numId w:val="45"/>
        </w:numPr>
        <w:rPr/>
      </w:pPr>
      <w:r>
        <w:rPr/>
        <w:t>wskaźnik ograniczenia olśnienia UGR</w:t>
      </w:r>
      <w:r>
        <w:rPr>
          <w:rFonts w:cs="Segoe UI Light" w:cstheme="minorHAnsi"/>
        </w:rPr>
        <w:t>≤</w:t>
      </w:r>
      <w:r>
        <w:rPr/>
        <w:t>22,</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0"/>
          <w:numId w:val="45"/>
        </w:numPr>
        <w:rPr/>
      </w:pPr>
      <w:r>
        <w:rPr/>
        <w:t>sala gimnastyczna:</w:t>
      </w:r>
    </w:p>
    <w:p>
      <w:pPr>
        <w:pStyle w:val="ListParagraph"/>
        <w:numPr>
          <w:ilvl w:val="1"/>
          <w:numId w:val="45"/>
        </w:numPr>
        <w:rPr/>
      </w:pPr>
      <w:r>
        <w:rPr/>
        <w:t>Funkcja Sali gimnastycznej:</w:t>
      </w:r>
    </w:p>
    <w:p>
      <w:pPr>
        <w:pStyle w:val="ListParagraph"/>
        <w:numPr>
          <w:ilvl w:val="2"/>
          <w:numId w:val="45"/>
        </w:numPr>
        <w:rPr/>
      </w:pPr>
      <w:r>
        <w:rPr/>
        <w:t>natężenie oświetlenia E</w:t>
      </w:r>
      <w:r>
        <w:rPr>
          <w:vertAlign w:val="subscript"/>
        </w:rPr>
        <w:t>m</w:t>
      </w:r>
      <w:r>
        <w:rPr>
          <w:rFonts w:cs="Segoe UI Light" w:cstheme="minorHAnsi"/>
        </w:rPr>
        <w:t>≥</w:t>
      </w:r>
      <w:r>
        <w:rPr/>
        <w:t>300lx,</w:t>
      </w:r>
    </w:p>
    <w:p>
      <w:pPr>
        <w:pStyle w:val="ListParagraph"/>
        <w:numPr>
          <w:ilvl w:val="2"/>
          <w:numId w:val="45"/>
        </w:numPr>
        <w:rPr/>
      </w:pPr>
      <w:r>
        <w:rPr/>
        <w:t>równomierność oświetlenia U</w:t>
      </w:r>
      <w:r>
        <w:rPr>
          <w:vertAlign w:val="subscript"/>
        </w:rPr>
        <w:t>o</w:t>
      </w:r>
      <w:r>
        <w:rPr>
          <w:rFonts w:cs="Segoe UI Light" w:cstheme="minorHAnsi"/>
        </w:rPr>
        <w:t>≥</w:t>
      </w:r>
      <w:r>
        <w:rPr/>
        <w:t>0,60,</w:t>
      </w:r>
    </w:p>
    <w:p>
      <w:pPr>
        <w:pStyle w:val="ListParagraph"/>
        <w:numPr>
          <w:ilvl w:val="2"/>
          <w:numId w:val="45"/>
        </w:numPr>
        <w:rPr/>
      </w:pPr>
      <w:r>
        <w:rPr/>
        <w:t>wskaźnik ograniczenia olśnienia UGR</w:t>
      </w:r>
      <w:r>
        <w:rPr>
          <w:rFonts w:cs="Segoe UI Light" w:cstheme="minorHAnsi"/>
        </w:rPr>
        <w:t>≤</w:t>
      </w:r>
      <w:r>
        <w:rPr/>
        <w:t>22,</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2"/>
          <w:numId w:val="45"/>
        </w:numPr>
        <w:rPr/>
      </w:pPr>
      <w:r>
        <w:rPr/>
        <w:t>z dodatkowym uwzględnieniem zapisów normy PN-EN 12193 w zależności od przeznaczenia (dyscyplin):</w:t>
      </w:r>
    </w:p>
    <w:p>
      <w:pPr>
        <w:pStyle w:val="ListParagraph"/>
        <w:numPr>
          <w:ilvl w:val="3"/>
          <w:numId w:val="45"/>
        </w:numPr>
        <w:rPr/>
      </w:pPr>
      <w:r>
        <w:rPr/>
        <w:t>natężenie oświetlenia dla stref PA (KLASA I/II/III): E</w:t>
      </w:r>
      <w:r>
        <w:rPr>
          <w:vertAlign w:val="subscript"/>
        </w:rPr>
        <w:t>m</w:t>
      </w:r>
      <w:r>
        <w:rPr>
          <w:rFonts w:cs="Segoe UI Light" w:cstheme="minorHAnsi"/>
        </w:rPr>
        <w:t>≥</w:t>
      </w:r>
      <w:r>
        <w:rPr/>
        <w:t>750lx/500lx/200lx</w:t>
      </w:r>
    </w:p>
    <w:p>
      <w:pPr>
        <w:pStyle w:val="ListParagraph"/>
        <w:numPr>
          <w:ilvl w:val="3"/>
          <w:numId w:val="45"/>
        </w:numPr>
        <w:rPr/>
      </w:pPr>
      <w:r>
        <w:rPr/>
        <w:t>równomierność oświetlenia (KLASA I/II/III): U</w:t>
      </w:r>
      <w:r>
        <w:rPr>
          <w:vertAlign w:val="subscript"/>
        </w:rPr>
        <w:t>o</w:t>
      </w:r>
      <w:r>
        <w:rPr>
          <w:rFonts w:cs="Segoe UI Light" w:cstheme="minorHAnsi"/>
        </w:rPr>
        <w:t>≥</w:t>
      </w:r>
      <w:r>
        <w:rPr/>
        <w:t>0,70,</w:t>
      </w:r>
    </w:p>
    <w:p>
      <w:pPr>
        <w:pStyle w:val="ListParagraph"/>
        <w:numPr>
          <w:ilvl w:val="3"/>
          <w:numId w:val="45"/>
        </w:numPr>
        <w:rPr/>
      </w:pPr>
      <w:r>
        <w:rPr/>
        <w:t>oświetlenie stref TA musi spełniać min. 75% wymagań PA</w:t>
      </w:r>
    </w:p>
    <w:p>
      <w:pPr>
        <w:pStyle w:val="ListParagraph"/>
        <w:numPr>
          <w:ilvl w:val="1"/>
          <w:numId w:val="45"/>
        </w:numPr>
        <w:rPr/>
      </w:pPr>
      <w:r>
        <w:rPr/>
        <w:t>funkcja audytoryjna:</w:t>
      </w:r>
    </w:p>
    <w:p>
      <w:pPr>
        <w:pStyle w:val="ListParagraph"/>
        <w:numPr>
          <w:ilvl w:val="2"/>
          <w:numId w:val="45"/>
        </w:numPr>
        <w:rPr/>
      </w:pPr>
      <w:r>
        <w:rPr/>
        <w:t>natężenie oświetlenia E</w:t>
      </w:r>
      <w:r>
        <w:rPr>
          <w:vertAlign w:val="subscript"/>
        </w:rPr>
        <w:t>m</w:t>
      </w:r>
      <w:r>
        <w:rPr>
          <w:rFonts w:cs="Segoe UI Light" w:cstheme="minorHAnsi"/>
        </w:rPr>
        <w:t>≥</w:t>
      </w:r>
      <w:r>
        <w:rPr/>
        <w:t>200lx,</w:t>
      </w:r>
    </w:p>
    <w:p>
      <w:pPr>
        <w:pStyle w:val="ListParagraph"/>
        <w:numPr>
          <w:ilvl w:val="2"/>
          <w:numId w:val="45"/>
        </w:numPr>
        <w:rPr/>
      </w:pPr>
      <w:r>
        <w:rPr/>
        <w:t>równomierność oświetlenia U</w:t>
      </w:r>
      <w:r>
        <w:rPr>
          <w:vertAlign w:val="subscript"/>
        </w:rPr>
        <w:t>o</w:t>
      </w:r>
      <w:r>
        <w:rPr>
          <w:rFonts w:cs="Segoe UI Light" w:cstheme="minorHAnsi"/>
        </w:rPr>
        <w:t>≥</w:t>
      </w:r>
      <w:r>
        <w:rPr/>
        <w:t>0,40,</w:t>
      </w:r>
    </w:p>
    <w:p>
      <w:pPr>
        <w:pStyle w:val="ListParagraph"/>
        <w:numPr>
          <w:ilvl w:val="2"/>
          <w:numId w:val="45"/>
        </w:numPr>
        <w:rPr/>
      </w:pPr>
      <w:r>
        <w:rPr/>
        <w:t>wskaźnik ograniczenia olśnienia UGR</w:t>
      </w:r>
      <w:r>
        <w:rPr>
          <w:rFonts w:cs="Segoe UI Light" w:cstheme="minorHAnsi"/>
        </w:rPr>
        <w:t>≤</w:t>
      </w:r>
      <w:r>
        <w:rPr/>
        <w:t>25,</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0"/>
          <w:numId w:val="45"/>
        </w:numPr>
        <w:rPr/>
      </w:pPr>
      <w:r>
        <w:rPr/>
        <w:t>szatnia:</w:t>
      </w:r>
    </w:p>
    <w:p>
      <w:pPr>
        <w:pStyle w:val="ListParagraph"/>
        <w:numPr>
          <w:ilvl w:val="1"/>
          <w:numId w:val="45"/>
        </w:numPr>
        <w:rPr/>
      </w:pPr>
      <w:r>
        <w:rPr/>
        <w:t>natężenie oświetlenia E</w:t>
      </w:r>
      <w:r>
        <w:rPr>
          <w:vertAlign w:val="subscript"/>
        </w:rPr>
        <w:t>m</w:t>
      </w:r>
      <w:r>
        <w:rPr>
          <w:rFonts w:cs="Segoe UI Light" w:cstheme="minorHAnsi"/>
        </w:rPr>
        <w:t>≥</w:t>
      </w:r>
      <w:r>
        <w:rPr/>
        <w:t>200lx,</w:t>
      </w:r>
    </w:p>
    <w:p>
      <w:pPr>
        <w:pStyle w:val="ListParagraph"/>
        <w:numPr>
          <w:ilvl w:val="1"/>
          <w:numId w:val="45"/>
        </w:numPr>
        <w:rPr/>
      </w:pPr>
      <w:r>
        <w:rPr/>
        <w:t>równomierność oświetlenia U</w:t>
      </w:r>
      <w:r>
        <w:rPr>
          <w:vertAlign w:val="subscript"/>
        </w:rPr>
        <w:t>o</w:t>
      </w:r>
      <w:r>
        <w:rPr>
          <w:rFonts w:cs="Segoe UI Light" w:cstheme="minorHAnsi"/>
        </w:rPr>
        <w:t>≥</w:t>
      </w:r>
      <w:r>
        <w:rPr/>
        <w:t>0,40,</w:t>
      </w:r>
    </w:p>
    <w:p>
      <w:pPr>
        <w:pStyle w:val="ListParagraph"/>
        <w:numPr>
          <w:ilvl w:val="1"/>
          <w:numId w:val="45"/>
        </w:numPr>
        <w:rPr/>
      </w:pPr>
      <w:r>
        <w:rPr/>
        <w:t>wskaźnik ograniczenia olśnienia UGR</w:t>
      </w:r>
      <w:r>
        <w:rPr>
          <w:rFonts w:cs="Segoe UI Light" w:cstheme="minorHAnsi"/>
        </w:rPr>
        <w:t>≤</w:t>
      </w:r>
      <w:r>
        <w:rPr/>
        <w:t>25,</w:t>
      </w:r>
    </w:p>
    <w:p>
      <w:pPr>
        <w:pStyle w:val="ListParagraph"/>
        <w:numPr>
          <w:ilvl w:val="1"/>
          <w:numId w:val="45"/>
        </w:numPr>
        <w:rPr/>
      </w:pPr>
      <w:r>
        <w:rPr/>
        <w:t>wskaźnik oddawania barw R</w:t>
      </w:r>
      <w:r>
        <w:rPr>
          <w:vertAlign w:val="subscript"/>
        </w:rPr>
        <w:t>a</w:t>
      </w:r>
      <w:r>
        <w:rPr>
          <w:rFonts w:cs="Segoe UI Light" w:cstheme="minorHAnsi"/>
        </w:rPr>
        <w:t>≥</w:t>
      </w:r>
      <w:r>
        <w:rPr/>
        <w:t>80,</w:t>
      </w:r>
    </w:p>
    <w:p>
      <w:pPr>
        <w:pStyle w:val="ListParagraph"/>
        <w:numPr>
          <w:ilvl w:val="0"/>
          <w:numId w:val="45"/>
        </w:numPr>
        <w:rPr/>
      </w:pPr>
      <w:r>
        <w:rPr/>
        <w:t>pomieszczenia węzłów higieniczno-sanitarnych (łazienki, toalety):</w:t>
      </w:r>
    </w:p>
    <w:p>
      <w:pPr>
        <w:pStyle w:val="ListParagraph"/>
        <w:numPr>
          <w:ilvl w:val="1"/>
          <w:numId w:val="45"/>
        </w:numPr>
        <w:rPr/>
      </w:pPr>
      <w:r>
        <w:rPr/>
        <w:t>natężenie oświetlenia E</w:t>
      </w:r>
      <w:r>
        <w:rPr>
          <w:vertAlign w:val="subscript"/>
        </w:rPr>
        <w:t>m</w:t>
      </w:r>
      <w:r>
        <w:rPr>
          <w:rFonts w:cs="Segoe UI Light" w:cstheme="minorHAnsi"/>
        </w:rPr>
        <w:t>≥</w:t>
      </w:r>
      <w:r>
        <w:rPr/>
        <w:t>200lx,</w:t>
      </w:r>
    </w:p>
    <w:p>
      <w:pPr>
        <w:pStyle w:val="ListParagraph"/>
        <w:numPr>
          <w:ilvl w:val="1"/>
          <w:numId w:val="45"/>
        </w:numPr>
        <w:rPr/>
      </w:pPr>
      <w:r>
        <w:rPr/>
        <w:t>równomierność oświetlenia U</w:t>
      </w:r>
      <w:r>
        <w:rPr>
          <w:vertAlign w:val="subscript"/>
        </w:rPr>
        <w:t>o</w:t>
      </w:r>
      <w:r>
        <w:rPr>
          <w:rFonts w:cs="Segoe UI Light" w:cstheme="minorHAnsi"/>
        </w:rPr>
        <w:t>≥</w:t>
      </w:r>
      <w:r>
        <w:rPr/>
        <w:t>0,40,</w:t>
      </w:r>
    </w:p>
    <w:p>
      <w:pPr>
        <w:pStyle w:val="ListParagraph"/>
        <w:numPr>
          <w:ilvl w:val="1"/>
          <w:numId w:val="45"/>
        </w:numPr>
        <w:rPr/>
      </w:pPr>
      <w:r>
        <w:rPr/>
        <w:t>wskaźnik ograniczenia olśnienia UGR</w:t>
      </w:r>
      <w:r>
        <w:rPr>
          <w:rFonts w:cs="Segoe UI Light" w:cstheme="minorHAnsi"/>
        </w:rPr>
        <w:t>≤</w:t>
      </w:r>
      <w:r>
        <w:rPr/>
        <w:t>25,</w:t>
      </w:r>
    </w:p>
    <w:p>
      <w:pPr>
        <w:pStyle w:val="ListParagraph"/>
        <w:numPr>
          <w:ilvl w:val="1"/>
          <w:numId w:val="45"/>
        </w:numPr>
        <w:rPr/>
      </w:pPr>
      <w:r>
        <w:rPr/>
        <w:t>wskaźnik oddawania barw R</w:t>
      </w:r>
      <w:r>
        <w:rPr>
          <w:vertAlign w:val="subscript"/>
        </w:rPr>
        <w:t>a</w:t>
      </w:r>
      <w:r>
        <w:rPr>
          <w:rFonts w:cs="Segoe UI Light" w:cstheme="minorHAnsi"/>
        </w:rPr>
        <w:t>≥</w:t>
      </w:r>
      <w:r>
        <w:rPr/>
        <w:t>80,</w:t>
      </w:r>
    </w:p>
    <w:p>
      <w:pPr>
        <w:pStyle w:val="ListParagraph"/>
        <w:numPr>
          <w:ilvl w:val="0"/>
          <w:numId w:val="45"/>
        </w:numPr>
        <w:rPr/>
      </w:pPr>
      <w:r>
        <w:rPr/>
        <w:t>przedszkole:</w:t>
      </w:r>
    </w:p>
    <w:p>
      <w:pPr>
        <w:pStyle w:val="ListParagraph"/>
        <w:numPr>
          <w:ilvl w:val="1"/>
          <w:numId w:val="45"/>
        </w:numPr>
        <w:rPr/>
      </w:pPr>
      <w:r>
        <w:rPr/>
        <w:t>pokoje zabaw:</w:t>
      </w:r>
    </w:p>
    <w:p>
      <w:pPr>
        <w:pStyle w:val="ListParagraph"/>
        <w:numPr>
          <w:ilvl w:val="2"/>
          <w:numId w:val="45"/>
        </w:numPr>
        <w:rPr/>
      </w:pPr>
      <w:r>
        <w:rPr/>
        <w:t>natężenie oświetlenia E</w:t>
      </w:r>
      <w:r>
        <w:rPr>
          <w:vertAlign w:val="subscript"/>
        </w:rPr>
        <w:t>m</w:t>
      </w:r>
      <w:r>
        <w:rPr>
          <w:rFonts w:cs="Segoe UI Light" w:cstheme="minorHAnsi"/>
        </w:rPr>
        <w:t>≥</w:t>
      </w:r>
      <w:r>
        <w:rPr/>
        <w:t>300lx,</w:t>
      </w:r>
    </w:p>
    <w:p>
      <w:pPr>
        <w:pStyle w:val="ListParagraph"/>
        <w:numPr>
          <w:ilvl w:val="2"/>
          <w:numId w:val="45"/>
        </w:numPr>
        <w:rPr/>
      </w:pPr>
      <w:r>
        <w:rPr/>
        <w:t>równomierność oświetlenia U</w:t>
      </w:r>
      <w:r>
        <w:rPr>
          <w:vertAlign w:val="subscript"/>
        </w:rPr>
        <w:t>o</w:t>
      </w:r>
      <w:r>
        <w:rPr>
          <w:rFonts w:cs="Segoe UI Light" w:cstheme="minorHAnsi"/>
        </w:rPr>
        <w:t>≥</w:t>
      </w:r>
      <w:r>
        <w:rPr/>
        <w:t>0,40,</w:t>
      </w:r>
    </w:p>
    <w:p>
      <w:pPr>
        <w:pStyle w:val="ListParagraph"/>
        <w:numPr>
          <w:ilvl w:val="2"/>
          <w:numId w:val="45"/>
        </w:numPr>
        <w:rPr/>
      </w:pPr>
      <w:r>
        <w:rPr/>
        <w:t>wskaźnik ograniczenia olśnienia UGR</w:t>
      </w:r>
      <w:r>
        <w:rPr>
          <w:rFonts w:cs="Segoe UI Light" w:cstheme="minorHAnsi"/>
        </w:rPr>
        <w:t>≤</w:t>
      </w:r>
      <w:r>
        <w:rPr/>
        <w:t>22,</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ListParagraph"/>
        <w:numPr>
          <w:ilvl w:val="2"/>
          <w:numId w:val="45"/>
        </w:numPr>
        <w:rPr/>
      </w:pPr>
      <w:r>
        <w:rPr/>
        <w:t>zaleca się unikać olśnienia dla osób patrzących z dołu poprzez użycie odpowiednich dyfuzorów,</w:t>
      </w:r>
    </w:p>
    <w:p>
      <w:pPr>
        <w:pStyle w:val="ListParagraph"/>
        <w:numPr>
          <w:ilvl w:val="1"/>
          <w:numId w:val="45"/>
        </w:numPr>
        <w:rPr/>
      </w:pPr>
      <w:r>
        <w:rPr/>
        <w:t>pokoje wypoczynkowe:</w:t>
      </w:r>
    </w:p>
    <w:p>
      <w:pPr>
        <w:pStyle w:val="ListParagraph"/>
        <w:numPr>
          <w:ilvl w:val="2"/>
          <w:numId w:val="45"/>
        </w:numPr>
        <w:rPr/>
      </w:pPr>
      <w:r>
        <w:rPr/>
        <w:t>natężenie oświetlenia E</w:t>
      </w:r>
      <w:r>
        <w:rPr>
          <w:vertAlign w:val="subscript"/>
        </w:rPr>
        <w:t>m</w:t>
      </w:r>
      <w:r>
        <w:rPr>
          <w:rFonts w:cs="Segoe UI Light" w:cstheme="minorHAnsi"/>
        </w:rPr>
        <w:t>≥</w:t>
      </w:r>
      <w:r>
        <w:rPr/>
        <w:t>100lx,</w:t>
      </w:r>
    </w:p>
    <w:p>
      <w:pPr>
        <w:pStyle w:val="ListParagraph"/>
        <w:numPr>
          <w:ilvl w:val="2"/>
          <w:numId w:val="45"/>
        </w:numPr>
        <w:rPr/>
      </w:pPr>
      <w:r>
        <w:rPr/>
        <w:t>równomierność oświetlenia U</w:t>
      </w:r>
      <w:r>
        <w:rPr>
          <w:vertAlign w:val="subscript"/>
        </w:rPr>
        <w:t>o</w:t>
      </w:r>
      <w:r>
        <w:rPr>
          <w:rFonts w:cs="Segoe UI Light" w:cstheme="minorHAnsi"/>
        </w:rPr>
        <w:t>≥</w:t>
      </w:r>
      <w:r>
        <w:rPr/>
        <w:t>0,40,</w:t>
      </w:r>
    </w:p>
    <w:p>
      <w:pPr>
        <w:pStyle w:val="ListParagraph"/>
        <w:numPr>
          <w:ilvl w:val="2"/>
          <w:numId w:val="45"/>
        </w:numPr>
        <w:rPr/>
      </w:pPr>
      <w:r>
        <w:rPr/>
        <w:t>wskaźnik ograniczenia olśnienia UGR</w:t>
      </w:r>
      <w:r>
        <w:rPr>
          <w:rFonts w:cs="Segoe UI Light" w:cstheme="minorHAnsi"/>
        </w:rPr>
        <w:t>≤</w:t>
      </w:r>
      <w:r>
        <w:rPr/>
        <w:t>22,</w:t>
      </w:r>
    </w:p>
    <w:p>
      <w:pPr>
        <w:pStyle w:val="ListParagraph"/>
        <w:numPr>
          <w:ilvl w:val="2"/>
          <w:numId w:val="45"/>
        </w:numPr>
        <w:rPr/>
      </w:pPr>
      <w:r>
        <w:rPr/>
        <w:t>wskaźnik oddawania barw R</w:t>
      </w:r>
      <w:r>
        <w:rPr>
          <w:vertAlign w:val="subscript"/>
        </w:rPr>
        <w:t>a</w:t>
      </w:r>
      <w:r>
        <w:rPr>
          <w:rFonts w:cs="Segoe UI Light" w:cstheme="minorHAnsi"/>
        </w:rPr>
        <w:t>≥</w:t>
      </w:r>
      <w:r>
        <w:rPr/>
        <w:t>80.</w:t>
      </w:r>
    </w:p>
    <w:p>
      <w:pPr>
        <w:pStyle w:val="Normal"/>
        <w:rPr>
          <w:b/>
          <w:b/>
        </w:rPr>
      </w:pPr>
      <w:r>
        <w:rPr>
          <w:b/>
        </w:rPr>
        <w:t>Zapewnienie awaryjnego oświetlenia ewakuacyjnego:</w:t>
      </w:r>
    </w:p>
    <w:p>
      <w:pPr>
        <w:pStyle w:val="Normal"/>
        <w:rPr/>
      </w:pPr>
      <w:r>
        <w:rPr/>
        <w:t>W związku z rodzajem obiektu – obiekt oświaty oraz obiekt zabytkowy, jak również mieszczący przedszkole, w obiekcie należy zapewnić awaryjne oświetlenie ewakuacyjne, co najmniej na:</w:t>
      </w:r>
    </w:p>
    <w:p>
      <w:pPr>
        <w:pStyle w:val="ListParagraph"/>
        <w:numPr>
          <w:ilvl w:val="0"/>
          <w:numId w:val="46"/>
        </w:numPr>
        <w:rPr/>
      </w:pPr>
      <w:r>
        <w:rPr/>
        <w:t>drogach ewakuacyjnych oświetlonych wyłącznie światłem sztucznym,</w:t>
      </w:r>
    </w:p>
    <w:p>
      <w:pPr>
        <w:pStyle w:val="ListParagraph"/>
        <w:numPr>
          <w:ilvl w:val="0"/>
          <w:numId w:val="46"/>
        </w:numPr>
        <w:rPr/>
      </w:pPr>
      <w:r>
        <w:rPr/>
        <w:t xml:space="preserve">drogach ewakuacyjnych z pomieszczeń przeznaczonych dla więcej niż 200osób </w:t>
      </w:r>
    </w:p>
    <w:p>
      <w:pPr>
        <w:pStyle w:val="ListParagraph"/>
        <w:numPr>
          <w:ilvl w:val="0"/>
          <w:numId w:val="46"/>
        </w:numPr>
        <w:rPr/>
      </w:pPr>
      <w:r>
        <w:rPr/>
        <w:t>w pomieszczeniach przeznaczonych dla więcej niż 200 osób,</w:t>
      </w:r>
    </w:p>
    <w:p>
      <w:pPr>
        <w:pStyle w:val="ListParagraph"/>
        <w:numPr>
          <w:ilvl w:val="0"/>
          <w:numId w:val="46"/>
        </w:numPr>
        <w:rPr/>
      </w:pPr>
      <w:r>
        <w:rPr/>
        <w:t>w pomieszczeniach oświetlonych wyłącznie światłem sztucznym</w:t>
      </w:r>
    </w:p>
    <w:p>
      <w:pPr>
        <w:pStyle w:val="Normal"/>
        <w:rPr/>
      </w:pPr>
      <w:r>
        <w:rPr/>
        <w:t xml:space="preserve">Awaryjne oświetlenie ewakuacyjne powinno działać przez co najmniej 1 godzinę od zaniku oświetlenia podstawowego. Ponadto, w pomieszczeniach, które są użytkowane przy wyłączonym oświetleniu podstawowym, należy stosować oświetlenie dodatkowe, zasilane napięciem nieprzekraczającym napięcia dotykowego dopuszczalnego długotrwale, służące uwidocznieniu przeszkód wynikających z układu budynku, dróg komunikacji ogólnej lub sposobu jego użytkowania, a także podświetlane znaki wskazujące kierunki ewakuacji. </w:t>
      </w:r>
    </w:p>
    <w:p>
      <w:pPr>
        <w:pStyle w:val="Normal"/>
        <w:rPr/>
      </w:pPr>
      <w:r>
        <w:rPr/>
        <w:t>Normy i przepisy związane:</w:t>
      </w:r>
    </w:p>
    <w:p>
      <w:pPr>
        <w:pStyle w:val="ListParagraph"/>
        <w:numPr>
          <w:ilvl w:val="0"/>
          <w:numId w:val="36"/>
        </w:numPr>
        <w:rPr>
          <w:rFonts w:eastAsia="Times New Roman"/>
          <w:lang w:eastAsia="pl-PL"/>
        </w:rPr>
      </w:pPr>
      <w:r>
        <w:rPr>
          <w:rFonts w:eastAsia="Times New Roman"/>
          <w:lang w:eastAsia="pl-PL"/>
        </w:rPr>
        <w:t>PN-EN 60529. Stopnie ochrony zapewnianej przez obudowy (Kod IP),</w:t>
      </w:r>
    </w:p>
    <w:p>
      <w:pPr>
        <w:pStyle w:val="ListParagraph"/>
        <w:numPr>
          <w:ilvl w:val="0"/>
          <w:numId w:val="36"/>
        </w:numPr>
        <w:rPr>
          <w:rFonts w:eastAsia="Times New Roman"/>
          <w:lang w:eastAsia="pl-PL"/>
        </w:rPr>
      </w:pPr>
      <w:r>
        <w:rPr>
          <w:rFonts w:eastAsia="Times New Roman"/>
          <w:lang w:eastAsia="pl-PL"/>
        </w:rPr>
        <w:t>PN-EN 60598-1. Oprawy oświetleniowe. Część 1: Wymagania ogólne i badania,</w:t>
      </w:r>
    </w:p>
    <w:p>
      <w:pPr>
        <w:pStyle w:val="ListParagraph"/>
        <w:numPr>
          <w:ilvl w:val="0"/>
          <w:numId w:val="36"/>
        </w:numPr>
        <w:rPr>
          <w:rFonts w:eastAsia="Times New Roman"/>
          <w:lang w:eastAsia="pl-PL"/>
        </w:rPr>
      </w:pPr>
      <w:r>
        <w:rPr>
          <w:rFonts w:eastAsia="Times New Roman"/>
          <w:lang w:eastAsia="pl-PL"/>
        </w:rPr>
        <w:t>PN-EN 1838. Zastosowania oświetlenia. Oświetlenie awaryjne,</w:t>
      </w:r>
    </w:p>
    <w:p>
      <w:pPr>
        <w:pStyle w:val="ListParagraph"/>
        <w:numPr>
          <w:ilvl w:val="0"/>
          <w:numId w:val="36"/>
        </w:numPr>
        <w:rPr>
          <w:rFonts w:eastAsia="Times New Roman"/>
          <w:lang w:eastAsia="pl-PL"/>
        </w:rPr>
      </w:pPr>
      <w:r>
        <w:rPr>
          <w:rFonts w:eastAsia="Times New Roman"/>
          <w:lang w:eastAsia="pl-PL"/>
        </w:rPr>
        <w:t>PN-EN 13032-4. Światło i oświetlenie. Pomiar i prezentacja danych fotometrycznych lamp i opraw oświetleniowych. Część 4: Lampy, moduły i oprawy oświetleniowe LED,</w:t>
      </w:r>
    </w:p>
    <w:p>
      <w:pPr>
        <w:pStyle w:val="ListParagraph"/>
        <w:numPr>
          <w:ilvl w:val="0"/>
          <w:numId w:val="36"/>
        </w:numPr>
        <w:rPr>
          <w:rFonts w:eastAsia="Times New Roman"/>
          <w:lang w:eastAsia="pl-PL"/>
        </w:rPr>
      </w:pPr>
      <w:r>
        <w:rPr>
          <w:rFonts w:eastAsia="Times New Roman"/>
          <w:lang w:eastAsia="pl-PL"/>
        </w:rPr>
        <w:t>PN-EN 13032-1. Światło i oświetlenie. Pomiar i prezentacja danych fotometrycznych lamp i opraw oświetleniowych. Część 1: Pomiar i format pliku,</w:t>
      </w:r>
    </w:p>
    <w:p>
      <w:pPr>
        <w:pStyle w:val="ListParagraph"/>
        <w:numPr>
          <w:ilvl w:val="0"/>
          <w:numId w:val="36"/>
        </w:numPr>
        <w:rPr>
          <w:rFonts w:eastAsia="Times New Roman"/>
          <w:lang w:eastAsia="pl-PL"/>
        </w:rPr>
      </w:pPr>
      <w:r>
        <w:rPr>
          <w:rFonts w:eastAsia="Times New Roman"/>
          <w:lang w:eastAsia="pl-PL"/>
        </w:rPr>
        <w:t>PN-EN 13032-2. Światło i oświetlenie. Pomiar i prezentacja danych fotometrycznych lamp i opraw oświetleniowych. Część 2: Prezentacja danych dla miejsc pracy wewnątrz i na zewnątrz budynków,</w:t>
      </w:r>
    </w:p>
    <w:p>
      <w:pPr>
        <w:pStyle w:val="ListParagraph"/>
        <w:numPr>
          <w:ilvl w:val="0"/>
          <w:numId w:val="36"/>
        </w:numPr>
        <w:rPr>
          <w:rFonts w:eastAsia="Times New Roman"/>
          <w:lang w:eastAsia="pl-PL"/>
        </w:rPr>
      </w:pPr>
      <w:r>
        <w:rPr>
          <w:rFonts w:eastAsia="Times New Roman"/>
          <w:lang w:eastAsia="pl-PL"/>
        </w:rPr>
        <w:t>PN-EN 13032-3. Światło i oświetlenie. Pomiar i prezentacja danych fotometrycznych lamp i opraw oświetleniowych. Część 3: Prezentacja danych dla oświetlenia awaryjnego miejsc pracy,</w:t>
      </w:r>
    </w:p>
    <w:p>
      <w:pPr>
        <w:pStyle w:val="ListParagraph"/>
        <w:numPr>
          <w:ilvl w:val="0"/>
          <w:numId w:val="36"/>
        </w:numPr>
        <w:rPr>
          <w:rFonts w:eastAsia="Times New Roman"/>
          <w:lang w:eastAsia="pl-PL"/>
        </w:rPr>
      </w:pPr>
      <w:r>
        <w:rPr>
          <w:rFonts w:eastAsia="Times New Roman"/>
          <w:lang w:eastAsia="pl-PL"/>
        </w:rPr>
        <w:t>PN-EN 62504. Oświetlenie ogólne. Produkty z diodami emitującymi światło (LED) i powiązane wyposażenie. Terminy i definicje,</w:t>
      </w:r>
    </w:p>
    <w:p>
      <w:pPr>
        <w:pStyle w:val="ListParagraph"/>
        <w:numPr>
          <w:ilvl w:val="0"/>
          <w:numId w:val="36"/>
        </w:numPr>
        <w:rPr>
          <w:rFonts w:eastAsia="Times New Roman"/>
          <w:lang w:eastAsia="pl-PL"/>
        </w:rPr>
      </w:pPr>
      <w:r>
        <w:rPr>
          <w:rFonts w:eastAsia="Times New Roman"/>
          <w:lang w:eastAsia="pl-PL"/>
        </w:rPr>
        <w:t>PN-EN 12464-1. Światło i oświetlenie. Oświetlenie miejsc pracy. Część 1: Miejsca pracy we wnętrzach,</w:t>
      </w:r>
    </w:p>
    <w:p>
      <w:pPr>
        <w:pStyle w:val="ListParagraph"/>
        <w:numPr>
          <w:ilvl w:val="0"/>
          <w:numId w:val="36"/>
        </w:numPr>
        <w:rPr>
          <w:rFonts w:eastAsia="Times New Roman"/>
          <w:lang w:eastAsia="pl-PL"/>
        </w:rPr>
      </w:pPr>
      <w:r>
        <w:rPr>
          <w:rFonts w:eastAsia="Times New Roman"/>
          <w:lang w:eastAsia="pl-PL"/>
        </w:rPr>
        <w:t>PN-EN 15193. Charakterystyka energetyczna budynków. Wymagania energetyczne dotyczące oświetlenia,</w:t>
      </w:r>
    </w:p>
    <w:p>
      <w:pPr>
        <w:pStyle w:val="ListParagraph"/>
        <w:numPr>
          <w:ilvl w:val="0"/>
          <w:numId w:val="36"/>
        </w:numPr>
        <w:rPr>
          <w:rFonts w:eastAsia="Times New Roman"/>
          <w:lang w:eastAsia="pl-PL"/>
        </w:rPr>
      </w:pPr>
      <w:r>
        <w:rPr>
          <w:rFonts w:eastAsia="Times New Roman"/>
          <w:lang w:eastAsia="pl-PL"/>
        </w:rPr>
        <w:t>PN-EN 12193. Światło i oświetlenie. Oświetlenie w sporcie.</w:t>
      </w:r>
    </w:p>
    <w:p>
      <w:pPr>
        <w:pStyle w:val="Nagwek4"/>
        <w:numPr>
          <w:ilvl w:val="3"/>
          <w:numId w:val="3"/>
        </w:numPr>
        <w:rPr/>
      </w:pPr>
      <w:r>
        <w:rPr/>
        <w:t>Instalacja oświetlenia awaryjnego i ewakuacyjnego</w:t>
      </w:r>
    </w:p>
    <w:p>
      <w:pPr>
        <w:pStyle w:val="Normal"/>
        <w:rPr/>
      </w:pPr>
      <w:r>
        <w:rPr/>
        <w:t>Wraz z wymianą oświetlenia wewnętrznego podstawowego w obiekcie szkoły należy wykonać instalację oświetlenia awaryjnego i ewakuacyjnego.  Na korytarzach i w innych pomieszczeniach, w których należy zapewnić bezprzerwową pracę (pomieszczenia nadzoru, serwerownia, itp.), zainstalować należy oprawy oświetlenia ewakuacyjnego. Mają to być oprawy z własnym źródłem zasilania, wyposażone w elektroniczne stateczniki z modułem adresowalnym, własnym źródłem zasilania (akumulatory) i posiadające aktualne atesty CNBOP. Na korytarzach, przy wyjściach, klatkach schodowych itp. zainstalować należy również oprawy oświetlenia kierunkowego, wyposażone również we własne źródła zasilania (akumulatory) i posiadające atesty CNBOP.</w:t>
      </w:r>
    </w:p>
    <w:p>
      <w:pPr>
        <w:pStyle w:val="Normal"/>
        <w:rPr/>
      </w:pPr>
      <w:r>
        <w:rPr/>
        <w:t>Instalacja oświetlenia awaryjnego i ewakuacyjnego musi posiadać własne, autonomiczne źródło zasilania, np. akumulatory, zapewniające działanie systemu przy stanie beznapięciowym przez co najmniej 1 godzinę. Całość instalacji oświetlenia awaryjnego (ewakuacyjnego i kierunkowego) wina być połączona z centralką monitorującą i testującą, całość systemu. Wymagane średnie natężenie oświetlenia musi być zgodne z normą PN-EN 12464-1.</w:t>
      </w:r>
    </w:p>
    <w:p>
      <w:pPr>
        <w:pStyle w:val="Normal"/>
        <w:rPr/>
      </w:pPr>
      <w:r>
        <w:rPr/>
      </w:r>
    </w:p>
    <w:p>
      <w:pPr>
        <w:pStyle w:val="Nagwek4"/>
        <w:numPr>
          <w:ilvl w:val="3"/>
          <w:numId w:val="3"/>
        </w:numPr>
        <w:rPr/>
      </w:pPr>
      <w:r>
        <w:rPr/>
        <w:t>Instalacja PV wraz systemem demontracyjnym</w:t>
      </w:r>
    </w:p>
    <w:p>
      <w:pPr>
        <w:pStyle w:val="Normal"/>
        <w:rPr/>
      </w:pPr>
      <w:r>
        <w:rPr/>
        <w:t xml:space="preserve">W ramach usprawnień termomodernizacyjnych w audycie przewidzioano wykonanie mikroinstalacji ogniw fotowoltaicznych o mocy 10,2kWh. Instalacja ma </w:t>
      </w:r>
    </w:p>
    <w:p>
      <w:pPr>
        <w:pStyle w:val="Normal"/>
        <w:rPr/>
      </w:pPr>
      <w:r>
        <w:rPr/>
        <w:t xml:space="preserve">UWAGA: Przedmiotowa instalacja funkcjonować ma jako tzw. instalacja off-grid, która uniemożliwia wprowadzenie wyprodukowanej energii do sieci. Nie dopuszcza się technicznej możliwości wprowadzenia wytworzonej energii do sieci. </w:t>
      </w:r>
    </w:p>
    <w:p>
      <w:pPr>
        <w:pStyle w:val="Normal"/>
        <w:rPr/>
      </w:pPr>
      <w:r>
        <w:rPr/>
        <w:t xml:space="preserve">Zakład się, że instalacja ma służyć przede wszystkim do pokrycia zapotrzebowania na energię elektryczną instalacji oświetleniowej. W związku z powyższym instalację należy również wyposażyć w odpowiednio dobrany akumulator lub zespół akumulatorów, służących do zmagazynowania nadwyżek energii. </w:t>
      </w:r>
    </w:p>
    <w:p>
      <w:pPr>
        <w:pStyle w:val="Normal"/>
        <w:rPr/>
      </w:pPr>
      <w:r>
        <w:rPr/>
        <w:t>Przy projektowaniu i wykonaniu instalacji należy zwrócić szczególną uwagę na:</w:t>
      </w:r>
    </w:p>
    <w:p>
      <w:pPr>
        <w:pStyle w:val="ListParagraph"/>
        <w:numPr>
          <w:ilvl w:val="0"/>
          <w:numId w:val="91"/>
        </w:numPr>
        <w:rPr/>
      </w:pPr>
      <w:r>
        <w:rPr/>
        <w:t xml:space="preserve">Zapewnienie ochrony przeciwprzepięciowej –mającej zabezpieczyć wewnętrzną instalację elektryczną przed skutkami wyładowań atmosferycznych. </w:t>
      </w:r>
    </w:p>
    <w:p>
      <w:pPr>
        <w:pStyle w:val="ListParagraph"/>
        <w:numPr>
          <w:ilvl w:val="0"/>
          <w:numId w:val="91"/>
        </w:numPr>
        <w:rPr/>
      </w:pPr>
      <w:r>
        <w:rPr/>
        <w:t>Zapewnienie ochrony przeciwporażeniowej umożliwiającej szybkie i skuteczne odłączenie od sieci zasilającej –przez zaprojektowanie i zainstalowanie wyłączników różnicowo-prądowych zgodnie z obowiązującymi przepisami.</w:t>
      </w:r>
    </w:p>
    <w:p>
      <w:pPr>
        <w:pStyle w:val="ListParagraph"/>
        <w:numPr>
          <w:ilvl w:val="0"/>
          <w:numId w:val="91"/>
        </w:numPr>
        <w:rPr/>
      </w:pPr>
      <w:r>
        <w:rPr/>
        <w:t xml:space="preserve">Wykonanie instalacji odgromowej zabezpieczającej przed działaniem wyładowań atmosferycznych – zgodnie z obowiązującymi przepisami. </w:t>
      </w:r>
    </w:p>
    <w:p>
      <w:pPr>
        <w:pStyle w:val="Normal"/>
        <w:rPr/>
      </w:pPr>
      <w:r>
        <w:rPr/>
        <w:t>Wszystkie  materiały  do  wykonania  układu  instalacji    fotowoltaicznych  powinny odpowiadać  parametrom  technicznym  wyspecyfikowanym   w   dokumentacji   projektowej i wykazach materiałowych oraz wymaganiom odpowiednich norm i aprobat technicznych.</w:t>
      </w:r>
    </w:p>
    <w:p>
      <w:pPr>
        <w:pStyle w:val="Normal"/>
        <w:rPr/>
      </w:pPr>
      <w:r>
        <w:rPr/>
        <w:t>Moduły:</w:t>
      </w:r>
    </w:p>
    <w:p>
      <w:pPr>
        <w:pStyle w:val="ListParagraph"/>
        <w:numPr>
          <w:ilvl w:val="0"/>
          <w:numId w:val="95"/>
        </w:numPr>
        <w:rPr/>
      </w:pPr>
      <w:r>
        <w:rPr/>
        <w:t xml:space="preserve">Tolerancja wymiarów modułu: +15mm/-30mm. </w:t>
      </w:r>
    </w:p>
    <w:p>
      <w:pPr>
        <w:pStyle w:val="ListParagraph"/>
        <w:numPr>
          <w:ilvl w:val="0"/>
          <w:numId w:val="95"/>
        </w:numPr>
        <w:rPr/>
      </w:pPr>
      <w:r>
        <w:rPr/>
        <w:t xml:space="preserve">Należy wziąć pod uwagę wymagane korekty      w   rozmieszczeniu, systemie   montażowym i dostosowanie do  układu konstrukcyjnego dachu. </w:t>
      </w:r>
    </w:p>
    <w:p>
      <w:pPr>
        <w:pStyle w:val="ListParagraph"/>
        <w:numPr>
          <w:ilvl w:val="0"/>
          <w:numId w:val="95"/>
        </w:numPr>
        <w:rPr/>
      </w:pPr>
      <w:r>
        <w:rPr/>
        <w:t>Waga modułu nie może przekraczać 20kg.</w:t>
      </w:r>
    </w:p>
    <w:p>
      <w:pPr>
        <w:pStyle w:val="ListParagraph"/>
        <w:numPr>
          <w:ilvl w:val="0"/>
          <w:numId w:val="95"/>
        </w:numPr>
        <w:rPr/>
      </w:pPr>
      <w:r>
        <w:rPr/>
        <w:t>Na etapie produkcji moduły PV winny być poddane w 100 % kontroli wydajności, wykrycia ew.  wad ukrytych oraz pomiarów izolacji według normy norma IEC 61215/61730).</w:t>
      </w:r>
    </w:p>
    <w:p>
      <w:pPr>
        <w:pStyle w:val="ListParagraph"/>
        <w:numPr>
          <w:ilvl w:val="0"/>
          <w:numId w:val="95"/>
        </w:numPr>
        <w:rPr/>
      </w:pPr>
      <w:r>
        <w:rPr/>
        <w:t xml:space="preserve">Moduły powinny przejść z wynikiem pozytywnym badania na grad symulowane uderzeniem kuli lodowej. </w:t>
      </w:r>
    </w:p>
    <w:p>
      <w:pPr>
        <w:pStyle w:val="ListParagraph"/>
        <w:numPr>
          <w:ilvl w:val="0"/>
          <w:numId w:val="95"/>
        </w:numPr>
        <w:rPr/>
      </w:pPr>
      <w:r>
        <w:rPr/>
        <w:t>Moduły powinny posiadać tolerancję dodatnią mocy (+ 3 %/-0%).</w:t>
      </w:r>
    </w:p>
    <w:p>
      <w:pPr>
        <w:pStyle w:val="ListParagraph"/>
        <w:numPr>
          <w:ilvl w:val="0"/>
          <w:numId w:val="95"/>
        </w:numPr>
        <w:rPr/>
      </w:pPr>
      <w:r>
        <w:rPr/>
        <w:t>Moduły powinny posiadać specjalne pokrycie powierzchni zewnętrznej modułu/szyby tworzące trwałą warstwę samoczyszczącą ułatwiającą spływanie wody i obniżającą przylegania kurzu, pyłu.</w:t>
      </w:r>
    </w:p>
    <w:p>
      <w:pPr>
        <w:pStyle w:val="ListParagraph"/>
        <w:numPr>
          <w:ilvl w:val="0"/>
          <w:numId w:val="95"/>
        </w:numPr>
        <w:rPr/>
      </w:pPr>
      <w:r>
        <w:rPr/>
        <w:t>Moduły powinny być wyprodukowane nie wcześniej niż przed rokiem 2018</w:t>
      </w:r>
    </w:p>
    <w:p>
      <w:pPr>
        <w:pStyle w:val="Normal"/>
        <w:rPr/>
      </w:pPr>
      <w:r>
        <w:rPr/>
        <w:t>Parametry modułów oraz ich komponenty winny spełniać wymagania norm:</w:t>
      </w:r>
    </w:p>
    <w:p>
      <w:pPr>
        <w:pStyle w:val="ListParagraph"/>
        <w:numPr>
          <w:ilvl w:val="0"/>
          <w:numId w:val="96"/>
        </w:numPr>
        <w:rPr/>
      </w:pPr>
      <w:r>
        <w:rPr/>
        <w:t>EN 61730-1 Ocena bezpieczeństwa modułu fotowoltaicznego (PV) --Część 1: Wymagania dotyczące konstrukcji</w:t>
      </w:r>
    </w:p>
    <w:p>
      <w:pPr>
        <w:pStyle w:val="ListParagraph"/>
        <w:numPr>
          <w:ilvl w:val="0"/>
          <w:numId w:val="96"/>
        </w:numPr>
        <w:rPr/>
      </w:pPr>
      <w:r>
        <w:rPr/>
        <w:t>EN 61730-2 Ocena bezpieczeństwa modułu fotowoltaicznego (PV) --Część 2: Wymagania dotyczące badań</w:t>
      </w:r>
    </w:p>
    <w:p>
      <w:pPr>
        <w:pStyle w:val="ListParagraph"/>
        <w:numPr>
          <w:ilvl w:val="0"/>
          <w:numId w:val="96"/>
        </w:numPr>
        <w:rPr/>
      </w:pPr>
      <w:r>
        <w:rPr/>
        <w:t>EN 61215 Moduły fotowoltaiczne (PV) z krzemu krystalicznego do zastosowań naziemnych --Kwalifikacja konstrukcji i aprobata typu</w:t>
      </w:r>
    </w:p>
    <w:p>
      <w:pPr>
        <w:pStyle w:val="ListParagraph"/>
        <w:numPr>
          <w:ilvl w:val="0"/>
          <w:numId w:val="96"/>
        </w:numPr>
        <w:rPr/>
      </w:pPr>
      <w:r>
        <w:rPr/>
        <w:t>EN 61646 Cienkowarstwowe naziemne moduły fotowoltaiczne (PV) --Kwalifikacja konstrukcji i zatwierdzenie typu</w:t>
      </w:r>
    </w:p>
    <w:p>
      <w:pPr>
        <w:pStyle w:val="ListParagraph"/>
        <w:numPr>
          <w:ilvl w:val="0"/>
          <w:numId w:val="96"/>
        </w:numPr>
        <w:rPr/>
      </w:pPr>
      <w:r>
        <w:rPr/>
        <w:t>EN 62108 Testowanie modułów fotowoltaicznych (PV) w korozyjnym środowisku mgły solnej</w:t>
      </w:r>
    </w:p>
    <w:p>
      <w:pPr>
        <w:pStyle w:val="ListParagraph"/>
        <w:numPr>
          <w:ilvl w:val="0"/>
          <w:numId w:val="96"/>
        </w:numPr>
        <w:rPr/>
      </w:pPr>
      <w:r>
        <w:rPr/>
        <w:t>EN 50521 Złącza elektryczne do zastosowań w systemach fotowoltaicznych --Wymagania bezpieczeństwa i badania</w:t>
      </w:r>
    </w:p>
    <w:p>
      <w:pPr>
        <w:pStyle w:val="Normal"/>
        <w:rPr/>
      </w:pPr>
      <w:r>
        <w:rPr/>
        <w:t>Powyższe wymagania powinny być potwierdzone stosownymi certyfikatami, które wraz z załącznikami winny być dostarczone do dokumentacji (wg. IEC 61215/ 61730)</w:t>
      </w:r>
    </w:p>
    <w:p>
      <w:pPr>
        <w:pStyle w:val="Normal"/>
        <w:rPr/>
      </w:pPr>
      <w:r>
        <w:rPr/>
        <w:t>Należy stosować inwertery o mocy znamionowej wg obliczeń dokonanych na etapie wykonania dokumentacji projektowej, certyfikowane do pracy w układzie hybrydowym typu off-grid (zgodnie z ww. zastrzeżeniem braku możliwości wprowadzenia energii do sieci):</w:t>
      </w:r>
    </w:p>
    <w:p>
      <w:pPr>
        <w:pStyle w:val="ListParagraph"/>
        <w:numPr>
          <w:ilvl w:val="0"/>
          <w:numId w:val="93"/>
        </w:numPr>
        <w:rPr/>
      </w:pPr>
      <w:r>
        <w:rPr/>
        <w:t xml:space="preserve">Inwerter wyspowy/hybrydowy </w:t>
      </w:r>
    </w:p>
    <w:p>
      <w:pPr>
        <w:pStyle w:val="ListParagraph"/>
        <w:numPr>
          <w:ilvl w:val="0"/>
          <w:numId w:val="93"/>
        </w:numPr>
        <w:rPr/>
      </w:pPr>
      <w:r>
        <w:rPr/>
        <w:t>zabezpieczenie przed wprowadzeniem energii do sieci</w:t>
      </w:r>
    </w:p>
    <w:p>
      <w:pPr>
        <w:pStyle w:val="ListParagraph"/>
        <w:numPr>
          <w:ilvl w:val="0"/>
          <w:numId w:val="93"/>
        </w:numPr>
        <w:rPr/>
      </w:pPr>
      <w:r>
        <w:rPr/>
        <w:t>ilość sekcji/wejść/trackerów MPPT zgodna z obliczeniem na etapie wykonania dokumentacji budowlanej i wykonawczej projektową;</w:t>
      </w:r>
    </w:p>
    <w:p>
      <w:pPr>
        <w:pStyle w:val="ListParagraph"/>
        <w:numPr>
          <w:ilvl w:val="0"/>
          <w:numId w:val="93"/>
        </w:numPr>
        <w:rPr/>
      </w:pPr>
      <w:r>
        <w:rPr/>
        <w:t>sprawność powyżej 95%.</w:t>
      </w:r>
    </w:p>
    <w:p>
      <w:pPr>
        <w:pStyle w:val="ListParagraph"/>
        <w:numPr>
          <w:ilvl w:val="0"/>
          <w:numId w:val="93"/>
        </w:numPr>
        <w:rPr/>
      </w:pPr>
      <w:r>
        <w:rPr/>
        <w:t>wbudowany rozłącznik części DC (DC switch, solar switch) izolacyjnego rozłączania;</w:t>
      </w:r>
    </w:p>
    <w:p>
      <w:pPr>
        <w:pStyle w:val="ListParagraph"/>
        <w:numPr>
          <w:ilvl w:val="0"/>
          <w:numId w:val="93"/>
        </w:numPr>
        <w:rPr/>
      </w:pPr>
      <w:r>
        <w:rPr/>
        <w:t>opcjonalna możliwość instalowania zabezpieczeń topikowych typu CH gPV do zabezpieczania poszczególnych wejść stringów DC (łańcuchów modułów PV). W przypadku gdy inwerter nie posiada takiej możliwości zabezpieczenia DC należy instalować w rozłącznikach zebranych obok inwertera   w   rozdzielni   DC   razem z ogranicznikami przepięć.</w:t>
      </w:r>
    </w:p>
    <w:p>
      <w:pPr>
        <w:pStyle w:val="Normal"/>
        <w:rPr/>
      </w:pPr>
      <w:r>
        <w:rPr/>
        <w:t>Realizowanie powyższych funkcji można uznać za skuteczne, jeżeli inwerter spełnia wymagania stosownych przepisów i norm.</w:t>
      </w:r>
    </w:p>
    <w:p>
      <w:pPr>
        <w:pStyle w:val="Normal"/>
        <w:rPr/>
      </w:pPr>
      <w:r>
        <w:rPr/>
        <w:t>Do łączenia szeregowego modułów należy stosować kable jednożyłowe giętkie wspecjalnej izolacji do stosowania w systemach fotowoltaicznych. Do przewodów stosować systemowe akcesoria łączeniowe -dławiki, złącza, wtyki, itp.</w:t>
      </w:r>
    </w:p>
    <w:p>
      <w:pPr>
        <w:pStyle w:val="Normal"/>
        <w:rPr/>
      </w:pPr>
      <w:r>
        <w:rPr/>
        <w:t>Stosowane przewody muszą spełniać następujące wymagania:</w:t>
      </w:r>
    </w:p>
    <w:p>
      <w:pPr>
        <w:pStyle w:val="ListParagraph"/>
        <w:numPr>
          <w:ilvl w:val="0"/>
          <w:numId w:val="94"/>
        </w:numPr>
        <w:rPr/>
      </w:pPr>
      <w:r>
        <w:rPr/>
        <w:t>napięcie robocze systemu fotowoltaicznego do 1,8kV DC</w:t>
      </w:r>
    </w:p>
    <w:p>
      <w:pPr>
        <w:pStyle w:val="ListParagraph"/>
        <w:numPr>
          <w:ilvl w:val="0"/>
          <w:numId w:val="94"/>
        </w:numPr>
        <w:rPr/>
      </w:pPr>
      <w:r>
        <w:rPr/>
        <w:t>temperatura pracy od -40oC do+120oCodporność na promieniowanie UV i ozon</w:t>
      </w:r>
    </w:p>
    <w:p>
      <w:pPr>
        <w:pStyle w:val="ListParagraph"/>
        <w:numPr>
          <w:ilvl w:val="0"/>
          <w:numId w:val="94"/>
        </w:numPr>
        <w:rPr/>
      </w:pPr>
      <w:r>
        <w:rPr/>
        <w:t xml:space="preserve">odporność na środowisko kwaśne i warunki atmosferyczne (wiatr, deszcz) </w:t>
      </w:r>
    </w:p>
    <w:p>
      <w:pPr>
        <w:pStyle w:val="Normal"/>
        <w:rPr/>
      </w:pPr>
      <w:r>
        <w:rPr/>
        <w:t>Po stronie AC stosować przewody wielożyłowe miedziane w układzie TN-S w izolacji i osłonie poliwinylowej 450/750V. Przekroje przewodów dobrać zgodnie z dokumentacją projektową.</w:t>
      </w:r>
    </w:p>
    <w:p>
      <w:pPr>
        <w:pStyle w:val="Normal"/>
        <w:rPr/>
      </w:pPr>
      <w:r>
        <w:rPr/>
        <w:t>Aparaty powinny spełniać wymagania PN-EN60947 (Aparatura rozdzielcza i sterownicza niskonapięciowa). Typy aparatów zgodne z dokumentacją projektową przygotowaną w fazie projektowej zadania. Dodatkowo instalację należy wyposażyć w urządzeni pozwalające zweryfikować usprawnienie oraz monitorowanie pracy układu, tzn. urządzenia i układy pomiarowe zgodne z obowiązującymi normami.</w:t>
      </w:r>
    </w:p>
    <w:p>
      <w:pPr>
        <w:pStyle w:val="Nagwek5"/>
        <w:numPr>
          <w:ilvl w:val="4"/>
          <w:numId w:val="3"/>
        </w:numPr>
        <w:rPr/>
      </w:pPr>
      <w:r>
        <w:rPr/>
        <w:t>System demontracyjny</w:t>
      </w:r>
    </w:p>
    <w:p>
      <w:pPr>
        <w:pStyle w:val="Normal"/>
        <w:rPr/>
      </w:pPr>
      <w:r>
        <w:rPr/>
        <w:t>W ramach zamówienia należy dostarczyć gotowe stanowisko dydaktyczne spełniające co najmniej poniższe wymagania:</w:t>
      </w:r>
    </w:p>
    <w:p>
      <w:pPr>
        <w:pStyle w:val="ListParagraph"/>
        <w:numPr>
          <w:ilvl w:val="0"/>
          <w:numId w:val="97"/>
        </w:numPr>
        <w:rPr/>
      </w:pPr>
      <w:r>
        <w:rPr/>
        <w:t xml:space="preserve">małogabarytowy model instalacji fotowoltaicznej. </w:t>
      </w:r>
    </w:p>
    <w:p>
      <w:pPr>
        <w:pStyle w:val="ListParagraph"/>
        <w:numPr>
          <w:ilvl w:val="0"/>
          <w:numId w:val="97"/>
        </w:numPr>
        <w:rPr/>
      </w:pPr>
      <w:r>
        <w:rPr/>
        <w:t>Stanowisko przeznaczone jest do pracy w laboratorium/pracowni — z oświetlaczem lub oświetleniem naturalnym.</w:t>
      </w:r>
    </w:p>
    <w:p>
      <w:pPr>
        <w:pStyle w:val="Normal"/>
        <w:rPr/>
      </w:pPr>
      <w:r>
        <w:rPr/>
        <w:t>Stanowisko powinno być wyposażone w co najmniej:</w:t>
      </w:r>
    </w:p>
    <w:p>
      <w:pPr>
        <w:pStyle w:val="ListParagraph"/>
        <w:numPr>
          <w:ilvl w:val="0"/>
          <w:numId w:val="98"/>
        </w:numPr>
        <w:rPr/>
      </w:pPr>
      <w:r>
        <w:rPr/>
        <w:t>Moduł badawczy:</w:t>
      </w:r>
    </w:p>
    <w:p>
      <w:pPr>
        <w:pStyle w:val="ListParagraph"/>
        <w:numPr>
          <w:ilvl w:val="1"/>
          <w:numId w:val="98"/>
        </w:numPr>
        <w:rPr/>
      </w:pPr>
      <w:r>
        <w:rPr/>
        <w:t>Panel fotowoltaiczny min. 10 W – 1 szt.</w:t>
      </w:r>
    </w:p>
    <w:p>
      <w:pPr>
        <w:pStyle w:val="ListParagraph"/>
        <w:numPr>
          <w:ilvl w:val="1"/>
          <w:numId w:val="98"/>
        </w:numPr>
        <w:rPr/>
      </w:pPr>
      <w:r>
        <w:rPr/>
        <w:t>Układ pomiaru kąta nachylenia panelu fotowoltaicznego – 1 szt</w:t>
      </w:r>
    </w:p>
    <w:p>
      <w:pPr>
        <w:pStyle w:val="ListParagraph"/>
        <w:numPr>
          <w:ilvl w:val="1"/>
          <w:numId w:val="98"/>
        </w:numPr>
        <w:rPr/>
      </w:pPr>
      <w:r>
        <w:rPr/>
        <w:t>Konstrukcja (stelaż) stanowiska z profili aluminiowych z możliwością manualnej regulacji kąta nachylenia paneli, wykonanie mobile (wyposażone w kółka jezdne) – 1 szt.</w:t>
      </w:r>
    </w:p>
    <w:p>
      <w:pPr>
        <w:pStyle w:val="ListParagraph"/>
        <w:numPr>
          <w:ilvl w:val="1"/>
          <w:numId w:val="98"/>
        </w:numPr>
        <w:rPr/>
      </w:pPr>
      <w:r>
        <w:rPr/>
        <w:t>Panel wyprowadzeń elektrycznych ze schematem stanowiska – 1 szt.</w:t>
      </w:r>
    </w:p>
    <w:p>
      <w:pPr>
        <w:pStyle w:val="ListParagraph"/>
        <w:numPr>
          <w:ilvl w:val="1"/>
          <w:numId w:val="98"/>
        </w:numPr>
        <w:rPr/>
      </w:pPr>
      <w:r>
        <w:rPr/>
        <w:t>Obciążenie rezystancje – 1 szt.</w:t>
      </w:r>
    </w:p>
    <w:p>
      <w:pPr>
        <w:pStyle w:val="ListParagraph"/>
        <w:numPr>
          <w:ilvl w:val="0"/>
          <w:numId w:val="98"/>
        </w:numPr>
        <w:rPr/>
      </w:pPr>
      <w:r>
        <w:rPr/>
        <w:t>Multimetr wielofunkcyjny – 2 szt.</w:t>
      </w:r>
    </w:p>
    <w:p>
      <w:pPr>
        <w:pStyle w:val="ListParagraph"/>
        <w:numPr>
          <w:ilvl w:val="1"/>
          <w:numId w:val="98"/>
        </w:numPr>
        <w:rPr/>
      </w:pPr>
      <w:r>
        <w:rPr/>
        <w:t>Moduł oświetlacza:</w:t>
      </w:r>
    </w:p>
    <w:p>
      <w:pPr>
        <w:pStyle w:val="ListParagraph"/>
        <w:numPr>
          <w:ilvl w:val="1"/>
          <w:numId w:val="98"/>
        </w:numPr>
        <w:rPr/>
      </w:pPr>
      <w:r>
        <w:rPr/>
        <w:t>Oświetlacz halogenowy o mocy 1 kW z możliwością regulacji natężenia światła</w:t>
      </w:r>
    </w:p>
    <w:p>
      <w:pPr>
        <w:pStyle w:val="ListParagraph"/>
        <w:numPr>
          <w:ilvl w:val="1"/>
          <w:numId w:val="98"/>
        </w:numPr>
        <w:rPr/>
      </w:pPr>
      <w:r>
        <w:rPr/>
        <w:t>Mobilny stelaż oświetlacza – 1 szt.</w:t>
      </w:r>
    </w:p>
    <w:p>
      <w:pPr>
        <w:pStyle w:val="ListParagraph"/>
        <w:numPr>
          <w:ilvl w:val="0"/>
          <w:numId w:val="98"/>
        </w:numPr>
        <w:rPr/>
      </w:pPr>
      <w:r>
        <w:rPr/>
        <w:t>Moduł instalatorski:</w:t>
      </w:r>
    </w:p>
    <w:p>
      <w:pPr>
        <w:pStyle w:val="ListParagraph"/>
        <w:numPr>
          <w:ilvl w:val="1"/>
          <w:numId w:val="98"/>
        </w:numPr>
        <w:rPr/>
      </w:pPr>
      <w:r>
        <w:rPr/>
        <w:t>Stojak na biurko z profili aluminiowych – 1 szt.</w:t>
      </w:r>
    </w:p>
    <w:p>
      <w:pPr>
        <w:pStyle w:val="ListParagraph"/>
        <w:numPr>
          <w:ilvl w:val="1"/>
          <w:numId w:val="98"/>
        </w:numPr>
        <w:rPr/>
      </w:pPr>
      <w:r>
        <w:rPr/>
        <w:t>Regulator ładownia dostosowany do parametrów moduły fotowoltaicznego – 1 szt.</w:t>
      </w:r>
    </w:p>
    <w:p>
      <w:pPr>
        <w:pStyle w:val="ListParagraph"/>
        <w:numPr>
          <w:ilvl w:val="1"/>
          <w:numId w:val="98"/>
        </w:numPr>
        <w:rPr/>
      </w:pPr>
      <w:r>
        <w:rPr/>
        <w:t>Akumulator dostosowany do pracy cyklicznej – 1 kpl.</w:t>
      </w:r>
    </w:p>
    <w:p>
      <w:pPr>
        <w:pStyle w:val="ListParagraph"/>
        <w:numPr>
          <w:ilvl w:val="1"/>
          <w:numId w:val="98"/>
        </w:numPr>
        <w:rPr/>
      </w:pPr>
      <w:r>
        <w:rPr/>
        <w:t>Prosty odbiornik np. żarówka LED – 1 szt.</w:t>
      </w:r>
    </w:p>
    <w:p>
      <w:pPr>
        <w:pStyle w:val="ListParagraph"/>
        <w:numPr>
          <w:ilvl w:val="1"/>
          <w:numId w:val="98"/>
        </w:numPr>
        <w:rPr/>
      </w:pPr>
      <w:r>
        <w:rPr/>
        <w:t>Przykładowa instalacja elektryczna ze schematem – 1 szt.</w:t>
      </w:r>
    </w:p>
    <w:p>
      <w:pPr>
        <w:pStyle w:val="ListParagraph"/>
        <w:numPr>
          <w:ilvl w:val="0"/>
          <w:numId w:val="98"/>
        </w:numPr>
        <w:rPr/>
      </w:pPr>
      <w:r>
        <w:rPr/>
        <w:t>Aparatura pomiarowa:</w:t>
      </w:r>
    </w:p>
    <w:p>
      <w:pPr>
        <w:pStyle w:val="ListParagraph"/>
        <w:numPr>
          <w:ilvl w:val="1"/>
          <w:numId w:val="98"/>
        </w:numPr>
        <w:rPr/>
      </w:pPr>
      <w:r>
        <w:rPr/>
        <w:t>Solarymetr – 1 szt.</w:t>
      </w:r>
    </w:p>
    <w:p>
      <w:pPr>
        <w:pStyle w:val="ListParagraph"/>
        <w:numPr>
          <w:ilvl w:val="1"/>
          <w:numId w:val="98"/>
        </w:numPr>
        <w:rPr/>
      </w:pPr>
      <w:r>
        <w:rPr/>
        <w:t>Pirometr – 1 szt.</w:t>
      </w:r>
    </w:p>
    <w:p>
      <w:pPr>
        <w:pStyle w:val="ListParagraph"/>
        <w:numPr>
          <w:ilvl w:val="1"/>
          <w:numId w:val="98"/>
        </w:numPr>
        <w:rPr/>
      </w:pPr>
      <w:r>
        <w:rPr/>
        <w:t>Luksomierz – 1 szt.</w:t>
      </w:r>
    </w:p>
    <w:p>
      <w:pPr>
        <w:pStyle w:val="Normal"/>
        <w:rPr/>
      </w:pPr>
      <w:r>
        <w:rPr/>
        <w:t>W ramach zamówienia należy zapewnić przeszkolenie z użytkowania ww. stanowiska.</w:t>
      </w:r>
    </w:p>
    <w:p>
      <w:pPr>
        <w:pStyle w:val="Nagwek4"/>
        <w:numPr>
          <w:ilvl w:val="3"/>
          <w:numId w:val="3"/>
        </w:numPr>
        <w:rPr/>
      </w:pPr>
      <w:r>
        <w:rPr/>
        <w:t>System sterujący, automatyka systemu grzewczego, podłączenie urządzeń.</w:t>
      </w:r>
    </w:p>
    <w:p>
      <w:pPr>
        <w:pStyle w:val="Normal"/>
        <w:rPr/>
      </w:pPr>
      <w:r>
        <w:rPr/>
        <w:t>W związku z wymianą instalacji elektrycznej należy ponownie podłączyć wszystkie urządzenia zdemontowane w związku z modernizacją oraz nowoprojektowanymi urządzeniami (m.in. automatykę nowego źródła ciepła, systemu sterującego ogrzewaniem podtynkowym, instalacji PV i oświetlenia). Wszelką automatykę należy zaprojektować i wykonać zgodnie z wytycznymi producenta układu i urządzeń, które ma obsługiwać.</w:t>
      </w:r>
    </w:p>
    <w:p>
      <w:pPr>
        <w:pStyle w:val="Nagwek1"/>
        <w:numPr>
          <w:ilvl w:val="0"/>
          <w:numId w:val="3"/>
        </w:numPr>
        <w:shd w:val="clear" w:fill="F04E23"/>
        <w:rPr/>
      </w:pPr>
      <w:bookmarkStart w:id="108" w:name="_Toc10627734"/>
      <w:bookmarkEnd w:id="108"/>
      <w:r>
        <w:rPr/>
        <w:t>Warunki wykonania i odbioru robót budowalnych</w:t>
      </w:r>
    </w:p>
    <w:p>
      <w:pPr>
        <w:pStyle w:val="Normal"/>
        <w:rPr/>
      </w:pPr>
      <w:r>
        <w:rPr/>
        <w:t xml:space="preserve">Zamawiający wymaga, aby Wykonawca wykonywał wszelkie roboty związane z realizacją przedmiotu zamówienia zgodnie z przepisami polskiego Prawa budowlanego oraz Polskich Norm i norm branżowych </w:t>
      </w:r>
    </w:p>
    <w:p>
      <w:pPr>
        <w:pStyle w:val="Normal"/>
        <w:rPr/>
      </w:pPr>
      <w:r>
        <w:rPr/>
        <w:t>W kwestiach technicznych należy kierować się ”Warunkami technicznymi wykonania i odbioru robót budowlanych” opracowanymi przez Instytut Techniki Budowlanej w wersji aktualnej na dzień wykonywania robot, zwanymi dalej „Specyfikacjami Technicznymi” lub „ST”, w tym w szczególności:</w:t>
      </w:r>
    </w:p>
    <w:p>
      <w:pPr>
        <w:pStyle w:val="ListParagraph"/>
        <w:numPr>
          <w:ilvl w:val="0"/>
          <w:numId w:val="61"/>
        </w:numPr>
        <w:rPr/>
      </w:pPr>
      <w:r>
        <w:rPr/>
        <w:t>Częścią A. „Roboty ziemne i konstrukcyjne”, w zakresie: robót ziemnych, konstrukcji murowych, konstrukcji drewnianych, konstrukcji betonowych i żelbetowych, zbrojenia konstrukcji żelbetowych, lekkich ścian działowych, robót spawalniczych,</w:t>
      </w:r>
    </w:p>
    <w:p>
      <w:pPr>
        <w:pStyle w:val="ListParagraph"/>
        <w:numPr>
          <w:ilvl w:val="0"/>
          <w:numId w:val="61"/>
        </w:numPr>
        <w:rPr/>
      </w:pPr>
      <w:r>
        <w:rPr/>
        <w:t>Częścią B „Roboty wykończeniowe”, w zakresie: tynków, posadzek z drewna i materiałów drewnopochodnych, powłok malarskich zewnętrznych i wewnętrznych, okładzin i posadzek z płytek ceramicznych, montażu okien i drzwi balkonowych, posadzek i wykładzin włókienniczych i z polichlorku winylu, posadzek betonowych utwardzanych powierzchniowo preparatami proszkowymi, podłóg sportowych w obiektach krytych,</w:t>
      </w:r>
    </w:p>
    <w:p>
      <w:pPr>
        <w:pStyle w:val="ListParagraph"/>
        <w:numPr>
          <w:ilvl w:val="0"/>
          <w:numId w:val="61"/>
        </w:numPr>
        <w:rPr/>
      </w:pPr>
      <w:r>
        <w:rPr/>
        <w:t xml:space="preserve">Częścią C „Zabezpieczenia i izolacje”, w zakresie: pokryć dachowych, zabezpieczenia ogniochronnego konstrukcji budowlanych, zabezpieczenia przeciwkorozyjnego, izolacji wodochronnych tarasów, izolacji przeciwwilgociowych i wodochronnych części podziemnych budynków, zabezpieczenia wodochronnego pomieszczeń „mokrych”, izolacje cieplnych, złożonych systemów ocieplania ścian zewnętrznych budynków (ETICS) z zastosowaniem styropianu lub wełny mineralnej i wypraw tynkarskich  </w:t>
      </w:r>
    </w:p>
    <w:p>
      <w:pPr>
        <w:pStyle w:val="ListParagraph"/>
        <w:numPr>
          <w:ilvl w:val="0"/>
          <w:numId w:val="61"/>
        </w:numPr>
        <w:rPr/>
      </w:pPr>
      <w:r>
        <w:rPr/>
        <w:t>Częścią D „Roboty instalacyjne elektryczne”, w zakresie: instalacje elektrycznych i piorunochronnych w budynkach użyteczności publicznej</w:t>
      </w:r>
    </w:p>
    <w:p>
      <w:pPr>
        <w:pStyle w:val="ListParagraph"/>
        <w:numPr>
          <w:ilvl w:val="0"/>
          <w:numId w:val="61"/>
        </w:numPr>
        <w:rPr/>
      </w:pPr>
      <w:r>
        <w:rPr/>
        <w:t>Częścią E „Roboty instalacyjne sanitarne”, w zakresie: instalacje ogrzewczych, wodociągowych, kanalizacyjnych, elementów preizolowanych i instalacji wentylacji.</w:t>
      </w:r>
    </w:p>
    <w:p>
      <w:pPr>
        <w:pStyle w:val="Normal"/>
        <w:rPr/>
      </w:pPr>
      <w:r>
        <w:rPr/>
        <w:t>Dla dokumentacji projektowej Wykonawca sporządzi Szczegółowe Specyfikacje Techniczne Wykonania i Odbioru Robót (zwane dalej „SST” lub „STWiOR”) adekwatne do szczegółowych rozwiązań przyjętych przez jednostkę projektową na etapie przygotowania dokumentacji projektowej i zatwierdzonych przez Zamawiającego. Ww. SST powinny być zgodne z ww. ST oraz stanowić uszczegółowienie w kwestiach wynikających ze specyfiki rozwiązań technicznych przyjętych na etapie przygotowania dokumentacji projektowej, w tym w szczególności Projektu Wykonawczego. W przypadku rozwiązań podanych w przedmiotowym Programie Funkcjonalno-Użytkowym jako wariantowe, rozwiązania wybrane na etapie przygotowania dokumentacji projektowej muszą wskazywać wybrany przez Wykonawcę wariant, dla którego następnie sporządzone zostaną SST.</w:t>
      </w:r>
    </w:p>
    <w:p>
      <w:pPr>
        <w:pStyle w:val="Nagwek2"/>
        <w:numPr>
          <w:ilvl w:val="1"/>
          <w:numId w:val="3"/>
        </w:numPr>
        <w:shd w:val="clear" w:fill="FCDBD3"/>
        <w:rPr/>
      </w:pPr>
      <w:bookmarkStart w:id="109" w:name="_Toc10627735"/>
      <w:bookmarkEnd w:id="109"/>
      <w:r>
        <w:rPr/>
        <w:t>Organizacja robót budowlanych i teren budowy</w:t>
      </w:r>
    </w:p>
    <w:p>
      <w:pPr>
        <w:pStyle w:val="Nagwek3"/>
        <w:numPr>
          <w:ilvl w:val="2"/>
          <w:numId w:val="3"/>
        </w:numPr>
        <w:rPr/>
      </w:pPr>
      <w:bookmarkStart w:id="110" w:name="_Toc10627736"/>
      <w:r>
        <w:rPr/>
        <w:t>Przekazanie terenu budowy</w:t>
      </w:r>
      <w:bookmarkEnd w:id="110"/>
      <w:r>
        <w:rPr/>
        <w:t xml:space="preserve"> </w:t>
      </w:r>
    </w:p>
    <w:p>
      <w:pPr>
        <w:pStyle w:val="Normal"/>
        <w:rPr/>
      </w:pPr>
      <w:r>
        <w:rPr/>
        <w:t>Zamawiający przekaże Wykonawcy teren budowy w terminie określonym w umowie. Program Funkcjonalno-użytkowy będzie stanowił część składową dokumentacji przetargowej sporządzonej dla przedmiotowego zadania inwestycyjnego. Zgodnie z treścią przedmiotowego Programu, Wykonawca pozyska we własnym zakresie pozostałe niezbędne dla tej inwestycji dokumenty, opinie, zgody, pozwolenia w tym pozwolenie na budowę oraz inne dokumenty i uzgodnienia niewymienione w niniejszym opracowaniu, a niezbędne z punktu widzenia prawa do realizacji przedmiotowego zadania inwestycyjnego.</w:t>
      </w:r>
    </w:p>
    <w:p>
      <w:pPr>
        <w:pStyle w:val="Nagwek3"/>
        <w:numPr>
          <w:ilvl w:val="2"/>
          <w:numId w:val="3"/>
        </w:numPr>
        <w:rPr/>
      </w:pPr>
      <w:bookmarkStart w:id="111" w:name="_Toc10627737"/>
      <w:r>
        <w:rPr/>
        <w:t>Zgodność robót z dokumentacją i programem funkcjonalno-użytkowym</w:t>
      </w:r>
      <w:bookmarkEnd w:id="111"/>
      <w:r>
        <w:rPr/>
        <w:t xml:space="preserve"> </w:t>
      </w:r>
    </w:p>
    <w:p>
      <w:pPr>
        <w:pStyle w:val="Normal"/>
        <w:rPr/>
      </w:pPr>
      <w:r>
        <w:rPr/>
        <w:t xml:space="preserve">Program Funkcjonalno-użytkowy i wszystkie dodatkowe dokumenty przekazane Wykonawcy przez Zamawiającego i Inspektora Nadzoru Inwestorskiego stanowią składniki umowy, a wszystkie określone w nich wymagania są obowiązujące dla Wykonawcy. Wykonawca nie może wykorzystywać błędów lub opuszczeń w dokumentach przetargowych, a o ich wykryciu winien natychmiast powiadomić Zamawiającego i Inspektora Nadzoru Inwestorskiego, który podejmie decyzję o wprowadzeniu odpowiednich poprawek i zapisów. Dane określone w Programie Funkcjonalno-użytkowym będą uważane za wartości docelowe, od których za zgodą Zamawiającego dopuszczalne są odchylenia w ramach określonego przedziału tolerancji (in plus, in minus) wymienionego w niniejszym Programie. Cechy materiałów i elementów budowli muszą wykazywać zgodność z określonymi wymaganiami, a rozbieżność tych cech nie może przekraczać dopuszczalnego przedziału tolerancji przyjętego jako minimum. </w:t>
      </w:r>
    </w:p>
    <w:p>
      <w:pPr>
        <w:pStyle w:val="Nagwek3"/>
        <w:numPr>
          <w:ilvl w:val="2"/>
          <w:numId w:val="3"/>
        </w:numPr>
        <w:rPr/>
      </w:pPr>
      <w:bookmarkStart w:id="112" w:name="_Toc10627738"/>
      <w:r>
        <w:rPr/>
        <w:t>Zabezpieczenie i oznakowanie terenu budowy</w:t>
      </w:r>
      <w:bookmarkEnd w:id="112"/>
      <w:r>
        <w:rPr/>
        <w:t xml:space="preserve"> </w:t>
      </w:r>
    </w:p>
    <w:p>
      <w:pPr>
        <w:pStyle w:val="Normal"/>
        <w:rPr/>
      </w:pPr>
      <w:r>
        <w:rPr/>
        <w:t>Wykonawca, w celu realizacji zadania, może wykorzystywać cały teren objęty inwestycją. Ze względu na zabytkowy charakter otoczenia obiektu (park) realizacja inwestycji nie może spowodować zniszczenia elementów zagospodarowania terenu (w tym terenu bezpośrednio sąsiadującego z terenem inwestycji). Stan otoczenia obiektu, w wyniku realizacji inwestycji nie może zostać pogorszony, a co najmniej musi zostać przywrócony do poprzedniego - sprzed rozpoczęcia budowy, zgodnie z dokumentacją projektową, uzgodnieniami i zgodami, przy czym to Wykonawca zobowiązany jest do uzyskania wszelkich zgód i uzgodnień wynikających ze specyfiki inwestycji i zabytkowego charakteru jej bezpośredniego otoczenia. W przypadku wszelkiego rodzaju uszkodzeń Wykonawca jest w pełni odpowiedzialny za przywrócenie na własny koszt stanu pierwotnego uszkodzonych elementów zagospodarowania terenu. Przy tym ww. odpowiedzialność finansowa nie zwalnia Wykonawcy z odpowiedzialności i konsekwencji prawnych wynikających z Ustawy z dnia 23.07.2003 r. o ochronie zabytków i opiece nad zabytkami oraz wymogami formalno-prawnymi związanymi z przywróceniem stanu pierwotnego terenu wpisanego do wojewódzkiego rejestru zabytków. W przypadku jakichkolwiek uszkodzeń lub zniszczeń Wykonawca niezwłocznie zgłosi je do Zamawiającego - Inspektorowi Nadzoru, który natomiast zgodnie z obowiązującym prawem, zgłosi je do Wojewódzkiego Konserwatora Zbytków.</w:t>
      </w:r>
    </w:p>
    <w:p>
      <w:pPr>
        <w:pStyle w:val="Normal"/>
        <w:rPr/>
      </w:pPr>
      <w:r>
        <w:rPr/>
        <w:t xml:space="preserve">Te elementy inwestycji, które zakładają przebudowę istniejących elementów zagospodarowania terenu wymagają przygotowania terenu. Roboty dotyczące przygotowania placu budowy, zapewnienia bezpieczeństwa pracownikom i osobom postronnym oraz zabezpieczenia terenu placu budowy przez cały okres wykonywania robót budowlanych wchodzą w zakres obowiązków, które Wykonawca realizuje na własny koszt. </w:t>
      </w:r>
    </w:p>
    <w:p>
      <w:pPr>
        <w:pStyle w:val="Normal"/>
        <w:rPr/>
      </w:pPr>
      <w:r>
        <w:rPr/>
        <w:t xml:space="preserve">Wykonawca jest zobowiązany do zabezpieczenia terenu budowy w okresie trwania realizacji inwestycji aż do zakończenia i odbioru ostatecznego robót. Wykonawca dostarczy, zainstaluje i będzie utrzymywać tymczasowe urządzenia zabezpieczające, niezbędne do ochrony robót, w tym: poręcze, oświetlenie, sygnały i znaki ostrzegawcze, wszelkie inne środki niezbędne do ochrony robót, wygody społeczności i innych. </w:t>
      </w:r>
    </w:p>
    <w:p>
      <w:pPr>
        <w:pStyle w:val="Normal"/>
        <w:rPr/>
      </w:pPr>
      <w:r>
        <w:rPr/>
        <w:t xml:space="preserve">Wykonawca odpowiednio oznakuje, w sposób uzgodniony z Inspektorem Nadzoru Inwestorskiego, wjazdy i wyjazdy z terenu budowy przeznaczone dla pojazdów i maszyn pracujących przy realizacji robót. Fakt przystąpienia do robót Wykonawca potwierdzi poprzez umieszczenie obowiązujących tablic informacyjnych budowy. Tablice informacyjne budowy będą utrzymywane przez Wykonawcę w dobrym stanie przez cały okres realizacji robót. Koszt zabezpieczenia terenu budowy nie podlega odrębnej zapłacie i przyjmuje się, że jest włączony w cenę umowną. W przypadku wyznaczenia zaplecza budowy i/lub miejsca składowania materiałów poza obiektem Wykonawca zobowiązany jest również do zapewnienia dozoru ww. lokalizacji we własnym zakresie i j.w. nie będzie podlegał odrębnej zapłacie. </w:t>
      </w:r>
    </w:p>
    <w:p>
      <w:pPr>
        <w:pStyle w:val="Normal"/>
        <w:rPr/>
      </w:pPr>
      <w:r>
        <w:rPr/>
        <w:t>Wszelkie materiały, które nie będą przeznaczone do dalszego wykorzystania, np.: ziemia z wykopów czy gruz, należy wywieźć na wysypisko komunalne lub przekazać do odpowiedniego punktu utylizacji odpadów. Wywóz odpadów musi zostać uzgodniony z odpowiednim organem ochrony środowiska i gestorem składowiska, na które wywóz będzie dokonywany. Energia elektryczna na potrzeby budowy może być pobierana z istniejących przyłączy elektrycznych. Z dostawcą energii elektrycznej należy uzgodnić niezbędny zapas mocy, a następnie opomiarować przyłącza dla potrzeb budowy w celu rozliczenia ilości pobranej przez Wykonawcę energii elektrycznej. Woda dla potrzeb budowy może być pobierana z istniejących sieci. Tak, jak w powyższym przypadku, woda musi być opomiarowana w celu późniejszego rozliczenia Wykonawcy z dostawcą wody. Wykonawca przyjmuje odpowiedzialność za następstwa działalności, szczególnie w zakresie:</w:t>
      </w:r>
    </w:p>
    <w:p>
      <w:pPr>
        <w:pStyle w:val="ListParagraph"/>
        <w:numPr>
          <w:ilvl w:val="0"/>
          <w:numId w:val="52"/>
        </w:numPr>
        <w:rPr/>
      </w:pPr>
      <w:r>
        <w:rPr/>
        <w:t xml:space="preserve">organizacji i wykonywania robót budowlanych, </w:t>
      </w:r>
    </w:p>
    <w:p>
      <w:pPr>
        <w:pStyle w:val="ListParagraph"/>
        <w:numPr>
          <w:ilvl w:val="0"/>
          <w:numId w:val="52"/>
        </w:numPr>
        <w:rPr/>
      </w:pPr>
      <w:r>
        <w:rPr/>
        <w:t xml:space="preserve">warunków bezpieczeństwa pracy i przepisów przeciwpożarowych, </w:t>
      </w:r>
    </w:p>
    <w:p>
      <w:pPr>
        <w:pStyle w:val="ListParagraph"/>
        <w:numPr>
          <w:ilvl w:val="0"/>
          <w:numId w:val="52"/>
        </w:numPr>
        <w:rPr/>
      </w:pPr>
      <w:r>
        <w:rPr/>
        <w:t xml:space="preserve">zaplecza dla potrzeb Wykonawcy i Inspektora Nadzoru Inwestorskiego, </w:t>
      </w:r>
    </w:p>
    <w:p>
      <w:pPr>
        <w:pStyle w:val="ListParagraph"/>
        <w:numPr>
          <w:ilvl w:val="0"/>
          <w:numId w:val="52"/>
        </w:numPr>
        <w:rPr/>
      </w:pPr>
      <w:r>
        <w:rPr/>
        <w:t xml:space="preserve">ochrony środowiska, </w:t>
      </w:r>
    </w:p>
    <w:p>
      <w:pPr>
        <w:pStyle w:val="ListParagraph"/>
        <w:numPr>
          <w:ilvl w:val="0"/>
          <w:numId w:val="52"/>
        </w:numPr>
        <w:rPr/>
      </w:pPr>
      <w:r>
        <w:rPr/>
        <w:t xml:space="preserve">bezpieczeństwa ruchu drogowego i pieszego w otoczeniu budowy, </w:t>
      </w:r>
    </w:p>
    <w:p>
      <w:pPr>
        <w:pStyle w:val="ListParagraph"/>
        <w:numPr>
          <w:ilvl w:val="0"/>
          <w:numId w:val="52"/>
        </w:numPr>
        <w:rPr/>
      </w:pPr>
      <w:r>
        <w:rPr/>
        <w:t xml:space="preserve">ochrony mienia związanego z budową, </w:t>
      </w:r>
    </w:p>
    <w:p>
      <w:pPr>
        <w:pStyle w:val="ListParagraph"/>
        <w:numPr>
          <w:ilvl w:val="0"/>
          <w:numId w:val="52"/>
        </w:numPr>
        <w:rPr/>
      </w:pPr>
      <w:r>
        <w:rPr/>
        <w:t xml:space="preserve">ubezpieczenia placu budowy, </w:t>
      </w:r>
    </w:p>
    <w:p>
      <w:pPr>
        <w:pStyle w:val="ListParagraph"/>
        <w:numPr>
          <w:ilvl w:val="0"/>
          <w:numId w:val="52"/>
        </w:numPr>
        <w:rPr/>
      </w:pPr>
      <w:r>
        <w:rPr/>
        <w:t>zabezpieczenia interesów osób trzecich</w:t>
      </w:r>
    </w:p>
    <w:p>
      <w:pPr>
        <w:pStyle w:val="Normal"/>
        <w:rPr/>
      </w:pPr>
      <w:r>
        <w:rPr/>
        <w:t>Wykonawca będzie prowadził roboty, składował materiały budowlane oraz prowadził rozładunek i załadunek jedynie w obrębie terenu objętego inwestycją, w miejscach uzgodnionych z Inspektora Nadzoru Inwestorskiego oraz przedstawicielem Zamawiającego. Wykonawca będzie ponadto przestrzegał ograniczeń, co do ciężaru urządzeń pracujących w miejscach, które podlegają ograniczeniom co do nacisku, wynikającym z ogólnych norm i wiedzy inżynierskiej, a także będzie bezwzględnie przestrzegał wskazań Inspektora Nadzoru Inwestorskiego w tym zakresie.</w:t>
      </w:r>
    </w:p>
    <w:p>
      <w:pPr>
        <w:pStyle w:val="Normal"/>
        <w:rPr/>
      </w:pPr>
      <w:r>
        <w:rPr/>
        <w:t>W ramach przedmiotowego Programu Funkcjonalno-Użytkowego nie przewiduje się konieczności zajęcia sąsiednich nieruchomości w celu wykonania robót budowlanych wchodzących w zakres inwestycji. Jednak, jeśli konieczność taka wynikać będzie z przyjętej przez Wykonawcę technologii realizacji robót budowlanych, Wykonawca przed rozpoczęciem ww. robót budowlanych, zobowiązany jest powiadomić właścicieli działek sąsiednich o konieczności wejścia na teren ich nieruchomości w celu wykonania niektórych robót budowlanych i uzyskać od nich ewentualną zgodę na korzystanie z terenu ich nieruchomości.</w:t>
      </w:r>
    </w:p>
    <w:p>
      <w:pPr>
        <w:pStyle w:val="Nagwek3"/>
        <w:numPr>
          <w:ilvl w:val="2"/>
          <w:numId w:val="3"/>
        </w:numPr>
        <w:rPr/>
      </w:pPr>
      <w:bookmarkStart w:id="113" w:name="_Toc10627739"/>
      <w:bookmarkEnd w:id="113"/>
      <w:r>
        <w:rPr/>
        <w:t>Ochrona przeciwpożarowa</w:t>
      </w:r>
    </w:p>
    <w:p>
      <w:pPr>
        <w:pStyle w:val="Normal"/>
        <w:rPr/>
      </w:pPr>
      <w:r>
        <w:rPr/>
        <w:t>Wykonawca będzie przestrzegać przepisy ochrony przeciwpożarowej. Wykonawca będzie utrzymywać sprawny sprzęt przeciwpożarowy, wymagany odpowiednimi przepisami, na terenie budowy, zaplecza budowy oraz w pojazdach używanych do transportu materiałów, wyrobów, maszyn i pracowników.</w:t>
      </w:r>
    </w:p>
    <w:p>
      <w:pPr>
        <w:pStyle w:val="Normal"/>
        <w:rPr/>
      </w:pPr>
      <w:r>
        <w:rPr/>
        <w:t>Wszelkie materiały i wyroby łatwopalne będą składowane w sposobi zgodny z odpowiednimi przepisami i zabezpieczone przed dostępem osób trzecich. Wykonawca będzie odpowiedzialny za wszelkie straty spowodowane pożarem wywołanym jako rezultat realizacji robót albo przez personel Wykonawcy.</w:t>
      </w:r>
    </w:p>
    <w:p>
      <w:pPr>
        <w:pStyle w:val="Nagwek3"/>
        <w:numPr>
          <w:ilvl w:val="2"/>
          <w:numId w:val="3"/>
        </w:numPr>
        <w:rPr/>
      </w:pPr>
      <w:bookmarkStart w:id="114" w:name="_Toc10627740"/>
      <w:r>
        <w:rPr/>
        <w:t>Bezpieczeństwo i higiena pracy</w:t>
      </w:r>
      <w:bookmarkEnd w:id="114"/>
      <w:r>
        <w:rPr/>
        <w:t xml:space="preserve"> </w:t>
      </w:r>
    </w:p>
    <w:p>
      <w:pPr>
        <w:pStyle w:val="Normal"/>
        <w:rPr/>
      </w:pPr>
      <w:r>
        <w:rPr/>
        <w:t xml:space="preserve">Podczas realizacji robót Wykonawca będzie bezwzględnie przestrzegał przepisów dotyczących bezpieczeństwa i higieny pracy. Wykonawca ma obowiązek dopilnować, aby personel nie wykonywał pracy w warunkach niebezpiecznych, szkodliwych dla zdrowia oraz niespełniających odpowiednich wymagań sanitarnych. Osobom zatrudnionym na budowie Wykonawca zapewni wszelkie urządzenia zabezpieczające, socjalne oraz sprzęt i odpowiednią odzież dla ochrony życia i zdrowia, poniesie wszelkie koszty związane z wypełnianiem wymagań bhp. Wykonawca opracuje plan BIOZ (plan bezpieczeństwa i ochrony zdrowia) oraz spełni wymogi zgodne z </w:t>
      </w:r>
      <w:r>
        <w:rPr/>
        <w:fldChar w:fldCharType="begin"/>
      </w:r>
      <w:r>
        <w:instrText> REF _Ref9289843 \h </w:instrText>
      </w:r>
      <w:r>
        <w:fldChar w:fldCharType="separate"/>
      </w:r>
      <w:r/>
      <w:r>
        <w:fldChar w:fldCharType="end"/>
      </w:r>
      <w:r>
        <w:rPr/>
        <w:t>. Wszelkie koszty związane z zapewnieniem odpowiednich warunków bhp ponosi Wykonawca, nie podlegają odrębnej zapłacie i są uwzględnione w cenie umownej.</w:t>
      </w:r>
    </w:p>
    <w:p>
      <w:pPr>
        <w:pStyle w:val="Nagwek3"/>
        <w:numPr>
          <w:ilvl w:val="2"/>
          <w:numId w:val="3"/>
        </w:numPr>
        <w:rPr/>
      </w:pPr>
      <w:bookmarkStart w:id="115" w:name="_Toc10627741"/>
      <w:r>
        <w:rPr/>
        <w:t>Ochrona środowiska i przyrody w czasie wykonywania robót budowlanych</w:t>
      </w:r>
      <w:bookmarkEnd w:id="115"/>
      <w:r>
        <w:rPr/>
        <w:t xml:space="preserve"> </w:t>
      </w:r>
    </w:p>
    <w:p>
      <w:pPr>
        <w:pStyle w:val="Normal"/>
        <w:rPr/>
      </w:pPr>
      <w:r>
        <w:rPr/>
        <w:t>Wykonawca ma obowiązek - w trakcie prowadzenia robót budowlanych - brać pod uwagę oraz stosować przepisy dotyczące ochrony środowiska. W okresie trwania budowy i prowadzenia robót do zadań Wykonawcy należy:</w:t>
      </w:r>
    </w:p>
    <w:p>
      <w:pPr>
        <w:pStyle w:val="Normal"/>
        <w:numPr>
          <w:ilvl w:val="0"/>
          <w:numId w:val="53"/>
        </w:numPr>
        <w:spacing w:before="100" w:after="200"/>
        <w:contextualSpacing/>
        <w:rPr/>
      </w:pPr>
      <w:r>
        <w:rPr/>
        <w:t xml:space="preserve">utrzymywanie terenu budowy w stanie bez wody stojącej, </w:t>
      </w:r>
    </w:p>
    <w:p>
      <w:pPr>
        <w:pStyle w:val="Normal"/>
        <w:numPr>
          <w:ilvl w:val="0"/>
          <w:numId w:val="53"/>
        </w:numPr>
        <w:spacing w:before="100" w:after="200"/>
        <w:contextualSpacing/>
        <w:rPr/>
      </w:pPr>
      <w:r>
        <w:rPr/>
        <w:t xml:space="preserve">podejmowanie wszelkich uzasadnionych kroków mających na celu stosowanie się do przepisów norm dotyczących ochrony środowiska na terenie i wokół terenu budowy oraz unikanie uszkodzeń lub uciążliwości dla osób lub dóbr publicznych i innych, a wynikających z nadmiernego hałasu, wibracji, zanieczyszczenia lub innych przyczyn powstałych w następstwie jego sposobu działania. </w:t>
      </w:r>
    </w:p>
    <w:p>
      <w:pPr>
        <w:pStyle w:val="Normal"/>
        <w:rPr/>
      </w:pPr>
      <w:r>
        <w:rPr/>
        <w:t>Wykonawca stosując się do tych wymagań będzie brał pod szczególną uwagę:</w:t>
      </w:r>
    </w:p>
    <w:p>
      <w:pPr>
        <w:pStyle w:val="Normal"/>
        <w:numPr>
          <w:ilvl w:val="0"/>
          <w:numId w:val="54"/>
        </w:numPr>
        <w:spacing w:before="100" w:after="200"/>
        <w:contextualSpacing/>
        <w:rPr/>
      </w:pPr>
      <w:r>
        <w:rPr/>
        <w:t xml:space="preserve">zabezpieczenie istniejącego drzewostanu na czas wykonywania robót, </w:t>
      </w:r>
    </w:p>
    <w:p>
      <w:pPr>
        <w:pStyle w:val="Normal"/>
        <w:numPr>
          <w:ilvl w:val="0"/>
          <w:numId w:val="54"/>
        </w:numPr>
        <w:spacing w:before="100" w:after="200"/>
        <w:contextualSpacing/>
        <w:rPr/>
      </w:pPr>
      <w:r>
        <w:rPr/>
        <w:t xml:space="preserve">lokalizację warsztatów, magazynów, składowisk, </w:t>
      </w:r>
    </w:p>
    <w:p>
      <w:pPr>
        <w:pStyle w:val="Normal"/>
        <w:numPr>
          <w:ilvl w:val="0"/>
          <w:numId w:val="54"/>
        </w:numPr>
        <w:spacing w:before="100" w:after="200"/>
        <w:contextualSpacing/>
        <w:rPr/>
      </w:pPr>
      <w:r>
        <w:rPr/>
        <w:t xml:space="preserve">utrzymanie w czystości wszystkich dróg dojazdowych związanych z transportem materiałów i sprzętu budowlanego, </w:t>
      </w:r>
    </w:p>
    <w:p>
      <w:pPr>
        <w:pStyle w:val="Normal"/>
        <w:numPr>
          <w:ilvl w:val="0"/>
          <w:numId w:val="54"/>
        </w:numPr>
        <w:spacing w:before="100" w:after="200"/>
        <w:contextualSpacing/>
        <w:rPr/>
      </w:pPr>
      <w:r>
        <w:rPr/>
        <w:t xml:space="preserve">środki ostrożności i zabezpieczenia przed: </w:t>
      </w:r>
    </w:p>
    <w:p>
      <w:pPr>
        <w:pStyle w:val="Normal"/>
        <w:numPr>
          <w:ilvl w:val="1"/>
          <w:numId w:val="54"/>
        </w:numPr>
        <w:spacing w:before="100" w:after="200"/>
        <w:contextualSpacing/>
        <w:rPr/>
      </w:pPr>
      <w:r>
        <w:rPr/>
        <w:t xml:space="preserve">zanieczyszczeniem zbiorników i cieków wodnych pyłami lub substancjami toksycznymi, zanieczyszczeniem powietrza pyłami i gazami, </w:t>
      </w:r>
    </w:p>
    <w:p>
      <w:pPr>
        <w:pStyle w:val="Normal"/>
        <w:numPr>
          <w:ilvl w:val="1"/>
          <w:numId w:val="54"/>
        </w:numPr>
        <w:spacing w:before="100" w:after="200"/>
        <w:contextualSpacing/>
        <w:rPr/>
      </w:pPr>
      <w:r>
        <w:rPr/>
        <w:t>możliwością powstania pożaru.</w:t>
      </w:r>
    </w:p>
    <w:p>
      <w:pPr>
        <w:pStyle w:val="Normal"/>
        <w:numPr>
          <w:ilvl w:val="0"/>
          <w:numId w:val="54"/>
        </w:numPr>
        <w:spacing w:before="100" w:after="200"/>
        <w:contextualSpacing/>
        <w:rPr/>
      </w:pPr>
      <w:r>
        <w:rPr/>
        <w:t>ograniczenia czasowe, wymagania formalno-prawne wynikające z przepisów ochrony środowiska i ochrony przyrody, w tym w szczególności z ochrony gatunkowej ptaków i nietoperzy oraz ich siedlisk i zimowisk.</w:t>
      </w:r>
    </w:p>
    <w:p>
      <w:pPr>
        <w:pStyle w:val="Normal"/>
        <w:spacing w:before="100" w:after="200"/>
        <w:contextualSpacing/>
        <w:rPr/>
      </w:pPr>
      <w:r>
        <w:rPr/>
        <w:t>W związku z powyższym Wykonawca będzie zobowiązany do ponowienia inwentaryzacji ornitologicznej i charakterologicznej na obiekcie w okresie poprzedzającym rozpoczęcie robót i jednocześnie zapewniającym jej aktualność, a następnie uzyskanie wszelkich niezbędnych zgód, odstępstw i uzgodnień wymaganych prawem. Do obowiązków Wykonawcy należeć będzie zastosowanie się do określonych ww. postepowaniach ograniczeń i obowiązków, w tym przeprowadzenie odpowiednich działań kompensacyjnych, dostosowanie harmonogramu robót do okresów ochronnych, minimalizacja uciążliwości robót. Wszelkie koszty związane z powyższymi wymaganiami ponosi Wykonawca, nie podlegają one odrębnej zapłacie i są uwzględnione w cenie umownej.</w:t>
      </w:r>
    </w:p>
    <w:p>
      <w:pPr>
        <w:pStyle w:val="Nagwek3"/>
        <w:numPr>
          <w:ilvl w:val="2"/>
          <w:numId w:val="3"/>
        </w:numPr>
        <w:rPr/>
      </w:pPr>
      <w:bookmarkStart w:id="116" w:name="_Toc10627742"/>
      <w:bookmarkEnd w:id="116"/>
      <w:r>
        <w:rPr/>
        <w:t>Zaplecze wykonawcy</w:t>
      </w:r>
    </w:p>
    <w:p>
      <w:pPr>
        <w:pStyle w:val="Normal"/>
        <w:rPr/>
      </w:pPr>
      <w:r>
        <w:rPr/>
        <w:t xml:space="preserve">Podczas realizacji robót wykonawca zorganizuje zaplecze dla pracowników poza remontowanym obiektem w miejscu uzgodnionym ze Zamawiającym. Zamawiający może wyznaczyć Wykonawcy zaplecze dla pracowników na terenie obiektu. W takim przypadku, od momentu przekazania ww. pomieszczeń, do zakończenia Robót Wykonawca w pełni odpowiada za przekazane pomieszczenia i zobowiązany jest do ich zdania w stanie niepogorszonym i uporządkowanym po zakończeniu Robót. Zamawiający może w takiej sytuacji również z tygodniowym, tj. siedmiodniowym, wyprzedzeniem zobowiązać Wykonawcę do zdania wyznaczonych pomieszczeń bez dodatkowego wyjaśnienia i wyznaczyć lokalizację zaplecza dla pracowników poza remontowanym obiektem. </w:t>
      </w:r>
      <w:bookmarkStart w:id="117" w:name="_Hlk9290659"/>
      <w:bookmarkEnd w:id="117"/>
      <w:r>
        <w:rPr/>
        <w:t>W przypadku wszelkiego rodzaju uszkodzeń Wykonawca jest w pełni odpowiedzialny za przywrócenie na własny koszt stanu pierwotnego pomieszczeń przejętych pod zaplecze dla pracowników. Przy tym ww. odpowiedzialność finansowa nie zwalnia Wykonawcy z odpowiedzialności i konsekwencji prawnych wynikających z Ustawy z dnia 23.07.2003 r. o ochronie zabytków i opiece nad zabytkami oraz wymogami formalno-prawnymi związanymi z przywróceniem stanu pierwotnego. W przypadku jakichkolwiek uszkodzeń lub zniszczeń Wykonawca niezwłocznie zgłosi je do Zamawiającego - Inspektorowi Nadzoru, który natomiast zgodnie z obowiązującym prawem, zgłosi je do Wojewódzkiego Konserwatora Zbytków.</w:t>
      </w:r>
    </w:p>
    <w:p>
      <w:pPr>
        <w:pStyle w:val="Nagwek3"/>
        <w:numPr>
          <w:ilvl w:val="2"/>
          <w:numId w:val="3"/>
        </w:numPr>
        <w:rPr/>
      </w:pPr>
      <w:bookmarkStart w:id="118" w:name="_Toc10627743"/>
      <w:r>
        <w:rPr/>
        <w:t>Materiały szkodliwe dla otoczenia</w:t>
      </w:r>
      <w:bookmarkEnd w:id="118"/>
      <w:r>
        <w:rPr/>
        <w:t xml:space="preserve"> </w:t>
      </w:r>
    </w:p>
    <w:p>
      <w:pPr>
        <w:pStyle w:val="Normal"/>
        <w:rPr/>
      </w:pPr>
      <w:r>
        <w:rPr/>
        <w:t>Materiały, które w sposób trwały są szkodliwe dla otoczenia, nie będą dopuszczone do użycia. Niedopuszczalne jest użycie materiałów wywołujących szkodliwe promieniowanie o stężeniu większym od dopuszczalnego, określonego odpowiednimi przepisami. Wszelkie materiały użyte do robót będą miały aprobatę techniczną wydaną przez uprawnioną jednostkę, jednoznacznie określającą brak szkodliwego oddziaływania tych materiałów na środowisko. Materiały, które są szkodliwe dla otoczenia tylko w czasie robót (np. materiały pylaste) mogą być użyte pod warunkiem przestrzegania wymagań technologicznych. Wykonawca powinien otrzymać zgodę od właściwych organów administracji państwowej na użycie określonych materiałów, o ile zaistnieje potrzeba wynikająca z odpowiednich przepisów.</w:t>
      </w:r>
    </w:p>
    <w:p>
      <w:pPr>
        <w:pStyle w:val="Nagwek3"/>
        <w:numPr>
          <w:ilvl w:val="2"/>
          <w:numId w:val="3"/>
        </w:numPr>
        <w:rPr/>
      </w:pPr>
      <w:bookmarkStart w:id="119" w:name="_Toc10627744"/>
      <w:r>
        <w:rPr/>
        <w:t>Ochrona własności publicznej i prywatnej</w:t>
      </w:r>
      <w:bookmarkEnd w:id="119"/>
      <w:r>
        <w:rPr/>
        <w:t xml:space="preserve"> </w:t>
      </w:r>
    </w:p>
    <w:p>
      <w:pPr>
        <w:pStyle w:val="Normal"/>
        <w:rPr/>
      </w:pPr>
      <w:r>
        <w:rPr/>
        <w:t>Wykonawca będzie realizował roboty budowlane w sposób powodujący jak najmniejsze niedogodności dla mieszkańców pobliskiego sąsiedztwa budowy, minimalizując uciążliwości związane z realizacją inwestycji (np. hałas, wibracje, zanieczyszczenia itp.) oraz dbając o zachowanie bezpieczeństwa mieszkańców. Wykonawca odpowiada za wszelkie, spowodowane jego działalnością, uszkodzenia zabudowy mieszkaniowej znajdującej się w sąsiedztwie budowy.</w:t>
      </w:r>
    </w:p>
    <w:p>
      <w:pPr>
        <w:pStyle w:val="Nagwek3"/>
        <w:numPr>
          <w:ilvl w:val="2"/>
          <w:numId w:val="3"/>
        </w:numPr>
        <w:rPr/>
      </w:pPr>
      <w:bookmarkStart w:id="120" w:name="_Toc10627745"/>
      <w:bookmarkEnd w:id="120"/>
      <w:r>
        <w:rPr/>
        <w:t>Zabezpieczenie jezdni, chodników, Ograniczenie obciążeń osi pojazdów</w:t>
      </w:r>
    </w:p>
    <w:p>
      <w:pPr>
        <w:pStyle w:val="Normal"/>
        <w:rPr/>
      </w:pPr>
      <w:r>
        <w:rPr/>
        <w:t>Wykonawca będzie się stosował do ustawowych ograniczeń nacisków osi na drogach publicznych przy transporcie materiałów i wyposażenia na i z terenu robót. Wykonawca uzyska wszelkie niezbędne zezwolenia i uzgodnienia od właściwych władz, co do przewozu nietypowych ładunków (tj. ponadnormatywnych) i o każdym takim przewozie będzie powiadamiał Inspektora Nadzoru Inwestorskiego. Inspektor Nadzoru Inwestorskiego może polecić, aby pojazdy niespełniające tych warunków zostały usunięte z terenu budowy - pojazdy i ładunki powodujące nadmierne obciążenie osiowe mogą nie zostać dopuszczone na teren obiektu ze względu na zabytkowy charakter otoczenia obiektu budowlanego, chyba że Wykonawca przedstawi plan dokumentację dotyczącą odpowiedniego zabezpieczenia nawierzchni i uzyska niezbędne zgody, w tym zgodę Inspektora Nadzoru Inwestorskiego. Powyższe nie zwalnia Wykonawcy z wyłącznej odpowiedzialności za wszelkie uszkodzenia w ten sposób powstałe i zobowiązania do naprawy wszelkich uszkodzeń oraz powiadomienia o nich Inspektora Nadzoru.</w:t>
      </w:r>
    </w:p>
    <w:p>
      <w:pPr>
        <w:pStyle w:val="Nagwek3"/>
        <w:numPr>
          <w:ilvl w:val="2"/>
          <w:numId w:val="3"/>
        </w:numPr>
        <w:rPr/>
      </w:pPr>
      <w:bookmarkStart w:id="121" w:name="_Toc10627746"/>
      <w:bookmarkEnd w:id="121"/>
      <w:r>
        <w:rPr/>
        <w:t>Ochrona i utrzymanie robót</w:t>
      </w:r>
    </w:p>
    <w:p>
      <w:pPr>
        <w:pStyle w:val="Normal"/>
        <w:rPr/>
      </w:pPr>
      <w:r>
        <w:rPr/>
        <w:t>Wykonawca będzie odpowiedzialny za ochronę robót i za wszelkie materiały i urządzenia używane do robót od daty ich rozpoczęcia do daty odbioru końcowego.</w:t>
      </w:r>
    </w:p>
    <w:p>
      <w:pPr>
        <w:pStyle w:val="Nagwek3"/>
        <w:numPr>
          <w:ilvl w:val="2"/>
          <w:numId w:val="3"/>
        </w:numPr>
        <w:rPr/>
      </w:pPr>
      <w:bookmarkStart w:id="122" w:name="_Toc10627747"/>
      <w:bookmarkEnd w:id="122"/>
      <w:r>
        <w:rPr/>
        <w:t>Stosowanie się do prawa i innych przepisów, zabezpieczenie inyeresu osób trzecich</w:t>
      </w:r>
    </w:p>
    <w:p>
      <w:pPr>
        <w:pStyle w:val="Normal"/>
        <w:rPr/>
      </w:pPr>
      <w:r>
        <w:rPr/>
        <w:t xml:space="preserve">Wykonawca zobowiązany jest znać wszystkie zarządzenia, przepisy, normy, regulaminy i wytyczne, które są w jakikolwiek sposób związane z wykonywanymi robotami budowlanymi i będzie on w pełni odpowiedzialny za przestrzeganie tych postanowień podczas prowadzenia robót budowlanych. </w:t>
      </w:r>
    </w:p>
    <w:p>
      <w:pPr>
        <w:pStyle w:val="Normal"/>
        <w:rPr/>
      </w:pPr>
      <w:r>
        <w:rPr/>
        <w:t>Wykonawca odpowiada za ochronę instalacji i urządzeń zlokalizowanych w obrębie placu budowy oraz pomieszczeń udostępnionych przez Zamawiającego na potrzeby budowy, a także lokalizacji poza obiektem wyznaczonych przez Zamawiającego na potrzeby budowy, w tym instalacji i urządzeń w budynku i w jago otoczeniu - na powierzchni terenu i pod jego poziomem, takich jak rurociągi, kable itp. Wykonawca zapewni właściwe oznaczenie i zabezpieczenie przed uszkodzeniem tych instalacji i urządzeń w czasie trwania budowy.</w:t>
      </w:r>
    </w:p>
    <w:p>
      <w:pPr>
        <w:pStyle w:val="Normal"/>
        <w:rPr/>
      </w:pPr>
      <w:r>
        <w:rPr/>
        <w:t xml:space="preserve">O fakcie przypadkowego uszkodzenia tych instalacji Wykonawca bezzwłocznie powiadomi Inspektora Nadzoru, Zamawiającego i zainteresowanych użytkowników oraz będzie z nimi współpracował, dostarczając wszelkiej pomocy potrzebnej przy dokonywaniu napraw. Wykonawca będzie odpowiadać za wszelkie spowodowane przez jego działania uszkodzenia instalacji i urządzeń w obiekcie oraz w jego otoczeniu – na powierzchni ziemi i urządzeń podziemnych wykazanych w dokumentach dostarczonych mu przez Zamawiającego. Ponadto wykonawca zobowiązany jest stosować wszystkie powszechnie obowiązujące przepisy oraz przepisy, które są w jakikolwiek sposób związane z realizacją robót, w tym przepisy związane z ochrona i opieką nad zabytkami. Wykonawca jest w pełni odpowiedzialny za przestrzeganie w-w przepisów. </w:t>
      </w:r>
    </w:p>
    <w:p>
      <w:pPr>
        <w:pStyle w:val="Normal"/>
        <w:spacing w:before="0" w:after="200"/>
        <w:rPr/>
      </w:pPr>
      <w:r>
        <w:rPr/>
        <w:t>Wykonawca jest zobowiązany do ochrony przed uszkodzeniem lub zniszczeniem własności publicznej lub prywatnej. Jeżeli w związku z zaniedbaniem, niewłaściwym prowadzeniem robót lub brakiem koniecznych działań ze strony Wykonawcy nastąpi uszkodzenie lub zniszczenie własności prywatnej lub publicznej, to Wykonawca, na swój koszt, naprawi lub odtworzy uszkodzoną własność.</w:t>
      </w:r>
    </w:p>
    <w:p>
      <w:pPr>
        <w:pStyle w:val="Normal"/>
        <w:rPr/>
      </w:pPr>
      <w:r>
        <w:rPr/>
        <w:t>Wykonawca będzie przestrzegać praw patentowych i będzie w pełni odpowiedzialny za wypełnienie wszelkich wymagań prawnych odnośnie znaków firmowych, nazw lub innych chronionych praw w odniesieniu do sprzętu, materiałów lub urządzeń użytych lub związanych z wykonywaniem robót budowlanych. Wykonawca będzie informować na bieżąco Inspektora Nadzoru Inwestorskiego o swoich działaniach, przedstawiając kopie zezwoleń i inne konieczne dokumenty. Wszelkie straty, koszty postępowania, obciążenia, opłaty i wydatki wynikłe lub związane z naruszeniem jakichkolwiek praw patentowych pokryje Wykonawca, z wyjątkiem przypadków, kiedy takie naruszenie wyniknie z wykonania dokumentacji dostarczonej przez Inspektora Nadzoru Inwestorskiego.</w:t>
      </w:r>
    </w:p>
    <w:p>
      <w:pPr>
        <w:pStyle w:val="Nagwek3"/>
        <w:numPr>
          <w:ilvl w:val="2"/>
          <w:numId w:val="3"/>
        </w:numPr>
        <w:rPr/>
      </w:pPr>
      <w:bookmarkStart w:id="123" w:name="_Toc10627748"/>
      <w:r>
        <w:rPr/>
        <w:t>Równoważność norm i zbiorów przepisów prawnych</w:t>
      </w:r>
      <w:bookmarkEnd w:id="123"/>
      <w:r>
        <w:rPr/>
        <w:t xml:space="preserve"> </w:t>
      </w:r>
    </w:p>
    <w:p>
      <w:pPr>
        <w:pStyle w:val="Normal"/>
        <w:rPr/>
      </w:pPr>
      <w:r>
        <w:rPr/>
        <w:t>Gdziekolwiek w dokumentach przetargowych przywołane zostaną konkretne normy i przepisy, które spełniać mają materiały, sprzęt i inne urządzenia oraz wykonane roboty, będą obowiązywać postanowienia najnowszego wydania lub poprawionego wydania przywołanych norm i przepisów, o ile w warunkach umowy nie postanowi się inaczej. W przypadku, gdy powołane normy i przepisy są państwowe lub odnoszą się do konkretnego kraju lub regionu, mogą być również stosowane inne odpowiednie normy zapewniające równy lub wyższy poziom wykonania niż przywołane normy lub przepisy, pod warunkiem ich sprawdzenia i pisemnego zatwierdzenia przez Inspektora Nadzoru Inwestorskiego. Różnice pomiędzy przywołanymi normami a ich proponowanymi zamiennikami muszą być dokładnie opisane przez Wykonawcę i przedłożone Inspektorowi Nadzoru Inwestorskiego do zatwierdzenia.</w:t>
      </w:r>
    </w:p>
    <w:p>
      <w:pPr>
        <w:pStyle w:val="Nagwek2"/>
        <w:numPr>
          <w:ilvl w:val="1"/>
          <w:numId w:val="3"/>
        </w:numPr>
        <w:shd w:val="clear" w:fill="FCDBD3"/>
        <w:rPr/>
      </w:pPr>
      <w:bookmarkStart w:id="124" w:name="_Toc532278029"/>
      <w:bookmarkStart w:id="125" w:name="_Toc10627749"/>
      <w:bookmarkEnd w:id="124"/>
      <w:bookmarkEnd w:id="125"/>
      <w:r>
        <w:rPr/>
        <w:t>Wymagania dotyczące materiałów i wyrobów budowlanych</w:t>
      </w:r>
    </w:p>
    <w:p>
      <w:pPr>
        <w:pStyle w:val="Normal"/>
        <w:rPr/>
      </w:pPr>
      <w:r>
        <w:rPr/>
        <w:t>Wszelkie wyroby budowlane, które będą stosowane w trakcie wykonywania robót budowlanych, muszą spełniać wymogi zarówno polskich przepisów, jak i norm, a Wykonawca będzie posiadał dokumenty potwierdzające, że zostały one wprowadzone do obrotu zgodnie z regulacjami ustawy z dnia 16 kwietnia 2004 r. o wyrobach budowlanych (tekst jednolity, Dz.U. 2016 poz. 1570) i posiadają wymagane parametry. Specyficzne wyroby budowlane, wytwarzane według zasad określonych w dokumentacji projektowej lub w Specyfikacjach Technicznych, będą wymagały przeprowadzenia badań potwierdzających, że posiadają one oczekiwane parametry. Koszty przeprowadzenia tych badań obciążają Wykonawcę, a potrzebę tych badań i ich częstotliwość określą Specyfikacje Techniczne i SST STWiOR przygotowane na etapie sporządzenia dokumentacji projektowej. Materiały wytwarzane na terenie budowy będą musiały uzyskać akceptację Inspektora Nadzoru Inwestorskiego w zakresie ich jakości.</w:t>
      </w:r>
    </w:p>
    <w:p>
      <w:pPr>
        <w:pStyle w:val="Normal"/>
        <w:rPr/>
      </w:pPr>
      <w:r>
        <w:rPr/>
        <w:t xml:space="preserve">Materiały, elementy i urządzenia przeznaczone do robót powinny spełniać odpowiednie standardy lub wymogi, oraz posiadać dokumentacje potwierdzającą ich spełnienie zgodnie z poniższym. </w:t>
      </w:r>
    </w:p>
    <w:p>
      <w:pPr>
        <w:pStyle w:val="Nagwek3"/>
        <w:numPr>
          <w:ilvl w:val="2"/>
          <w:numId w:val="3"/>
        </w:numPr>
        <w:rPr/>
      </w:pPr>
      <w:bookmarkStart w:id="126" w:name="_Toc532278035"/>
      <w:bookmarkStart w:id="127" w:name="_Toc10627750"/>
      <w:bookmarkEnd w:id="126"/>
      <w:bookmarkEnd w:id="127"/>
      <w:r>
        <w:rPr/>
        <w:t>Oznakowanie wyrobów budowlanych</w:t>
      </w:r>
    </w:p>
    <w:p>
      <w:pPr>
        <w:pStyle w:val="Normal"/>
        <w:rPr/>
      </w:pPr>
      <w:r>
        <w:rPr/>
        <w:t>Wyroby budowlane stosowane do wykonania robót muszą posiadać:</w:t>
      </w:r>
    </w:p>
    <w:p>
      <w:pPr>
        <w:pStyle w:val="ListParagraph"/>
        <w:numPr>
          <w:ilvl w:val="0"/>
          <w:numId w:val="60"/>
        </w:numPr>
        <w:spacing w:before="0" w:after="200"/>
        <w:ind w:left="142" w:hanging="142"/>
        <w:rPr/>
      </w:pPr>
      <w:r>
        <w:rPr/>
        <w:t>oznakowanie znakiem CE, co oznacza, że dokonano oceny ich zgodności ze zharmonizowaną normą europejską wprowadzoną do zbioru Polskich Norm, z europejską aprobatą techniczną lub krajową specyfikacją techniczną państwa członkowskiego Unii Europejskiej lub Europejskiego Obszaru Gospodarczego, uznaną przez Komisję Europejską za zgodną z wymaganiami podstawowymi, albo</w:t>
      </w:r>
    </w:p>
    <w:p>
      <w:pPr>
        <w:pStyle w:val="ListParagraph"/>
        <w:numPr>
          <w:ilvl w:val="0"/>
          <w:numId w:val="60"/>
        </w:numPr>
        <w:spacing w:before="0" w:after="200"/>
        <w:ind w:left="142" w:hanging="142"/>
        <w:rPr/>
      </w:pPr>
      <w:r>
        <w:rPr/>
        <w:t>oznakowanie znakiem budowlanym, co oznacza, że są to wyroby nie podlegające obowiązkowemu oznakowaniu CE, dla których dokonano oceny zgodności z Polską Normą lub aprobatą techniczną, bądź uznano za „regionalny wyrób budowlany”,</w:t>
      </w:r>
    </w:p>
    <w:p>
      <w:pPr>
        <w:pStyle w:val="ListParagraph"/>
        <w:numPr>
          <w:ilvl w:val="0"/>
          <w:numId w:val="60"/>
        </w:numPr>
        <w:spacing w:before="0" w:after="200"/>
        <w:ind w:left="142" w:hanging="142"/>
        <w:rPr/>
      </w:pPr>
      <w:r>
        <w:rPr/>
        <w:t>okres przydatności do użycia podany na opakowaniu.</w:t>
      </w:r>
    </w:p>
    <w:p>
      <w:pPr>
        <w:pStyle w:val="Normal"/>
        <w:rPr/>
      </w:pPr>
      <w:r>
        <w:rPr/>
        <w:t>Właściwości wyrobów budowlanych oraz warunki ich przechowywania, transportu, dostawy, składowania i kontroli jakości muszą być zgodne z opisami w dokumentacji projektowej, właściwymi normami lub aprobatami technicznymi oraz specyfikacjami technicznymi.</w:t>
      </w:r>
    </w:p>
    <w:p>
      <w:pPr>
        <w:pStyle w:val="Nagwek3"/>
        <w:numPr>
          <w:ilvl w:val="2"/>
          <w:numId w:val="3"/>
        </w:numPr>
        <w:rPr/>
      </w:pPr>
      <w:bookmarkStart w:id="128" w:name="_Toc10627751"/>
      <w:bookmarkStart w:id="129" w:name="_Toc532278030"/>
      <w:bookmarkEnd w:id="128"/>
      <w:bookmarkEnd w:id="129"/>
      <w:r>
        <w:rPr/>
        <w:t>Akceptowanie użytych materiałów</w:t>
      </w:r>
    </w:p>
    <w:p>
      <w:pPr>
        <w:pStyle w:val="Normal"/>
        <w:rPr/>
      </w:pPr>
      <w:r>
        <w:rPr/>
        <w:t xml:space="preserve">Co najmniej na trzy dni przed zaplanowanym wykorzystaniem jakichkolwiek materiałów przeznaczonych do Robót Wykonawca przedstawi szczegółowe informacje dotyczące proponowanego źródła wytwarzania, zamawiania lub wydobywania materiałów, odpowiednie świadectwa badań oraz/lub (w zależności od potrzeb) próbki zatwierdzone przez Inspektora. Zatwierdzenie jednego materiału z danego źródła nie oznacza automatycznie zatwierdzenia pozostałych materiałów z tego źródła. </w:t>
      </w:r>
    </w:p>
    <w:p>
      <w:pPr>
        <w:pStyle w:val="Normal"/>
        <w:rPr/>
      </w:pPr>
      <w:r>
        <w:rPr/>
        <w:t>Wykonawca zobowiązany jest do prowadzenia badań w celu udokumentowania, że materiały uzyskane z dopuszczonego źródła w sposób ciągły spełniają wymagania ST w czasie prowadzenia robót. Jeżeli materiały z akceptowanego źródła są niejednorodne lub nie zadawalającej jakości, Wykonawca powinien zmienić źródło zaopatrywania w materiały. Materiały wykończeniowe stosowane na płaszczyznach widocznych z jednego miejsca powinny być z tej samej partii dostawy w celu zachowania tych samych właściwości kolorystycznych w czasie całego procesu eksploatacji. Wykonawca poniesie wszelkie koszty w tym: opłaty, wynagrodzenia i jakiekolwiek inne koszty związane z dostarczeniem materiałów do Robót.</w:t>
      </w:r>
    </w:p>
    <w:p>
      <w:pPr>
        <w:pStyle w:val="Nagwek3"/>
        <w:numPr>
          <w:ilvl w:val="2"/>
          <w:numId w:val="3"/>
        </w:numPr>
        <w:rPr/>
      </w:pPr>
      <w:bookmarkStart w:id="130" w:name="_Toc532278031"/>
      <w:bookmarkStart w:id="131" w:name="_Toc10627752"/>
      <w:r>
        <w:rPr/>
        <w:t>Źródła uzyskania materiałów do elementów konstrukcyjnych (w tym elementów nośnych montażowych)</w:t>
      </w:r>
      <w:bookmarkEnd w:id="130"/>
      <w:bookmarkEnd w:id="131"/>
      <w:r>
        <w:rPr/>
        <w:t xml:space="preserve"> </w:t>
      </w:r>
    </w:p>
    <w:p>
      <w:pPr>
        <w:pStyle w:val="Normal"/>
        <w:rPr/>
      </w:pPr>
      <w:r>
        <w:rPr/>
        <w:t>Wykonawca przedstawi Inspektorowi Nadzoru szczegółowe informacje dotyczące, zamawiania lub wydobywania materiałów i odpowiednie aprobaty techniczne lub świadectwa badań laboratoryjnych oraz próbki do zatwierdzenia przez Inspektora nadzoru. Wykonawca zobowiązany będzie do prowadzenia ciągłych badań określonych w dokumentacji, Specyfikacjach Technicznych i SST STWiOR w celu udokumentowania, że materiały uzyskane z dopuszczalnego źródła spełniają wymagania dokumentacji, Specyfikacji Technicznych i SST w czasie postępu robót. Pozostałe materiały budowlane powinny spełniać wymagania jakościowe określone Polskimi Normami, aprobatami technicznymi, o których mowa w Specyfikacjach Technicznych i sporządzonych na etapie przygotowania dokumentacji projektowej Szczegółowych Specyfikacjach Technicznych (SST).</w:t>
      </w:r>
    </w:p>
    <w:p>
      <w:pPr>
        <w:pStyle w:val="Nagwek3"/>
        <w:numPr>
          <w:ilvl w:val="2"/>
          <w:numId w:val="3"/>
        </w:numPr>
        <w:rPr/>
      </w:pPr>
      <w:bookmarkStart w:id="132" w:name="_Toc532278032"/>
      <w:bookmarkStart w:id="133" w:name="_Toc10627753"/>
      <w:bookmarkEnd w:id="132"/>
      <w:bookmarkEnd w:id="133"/>
      <w:r>
        <w:rPr/>
        <w:t>Materiały nie odpowiadające wymaganiom ST</w:t>
      </w:r>
    </w:p>
    <w:p>
      <w:pPr>
        <w:pStyle w:val="Normal"/>
        <w:rPr/>
      </w:pPr>
      <w:r>
        <w:rPr/>
        <w:t>Materiały nie odpowiadające wymaganiom zostaną przez Wykonawcę wywiezione z terenu budowy. Wbudowanie materiałów bez akceptacji Inspektora Nadzoru Wykonawca wykonuje na własne ryzyko licząc się z tym, że Roboty wykonane z zastosowaniem tych materiałów i/lub wyrobów nie zostaną przyjęte i zapłacone oraz że Wykonawca może zostać zobowiązany do rozebrania i/lub demontażu tak wykonanych fragmentów Robót i wykonania ich ponownie, zgodnie z wymaganiami ST i SST.</w:t>
      </w:r>
    </w:p>
    <w:p>
      <w:pPr>
        <w:pStyle w:val="Nagwek3"/>
        <w:numPr>
          <w:ilvl w:val="2"/>
          <w:numId w:val="3"/>
        </w:numPr>
        <w:rPr/>
      </w:pPr>
      <w:bookmarkStart w:id="134" w:name="_Toc532278033"/>
      <w:bookmarkStart w:id="135" w:name="_Toc10627754"/>
      <w:bookmarkEnd w:id="134"/>
      <w:bookmarkEnd w:id="135"/>
      <w:r>
        <w:rPr/>
        <w:t>Przechowywanie i składowanie materiałów</w:t>
      </w:r>
    </w:p>
    <w:p>
      <w:pPr>
        <w:pStyle w:val="Normal"/>
        <w:rPr/>
      </w:pPr>
      <w:r>
        <w:rPr/>
        <w:t>Wykonawca zapewni, aby tymczasowo składowane materiały były zabezpieczone przed zniszczeniem, zachowały swoją jakość i właściwości oraz były dostępne do kontroli przez Inspektora nadzoru inwestorskiego. Miejsca czasowego składowania materiałów będą zlokalizowane w obrębie terenu budowy w miejscach uzgodnionych z Inspektorem nadzoru lub poza terenem budowy, w miejscach zorganizowanych przez Wykonawcę i zaakceptowanych przez Inspektora Nadzoru Inwestorskiego. W razie potrzeby Zmawiający może przekazać w uzgodnieniu z Inspektorem Nadzoru w ww. celu dodatkowe pomieszczenia w obrębie budynku, na zasadach tożsamych jak pomieszczenia pod zaplecze socjalne budowy. W takim przypadku Wykonawca jest odpowiedzialny zarówno za składowane materiały, jak i ww. pomieszczenia. Do powtórnego wydania tych pomieszczeń Zamawiającemu, doprowadzenia do poprzedniego stanu, ewentualnych napraw i remontów stosuje się odpowiadające zasady.</w:t>
      </w:r>
    </w:p>
    <w:p>
      <w:pPr>
        <w:pStyle w:val="Normal"/>
        <w:rPr/>
      </w:pPr>
      <w:r>
        <w:rPr/>
        <w:t>Przechowywanie materiałów musi odbywać się na zasadach i w warunkach odpowiednich dla danego materiału, na warunkach określonych w odpowiadających Specyfikacjach Technicznych i SST oraz w sposób skutecznie zabezpieczający przed dostępem osób trzecich. Wszystkie miejsca czasowego składowania materiałów powinny być po zakończeniu robot doprowadzone przez Wykonawcę do ich pierwotnego stanu.</w:t>
      </w:r>
    </w:p>
    <w:p>
      <w:pPr>
        <w:pStyle w:val="Nagwek3"/>
        <w:numPr>
          <w:ilvl w:val="2"/>
          <w:numId w:val="3"/>
        </w:numPr>
        <w:rPr/>
      </w:pPr>
      <w:bookmarkStart w:id="136" w:name="_Toc532278034"/>
      <w:bookmarkStart w:id="137" w:name="_Toc10627755"/>
      <w:bookmarkEnd w:id="136"/>
      <w:bookmarkEnd w:id="137"/>
      <w:r>
        <w:rPr/>
        <w:t>Wariantowe stosowanie materiałów</w:t>
      </w:r>
    </w:p>
    <w:p>
      <w:pPr>
        <w:pStyle w:val="Normal"/>
        <w:rPr/>
      </w:pPr>
      <w:r>
        <w:rPr/>
        <w:t>Jeśli dokumentacja projektowa lub SST przewidują możliwość zastosowania rożnych rodzajów materiałów do wykonywania poszczególnych elementów robót Wykonawca powiadomi Inspektora Nadzoru o zamiarze zastosowania konkretnego rodzaju materiału. Wybrany i zaakceptowany rodzaj materiału nie może być później zamieniany bez zgody Inspektora nadzoru.</w:t>
      </w:r>
    </w:p>
    <w:p>
      <w:pPr>
        <w:pStyle w:val="Nagwek3"/>
        <w:numPr>
          <w:ilvl w:val="2"/>
          <w:numId w:val="3"/>
        </w:numPr>
        <w:rPr/>
      </w:pPr>
      <w:bookmarkStart w:id="138" w:name="_Toc532278036"/>
      <w:bookmarkStart w:id="139" w:name="_Toc10627756"/>
      <w:bookmarkEnd w:id="138"/>
      <w:bookmarkEnd w:id="139"/>
      <w:r>
        <w:rPr/>
        <w:t>Materiały zamienne</w:t>
      </w:r>
    </w:p>
    <w:p>
      <w:pPr>
        <w:pStyle w:val="Normal"/>
        <w:rPr/>
      </w:pPr>
      <w:r>
        <w:rPr/>
        <w:t>Wszelkie zamieszczone w SST nazwy własne producentów nie są wiążące dla Wykonawcy, należy je traktować wyłącznie jako przykładowe dla zobrazowania opisywanych parametrów i wymogów technicznych. Zamawiający dopuszcza zastosowanie materiałów, urządzeń i systemów o parametrach nie gorszych niż wskazane przez Zamawiającego. Rozwiązania równoważne muszą zapewnić współdziałanie systemów i instalacji zgodnie z przewidzianymi w projekcie i funkcjonującymi u Zamawiającego. Wszystkie przewidziane w dokumentacji projektowej parametry i wymogi techniczne przykładowych materiałów, urządzeń i systemów są parametrami minimalnymi, chyba że zapis mówi inaczej lub dane dotyczą gabarytów i ciężaru urządzenia.</w:t>
      </w:r>
    </w:p>
    <w:p>
      <w:pPr>
        <w:pStyle w:val="Nagwek2"/>
        <w:numPr>
          <w:ilvl w:val="1"/>
          <w:numId w:val="3"/>
        </w:numPr>
        <w:shd w:val="clear" w:fill="FCDBD3"/>
        <w:rPr/>
      </w:pPr>
      <w:bookmarkStart w:id="140" w:name="_Toc10627757"/>
      <w:bookmarkEnd w:id="140"/>
      <w:r>
        <w:rPr/>
        <w:t>Wymagania dotyczące sprzętu i maszyn</w:t>
      </w:r>
    </w:p>
    <w:p>
      <w:pPr>
        <w:pStyle w:val="Normal"/>
        <w:rPr/>
      </w:pPr>
      <w:r>
        <w:rPr/>
        <w:t>Wykonawca jest zobowiązany do używania jedynie takiego sprzętu, który nie spowoduje niekorzystnego wpływu na jakość wykonywanych robót budowlanych. Sprzęt używany do robót powinien być zgodny z ofertą Wykonawcy i powinien odpowiadać pod względem typów i ilości wskazaniom zawartym w Specyfikacjach Technicznych lub projekcie organizacji robót, zaakceptowanych przez Inspektora Nadzoru Inwestorskiego. Sprzęt powinien być uzgodniony i zaakceptowany przez Inspektora Nadzoru Inwestorskiego. Liczba i wydajność sprzętu powinny gwarantować przeprowadzenie robót, zgodnie z zasadami określonymi w dokumentacji projektowej oraz Specyfikacjach Technicznych, a także we wskazaniach Inspektora Nadzoru Inwestorskiego. Sprzęt będący własnością Wykonawcy lub wynajęty do wykonania robót musi być utrzymywany w dobrym stanie i gotowości do pracy. Powinien być zgodny z normami ochrony środowiska i przepisami dotyczącymi jego użytkowania. Wykonawca dostarczy Inspektorowi Nadzoru Inwestorskiego kopie dokumentów potwierdzających dopuszczenie sprzętu do użytkowania i badań okresowych, tam, gdzie jest to wymagane przepisami. Wykonawca będzie konserwować sprzęt, jak również naprawiać lub wymieniać sprzęt niesprawny. Każdy sprzęt, maszyny, urządzenia i narzędzia niegwarantujące zachowania warunków umowy, zostaną przez Inspektora Nadzoru Inwestorskiego zakwestionowane i nie będą dopuszczone do dalszych robót.</w:t>
      </w:r>
    </w:p>
    <w:p>
      <w:pPr>
        <w:pStyle w:val="Nagwek2"/>
        <w:numPr>
          <w:ilvl w:val="1"/>
          <w:numId w:val="3"/>
        </w:numPr>
        <w:shd w:val="clear" w:fill="FCDBD3"/>
        <w:rPr/>
      </w:pPr>
      <w:bookmarkStart w:id="141" w:name="_Toc10627758"/>
      <w:bookmarkEnd w:id="141"/>
      <w:r>
        <w:rPr/>
        <w:t>Wymagania dotyczące transportu</w:t>
      </w:r>
    </w:p>
    <w:p>
      <w:pPr>
        <w:pStyle w:val="Nagwek3"/>
        <w:numPr>
          <w:ilvl w:val="2"/>
          <w:numId w:val="3"/>
        </w:numPr>
        <w:rPr/>
      </w:pPr>
      <w:bookmarkStart w:id="142" w:name="_Toc10627759"/>
      <w:bookmarkEnd w:id="142"/>
      <w:r>
        <w:rPr/>
        <w:t>Wymagania ogólne dotyczące transportu</w:t>
      </w:r>
    </w:p>
    <w:p>
      <w:pPr>
        <w:pStyle w:val="Normal"/>
        <w:rPr/>
      </w:pPr>
      <w:r>
        <w:rPr/>
        <w:t>Prace budowlane będą wymagały transportu materiałów. Wykonawca zobowiązany jest do stosowania jedynie takich środków transportu, które nie wpłyną niekorzystnie na jakość wykonywanych robót i właściwości przewożonych materiałów. Liczba zastosowanych przez Wykonawcę środków transportu będzie zapewniać prowadzenie robót zgodnie z zasadami określonymi w Warunkach Wykonania i Odbioru Robót, dokumentacji projektowej, SST STWiOR i wskazaniach Inspektora nadzoru w terminie przewidzianym w umowie.</w:t>
      </w:r>
    </w:p>
    <w:p>
      <w:pPr>
        <w:pStyle w:val="Nagwek3"/>
        <w:numPr>
          <w:ilvl w:val="2"/>
          <w:numId w:val="3"/>
        </w:numPr>
        <w:rPr/>
      </w:pPr>
      <w:bookmarkStart w:id="143" w:name="_Toc10627760"/>
      <w:bookmarkEnd w:id="143"/>
      <w:r>
        <w:rPr/>
        <w:t>Wymagania dotyczące przewozu po drogach publicznych</w:t>
      </w:r>
    </w:p>
    <w:p>
      <w:pPr>
        <w:pStyle w:val="Normal"/>
        <w:rPr/>
      </w:pPr>
      <w:r>
        <w:rPr/>
        <w:t>Przy ruchu na drogach publicznych pojazdy będą spełniać wymagania dotyczące przepisów ruchu drogowego w odniesieniu do dopuszczalnych obciążeń na osie i innych parametrów technicznych. Środki transportu nie odpowiadające warunkom dopuszczalnych obciążeń na osie mogą być dopuszczone przez właściwy zarząd drogi pod warunkiem przywrócenia stanu pierwotnego użytkowanych odcinków dróg na koszt Wykonawcy. Wykonawca będzie usuwać na bieżąco, na własny koszt, wszelkie zanieczyszczenia spowodowane jego pojazdami na drogach publicznych oraz dojazdach do terenu budowy. Przemieszczenia ewentualnych mas ziemnych powinno być zaplanowane z uwzględnieniem ekonomiki transportu, tj. wykorzystaniem ziemi uprzednio odsypanej lub przemieszczonej w najbliższym sąsiedztwie. Transport materiałów na terenie budowy musi być prowadzony zgodnie z Projektem Organizacji Robót.</w:t>
      </w:r>
    </w:p>
    <w:p>
      <w:pPr>
        <w:pStyle w:val="Nagwek2"/>
        <w:numPr>
          <w:ilvl w:val="1"/>
          <w:numId w:val="3"/>
        </w:numPr>
        <w:shd w:val="clear" w:fill="FCDBD3"/>
        <w:rPr/>
      </w:pPr>
      <w:bookmarkStart w:id="144" w:name="_Toc10627761"/>
      <w:r>
        <w:rPr/>
        <w:t>Wykonanie robót budowlanych</w:t>
      </w:r>
      <w:bookmarkEnd w:id="144"/>
      <w:r>
        <w:rPr/>
        <w:t xml:space="preserve"> </w:t>
      </w:r>
    </w:p>
    <w:p>
      <w:pPr>
        <w:pStyle w:val="Nagwek3"/>
        <w:numPr>
          <w:ilvl w:val="2"/>
          <w:numId w:val="3"/>
        </w:numPr>
        <w:rPr/>
      </w:pPr>
      <w:bookmarkStart w:id="145" w:name="_Toc10627762"/>
      <w:bookmarkEnd w:id="145"/>
      <w:r>
        <w:rPr/>
        <w:t>Czynności poprzedzajace rozpoczęcie robót</w:t>
      </w:r>
    </w:p>
    <w:p>
      <w:pPr>
        <w:pStyle w:val="Normal"/>
        <w:rPr/>
      </w:pPr>
      <w:r>
        <w:rPr/>
        <w:t>Przed rozpoczęciem robót Wykonawca opracuje:</w:t>
      </w:r>
    </w:p>
    <w:p>
      <w:pPr>
        <w:pStyle w:val="ListParagraph"/>
        <w:numPr>
          <w:ilvl w:val="0"/>
          <w:numId w:val="62"/>
        </w:numPr>
        <w:spacing w:before="0" w:after="200"/>
        <w:ind w:left="780" w:hanging="720"/>
        <w:jc w:val="left"/>
        <w:rPr/>
      </w:pPr>
      <w:r>
        <w:rPr/>
        <w:t>projekt zagospodarowania terenu budowy, który powinien składać się z części opisowej i graficznej,</w:t>
      </w:r>
    </w:p>
    <w:p>
      <w:pPr>
        <w:pStyle w:val="ListParagraph"/>
        <w:numPr>
          <w:ilvl w:val="0"/>
          <w:numId w:val="62"/>
        </w:numPr>
        <w:spacing w:before="0" w:after="200"/>
        <w:ind w:left="780" w:hanging="720"/>
        <w:jc w:val="left"/>
        <w:rPr/>
      </w:pPr>
      <w:r>
        <w:rPr/>
        <w:t>plan bezpieczeństwa i ochrony zdrowia (plan bioz),</w:t>
      </w:r>
    </w:p>
    <w:p>
      <w:pPr>
        <w:pStyle w:val="ListParagraph"/>
        <w:numPr>
          <w:ilvl w:val="0"/>
          <w:numId w:val="62"/>
        </w:numPr>
        <w:spacing w:before="0" w:after="200"/>
        <w:ind w:left="780" w:hanging="720"/>
        <w:jc w:val="left"/>
        <w:rPr/>
      </w:pPr>
      <w:r>
        <w:rPr/>
        <w:t>projekt organizacji budowy,</w:t>
      </w:r>
    </w:p>
    <w:p>
      <w:pPr>
        <w:pStyle w:val="ListParagraph"/>
        <w:numPr>
          <w:ilvl w:val="0"/>
          <w:numId w:val="62"/>
        </w:numPr>
        <w:spacing w:before="0" w:after="200"/>
        <w:ind w:left="142" w:hanging="142"/>
        <w:jc w:val="left"/>
        <w:rPr/>
      </w:pPr>
      <w:r>
        <w:rPr/>
        <w:t>projekt technologii i organizacji montażu (dla obiektów prefabrykowanych lub elementów konstrukcyjnych o większych gabarytach lub masie).</w:t>
      </w:r>
    </w:p>
    <w:p>
      <w:pPr>
        <w:pStyle w:val="Nagwek3"/>
        <w:numPr>
          <w:ilvl w:val="2"/>
          <w:numId w:val="3"/>
        </w:numPr>
        <w:rPr/>
      </w:pPr>
      <w:bookmarkStart w:id="146" w:name="_Toc10627763"/>
      <w:bookmarkEnd w:id="146"/>
      <w:r>
        <w:rPr/>
        <w:t>Ogólne zasady wykonywania robót</w:t>
      </w:r>
    </w:p>
    <w:p>
      <w:pPr>
        <w:pStyle w:val="Normal"/>
        <w:rPr/>
      </w:pPr>
      <w:r>
        <w:rPr/>
        <w:t xml:space="preserve">Wykonawca jest odpowiedzialny za prowadzenie robót zgodnie z warunkami umowy oraz za jakość zastosowanych materiałów i wykonywanych robót, za ich zgodność z dokumentacją projektową, wymaganiami Specyfikacji Technicznych, Projektem Organizacji Robót opracowanym przez Wykonawcę oraz poleceniami Inspektora Nadzoru Inwestorskiego. </w:t>
      </w:r>
    </w:p>
    <w:p>
      <w:pPr>
        <w:pStyle w:val="Normal"/>
        <w:rPr/>
      </w:pPr>
      <w:r>
        <w:rPr/>
        <w:t xml:space="preserve">Wykonawca jest odpowiedzialny za uzgodnienie i stosowane metody wykonywania robót. Wykonawca ponosi odpowiedzialność za dokładne wytyczenie w planie i wyznaczenie wysokości wszystkich elementów robót zgodnie z wymiarami i rzędnymi określonymi w Dokumentacji Projektowej. Następstwa jakiegokolwiek błędu spowodowanego przez Wykonawcę w wytyczeniu i wyznaczeniu Robót zostaną, jeśli wymagać tego będzie Inspektor Nadzoru, poprawione przez Wykonawcę na własny koszt. Sprawdzenie wytyczenia robót lub wyznaczenia parametrów przez Inspektora Nadzoru Inwestorskiego nie zwalnia Wykonawcy od odpowiedzialności za ich dokładność. </w:t>
      </w:r>
    </w:p>
    <w:p>
      <w:pPr>
        <w:pStyle w:val="Normal"/>
        <w:rPr/>
      </w:pPr>
      <w:r>
        <w:rPr/>
        <w:t>Decyzje Inspektora nadzoru dotyczące akceptacji lub odrzucenia materiałów i elementów robót będą oparte na wymaganiach sformułowanych w dokumentach umowy, dokumentacji projektowej i w SST, a także w normach i wytycznych. Polecenia Inspektora nadzoru dotyczące realizacji robót będą wykonywane przez Wykonawcę nie później niż w czasie przez niego wyznaczonym, pod groźbą wstrzymania robót. Skutki finansowe z tytułu wstrzymania robót w takiej sytuacji ponosi Wykonawca. Przy podejmowaniu decyzji Inspektor Nadzoru Inwestorskiego uwzględni wyniki badań materiałów i robót, odchyłki normalnie występujące przy produkcji i przy badaniach materiałów, doświadczenia z przeszłości, wyniki badań naukowych oraz inne czynniki.</w:t>
      </w:r>
    </w:p>
    <w:p>
      <w:pPr>
        <w:pStyle w:val="Nagwek3"/>
        <w:numPr>
          <w:ilvl w:val="2"/>
          <w:numId w:val="3"/>
        </w:numPr>
        <w:rPr/>
      </w:pPr>
      <w:bookmarkStart w:id="147" w:name="_Toc10627764"/>
      <w:bookmarkEnd w:id="147"/>
      <w:r>
        <w:rPr/>
        <w:t>Decyzje i polecenia Inspektora NAdzoru Inwestorskiego</w:t>
      </w:r>
    </w:p>
    <w:p>
      <w:pPr>
        <w:pStyle w:val="Normal"/>
        <w:rPr/>
      </w:pPr>
      <w:r>
        <w:rPr/>
        <w:t xml:space="preserve">Inspektor upoważniony jest do inspekcji wszystkich robót i kontroli wszystkich materiałów dostarczonych na budowę lub na niej produkowanych. Decyzje Inspektora dotyczące akceptacji lub odrzucenia materiałów i elementów robót oparte będą na wymaganiach sformułowanych w umowie, Projekcie budowlanym, Projekcie Wykonawczym, Specyfikacjach Technicznych, Szczegółowych Specyfikacjach Technicznych, Polskich Normach oraz innych normach i instrukcjach. </w:t>
      </w:r>
    </w:p>
    <w:p>
      <w:pPr>
        <w:pStyle w:val="Normal"/>
        <w:rPr/>
      </w:pPr>
      <w:r>
        <w:rPr/>
        <w:t>Polecenia Inżyniera będą wykonywane nie później niż w czasie przez niego wyznaczonym, po ich otrzymaniu przez Wykonawcę, pod groźbą zatrzymania Robót.</w:t>
      </w:r>
    </w:p>
    <w:p>
      <w:pPr>
        <w:pStyle w:val="Nagwek2"/>
        <w:numPr>
          <w:ilvl w:val="1"/>
          <w:numId w:val="3"/>
        </w:numPr>
        <w:shd w:val="clear" w:fill="FCDBD3"/>
        <w:rPr/>
      </w:pPr>
      <w:bookmarkStart w:id="148" w:name="_Toc10627765"/>
      <w:bookmarkEnd w:id="148"/>
      <w:r>
        <w:rPr/>
        <w:t>Opis działań związanych z kontrolą, badaniami oraz odbiorem wyrobów i robót budowlanych</w:t>
      </w:r>
    </w:p>
    <w:p>
      <w:pPr>
        <w:pStyle w:val="Nagwek3"/>
        <w:numPr>
          <w:ilvl w:val="2"/>
          <w:numId w:val="3"/>
        </w:numPr>
        <w:rPr/>
      </w:pPr>
      <w:bookmarkStart w:id="149" w:name="_Toc10627766"/>
      <w:bookmarkEnd w:id="149"/>
      <w:r>
        <w:rPr/>
        <w:t>Zakres bieżącej kontroli przez Zamawiajacego</w:t>
      </w:r>
    </w:p>
    <w:p>
      <w:pPr>
        <w:pStyle w:val="Normal"/>
        <w:rPr/>
      </w:pPr>
      <w:r>
        <w:rPr/>
        <w:t xml:space="preserve">Zamawiający przewiduje bieżącą kontrolę w trakcie realizacji przedmiotu zamówienia tj.: dokumentacji projektowej na etapie jej opracowywania oraz robót budowlanych wykonywanych na jej podstawie.  </w:t>
      </w:r>
    </w:p>
    <w:p>
      <w:pPr>
        <w:pStyle w:val="Normal"/>
        <w:rPr/>
      </w:pPr>
      <w:r>
        <w:rPr/>
        <w:t>Zamawiający będzie kontrolował w szczególności:</w:t>
      </w:r>
    </w:p>
    <w:p>
      <w:pPr>
        <w:pStyle w:val="Normal"/>
        <w:numPr>
          <w:ilvl w:val="0"/>
          <w:numId w:val="55"/>
        </w:numPr>
        <w:spacing w:before="100" w:after="200"/>
        <w:contextualSpacing/>
        <w:rPr/>
      </w:pPr>
      <w:r>
        <w:rPr/>
        <w:t>rozwiązania projektowe zawarte w projekcie budowlanym - przed złożeniem wniosku Wykonawcy o wydanie pozwolenia na budowę - w zakresie ich zgodności z Programem Funkcjonalno-użytkowym, jak również innymi wytycznymi przekazanymi Wykonawcy,</w:t>
      </w:r>
    </w:p>
    <w:p>
      <w:pPr>
        <w:pStyle w:val="Normal"/>
        <w:numPr>
          <w:ilvl w:val="0"/>
          <w:numId w:val="55"/>
        </w:numPr>
        <w:spacing w:before="100" w:after="200"/>
        <w:contextualSpacing/>
        <w:rPr/>
      </w:pPr>
      <w:r>
        <w:rPr/>
        <w:t>projekty wykonawcze - w aspekcie ich zgodności z Programem Funkcjonalno-użytkowym projektem budowlanym oraz umową zawartą z Wykonawcą;</w:t>
      </w:r>
    </w:p>
    <w:p>
      <w:pPr>
        <w:pStyle w:val="Normal"/>
        <w:numPr>
          <w:ilvl w:val="0"/>
          <w:numId w:val="55"/>
        </w:numPr>
        <w:spacing w:before="100" w:after="200"/>
        <w:contextualSpacing/>
        <w:rPr/>
      </w:pPr>
      <w:r>
        <w:rPr/>
        <w:t>stosowane gotowe wyroby budowlane - w odniesieniu do dokumentów potwierdzających ich dopuszczenie do obrotu oraz zgodności parametrów z danymi zawartymi w projektach wykonawczych, Specyfikacjach Technicznych i Programie Funkcjonalno-użytkowym;</w:t>
      </w:r>
    </w:p>
    <w:p>
      <w:pPr>
        <w:pStyle w:val="Normal"/>
        <w:numPr>
          <w:ilvl w:val="0"/>
          <w:numId w:val="55"/>
        </w:numPr>
        <w:spacing w:before="100" w:after="200"/>
        <w:contextualSpacing/>
        <w:rPr/>
      </w:pPr>
      <w:r>
        <w:rPr/>
        <w:t>wyroby budowlane lub elementy wytwarzane w budownictwie, np. beton konstrukcyjny lub elementy konstrukcyjne, na okoliczność zgodności ich parametrów z dokumentacją projektową, Specyfikacjami Technicznymi i Programie Funkcjonalno-użytkowym;</w:t>
      </w:r>
    </w:p>
    <w:p>
      <w:pPr>
        <w:pStyle w:val="Normal"/>
        <w:numPr>
          <w:ilvl w:val="0"/>
          <w:numId w:val="55"/>
        </w:numPr>
        <w:spacing w:before="100" w:after="200"/>
        <w:contextualSpacing/>
        <w:rPr/>
      </w:pPr>
      <w:r>
        <w:rPr/>
        <w:t>sposób wykonania robót budowlanych - w aspekcie zgodności ich wykonania z projektami wykonawczymi, Specyfikacjami Technicznymi, Programie Funkcjonalno-użytkowym i kontraktem, sprawdzaniu i kontroli będą podlegały:</w:t>
      </w:r>
    </w:p>
    <w:p>
      <w:pPr>
        <w:pStyle w:val="Normal"/>
        <w:numPr>
          <w:ilvl w:val="1"/>
          <w:numId w:val="55"/>
        </w:numPr>
        <w:spacing w:before="100" w:after="200"/>
        <w:contextualSpacing/>
        <w:rPr/>
      </w:pPr>
      <w:r>
        <w:rPr/>
        <w:t>użyte wyroby budowlane i uzyskane w wyniku robót budowlanych elementy obiektów i zagospodarowania terenu - w odniesieniu do ich parametrów oraz ich zgodności z dokumentami budowy (projektami i Specyfikacjami Technicznymi;</w:t>
      </w:r>
    </w:p>
    <w:p>
      <w:pPr>
        <w:pStyle w:val="Normal"/>
        <w:numPr>
          <w:ilvl w:val="1"/>
          <w:numId w:val="55"/>
        </w:numPr>
        <w:spacing w:before="100" w:after="200"/>
        <w:contextualSpacing/>
        <w:rPr/>
      </w:pPr>
      <w:r>
        <w:rPr/>
        <w:t>jakość wykonania i dokładność prac wykończeniowych;</w:t>
      </w:r>
    </w:p>
    <w:p>
      <w:pPr>
        <w:pStyle w:val="Normal"/>
        <w:numPr>
          <w:ilvl w:val="1"/>
          <w:numId w:val="55"/>
        </w:numPr>
        <w:spacing w:before="100" w:after="200"/>
        <w:contextualSpacing/>
        <w:rPr/>
      </w:pPr>
      <w:r>
        <w:rPr/>
        <w:t>prawidłowość funkcjonowania zamontowanych urządzeń i wyposażenia;</w:t>
      </w:r>
    </w:p>
    <w:p>
      <w:pPr>
        <w:pStyle w:val="Normal"/>
        <w:numPr>
          <w:ilvl w:val="1"/>
          <w:numId w:val="55"/>
        </w:numPr>
        <w:spacing w:before="100" w:after="200"/>
        <w:contextualSpacing/>
        <w:rPr/>
      </w:pPr>
      <w:r>
        <w:rPr/>
        <w:t>poprawność połączeń funkcjonalnych;</w:t>
      </w:r>
    </w:p>
    <w:p>
      <w:pPr>
        <w:pStyle w:val="Normal"/>
        <w:numPr>
          <w:ilvl w:val="1"/>
          <w:numId w:val="55"/>
        </w:numPr>
        <w:spacing w:before="100" w:after="200"/>
        <w:contextualSpacing/>
        <w:rPr/>
      </w:pPr>
      <w:r>
        <w:rPr/>
        <w:t>wydajność przesyłowa i szczelność (próby ciśnieniowe) w sieciach i instalacjach.</w:t>
      </w:r>
    </w:p>
    <w:p>
      <w:pPr>
        <w:pStyle w:val="Nagwek3"/>
        <w:numPr>
          <w:ilvl w:val="2"/>
          <w:numId w:val="3"/>
        </w:numPr>
        <w:rPr/>
      </w:pPr>
      <w:bookmarkStart w:id="150" w:name="_Toc10627767"/>
      <w:bookmarkEnd w:id="150"/>
      <w:r>
        <w:rPr/>
        <w:t>Ogólne zasady kontroli jakosci robót</w:t>
      </w:r>
    </w:p>
    <w:p>
      <w:pPr>
        <w:pStyle w:val="Normal"/>
        <w:rPr/>
      </w:pPr>
      <w:r>
        <w:rPr/>
        <w:t>Wykonawca odpowiedzialny jest za pełną kontrolę robót i jakość materiałów. Wykonawca zapewni odpowiedni system kontroli obejmujący personel, laboratorium, sprzęt, zaopatrzenie i wszystkie niezbędne urządzenia do prowadzenia kontroli robót. Minimalne wymagania co do zakresu badań i ich częstotliwości są określone w ST i normach.</w:t>
      </w:r>
    </w:p>
    <w:p>
      <w:pPr>
        <w:pStyle w:val="Normal"/>
        <w:rPr/>
      </w:pPr>
      <w:r>
        <w:rPr/>
        <w:t>Wykonawca jest odpowiedzialny za pełną kontrolę jakości robót i stosowanych materiałów. Wykonawca zapewni odpowiedni system kontroli, włączając w to personel, laboratorium, sprzęt, zaopatrzenie i wszystkie urządzenia niezbędne do pobierania próbek i badań materiałów oraz robót. Wykonawca będzie przeprowadzać pomiary i badania materiałów oraz robót z częstotliwością zapewniającą stwierdzenie, że roboty wykonano zgodnie z wymaganiami zawartymi w dokumentacji projektowej i SST. Minimalne wymagania co do zakresu badań i ich częstotliwości są określone w SST. W przypadku, gdy nie zostały one tam określone, Inspektor nadzoru ustali jaki zakres kontroli jest konieczny, aby zapewnić wykonanie robót zgodnie z umową.</w:t>
      </w:r>
    </w:p>
    <w:p>
      <w:pPr>
        <w:pStyle w:val="Nagwek3"/>
        <w:numPr>
          <w:ilvl w:val="2"/>
          <w:numId w:val="3"/>
        </w:numPr>
        <w:rPr/>
      </w:pPr>
      <w:bookmarkStart w:id="151" w:name="_Toc10627768"/>
      <w:bookmarkEnd w:id="151"/>
      <w:r>
        <w:rPr/>
        <w:t>Program zapewnienia jakości</w:t>
      </w:r>
    </w:p>
    <w:p>
      <w:pPr>
        <w:pStyle w:val="Normal"/>
        <w:rPr/>
      </w:pPr>
      <w:r>
        <w:rPr/>
        <w:t>Do obowiązków Wykonawcy należy opracowanie i przedstawienie do zaakceptowania przez Inspektora Nadzoru programu zapewnienia jakości (PZJ), w którym przedstawi on zamierzony sposób wykonania robót, możliwości techniczne, kadrowe i organizacyjne gwarantujące wykonanie robót zgodnie z dokumentacją projektową, ST i SST.</w:t>
      </w:r>
    </w:p>
    <w:p>
      <w:pPr>
        <w:pStyle w:val="Normal"/>
        <w:rPr/>
      </w:pPr>
      <w:r>
        <w:rPr/>
        <w:t>Program zapewnienia jakości winien zawierać:</w:t>
      </w:r>
    </w:p>
    <w:p>
      <w:pPr>
        <w:pStyle w:val="ListParagraph"/>
        <w:numPr>
          <w:ilvl w:val="0"/>
          <w:numId w:val="63"/>
        </w:numPr>
        <w:spacing w:before="0" w:after="200"/>
        <w:ind w:left="142" w:hanging="142"/>
        <w:rPr/>
      </w:pPr>
      <w:r>
        <w:rPr/>
        <w:t>organizację wykonania robót, w tym termin i sposób prowadzenia robót,</w:t>
      </w:r>
    </w:p>
    <w:p>
      <w:pPr>
        <w:pStyle w:val="ListParagraph"/>
        <w:numPr>
          <w:ilvl w:val="0"/>
          <w:numId w:val="63"/>
        </w:numPr>
        <w:spacing w:before="0" w:after="200"/>
        <w:ind w:left="142" w:hanging="142"/>
        <w:rPr/>
      </w:pPr>
      <w:r>
        <w:rPr/>
        <w:t>organizację ruchu na budowie wraz z oznakowaniem robót,</w:t>
      </w:r>
    </w:p>
    <w:p>
      <w:pPr>
        <w:pStyle w:val="ListParagraph"/>
        <w:numPr>
          <w:ilvl w:val="0"/>
          <w:numId w:val="63"/>
        </w:numPr>
        <w:spacing w:before="0" w:after="200"/>
        <w:ind w:left="142" w:hanging="142"/>
        <w:rPr/>
      </w:pPr>
      <w:r>
        <w:rPr/>
        <w:t>plan bezpieczeństwa i ochrony zdrowia,</w:t>
      </w:r>
    </w:p>
    <w:p>
      <w:pPr>
        <w:pStyle w:val="ListParagraph"/>
        <w:numPr>
          <w:ilvl w:val="0"/>
          <w:numId w:val="63"/>
        </w:numPr>
        <w:spacing w:before="0" w:after="200"/>
        <w:ind w:left="142" w:hanging="142"/>
        <w:rPr/>
      </w:pPr>
      <w:r>
        <w:rPr/>
        <w:t>wykaz zespołów roboczych, ich kwalifikacje i przygotowanie praktyczne,</w:t>
      </w:r>
    </w:p>
    <w:p>
      <w:pPr>
        <w:pStyle w:val="ListParagraph"/>
        <w:numPr>
          <w:ilvl w:val="0"/>
          <w:numId w:val="63"/>
        </w:numPr>
        <w:spacing w:before="0" w:after="200"/>
        <w:ind w:left="142" w:hanging="142"/>
        <w:rPr/>
      </w:pPr>
      <w:r>
        <w:rPr/>
        <w:t>wykaz osób odpowiedzialnych za jakość i terminowość wykonania poszczególnych elementów robót,</w:t>
      </w:r>
    </w:p>
    <w:p>
      <w:pPr>
        <w:pStyle w:val="ListParagraph"/>
        <w:numPr>
          <w:ilvl w:val="0"/>
          <w:numId w:val="63"/>
        </w:numPr>
        <w:spacing w:before="0" w:after="200"/>
        <w:ind w:left="142" w:hanging="142"/>
        <w:rPr/>
      </w:pPr>
      <w:r>
        <w:rPr/>
        <w:t>system (sposób i procedurę) proponowanej kontroli i sterowania jakością wykonywanych robót,</w:t>
      </w:r>
    </w:p>
    <w:p>
      <w:pPr>
        <w:pStyle w:val="ListParagraph"/>
        <w:numPr>
          <w:ilvl w:val="0"/>
          <w:numId w:val="63"/>
        </w:numPr>
        <w:spacing w:before="0" w:after="200"/>
        <w:ind w:left="142" w:hanging="142"/>
        <w:rPr/>
      </w:pPr>
      <w:r>
        <w:rPr/>
        <w:t>wyposażenie w sprzęt i urządzenia do pomiarów i kontroli (opis laboratorium własnego lub laboratorium, któremu Wykonawca zamierza zlecić prowadzenie badań),</w:t>
      </w:r>
    </w:p>
    <w:p>
      <w:pPr>
        <w:pStyle w:val="ListParagraph"/>
        <w:numPr>
          <w:ilvl w:val="0"/>
          <w:numId w:val="63"/>
        </w:numPr>
        <w:spacing w:before="0" w:after="200"/>
        <w:ind w:left="142" w:hanging="142"/>
        <w:rPr/>
      </w:pPr>
      <w:r>
        <w:rPr/>
        <w:t>sposób oraz formę gromadzenia wyników badań laboratoryjnych, zapis pomiarów, a także wyciąganych wniosków i zastosowanych korekt w procesie technologicznym, proponowany sposób i formę przekazywania tych informacji Inspektorowi nadzoru,</w:t>
      </w:r>
    </w:p>
    <w:p>
      <w:pPr>
        <w:pStyle w:val="ListParagraph"/>
        <w:numPr>
          <w:ilvl w:val="0"/>
          <w:numId w:val="63"/>
        </w:numPr>
        <w:spacing w:before="0" w:after="200"/>
        <w:ind w:left="142" w:hanging="142"/>
        <w:rPr/>
      </w:pPr>
      <w:r>
        <w:rPr/>
        <w:t>wykaz maszyn i urządzeń stosowanych na budowie z ich parametrami technicznymi oraz wyposażeniem w mechanizmy do sterowania i urządzenia pomiarowo-kontrolne,</w:t>
      </w:r>
    </w:p>
    <w:p>
      <w:pPr>
        <w:pStyle w:val="ListParagraph"/>
        <w:numPr>
          <w:ilvl w:val="0"/>
          <w:numId w:val="63"/>
        </w:numPr>
        <w:spacing w:before="0" w:after="200"/>
        <w:ind w:left="142" w:hanging="142"/>
        <w:rPr/>
      </w:pPr>
      <w:r>
        <w:rPr/>
        <w:t>rodzaje i ilość środków transportu oraz urządzeń do magazynowania i załadunku materiałów, spoiw, lepiszczy, kruszyw itp.,</w:t>
      </w:r>
    </w:p>
    <w:p>
      <w:pPr>
        <w:pStyle w:val="ListParagraph"/>
        <w:numPr>
          <w:ilvl w:val="0"/>
          <w:numId w:val="63"/>
        </w:numPr>
        <w:spacing w:before="0" w:after="200"/>
        <w:ind w:left="142" w:hanging="142"/>
        <w:rPr/>
      </w:pPr>
      <w:r>
        <w:rPr/>
        <w:t>sposób i procedurę pomiarów i badań (rodzaj i częstotliwość, pobieranie próbek, legalizacja i sprawdzanie urządzeń itp.) prowadzonych podczas dostaw materiałów, wytwarzania mieszanek i wykonywania poszczególnych elementów robót.</w:t>
      </w:r>
    </w:p>
    <w:p>
      <w:pPr>
        <w:pStyle w:val="Nagwek3"/>
        <w:numPr>
          <w:ilvl w:val="2"/>
          <w:numId w:val="3"/>
        </w:numPr>
        <w:rPr/>
      </w:pPr>
      <w:bookmarkStart w:id="152" w:name="_Toc10627769"/>
      <w:bookmarkEnd w:id="152"/>
      <w:r>
        <w:rPr/>
        <w:t>Pobieranie próbek</w:t>
      </w:r>
    </w:p>
    <w:p>
      <w:pPr>
        <w:pStyle w:val="Normal"/>
        <w:rPr/>
      </w:pPr>
      <w:r>
        <w:rPr/>
        <w:t>Próbki będą pobierane losowo. Zaleca się stosowanie statystycznych metod pobierania próbek, opartych na zasadzie, że wszystkie jednostkowe elementy produkcji mogą być z jednakowym prawdopodobieństwem wytypowane do badań. Inspektor nadzoru będzie mieć zapewnioną możliwość udziału w pobieraniu próbek. Na zlecenie Inspektora nadzoru Wykonawca będzie przeprowadzać dodatkowe badania tych materiałów, które budzą wątpliwości co do jakości, o ile kwestionowane materiały nie zostaną przez Wykonawcę usunięte lub ulepszone z własnej woli. Koszty tych dodatkowych badań pokrywa Wykonawca tylko w przypadku stwierdzenia usterek; w przeciwnym przypadku koszty te pokrywa Zamawiający. Pojemniki do pobierania próbek będą dostarczone przez Wykonawcę i zatwierdzone przez Inspektora nadzoru.</w:t>
      </w:r>
    </w:p>
    <w:p>
      <w:pPr>
        <w:pStyle w:val="Normal"/>
        <w:rPr/>
      </w:pPr>
      <w:r>
        <w:rPr/>
        <w:t>Próbki dostarczone przez Wykonawcę do badań będą odpowiednio opisane i oznakowane, w sposób zaakceptowany przez Inspektora Nadzoru.</w:t>
      </w:r>
    </w:p>
    <w:p>
      <w:pPr>
        <w:pStyle w:val="Nagwek3"/>
        <w:numPr>
          <w:ilvl w:val="2"/>
          <w:numId w:val="3"/>
        </w:numPr>
        <w:rPr/>
      </w:pPr>
      <w:bookmarkStart w:id="153" w:name="_Toc10627770"/>
      <w:bookmarkEnd w:id="153"/>
      <w:r>
        <w:rPr/>
        <w:t>Badania i pomiary oraz raporty z badań i pomiarów</w:t>
      </w:r>
    </w:p>
    <w:p>
      <w:pPr>
        <w:pStyle w:val="Normal"/>
        <w:rPr/>
      </w:pPr>
      <w:r>
        <w:rPr/>
        <w:t>Wszystkie badania i pomiary będą prowadzone zgodnie z wymaganiami norm i instrukcji. Przed przystąpieniem do pomiarów lub badań Wykonawca powiadomi Inspektora o rodzaju, miejscu i terminie pomiaru lub badań. Po wykonaniu pomiaru lub badania Wykonawca będzie przekazywać Inspektorowi nadzoru kopie raportów z wynikami badań jak najszybciej, nie później jednak niż w terminie określonym w programie zapewnienia jakości. Wyniki badań (kopie) będą przekazywane Inspektorowi nadzoru do akceptacji na formularzach według dostarczonego przez niego wzoru lub innych, przez niego zaaprobowanych. Wyniki przechowywane będą na terenie budowy i okazywane na każde żądanie Inspektora Nadzoru.</w:t>
      </w:r>
    </w:p>
    <w:p>
      <w:pPr>
        <w:pStyle w:val="Nagwek3"/>
        <w:numPr>
          <w:ilvl w:val="2"/>
          <w:numId w:val="3"/>
        </w:numPr>
        <w:rPr/>
      </w:pPr>
      <w:bookmarkStart w:id="154" w:name="_Toc10627771"/>
      <w:bookmarkEnd w:id="154"/>
      <w:r>
        <w:rPr/>
        <w:t>Badania prowadzone przez InSpektora NAdzoru</w:t>
      </w:r>
    </w:p>
    <w:p>
      <w:pPr>
        <w:pStyle w:val="Normal"/>
        <w:rPr/>
      </w:pPr>
      <w:r>
        <w:rPr/>
        <w:t>Dla celów kontroli jakości i zatwierdzenia, Inspektor Nadzoru uprawniony będzie do dokonywania kontroli, pobierania próbek i badania materiałów u źródła ich wytwarzania. Do umożliwienia jemu kontroli zapewniona będzie wszelka potrzebna do tego pomoc ze strony Wykonawcy i producenta materiałów. Inspektor nadzoru, po uprzedniej weryfikacji systemu kontroli robót prowadzonego przez Wykonawcę, będzie oceniać zgodność materiałów i robót z wymaganiami ST i SST na podstawie wyników badań dostarczonych przez Wykonawcę.</w:t>
      </w:r>
    </w:p>
    <w:p>
      <w:pPr>
        <w:pStyle w:val="Normal"/>
        <w:rPr/>
      </w:pPr>
      <w:r>
        <w:rPr/>
        <w:t>Inżynier może pobierać próbki materiałów i prowadzić badania niezależnie od Wykonawcy, na swój koszt. Jeżeli wyniki tych badań wykażą, że raporty Wykonawcy są niewiarygodne, to Inżynier poleci Wykonawcy lub zleci innemu niezależnemu laboratorium przeprowadzenie powtórnych badań. Koszt powtórnych lub dodatkowych badań i pobierania próbek poniesione zostaną przez Wykonawcę.</w:t>
      </w:r>
    </w:p>
    <w:p>
      <w:pPr>
        <w:pStyle w:val="Nagwek3"/>
        <w:numPr>
          <w:ilvl w:val="2"/>
          <w:numId w:val="3"/>
        </w:numPr>
        <w:rPr/>
      </w:pPr>
      <w:bookmarkStart w:id="155" w:name="_Toc10627772"/>
      <w:bookmarkEnd w:id="155"/>
      <w:r>
        <w:rPr/>
        <w:t>Certyfikaty, deklaracje, atesty jakości materiałów i urządzeń</w:t>
      </w:r>
    </w:p>
    <w:p>
      <w:pPr>
        <w:pStyle w:val="Normal"/>
        <w:rPr/>
      </w:pPr>
      <w:r>
        <w:rPr/>
        <w:t>Przed wykonaniem badania jakości materiałów przez Wykonawcę, Inżynier może dopuścić do użycia materiały posiadające certyfikat, deklarację i/lub atesty stwierdzające zgodność ich parametrów jakościowych z ST.</w:t>
      </w:r>
    </w:p>
    <w:p>
      <w:pPr>
        <w:pStyle w:val="Normal"/>
        <w:rPr/>
      </w:pPr>
      <w:r>
        <w:rPr/>
        <w:t xml:space="preserve">Inspektor Nadzoru Inwestorskiego dopuści do użycia tylko te materiały, które będą posiadały: </w:t>
      </w:r>
    </w:p>
    <w:p>
      <w:pPr>
        <w:pStyle w:val="Normal"/>
        <w:numPr>
          <w:ilvl w:val="0"/>
          <w:numId w:val="56"/>
        </w:numPr>
        <w:spacing w:before="100" w:after="200"/>
        <w:contextualSpacing/>
        <w:rPr/>
      </w:pPr>
      <w:r>
        <w:rPr/>
        <w:t xml:space="preserve">Certyfikat bezpieczeństwa wykazujący, że zapewniono zgodność z kryteriami technicznymi określonymi na podstawie Polskich Norm, aprobat technicznych oraz właściwych przepisów i dokumentów technicznych; </w:t>
      </w:r>
    </w:p>
    <w:p>
      <w:pPr>
        <w:pStyle w:val="Normal"/>
        <w:numPr>
          <w:ilvl w:val="0"/>
          <w:numId w:val="56"/>
        </w:numPr>
        <w:spacing w:before="100" w:after="200"/>
        <w:contextualSpacing/>
        <w:rPr/>
      </w:pPr>
      <w:r>
        <w:rPr/>
        <w:t xml:space="preserve">Deklarację zgodności lub certyfikat zgodności z: Polską Normą lub aprobatą techniczną w przypadku wyrobów, dla których nie ustanowiono Polskiej Normy, jeżeli nie są objęte certyfikacją określoną w lit. a).  </w:t>
      </w:r>
    </w:p>
    <w:p>
      <w:pPr>
        <w:pStyle w:val="Normal"/>
        <w:numPr>
          <w:ilvl w:val="0"/>
          <w:numId w:val="56"/>
        </w:numPr>
        <w:spacing w:before="100" w:after="200"/>
        <w:contextualSpacing/>
        <w:rPr/>
      </w:pPr>
      <w:r>
        <w:rPr/>
        <w:t xml:space="preserve">Atest </w:t>
      </w:r>
    </w:p>
    <w:p>
      <w:pPr>
        <w:pStyle w:val="Normal"/>
        <w:rPr/>
      </w:pPr>
      <w:r>
        <w:rPr/>
        <w:t>W przypadku materiałów, dla których ww. dokumenty są wymagane przez ST i/lub będą wymagane przez SST każda partia materiału dostarczona do Robót będzie posiadać właściwy ww. dokument określający w sposób jednoznaczny jej cechy. Produkty przemysłowe będą posiadać dokumentację wyrobu lub urządzenia wydane przez producenta poparte w razie potrzeby wynikami wykonanych przez niego badań. Kopie wyników tych badań będą dostarczone przez Wykonawcę Inżynierowi. Jakiekolwiek materiały i urządzenia, które nie spełniają tych wymagań, będą odrzucone.</w:t>
      </w:r>
    </w:p>
    <w:p>
      <w:pPr>
        <w:pStyle w:val="Nagwek2"/>
        <w:numPr>
          <w:ilvl w:val="1"/>
          <w:numId w:val="3"/>
        </w:numPr>
        <w:shd w:val="clear" w:fill="FCDBD3"/>
        <w:rPr/>
      </w:pPr>
      <w:bookmarkStart w:id="156" w:name="_Toc10627773"/>
      <w:r>
        <w:rPr/>
        <w:t>Dokumenty budowy</w:t>
      </w:r>
      <w:bookmarkEnd w:id="156"/>
      <w:r>
        <w:rPr/>
        <w:t xml:space="preserve"> </w:t>
      </w:r>
    </w:p>
    <w:p>
      <w:pPr>
        <w:pStyle w:val="Nagwek3"/>
        <w:numPr>
          <w:ilvl w:val="2"/>
          <w:numId w:val="3"/>
        </w:numPr>
        <w:rPr/>
      </w:pPr>
      <w:bookmarkStart w:id="157" w:name="_Toc10627774"/>
      <w:bookmarkEnd w:id="157"/>
      <w:r>
        <w:rPr/>
        <w:t>Dziennik budowy</w:t>
      </w:r>
    </w:p>
    <w:p>
      <w:pPr>
        <w:pStyle w:val="Normal"/>
        <w:rPr/>
      </w:pPr>
      <w:r>
        <w:rPr/>
        <w:t>Dziennik budowy - jest to dokument prawny obowiązujący Zamawiającego i Wykonawcę w trakcie trwania budowy, w okresie od przekazania Wykonawcy terenu budowy do zakończenia robót budowlanych. Odpowiedzialność za prowadzenie dziennika budowy, zgodnie z obowiązującymi przepisami, spoczywa na Wykonawcy. Zapisy w dzienniku budowy będą dokonywane na bieżąco i będą dotyczyć przebiegu robót, stanu bezpieczeństwa ludzi i mienia oraz technicznej i gospodarczej (ekonomicznej) strony budowy. Każdy zapis w dzienniku budowy będzie opatrzony datą jego dokonania, podpisem osoby, która dokonała zapisu, z podaniem jej imienia i nazwiska oraz stanowiska służbowego. Zapisy będą czytelne, dokonane trwałą techniką, w porządku chronologicznym, bezpośrednio jeden pod drugim, bez przerw i skreśleń. Załączone do dziennika budowy protokoły i inne dokumenty będą oznaczone kolejnym numerem załącznika i opatrzone datą oraz podpisem uprawnionego przedstawiciela Wykonawcy i Inspektora Nadzoru Inwestorskiego.</w:t>
      </w:r>
    </w:p>
    <w:p>
      <w:pPr>
        <w:pStyle w:val="Normal"/>
        <w:rPr/>
      </w:pPr>
      <w:r>
        <w:rPr/>
        <w:t xml:space="preserve">Do dziennika budowy należy wpisywać w szczególności: </w:t>
      </w:r>
    </w:p>
    <w:p>
      <w:pPr>
        <w:pStyle w:val="Normal"/>
        <w:numPr>
          <w:ilvl w:val="0"/>
          <w:numId w:val="56"/>
        </w:numPr>
        <w:spacing w:before="100" w:after="200"/>
        <w:contextualSpacing/>
        <w:rPr/>
      </w:pPr>
      <w:r>
        <w:rPr/>
        <w:t xml:space="preserve">datę przekazania Wykonawcy terenu budowy; </w:t>
      </w:r>
    </w:p>
    <w:p>
      <w:pPr>
        <w:pStyle w:val="Normal"/>
        <w:numPr>
          <w:ilvl w:val="0"/>
          <w:numId w:val="56"/>
        </w:numPr>
        <w:spacing w:before="100" w:after="200"/>
        <w:contextualSpacing/>
        <w:rPr/>
      </w:pPr>
      <w:r>
        <w:rPr/>
        <w:t>datę przekazania Wykonawcy przez Zamawiającego dokumentacji projektowej,</w:t>
      </w:r>
    </w:p>
    <w:p>
      <w:pPr>
        <w:pStyle w:val="Normal"/>
        <w:numPr>
          <w:ilvl w:val="0"/>
          <w:numId w:val="56"/>
        </w:numPr>
        <w:spacing w:before="100" w:after="200"/>
        <w:contextualSpacing/>
        <w:rPr/>
      </w:pPr>
      <w:r>
        <w:rPr/>
        <w:t>uzgodnienie przez Inspektora nadzoru programu zapewnienia jakości i harmonogramów robót,</w:t>
      </w:r>
    </w:p>
    <w:p>
      <w:pPr>
        <w:pStyle w:val="Normal"/>
        <w:numPr>
          <w:ilvl w:val="0"/>
          <w:numId w:val="56"/>
        </w:numPr>
        <w:spacing w:before="100" w:after="200"/>
        <w:contextualSpacing/>
        <w:rPr/>
      </w:pPr>
      <w:r>
        <w:rPr/>
        <w:t>datę przejęcia i zakres obowiązków osób funkcyjnych,</w:t>
      </w:r>
    </w:p>
    <w:p>
      <w:pPr>
        <w:pStyle w:val="Normal"/>
        <w:numPr>
          <w:ilvl w:val="0"/>
          <w:numId w:val="56"/>
        </w:numPr>
        <w:spacing w:before="100" w:after="200"/>
        <w:contextualSpacing/>
        <w:rPr/>
      </w:pPr>
      <w:r>
        <w:rPr/>
        <w:t>datę rozpoczęcia robót,</w:t>
      </w:r>
    </w:p>
    <w:p>
      <w:pPr>
        <w:pStyle w:val="Normal"/>
        <w:numPr>
          <w:ilvl w:val="0"/>
          <w:numId w:val="56"/>
        </w:numPr>
        <w:spacing w:before="100" w:after="200"/>
        <w:contextualSpacing/>
        <w:rPr/>
      </w:pPr>
      <w:r>
        <w:rPr/>
        <w:t xml:space="preserve">terminy rozpoczęcia i zakończenia poszczególnych elementów robót; </w:t>
      </w:r>
    </w:p>
    <w:p>
      <w:pPr>
        <w:pStyle w:val="Normal"/>
        <w:numPr>
          <w:ilvl w:val="0"/>
          <w:numId w:val="56"/>
        </w:numPr>
        <w:spacing w:before="100" w:after="200"/>
        <w:contextualSpacing/>
        <w:rPr/>
      </w:pPr>
      <w:r>
        <w:rPr/>
        <w:t xml:space="preserve">przebieg robót, trudności i przeszkody w ich prowadzeniu, okresy i przyczyny przerw w robotach budowlanych; </w:t>
      </w:r>
    </w:p>
    <w:p>
      <w:pPr>
        <w:pStyle w:val="Normal"/>
        <w:numPr>
          <w:ilvl w:val="0"/>
          <w:numId w:val="56"/>
        </w:numPr>
        <w:spacing w:before="100" w:after="200"/>
        <w:contextualSpacing/>
        <w:rPr/>
      </w:pPr>
      <w:r>
        <w:rPr/>
        <w:t xml:space="preserve">uwagi i polecenia Inspektora nadzoru Inwestorskiego; </w:t>
      </w:r>
    </w:p>
    <w:p>
      <w:pPr>
        <w:pStyle w:val="Normal"/>
        <w:numPr>
          <w:ilvl w:val="0"/>
          <w:numId w:val="56"/>
        </w:numPr>
        <w:spacing w:before="100" w:after="200"/>
        <w:contextualSpacing/>
        <w:rPr/>
      </w:pPr>
      <w:r>
        <w:rPr/>
        <w:t xml:space="preserve">daty zarządzenia wstrzymania robót (z podaniem powodu); </w:t>
      </w:r>
    </w:p>
    <w:p>
      <w:pPr>
        <w:pStyle w:val="Normal"/>
        <w:numPr>
          <w:ilvl w:val="0"/>
          <w:numId w:val="56"/>
        </w:numPr>
        <w:spacing w:before="100" w:after="200"/>
        <w:contextualSpacing/>
        <w:rPr/>
      </w:pPr>
      <w:r>
        <w:rPr/>
        <w:t xml:space="preserve">zgłoszenia i daty odbiorów robót zanikających i ulegających zakryciu, częściowych i ostatecznych odbiorów robót; </w:t>
      </w:r>
    </w:p>
    <w:p>
      <w:pPr>
        <w:pStyle w:val="Normal"/>
        <w:numPr>
          <w:ilvl w:val="0"/>
          <w:numId w:val="56"/>
        </w:numPr>
        <w:spacing w:before="100" w:after="200"/>
        <w:contextualSpacing/>
        <w:rPr/>
      </w:pPr>
      <w:r>
        <w:rPr/>
        <w:t xml:space="preserve">wyjaśnienia, uwagi i propozycje Wykonawcy; </w:t>
      </w:r>
    </w:p>
    <w:p>
      <w:pPr>
        <w:pStyle w:val="Normal"/>
        <w:numPr>
          <w:ilvl w:val="0"/>
          <w:numId w:val="56"/>
        </w:numPr>
        <w:spacing w:before="100" w:after="200"/>
        <w:contextualSpacing/>
        <w:rPr/>
      </w:pPr>
      <w:r>
        <w:rPr/>
        <w:t xml:space="preserve">stan pogody i temperaturę powietrza w okresie wykonywania robót podlegających ograniczeniom lub wymaganiom szczególnym w związku z warunkami klimatycznymi; </w:t>
      </w:r>
    </w:p>
    <w:p>
      <w:pPr>
        <w:pStyle w:val="Normal"/>
        <w:numPr>
          <w:ilvl w:val="0"/>
          <w:numId w:val="56"/>
        </w:numPr>
        <w:spacing w:before="100" w:after="200"/>
        <w:contextualSpacing/>
        <w:rPr/>
      </w:pPr>
      <w:r>
        <w:rPr/>
        <w:t xml:space="preserve">dane dotyczące sposobu wykonywania zabezpieczania robót; </w:t>
      </w:r>
    </w:p>
    <w:p>
      <w:pPr>
        <w:pStyle w:val="Normal"/>
        <w:numPr>
          <w:ilvl w:val="0"/>
          <w:numId w:val="56"/>
        </w:numPr>
        <w:spacing w:before="100" w:after="200"/>
        <w:contextualSpacing/>
        <w:rPr/>
      </w:pPr>
      <w:r>
        <w:rPr/>
        <w:t xml:space="preserve">dane dotyczące jakości materiałów, pobierania próbek oraz wyniki przeprowadzonych badań (z podaniem, kto je przeprowadzał); </w:t>
      </w:r>
    </w:p>
    <w:p>
      <w:pPr>
        <w:pStyle w:val="Normal"/>
        <w:numPr>
          <w:ilvl w:val="0"/>
          <w:numId w:val="56"/>
        </w:numPr>
        <w:spacing w:before="100" w:after="200"/>
        <w:contextualSpacing/>
        <w:rPr/>
      </w:pPr>
      <w:r>
        <w:rPr/>
        <w:t xml:space="preserve">wyniki prób poszczególnych elementów budowli (z podaniem, kto je przeprowadzał); </w:t>
      </w:r>
    </w:p>
    <w:p>
      <w:pPr>
        <w:pStyle w:val="Normal"/>
        <w:numPr>
          <w:ilvl w:val="0"/>
          <w:numId w:val="56"/>
        </w:numPr>
        <w:spacing w:before="100" w:after="200"/>
        <w:contextualSpacing/>
        <w:rPr/>
      </w:pPr>
      <w:r>
        <w:rPr/>
        <w:t xml:space="preserve">inne istotne informacje o przebiegu robót. </w:t>
      </w:r>
    </w:p>
    <w:p>
      <w:pPr>
        <w:pStyle w:val="Normal"/>
        <w:rPr/>
      </w:pPr>
      <w:r>
        <w:rPr/>
        <w:t>Uwagi, propozycje i wyjaśnienia Wykonawcy, wpisane do dziennika budowy będą przedłożone Inspektorowi Nadzoru Inwestorskiego celem ustosunkowania się do dokonanych wpisów. Decyzje Inspektora Nadzoru Inwestorskiego wpisane do dziennika budowy Wykonawca podpisuje z zaznaczeniem ich przyjęcia lub zajęciem stanowiska. Wpis projektanta do dziennika budowy obliguje Inspektora i Wykonawcę do ustosunkowania się do jego treści.</w:t>
      </w:r>
    </w:p>
    <w:p>
      <w:pPr>
        <w:pStyle w:val="Nagwek3"/>
        <w:numPr>
          <w:ilvl w:val="2"/>
          <w:numId w:val="3"/>
        </w:numPr>
        <w:rPr/>
      </w:pPr>
      <w:bookmarkStart w:id="158" w:name="_Toc10627775"/>
      <w:bookmarkEnd w:id="158"/>
      <w:r>
        <w:rPr/>
        <w:t>Księga obmiarów</w:t>
      </w:r>
    </w:p>
    <w:p>
      <w:pPr>
        <w:pStyle w:val="Normal"/>
        <w:spacing w:before="0" w:after="200"/>
        <w:jc w:val="left"/>
        <w:rPr/>
      </w:pPr>
      <w:r>
        <w:rPr/>
        <w:t>Księga obmiarów robót jest dokumentem budowy, za którego prowadzenie odpowiedzialny jest Wykonawca. Księga obmiaru robót musi być przedstawiona Inspektorowi do sprawdzenia po wykonaniu robót, ale przed ich zakryciem, jednak nie później niż na koniec okresu rozrachunkowego wynikającego z umowy. Fakt przedstawienia księgi obmiaru robót Inspektorowi do potwierdzenia Wykonawca uwidacznia wpisem do dziennika budowy.</w:t>
      </w:r>
    </w:p>
    <w:p>
      <w:pPr>
        <w:pStyle w:val="Nagwek3"/>
        <w:numPr>
          <w:ilvl w:val="2"/>
          <w:numId w:val="3"/>
        </w:numPr>
        <w:rPr/>
      </w:pPr>
      <w:bookmarkStart w:id="159" w:name="_Toc10627776"/>
      <w:bookmarkEnd w:id="159"/>
      <w:r>
        <w:rPr/>
        <w:t>Dokumenty laboratoryjne</w:t>
      </w:r>
    </w:p>
    <w:p>
      <w:pPr>
        <w:pStyle w:val="Normal"/>
        <w:rPr/>
      </w:pPr>
      <w:r>
        <w:rPr/>
        <w:t>Atesty materiałów, orzeczenia o jakości materiałów i wyniki badań sporządzone przez Wykonawcę będą stanowić załącznik do protokołu odbioru. Ww. dokumenty laboratoryjne winny być udostępniane na każde życzenie Inżyniera.</w:t>
      </w:r>
    </w:p>
    <w:p>
      <w:pPr>
        <w:pStyle w:val="Nagwek3"/>
        <w:numPr>
          <w:ilvl w:val="2"/>
          <w:numId w:val="3"/>
        </w:numPr>
        <w:rPr/>
      </w:pPr>
      <w:bookmarkStart w:id="160" w:name="_Toc10627777"/>
      <w:bookmarkEnd w:id="160"/>
      <w:r>
        <w:rPr/>
        <w:t>Pozostałe dokumenty budowy</w:t>
      </w:r>
    </w:p>
    <w:p>
      <w:pPr>
        <w:pStyle w:val="Normal"/>
        <w:rPr/>
      </w:pPr>
      <w:r>
        <w:rPr/>
        <w:t xml:space="preserve">Do pozostałych dokumentów budowy zalicza się ponadto: </w:t>
      </w:r>
    </w:p>
    <w:p>
      <w:pPr>
        <w:pStyle w:val="Normal"/>
        <w:numPr>
          <w:ilvl w:val="0"/>
          <w:numId w:val="57"/>
        </w:numPr>
        <w:spacing w:before="100" w:after="200"/>
        <w:contextualSpacing/>
        <w:rPr/>
      </w:pPr>
      <w:r>
        <w:rPr/>
        <w:t xml:space="preserve">pozwolenie/pozwolenia na realizację zadania/zadań budowlanych, w tym ostateczną decyzję o pozwoleniu na budowę; </w:t>
      </w:r>
    </w:p>
    <w:p>
      <w:pPr>
        <w:pStyle w:val="Normal"/>
        <w:numPr>
          <w:ilvl w:val="0"/>
          <w:numId w:val="57"/>
        </w:numPr>
        <w:spacing w:before="100" w:after="200"/>
        <w:contextualSpacing/>
        <w:rPr/>
      </w:pPr>
      <w:r>
        <w:rPr/>
        <w:t xml:space="preserve">protokoły przekazania terenu budowy; </w:t>
      </w:r>
    </w:p>
    <w:p>
      <w:pPr>
        <w:pStyle w:val="Normal"/>
        <w:numPr>
          <w:ilvl w:val="0"/>
          <w:numId w:val="57"/>
        </w:numPr>
        <w:spacing w:before="100" w:after="200"/>
        <w:contextualSpacing/>
        <w:rPr/>
      </w:pPr>
      <w:r>
        <w:rPr/>
        <w:t xml:space="preserve">umowy cywilno-prawne z osobami trzecimi i inne umowy cywilno-prawne; </w:t>
      </w:r>
    </w:p>
    <w:p>
      <w:pPr>
        <w:pStyle w:val="Normal"/>
        <w:numPr>
          <w:ilvl w:val="0"/>
          <w:numId w:val="57"/>
        </w:numPr>
        <w:spacing w:before="100" w:after="200"/>
        <w:contextualSpacing/>
        <w:rPr/>
      </w:pPr>
      <w:r>
        <w:rPr/>
        <w:t>harmonogram budowy</w:t>
      </w:r>
    </w:p>
    <w:p>
      <w:pPr>
        <w:pStyle w:val="Normal"/>
        <w:numPr>
          <w:ilvl w:val="0"/>
          <w:numId w:val="57"/>
        </w:numPr>
        <w:spacing w:before="100" w:after="200"/>
        <w:contextualSpacing/>
        <w:rPr/>
      </w:pPr>
      <w:r>
        <w:rPr/>
        <w:t xml:space="preserve">protokoły odbioru robót; </w:t>
      </w:r>
    </w:p>
    <w:p>
      <w:pPr>
        <w:pStyle w:val="Normal"/>
        <w:numPr>
          <w:ilvl w:val="0"/>
          <w:numId w:val="57"/>
        </w:numPr>
        <w:spacing w:before="100" w:after="200"/>
        <w:contextualSpacing/>
        <w:rPr/>
      </w:pPr>
      <w:r>
        <w:rPr/>
        <w:t xml:space="preserve">protokoły z narad i ustaleń; </w:t>
      </w:r>
    </w:p>
    <w:p>
      <w:pPr>
        <w:pStyle w:val="Normal"/>
        <w:numPr>
          <w:ilvl w:val="0"/>
          <w:numId w:val="57"/>
        </w:numPr>
        <w:spacing w:before="100" w:after="200"/>
        <w:contextualSpacing/>
        <w:rPr/>
      </w:pPr>
      <w:r>
        <w:rPr/>
        <w:t>korespondencję prowadzoną na budowie,</w:t>
      </w:r>
    </w:p>
    <w:p>
      <w:pPr>
        <w:pStyle w:val="Normal"/>
        <w:numPr>
          <w:ilvl w:val="0"/>
          <w:numId w:val="57"/>
        </w:numPr>
        <w:spacing w:before="100" w:after="200"/>
        <w:contextualSpacing/>
        <w:rPr/>
      </w:pPr>
      <w:r>
        <w:rPr/>
        <w:t>plan bezpieczeństwa i ochrony zdrowia,</w:t>
      </w:r>
    </w:p>
    <w:p>
      <w:pPr>
        <w:pStyle w:val="Normal"/>
        <w:numPr>
          <w:ilvl w:val="0"/>
          <w:numId w:val="57"/>
        </w:numPr>
        <w:spacing w:before="100" w:after="200"/>
        <w:contextualSpacing/>
        <w:rPr/>
      </w:pPr>
      <w:r>
        <w:rPr/>
        <w:t>rysunki montażowe,</w:t>
      </w:r>
    </w:p>
    <w:p>
      <w:pPr>
        <w:pStyle w:val="Normal"/>
        <w:numPr>
          <w:ilvl w:val="0"/>
          <w:numId w:val="57"/>
        </w:numPr>
        <w:spacing w:before="100" w:after="200"/>
        <w:contextualSpacing/>
        <w:rPr/>
      </w:pPr>
      <w:r>
        <w:rPr/>
        <w:t>dokumentację projektową, rysunki zamienne opracowane przez Projektanta w ramach nadzoru autorskiego.</w:t>
      </w:r>
    </w:p>
    <w:p>
      <w:pPr>
        <w:pStyle w:val="Normal"/>
        <w:spacing w:before="240" w:after="200"/>
        <w:rPr>
          <w:b/>
          <w:b/>
        </w:rPr>
      </w:pPr>
      <w:r>
        <w:rPr>
          <w:b/>
        </w:rPr>
        <w:t>Przechowywanie dokumentów budowy</w:t>
      </w:r>
    </w:p>
    <w:p>
      <w:pPr>
        <w:pStyle w:val="Normal"/>
        <w:rPr/>
      </w:pPr>
      <w:r>
        <w:rPr/>
        <w:t>Dokumenty budowy będą przechowywane zgodnie z Prawem budowlanym przez upoważnionego przedstawiciela Wykonawcy na terenie budowy w miejscu do tego przeznaczonym, odpowiednio zabezpieczonym. Zaginięcie któregokolwiek z dokumentów budowy spowoduje jego natychmiastowe odtworzenie w formie przewidzianej prawem. Koszty odtworzenia dokumentu zagubionego, przekazanego i znajdującego się w posiadaniu Wykonawcy, obciążają Wykonawcę. Wszelkie dokumenty budowy będą zawsze dostępne dla Inspektora Nadzoru Inwestorskiego i Zamawiającego.</w:t>
      </w:r>
    </w:p>
    <w:p>
      <w:pPr>
        <w:pStyle w:val="Nagwek2"/>
        <w:numPr>
          <w:ilvl w:val="1"/>
          <w:numId w:val="3"/>
        </w:numPr>
        <w:shd w:val="clear" w:fill="FCDBD3"/>
        <w:rPr/>
      </w:pPr>
      <w:bookmarkStart w:id="161" w:name="_Toc10627778"/>
      <w:bookmarkEnd w:id="161"/>
      <w:r>
        <w:rPr/>
        <w:t>Wymagania dotyczące przedmiaru i obmiaru robót</w:t>
      </w:r>
    </w:p>
    <w:p>
      <w:pPr>
        <w:pStyle w:val="Nagwek3"/>
        <w:numPr>
          <w:ilvl w:val="2"/>
          <w:numId w:val="3"/>
        </w:numPr>
        <w:rPr/>
      </w:pPr>
      <w:bookmarkStart w:id="162" w:name="_Toc10627779"/>
      <w:bookmarkEnd w:id="162"/>
      <w:r>
        <w:rPr/>
        <w:t>Ogólne zasady obmiaru robót</w:t>
      </w:r>
    </w:p>
    <w:p>
      <w:pPr>
        <w:pStyle w:val="Normal"/>
        <w:spacing w:before="100" w:after="0"/>
        <w:rPr/>
      </w:pPr>
      <w:r>
        <w:rPr/>
        <w:t>Obmiar robót ma za zadanie określać faktyczny zakres wykonanych robót wg stanu na dzień jego przeprowadzenia. Roboty można uznać za wykonane pod warunkiem, że wykonano je zgodnie z wymaganiami zawartymi w dokumentacji i szczegółowych specyfikacjach technicznych, a ich ilość podaje się w jednostkach ustalonych w wycenionym przedmiarze robót wchodzących w skład umowy, tj. wykonany obmiar robót będzie zawierać:</w:t>
      </w:r>
    </w:p>
    <w:p>
      <w:pPr>
        <w:pStyle w:val="ListParagraph"/>
        <w:numPr>
          <w:ilvl w:val="0"/>
          <w:numId w:val="64"/>
        </w:numPr>
        <w:spacing w:before="100" w:after="0"/>
        <w:ind w:left="284" w:hanging="284"/>
        <w:rPr/>
      </w:pPr>
      <w:r>
        <w:rPr/>
        <w:t>podstawę wyceny i opis robót,</w:t>
      </w:r>
    </w:p>
    <w:p>
      <w:pPr>
        <w:pStyle w:val="ListParagraph"/>
        <w:numPr>
          <w:ilvl w:val="0"/>
          <w:numId w:val="64"/>
        </w:numPr>
        <w:spacing w:before="100" w:after="0"/>
        <w:ind w:left="284" w:hanging="284"/>
        <w:rPr/>
      </w:pPr>
      <w:r>
        <w:rPr/>
        <w:t>ilość przedmiarową robót,</w:t>
      </w:r>
    </w:p>
    <w:p>
      <w:pPr>
        <w:pStyle w:val="ListParagraph"/>
        <w:numPr>
          <w:ilvl w:val="0"/>
          <w:numId w:val="64"/>
        </w:numPr>
        <w:spacing w:before="100" w:after="0"/>
        <w:ind w:left="284" w:hanging="284"/>
        <w:rPr/>
      </w:pPr>
      <w:r>
        <w:rPr/>
        <w:t>datę obmiaru,</w:t>
      </w:r>
    </w:p>
    <w:p>
      <w:pPr>
        <w:pStyle w:val="ListParagraph"/>
        <w:numPr>
          <w:ilvl w:val="0"/>
          <w:numId w:val="64"/>
        </w:numPr>
        <w:spacing w:before="100" w:after="0"/>
        <w:ind w:left="284" w:hanging="284"/>
        <w:rPr/>
      </w:pPr>
      <w:r>
        <w:rPr/>
        <w:t>obmiar robót z podaniem czynników składowych obmiaru,</w:t>
      </w:r>
    </w:p>
    <w:p>
      <w:pPr>
        <w:pStyle w:val="ListParagraph"/>
        <w:numPr>
          <w:ilvl w:val="0"/>
          <w:numId w:val="64"/>
        </w:numPr>
        <w:spacing w:before="100" w:after="0"/>
        <w:ind w:left="284" w:hanging="284"/>
        <w:rPr/>
      </w:pPr>
      <w:r>
        <w:rPr/>
        <w:t>ilość robót wykonanych od początku budowy,</w:t>
      </w:r>
    </w:p>
    <w:p>
      <w:pPr>
        <w:pStyle w:val="ListParagraph"/>
        <w:numPr>
          <w:ilvl w:val="0"/>
          <w:numId w:val="64"/>
        </w:numPr>
        <w:ind w:left="284" w:hanging="284"/>
        <w:rPr/>
      </w:pPr>
      <w:r>
        <w:rPr/>
        <w:t>dane osoby sporządzającej obmiar.</w:t>
      </w:r>
    </w:p>
    <w:p>
      <w:pPr>
        <w:pStyle w:val="Nagwek3"/>
        <w:numPr>
          <w:ilvl w:val="2"/>
          <w:numId w:val="3"/>
        </w:numPr>
        <w:rPr/>
      </w:pPr>
      <w:bookmarkStart w:id="163" w:name="_Toc10627780"/>
      <w:bookmarkEnd w:id="163"/>
      <w:r>
        <w:rPr/>
        <w:t>Czas przeprowadzenia obmiaru</w:t>
      </w:r>
    </w:p>
    <w:p>
      <w:pPr>
        <w:pStyle w:val="Normal"/>
        <w:rPr/>
      </w:pPr>
      <w:r>
        <w:rPr/>
        <w:t>Obmiar robót dokonuje Wykonawca po powiadomieniu Inspektora Nadzoru o zakresie obmierzanych robót i terminie obmiaru, co najmniej na trzy dni przed terminem obmiaru. Obmiary będą przeprowadzone przed częściowym lub ostatecznym odbiorem robót, a także w przypadku występowania dłuższych przerw w robotach oraz w przypadku zmiany Wykonawcy.</w:t>
      </w:r>
    </w:p>
    <w:p>
      <w:pPr>
        <w:pStyle w:val="Normal"/>
        <w:rPr/>
      </w:pPr>
      <w:r>
        <w:rPr/>
        <w:t xml:space="preserve">Obmiary robót zanikających i ulegających zakryciu przeprowadza się bezpośrednio po ich wykonaniu, lecz przed ich zakryciem. </w:t>
      </w:r>
    </w:p>
    <w:p>
      <w:pPr>
        <w:pStyle w:val="Nagwek3"/>
        <w:numPr>
          <w:ilvl w:val="2"/>
          <w:numId w:val="3"/>
        </w:numPr>
        <w:rPr/>
      </w:pPr>
      <w:bookmarkStart w:id="164" w:name="_Toc10627781"/>
      <w:bookmarkEnd w:id="164"/>
      <w:r>
        <w:rPr/>
        <w:t>Zasady określenia ilości robót i materiałów</w:t>
      </w:r>
    </w:p>
    <w:p>
      <w:pPr>
        <w:pStyle w:val="Normal"/>
        <w:rPr/>
      </w:pPr>
      <w:r>
        <w:rPr/>
        <w:t>Długości i odległości pomiędzy wyszczególnionymi punktami skrajnymi będą obmierzone poziomo wzdłuż linii osiowej.</w:t>
      </w:r>
    </w:p>
    <w:p>
      <w:pPr>
        <w:pStyle w:val="Normal"/>
        <w:rPr/>
      </w:pPr>
      <w:r>
        <w:rPr/>
        <w:t>Obmiary będą wykonywane zgodnie z zasadami obmiarowymi i jednostkami zawartymi w katalogach KNR, o ile ST nie stanowią o innych metodach obmiarów.</w:t>
      </w:r>
    </w:p>
    <w:p>
      <w:pPr>
        <w:pStyle w:val="Nagwek3"/>
        <w:numPr>
          <w:ilvl w:val="2"/>
          <w:numId w:val="3"/>
        </w:numPr>
        <w:rPr/>
      </w:pPr>
      <w:bookmarkStart w:id="165" w:name="_Toc10627782"/>
      <w:bookmarkEnd w:id="165"/>
      <w:r>
        <w:rPr/>
        <w:t>Urządzenia i sprzęt pomiarowy</w:t>
      </w:r>
    </w:p>
    <w:p>
      <w:pPr>
        <w:pStyle w:val="Normal"/>
        <w:rPr/>
      </w:pPr>
      <w:r>
        <w:rPr/>
        <w:t>Wszystkie urządzenia i sprzęt pomiarowy stosowane do dokonania obmiaru robót zostaną dostarczone przez Wykonawcę i muszą zostać zaakceptowane przez zarządzającego realizacją umowy przed dopuszczeniem do stosowania. Jeżeli urządzenia te lub sprzęt wymagają badań atestujących, to na Wykonawcy spoczywa obowiązek posiadać ważnych świadectw legalizacji. Wszystkie urządzenia pomiarowe będą przez Wykonawcę utrzymywane w dobrym stanie, w całym okresie trwania Robót.</w:t>
      </w:r>
    </w:p>
    <w:p>
      <w:pPr>
        <w:pStyle w:val="Normal"/>
        <w:rPr/>
      </w:pPr>
      <w:r>
        <w:rPr/>
      </w:r>
    </w:p>
    <w:p>
      <w:pPr>
        <w:pStyle w:val="Nagwek2"/>
        <w:numPr>
          <w:ilvl w:val="1"/>
          <w:numId w:val="3"/>
        </w:numPr>
        <w:shd w:val="clear" w:fill="FCDBD3"/>
        <w:rPr/>
      </w:pPr>
      <w:bookmarkStart w:id="166" w:name="_Toc10627783"/>
      <w:r>
        <w:rPr/>
        <w:t>Odbiór robót budowlanych</w:t>
      </w:r>
      <w:bookmarkEnd w:id="166"/>
      <w:r>
        <w:rPr/>
        <w:t xml:space="preserve"> </w:t>
      </w:r>
    </w:p>
    <w:p>
      <w:pPr>
        <w:pStyle w:val="Normal"/>
        <w:rPr/>
      </w:pPr>
      <w:r>
        <w:rPr/>
        <w:t xml:space="preserve">Za dokonywanie wszystkich rodzajów odbiorów robót budowlanych, tj.: </w:t>
      </w:r>
    </w:p>
    <w:p>
      <w:pPr>
        <w:pStyle w:val="ListParagraph"/>
        <w:numPr>
          <w:ilvl w:val="0"/>
          <w:numId w:val="64"/>
        </w:numPr>
        <w:spacing w:before="100" w:after="0"/>
        <w:ind w:left="284" w:hanging="284"/>
        <w:rPr/>
      </w:pPr>
      <w:r>
        <w:rPr/>
        <w:t>odbiorów robót zanikających i ulegających zakryciu,</w:t>
      </w:r>
    </w:p>
    <w:p>
      <w:pPr>
        <w:pStyle w:val="ListParagraph"/>
        <w:numPr>
          <w:ilvl w:val="0"/>
          <w:numId w:val="64"/>
        </w:numPr>
        <w:spacing w:before="100" w:after="0"/>
        <w:ind w:left="284" w:hanging="284"/>
        <w:rPr/>
      </w:pPr>
      <w:r>
        <w:rPr/>
        <w:t>odbiorów instalacji i urządzeń technicznych,</w:t>
      </w:r>
    </w:p>
    <w:p>
      <w:pPr>
        <w:pStyle w:val="ListParagraph"/>
        <w:numPr>
          <w:ilvl w:val="0"/>
          <w:numId w:val="64"/>
        </w:numPr>
        <w:spacing w:before="100" w:after="0"/>
        <w:ind w:left="284" w:hanging="284"/>
        <w:rPr/>
      </w:pPr>
      <w:r>
        <w:rPr/>
        <w:t>odbiorów częściowych elementów robót,</w:t>
      </w:r>
    </w:p>
    <w:p>
      <w:pPr>
        <w:pStyle w:val="ListParagraph"/>
        <w:numPr>
          <w:ilvl w:val="0"/>
          <w:numId w:val="64"/>
        </w:numPr>
        <w:spacing w:before="100" w:after="0"/>
        <w:ind w:left="284" w:hanging="284"/>
        <w:rPr/>
      </w:pPr>
      <w:r>
        <w:rPr/>
        <w:t>odbiór przedmiotu umowy,</w:t>
      </w:r>
    </w:p>
    <w:p>
      <w:pPr>
        <w:pStyle w:val="ListParagraph"/>
        <w:numPr>
          <w:ilvl w:val="0"/>
          <w:numId w:val="64"/>
        </w:numPr>
        <w:spacing w:before="100" w:after="0"/>
        <w:ind w:left="284" w:hanging="284"/>
        <w:rPr/>
      </w:pPr>
      <w:r>
        <w:rPr/>
        <w:t>odbioru ostatecznego (końcowego),</w:t>
      </w:r>
    </w:p>
    <w:p>
      <w:pPr>
        <w:pStyle w:val="ListParagraph"/>
        <w:numPr>
          <w:ilvl w:val="0"/>
          <w:numId w:val="64"/>
        </w:numPr>
        <w:spacing w:before="100" w:after="0"/>
        <w:ind w:left="284" w:hanging="284"/>
        <w:rPr/>
      </w:pPr>
      <w:r>
        <w:rPr/>
        <w:t xml:space="preserve">odbiorów pogwarancyjnych (po upływie kresu gwarancji), </w:t>
      </w:r>
    </w:p>
    <w:p>
      <w:pPr>
        <w:pStyle w:val="Normal"/>
        <w:rPr/>
      </w:pPr>
      <w:r>
        <w:rPr/>
        <w:t>odpowiedzialny jest Inspektor Nadzoru Inwestorskiego. Odbiór techniczny robót będzie odbywał się zgodnie z procedurami, które należy zawrzeć i uzgodnić z Zamawiającym w Specyfikacjach Technicznych.</w:t>
      </w:r>
    </w:p>
    <w:p>
      <w:pPr>
        <w:pStyle w:val="Normal"/>
        <w:rPr>
          <w:b/>
          <w:b/>
        </w:rPr>
      </w:pPr>
      <w:r>
        <w:rPr>
          <w:b/>
        </w:rPr>
        <w:t>Odbiór robót zanikających i ulegających zakryciu oraz odbiór techniczny (międzyoperacyjny)</w:t>
      </w:r>
    </w:p>
    <w:p>
      <w:pPr>
        <w:pStyle w:val="Normal"/>
        <w:rPr/>
      </w:pPr>
      <w:r>
        <w:rPr/>
        <w:t>Odbiór robót zanikających i ulegających zakryciu polega na ostatecznej ocenie ilości i jakości wykonywanych robót budowlanych, które w dalszym procesie realizacji ulegną zakryciu. Odbiór robót zanikających i ulegających zakryciu będzie dokonany w czasie umożliwiającym wykonanie ewentualnych korekt i poprawek - bez hamowania ogólnego postępu robót. Gotowość danej części robót do odbioru zgłasza Wykonawca poprzez dokonanie stosownego wpisu do dziennika budowy i jednoczesne powiadomienie Inspektora Nadzoru Inwestorskiego.</w:t>
      </w:r>
    </w:p>
    <w:p>
      <w:pPr>
        <w:pStyle w:val="Normal"/>
        <w:rPr>
          <w:b/>
          <w:b/>
        </w:rPr>
      </w:pPr>
      <w:r>
        <w:rPr>
          <w:b/>
        </w:rPr>
        <w:t>Odbiór częściowy elementów robót</w:t>
      </w:r>
    </w:p>
    <w:p>
      <w:pPr>
        <w:pStyle w:val="Normal"/>
        <w:rPr/>
      </w:pPr>
      <w:r>
        <w:rPr/>
        <w:t>Odbiór częściowy polega na ocenie zakresu i jakości wykonanych części robót. Odbioru częściowego robót dokonuje się według zasad jak przy odbiorze ostatecznym robót.</w:t>
      </w:r>
    </w:p>
    <w:p>
      <w:pPr>
        <w:pStyle w:val="Normal"/>
        <w:rPr/>
      </w:pPr>
      <w:r>
        <w:rPr/>
        <w:t>Odbiór przedmioty umowy Odbiór przedmiotu umowy polega na ostatecznej ocenie rzeczywistego wykonania robót w odniesieniu do ich ilości, jakości i wartości. Całkowite zakończenie robót oraz gotowość do odbioru przedmiotu umowy będzie stwierdzona przez Wykonawcę wpisem do dziennika budowy z bezzwłocznym powiadomieniem na piśmie ZAMAWIAJĄCEGO i inspektorów nadzoru. Odbiór przedmiotu umowy nastąpi w terminie ustalonym w umowie, licząc od dnia potwierdzenia przez Inspektorów Nadzoru Inwestorskiego zakończenia robót i przyjęcia dokumentów do odbioru przedmiotu umowy. Inspektorzy Nadzoru Inwestorskiego dokonają ich oceny jakościowej bazując na przedłożonych mu dokumentach, wynikach badań i pomiarów, ocenach wizualnych oraz zgodności wykonania robót z Programem Funkcjonalno-użytkowym, dokumentacją projektową i Specyfikacjami Technicznymi.</w:t>
      </w:r>
    </w:p>
    <w:p>
      <w:pPr>
        <w:pStyle w:val="Normal"/>
        <w:rPr/>
      </w:pPr>
      <w:r>
        <w:rPr/>
        <w:t xml:space="preserve">Podstawowym dokumentem do dokonania odbioru przedmiotu umowy jest protokół odbioru końcowego robót sporządzony według wzoru ustalonego z Zamawiającym. </w:t>
      </w:r>
    </w:p>
    <w:p>
      <w:pPr>
        <w:pStyle w:val="Normal"/>
        <w:rPr/>
      </w:pPr>
      <w:r>
        <w:rPr/>
        <w:t>Do odbioru przedmiotu umowy Wykonawca jest zobowiązany przygotować w szczególności następujące dokumenty:</w:t>
      </w:r>
    </w:p>
    <w:p>
      <w:pPr>
        <w:pStyle w:val="Normal"/>
        <w:numPr>
          <w:ilvl w:val="0"/>
          <w:numId w:val="58"/>
        </w:numPr>
        <w:spacing w:before="100" w:after="200"/>
        <w:contextualSpacing/>
        <w:rPr/>
      </w:pPr>
      <w:r>
        <w:rPr/>
        <w:t>dokumentację powykonawczą - dokumentację projektową podstawową z naniesionymi zmianami oraz dokumentację dodatkową (jeśli taka została sporządzona w trakcie realizacji umowy), a także pełną inwentaryzację architektoniczno-budowlaną wszystkich budynków wraz ze zmianami powstałymi w budynkach w wyniku realizacji inwestycji, oraz inwentaryzację geodezyjną powstałego uzbrojenia podziemnego,</w:t>
      </w:r>
    </w:p>
    <w:p>
      <w:pPr>
        <w:pStyle w:val="Normal"/>
        <w:numPr>
          <w:ilvl w:val="0"/>
          <w:numId w:val="58"/>
        </w:numPr>
        <w:spacing w:before="100" w:after="200"/>
        <w:contextualSpacing/>
        <w:rPr/>
      </w:pPr>
      <w:r>
        <w:rPr/>
        <w:t>ustalenia technologiczne związane z obsługą kotłowni, instalacji PV, wszelkich wykonanych instalacji i urządzeń,</w:t>
      </w:r>
    </w:p>
    <w:p>
      <w:pPr>
        <w:pStyle w:val="Normal"/>
        <w:numPr>
          <w:ilvl w:val="0"/>
          <w:numId w:val="58"/>
        </w:numPr>
        <w:spacing w:before="100" w:after="200"/>
        <w:contextualSpacing/>
        <w:rPr/>
      </w:pPr>
      <w:r>
        <w:rPr/>
        <w:t xml:space="preserve">dzienniki budowy, </w:t>
      </w:r>
    </w:p>
    <w:p>
      <w:pPr>
        <w:pStyle w:val="Normal"/>
        <w:numPr>
          <w:ilvl w:val="0"/>
          <w:numId w:val="58"/>
        </w:numPr>
        <w:spacing w:before="100" w:after="200"/>
        <w:contextualSpacing/>
        <w:rPr/>
      </w:pPr>
      <w:r>
        <w:rPr/>
        <w:t xml:space="preserve">deklaracje zgodności lub certyfikaty zgodności wbudowanych materiałów, </w:t>
      </w:r>
    </w:p>
    <w:p>
      <w:pPr>
        <w:pStyle w:val="Normal"/>
        <w:numPr>
          <w:ilvl w:val="0"/>
          <w:numId w:val="58"/>
        </w:numPr>
        <w:spacing w:before="100" w:after="200"/>
        <w:contextualSpacing/>
        <w:rPr/>
      </w:pPr>
      <w:r>
        <w:rPr/>
        <w:t xml:space="preserve">opinie technologiczne sporządzone na podstawie wszystkich wyników badań i pomiarów załączonych do dokumentów odbioru, </w:t>
      </w:r>
    </w:p>
    <w:p>
      <w:pPr>
        <w:pStyle w:val="Normal"/>
        <w:numPr>
          <w:ilvl w:val="0"/>
          <w:numId w:val="58"/>
        </w:numPr>
        <w:spacing w:before="100" w:after="200"/>
        <w:contextualSpacing/>
        <w:rPr/>
      </w:pPr>
      <w:r>
        <w:rPr/>
        <w:t>sporządzenie i przekazanie świadectw charakterystyki energetycznej budynków zrealizowanych w ramach przedmiotu zamówienia,</w:t>
      </w:r>
    </w:p>
    <w:p>
      <w:pPr>
        <w:pStyle w:val="Normal"/>
        <w:numPr>
          <w:ilvl w:val="0"/>
          <w:numId w:val="58"/>
        </w:numPr>
        <w:spacing w:before="100" w:after="200"/>
        <w:contextualSpacing/>
        <w:rPr/>
      </w:pPr>
      <w:r>
        <w:rPr/>
        <w:t>instrukcję współpracy ruchowej agregatu prądotwórczego z siecią elektroenergetyczną uzgodnioną z właściwym miejscowo Zakładem Energetycznym</w:t>
      </w:r>
    </w:p>
    <w:p>
      <w:pPr>
        <w:pStyle w:val="Normal"/>
        <w:numPr>
          <w:ilvl w:val="0"/>
          <w:numId w:val="58"/>
        </w:numPr>
        <w:spacing w:before="100" w:after="200"/>
        <w:contextualSpacing/>
        <w:rPr/>
      </w:pPr>
      <w:r>
        <w:rPr/>
        <w:t>instrukcję bezpieczeństwa pożarowego budynków wraz z planem ewakuacji, - oświadczenie o wykonaniu ewentualnych zaleceń organów wymienionych w art. 56 ust. 1 ustawy Prawo budowlane</w:t>
      </w:r>
    </w:p>
    <w:p>
      <w:pPr>
        <w:pStyle w:val="Normal"/>
        <w:numPr>
          <w:ilvl w:val="0"/>
          <w:numId w:val="58"/>
        </w:numPr>
        <w:spacing w:before="100" w:after="200"/>
        <w:contextualSpacing/>
        <w:rPr/>
      </w:pPr>
      <w:r>
        <w:rPr/>
        <w:t>odbiór obiektów przez Państwową Straż Pożarną lub (w odniesieniu do obiektów niewymagających z uzgodnień z mocy prawa) informację o rezygnacji z przeprowadzenia takiego odbioru</w:t>
      </w:r>
    </w:p>
    <w:p>
      <w:pPr>
        <w:pStyle w:val="Normal"/>
        <w:spacing w:lineRule="auto" w:line="240" w:before="100" w:after="0"/>
        <w:jc w:val="left"/>
        <w:rPr>
          <w:b/>
          <w:b/>
        </w:rPr>
      </w:pPr>
      <w:r>
        <w:rPr>
          <w:b/>
        </w:rPr>
        <w:t xml:space="preserve">Odbiór pogwarancyjny </w:t>
      </w:r>
    </w:p>
    <w:p>
      <w:pPr>
        <w:pStyle w:val="Normal"/>
        <w:spacing w:lineRule="auto" w:line="240" w:before="100" w:after="0"/>
        <w:rPr/>
      </w:pPr>
      <w:r>
        <w:rPr/>
        <w:t>Odbiór pogwarancyjny polega na ocenie wykonanych robót związanych z usunięciem wad stwierdzonych po odbiorze przedmiotu umowy i zaistniałych w okresie gwarancyjnym. Odbiór odbywać się będzie także na podstawie zaobserwowanych zjawisk w czasie eksploatacji oraz na sprawdzeniu zgodności i spełnieniu warunków zapisanych i ustalonych w dokumentacji projektowej budowlanej i wykonawczej oraz Specyfikacjach Technicznych.</w:t>
      </w:r>
    </w:p>
    <w:p>
      <w:pPr>
        <w:pStyle w:val="Normal"/>
        <w:rPr/>
      </w:pPr>
      <w:r>
        <w:rPr/>
      </w:r>
    </w:p>
    <w:p>
      <w:pPr>
        <w:pStyle w:val="Nagwek1"/>
        <w:numPr>
          <w:ilvl w:val="0"/>
          <w:numId w:val="3"/>
        </w:numPr>
        <w:shd w:val="clear" w:fill="F04E23"/>
        <w:rPr/>
      </w:pPr>
      <w:bookmarkStart w:id="167" w:name="_Toc10627784"/>
      <w:bookmarkEnd w:id="167"/>
      <w:r>
        <w:rPr/>
        <w:t>Warunki wykonania i odbioru robót – instalacje elektryczne</w:t>
      </w:r>
    </w:p>
    <w:p>
      <w:pPr>
        <w:pStyle w:val="Nagwek2"/>
        <w:numPr>
          <w:ilvl w:val="1"/>
          <w:numId w:val="3"/>
        </w:numPr>
        <w:shd w:val="clear" w:fill="FCDBD3"/>
        <w:rPr/>
      </w:pPr>
      <w:bookmarkStart w:id="168" w:name="_Toc10627785"/>
      <w:bookmarkEnd w:id="168"/>
      <w:r>
        <w:rPr/>
        <w:t>Przedmiot i zakres robót</w:t>
      </w:r>
    </w:p>
    <w:p>
      <w:pPr>
        <w:pStyle w:val="Tretekstu"/>
        <w:ind w:left="461" w:right="758" w:hanging="0"/>
        <w:rPr/>
      </w:pPr>
      <w:r>
        <w:rPr>
          <w:color w:val="000009"/>
        </w:rPr>
        <w:t>Zakres robót znajdujących się w specyfikacji obejmuje wszystkie czynności mające na celu wykonanie instalacji teletechnicznych:</w:t>
      </w:r>
    </w:p>
    <w:p>
      <w:pPr>
        <w:pStyle w:val="Tretekstu"/>
        <w:ind w:left="461" w:hanging="0"/>
        <w:rPr>
          <w:sz w:val="24"/>
        </w:rPr>
      </w:pPr>
      <w:r>
        <w:rPr>
          <w:color w:val="000009"/>
        </w:rPr>
        <w:t>Zakres prac obejmuje m. in.:</w:t>
      </w:r>
    </w:p>
    <w:p>
      <w:pPr>
        <w:pStyle w:val="ListParagraph"/>
        <w:widowControl w:val="false"/>
        <w:numPr>
          <w:ilvl w:val="2"/>
          <w:numId w:val="77"/>
        </w:numPr>
        <w:tabs>
          <w:tab w:val="left" w:pos="1182" w:leader="none"/>
        </w:tabs>
        <w:spacing w:lineRule="exact" w:line="252" w:before="0" w:after="0"/>
        <w:jc w:val="left"/>
        <w:rPr>
          <w:rFonts w:ascii="Symbol" w:hAnsi="Symbol"/>
          <w:color w:val="000009"/>
        </w:rPr>
      </w:pPr>
      <w:r>
        <w:rPr>
          <w:color w:val="000009"/>
        </w:rPr>
        <w:t>demontaż</w:t>
      </w:r>
      <w:r>
        <w:rPr>
          <w:color w:val="000009"/>
          <w:spacing w:val="-2"/>
        </w:rPr>
        <w:t xml:space="preserve"> i rozbiórkę elementów istniejących instalacji elektrycznych w obiekcie</w:t>
      </w:r>
      <w:r>
        <w:rPr>
          <w:color w:val="000009"/>
        </w:rPr>
        <w:t>,</w:t>
      </w:r>
    </w:p>
    <w:p>
      <w:pPr>
        <w:pStyle w:val="ListParagraph"/>
        <w:widowControl w:val="false"/>
        <w:numPr>
          <w:ilvl w:val="2"/>
          <w:numId w:val="77"/>
        </w:numPr>
        <w:tabs>
          <w:tab w:val="left" w:pos="1182" w:leader="none"/>
        </w:tabs>
        <w:spacing w:lineRule="exact" w:line="252" w:before="0" w:after="0"/>
        <w:jc w:val="left"/>
        <w:rPr>
          <w:rFonts w:ascii="Symbol" w:hAnsi="Symbol"/>
          <w:color w:val="000009"/>
        </w:rPr>
      </w:pPr>
      <w:r>
        <w:rPr>
          <w:color w:val="000009"/>
        </w:rPr>
        <w:t>montaż</w:t>
      </w:r>
      <w:r>
        <w:rPr>
          <w:color w:val="000009"/>
          <w:spacing w:val="-2"/>
        </w:rPr>
        <w:t xml:space="preserve"> </w:t>
      </w:r>
      <w:r>
        <w:rPr>
          <w:color w:val="000009"/>
        </w:rPr>
        <w:t>oświetlenia,</w:t>
      </w:r>
    </w:p>
    <w:p>
      <w:pPr>
        <w:pStyle w:val="ListParagraph"/>
        <w:widowControl w:val="false"/>
        <w:numPr>
          <w:ilvl w:val="2"/>
          <w:numId w:val="77"/>
        </w:numPr>
        <w:tabs>
          <w:tab w:val="left" w:pos="1182" w:leader="none"/>
        </w:tabs>
        <w:spacing w:lineRule="exact" w:line="252" w:before="0" w:after="0"/>
        <w:jc w:val="left"/>
        <w:rPr>
          <w:rFonts w:ascii="Symbol" w:hAnsi="Symbol"/>
          <w:color w:val="000009"/>
        </w:rPr>
      </w:pPr>
      <w:r>
        <w:rPr>
          <w:color w:val="000009"/>
        </w:rPr>
        <w:t>modernizacja rozdzielnic</w:t>
      </w:r>
      <w:r>
        <w:rPr>
          <w:color w:val="000009"/>
          <w:spacing w:val="-5"/>
        </w:rPr>
        <w:t xml:space="preserve"> </w:t>
      </w:r>
      <w:r>
        <w:rPr>
          <w:color w:val="000009"/>
        </w:rPr>
        <w:t>elektrycznych</w:t>
      </w:r>
    </w:p>
    <w:p>
      <w:pPr>
        <w:pStyle w:val="ListParagraph"/>
        <w:widowControl w:val="false"/>
        <w:numPr>
          <w:ilvl w:val="2"/>
          <w:numId w:val="77"/>
        </w:numPr>
        <w:tabs>
          <w:tab w:val="left" w:pos="1182" w:leader="none"/>
        </w:tabs>
        <w:spacing w:lineRule="exact" w:line="252" w:before="0" w:after="0"/>
        <w:jc w:val="left"/>
        <w:rPr>
          <w:rFonts w:ascii="Symbol" w:hAnsi="Symbol"/>
          <w:color w:val="000009"/>
        </w:rPr>
      </w:pPr>
      <w:r>
        <w:rPr>
          <w:color w:val="000009"/>
        </w:rPr>
        <w:t>instalacja urządzeń elektrycznych branży</w:t>
      </w:r>
      <w:r>
        <w:rPr>
          <w:color w:val="000009"/>
          <w:spacing w:val="-4"/>
        </w:rPr>
        <w:t xml:space="preserve"> </w:t>
      </w:r>
      <w:r>
        <w:rPr>
          <w:color w:val="000009"/>
        </w:rPr>
        <w:t>sanitarnej</w:t>
      </w:r>
    </w:p>
    <w:p>
      <w:pPr>
        <w:pStyle w:val="ListParagraph"/>
        <w:widowControl w:val="false"/>
        <w:numPr>
          <w:ilvl w:val="2"/>
          <w:numId w:val="77"/>
        </w:numPr>
        <w:tabs>
          <w:tab w:val="left" w:pos="1182" w:leader="none"/>
        </w:tabs>
        <w:spacing w:lineRule="exact" w:line="252" w:before="2" w:after="0"/>
        <w:jc w:val="left"/>
        <w:rPr>
          <w:rFonts w:ascii="Symbol" w:hAnsi="Symbol"/>
          <w:color w:val="000009"/>
        </w:rPr>
      </w:pPr>
      <w:r>
        <w:rPr>
          <w:color w:val="000009"/>
        </w:rPr>
        <w:t>montaż mikro instalacji</w:t>
      </w:r>
      <w:r>
        <w:rPr>
          <w:color w:val="000009"/>
          <w:spacing w:val="-3"/>
        </w:rPr>
        <w:t xml:space="preserve"> </w:t>
      </w:r>
      <w:r>
        <w:rPr>
          <w:color w:val="000009"/>
        </w:rPr>
        <w:t>fotowoltaicznej</w:t>
      </w:r>
    </w:p>
    <w:p>
      <w:pPr>
        <w:pStyle w:val="ListParagraph"/>
        <w:widowControl w:val="false"/>
        <w:numPr>
          <w:ilvl w:val="2"/>
          <w:numId w:val="77"/>
        </w:numPr>
        <w:tabs>
          <w:tab w:val="left" w:pos="1182" w:leader="none"/>
        </w:tabs>
        <w:spacing w:lineRule="exact" w:line="252" w:before="0" w:after="0"/>
        <w:jc w:val="left"/>
        <w:rPr>
          <w:rFonts w:ascii="Symbol" w:hAnsi="Symbol"/>
          <w:color w:val="000009"/>
        </w:rPr>
      </w:pPr>
      <w:r>
        <w:rPr>
          <w:color w:val="000009"/>
        </w:rPr>
        <w:t>Układanie</w:t>
      </w:r>
      <w:r>
        <w:rPr>
          <w:color w:val="000009"/>
          <w:spacing w:val="-2"/>
        </w:rPr>
        <w:t xml:space="preserve"> </w:t>
      </w:r>
      <w:r>
        <w:rPr>
          <w:color w:val="000009"/>
        </w:rPr>
        <w:t>przewodów,</w:t>
      </w:r>
    </w:p>
    <w:p>
      <w:pPr>
        <w:pStyle w:val="ListParagraph"/>
        <w:widowControl w:val="false"/>
        <w:numPr>
          <w:ilvl w:val="2"/>
          <w:numId w:val="77"/>
        </w:numPr>
        <w:tabs>
          <w:tab w:val="left" w:pos="1182" w:leader="none"/>
        </w:tabs>
        <w:spacing w:lineRule="exact" w:line="252" w:before="0" w:after="0"/>
        <w:jc w:val="left"/>
        <w:rPr>
          <w:rFonts w:ascii="Symbol" w:hAnsi="Symbol"/>
          <w:color w:val="000009"/>
        </w:rPr>
      </w:pPr>
      <w:r>
        <w:rPr>
          <w:color w:val="000009"/>
        </w:rPr>
        <w:t>Wykonanie</w:t>
      </w:r>
      <w:r>
        <w:rPr>
          <w:color w:val="000009"/>
          <w:spacing w:val="-4"/>
        </w:rPr>
        <w:t xml:space="preserve"> </w:t>
      </w:r>
      <w:r>
        <w:rPr>
          <w:color w:val="000009"/>
        </w:rPr>
        <w:t>pomiarów.</w:t>
      </w:r>
    </w:p>
    <w:p>
      <w:pPr>
        <w:pStyle w:val="Tretekstu"/>
        <w:ind w:left="461" w:right="758" w:hanging="0"/>
        <w:rPr/>
      </w:pPr>
      <w:r>
        <w:rPr>
          <w:color w:val="000009"/>
        </w:rPr>
        <w:t>Niniejsza specyfikacja obejmuje ustalenia związane z wykonaniem instalacji teletechnicznych obejmuje:</w:t>
      </w:r>
    </w:p>
    <w:p>
      <w:pPr>
        <w:pStyle w:val="ListParagraph"/>
        <w:widowControl w:val="false"/>
        <w:numPr>
          <w:ilvl w:val="2"/>
          <w:numId w:val="77"/>
        </w:numPr>
        <w:tabs>
          <w:tab w:val="left" w:pos="1182" w:leader="none"/>
          <w:tab w:val="left" w:pos="2482" w:leader="none"/>
          <w:tab w:val="left" w:pos="3607" w:leader="none"/>
          <w:tab w:val="left" w:pos="4935" w:leader="none"/>
          <w:tab w:val="left" w:pos="6891" w:leader="none"/>
          <w:tab w:val="left" w:pos="8011" w:leader="none"/>
          <w:tab w:val="left" w:pos="8979" w:leader="none"/>
        </w:tabs>
        <w:spacing w:lineRule="auto" w:line="240" w:before="0" w:after="0"/>
        <w:ind w:left="1181" w:right="727" w:hanging="360"/>
        <w:jc w:val="left"/>
        <w:rPr>
          <w:rFonts w:ascii="Symbol" w:hAnsi="Symbol"/>
          <w:color w:val="000009"/>
          <w:sz w:val="22"/>
        </w:rPr>
      </w:pPr>
      <w:r>
        <w:rPr>
          <w:color w:val="000009"/>
        </w:rPr>
        <w:t>Wymagania</w:t>
        <w:tab/>
        <w:t>dotyczące</w:t>
        <w:tab/>
        <w:t>właściwości</w:t>
        <w:tab/>
        <w:t>wykorzystywanych</w:t>
        <w:tab/>
      </w:r>
      <w:r>
        <w:rPr>
          <w:color w:val="000009"/>
          <w:spacing w:val="-3"/>
        </w:rPr>
        <w:t>wyrobów,</w:t>
        <w:tab/>
      </w:r>
      <w:r>
        <w:rPr>
          <w:color w:val="000009"/>
        </w:rPr>
        <w:t>sposobu</w:t>
        <w:tab/>
      </w:r>
      <w:r>
        <w:rPr>
          <w:color w:val="000009"/>
          <w:spacing w:val="-6"/>
        </w:rPr>
        <w:t xml:space="preserve">ich </w:t>
      </w:r>
      <w:r>
        <w:rPr>
          <w:color w:val="000009"/>
        </w:rPr>
        <w:t>przechowywania, transportu i</w:t>
      </w:r>
      <w:r>
        <w:rPr>
          <w:color w:val="000009"/>
          <w:spacing w:val="-3"/>
        </w:rPr>
        <w:t xml:space="preserve"> </w:t>
      </w:r>
      <w:r>
        <w:rPr>
          <w:color w:val="000009"/>
        </w:rPr>
        <w:t>składowania,</w:t>
      </w:r>
    </w:p>
    <w:p>
      <w:pPr>
        <w:pStyle w:val="ListParagraph"/>
        <w:widowControl w:val="false"/>
        <w:numPr>
          <w:ilvl w:val="2"/>
          <w:numId w:val="77"/>
        </w:numPr>
        <w:tabs>
          <w:tab w:val="left" w:pos="1182" w:leader="none"/>
        </w:tabs>
        <w:spacing w:lineRule="exact" w:line="267" w:before="0" w:after="0"/>
        <w:jc w:val="left"/>
        <w:rPr>
          <w:rFonts w:ascii="Symbol" w:hAnsi="Symbol"/>
          <w:color w:val="000009"/>
        </w:rPr>
      </w:pPr>
      <w:r>
        <w:rPr>
          <w:color w:val="000009"/>
        </w:rPr>
        <w:t>Wymagania dotyczące sprzętu i</w:t>
      </w:r>
      <w:r>
        <w:rPr>
          <w:color w:val="000009"/>
          <w:spacing w:val="-4"/>
        </w:rPr>
        <w:t xml:space="preserve"> </w:t>
      </w:r>
      <w:r>
        <w:rPr>
          <w:color w:val="000009"/>
        </w:rPr>
        <w:t>maszyn,</w:t>
      </w:r>
    </w:p>
    <w:p>
      <w:pPr>
        <w:sectPr>
          <w:headerReference w:type="even" r:id="rId7"/>
          <w:headerReference w:type="default" r:id="rId8"/>
          <w:footerReference w:type="even" r:id="rId9"/>
          <w:footerReference w:type="default" r:id="rId10"/>
          <w:type w:val="nextPage"/>
          <w:pgSz w:w="11906" w:h="16838"/>
          <w:pgMar w:left="1240" w:right="680" w:header="953" w:top="1400" w:footer="0" w:bottom="280" w:gutter="0"/>
          <w:pgNumType w:fmt="decimal"/>
          <w:formProt w:val="false"/>
          <w:textDirection w:val="lrTb"/>
          <w:docGrid w:type="default" w:linePitch="249" w:charSpace="2047"/>
        </w:sectPr>
        <w:pStyle w:val="ListParagraph"/>
        <w:widowControl w:val="false"/>
        <w:numPr>
          <w:ilvl w:val="2"/>
          <w:numId w:val="77"/>
        </w:numPr>
        <w:tabs>
          <w:tab w:val="left" w:pos="1182" w:leader="none"/>
        </w:tabs>
        <w:spacing w:lineRule="exact" w:line="269" w:before="0" w:after="0"/>
        <w:jc w:val="left"/>
        <w:rPr>
          <w:rFonts w:ascii="Symbol" w:hAnsi="Symbol"/>
          <w:color w:val="000009"/>
        </w:rPr>
      </w:pPr>
      <w:r>
        <w:rPr>
          <w:color w:val="000009"/>
        </w:rPr>
        <w:t>Wymagania dotyczące środków</w:t>
      </w:r>
      <w:r>
        <w:rPr>
          <w:color w:val="000009"/>
          <w:spacing w:val="-2"/>
        </w:rPr>
        <w:t xml:space="preserve"> </w:t>
      </w:r>
      <w:r>
        <w:rPr>
          <w:color w:val="000009"/>
        </w:rPr>
        <w:t>transportu,</w:t>
      </w:r>
    </w:p>
    <w:p>
      <w:pPr>
        <w:pStyle w:val="Tretekstu"/>
        <w:spacing w:before="8" w:after="200"/>
        <w:rPr>
          <w:rFonts w:ascii="Times New Roman" w:hAnsi="Times New Roman"/>
          <w:sz w:val="18"/>
        </w:rPr>
      </w:pPr>
      <w:r>
        <w:rPr>
          <w:rFonts w:ascii="Times New Roman" w:hAnsi="Times New Roman"/>
          <w:sz w:val="18"/>
        </w:rPr>
      </w:r>
    </w:p>
    <w:p>
      <w:pPr>
        <w:pStyle w:val="ListParagraph"/>
        <w:widowControl w:val="false"/>
        <w:numPr>
          <w:ilvl w:val="2"/>
          <w:numId w:val="77"/>
        </w:numPr>
        <w:tabs>
          <w:tab w:val="left" w:pos="1182" w:leader="none"/>
        </w:tabs>
        <w:spacing w:lineRule="exact" w:line="269" w:before="101" w:after="0"/>
        <w:jc w:val="left"/>
        <w:rPr>
          <w:rFonts w:ascii="Symbol" w:hAnsi="Symbol"/>
          <w:color w:val="000009"/>
          <w:sz w:val="22"/>
        </w:rPr>
      </w:pPr>
      <w:r>
        <w:rPr>
          <w:color w:val="000009"/>
        </w:rPr>
        <w:t>Wymagania dotyczące wykonania robót</w:t>
      </w:r>
      <w:r>
        <w:rPr>
          <w:color w:val="000009"/>
          <w:spacing w:val="-1"/>
        </w:rPr>
        <w:t xml:space="preserve"> </w:t>
      </w:r>
      <w:r>
        <w:rPr>
          <w:color w:val="000009"/>
        </w:rPr>
        <w:t>budowlanych,</w:t>
      </w:r>
    </w:p>
    <w:p>
      <w:pPr>
        <w:pStyle w:val="ListParagraph"/>
        <w:widowControl w:val="false"/>
        <w:numPr>
          <w:ilvl w:val="2"/>
          <w:numId w:val="77"/>
        </w:numPr>
        <w:tabs>
          <w:tab w:val="left" w:pos="1182" w:leader="none"/>
        </w:tabs>
        <w:spacing w:lineRule="exact" w:line="269" w:before="0" w:after="0"/>
        <w:jc w:val="left"/>
        <w:rPr>
          <w:rFonts w:ascii="Symbol" w:hAnsi="Symbol"/>
          <w:color w:val="000009"/>
        </w:rPr>
      </w:pPr>
      <w:r>
        <w:rPr>
          <w:color w:val="000009"/>
        </w:rPr>
        <w:t>Wymagania związane z nadzorem i odbiorem</w:t>
      </w:r>
      <w:r>
        <w:rPr>
          <w:color w:val="000009"/>
          <w:spacing w:val="-10"/>
        </w:rPr>
        <w:t xml:space="preserve"> </w:t>
      </w:r>
      <w:r>
        <w:rPr>
          <w:color w:val="000009"/>
        </w:rPr>
        <w:t>robót.</w:t>
      </w:r>
    </w:p>
    <w:p>
      <w:pPr>
        <w:pStyle w:val="Nagwek2"/>
        <w:numPr>
          <w:ilvl w:val="1"/>
          <w:numId w:val="3"/>
        </w:numPr>
        <w:shd w:val="clear" w:fill="FCDBD3"/>
        <w:rPr/>
      </w:pPr>
      <w:bookmarkStart w:id="169" w:name="_Toc10627786"/>
      <w:bookmarkEnd w:id="169"/>
      <w:r>
        <w:rPr/>
        <w:t>Informacja o terenie budowy</w:t>
      </w:r>
    </w:p>
    <w:p>
      <w:pPr>
        <w:pStyle w:val="Nagwek3"/>
        <w:numPr>
          <w:ilvl w:val="2"/>
          <w:numId w:val="3"/>
        </w:numPr>
        <w:rPr/>
      </w:pPr>
      <w:bookmarkStart w:id="170" w:name="_Toc10627787"/>
      <w:bookmarkEnd w:id="170"/>
      <w:r>
        <w:rPr/>
        <w:t>Organizacja robót budowlanych</w:t>
      </w:r>
    </w:p>
    <w:p>
      <w:pPr>
        <w:pStyle w:val="Tretekstu"/>
        <w:ind w:left="461" w:hanging="0"/>
        <w:rPr/>
      </w:pPr>
      <w:r>
        <w:rPr>
          <w:color w:val="000009"/>
        </w:rPr>
        <w:t>Wykonawca, przed przystąpieniem do przetargu, winien przeprowadzić wizję lokalną oraz:</w:t>
      </w:r>
    </w:p>
    <w:p>
      <w:pPr>
        <w:pStyle w:val="ListParagraph"/>
        <w:widowControl w:val="false"/>
        <w:numPr>
          <w:ilvl w:val="0"/>
          <w:numId w:val="79"/>
        </w:numPr>
        <w:tabs>
          <w:tab w:val="left" w:pos="745" w:leader="none"/>
        </w:tabs>
        <w:spacing w:lineRule="auto" w:line="240" w:before="0" w:after="0"/>
        <w:ind w:left="744" w:right="727" w:hanging="283"/>
        <w:jc w:val="left"/>
        <w:rPr>
          <w:sz w:val="18"/>
          <w:szCs w:val="18"/>
        </w:rPr>
      </w:pPr>
      <w:r>
        <w:rPr>
          <w:color w:val="000009"/>
          <w:szCs w:val="18"/>
        </w:rPr>
        <w:t>Zapoznać się z miejscami, w których będą wykonywane prace określone w umowie i zbadać ich dostępność;</w:t>
      </w:r>
    </w:p>
    <w:p>
      <w:pPr>
        <w:pStyle w:val="ListParagraph"/>
        <w:widowControl w:val="false"/>
        <w:numPr>
          <w:ilvl w:val="0"/>
          <w:numId w:val="79"/>
        </w:numPr>
        <w:tabs>
          <w:tab w:val="left" w:pos="745" w:leader="none"/>
        </w:tabs>
        <w:spacing w:lineRule="auto" w:line="240" w:before="0" w:after="0"/>
        <w:ind w:left="744" w:right="728" w:hanging="283"/>
        <w:jc w:val="left"/>
        <w:rPr>
          <w:sz w:val="18"/>
          <w:szCs w:val="18"/>
        </w:rPr>
      </w:pPr>
      <w:r>
        <w:rPr>
          <w:color w:val="000009"/>
          <w:szCs w:val="18"/>
        </w:rPr>
        <w:t>Zapoznać się z ogólnymi warunkami realizacji robót, a w szczególności z położeniem i wymiarami pomieszczeń, warunkami utrzymania sprzętu,</w:t>
      </w:r>
      <w:r>
        <w:rPr>
          <w:color w:val="000009"/>
          <w:spacing w:val="2"/>
          <w:szCs w:val="18"/>
        </w:rPr>
        <w:t xml:space="preserve"> </w:t>
      </w:r>
      <w:r>
        <w:rPr>
          <w:color w:val="000009"/>
          <w:szCs w:val="18"/>
        </w:rPr>
        <w:t>etc.</w:t>
      </w:r>
    </w:p>
    <w:p>
      <w:pPr>
        <w:pStyle w:val="Tretekstu"/>
        <w:ind w:left="461" w:right="728" w:hanging="0"/>
        <w:rPr/>
      </w:pPr>
      <w:r>
        <w:rPr>
          <w:color w:val="000009"/>
        </w:rPr>
        <w:t>Po wygraniu przetargu Wykonawca nie będzie mógł powoływać się na niedostateczną znajomość miejsca realizacji robót lub zły dostęp do pomieszczeń w celu żądania dodatkowych opłat.</w:t>
      </w:r>
    </w:p>
    <w:p>
      <w:pPr>
        <w:pStyle w:val="Tretekstu"/>
        <w:ind w:left="461" w:right="727" w:hanging="0"/>
        <w:rPr/>
      </w:pPr>
      <w:r>
        <w:rPr>
          <w:color w:val="000009"/>
        </w:rPr>
        <w:t>Na cały czas trwania robót, Wykonawca wyznaczy uprawnionego Kierownika Robót. Kierownik Robót będzie jako jedyny będzie uprawniony do dokonywania w imieniu Wykonawcy wpisów w dzienniku budowy.</w:t>
      </w:r>
    </w:p>
    <w:p>
      <w:pPr>
        <w:pStyle w:val="Tretekstu"/>
        <w:spacing w:lineRule="exact" w:line="252"/>
        <w:ind w:left="461" w:hanging="0"/>
        <w:rPr/>
      </w:pPr>
      <w:r>
        <w:rPr>
          <w:color w:val="000009"/>
        </w:rPr>
        <w:t>Kierownik Robót będzie odpowiedzialny za:</w:t>
      </w:r>
    </w:p>
    <w:p>
      <w:pPr>
        <w:pStyle w:val="ListParagraph"/>
        <w:widowControl w:val="false"/>
        <w:numPr>
          <w:ilvl w:val="0"/>
          <w:numId w:val="78"/>
        </w:numPr>
        <w:tabs>
          <w:tab w:val="left" w:pos="1033" w:leader="none"/>
        </w:tabs>
        <w:spacing w:lineRule="exact" w:line="252" w:before="0" w:after="0"/>
        <w:ind w:left="1032" w:hanging="571"/>
        <w:rPr/>
      </w:pPr>
      <w:r>
        <w:rPr>
          <w:color w:val="000009"/>
          <w:sz w:val="22"/>
        </w:rPr>
        <w:t>bezpieczeństwo na terenie</w:t>
      </w:r>
      <w:r>
        <w:rPr>
          <w:color w:val="000009"/>
          <w:spacing w:val="-4"/>
          <w:sz w:val="22"/>
        </w:rPr>
        <w:t xml:space="preserve"> </w:t>
      </w:r>
      <w:r>
        <w:rPr>
          <w:color w:val="000009"/>
          <w:sz w:val="22"/>
        </w:rPr>
        <w:t>budowy</w:t>
      </w:r>
    </w:p>
    <w:p>
      <w:pPr>
        <w:pStyle w:val="ListParagraph"/>
        <w:widowControl w:val="false"/>
        <w:numPr>
          <w:ilvl w:val="0"/>
          <w:numId w:val="78"/>
        </w:numPr>
        <w:tabs>
          <w:tab w:val="left" w:pos="1033" w:leader="none"/>
        </w:tabs>
        <w:spacing w:lineRule="exact" w:line="252" w:before="1" w:after="0"/>
        <w:ind w:left="1032" w:hanging="571"/>
        <w:rPr/>
      </w:pPr>
      <w:r>
        <w:rPr>
          <w:color w:val="000009"/>
          <w:sz w:val="22"/>
        </w:rPr>
        <w:t>prowadzenie dziennika</w:t>
      </w:r>
      <w:r>
        <w:rPr>
          <w:color w:val="000009"/>
          <w:spacing w:val="-1"/>
          <w:sz w:val="22"/>
        </w:rPr>
        <w:t xml:space="preserve"> </w:t>
      </w:r>
      <w:r>
        <w:rPr>
          <w:color w:val="000009"/>
          <w:sz w:val="22"/>
        </w:rPr>
        <w:t>budowy</w:t>
      </w:r>
    </w:p>
    <w:p>
      <w:pPr>
        <w:pStyle w:val="ListParagraph"/>
        <w:widowControl w:val="false"/>
        <w:numPr>
          <w:ilvl w:val="0"/>
          <w:numId w:val="78"/>
        </w:numPr>
        <w:tabs>
          <w:tab w:val="left" w:pos="1033" w:leader="none"/>
        </w:tabs>
        <w:spacing w:lineRule="exact" w:line="252" w:before="0" w:after="0"/>
        <w:ind w:left="1032" w:hanging="571"/>
        <w:rPr/>
      </w:pPr>
      <w:r>
        <w:rPr>
          <w:color w:val="000009"/>
          <w:sz w:val="22"/>
        </w:rPr>
        <w:t>kontakty z organami</w:t>
      </w:r>
      <w:r>
        <w:rPr>
          <w:color w:val="000009"/>
          <w:spacing w:val="-3"/>
          <w:sz w:val="22"/>
        </w:rPr>
        <w:t xml:space="preserve"> </w:t>
      </w:r>
      <w:r>
        <w:rPr>
          <w:color w:val="000009"/>
          <w:sz w:val="22"/>
        </w:rPr>
        <w:t>kontroli</w:t>
      </w:r>
    </w:p>
    <w:p>
      <w:pPr>
        <w:pStyle w:val="Tretekstu"/>
        <w:ind w:left="461" w:right="728" w:hanging="0"/>
        <w:rPr/>
      </w:pPr>
      <w:r>
        <w:rPr>
          <w:color w:val="000009"/>
        </w:rPr>
        <w:t xml:space="preserve">Najpóźniej w dniu przystąpienia do robót </w:t>
      </w:r>
      <w:r>
        <w:rPr>
          <w:color w:val="000009"/>
          <w:spacing w:val="-3"/>
        </w:rPr>
        <w:t xml:space="preserve">Wykonawca </w:t>
      </w:r>
      <w:r>
        <w:rPr>
          <w:color w:val="000009"/>
        </w:rPr>
        <w:t>przekaże dane personalne Kierownika Robót wraz z kopią uprawnień.</w:t>
      </w:r>
    </w:p>
    <w:p>
      <w:pPr>
        <w:pStyle w:val="Nagwek3"/>
        <w:numPr>
          <w:ilvl w:val="2"/>
          <w:numId w:val="3"/>
        </w:numPr>
        <w:rPr/>
      </w:pPr>
      <w:bookmarkStart w:id="171" w:name="_Toc10627788"/>
      <w:bookmarkEnd w:id="171"/>
      <w:r>
        <w:rPr/>
        <w:t>Zabezpieczanie interesów osób trzecich</w:t>
      </w:r>
    </w:p>
    <w:p>
      <w:pPr>
        <w:pStyle w:val="Normal"/>
        <w:rPr/>
      </w:pPr>
      <w:r>
        <w:rPr/>
      </w:r>
    </w:p>
    <w:p>
      <w:pPr>
        <w:pStyle w:val="Normal"/>
        <w:rPr/>
      </w:pPr>
      <w:r>
        <w:rPr/>
        <w:t>Wykonawca musi zadbać, aby podczas wykonywanych prac nie doszło do naruszenia interesów osób trzecich. Wykonawca jest odpowiedzialny za przestrzeganie obowiązujących przepisów oraz powinien zapewnić ochronę własności publicznej i prywatnej.</w:t>
      </w:r>
    </w:p>
    <w:p>
      <w:pPr>
        <w:pStyle w:val="Nagwek3"/>
        <w:numPr>
          <w:ilvl w:val="2"/>
          <w:numId w:val="3"/>
        </w:numPr>
        <w:rPr/>
      </w:pPr>
      <w:bookmarkStart w:id="172" w:name="_Toc10627789"/>
      <w:bookmarkEnd w:id="172"/>
      <w:r>
        <w:rPr/>
        <w:t>Ochrona środowiska</w:t>
      </w:r>
    </w:p>
    <w:p>
      <w:pPr>
        <w:pStyle w:val="Normal"/>
        <w:rPr/>
      </w:pPr>
      <w:r>
        <w:rPr/>
        <w:t>Wykonawca musi podejmować wszystkie niezbędne działania, aby stosować się do przepisów i normatywów z zakresu ochrony środowiska na placu budowy i poza jego terenem. Podczas wykonywania robót budowlanych wykonawca bezwzględnie musi unikać szkodliwych działań, szczególnie w zakresie zanieczyszczania powietrza, wód gruntowych, nadmiernego hałasu i innych szkodliwych dla środowiska i otoczenia czynników.</w:t>
      </w:r>
    </w:p>
    <w:p>
      <w:pPr>
        <w:pStyle w:val="Nagwek3"/>
        <w:numPr>
          <w:ilvl w:val="2"/>
          <w:numId w:val="3"/>
        </w:numPr>
        <w:rPr/>
      </w:pPr>
      <w:bookmarkStart w:id="173" w:name="_Toc10627790"/>
      <w:bookmarkEnd w:id="173"/>
      <w:r>
        <w:rPr/>
        <w:t>Warunki bezpieczeństwa pracy</w:t>
      </w:r>
    </w:p>
    <w:p>
      <w:pPr>
        <w:pStyle w:val="Normal"/>
        <w:rPr/>
      </w:pPr>
      <w:r>
        <w:rPr/>
        <w:t>Wykonawca robót jest odpowiedzialny za zabezpieczenie własnego mienia oraz za wykonanie wszelkich niezbędnych zabezpieczeń związanych z prowadzonymi pracami budowlanymi. Ponadto wykonawca musi się bezwzględnie stosować do postanowień Instrukcji Bezpieczeństwa oraz wszelkich poleceń Kierownika Budowy związanych z bezpieczeństwem na terenie budowy.</w:t>
      </w:r>
    </w:p>
    <w:p>
      <w:pPr>
        <w:pStyle w:val="Normal"/>
        <w:rPr/>
      </w:pPr>
      <w:r>
        <w:rPr/>
        <w:t>Wykonawca zobowiązany jest do realizacji przedmiotu umowy zgodnie z zasadami sztuki budowlanej oraz do przestrzegania zapisów wytycznych technicznych odpowiadających zakresowi zlecenia oraz aktów prawnych obowiązujących w okresie trwania umowy, w tym w szczególności</w:t>
      </w:r>
    </w:p>
    <w:p>
      <w:pPr>
        <w:pStyle w:val="Normal"/>
        <w:rPr/>
      </w:pPr>
      <w:r>
        <w:rPr/>
        <w:t xml:space="preserve"> </w:t>
      </w:r>
      <w:r>
        <w:rPr/>
        <w:t>Polskich Norm. W szczególności wykonawca jest zobowiązany wykluczyć pracę personelu w warunkach niebezpiecznych, szkodliwych dla zdrowia i niespełniających odpowiednich wymagań sanitarnych.</w:t>
      </w:r>
    </w:p>
    <w:p>
      <w:pPr>
        <w:pStyle w:val="Nagwek3"/>
        <w:numPr>
          <w:ilvl w:val="2"/>
          <w:numId w:val="3"/>
        </w:numPr>
        <w:rPr/>
      </w:pPr>
      <w:bookmarkStart w:id="174" w:name="_Toc10627791"/>
      <w:bookmarkEnd w:id="174"/>
      <w:r>
        <w:rPr/>
        <w:t>Zaplecze dla potrzeb wykonawcy</w:t>
      </w:r>
    </w:p>
    <w:p>
      <w:pPr>
        <w:pStyle w:val="Normal"/>
        <w:rPr/>
      </w:pPr>
      <w:r>
        <w:rPr/>
        <w:t>Wykonawca ponosi wszelkie koszty związane z organizacją zaplecza dla własnych potrzeb oraz za- pewnia na własny koszt wszelkie środki mające na celu prawidłowe i pełne zabezpieczenie wykonanych przez siebie robót.</w:t>
      </w:r>
    </w:p>
    <w:p>
      <w:pPr>
        <w:pStyle w:val="Nagwek3"/>
        <w:numPr>
          <w:ilvl w:val="2"/>
          <w:numId w:val="3"/>
        </w:numPr>
        <w:rPr/>
      </w:pPr>
      <w:bookmarkStart w:id="175" w:name="_Toc10627792"/>
      <w:bookmarkEnd w:id="175"/>
      <w:r>
        <w:rPr/>
        <w:t>Warunki dotyczące organizacji ruchu</w:t>
      </w:r>
    </w:p>
    <w:p>
      <w:pPr>
        <w:pStyle w:val="Normal"/>
        <w:rPr/>
      </w:pPr>
      <w:r>
        <w:rPr/>
        <w:t>Wszystkie środki transportowe wykorzystywane do transportu materiałów, sprzętu i narzędzi muszą być sprawne, posiadać ważne badania techniczne i spełniać wymagania wynikające z obowiązujących w Polsce przepisów o ruchu drogowym. Materiały przewożone takimi środkami transportu powinny gwarantować przewóz bez uszkodzeń i z zachowaniem warunków bezpieczeństwa pracy.</w:t>
      </w:r>
    </w:p>
    <w:p>
      <w:pPr>
        <w:pStyle w:val="Normal"/>
        <w:rPr/>
      </w:pPr>
      <w:r>
        <w:rPr/>
      </w:r>
    </w:p>
    <w:p>
      <w:pPr>
        <w:pStyle w:val="Normal"/>
        <w:rPr/>
      </w:pPr>
      <w:r>
        <w:rPr/>
        <w:t>1.4</w:t>
        <w:tab/>
        <w:t>Nazwy i kody robót budowlanych w zakresie objętym przedmiotem zamówienia</w:t>
      </w:r>
    </w:p>
    <w:p>
      <w:pPr>
        <w:pStyle w:val="Normal"/>
        <w:rPr/>
      </w:pPr>
      <w:r>
        <w:rPr/>
      </w:r>
    </w:p>
    <w:p>
      <w:pPr>
        <w:pStyle w:val="Normal"/>
        <w:rPr/>
      </w:pPr>
      <w:r>
        <w:rPr/>
        <w:t>CPV45315100-9 - Instalacyjne roboty elektryczne</w:t>
      </w:r>
    </w:p>
    <w:p>
      <w:pPr>
        <w:pStyle w:val="Normal"/>
        <w:rPr/>
      </w:pPr>
      <w:r>
        <w:rPr/>
      </w:r>
    </w:p>
    <w:p>
      <w:pPr>
        <w:pStyle w:val="Normal"/>
        <w:rPr/>
      </w:pPr>
      <w:r>
        <w:rPr/>
      </w:r>
    </w:p>
    <w:p>
      <w:pPr>
        <w:pStyle w:val="Normal"/>
        <w:rPr/>
      </w:pPr>
      <w:r>
        <w:rPr/>
        <w:t>1.5</w:t>
        <w:tab/>
        <w:t>Określenia podstawowe</w:t>
      </w:r>
    </w:p>
    <w:p>
      <w:pPr>
        <w:pStyle w:val="Normal"/>
        <w:rPr/>
      </w:pPr>
      <w:r>
        <w:rPr/>
      </w:r>
    </w:p>
    <w:p>
      <w:pPr>
        <w:pStyle w:val="Normal"/>
        <w:rPr/>
      </w:pPr>
      <w:r>
        <w:rPr/>
        <w:t>Wszystkie określenia, nazwy, które znalazły się w tej specyfikacji są zgodne albo równoważne z Polskimi Normami zawartymi w rozporządzeniu Ministra Infrastruktury z dnia 12 kwietnia 2002r., albo z określeniami ujętymi w odpowiednich przepisach podanych w punkcie 10 specyfikacji. Roboty muszą być wykonane zgodnie z wymaganiami obowiązujących przepisów, norm i instrukcji. Niewyszczególnienie jakichkolwiek obowiązujących aktów prawnych nie zwalnia wykonawcy od ich stosowania.</w:t>
      </w:r>
    </w:p>
    <w:p>
      <w:pPr>
        <w:pStyle w:val="Nagwek2"/>
        <w:numPr>
          <w:ilvl w:val="1"/>
          <w:numId w:val="3"/>
        </w:numPr>
        <w:shd w:val="clear" w:fill="FCDBD3"/>
        <w:rPr/>
      </w:pPr>
      <w:bookmarkStart w:id="176" w:name="_Toc10627793"/>
      <w:bookmarkEnd w:id="176"/>
      <w:r>
        <w:rPr/>
        <w:t>Właściwości wyrobów budowlanych</w:t>
      </w:r>
    </w:p>
    <w:p>
      <w:pPr>
        <w:pStyle w:val="Normal"/>
        <w:rPr/>
      </w:pPr>
      <w:r>
        <w:rPr/>
        <w:t>Za dopuszczone do obrotu i stosowania uznaje się wyroby, dla których producent:</w:t>
      </w:r>
    </w:p>
    <w:p>
      <w:pPr>
        <w:pStyle w:val="ListParagraph"/>
        <w:numPr>
          <w:ilvl w:val="0"/>
          <w:numId w:val="82"/>
        </w:numPr>
        <w:rPr/>
      </w:pPr>
      <w:r>
        <w:rPr/>
        <w:t>dokonał oceny zgodności wyrobu z wymaganiami dokumentu odniesienia według określonego systemu oceny zgodności z możliwością zastosowania rozwiązań równoważnych,</w:t>
      </w:r>
    </w:p>
    <w:p>
      <w:pPr>
        <w:pStyle w:val="ListParagraph"/>
        <w:numPr>
          <w:ilvl w:val="0"/>
          <w:numId w:val="82"/>
        </w:numPr>
        <w:rPr/>
      </w:pPr>
      <w:r>
        <w:rPr/>
        <w:t>posiada deklaracje zgodności CE z możliwością zastosowania rozwiązań równoważnych - dokument wystawiony przez producenta i potwierdzający zgodność wyrobu z wymaganiami zasadniczymi oraz spełnienie innych wymagań rozporządzenia (rozporządzeń).</w:t>
      </w:r>
    </w:p>
    <w:p>
      <w:pPr>
        <w:pStyle w:val="ListParagraph"/>
        <w:numPr>
          <w:ilvl w:val="0"/>
          <w:numId w:val="82"/>
        </w:numPr>
        <w:rPr/>
      </w:pPr>
      <w:r>
        <w:rPr/>
        <w:t>oznakował wyroby znakiem CE z możliwością zastosowania rozwiązań równoważnych.</w:t>
      </w:r>
    </w:p>
    <w:p>
      <w:pPr>
        <w:pStyle w:val="Normal"/>
        <w:rPr/>
      </w:pPr>
      <w:r>
        <w:rPr/>
        <w:t>Przed zabudowaniem materiałów na budowie Wykonawca przedstawi wszelkie wymagane dokumenty dla udowodnienia powyższego. Wszystkie materiały, które nie spełniają wymogów technicznych określonych przez specyfikację (np. materiały, które były przechowywane niezgodnie z zaleceniami producenta i zmieniły się ich własności) będą uznawane za materiały nie odpowiadające wymaganiom.</w:t>
      </w:r>
    </w:p>
    <w:p>
      <w:pPr>
        <w:pStyle w:val="Nagwek2"/>
        <w:numPr>
          <w:ilvl w:val="1"/>
          <w:numId w:val="3"/>
        </w:numPr>
        <w:shd w:val="clear" w:fill="FCDBD3"/>
        <w:rPr/>
      </w:pPr>
      <w:r>
        <w:rPr/>
        <w:t xml:space="preserve"> </w:t>
      </w:r>
      <w:bookmarkStart w:id="177" w:name="_Toc10627794"/>
      <w:bookmarkEnd w:id="177"/>
      <w:r>
        <w:rPr/>
        <w:t>Wymagania szczegółowe dotyczące sprzętu i maszyn do robót budowlanych</w:t>
      </w:r>
    </w:p>
    <w:p>
      <w:pPr>
        <w:pStyle w:val="Normal"/>
        <w:rPr/>
      </w:pPr>
      <w:r>
        <w:rPr/>
        <w:t>Sprzęt i narzędzia, które będą wykorzystywane do wykonania prac objętych tą specyfikacją muszą być sprawne, regularnie konserwowane i poddawane okresowym przeglądom zgodnie z zaleceniami producenta. Muszą spełniać one wymogi BHP i bezpieczeństwa pracy. Nie wolno stosować sprzętu, który nie spełnia powyższych wymagań i nie wolno wykorzystywać go niezgodnie z przeznaczeniem. Wykonawca jest zobowiązany do stosowania tylko takich środków transportu, które nie wpłyną niekorzystnie na stan i jakość transportowanych materiałów.</w:t>
      </w:r>
    </w:p>
    <w:p>
      <w:pPr>
        <w:pStyle w:val="Nagwek2"/>
        <w:numPr>
          <w:ilvl w:val="1"/>
          <w:numId w:val="3"/>
        </w:numPr>
        <w:shd w:val="clear" w:fill="FCDBD3"/>
        <w:rPr/>
      </w:pPr>
      <w:bookmarkStart w:id="178" w:name="_Toc10627795"/>
      <w:bookmarkEnd w:id="178"/>
      <w:r>
        <w:rPr/>
        <w:t>Wymagania dotyczące środków transportu</w:t>
      </w:r>
    </w:p>
    <w:p>
      <w:pPr>
        <w:pStyle w:val="Normal"/>
        <w:rPr/>
      </w:pPr>
      <w:r>
        <w:rPr/>
        <w:t>Wszystkie środki transportowe wykorzystywane do transportu materiałów, sprzętu i  narzędzi muszą być sprawne, posiadać ważne badania techniczne i spełniać wymagania wynikające z obowiązujących w Polsce przepisów o ruchu drogowym. Materiały przewożone takimi środkami transportu powinny gwarantować przewóz bez uszkodzeń i z zachowaniem warunków bezpieczeństwa pracy.</w:t>
      </w:r>
    </w:p>
    <w:p>
      <w:pPr>
        <w:pStyle w:val="Nagwek2"/>
        <w:numPr>
          <w:ilvl w:val="1"/>
          <w:numId w:val="3"/>
        </w:numPr>
        <w:shd w:val="clear" w:fill="FCDBD3"/>
        <w:rPr/>
      </w:pPr>
      <w:bookmarkStart w:id="179" w:name="_Toc10627796"/>
      <w:bookmarkEnd w:id="179"/>
      <w:r>
        <w:rPr/>
        <w:t>Wymagania dotyczące wykonania robót</w:t>
      </w:r>
    </w:p>
    <w:p>
      <w:pPr>
        <w:pStyle w:val="Normal"/>
        <w:rPr>
          <w:b/>
          <w:b/>
          <w:bCs/>
          <w:u w:val="single"/>
        </w:rPr>
      </w:pPr>
      <w:r>
        <w:rPr>
          <w:b/>
          <w:bCs/>
          <w:u w:val="single"/>
        </w:rPr>
        <w:t>Trasy instalacji</w:t>
      </w:r>
    </w:p>
    <w:p>
      <w:pPr>
        <w:pStyle w:val="Normal"/>
        <w:rPr/>
      </w:pPr>
      <w:r>
        <w:rPr/>
        <w:t>Trasa   instalacji   elektrycznych    powinna    przebiegać    bezkolizyjnie    z innymi    instalacjami i urządzeniami, powinna być przejrzysta, prosta i dostępna dla prawidłowej konserwacji oraz remontów. Wskazane jest aby przebiegała w liniach poziomych i pionowych.</w:t>
      </w:r>
    </w:p>
    <w:p>
      <w:pPr>
        <w:pStyle w:val="Normal"/>
        <w:rPr>
          <w:b/>
          <w:b/>
          <w:bCs/>
          <w:u w:val="single"/>
        </w:rPr>
      </w:pPr>
      <w:r>
        <w:rPr>
          <w:b/>
          <w:bCs/>
          <w:u w:val="single"/>
        </w:rPr>
        <w:t>Montaż uchwytów i konstrukcji wsporczych</w:t>
      </w:r>
    </w:p>
    <w:p>
      <w:pPr>
        <w:pStyle w:val="Normal"/>
        <w:rPr/>
      </w:pPr>
      <w:r>
        <w:rPr/>
        <w:t>Konstrukcje wsporcze i uchwyty przewidziane do ułożenia na nich instalacji elektrycznych, bez względu na rodzaj instalacji, powinny być zamocowane do podłoża w sposób trwały, uwzględniający warunki lokalne i technologiczne, w jakich dana instalacja będzie pracować, oraz sam rodzaj instalacji.</w:t>
      </w:r>
    </w:p>
    <w:p>
      <w:pPr>
        <w:pStyle w:val="Normal"/>
        <w:rPr>
          <w:b/>
          <w:b/>
          <w:bCs/>
          <w:u w:val="single"/>
        </w:rPr>
      </w:pPr>
      <w:r>
        <w:rPr>
          <w:b/>
          <w:bCs/>
          <w:u w:val="single"/>
        </w:rPr>
        <w:t>Przejścia przez ściany i stropy</w:t>
      </w:r>
    </w:p>
    <w:p>
      <w:pPr>
        <w:pStyle w:val="Normal"/>
        <w:rPr/>
      </w:pPr>
      <w:r>
        <w:rPr/>
        <w:t>Przejścia przez ściany i stropy powinny spełniać następujące wymagania:</w:t>
      </w:r>
    </w:p>
    <w:p>
      <w:pPr>
        <w:pStyle w:val="ListParagraph"/>
        <w:numPr>
          <w:ilvl w:val="0"/>
          <w:numId w:val="81"/>
        </w:numPr>
        <w:rPr/>
      </w:pPr>
      <w:r>
        <w:rPr/>
        <w:t>wszystkie przejścia obwodów instalacji elektrycznych przez ściany, stropy itp. muszą być chronione przed uszkodzeniami.</w:t>
      </w:r>
    </w:p>
    <w:p>
      <w:pPr>
        <w:pStyle w:val="ListParagraph"/>
        <w:numPr>
          <w:ilvl w:val="0"/>
          <w:numId w:val="81"/>
        </w:numPr>
        <w:rPr/>
      </w:pPr>
      <w:r>
        <w:rPr/>
        <w:t>przejścia te należy wykonywać w przepustach rurowych,</w:t>
      </w:r>
    </w:p>
    <w:p>
      <w:pPr>
        <w:pStyle w:val="ListParagraph"/>
        <w:numPr>
          <w:ilvl w:val="0"/>
          <w:numId w:val="81"/>
        </w:numPr>
        <w:rPr/>
      </w:pPr>
      <w:r>
        <w:rPr/>
        <w:t>przejścia pomiędzy pomieszczeniami o różnych atmosferach powinny  być wykonywane w sposób szczelny, zapewniający nieprzedostawanie się wyziewów,</w:t>
      </w:r>
    </w:p>
    <w:p>
      <w:pPr>
        <w:pStyle w:val="ListParagraph"/>
        <w:numPr>
          <w:ilvl w:val="0"/>
          <w:numId w:val="81"/>
        </w:numPr>
        <w:rPr/>
      </w:pPr>
      <w:r>
        <w:rPr/>
        <w:t>obwody instalacji elektrycznych przechodząc przez podłogi muszą być chronione do wysokości bezpiecznej przed przypadkowymi uszkodzeniami. Jako osłony przed uszkodzeniami mechanicznymi należy stosować rury stalowe, rury z tworzyw sztucznych, korytka blaszane itp.</w:t>
      </w:r>
    </w:p>
    <w:p>
      <w:pPr>
        <w:pStyle w:val="Normal"/>
        <w:rPr>
          <w:b/>
          <w:b/>
          <w:bCs/>
          <w:u w:val="single"/>
        </w:rPr>
      </w:pPr>
      <w:r>
        <w:rPr>
          <w:b/>
          <w:bCs/>
          <w:u w:val="single"/>
        </w:rPr>
        <w:t>Układanie przewodów</w:t>
      </w:r>
    </w:p>
    <w:p>
      <w:pPr>
        <w:pStyle w:val="Normal"/>
        <w:rPr/>
      </w:pPr>
      <w:r>
        <w:rPr/>
        <w:t>Przewody układać w rurach RB albo PESZEL max fi16mm lub fi20mm w zależności od instalacji.</w:t>
      </w:r>
    </w:p>
    <w:p>
      <w:pPr>
        <w:pStyle w:val="Normal"/>
        <w:rPr>
          <w:b/>
          <w:b/>
          <w:bCs/>
          <w:u w:val="single"/>
        </w:rPr>
      </w:pPr>
      <w:r>
        <w:rPr>
          <w:b/>
          <w:bCs/>
          <w:u w:val="single"/>
        </w:rPr>
        <w:t>Układanie rur</w:t>
      </w:r>
    </w:p>
    <w:p>
      <w:pPr>
        <w:pStyle w:val="Normal"/>
        <w:rPr/>
      </w:pPr>
      <w:r>
        <w:rPr/>
        <w:t>Rury należy układać na przygotowanej i wytrasowanej trasie na uchwytach osadzonych w podłożu. Końce rur przed połączeniem powinny być pozbawione ostrych krawędzi. Zależnie od przyjętej technologii montażu i rodzaju tworzywa łączenie rur ze sobą oraz sprzętem i osprzętem należy wykonywać przez:</w:t>
      </w:r>
    </w:p>
    <w:p>
      <w:pPr>
        <w:pStyle w:val="ListParagraph"/>
        <w:numPr>
          <w:ilvl w:val="0"/>
          <w:numId w:val="80"/>
        </w:numPr>
        <w:rPr/>
      </w:pPr>
      <w:r>
        <w:rPr/>
        <w:t>wsuwanie w otwory lub kielichy z równoczesnym uszczelnianiem połączeń,</w:t>
      </w:r>
    </w:p>
    <w:p>
      <w:pPr>
        <w:pStyle w:val="ListParagraph"/>
        <w:numPr>
          <w:ilvl w:val="0"/>
          <w:numId w:val="80"/>
        </w:numPr>
        <w:rPr/>
      </w:pPr>
      <w:r>
        <w:rPr/>
        <w:t>wkręcanie nagwintowanych końców rur,</w:t>
      </w:r>
    </w:p>
    <w:p>
      <w:pPr>
        <w:pStyle w:val="ListParagraph"/>
        <w:numPr>
          <w:ilvl w:val="0"/>
          <w:numId w:val="80"/>
        </w:numPr>
        <w:rPr/>
      </w:pPr>
      <w:r>
        <w:rPr/>
        <w:t>wkręcanie nagrzanych końców rur.</w:t>
      </w:r>
    </w:p>
    <w:p>
      <w:pPr>
        <w:pStyle w:val="Normal"/>
        <w:rPr/>
      </w:pPr>
      <w:r>
        <w:rPr/>
        <w:t>Łuki na rurach należy wykonywać tak aby spłaszczenie przekroju nie przekraczało 15% wewnętrznej średnicy. Promień gięcia powinien zapewniać swobodne wciąganie przewodów.</w:t>
      </w:r>
    </w:p>
    <w:p>
      <w:pPr>
        <w:pStyle w:val="Normal"/>
        <w:rPr/>
      </w:pPr>
      <w:r>
        <w:rPr/>
        <w:t>Cała instalacja rurowa powinna być wykonana ze spadkiem 0.1% aby umożliwić odprowadzenie wody powstałej z ewentualnej kondensacji. Zabrania się układania rur z wciągniętymi w nie przewodami.</w:t>
      </w:r>
    </w:p>
    <w:p>
      <w:pPr>
        <w:pStyle w:val="Normal"/>
        <w:rPr>
          <w:b/>
          <w:b/>
          <w:bCs/>
          <w:u w:val="single"/>
        </w:rPr>
      </w:pPr>
      <w:r>
        <w:rPr>
          <w:b/>
          <w:bCs/>
          <w:u w:val="single"/>
        </w:rPr>
        <w:t>Wciąganie przewodów</w:t>
      </w:r>
    </w:p>
    <w:p>
      <w:pPr>
        <w:pStyle w:val="Normal"/>
        <w:rPr/>
      </w:pPr>
      <w:r>
        <w:rPr/>
        <w:t>Przed przystąpieniem do wciągania przewodów należy sprawdzić prawidłowość wykonanego rurowania, zamocowania sprzętu i osprzętu, jego połączeń z rurami oraz przelotowość.</w:t>
      </w:r>
    </w:p>
    <w:p>
      <w:pPr>
        <w:pStyle w:val="Normal"/>
        <w:rPr/>
      </w:pPr>
      <w:r>
        <w:rPr/>
        <w:t>Wciąganie przewodów należy wykonać za pomocą specjalnego osprzętu montażowego. Nie wolno do tego celu stosować przewodów, które później zostaną użyte w instalacji. Łączenie przewodów wykonać wg wcześniej opisanych zasad.</w:t>
      </w:r>
    </w:p>
    <w:p>
      <w:pPr>
        <w:pStyle w:val="Normal"/>
        <w:rPr/>
      </w:pPr>
      <w:r>
        <w:rPr/>
      </w:r>
    </w:p>
    <w:p>
      <w:pPr>
        <w:pStyle w:val="Normal"/>
        <w:rPr/>
      </w:pPr>
      <w:r>
        <w:rPr/>
        <w:t>Wykonanie instalacji podtynkowej Wykonanie instalacji p/t wymagać będzie:</w:t>
      </w:r>
    </w:p>
    <w:p>
      <w:pPr>
        <w:pStyle w:val="ListParagraph"/>
        <w:numPr>
          <w:ilvl w:val="0"/>
          <w:numId w:val="83"/>
        </w:numPr>
        <w:rPr/>
      </w:pPr>
      <w:r>
        <w:rPr/>
        <w:t>ułożenia   przewodów   i zainstalowania   osprzętu    przed    wykonaniem    tynkowania.  W przypadku wykonywania instalacji na istniejących ścianach niezbędne będzie wykucie odpowiednich bruzd pod przewody i ślepych wnęk pod osprzęt oraz ich zatynkowanie.</w:t>
      </w:r>
    </w:p>
    <w:p>
      <w:pPr>
        <w:pStyle w:val="Normal"/>
        <w:rPr/>
      </w:pPr>
      <w:r>
        <w:rPr/>
        <w:t>Przed wykonaniem instalacji jako szczelnej należy przewody i kable uszczelniać w osprzęcie oraz aparatach za pomocą dławników.</w:t>
      </w:r>
    </w:p>
    <w:p>
      <w:pPr>
        <w:pStyle w:val="Normal"/>
        <w:rPr/>
      </w:pPr>
      <w:r>
        <w:rPr/>
        <w:t>Średnica głowicy i otworu uszczelniającego pierścienia powinna być dostosowana do średnicy zewnętrznej przewodu lub kabla.</w:t>
      </w:r>
    </w:p>
    <w:p>
      <w:pPr>
        <w:pStyle w:val="Normal"/>
        <w:rPr/>
      </w:pPr>
      <w:r>
        <w:rPr/>
        <w:t>Po dokręceniu dławic zaleca się dodatkowe uszczelnienie ich za pomocą odpowiednich uszczelnień.</w:t>
      </w:r>
    </w:p>
    <w:p>
      <w:pPr>
        <w:pStyle w:val="Nagwek2"/>
        <w:numPr>
          <w:ilvl w:val="1"/>
          <w:numId w:val="3"/>
        </w:numPr>
        <w:shd w:val="clear" w:fill="FCDBD3"/>
        <w:rPr/>
      </w:pPr>
      <w:bookmarkStart w:id="180" w:name="_Toc10627797"/>
      <w:bookmarkStart w:id="181" w:name="_TOC_250011"/>
      <w:r>
        <w:rPr/>
        <w:t>Oświetlenie</w:t>
      </w:r>
      <w:r>
        <w:rPr>
          <w:spacing w:val="-2"/>
        </w:rPr>
        <w:t xml:space="preserve"> </w:t>
      </w:r>
      <w:bookmarkEnd w:id="180"/>
      <w:bookmarkEnd w:id="181"/>
      <w:r>
        <w:rPr/>
        <w:t>wewnętrzne</w:t>
      </w:r>
    </w:p>
    <w:p>
      <w:pPr>
        <w:pStyle w:val="Normal"/>
        <w:rPr/>
      </w:pPr>
      <w:r>
        <w:rPr/>
        <w:t>Należy zaprojektować i wykonać oświetlenie wnętrz zgodnie z normą PN-EN 12464-1, zastosowane oprawy oświetleniowe ze źródłem światła LED.</w:t>
      </w:r>
    </w:p>
    <w:p>
      <w:pPr>
        <w:pStyle w:val="Normal"/>
        <w:rPr/>
      </w:pPr>
      <w:r>
        <w:rPr/>
        <w:t>Do opraw oświetleniowych należy stosować przewody YDY 3x1,5mm lub YDY 4x1,5mm w zależności od potrzeb, łączniki światła należy montować w przedziale h=1.6 w salach lekcyjnych, w pozostałych pomieszczeniach na wysokości h=1,4m.</w:t>
      </w:r>
    </w:p>
    <w:p>
      <w:pPr>
        <w:pStyle w:val="Normal"/>
        <w:rPr/>
      </w:pPr>
      <w:r>
        <w:rPr/>
        <w:t>Przyjęte natężenie oświetlenia dla poszczególnych pomieszczeń oraz pozostałe parametry, zgodnie z normą i przeznaczeniem – według szczegółowego opisu wymagań w przedmiotowym PFU.</w:t>
      </w:r>
    </w:p>
    <w:p>
      <w:pPr>
        <w:pStyle w:val="Nagwek3"/>
        <w:numPr>
          <w:ilvl w:val="2"/>
          <w:numId w:val="3"/>
        </w:numPr>
        <w:rPr/>
      </w:pPr>
      <w:bookmarkStart w:id="182" w:name="_Toc10627798"/>
      <w:bookmarkStart w:id="183" w:name="_TOC_250010"/>
      <w:r>
        <w:rPr/>
        <w:t>Oświetlenie</w:t>
      </w:r>
      <w:r>
        <w:rPr>
          <w:spacing w:val="-2"/>
        </w:rPr>
        <w:t xml:space="preserve"> </w:t>
      </w:r>
      <w:bookmarkEnd w:id="182"/>
      <w:bookmarkEnd w:id="183"/>
      <w:r>
        <w:rPr/>
        <w:t>awaryjne/bezpieczeństwa</w:t>
      </w:r>
    </w:p>
    <w:p>
      <w:pPr>
        <w:pStyle w:val="Normal"/>
        <w:rPr/>
      </w:pPr>
      <w:r>
        <w:rPr>
          <w:color w:val="000009"/>
        </w:rPr>
        <w:t>Oświetlenie awaryjne w budynku należy zaprojektować i wykonać zgodnie z normą PN-EN-1838. Projektowane oświetlenie awaryjne ma zapewnić oświetlenie na drodze ewakuacyjnej podczas zaniku zasilania podstawowego. Zgodnie z EN 60598-2-22 oprawy oświetleniowe do oświetlenia ewakuacyjnego należy usytuować w pobliżu drzwi wyjściowych oraz takich miejscach aby zwrócić uwagę na niebezpieczeństwo, w tym wszelkich zabezpieczeń, urządzeń i wyposażenia p.poż., zmiany kierunku ewakuacji, klatki schodowej.</w:t>
      </w:r>
    </w:p>
    <w:p>
      <w:pPr>
        <w:pStyle w:val="Normal"/>
        <w:rPr/>
      </w:pPr>
      <w:r>
        <w:rPr/>
        <w:t>W budynku przewiduje się montaż opraw oświetlenia awaryjnego opartego na indywidualnych, certyfikowanych oprawach oświetlenia z 1 godz. układem podtrzymania zasilania. Oświetlenie ewakuacyjne i kierunkowe zaprojektowano na klatce schodowej, głównych ciągach komunikacyjnych. Wymagane natężenie oświetlenia awaryjnego na drodze ewakuacyjnej musi wynosić 1lx, na podłodze wzdłuż środkowej linii drogi ewakuacyjnej, a na centralnym pasie obejmującym mniej niż połowę szerokości drogi natężenie stanowi co najmniej 50% podanej wartości.</w:t>
      </w:r>
    </w:p>
    <w:p>
      <w:pPr>
        <w:pStyle w:val="Normal"/>
        <w:rPr/>
      </w:pPr>
      <w:r>
        <w:rPr/>
        <w:t>W celu zasilenia inwerterów w oprawach oświetleniowych należy prowadzić dodatkową „żyłę fazowa” bezpośrednio z zabezpieczenia danego obwodu z pominięciem łączników klawiszowych itp. oprawy z modułem awaryjnym 1 godz. oznaczono symbolem „Aw”.</w:t>
      </w:r>
    </w:p>
    <w:p>
      <w:pPr>
        <w:pStyle w:val="Nagwek3"/>
        <w:numPr>
          <w:ilvl w:val="2"/>
          <w:numId w:val="3"/>
        </w:numPr>
        <w:rPr/>
      </w:pPr>
      <w:bookmarkStart w:id="184" w:name="_Toc10627799"/>
      <w:bookmarkStart w:id="185" w:name="_TOC_250009"/>
      <w:r>
        <w:rPr/>
        <w:t>Sterowanie</w:t>
      </w:r>
      <w:r>
        <w:rPr>
          <w:spacing w:val="-2"/>
        </w:rPr>
        <w:t xml:space="preserve"> </w:t>
      </w:r>
      <w:bookmarkEnd w:id="184"/>
      <w:bookmarkEnd w:id="185"/>
      <w:r>
        <w:rPr/>
        <w:t>oświetleniem</w:t>
      </w:r>
    </w:p>
    <w:p>
      <w:pPr>
        <w:pStyle w:val="Normal"/>
        <w:rPr/>
      </w:pPr>
      <w:r>
        <w:rPr/>
        <w:t>We wszystkich pomieszczeniach projektuje się sterowanie oświetleniem za pomocą lokalnych łączników. W projekcie zgodnie z zakresem prac, przyjęto wymianę opraw oświetleniowych we wszystkich pomieszczeniach na energooszczędne oprawy ze źródłem światłą LED. Zakres prac obejmuje również wymianę oprzewodowania wraz z modernizacją rozdzielnic w zakresie obwodów oświetleniowych.  Instalację należy zaprojektować i wykonać w taki sposób, aby w pierwszej kolejności korzystała z energii wyprodukowanej przez mikro instalację PV, a dopiero w przypadku braku bieżącej produkcji (częściowo lub w całosci) wykorzystywała energię dostarczoną z przyłącza do sieci elektroenergetycznej.</w:t>
      </w:r>
    </w:p>
    <w:p>
      <w:pPr>
        <w:pStyle w:val="Nagwek2"/>
        <w:numPr>
          <w:ilvl w:val="1"/>
          <w:numId w:val="3"/>
        </w:numPr>
        <w:shd w:val="clear" w:fill="FCDBD3"/>
        <w:rPr/>
      </w:pPr>
      <w:bookmarkStart w:id="186" w:name="_TOC_250007"/>
      <w:bookmarkStart w:id="187" w:name="_Toc10627800"/>
      <w:bookmarkStart w:id="188" w:name="_TOC_250008"/>
      <w:r>
        <w:rPr/>
        <w:t>Mikro instalacja</w:t>
      </w:r>
      <w:r>
        <w:rPr>
          <w:spacing w:val="-1"/>
        </w:rPr>
        <w:t xml:space="preserve"> </w:t>
      </w:r>
      <w:bookmarkEnd w:id="187"/>
      <w:bookmarkEnd w:id="188"/>
      <w:r>
        <w:rPr/>
        <w:t>fotowoltaiczna</w:t>
      </w:r>
    </w:p>
    <w:p>
      <w:pPr>
        <w:pStyle w:val="Normal"/>
        <w:rPr/>
      </w:pPr>
      <w:r>
        <w:rPr/>
        <w:t>Mikro instalację należy wykonać na południowej połaci dachu na konstrukcji montażowej wg projektu konstrukcji. Należy zaprojektować i wykonać instalację posiadającą zabezpieczenie obwodów w przypadku zacieniania, np. diodami. Układ zabezpieczenia należy dopasować do dobranego na etapie wykonania dokumentacji projektowej optymalnego układu montażu – pion/poziom.</w:t>
      </w:r>
    </w:p>
    <w:p>
      <w:pPr>
        <w:pStyle w:val="Normal"/>
        <w:rPr/>
      </w:pPr>
      <w:r>
        <w:rPr/>
        <w:t>Ze względu na autonomiczność, instalację należy wyposażyć w akumulatory do gromadzenia nadwyżek produkowanej energii, w celu jej wykorzystania w stanie braku lub ograniczonej produkcji energii przez instalację, np. ze względu na porę dnia lub warunki atmosferyczne, porę roku itp. Lokalizację modułu akumulatorów należy uzgodnić na etapie wykonania dokumentacji budowlanej z użytkownikiem, w pomieszczeniu technicznym. Wielkość i rodzaj akumulatora należy dobrać szczegółowo na etapie przygotowania ww. dokumentacji, na podstawie szczegółowych obliczeń.</w:t>
      </w:r>
    </w:p>
    <w:p>
      <w:pPr>
        <w:pStyle w:val="Normal"/>
        <w:rPr/>
      </w:pPr>
      <w:r>
        <w:rPr/>
        <w:t xml:space="preserve">Całą instalację oraz konstrukcję wsporczą należy odpowiednio zabezpieczyć – uziemić (np. uziomami połączonymi ze sobą taśmą Fe-Zn 30x4mm) oraz zabezpieczyć odgromowo. Konstrukcję wsporczą należy uziemić linką </w:t>
      </w:r>
      <w:r>
        <w:rPr>
          <w:spacing w:val="-12"/>
        </w:rPr>
        <w:t xml:space="preserve">LY </w:t>
      </w:r>
      <w:r>
        <w:rPr/>
        <w:t>10mm. Mikro instalacja PV składać się będzie z autonomicznego zestawu fotowoltaicznego off-grid 10,20kWp. Panele należy przymocować do konstrukcji za pomocą systemowego rozwiązania gwarantującego trwałe i niezawodne użytkowanie. W zakresie prac jest również przeszkolenie i serwisowanie instalacji. Lokalizacja inwertera oraz trasy kabli należy ustalić na etapie wykonawstwa w porozumieniu z projektantem i</w:t>
      </w:r>
      <w:r>
        <w:rPr>
          <w:spacing w:val="-11"/>
        </w:rPr>
        <w:t xml:space="preserve"> </w:t>
      </w:r>
      <w:r>
        <w:rPr/>
        <w:t>użytkownikiem.</w:t>
      </w:r>
    </w:p>
    <w:p>
      <w:pPr>
        <w:pStyle w:val="Nagwek2"/>
        <w:numPr>
          <w:ilvl w:val="1"/>
          <w:numId w:val="3"/>
        </w:numPr>
        <w:shd w:val="clear" w:fill="FCDBD3"/>
        <w:rPr/>
      </w:pPr>
      <w:bookmarkStart w:id="189" w:name="_Toc10627801"/>
      <w:r>
        <w:rPr/>
        <w:t>Ochrona od porażeń prądem</w:t>
      </w:r>
      <w:r>
        <w:rPr>
          <w:spacing w:val="-9"/>
        </w:rPr>
        <w:t xml:space="preserve"> </w:t>
      </w:r>
      <w:bookmarkEnd w:id="186"/>
      <w:bookmarkEnd w:id="189"/>
      <w:r>
        <w:rPr/>
        <w:t>elektrycznym</w:t>
      </w:r>
    </w:p>
    <w:p>
      <w:pPr>
        <w:pStyle w:val="Normal"/>
        <w:rPr/>
      </w:pPr>
      <w:r>
        <w:rPr/>
        <w:t>Z punktu widzenia ochrony przeciwporażeniowej sieć odbiorcza będzie pracować w układzie TN-C z osobnymi przewodami ochronno-neutralnymi</w:t>
      </w:r>
      <w:r>
        <w:rPr>
          <w:spacing w:val="-1"/>
        </w:rPr>
        <w:t xml:space="preserve"> </w:t>
      </w:r>
      <w:r>
        <w:rPr/>
        <w:t>PEN.</w:t>
      </w:r>
    </w:p>
    <w:p>
      <w:pPr>
        <w:pStyle w:val="Normal"/>
        <w:rPr/>
      </w:pPr>
      <w:r>
        <w:rPr/>
        <w:t>Jako środek ochrony dodatkowej przed dotykiem zastosowano szybkie samoczynne wyłączenie zasilania. W przyszłości zaleca się modernizację WLZów oraz rozdzielnic do pracy w systemie TN-S z osobnym przewodem PE i N oraz zastosowanie wyłączników różnicowoprądowych w obwodach gniazd.</w:t>
      </w:r>
    </w:p>
    <w:p>
      <w:pPr>
        <w:pStyle w:val="Nagwek2"/>
        <w:numPr>
          <w:ilvl w:val="1"/>
          <w:numId w:val="3"/>
        </w:numPr>
        <w:shd w:val="clear" w:fill="FCDBD3"/>
        <w:rPr/>
      </w:pPr>
      <w:bookmarkStart w:id="190" w:name="_Toc10627802"/>
      <w:bookmarkEnd w:id="190"/>
      <w:r>
        <w:rPr/>
        <w:t>Pomiary odbiorcze</w:t>
      </w:r>
    </w:p>
    <w:p>
      <w:pPr>
        <w:pStyle w:val="Normal"/>
        <w:rPr/>
      </w:pPr>
      <w:r>
        <w:rPr/>
        <w:t>Należy wykonać sprawdzenie odbiorcze. Wszystkie czynności, za pomocą których kontroluje się zgodność instalacji elektrycznej z odpowiednimi wymaganiami normy PN-HD 60364-6 powinny obejmować: oględziny, próby i protokołowanie.</w:t>
      </w:r>
    </w:p>
    <w:p>
      <w:pPr>
        <w:pStyle w:val="Normal"/>
        <w:rPr/>
      </w:pPr>
      <w:r>
        <w:rPr/>
        <w:t>Oględziny należy wykonać przed próbami i powinny obejmować następujące sprawdzenia:</w:t>
      </w:r>
    </w:p>
    <w:p>
      <w:pPr>
        <w:pStyle w:val="ListParagraph"/>
        <w:numPr>
          <w:ilvl w:val="0"/>
          <w:numId w:val="83"/>
        </w:numPr>
        <w:rPr/>
      </w:pPr>
      <w:r>
        <w:rPr/>
        <w:t>sposób ochrony przed porażeniem prądem elektrycznym,</w:t>
      </w:r>
    </w:p>
    <w:p>
      <w:pPr>
        <w:pStyle w:val="ListParagraph"/>
        <w:numPr>
          <w:ilvl w:val="0"/>
          <w:numId w:val="83"/>
        </w:numPr>
        <w:rPr/>
      </w:pPr>
      <w:r>
        <w:rPr/>
        <w:t>występowanie przegród ogniowych i innych środków zapobiegających rozprzestrzenianiu się ognia oraz ochrony przed skutkami działania ciepła,</w:t>
      </w:r>
    </w:p>
    <w:p>
      <w:pPr>
        <w:pStyle w:val="ListParagraph"/>
        <w:numPr>
          <w:ilvl w:val="0"/>
          <w:numId w:val="83"/>
        </w:numPr>
        <w:rPr/>
      </w:pPr>
      <w:r>
        <w:rPr/>
        <w:t>dobór przewodów z uwagi na obciążalności prądową i spadek napięcia,</w:t>
      </w:r>
    </w:p>
    <w:p>
      <w:pPr>
        <w:pStyle w:val="ListParagraph"/>
        <w:numPr>
          <w:ilvl w:val="0"/>
          <w:numId w:val="83"/>
        </w:numPr>
        <w:rPr/>
      </w:pPr>
      <w:r>
        <w:rPr/>
        <w:t>dobór i nastawienie urządzeń zabezpieczających i sygnalizujących,</w:t>
      </w:r>
    </w:p>
    <w:p>
      <w:pPr>
        <w:pStyle w:val="ListParagraph"/>
        <w:numPr>
          <w:ilvl w:val="0"/>
          <w:numId w:val="83"/>
        </w:numPr>
        <w:rPr/>
      </w:pPr>
      <w:r>
        <w:rPr/>
        <w:t>występowanie i prawidłowe umieszczenie właściwych urządzeń do odłączania izolacyjnego i łączenia,</w:t>
      </w:r>
    </w:p>
    <w:p>
      <w:pPr>
        <w:pStyle w:val="ListParagraph"/>
        <w:numPr>
          <w:ilvl w:val="0"/>
          <w:numId w:val="83"/>
        </w:numPr>
        <w:rPr/>
      </w:pPr>
      <w:r>
        <w:rPr/>
        <w:t>prawidłowe oznaczenie przewodów neutralnych i ochronnych,</w:t>
      </w:r>
    </w:p>
    <w:p>
      <w:pPr>
        <w:pStyle w:val="ListParagraph"/>
        <w:numPr>
          <w:ilvl w:val="0"/>
          <w:numId w:val="83"/>
        </w:numPr>
        <w:rPr/>
      </w:pPr>
      <w:r>
        <w:rPr/>
        <w:t>przyłączenie łączników jednobiegunowych do przewodów fazowych,</w:t>
      </w:r>
    </w:p>
    <w:p>
      <w:pPr>
        <w:pStyle w:val="ListParagraph"/>
        <w:numPr>
          <w:ilvl w:val="0"/>
          <w:numId w:val="83"/>
        </w:numPr>
        <w:rPr/>
      </w:pPr>
      <w:r>
        <w:rPr/>
        <w:t>obecność schematów, napisów ostrzegawczych lub innych podobnych informacji,</w:t>
      </w:r>
    </w:p>
    <w:p>
      <w:pPr>
        <w:pStyle w:val="ListParagraph"/>
        <w:numPr>
          <w:ilvl w:val="0"/>
          <w:numId w:val="83"/>
        </w:numPr>
        <w:rPr/>
      </w:pPr>
      <w:r>
        <w:rPr/>
        <w:t>oznaczenie obwodów, urządzeń zabezpieczających przed prądem przetężeniowych, łączników, zacisków, itp.,</w:t>
      </w:r>
    </w:p>
    <w:p>
      <w:pPr>
        <w:pStyle w:val="ListParagraph"/>
        <w:numPr>
          <w:ilvl w:val="0"/>
          <w:numId w:val="83"/>
        </w:numPr>
        <w:rPr/>
      </w:pPr>
      <w:r>
        <w:rPr/>
        <w:t>poprawność połączeń przewodów,</w:t>
      </w:r>
    </w:p>
    <w:p>
      <w:pPr>
        <w:pStyle w:val="ListParagraph"/>
        <w:numPr>
          <w:ilvl w:val="0"/>
          <w:numId w:val="83"/>
        </w:numPr>
        <w:rPr/>
      </w:pPr>
      <w:r>
        <w:rPr/>
        <w:t>występowanie ciągłości przewodów ochronnych, w tym przewodów ochronnych połączeń wyrównawczych głównych i połączeń wyrównawczych dodatkowych,</w:t>
      </w:r>
    </w:p>
    <w:p>
      <w:pPr>
        <w:pStyle w:val="ListParagraph"/>
        <w:numPr>
          <w:ilvl w:val="0"/>
          <w:numId w:val="83"/>
        </w:numPr>
        <w:rPr/>
      </w:pPr>
      <w:r>
        <w:rPr/>
        <w:t>dostępność urządzeń, umożliwiająca wygodną obsługę, identyfikację, Próby powinny obejmować czynności w następującej kolejności:</w:t>
      </w:r>
    </w:p>
    <w:p>
      <w:pPr>
        <w:pStyle w:val="ListParagraph"/>
        <w:numPr>
          <w:ilvl w:val="0"/>
          <w:numId w:val="83"/>
        </w:numPr>
        <w:rPr/>
      </w:pPr>
      <w:r>
        <w:rPr/>
        <w:t>ciągłość przewodów,</w:t>
      </w:r>
    </w:p>
    <w:p>
      <w:pPr>
        <w:pStyle w:val="ListParagraph"/>
        <w:numPr>
          <w:ilvl w:val="0"/>
          <w:numId w:val="83"/>
        </w:numPr>
        <w:rPr/>
      </w:pPr>
      <w:r>
        <w:rPr/>
        <w:t>rezystancja izolacji instalacji elektrycznej,</w:t>
      </w:r>
    </w:p>
    <w:p>
      <w:pPr>
        <w:pStyle w:val="ListParagraph"/>
        <w:numPr>
          <w:ilvl w:val="0"/>
          <w:numId w:val="83"/>
        </w:numPr>
        <w:rPr/>
      </w:pPr>
      <w:r>
        <w:rPr/>
        <w:t>ochrona za pomocą SELV, PELV lub separacji elektrycznej,</w:t>
      </w:r>
    </w:p>
    <w:p>
      <w:pPr>
        <w:pStyle w:val="ListParagraph"/>
        <w:numPr>
          <w:ilvl w:val="0"/>
          <w:numId w:val="83"/>
        </w:numPr>
        <w:rPr/>
      </w:pPr>
      <w:r>
        <w:rPr/>
        <w:t>samoczynne wyłączanie zasilania,</w:t>
      </w:r>
    </w:p>
    <w:p>
      <w:pPr>
        <w:pStyle w:val="ListParagraph"/>
        <w:numPr>
          <w:ilvl w:val="0"/>
          <w:numId w:val="83"/>
        </w:numPr>
        <w:rPr/>
      </w:pPr>
      <w:r>
        <w:rPr/>
        <w:t>ochrona uzupełniająca,</w:t>
      </w:r>
    </w:p>
    <w:p>
      <w:pPr>
        <w:pStyle w:val="ListParagraph"/>
        <w:numPr>
          <w:ilvl w:val="0"/>
          <w:numId w:val="83"/>
        </w:numPr>
        <w:rPr/>
      </w:pPr>
      <w:r>
        <w:rPr/>
        <w:t>sprawdzenie biegunowości,</w:t>
      </w:r>
    </w:p>
    <w:p>
      <w:pPr>
        <w:pStyle w:val="ListParagraph"/>
        <w:numPr>
          <w:ilvl w:val="0"/>
          <w:numId w:val="83"/>
        </w:numPr>
        <w:rPr/>
      </w:pPr>
      <w:r>
        <w:rPr/>
        <w:t>sprawdzenie kolejności faz,</w:t>
      </w:r>
    </w:p>
    <w:p>
      <w:pPr>
        <w:pStyle w:val="ListParagraph"/>
        <w:numPr>
          <w:ilvl w:val="0"/>
          <w:numId w:val="83"/>
        </w:numPr>
        <w:rPr/>
      </w:pPr>
      <w:r>
        <w:rPr/>
        <w:t>próby funkcjonalne i operacyjne,</w:t>
      </w:r>
    </w:p>
    <w:p>
      <w:pPr>
        <w:pStyle w:val="ListParagraph"/>
        <w:numPr>
          <w:ilvl w:val="0"/>
          <w:numId w:val="83"/>
        </w:numPr>
        <w:rPr/>
      </w:pPr>
      <w:r>
        <w:rPr/>
        <w:t>spadek napięcia,</w:t>
      </w:r>
    </w:p>
    <w:p>
      <w:pPr>
        <w:pStyle w:val="Normal"/>
        <w:rPr/>
      </w:pPr>
      <w:r>
        <w:rPr/>
        <w:t>Po zakończeniu czynności sprawdzających należy sporządzić protokół odbiorczy. W protokole należy podać osobę lub osoby odpowiedzialne za bezpieczeństwo, budowę i sprawdzenie instalacji, uwzględniając indywidualną odpowiedzialność tych osób w stosunku do osoby zlecającej pracę.</w:t>
      </w:r>
    </w:p>
    <w:p>
      <w:pPr>
        <w:pStyle w:val="Normal"/>
        <w:rPr/>
      </w:pPr>
      <w:r>
        <w:rPr/>
        <w:t>Zaleca się sporządzenie protokołu według wzorów zgodnie z normą PN-HD 60364-6.</w:t>
      </w:r>
    </w:p>
    <w:p>
      <w:pPr>
        <w:pStyle w:val="Nagwek2"/>
        <w:numPr>
          <w:ilvl w:val="1"/>
          <w:numId w:val="3"/>
        </w:numPr>
        <w:shd w:val="clear" w:fill="FCDBD3"/>
        <w:rPr/>
      </w:pPr>
      <w:bookmarkStart w:id="191" w:name="_Toc10627803"/>
      <w:bookmarkEnd w:id="191"/>
      <w:r>
        <w:rPr/>
        <w:t>Uwagi końcowe</w:t>
      </w:r>
    </w:p>
    <w:p>
      <w:pPr>
        <w:pStyle w:val="ListParagraph"/>
        <w:numPr>
          <w:ilvl w:val="0"/>
          <w:numId w:val="83"/>
        </w:numPr>
        <w:rPr/>
      </w:pPr>
      <w:r>
        <w:rPr/>
        <w:t>całość instalacji wykonać zgodnie z obowiązującymi normami i przepisami z zachowaniem przepisów BHP.</w:t>
      </w:r>
    </w:p>
    <w:p>
      <w:pPr>
        <w:pStyle w:val="ListParagraph"/>
        <w:numPr>
          <w:ilvl w:val="0"/>
          <w:numId w:val="83"/>
        </w:numPr>
        <w:rPr/>
      </w:pPr>
      <w:r>
        <w:rPr/>
        <w:t>instalacje elektryczne układać po wykonaniu głównych robót budowlanych.</w:t>
      </w:r>
    </w:p>
    <w:p>
      <w:pPr>
        <w:pStyle w:val="ListParagraph"/>
        <w:numPr>
          <w:ilvl w:val="0"/>
          <w:numId w:val="83"/>
        </w:numPr>
        <w:rPr/>
      </w:pPr>
      <w:r>
        <w:rPr/>
        <w:t>wykonać pomiar rezystancji uziemienia</w:t>
      </w:r>
    </w:p>
    <w:p>
      <w:pPr>
        <w:pStyle w:val="ListParagraph"/>
        <w:numPr>
          <w:ilvl w:val="0"/>
          <w:numId w:val="83"/>
        </w:numPr>
        <w:rPr/>
      </w:pPr>
      <w:r>
        <w:rPr/>
        <w:t>spadki napięcia oraz prądy zwarciowe zgodnie z normą</w:t>
      </w:r>
    </w:p>
    <w:p>
      <w:pPr>
        <w:pStyle w:val="ListParagraph"/>
        <w:numPr>
          <w:ilvl w:val="0"/>
          <w:numId w:val="83"/>
        </w:numPr>
        <w:rPr/>
      </w:pPr>
      <w:r>
        <w:rPr/>
        <w:t>Zaproponowane w projekcie rozwiązania materiałowe, urządzenia, elementy i technologie należy traktować jako wymagany standard jakości a nie wybór producenta. Dopuszcza się rozwiązania równorzędne pod warunkiem spełnienia założonych parametrów technicznych, estetycznych i formalno-prawnych zgodne z opisem technicznym rozwiązań materiałowych.</w:t>
      </w:r>
    </w:p>
    <w:p>
      <w:pPr>
        <w:pStyle w:val="Nagwek2"/>
        <w:numPr>
          <w:ilvl w:val="1"/>
          <w:numId w:val="3"/>
        </w:numPr>
        <w:shd w:val="clear" w:fill="FCDBD3"/>
        <w:rPr/>
      </w:pPr>
      <w:bookmarkStart w:id="192" w:name="_Toc10627804"/>
      <w:bookmarkEnd w:id="192"/>
      <w:r>
        <w:rPr/>
        <w:t>Kontrola, badania i odbiór wyrobów i robót budowlanych</w:t>
      </w:r>
    </w:p>
    <w:p>
      <w:pPr>
        <w:pStyle w:val="Normal"/>
        <w:rPr/>
      </w:pPr>
      <w:r>
        <w:rPr/>
        <w:t>Dla zachowania warunków gwarancji, należy bezwzględnie zapewnić konserwację systemu przez podmiot autoryzowany przez gwaranta.</w:t>
      </w:r>
    </w:p>
    <w:p>
      <w:pPr>
        <w:pStyle w:val="Normal"/>
        <w:rPr/>
      </w:pPr>
      <w:r>
        <w:rPr/>
        <w:t>Konserwacja systemu sygnalizacji pożaru i oddymiania w pełnym zakresie musi być przeprowadzana w okresach minimum 1 raz w ciągu 6 miesięcy i powinna zostać uzgodniona w odrębnej umowie konserwacyjnej.</w:t>
      </w:r>
    </w:p>
    <w:p>
      <w:pPr>
        <w:pStyle w:val="Normal"/>
        <w:rPr/>
      </w:pPr>
      <w:r>
        <w:rPr/>
        <w:t>Podczas każdej konserwacji okresowej należy wykonać następujące sprawdzenia:</w:t>
      </w:r>
    </w:p>
    <w:p>
      <w:pPr>
        <w:pStyle w:val="ListParagraph"/>
        <w:numPr>
          <w:ilvl w:val="0"/>
          <w:numId w:val="83"/>
        </w:numPr>
        <w:rPr/>
      </w:pPr>
      <w:r>
        <w:rPr/>
        <w:t>sprawdzenie   instalacji, rozmieszczenia i zamocowania całego wyposażenia i urządzeń na podstawie dokumentacji technicznej;</w:t>
      </w:r>
    </w:p>
    <w:p>
      <w:pPr>
        <w:pStyle w:val="ListParagraph"/>
        <w:numPr>
          <w:ilvl w:val="0"/>
          <w:numId w:val="83"/>
        </w:numPr>
        <w:rPr/>
      </w:pPr>
      <w:r>
        <w:rPr/>
        <w:t>sprawdzenie poprawności działania wszystkich czujek, łącznie z urządzeniami uruchamianymi ręcznie, sprawdzenie poprawności oprogramowania centrali, poprawności wykonywanych sterowań oraz poprawności wykonywanych monitorowań;</w:t>
      </w:r>
    </w:p>
    <w:p>
      <w:pPr>
        <w:pStyle w:val="ListParagraph"/>
        <w:numPr>
          <w:ilvl w:val="0"/>
          <w:numId w:val="83"/>
        </w:numPr>
        <w:rPr/>
      </w:pPr>
      <w:r>
        <w:rPr/>
        <w:t>sprawdzenie zgodności z wymaganiami wszystkich połączeń giętkich; sprawdzenie zasilania awaryjnego centrali;</w:t>
      </w:r>
    </w:p>
    <w:p>
      <w:pPr>
        <w:pStyle w:val="ListParagraph"/>
        <w:numPr>
          <w:ilvl w:val="0"/>
          <w:numId w:val="83"/>
        </w:numPr>
        <w:rPr/>
      </w:pPr>
      <w:r>
        <w:rPr/>
        <w:t>sprawdzenie centrali i jej obsługi zgodnie z zaleceniami</w:t>
      </w:r>
    </w:p>
    <w:p>
      <w:pPr>
        <w:pStyle w:val="Nagwek2"/>
        <w:numPr>
          <w:ilvl w:val="1"/>
          <w:numId w:val="3"/>
        </w:numPr>
        <w:shd w:val="clear" w:fill="FCDBD3"/>
        <w:rPr/>
      </w:pPr>
      <w:bookmarkStart w:id="193" w:name="_Toc10627805"/>
      <w:bookmarkEnd w:id="193"/>
      <w:r>
        <w:rPr/>
        <w:t>Wymagania dotyczące przedmiaru i obmiaru robót</w:t>
      </w:r>
    </w:p>
    <w:p>
      <w:pPr>
        <w:pStyle w:val="Normal"/>
        <w:rPr/>
      </w:pPr>
      <w:r>
        <w:rPr/>
        <w:t>Obmiar robót trzeba wykonywać w obecności Inspektora Nadzoru. Obmiar przeprowadzony powinien być zgodnie z obowiązującymi zasadami zarówno na etapie wykonywania, jak i po zakończeniu wykonywania elementu robót stanowiącego odrębną całość obiektu.</w:t>
      </w:r>
    </w:p>
    <w:p>
      <w:pPr>
        <w:pStyle w:val="Normal"/>
        <w:rPr/>
      </w:pPr>
      <w:r>
        <w:rPr/>
        <w:t>Obmiar trzeba wykonać w jednostkach i zgodnie z zasadami przyjętymi w kosztorysowaniu.</w:t>
      </w:r>
    </w:p>
    <w:p>
      <w:pPr>
        <w:pStyle w:val="Nagwek2"/>
        <w:numPr>
          <w:ilvl w:val="1"/>
          <w:numId w:val="3"/>
        </w:numPr>
        <w:shd w:val="clear" w:fill="FCDBD3"/>
        <w:rPr/>
      </w:pPr>
      <w:bookmarkStart w:id="194" w:name="_Toc10627806"/>
      <w:bookmarkEnd w:id="194"/>
      <w:r>
        <w:rPr/>
        <w:t>Odbiór robót budowlanych</w:t>
      </w:r>
    </w:p>
    <w:p>
      <w:pPr>
        <w:pStyle w:val="Normal"/>
        <w:rPr/>
      </w:pPr>
      <w:r>
        <w:rPr/>
        <w:t xml:space="preserve"> </w:t>
      </w:r>
      <w:r>
        <w:rPr/>
        <w:t>Po zakończeniu budowy Wykonawca jest zobowiązany dostarczyć Inwestorowi następujące dokumenty:</w:t>
      </w:r>
    </w:p>
    <w:p>
      <w:pPr>
        <w:pStyle w:val="ListParagraph"/>
        <w:numPr>
          <w:ilvl w:val="0"/>
          <w:numId w:val="83"/>
        </w:numPr>
        <w:rPr/>
      </w:pPr>
      <w:r>
        <w:rPr/>
        <w:t>Plany i schematy instalacji zmienione na podstawie rysunków roboczych,</w:t>
      </w:r>
    </w:p>
    <w:p>
      <w:pPr>
        <w:pStyle w:val="ListParagraph"/>
        <w:numPr>
          <w:ilvl w:val="0"/>
          <w:numId w:val="83"/>
        </w:numPr>
        <w:rPr/>
      </w:pPr>
      <w:r>
        <w:rPr/>
        <w:t>Pisemne uzgodnienia odstępstw od projektu z przedstawicielem inwestora oraz z zespołem projektowym,</w:t>
      </w:r>
    </w:p>
    <w:p>
      <w:pPr>
        <w:pStyle w:val="ListParagraph"/>
        <w:numPr>
          <w:ilvl w:val="0"/>
          <w:numId w:val="83"/>
        </w:numPr>
        <w:rPr/>
      </w:pPr>
      <w:r>
        <w:rPr/>
        <w:t>Dziennik budowy i książkę obmiarów,</w:t>
      </w:r>
    </w:p>
    <w:p>
      <w:pPr>
        <w:pStyle w:val="ListParagraph"/>
        <w:numPr>
          <w:ilvl w:val="0"/>
          <w:numId w:val="83"/>
        </w:numPr>
        <w:rPr/>
      </w:pPr>
      <w:r>
        <w:rPr/>
        <w:t>Protokoły odbiorów częściowych,</w:t>
      </w:r>
    </w:p>
    <w:p>
      <w:pPr>
        <w:pStyle w:val="ListParagraph"/>
        <w:numPr>
          <w:ilvl w:val="0"/>
          <w:numId w:val="83"/>
        </w:numPr>
        <w:rPr/>
      </w:pPr>
      <w:r>
        <w:rPr/>
        <w:t>Instrukcji użytkowania urządzeń, gwarancje, atesty, dowody zakupu i wszelkie dokumenty związane z zastosowanymi urządzeniami i materiałami,</w:t>
      </w:r>
    </w:p>
    <w:p>
      <w:pPr>
        <w:pStyle w:val="ListParagraph"/>
        <w:numPr>
          <w:ilvl w:val="0"/>
          <w:numId w:val="83"/>
        </w:numPr>
        <w:rPr/>
      </w:pPr>
      <w:r>
        <w:rPr/>
        <w:t>Protokoły sprawdzenia, skuteczności i wydajności urządzeń i instalacji.</w:t>
      </w:r>
    </w:p>
    <w:p>
      <w:pPr>
        <w:pStyle w:val="Normal"/>
        <w:rPr/>
      </w:pPr>
      <w:r>
        <w:rPr/>
        <w:t>Wyżej wymienione wymagania dotyczące dokumentów mogą ulec zmianom i poszerzeniom. Odbioru końcowego dokonuje komisja odbiorcza powołana przez Inwestora. Obowiązkowo w skład komisji wchodzą:</w:t>
      </w:r>
    </w:p>
    <w:p>
      <w:pPr>
        <w:pStyle w:val="ListParagraph"/>
        <w:numPr>
          <w:ilvl w:val="0"/>
          <w:numId w:val="83"/>
        </w:numPr>
        <w:rPr/>
      </w:pPr>
      <w:r>
        <w:rPr/>
        <w:t>Przedstawiciele inwestora, w tym inspektor nadzoru,</w:t>
      </w:r>
    </w:p>
    <w:p>
      <w:pPr>
        <w:pStyle w:val="ListParagraph"/>
        <w:numPr>
          <w:ilvl w:val="0"/>
          <w:numId w:val="83"/>
        </w:numPr>
        <w:rPr/>
      </w:pPr>
      <w:r>
        <w:rPr/>
        <w:t>Kierownik budowy (główny wykonawca robót),</w:t>
      </w:r>
    </w:p>
    <w:p>
      <w:pPr>
        <w:pStyle w:val="ListParagraph"/>
        <w:numPr>
          <w:ilvl w:val="0"/>
          <w:numId w:val="83"/>
        </w:numPr>
        <w:rPr/>
      </w:pPr>
      <w:r>
        <w:rPr/>
        <w:t>Kierownik robót elektrycznych,</w:t>
      </w:r>
    </w:p>
    <w:p>
      <w:pPr>
        <w:pStyle w:val="ListParagraph"/>
        <w:numPr>
          <w:ilvl w:val="0"/>
          <w:numId w:val="83"/>
        </w:numPr>
        <w:rPr/>
      </w:pPr>
      <w:r>
        <w:rPr/>
        <w:t>Przedstawiciele użytkownika obiektu.</w:t>
      </w:r>
    </w:p>
    <w:p>
      <w:pPr>
        <w:pStyle w:val="Normal"/>
        <w:rPr/>
      </w:pPr>
      <w:r>
        <w:rPr/>
        <w:t>Warunkiem koniecznym dla odbioru końcowego instalacji przez Inwestora jest uzyskanie gwarancji systemowej producenta, potwierdzającej jakość i zgodność wszystkich zainstalowanych torów   transmisyjnych   z   wymaganiami   dokumentacji   projektowej   i parametrami zdefiniowanymi przez obowiązujące normy.</w:t>
      </w:r>
    </w:p>
    <w:p>
      <w:pPr>
        <w:pStyle w:val="Normal"/>
        <w:rPr/>
      </w:pPr>
      <w:r>
        <w:rPr/>
        <w:t>W celu odbioru instalacji okablowania strukturalnego, należy spełnić następujące warunki:</w:t>
      </w:r>
    </w:p>
    <w:p>
      <w:pPr>
        <w:pStyle w:val="ListParagraph"/>
        <w:numPr>
          <w:ilvl w:val="0"/>
          <w:numId w:val="83"/>
        </w:numPr>
        <w:rPr/>
      </w:pPr>
      <w:r>
        <w:rPr/>
        <w:t>Wykonać komplet pomiarów – opis pomiarów części miedzianej.</w:t>
      </w:r>
    </w:p>
    <w:p>
      <w:pPr>
        <w:pStyle w:val="ListParagraph"/>
        <w:numPr>
          <w:ilvl w:val="0"/>
          <w:numId w:val="83"/>
        </w:numPr>
        <w:rPr/>
      </w:pPr>
      <w:r>
        <w:rPr/>
        <w:t>Wykonawstwo</w:t>
        <w:tab/>
        <w:t>pomiarów</w:t>
        <w:tab/>
        <w:t>powinno</w:t>
        <w:tab/>
        <w:t>być</w:t>
        <w:tab/>
        <w:t>zgodne</w:t>
        <w:tab/>
        <w:t>z</w:t>
        <w:tab/>
        <w:t>normą</w:t>
        <w:tab/>
        <w:t>PN-EN 50346:2004/A1+A2:2009 z możliwością zastosowania rozwiązań równoważnych.</w:t>
      </w:r>
    </w:p>
    <w:p>
      <w:pPr>
        <w:pStyle w:val="Normal"/>
        <w:rPr/>
      </w:pPr>
      <w:r>
        <w:rPr/>
        <w:t>Pomiary należy wykonać dla wszystkich interfejsów okablowania poziomego.</w:t>
      </w:r>
    </w:p>
    <w:p>
      <w:pPr>
        <w:pStyle w:val="ListParagraph"/>
        <w:numPr>
          <w:ilvl w:val="0"/>
          <w:numId w:val="83"/>
        </w:numPr>
        <w:rPr/>
      </w:pPr>
      <w:r>
        <w:rPr/>
        <w:t>Należy użyć miernika dynamicznego (analizatora), który posiada wgrane oprogramowanie umożliwiające pomiar parametrów według aktualnie obowiązujących norm. Sprzęt pomiarowy musi posiadać aktualny certyfikat potwierdzający dokładność jego wskazań.</w:t>
      </w:r>
    </w:p>
    <w:p>
      <w:pPr>
        <w:pStyle w:val="ListParagraph"/>
        <w:numPr>
          <w:ilvl w:val="0"/>
          <w:numId w:val="83"/>
        </w:numPr>
        <w:rPr/>
      </w:pPr>
      <w:r>
        <w:rPr/>
        <w:t>Analizator okablowania wykorzystany do pomiarów musi charakteryzować się przynajmniej IV klasą dokładności wg IEC 61935-1/Ed. 3 z możliwością zastosowania rozwiązań równoważnych.</w:t>
      </w:r>
    </w:p>
    <w:p>
      <w:pPr>
        <w:pStyle w:val="ListParagraph"/>
        <w:numPr>
          <w:ilvl w:val="0"/>
          <w:numId w:val="83"/>
        </w:numPr>
        <w:rPr/>
      </w:pPr>
      <w:r>
        <w:rPr/>
        <w:t>W przypadku sieci miedzianej pomiary należy wykonać w konfiguracji pomiarowej kanału razem z kablami krosowymi (ang. „channel”) – przy wykorzystaniu odpowiednich adapterów pomiarowych specyfikowanych przez producenta sprzętu pomiarowego.</w:t>
      </w:r>
    </w:p>
    <w:p>
      <w:pPr>
        <w:pStyle w:val="ListParagraph"/>
        <w:numPr>
          <w:ilvl w:val="0"/>
          <w:numId w:val="83"/>
        </w:numPr>
        <w:rPr/>
      </w:pPr>
      <w:r>
        <w:rPr/>
        <w:t>Pomiary należy skonfrontować z wydajnością klasy EA specyfikowanej wg. ISO/IEC11801:2002/Am2:2010 lub EN50173-1:2011 z możliwością zastosowania rozwiązań równoważnych.</w:t>
      </w:r>
    </w:p>
    <w:p>
      <w:pPr>
        <w:pStyle w:val="Normal"/>
        <w:rPr/>
      </w:pPr>
      <w:r>
        <w:rPr/>
        <w:t>Pomiar każdego toru transmisyjnego poziomego (miedzianego) powinien zawierać:</w:t>
      </w:r>
    </w:p>
    <w:p>
      <w:pPr>
        <w:pStyle w:val="ListParagraph"/>
        <w:numPr>
          <w:ilvl w:val="0"/>
          <w:numId w:val="83"/>
        </w:numPr>
        <w:rPr/>
      </w:pPr>
      <w:r>
        <w:rPr/>
        <w:t>mapę połączeń,</w:t>
      </w:r>
    </w:p>
    <w:p>
      <w:pPr>
        <w:pStyle w:val="ListParagraph"/>
        <w:numPr>
          <w:ilvl w:val="0"/>
          <w:numId w:val="83"/>
        </w:numPr>
        <w:rPr/>
      </w:pPr>
      <w:r>
        <w:rPr/>
        <w:t>długość połączeń i rezystancje par,</w:t>
      </w:r>
    </w:p>
    <w:p>
      <w:pPr>
        <w:pStyle w:val="ListParagraph"/>
        <w:numPr>
          <w:ilvl w:val="0"/>
          <w:numId w:val="83"/>
        </w:numPr>
        <w:rPr/>
      </w:pPr>
      <w:r>
        <w:rPr/>
        <w:t>opóźnienie propagacji oraz różnicę opóźnień propagacji,</w:t>
      </w:r>
    </w:p>
    <w:p>
      <w:pPr>
        <w:pStyle w:val="ListParagraph"/>
        <w:numPr>
          <w:ilvl w:val="0"/>
          <w:numId w:val="83"/>
        </w:numPr>
        <w:rPr/>
      </w:pPr>
      <w:r>
        <w:rPr/>
        <w:t>tłumienie,</w:t>
      </w:r>
    </w:p>
    <w:p>
      <w:pPr>
        <w:pStyle w:val="ListParagraph"/>
        <w:numPr>
          <w:ilvl w:val="0"/>
          <w:numId w:val="83"/>
        </w:numPr>
        <w:rPr/>
      </w:pPr>
      <w:r>
        <w:rPr/>
        <w:t>NEXT i PS NEXT w dwóch kierunkach,</w:t>
      </w:r>
    </w:p>
    <w:p>
      <w:pPr>
        <w:pStyle w:val="ListParagraph"/>
        <w:numPr>
          <w:ilvl w:val="0"/>
          <w:numId w:val="83"/>
        </w:numPr>
        <w:rPr/>
      </w:pPr>
      <w:r>
        <w:rPr/>
        <w:t>ACR-F i PS ACR-F w dwóch kierunkach,</w:t>
      </w:r>
    </w:p>
    <w:p>
      <w:pPr>
        <w:pStyle w:val="ListParagraph"/>
        <w:numPr>
          <w:ilvl w:val="0"/>
          <w:numId w:val="83"/>
        </w:numPr>
        <w:rPr/>
      </w:pPr>
      <w:r>
        <w:rPr/>
        <w:t>ACR-N i PS ACR-N w dwóch kierunkach,</w:t>
      </w:r>
    </w:p>
    <w:p>
      <w:pPr>
        <w:pStyle w:val="ListParagraph"/>
        <w:numPr>
          <w:ilvl w:val="0"/>
          <w:numId w:val="83"/>
        </w:numPr>
        <w:rPr/>
      </w:pPr>
      <w:r>
        <w:rPr/>
        <w:t>RL w dwóch kierunkach,</w:t>
      </w:r>
    </w:p>
    <w:p>
      <w:pPr>
        <w:pStyle w:val="ListParagraph"/>
        <w:numPr>
          <w:ilvl w:val="0"/>
          <w:numId w:val="83"/>
        </w:numPr>
        <w:rPr/>
      </w:pPr>
      <w:r>
        <w:rPr/>
        <w:t>PSAACRF oraz PSANEXT lub informacje od producenta, że parametry te są spełnione w danej konfiguracji (wymagany odpowiedni certyfikat wydany przez laboratorium pomiarowe).</w:t>
      </w:r>
    </w:p>
    <w:p>
      <w:pPr>
        <w:pStyle w:val="Normal"/>
        <w:rPr/>
      </w:pPr>
      <w:r>
        <w:rPr/>
        <w:t>Zastosować się do procedur certyfikacji okablowania producenta.</w:t>
      </w:r>
    </w:p>
    <w:p>
      <w:pPr>
        <w:pStyle w:val="Normal"/>
        <w:rPr/>
      </w:pPr>
      <w:r>
        <w:rPr/>
        <w:t>Przykładowa</w:t>
        <w:tab/>
        <w:t>procedura</w:t>
        <w:tab/>
        <w:t>certyfikacyjna</w:t>
        <w:tab/>
        <w:t>wymaga</w:t>
        <w:tab/>
        <w:t>spełnienia</w:t>
        <w:tab/>
        <w:t>następujących warunków:</w:t>
      </w:r>
    </w:p>
    <w:p>
      <w:pPr>
        <w:pStyle w:val="ListParagraph"/>
        <w:numPr>
          <w:ilvl w:val="0"/>
          <w:numId w:val="84"/>
        </w:numPr>
        <w:rPr/>
      </w:pPr>
      <w:r>
        <w:rPr/>
        <w:t>Dostawy rozwiązań i elementów zatwierdzonych w projektach wykonawczych zgodnie z obowiązującą w Polsce oficjalną drogą dystrybucji wyznaczoną przez Producenta okablowania</w:t>
      </w:r>
    </w:p>
    <w:p>
      <w:pPr>
        <w:pStyle w:val="ListParagraph"/>
        <w:numPr>
          <w:ilvl w:val="0"/>
          <w:numId w:val="84"/>
        </w:numPr>
        <w:rPr/>
      </w:pPr>
      <w:r>
        <w:rPr/>
        <w:t>Przedstawienia producentowi listy produktów nabytych poprzez autoryzowany kanał dystrybucji w Polsce.</w:t>
      </w:r>
    </w:p>
    <w:p>
      <w:pPr>
        <w:pStyle w:val="ListParagraph"/>
        <w:numPr>
          <w:ilvl w:val="0"/>
          <w:numId w:val="84"/>
        </w:numPr>
        <w:rPr/>
      </w:pPr>
      <w:r>
        <w:rPr/>
        <w:t>Wykonania okablowania strukturalnego w całkowitej zgodności z obowiązującymi normami ISO/IEC 11801 z możliwością zastosowania rozwiązań równoważnych, EN 50173-1 z możliwością zastosowania rozwiązań równoważnych, EN 50174-1, EN 50174-2 z możliwością zastosowania rozwiązań równoważnych dotyczącymi parametrów technicznych okablowania, jak również procedur instalacji i administracji.</w:t>
      </w:r>
    </w:p>
    <w:p>
      <w:pPr>
        <w:pStyle w:val="ListParagraph"/>
        <w:numPr>
          <w:ilvl w:val="0"/>
          <w:numId w:val="84"/>
        </w:numPr>
        <w:rPr/>
      </w:pPr>
      <w:r>
        <w:rPr/>
        <w:t>Potwierdzenia parametrów transmisyjnych zbudowanego okablowania na zgodność   z obowiązującymi normami przez przedstawienie certyfikatów pomiarowych wszystkich torów transmisyjnych miedzianych.</w:t>
      </w:r>
    </w:p>
    <w:p>
      <w:pPr>
        <w:pStyle w:val="ListParagraph"/>
        <w:numPr>
          <w:ilvl w:val="0"/>
          <w:numId w:val="84"/>
        </w:numPr>
        <w:rPr/>
      </w:pPr>
      <w:r>
        <w:rPr/>
        <w:t>Wykonawca musi posiadać status i uprawnienia w zakresie instalacji okablowania strukturalnego, potwierdzony umową zawartą z producentem, regulującą warunki udzielania w/w gwarancji przez producenta.</w:t>
      </w:r>
    </w:p>
    <w:p>
      <w:pPr>
        <w:pStyle w:val="ListParagraph"/>
        <w:numPr>
          <w:ilvl w:val="0"/>
          <w:numId w:val="84"/>
        </w:numPr>
        <w:rPr/>
      </w:pPr>
      <w:r>
        <w:rPr/>
        <w:t>W celu zagwarantowania Użytkownikom końcowym najwyższejjakości parametrów technicznych i użytkowych, cała instalacja ma być zweryfikowana przez inżynierów ze strony producenta.</w:t>
      </w:r>
    </w:p>
    <w:p>
      <w:pPr>
        <w:pStyle w:val="Nagwek2"/>
        <w:numPr>
          <w:ilvl w:val="1"/>
          <w:numId w:val="3"/>
        </w:numPr>
        <w:shd w:val="clear" w:fill="FCDBD3"/>
        <w:rPr/>
      </w:pPr>
      <w:bookmarkStart w:id="195" w:name="_Toc10627807"/>
      <w:bookmarkEnd w:id="195"/>
      <w:r>
        <w:rPr/>
        <w:t>Rozliczenie robót</w:t>
      </w:r>
    </w:p>
    <w:p>
      <w:pPr>
        <w:pStyle w:val="Normal"/>
        <w:rPr/>
      </w:pPr>
      <w:r>
        <w:rPr/>
        <w:t>Podstawę płatności stanowi komplet wykonanych robót i pomiarów pomontażowych.</w:t>
      </w:r>
    </w:p>
    <w:p>
      <w:pPr>
        <w:pStyle w:val="Normal"/>
        <w:rPr/>
      </w:pPr>
      <w:r>
        <w:rPr/>
        <w:t>Należy wykonać sprawdzenie odbiorcze. Wszystkie czynności, za pomocą których kontroluje się zgodność instalacji elektrycznej z odpowiednimi wymaganiami normy PN-HD 60364-6 z możliwością zastosowania rozwiązań równoważnych z możliwością zastosowania rozwiązań równoważnych powinny obejmować: oględziny, próby i protokołowanie.</w:t>
      </w:r>
    </w:p>
    <w:p>
      <w:pPr>
        <w:pStyle w:val="Normal"/>
        <w:rPr/>
      </w:pPr>
      <w:r>
        <w:rPr/>
        <w:t>Oględziny należy wykonać przed próbami i powinny obejmować następujące sprawdzenia:</w:t>
      </w:r>
    </w:p>
    <w:p>
      <w:pPr>
        <w:pStyle w:val="ListParagraph"/>
        <w:numPr>
          <w:ilvl w:val="0"/>
          <w:numId w:val="83"/>
        </w:numPr>
        <w:rPr/>
      </w:pPr>
      <w:r>
        <w:rPr/>
        <w:t>sposób ochrony przed porażeniem prądem elektrycznym,</w:t>
      </w:r>
    </w:p>
    <w:p>
      <w:pPr>
        <w:pStyle w:val="ListParagraph"/>
        <w:numPr>
          <w:ilvl w:val="0"/>
          <w:numId w:val="83"/>
        </w:numPr>
        <w:rPr/>
      </w:pPr>
      <w:r>
        <w:rPr/>
        <w:t>występowanie przegród ogniowych i innych środków zapobiegających rozprzestrzenianiu się ognia oraz ochrony przed skutkami działania ciepła,</w:t>
      </w:r>
    </w:p>
    <w:p>
      <w:pPr>
        <w:pStyle w:val="ListParagraph"/>
        <w:numPr>
          <w:ilvl w:val="0"/>
          <w:numId w:val="83"/>
        </w:numPr>
        <w:rPr/>
      </w:pPr>
      <w:r>
        <w:rPr/>
        <w:t>dobór przewodów z uwagi na obciążalności prądową i spadek napięcia,</w:t>
      </w:r>
    </w:p>
    <w:p>
      <w:pPr>
        <w:pStyle w:val="ListParagraph"/>
        <w:numPr>
          <w:ilvl w:val="0"/>
          <w:numId w:val="83"/>
        </w:numPr>
        <w:rPr/>
      </w:pPr>
      <w:r>
        <w:rPr/>
        <w:t>dobór i nastawienie urządzeń zabezpieczających i sygnalizujących,</w:t>
      </w:r>
    </w:p>
    <w:p>
      <w:pPr>
        <w:pStyle w:val="ListParagraph"/>
        <w:numPr>
          <w:ilvl w:val="0"/>
          <w:numId w:val="83"/>
        </w:numPr>
        <w:rPr/>
      </w:pPr>
      <w:r>
        <w:rPr/>
        <w:t>występowanie i prawidłowe umieszczenie właściwych urządzeń do odłączania izolacyjnego i łączenia,</w:t>
      </w:r>
    </w:p>
    <w:p>
      <w:pPr>
        <w:pStyle w:val="ListParagraph"/>
        <w:numPr>
          <w:ilvl w:val="0"/>
          <w:numId w:val="83"/>
        </w:numPr>
        <w:rPr/>
      </w:pPr>
      <w:r>
        <w:rPr/>
        <w:t>prawidłowe oznaczenie przewodów neutralnych i ochronnych,</w:t>
      </w:r>
    </w:p>
    <w:p>
      <w:pPr>
        <w:pStyle w:val="ListParagraph"/>
        <w:numPr>
          <w:ilvl w:val="0"/>
          <w:numId w:val="83"/>
        </w:numPr>
        <w:rPr/>
      </w:pPr>
      <w:r>
        <w:rPr/>
        <w:t>przyłączenie łączników jednobiegunowych do przewodów fazowych,</w:t>
      </w:r>
    </w:p>
    <w:p>
      <w:pPr>
        <w:pStyle w:val="ListParagraph"/>
        <w:numPr>
          <w:ilvl w:val="0"/>
          <w:numId w:val="83"/>
        </w:numPr>
        <w:rPr/>
      </w:pPr>
      <w:r>
        <w:rPr/>
        <w:t>obecność schematów, napisów ostrzegawczych lub innych podobnych informacji,</w:t>
      </w:r>
    </w:p>
    <w:p>
      <w:pPr>
        <w:pStyle w:val="ListParagraph"/>
        <w:numPr>
          <w:ilvl w:val="0"/>
          <w:numId w:val="83"/>
        </w:numPr>
        <w:rPr/>
      </w:pPr>
      <w:r>
        <w:rPr/>
        <w:t>oznaczenie obwodów, urządzeń zabezpieczających przed prądem przetężeniowych, łączników, zacisków, itp.,</w:t>
      </w:r>
    </w:p>
    <w:p>
      <w:pPr>
        <w:pStyle w:val="ListParagraph"/>
        <w:numPr>
          <w:ilvl w:val="0"/>
          <w:numId w:val="83"/>
        </w:numPr>
        <w:rPr/>
      </w:pPr>
      <w:r>
        <w:rPr/>
        <w:t>poprawność połączeń przewodów,</w:t>
      </w:r>
    </w:p>
    <w:p>
      <w:pPr>
        <w:pStyle w:val="ListParagraph"/>
        <w:numPr>
          <w:ilvl w:val="0"/>
          <w:numId w:val="83"/>
        </w:numPr>
        <w:rPr/>
      </w:pPr>
      <w:r>
        <w:rPr/>
        <w:t>występowanie ciągłości przewodów ochronnych, w tym przewodów ochronnych połączeń wyrównawczych głównych i połączeń wyrównawczych dodatkowych,</w:t>
      </w:r>
    </w:p>
    <w:p>
      <w:pPr>
        <w:pStyle w:val="ListParagraph"/>
        <w:numPr>
          <w:ilvl w:val="0"/>
          <w:numId w:val="83"/>
        </w:numPr>
        <w:rPr/>
      </w:pPr>
      <w:r>
        <w:rPr/>
        <w:t>dostępność urządzeń, umożliwiająca wygodną obsługę, identyfikację,</w:t>
      </w:r>
    </w:p>
    <w:p>
      <w:pPr>
        <w:pStyle w:val="ListParagraph"/>
        <w:numPr>
          <w:ilvl w:val="0"/>
          <w:numId w:val="83"/>
        </w:numPr>
        <w:rPr/>
      </w:pPr>
      <w:r>
        <w:rPr/>
        <w:t>Próby powinny obejmować czynności w następującej kolejności:</w:t>
      </w:r>
    </w:p>
    <w:p>
      <w:pPr>
        <w:pStyle w:val="ListParagraph"/>
        <w:numPr>
          <w:ilvl w:val="0"/>
          <w:numId w:val="83"/>
        </w:numPr>
        <w:rPr/>
      </w:pPr>
      <w:r>
        <w:rPr/>
        <w:t>ciągłość przewodów,</w:t>
      </w:r>
    </w:p>
    <w:p>
      <w:pPr>
        <w:pStyle w:val="ListParagraph"/>
        <w:numPr>
          <w:ilvl w:val="0"/>
          <w:numId w:val="83"/>
        </w:numPr>
        <w:rPr/>
      </w:pPr>
      <w:r>
        <w:rPr/>
        <w:t>rezystancja izolacji instalacji elektrycznej,</w:t>
      </w:r>
    </w:p>
    <w:p>
      <w:pPr>
        <w:pStyle w:val="ListParagraph"/>
        <w:numPr>
          <w:ilvl w:val="0"/>
          <w:numId w:val="83"/>
        </w:numPr>
        <w:rPr/>
      </w:pPr>
      <w:r>
        <w:rPr/>
        <w:t>ochrona za pomocą SELV, PELV lub separacji elektrycznej,</w:t>
      </w:r>
    </w:p>
    <w:p>
      <w:pPr>
        <w:pStyle w:val="ListParagraph"/>
        <w:numPr>
          <w:ilvl w:val="0"/>
          <w:numId w:val="83"/>
        </w:numPr>
        <w:rPr/>
      </w:pPr>
      <w:r>
        <w:rPr/>
        <w:t>samoczynne wyłączanie zasilania,</w:t>
      </w:r>
    </w:p>
    <w:p>
      <w:pPr>
        <w:pStyle w:val="ListParagraph"/>
        <w:numPr>
          <w:ilvl w:val="0"/>
          <w:numId w:val="83"/>
        </w:numPr>
        <w:rPr/>
      </w:pPr>
      <w:r>
        <w:rPr/>
        <w:t>ochrona uzupełniająca,</w:t>
      </w:r>
    </w:p>
    <w:p>
      <w:pPr>
        <w:pStyle w:val="ListParagraph"/>
        <w:numPr>
          <w:ilvl w:val="0"/>
          <w:numId w:val="83"/>
        </w:numPr>
        <w:rPr/>
      </w:pPr>
      <w:r>
        <w:rPr/>
        <w:t>sprawdzenie biegunowości,</w:t>
      </w:r>
    </w:p>
    <w:p>
      <w:pPr>
        <w:pStyle w:val="ListParagraph"/>
        <w:numPr>
          <w:ilvl w:val="0"/>
          <w:numId w:val="83"/>
        </w:numPr>
        <w:rPr/>
      </w:pPr>
      <w:r>
        <w:rPr/>
        <w:t>sprawdzenie kolejności faz,</w:t>
      </w:r>
    </w:p>
    <w:p>
      <w:pPr>
        <w:pStyle w:val="ListParagraph"/>
        <w:numPr>
          <w:ilvl w:val="0"/>
          <w:numId w:val="83"/>
        </w:numPr>
        <w:rPr/>
      </w:pPr>
      <w:r>
        <w:rPr/>
        <w:t>próby funkcjonalne i operacyjne,</w:t>
      </w:r>
    </w:p>
    <w:p>
      <w:pPr>
        <w:pStyle w:val="ListParagraph"/>
        <w:numPr>
          <w:ilvl w:val="0"/>
          <w:numId w:val="83"/>
        </w:numPr>
        <w:rPr/>
      </w:pPr>
      <w:r>
        <w:rPr/>
        <w:t>spadek napięcia,</w:t>
      </w:r>
    </w:p>
    <w:p>
      <w:pPr>
        <w:pStyle w:val="ListParagraph"/>
        <w:numPr>
          <w:ilvl w:val="0"/>
          <w:numId w:val="83"/>
        </w:numPr>
        <w:rPr/>
      </w:pPr>
      <w:r>
        <w:rPr/>
        <w:t>po zakończeniu czynności sprawdzających należy sporządzić protokół odbiorczy. W protokole należy podać osobę lub osoby odpowiedzialne za bezpieczeństwo, budowę i sprawdzenie instalacji, uwzględniając indywidualną odpowiedzialność tych osób w stosunku do osoby zlecającej pracę.</w:t>
      </w:r>
    </w:p>
    <w:p>
      <w:pPr>
        <w:sectPr>
          <w:headerReference w:type="even" r:id="rId11"/>
          <w:headerReference w:type="default" r:id="rId12"/>
          <w:footerReference w:type="even" r:id="rId13"/>
          <w:footerReference w:type="default" r:id="rId14"/>
          <w:type w:val="nextPage"/>
          <w:pgSz w:w="11906" w:h="16838"/>
          <w:pgMar w:left="1800" w:right="1440" w:header="708" w:top="1440" w:footer="708" w:bottom="1440" w:gutter="0"/>
          <w:pgNumType w:fmt="decimal"/>
          <w:formProt w:val="false"/>
          <w:textDirection w:val="lrTb"/>
          <w:docGrid w:type="default" w:linePitch="360" w:charSpace="2047"/>
        </w:sectPr>
        <w:pStyle w:val="Normal"/>
        <w:ind w:left="360" w:hanging="0"/>
        <w:rPr/>
      </w:pPr>
      <w:r>
        <w:rPr/>
        <w:t>Zaleca się sporządzenie protokołu według wzorów zgodnie z normą PN-HD 60364-6 z możliwością zastosowania rozwiązań równoważnych</w:t>
      </w:r>
    </w:p>
    <w:p>
      <w:pPr>
        <w:pStyle w:val="Tytu"/>
        <w:numPr>
          <w:ilvl w:val="2"/>
          <w:numId w:val="9"/>
        </w:numPr>
        <w:ind w:left="567" w:hanging="567"/>
        <w:rPr/>
      </w:pPr>
      <w:r>
        <w:rPr/>
        <w:t>część Informacyjna</w:t>
      </w:r>
    </w:p>
    <w:p>
      <w:pPr>
        <w:pStyle w:val="Nagwek1"/>
        <w:numPr>
          <w:ilvl w:val="0"/>
          <w:numId w:val="2"/>
        </w:numPr>
        <w:shd w:val="clear" w:fill="F04E23"/>
        <w:rPr/>
      </w:pPr>
      <w:bookmarkStart w:id="196" w:name="_Toc501550620"/>
      <w:bookmarkStart w:id="197" w:name="_Toc501574825"/>
      <w:bookmarkStart w:id="198" w:name="_Toc501620272"/>
      <w:bookmarkStart w:id="199" w:name="_Toc501625394"/>
      <w:bookmarkStart w:id="200" w:name="_Toc10627808"/>
      <w:bookmarkEnd w:id="196"/>
      <w:bookmarkEnd w:id="197"/>
      <w:bookmarkEnd w:id="198"/>
      <w:bookmarkEnd w:id="199"/>
      <w:bookmarkEnd w:id="200"/>
      <w:r>
        <w:rPr/>
        <w:t>dokumenty potwierdzające zgodność zamierzenia budowlanego z wymaganiami wynikającymi z odrębnych przepisów</w:t>
      </w:r>
    </w:p>
    <w:p>
      <w:pPr>
        <w:pStyle w:val="Normal"/>
        <w:rPr/>
      </w:pPr>
      <w:r>
        <w:rPr/>
        <w:t>Załącznik 1A Dokumentacja archiwalna</w:t>
      </w:r>
    </w:p>
    <w:p>
      <w:pPr>
        <w:pStyle w:val="Normal"/>
        <w:rPr/>
      </w:pPr>
      <w:r>
        <w:rPr/>
        <w:t>Załącznik 1B Audyt energetyczny</w:t>
      </w:r>
    </w:p>
    <w:p>
      <w:pPr>
        <w:pStyle w:val="Normal"/>
        <w:rPr/>
      </w:pPr>
      <w:r>
        <w:rPr/>
        <w:t>Załącznik 1C Szacunek kosztów inwestycji</w:t>
      </w:r>
    </w:p>
    <w:p>
      <w:pPr>
        <w:pStyle w:val="Normal"/>
        <w:rPr/>
      </w:pPr>
      <w:r>
        <w:rPr/>
        <w:t>Załącznik 1D Ekspertyza ornitologiczna i chiropterologiczna</w:t>
      </w:r>
    </w:p>
    <w:p>
      <w:pPr>
        <w:pStyle w:val="Nagwek1"/>
        <w:numPr>
          <w:ilvl w:val="0"/>
          <w:numId w:val="2"/>
        </w:numPr>
        <w:shd w:val="clear" w:fill="F04E23"/>
        <w:rPr/>
      </w:pPr>
      <w:bookmarkStart w:id="201" w:name="_Toc501550621"/>
      <w:bookmarkStart w:id="202" w:name="_Toc501574826"/>
      <w:bookmarkStart w:id="203" w:name="_Toc501620273"/>
      <w:bookmarkStart w:id="204" w:name="_Toc501625395"/>
      <w:bookmarkStart w:id="205" w:name="_Toc10627809"/>
      <w:bookmarkEnd w:id="201"/>
      <w:bookmarkEnd w:id="202"/>
      <w:bookmarkEnd w:id="203"/>
      <w:bookmarkEnd w:id="204"/>
      <w:bookmarkEnd w:id="205"/>
      <w:r>
        <w:rPr/>
        <w:t>oświadczenie zamawiającego stwierdzające jego prawo do dysponowania nieruchomością na cele budowlane</w:t>
      </w:r>
    </w:p>
    <w:p>
      <w:pPr>
        <w:pStyle w:val="Normal"/>
        <w:rPr/>
      </w:pPr>
      <w:r>
        <w:rPr/>
        <w:t>Załącznik 2 Oświadczenie Zamawiające stwierdzające jego prawo do dysponowania nieruchomością na cele budowlane</w:t>
      </w:r>
    </w:p>
    <w:p>
      <w:pPr>
        <w:pStyle w:val="Nagwek1"/>
        <w:numPr>
          <w:ilvl w:val="0"/>
          <w:numId w:val="2"/>
        </w:numPr>
        <w:shd w:val="clear" w:fill="F04E23"/>
        <w:rPr/>
      </w:pPr>
      <w:bookmarkStart w:id="206" w:name="_Toc501019169"/>
      <w:bookmarkStart w:id="207" w:name="_Toc501550622"/>
      <w:bookmarkStart w:id="208" w:name="_Toc501574827"/>
      <w:bookmarkStart w:id="209" w:name="_Toc501620274"/>
      <w:bookmarkStart w:id="210" w:name="_Toc501625396"/>
      <w:bookmarkStart w:id="211" w:name="_Toc10627810"/>
      <w:bookmarkEnd w:id="206"/>
      <w:bookmarkEnd w:id="207"/>
      <w:bookmarkEnd w:id="208"/>
      <w:bookmarkEnd w:id="209"/>
      <w:bookmarkEnd w:id="210"/>
      <w:bookmarkEnd w:id="211"/>
      <w:r>
        <w:rPr/>
        <w:t>przepisy prawne i normy związane z projektowaniem i wykonaniem zamierzenia budowlanego</w:t>
      </w:r>
    </w:p>
    <w:p>
      <w:pPr>
        <w:pStyle w:val="Normal"/>
        <w:rPr/>
      </w:pPr>
      <w:r>
        <w:rPr/>
        <w:t>Projekt i zamierzenia budowlanego powinny zostać wykonane zgodnie z następującymi przepisami:</w:t>
      </w:r>
    </w:p>
    <w:p>
      <w:pPr>
        <w:pStyle w:val="Normal"/>
        <w:spacing w:before="100" w:after="100"/>
        <w:rPr/>
      </w:pPr>
      <w:r>
        <w:rPr>
          <w:b/>
          <w:bCs/>
        </w:rPr>
        <w:t>Ustawy i rozporządzenia</w:t>
      </w:r>
    </w:p>
    <w:p>
      <w:pPr>
        <w:pStyle w:val="ListParagraph"/>
        <w:numPr>
          <w:ilvl w:val="0"/>
          <w:numId w:val="16"/>
        </w:numPr>
        <w:rPr/>
      </w:pPr>
      <w:r>
        <w:rPr/>
        <w:t>Ustawa z dn. 23.07.2003 r. o ochronie zabytków i opiece nad zabytkami (t.j. Dz.U.2018.2067 z dn. 30.10.2018r. z późn. zm.),</w:t>
      </w:r>
    </w:p>
    <w:p>
      <w:pPr>
        <w:pStyle w:val="ListParagraph"/>
        <w:numPr>
          <w:ilvl w:val="0"/>
          <w:numId w:val="16"/>
        </w:numPr>
        <w:rPr/>
      </w:pPr>
      <w:r>
        <w:rPr/>
        <w:t>Rozporządzenie Ministra Kultury i Dziedzictwa Narodowego z dn. 02.08.2018r. w sprawie prowadzenia prac konserwatorskich, prac restauratorskich i badań konserwatorskich przy zabytku wpisanym do rejestru zabytków albo na Listę Skarbów Dziedzictwa oraz robót budowlanych, badań architektonicznych i innych działań przy zabytku wpisanym do rejestru zabytków, a także badań archeologicznych i poszukiwań zabytków (Dz.U.2018.1609 z dn. 22.08.2018r.),</w:t>
      </w:r>
    </w:p>
    <w:p>
      <w:pPr>
        <w:pStyle w:val="ListParagraph"/>
        <w:numPr>
          <w:ilvl w:val="0"/>
          <w:numId w:val="16"/>
        </w:numPr>
        <w:rPr/>
      </w:pPr>
      <w:bookmarkStart w:id="212" w:name="_Ref7007457"/>
      <w:bookmarkEnd w:id="212"/>
      <w:r>
        <w:rPr/>
        <w:t>Ustawa z dn. 29.01.2004 r. Prawo zamówień publicznych (t.j. Dz.U.2018.1986 z dn. 16.10.2018r.),</w:t>
      </w:r>
    </w:p>
    <w:p>
      <w:pPr>
        <w:pStyle w:val="ListParagraph"/>
        <w:numPr>
          <w:ilvl w:val="0"/>
          <w:numId w:val="16"/>
        </w:numPr>
        <w:rPr/>
      </w:pPr>
      <w:bookmarkStart w:id="213" w:name="_Ref7009112"/>
      <w:r>
        <w:rPr/>
        <w:t>Rozporządzenie Ministra Infrastruktury z dn. 02.09.2004 r. w sprawie szczegółowego zakresu i formy dokumentacji projektowej, specyfikacji technicznych wykonania i odbioru robót budowlanych oraz programu funkcjonalno-użytkowego (t.. Dz.U.2013.1129 z dn. 24.09.2013r.),</w:t>
      </w:r>
      <w:bookmarkEnd w:id="213"/>
      <w:r>
        <w:rPr/>
        <w:t xml:space="preserve"> </w:t>
      </w:r>
    </w:p>
    <w:p>
      <w:pPr>
        <w:pStyle w:val="ListParagraph"/>
        <w:numPr>
          <w:ilvl w:val="0"/>
          <w:numId w:val="16"/>
        </w:numPr>
        <w:rPr/>
      </w:pPr>
      <w:bookmarkStart w:id="214" w:name="_Ref7009252"/>
      <w:bookmarkEnd w:id="214"/>
      <w:r>
        <w:rPr/>
        <w:t>Rozporządzenie Ministra Infrastruktury z dn, 18.05.2004 r. w sprawie określenia metod i podstaw sporządzania kosztorysu inwestorskiego, obliczania planowanych kosztów prac projektowych oraz planowanych kosztów robót budowlanych określonych w programie funkcjonalno-użytkowym (Dz.U.2004.130.1389 z dn. 08.06.2004r.),</w:t>
      </w:r>
    </w:p>
    <w:p>
      <w:pPr>
        <w:pStyle w:val="ListParagraph"/>
        <w:numPr>
          <w:ilvl w:val="0"/>
          <w:numId w:val="16"/>
        </w:numPr>
        <w:rPr/>
      </w:pPr>
      <w:bookmarkStart w:id="215" w:name="_Ref7006977"/>
      <w:bookmarkEnd w:id="215"/>
      <w:r>
        <w:rPr/>
        <w:t>Ustawa z dn. 07.07.1994r. Prawo Budowlane (t.j. Dz.U.2018.1202 z dn. 22.06.2018r. z późn. zm.),</w:t>
      </w:r>
    </w:p>
    <w:p>
      <w:pPr>
        <w:pStyle w:val="ListParagraph"/>
        <w:numPr>
          <w:ilvl w:val="0"/>
          <w:numId w:val="16"/>
        </w:numPr>
        <w:rPr/>
      </w:pPr>
      <w:bookmarkStart w:id="216" w:name="_Ref10613371"/>
      <w:bookmarkEnd w:id="216"/>
      <w:r>
        <w:rPr/>
        <w:t>Rozporządzenie Ministra Infrastruktury z dn. 12.04.2002r. w sprawie warunków technicznych, jakim powinny odpowiadać budynki i ich usytuowanie (t.j. Dz.U.2015.1422 z dn. 18.09.2015r. z późn. zm.),</w:t>
      </w:r>
    </w:p>
    <w:p>
      <w:pPr>
        <w:pStyle w:val="ListParagraph"/>
        <w:numPr>
          <w:ilvl w:val="0"/>
          <w:numId w:val="16"/>
        </w:numPr>
        <w:rPr/>
      </w:pPr>
      <w:bookmarkStart w:id="217" w:name="_Ref7007215"/>
      <w:bookmarkEnd w:id="217"/>
      <w:r>
        <w:rPr/>
        <w:t>Rozporządzenie Ministra Transportu, Budownictwa i Gospodarki Morskiej z dn. 25.04.2012r. w sprawie szczegółowego zakresu i formy projektu budowlanego (t.j. Dz.U.2018.1935 z dn. 09.10.2018r.),</w:t>
      </w:r>
    </w:p>
    <w:p>
      <w:pPr>
        <w:pStyle w:val="ListParagraph"/>
        <w:numPr>
          <w:ilvl w:val="0"/>
          <w:numId w:val="16"/>
        </w:numPr>
        <w:rPr/>
      </w:pPr>
      <w:bookmarkStart w:id="218" w:name="_Ref10433882"/>
      <w:bookmarkEnd w:id="218"/>
      <w:r>
        <w:rPr/>
        <w:t>Rozporządzenie Ministra Infrastruktury z dn. 23.06.2003r. w sprawie informacji dotyczącej bezpieczeństwa i ochrony zdrowia oraz planu bezpieczeństwa i ochrony zdrowia (Dz.U.2003.120.1126 z dn. 10.07.2003r.),</w:t>
      </w:r>
    </w:p>
    <w:p>
      <w:pPr>
        <w:pStyle w:val="ListParagraph"/>
        <w:numPr>
          <w:ilvl w:val="0"/>
          <w:numId w:val="16"/>
        </w:numPr>
        <w:rPr/>
      </w:pPr>
      <w:r>
        <w:rPr/>
        <w:t>Rozporządzenie Ministra Infrastruktury z dnia 19.11.2001r. w sprawie rodzajów obiektów budowlanych, przy których realizacji jest wymagane ustanowienie inspektora nadzoru inwestorskiego (Dz.U.2001.138.1554 z dn. 04.12.2001r.),</w:t>
      </w:r>
    </w:p>
    <w:p>
      <w:pPr>
        <w:pStyle w:val="ListParagraph"/>
        <w:numPr>
          <w:ilvl w:val="0"/>
          <w:numId w:val="16"/>
        </w:numPr>
        <w:rPr/>
      </w:pPr>
      <w:r>
        <w:rPr/>
        <w:t>Rozporządzenie Ministra Pracy I Polityki Socjalnej z dn. 26.09.199 r. w sprawie ogólnych przepisów bezpieczeństwa i higieny pracy (t.j. Dz.U.2003.169.1650 z dn. 29.09.2003r. z późn. zm.),</w:t>
      </w:r>
    </w:p>
    <w:p>
      <w:pPr>
        <w:pStyle w:val="ListParagraph"/>
        <w:numPr>
          <w:ilvl w:val="0"/>
          <w:numId w:val="16"/>
        </w:numPr>
        <w:rPr/>
      </w:pPr>
      <w:r>
        <w:rPr/>
        <w:t>Rozporządzenie Ministra Pracy i Polityki Społecznej z dn. 12.06.2018r. w sprawie najwyższych dopuszczalnych stężeń i natężeń czynników szkodliwych dla zdrowia w środowisku pracy (Dz.U.2018.1286 z dn. 03.07.2018r.),</w:t>
      </w:r>
    </w:p>
    <w:p>
      <w:pPr>
        <w:pStyle w:val="ListParagraph"/>
        <w:numPr>
          <w:ilvl w:val="0"/>
          <w:numId w:val="16"/>
        </w:numPr>
        <w:rPr/>
      </w:pPr>
      <w:r>
        <w:rPr/>
        <w:t>Zarządzenie Ministra Zdrowia i Opieki Społecznej z dn. 12 marca 1996r. w sprawie w sprawie dopuszczalnych stężeń i natężeń czynników szkodliwych dla zdrowia, wydzielanych przez materiały budowlane, urządzenia i elementy wyposażenia w pomieszczeniach przeznaczonych na pobyt ludzi (M.P.1996.19.231 z dn. 22.03.1996r.)</w:t>
      </w:r>
    </w:p>
    <w:p>
      <w:pPr>
        <w:pStyle w:val="ListParagraph"/>
        <w:numPr>
          <w:ilvl w:val="0"/>
          <w:numId w:val="16"/>
        </w:numPr>
        <w:rPr/>
      </w:pPr>
      <w:r>
        <w:rPr/>
        <w:t>Ustawa z dn. 27.03.2003r. o planowaniu i zagospodarowaniu przestrzennym (t.j. Dz.U.2018.1945 z dn. 10.10.2018r. z późn. zm.),</w:t>
      </w:r>
    </w:p>
    <w:p>
      <w:pPr>
        <w:pStyle w:val="ListParagraph"/>
        <w:numPr>
          <w:ilvl w:val="0"/>
          <w:numId w:val="16"/>
        </w:numPr>
        <w:rPr/>
      </w:pPr>
      <w:r>
        <w:rPr/>
        <w:t>Ustawa z dn. 07.09.1991r. o systemie oświaty (t.j. Dz.U.2018.1457 z dn. 31.07.2018r. z późn. zm.),</w:t>
      </w:r>
    </w:p>
    <w:p>
      <w:pPr>
        <w:pStyle w:val="ListParagraph"/>
        <w:numPr>
          <w:ilvl w:val="0"/>
          <w:numId w:val="16"/>
        </w:numPr>
        <w:rPr/>
      </w:pPr>
      <w:r>
        <w:rPr/>
        <w:t>Rozporządzenie Ministra Edukacji Narodowej i Sportu z dn. 31.12.2002r. w sprawie bezpieczeństwa i higieny w publicznych i niepublicznych szkołach i placówkach (Dz.U.2003.6.69 z dn. 22.01.2003r. z późn. zm.),</w:t>
      </w:r>
    </w:p>
    <w:p>
      <w:pPr>
        <w:pStyle w:val="ListParagraph"/>
        <w:numPr>
          <w:ilvl w:val="0"/>
          <w:numId w:val="16"/>
        </w:numPr>
        <w:rPr/>
      </w:pPr>
      <w:r>
        <w:rPr/>
        <w:t>Ustawa z dnia 14.12.2012 r. o odpadach (t.j. Dz.U.2018.992 z dn. 24.05.2018r. z późn. zm.),</w:t>
      </w:r>
    </w:p>
    <w:p>
      <w:pPr>
        <w:pStyle w:val="ListParagraph"/>
        <w:numPr>
          <w:ilvl w:val="0"/>
          <w:numId w:val="16"/>
        </w:numPr>
        <w:rPr/>
      </w:pPr>
      <w:r>
        <w:rPr/>
        <w:t>Rozporządzenie Ministra Środowiska z dn. 09.12.2014r. w sprawie katalogu odpadów (Dz.U.2014.1923 z dn. 29.12.2014r.),</w:t>
      </w:r>
    </w:p>
    <w:p>
      <w:pPr>
        <w:pStyle w:val="ListParagraph"/>
        <w:numPr>
          <w:ilvl w:val="0"/>
          <w:numId w:val="16"/>
        </w:numPr>
        <w:rPr/>
      </w:pPr>
      <w:r>
        <w:rPr/>
        <w:t>Ustawa z dn. 27.04.2001 r. Prawo ochrony środowiska (t.j. Dz.U.2018.799 z dn. 27.04.2018r. z późn. zm.),</w:t>
      </w:r>
    </w:p>
    <w:p>
      <w:pPr>
        <w:pStyle w:val="ListParagraph"/>
        <w:numPr>
          <w:ilvl w:val="0"/>
          <w:numId w:val="16"/>
        </w:numPr>
        <w:rPr/>
      </w:pPr>
      <w:r>
        <w:rPr/>
        <w:t>Ustawa z dn. 16.04.2004r. o ochronie przyrody (t.j. Dz.U.2018.1614 z dn. 23.08.2018r. z późn. zm.),</w:t>
      </w:r>
    </w:p>
    <w:p>
      <w:pPr>
        <w:pStyle w:val="ListParagraph"/>
        <w:numPr>
          <w:ilvl w:val="0"/>
          <w:numId w:val="16"/>
        </w:numPr>
        <w:rPr/>
      </w:pPr>
      <w:r>
        <w:rPr/>
        <w:t>Ustawa z dnia 21 sierpnia 1997 r. o ochronie zwierząt (t.j. Dz.U.2019.122 z dn. 21.01.2019r.),</w:t>
      </w:r>
    </w:p>
    <w:p>
      <w:pPr>
        <w:pStyle w:val="ListParagraph"/>
        <w:numPr>
          <w:ilvl w:val="0"/>
          <w:numId w:val="16"/>
        </w:numPr>
        <w:rPr/>
      </w:pPr>
      <w:r>
        <w:rPr/>
        <w:t>Rozporządzenie Ministra Środowiska z dn. 16.12.2016r. w sprawie ochrony gatunkowej zwierząt (Dz.U.2016.2183 z dn. 28.12.2016r.),</w:t>
      </w:r>
    </w:p>
    <w:p>
      <w:pPr>
        <w:pStyle w:val="ListParagraph"/>
        <w:numPr>
          <w:ilvl w:val="0"/>
          <w:numId w:val="16"/>
        </w:numPr>
        <w:rPr/>
      </w:pPr>
      <w:r>
        <w:rPr/>
        <w:t>Ustawa z dn. 13.04.2007r. o zapobieganiu szkodom w środowisku i ich naprawie (t.j. Dz.U.2018.954 z dn. 21.05.2018r. z późn. zm.),</w:t>
      </w:r>
    </w:p>
    <w:p>
      <w:pPr>
        <w:pStyle w:val="ListParagraph"/>
        <w:numPr>
          <w:ilvl w:val="0"/>
          <w:numId w:val="16"/>
        </w:numPr>
        <w:rPr/>
      </w:pPr>
      <w:r>
        <w:rPr/>
        <w:t>Rozporządzenie Ministra Środowiska z dn. 01.09.2016r. w sprawie działań naprawczych (Dz.U.2016.1396 z dn. 05.09.2016r.),</w:t>
      </w:r>
    </w:p>
    <w:p>
      <w:pPr>
        <w:pStyle w:val="ListParagraph"/>
        <w:numPr>
          <w:ilvl w:val="0"/>
          <w:numId w:val="16"/>
        </w:numPr>
        <w:rPr/>
      </w:pPr>
      <w:r>
        <w:rPr/>
        <w:t>Ustawa z dn. 24.08.1991r. o ochronie przeciwpożarowej (t.j. Dz.U.2018.620 z dn. 27.03.2018r. z późn. zm.),</w:t>
      </w:r>
    </w:p>
    <w:p>
      <w:pPr>
        <w:pStyle w:val="ListParagraph"/>
        <w:numPr>
          <w:ilvl w:val="0"/>
          <w:numId w:val="16"/>
        </w:numPr>
        <w:rPr/>
      </w:pPr>
      <w:r>
        <w:rPr/>
        <w:t xml:space="preserve">Rozporządzenie Ministra Spraw Wewnętrznych i Administracji z dn. 07.06.2010r. w sprawie ochrony przeciwpożarowej budynków, innych obiektów budowlanych i terenów (Dz.U.2010.109.719 z dn. 22.06.2010r. z późn. zm.), </w:t>
      </w:r>
    </w:p>
    <w:p>
      <w:pPr>
        <w:pStyle w:val="ListParagraph"/>
        <w:numPr>
          <w:ilvl w:val="0"/>
          <w:numId w:val="16"/>
        </w:numPr>
        <w:rPr/>
      </w:pPr>
      <w:r>
        <w:rPr/>
        <w:t>Rozporządzenie Ministra Spraw Wewnętrznych i Administracji z dn. 02.12.2015r. w sprawie uzgadniania projektu budowlanego pod względem ochrony przeciwpożarowej (Dz.U.2015.2117 z dn. 14.12.2015r.),</w:t>
      </w:r>
    </w:p>
    <w:p>
      <w:pPr>
        <w:pStyle w:val="ListParagraph"/>
        <w:numPr>
          <w:ilvl w:val="0"/>
          <w:numId w:val="16"/>
        </w:numPr>
        <w:rPr/>
      </w:pPr>
      <w:r>
        <w:rPr/>
        <w:t xml:space="preserve">Rozporządzenie Ministra Spraw Wewnętrznych i Administracji z dn. 24.07.2009 w sprawie przeciwpożarowego zaopatrzenia w wodę oraz dróg pożarowych (Dz.U.2009.124.1030 z dn. 06.08.2009r.), </w:t>
      </w:r>
    </w:p>
    <w:p>
      <w:pPr>
        <w:pStyle w:val="ListParagraph"/>
        <w:numPr>
          <w:ilvl w:val="0"/>
          <w:numId w:val="16"/>
        </w:numPr>
        <w:rPr/>
      </w:pPr>
      <w:r>
        <w:rPr/>
        <w:t>Ustawa z dn. 20.07.2017r. Prawo wodne (t.j. Dz.U.2018.2268 z dn. 04.12.2018r. z późn. zm.),</w:t>
      </w:r>
    </w:p>
    <w:p>
      <w:pPr>
        <w:pStyle w:val="ListParagraph"/>
        <w:numPr>
          <w:ilvl w:val="0"/>
          <w:numId w:val="16"/>
        </w:numPr>
        <w:rPr/>
      </w:pPr>
      <w:r>
        <w:rPr/>
        <w:t>Ustawa z dn. 07.06.2001r. o zbiorowym zaopatrzeniu w wodę i zbiorowym odprowadzaniu ścieków (t.j. Dz.U.2018.1152 z dn. 14.06.2018r. z późn. zm.),</w:t>
      </w:r>
    </w:p>
    <w:p>
      <w:pPr>
        <w:pStyle w:val="ListParagraph"/>
        <w:numPr>
          <w:ilvl w:val="0"/>
          <w:numId w:val="16"/>
        </w:numPr>
        <w:rPr/>
      </w:pPr>
      <w:r>
        <w:rPr/>
        <w:t>Ustawa z dn. 20.02.2015r. o odnawialnych źródłach energii (t.j. Dz.U.2018.2389 z dn. 21.12.2018r. z późn. zm.),</w:t>
      </w:r>
    </w:p>
    <w:p>
      <w:pPr>
        <w:pStyle w:val="ListParagraph"/>
        <w:numPr>
          <w:ilvl w:val="0"/>
          <w:numId w:val="16"/>
        </w:numPr>
        <w:rPr/>
      </w:pPr>
      <w:r>
        <w:rPr/>
        <w:t>Ustawa z dn. 29.04.2014r. o charakterystyce energetycznej budynków (t.j. Dz.U.2018.1984 z dn. 16.10.2018r.),</w:t>
      </w:r>
    </w:p>
    <w:p>
      <w:pPr>
        <w:pStyle w:val="ListParagraph"/>
        <w:numPr>
          <w:ilvl w:val="0"/>
          <w:numId w:val="16"/>
        </w:numPr>
        <w:rPr/>
      </w:pPr>
      <w:r>
        <w:rPr/>
        <w:t>Ustawa z dn. 20,05.2016r. o efektywności energetycznej (Dz.U.2016.831 z dn. 11.06.2016r. z późn. zm.),</w:t>
      </w:r>
    </w:p>
    <w:p>
      <w:pPr>
        <w:pStyle w:val="ListParagraph"/>
        <w:numPr>
          <w:ilvl w:val="0"/>
          <w:numId w:val="16"/>
        </w:numPr>
        <w:rPr/>
      </w:pPr>
      <w:r>
        <w:rPr/>
        <w:t>Rozporządzenie Ministra Energii z dn. 05.10.2017r. w sprawie szczegółowego zakresu i sposobu sporządzania audytu efektywności energetycznej oraz metod obliczania oszczędności energii (Dz.U.2017.1912 z dn. 13.10.2017r.),</w:t>
      </w:r>
    </w:p>
    <w:p>
      <w:pPr>
        <w:pStyle w:val="ListParagraph"/>
        <w:numPr>
          <w:ilvl w:val="0"/>
          <w:numId w:val="16"/>
        </w:numPr>
        <w:rPr/>
      </w:pPr>
      <w:r>
        <w:rPr/>
        <w:t>Rozporządzenie Ministra Infrastruktury z dn. 17.03.2009r. w sprawie szczegółowego zakresu i form audytu energetycznego oraz części audytu remontowego, wzorów kart audytów, a także algorytmu oceny opłacalności przedsięwzięcia termomodernizacyjnego (Dz.U.2009.43.346 z dn. 18.03.2009r.  z późn. zm.),</w:t>
      </w:r>
    </w:p>
    <w:p>
      <w:pPr>
        <w:pStyle w:val="ListParagraph"/>
        <w:numPr>
          <w:ilvl w:val="0"/>
          <w:numId w:val="16"/>
        </w:numPr>
        <w:rPr/>
      </w:pPr>
      <w:r>
        <w:rPr/>
        <w:t>Rozporządzenie Ministra Infrastruktury i Rozwoju z dn. 27.02.2015r. w sprawie metodologii wyznaczania charakterystyki energetycznej budynku lub części budynku oraz świadectw charakterystyki energetycznej (Dz.U.2015.376 z dn. 18.03.2015r. z późn. zm.),</w:t>
      </w:r>
    </w:p>
    <w:p>
      <w:pPr>
        <w:pStyle w:val="ListParagraph"/>
        <w:numPr>
          <w:ilvl w:val="0"/>
          <w:numId w:val="16"/>
        </w:numPr>
        <w:rPr/>
      </w:pPr>
      <w:r>
        <w:rPr/>
        <w:t>Ustawa z dnia 16.04.2004r. o wyrobach budowlanych (t.j. Dz.U.2016.1570 z dn. 28.09.2016r. z późn. zm.),</w:t>
      </w:r>
    </w:p>
    <w:p>
      <w:pPr>
        <w:pStyle w:val="ListParagraph"/>
        <w:numPr>
          <w:ilvl w:val="0"/>
          <w:numId w:val="16"/>
        </w:numPr>
        <w:rPr/>
      </w:pPr>
      <w:r>
        <w:rPr/>
        <w:t>Rozporządzenie Ministra Infrastruktury i Budownictwa z dn. 17.11.2016r. w sprawie sposobu deklarowania właściwości użytkowych wyrobów budowlanych oraz sposobu znakowania ich znakiem budowlanym (Dz.U.2016.1966 z dn. 06.12.2016r. z późn. zm.),</w:t>
      </w:r>
    </w:p>
    <w:p>
      <w:pPr>
        <w:pStyle w:val="ListParagraph"/>
        <w:numPr>
          <w:ilvl w:val="0"/>
          <w:numId w:val="16"/>
        </w:numPr>
        <w:rPr/>
      </w:pPr>
      <w:r>
        <w:rPr/>
        <w:t>Rozporządzenie Ministra Infrastruktury i Budownictwa z dn. 17.11.2016r. w sprawie krajowych ocen technicznych (Dz.U.2016.1968 z dn. 06.12.2016r.),</w:t>
      </w:r>
    </w:p>
    <w:p>
      <w:pPr>
        <w:pStyle w:val="ListParagraph"/>
        <w:numPr>
          <w:ilvl w:val="0"/>
          <w:numId w:val="16"/>
        </w:numPr>
        <w:rPr/>
      </w:pPr>
      <w:r>
        <w:rPr/>
        <w:t>Rozporządzenie Parlamentu Europejskiego i Rady (UE) NR 305/2011 z dnia 09.03.2011r. ustanawiające zharmonizowane warunki wprowadzania do obrotu wyrobów budowlanych i uchylające dyrektywę Rady 89/106/EWG (Dz.U.UE.L.2011.88.5 z dn. 04.04.2011r. z późn. zm.),</w:t>
      </w:r>
    </w:p>
    <w:p>
      <w:pPr>
        <w:pStyle w:val="ListParagraph"/>
        <w:numPr>
          <w:ilvl w:val="0"/>
          <w:numId w:val="16"/>
        </w:numPr>
        <w:rPr/>
      </w:pPr>
      <w:r>
        <w:rPr/>
        <w:t>Rozporządzenie Ministra Gospodarki z dnia 21 grudnia 2005 r. w sprawie zasadniczych wymagań dla środków ochrony indywidualnej (Dz.U.2005.259.2173 z dn. 28.12.2005r.),</w:t>
      </w:r>
    </w:p>
    <w:p>
      <w:pPr>
        <w:pStyle w:val="ListParagraph"/>
        <w:numPr>
          <w:ilvl w:val="0"/>
          <w:numId w:val="16"/>
        </w:numPr>
        <w:rPr/>
      </w:pPr>
      <w:r>
        <w:rPr/>
        <w:t>Rozporządzenie Ministra Rozwoju z dn. 02.06.2016r. w sprawie wymagań dla sprzętu elektrycznego (Dz.U.2016.806 z dn. 08.06.2016r.),</w:t>
      </w:r>
    </w:p>
    <w:p>
      <w:pPr>
        <w:pStyle w:val="ListParagraph"/>
        <w:numPr>
          <w:ilvl w:val="0"/>
          <w:numId w:val="16"/>
        </w:numPr>
        <w:rPr/>
      </w:pPr>
      <w:r>
        <w:rPr/>
        <w:t>Rozporządzenie Ministra Gospodarki z dn. 17.12.2010r. w sprawie procedur oceny zgodności wyrobów wykorzystujących energię oraz ich oznakowania</w:t>
      </w:r>
    </w:p>
    <w:p>
      <w:pPr>
        <w:pStyle w:val="ListParagraph"/>
        <w:numPr>
          <w:ilvl w:val="0"/>
          <w:numId w:val="16"/>
        </w:numPr>
        <w:rPr/>
      </w:pPr>
      <w:bookmarkStart w:id="219" w:name="_Ref9289843"/>
      <w:bookmarkEnd w:id="219"/>
      <w:r>
        <w:rPr/>
        <w:t>Rozporządzenie Ministra Infrastruktury z dn. 06.02.2003 r. w sprawie bezpieczeństwa i higieny pracy podczas wykonywania robót budowlanych (Dz.U.2003.47.401 z dn. 19.03.2003r.),</w:t>
      </w:r>
    </w:p>
    <w:p>
      <w:pPr>
        <w:pStyle w:val="ListParagraph"/>
        <w:numPr>
          <w:ilvl w:val="0"/>
          <w:numId w:val="16"/>
        </w:numPr>
        <w:rPr/>
      </w:pPr>
      <w:r>
        <w:rPr/>
        <w:t>Ustawa z dn. 17 maja 1989 r. Prawo geodezyjne i kartograficzne (t.j. Dz.U.2017.2101 z dn. 14.11.2017r. z późn. zm.),</w:t>
      </w:r>
    </w:p>
    <w:p>
      <w:pPr>
        <w:pStyle w:val="ListParagraph"/>
        <w:numPr>
          <w:ilvl w:val="0"/>
          <w:numId w:val="16"/>
        </w:numPr>
        <w:rPr/>
      </w:pPr>
      <w:r>
        <w:rPr/>
        <w:t>Rozporządzenie Ministra Gospodarki Przestrzennej I Budownictwa z dn. 21 lutego 1995r. w sprawie rodzaju i zakresu opracowań geodezyjno-kartograficznych oraz czynności geodezyjnych obowiązujących w budownictwie (Dz.U.1995.25.133 z dn. 13.03.1995r.)</w:t>
      </w:r>
    </w:p>
    <w:p>
      <w:pPr>
        <w:pStyle w:val="ListParagraph"/>
        <w:numPr>
          <w:ilvl w:val="0"/>
          <w:numId w:val="16"/>
        </w:numPr>
        <w:rPr/>
      </w:pPr>
      <w:bookmarkStart w:id="220" w:name="_Ref7012784"/>
      <w:bookmarkEnd w:id="220"/>
      <w:r>
        <w:rPr/>
        <w:t>Rozporządzenie Ministra Transportu, Budownictwa i Gospodarki Morskiej z dn. 25.04.2012r. w sprawie ustalania geotechnicznych warunków posadawiania obiektów budowlanych (Dz.U.2012.463 z dn. 27.04.2012r.)</w:t>
      </w:r>
    </w:p>
    <w:p>
      <w:pPr>
        <w:pStyle w:val="Normal"/>
        <w:rPr>
          <w:b/>
          <w:b/>
          <w:bCs/>
        </w:rPr>
      </w:pPr>
      <w:r>
        <w:rPr>
          <w:b/>
          <w:bCs/>
        </w:rPr>
        <w:t xml:space="preserve">Normy i wytyczne </w:t>
      </w:r>
    </w:p>
    <w:p>
      <w:pPr>
        <w:pStyle w:val="ListParagraph"/>
        <w:numPr>
          <w:ilvl w:val="0"/>
          <w:numId w:val="74"/>
        </w:numPr>
        <w:rPr/>
      </w:pPr>
      <w:r>
        <w:rPr/>
        <w:t>PN-EN 1627 Drzwi, okna ściany osłonowe, kraty i żaluzje. Odporność na włamanie. Wymagania i klasyfikacja,</w:t>
      </w:r>
    </w:p>
    <w:p>
      <w:pPr>
        <w:pStyle w:val="ListParagraph"/>
        <w:numPr>
          <w:ilvl w:val="0"/>
          <w:numId w:val="74"/>
        </w:numPr>
        <w:rPr/>
      </w:pPr>
      <w:r>
        <w:rPr/>
        <w:t>PN-EN 1628 Drzwi, okna ściany osłonowe, kraty i żaluzje. Odporność na włamanie. Metoda badania dla określenia odporności na obciążenia statyczne – zakres normy obejmuje szczegółowe wytyczne na temat przeprowadzania badań, które maja na celu ustalenie odporności wyrobu na obciążenia statyczne dla oceny  odporności na włamanie zestawów drzwiowych, drzwi, okien, fasad, krat i żaluzji,</w:t>
      </w:r>
    </w:p>
    <w:p>
      <w:pPr>
        <w:pStyle w:val="ListParagraph"/>
        <w:numPr>
          <w:ilvl w:val="0"/>
          <w:numId w:val="74"/>
        </w:numPr>
        <w:rPr/>
      </w:pPr>
      <w:r>
        <w:rPr/>
        <w:t>PN-EN 1629  Drzwi, okna ściany osłonowe, kraty i żaluzje. Odporność na włamanie. Metoda badania dla określenia odporności na obciążenia dynamiczne – również zawiera specyfikację przeprowadzania badań i ocenę właściwości antywłamaniowych, ale w odniesieniu do obciążeń dynamicznych,</w:t>
      </w:r>
    </w:p>
    <w:p>
      <w:pPr>
        <w:pStyle w:val="ListParagraph"/>
        <w:numPr>
          <w:ilvl w:val="0"/>
          <w:numId w:val="74"/>
        </w:numPr>
        <w:rPr/>
      </w:pPr>
      <w:r>
        <w:rPr/>
        <w:t>PN-EN 1630 Drzwi, okna ściany osłonowe, kraty i żaluzje. Odporność na włamanie. Metoda badania dla określenia odporności na próby włamania,</w:t>
      </w:r>
    </w:p>
    <w:p>
      <w:pPr>
        <w:pStyle w:val="Normal"/>
        <w:rPr>
          <w:b/>
          <w:b/>
          <w:bCs/>
        </w:rPr>
      </w:pPr>
      <w:r>
        <w:rPr>
          <w:b/>
          <w:bCs/>
        </w:rPr>
        <w:t>Normy i wytyczne wod-kan.</w:t>
      </w:r>
    </w:p>
    <w:p>
      <w:pPr>
        <w:pStyle w:val="ListParagraph"/>
        <w:numPr>
          <w:ilvl w:val="0"/>
          <w:numId w:val="8"/>
        </w:numPr>
        <w:rPr/>
      </w:pPr>
      <w:r>
        <w:rPr/>
        <w:t>PN-92/B-01706 Instalacje wodociągowe. Wymagania w projektowaniu.</w:t>
      </w:r>
    </w:p>
    <w:p>
      <w:pPr>
        <w:pStyle w:val="ListParagraph"/>
        <w:numPr>
          <w:ilvl w:val="0"/>
          <w:numId w:val="8"/>
        </w:numPr>
        <w:rPr/>
      </w:pPr>
      <w:r>
        <w:rPr/>
        <w:t>PN- B-01706: 1992/ Az 1:1999 Instalacje wodociągowe. Wymagania w projektowaniu. Zmiana Az 1</w:t>
      </w:r>
    </w:p>
    <w:p>
      <w:pPr>
        <w:pStyle w:val="ListParagraph"/>
        <w:numPr>
          <w:ilvl w:val="0"/>
          <w:numId w:val="8"/>
        </w:numPr>
        <w:rPr/>
      </w:pPr>
      <w:r>
        <w:rPr/>
        <w:t>PN-92/B-01707 Instalacje kanalizacyjne. Wymagania w projektowaniu.</w:t>
      </w:r>
    </w:p>
    <w:p>
      <w:pPr>
        <w:pStyle w:val="ListParagraph"/>
        <w:numPr>
          <w:ilvl w:val="0"/>
          <w:numId w:val="8"/>
        </w:numPr>
        <w:rPr/>
      </w:pPr>
      <w:r>
        <w:rPr/>
        <w:t>PN-81/B-10700.00 Instalacje wewnętrzne wodociągowe i kanalizacyjne. Wymagania i badania przy odbiorze. Wspólne wymagania i badania</w:t>
      </w:r>
    </w:p>
    <w:p>
      <w:pPr>
        <w:pStyle w:val="ListParagraph"/>
        <w:numPr>
          <w:ilvl w:val="0"/>
          <w:numId w:val="8"/>
        </w:numPr>
        <w:rPr/>
      </w:pPr>
      <w:r>
        <w:rPr/>
        <w:t>PN-81/B-10700.02 Instalacje wewnętrzne wodociągowe i kanalizacyjne. Wymagania i badania przy odbiorze. Przewody wody zimnej i ciepłej z rur stalowych ocynkowanych</w:t>
      </w:r>
    </w:p>
    <w:p>
      <w:pPr>
        <w:pStyle w:val="ListParagraph"/>
        <w:numPr>
          <w:ilvl w:val="0"/>
          <w:numId w:val="8"/>
        </w:numPr>
        <w:rPr/>
      </w:pPr>
      <w:r>
        <w:rPr/>
        <w:t>PN-EN 1717 Zabezpieczenie przeciw zanieczyszczeniu wody użytkowej w instalacjach wodociągowych i ogólne wymagania dotyczące urządzeń zabezpieczających przed przepływem zwrotnym.</w:t>
      </w:r>
    </w:p>
    <w:p>
      <w:pPr>
        <w:pStyle w:val="ListParagraph"/>
        <w:numPr>
          <w:ilvl w:val="0"/>
          <w:numId w:val="8"/>
        </w:numPr>
        <w:rPr/>
      </w:pPr>
      <w:r>
        <w:rPr/>
        <w:t>PN-EN 806-1 Wymagania dotyczące instalacji wodociągowych (wewnętrznych). Część 1: Wymagania ogólne.</w:t>
      </w:r>
    </w:p>
    <w:p>
      <w:pPr>
        <w:pStyle w:val="ListParagraph"/>
        <w:numPr>
          <w:ilvl w:val="0"/>
          <w:numId w:val="8"/>
        </w:numPr>
        <w:rPr/>
      </w:pPr>
      <w:r>
        <w:rPr/>
        <w:t>PN-74/H-74200 Rury stalowe ze szwem, gwintowane.</w:t>
      </w:r>
    </w:p>
    <w:p>
      <w:pPr>
        <w:pStyle w:val="ListParagraph"/>
        <w:numPr>
          <w:ilvl w:val="0"/>
          <w:numId w:val="8"/>
        </w:numPr>
        <w:rPr/>
      </w:pPr>
      <w:r>
        <w:rPr/>
        <w:t>PN-80/H-74219  Rury stalowe bez szwu walcowane na gorąco ogólnego zastosowania.</w:t>
      </w:r>
    </w:p>
    <w:p>
      <w:pPr>
        <w:pStyle w:val="ListParagraph"/>
        <w:numPr>
          <w:ilvl w:val="0"/>
          <w:numId w:val="8"/>
        </w:numPr>
        <w:rPr/>
      </w:pPr>
      <w:r>
        <w:rPr/>
        <w:t>PN-92/B-10729  Kanalizacja. Studzienki kanalizacyjne.</w:t>
      </w:r>
    </w:p>
    <w:p>
      <w:pPr>
        <w:pStyle w:val="ListParagraph"/>
        <w:numPr>
          <w:ilvl w:val="0"/>
          <w:numId w:val="8"/>
        </w:numPr>
        <w:rPr/>
      </w:pPr>
      <w:r>
        <w:rPr/>
        <w:t>PN-EN 124:2000 Zwieńczenia wpustów i studzienek kanalizacyjnych do nawierzchni dla ruchu pieszego i kołowego. Zasady konstrukcji, badania typu, znakowanie, sterowanie jakością.</w:t>
      </w:r>
    </w:p>
    <w:p>
      <w:pPr>
        <w:pStyle w:val="ListParagraph"/>
        <w:numPr>
          <w:ilvl w:val="0"/>
          <w:numId w:val="8"/>
        </w:numPr>
        <w:rPr/>
      </w:pPr>
      <w:r>
        <w:rPr/>
        <w:t>PN-B-10736: 1999  Roboty ziemne - Wykopy otwarte dla przewodów wodociągowych i kanalizacyjnych - Warunki techniczne wykonania.</w:t>
      </w:r>
    </w:p>
    <w:p>
      <w:pPr>
        <w:pStyle w:val="ListParagraph"/>
        <w:numPr>
          <w:ilvl w:val="0"/>
          <w:numId w:val="8"/>
        </w:numPr>
        <w:rPr/>
      </w:pPr>
      <w:r>
        <w:rPr/>
        <w:t>PN-B-10725: 1997  Wodociągi. Przewody zewnętrzne. Wymagania i badania</w:t>
      </w:r>
    </w:p>
    <w:p>
      <w:pPr>
        <w:pStyle w:val="ListParagraph"/>
        <w:numPr>
          <w:ilvl w:val="0"/>
          <w:numId w:val="8"/>
        </w:numPr>
        <w:rPr/>
      </w:pPr>
      <w:r>
        <w:rPr/>
        <w:t>PN-B-10736: 1999  Roboty ziemne - Wykopy otwarte dla przewodów wodociągowych i kanalizacyjnych - Warunki techniczne wykonania</w:t>
      </w:r>
    </w:p>
    <w:p>
      <w:pPr>
        <w:pStyle w:val="ListParagraph"/>
        <w:numPr>
          <w:ilvl w:val="0"/>
          <w:numId w:val="8"/>
        </w:numPr>
        <w:rPr/>
      </w:pPr>
      <w:r>
        <w:rPr/>
        <w:t>PN-EN 805 Zaopatrzenie w wodę - Wymagania dla sieci wodociągowych i ich części składowych.</w:t>
      </w:r>
    </w:p>
    <w:p>
      <w:pPr>
        <w:pStyle w:val="ListParagraph"/>
        <w:numPr>
          <w:ilvl w:val="0"/>
          <w:numId w:val="8"/>
        </w:numPr>
        <w:rPr/>
      </w:pPr>
      <w:r>
        <w:rPr/>
        <w:t>PN-EN 1717 Zabezpieczenie przeciw zanieczyszczeniu wody użytkowej w instalacjach wodociągowych i ogólne wymagania dotyczące urządzeń zabezpieczających przed przepływem zwrotnym.</w:t>
      </w:r>
    </w:p>
    <w:p>
      <w:pPr>
        <w:pStyle w:val="ListParagraph"/>
        <w:numPr>
          <w:ilvl w:val="0"/>
          <w:numId w:val="8"/>
        </w:numPr>
        <w:rPr/>
      </w:pPr>
      <w:r>
        <w:rPr/>
        <w:t>PN-81/B-03020 Grunty budowlane - Posadowienie</w:t>
        <w:tab/>
        <w:t>bezpośrednie budowli - Obliczenia statyczne i projektowanie</w:t>
      </w:r>
    </w:p>
    <w:p>
      <w:pPr>
        <w:pStyle w:val="ListParagraph"/>
        <w:numPr>
          <w:ilvl w:val="0"/>
          <w:numId w:val="8"/>
        </w:numPr>
        <w:rPr/>
      </w:pPr>
      <w:r>
        <w:rPr/>
        <w:t>PN -86/B-09700  Tablice orientacyjne do oznaczania uzbrojenia na przewodach wodociągowych.</w:t>
      </w:r>
    </w:p>
    <w:p>
      <w:pPr>
        <w:pStyle w:val="ListParagraph"/>
        <w:numPr>
          <w:ilvl w:val="0"/>
          <w:numId w:val="8"/>
        </w:numPr>
        <w:rPr/>
      </w:pPr>
      <w:r>
        <w:rPr/>
        <w:t>PN-92/B-10729  Kanalizacja. Studzienki kanalizacyjne.</w:t>
      </w:r>
    </w:p>
    <w:p>
      <w:pPr>
        <w:pStyle w:val="ListParagraph"/>
        <w:numPr>
          <w:ilvl w:val="0"/>
          <w:numId w:val="8"/>
        </w:numPr>
        <w:rPr/>
      </w:pPr>
      <w:r>
        <w:rPr/>
        <w:t>PN-EN 124:2000  Zwieńczenia wpustów i studzienek kanalizacyjnych do nawierzchni dla ruchu pieszego i kołowego. Zasady konstrukcji, badania typu, znakowanie, sterowanie jakością.</w:t>
      </w:r>
    </w:p>
    <w:p>
      <w:pPr>
        <w:pStyle w:val="ListParagraph"/>
        <w:numPr>
          <w:ilvl w:val="0"/>
          <w:numId w:val="8"/>
        </w:numPr>
        <w:rPr/>
      </w:pPr>
      <w:r>
        <w:rPr/>
        <w:t>Zalecane do stosowania przez Ministra Infrastruktury Wymagania Techniczne COBRTI INSTAL –  Zeszyt 9 – „Warunki techniczne wykonania i odbioru sieci kanalizacyjnych”.</w:t>
      </w:r>
    </w:p>
    <w:p>
      <w:pPr>
        <w:pStyle w:val="ListParagraph"/>
        <w:numPr>
          <w:ilvl w:val="0"/>
          <w:numId w:val="8"/>
        </w:numPr>
        <w:rPr/>
      </w:pPr>
      <w:r>
        <w:rPr/>
        <w:t>Zalecane do stosowania przez Ministra Infrastruktury Wymagania Techniczne COBRTI INSTAL –  Zeszyt 3 – „Warunki techniczne wykonania i odbioru sieci wodociągowych”</w:t>
      </w:r>
    </w:p>
    <w:p>
      <w:pPr>
        <w:pStyle w:val="ListParagraph"/>
        <w:numPr>
          <w:ilvl w:val="0"/>
          <w:numId w:val="8"/>
        </w:numPr>
        <w:rPr/>
      </w:pPr>
      <w:r>
        <w:rPr/>
        <w:t>„</w:t>
      </w:r>
      <w:r>
        <w:rPr/>
        <w:t>Warunki techniczne wykonania i odbioru rurociągów z tworzyw sztucznych” wydawnictwo PKTSGGiK 1996 r.</w:t>
      </w:r>
    </w:p>
    <w:p>
      <w:pPr>
        <w:pStyle w:val="ListParagraph"/>
        <w:numPr>
          <w:ilvl w:val="0"/>
          <w:numId w:val="8"/>
        </w:numPr>
        <w:rPr/>
      </w:pPr>
      <w:r>
        <w:rPr/>
        <w:t>Wytyczne producentów rur PVC i PE. „Warunki techniczne wykonania i odbioru instalacji wodociągowych”. COBRTI INSTAL –   Zeszyt 7</w:t>
      </w:r>
    </w:p>
    <w:p>
      <w:pPr>
        <w:pStyle w:val="ListParagraph"/>
        <w:numPr>
          <w:ilvl w:val="0"/>
          <w:numId w:val="8"/>
        </w:numPr>
        <w:rPr/>
      </w:pPr>
      <w:r>
        <w:rPr/>
        <w:t>„</w:t>
      </w:r>
      <w:r>
        <w:rPr/>
        <w:t>Warunki techniczne wykonania i odbioru rurociągów z tworzyw sztucznych” wydawnictwo PKTSGGiK 1996 r.</w:t>
      </w:r>
    </w:p>
    <w:p>
      <w:pPr>
        <w:pStyle w:val="ListParagraph"/>
        <w:numPr>
          <w:ilvl w:val="0"/>
          <w:numId w:val="8"/>
        </w:numPr>
        <w:rPr/>
      </w:pPr>
      <w:r>
        <w:rPr/>
        <w:t>Wytyczne producenta rur z polipropylenu.</w:t>
      </w:r>
    </w:p>
    <w:p>
      <w:pPr>
        <w:pStyle w:val="Normal"/>
        <w:rPr/>
      </w:pPr>
      <w:r>
        <w:rPr>
          <w:b/>
          <w:bCs/>
        </w:rPr>
        <w:t>Normy i wytyczne centralne ogrzewanie</w:t>
      </w:r>
    </w:p>
    <w:p>
      <w:pPr>
        <w:pStyle w:val="ListParagraph"/>
        <w:numPr>
          <w:ilvl w:val="0"/>
          <w:numId w:val="7"/>
        </w:numPr>
        <w:rPr/>
      </w:pPr>
      <w:r>
        <w:rPr/>
        <w:t>PN-EN ISO 6946 Opór cieplny i współczynnik przenikania ciepła.</w:t>
      </w:r>
    </w:p>
    <w:p>
      <w:pPr>
        <w:pStyle w:val="ListParagraph"/>
        <w:numPr>
          <w:ilvl w:val="0"/>
          <w:numId w:val="7"/>
        </w:numPr>
        <w:rPr/>
      </w:pPr>
      <w:r>
        <w:rPr/>
        <w:t>PN-91/B-02020 Ochrona cieplna budynków. Wymagania i obliczenia.</w:t>
      </w:r>
    </w:p>
    <w:p>
      <w:pPr>
        <w:pStyle w:val="ListParagraph"/>
        <w:numPr>
          <w:ilvl w:val="0"/>
          <w:numId w:val="7"/>
        </w:numPr>
        <w:rPr/>
      </w:pPr>
      <w:r>
        <w:rPr/>
        <w:t>PN-82/B-02402 Ogrzewnictwo. Temperatury ogrzewanych pomieszczeń w budynkach.</w:t>
      </w:r>
    </w:p>
    <w:p>
      <w:pPr>
        <w:pStyle w:val="ListParagraph"/>
        <w:numPr>
          <w:ilvl w:val="0"/>
          <w:numId w:val="7"/>
        </w:numPr>
        <w:rPr/>
      </w:pPr>
      <w:r>
        <w:rPr/>
        <w:t>PN-82/B-02403 Ogrzewnictwo. Temperatury obliczeniowe zewnętrzne.</w:t>
      </w:r>
    </w:p>
    <w:p>
      <w:pPr>
        <w:pStyle w:val="ListParagraph"/>
        <w:numPr>
          <w:ilvl w:val="0"/>
          <w:numId w:val="7"/>
        </w:numPr>
        <w:rPr/>
      </w:pPr>
      <w:r>
        <w:rPr/>
        <w:t>„</w:t>
      </w:r>
      <w:r>
        <w:rPr/>
        <w:t>Warunki techniczne wykonania i odbioru robót budo​wlano - montażowych – wydawnictwo COBRTI INSTAL. (ITB)</w:t>
      </w:r>
    </w:p>
    <w:p>
      <w:pPr>
        <w:pStyle w:val="Normal"/>
        <w:rPr/>
      </w:pPr>
      <w:r>
        <w:rPr>
          <w:b/>
          <w:bCs/>
        </w:rPr>
        <w:t>Normy i wytyczne instalacje elektryczne</w:t>
      </w:r>
    </w:p>
    <w:p>
      <w:pPr>
        <w:pStyle w:val="ListParagraph"/>
        <w:numPr>
          <w:ilvl w:val="0"/>
          <w:numId w:val="6"/>
        </w:numPr>
        <w:rPr/>
      </w:pPr>
      <w:r>
        <w:rPr/>
        <w:t>PN-EN 62305-1: 2011 - Ochrona odgromowa. Część 1: Wymagania ogólne</w:t>
      </w:r>
    </w:p>
    <w:p>
      <w:pPr>
        <w:pStyle w:val="ListParagraph"/>
        <w:numPr>
          <w:ilvl w:val="0"/>
          <w:numId w:val="6"/>
        </w:numPr>
        <w:rPr/>
      </w:pPr>
      <w:r>
        <w:rPr/>
        <w:t>PN-EN 62305-2:2012 - Ochrona odgromowa – Część 2: Zarządzanie ryzykiem</w:t>
      </w:r>
    </w:p>
    <w:p>
      <w:pPr>
        <w:pStyle w:val="ListParagraph"/>
        <w:numPr>
          <w:ilvl w:val="0"/>
          <w:numId w:val="6"/>
        </w:numPr>
        <w:rPr/>
      </w:pPr>
      <w:r>
        <w:rPr/>
        <w:t>PN-EN 62305-3: 2011 - Ochrona odgromowa. Część 3: Uszkodzenia fizyczne obiektów budowlanych i zagrożenie życia</w:t>
      </w:r>
    </w:p>
    <w:p>
      <w:pPr>
        <w:pStyle w:val="ListParagraph"/>
        <w:numPr>
          <w:ilvl w:val="0"/>
          <w:numId w:val="6"/>
        </w:numPr>
        <w:rPr/>
      </w:pPr>
      <w:r>
        <w:rPr/>
        <w:t>PN-EN 62305-4: 2011 - Ochrona odgromowa. Część 4: Urządzenia elektryczne i elektroniczne w obiektach budowlanych</w:t>
      </w:r>
    </w:p>
    <w:p>
      <w:pPr>
        <w:pStyle w:val="ListParagraph"/>
        <w:numPr>
          <w:ilvl w:val="0"/>
          <w:numId w:val="6"/>
        </w:numPr>
        <w:rPr/>
      </w:pPr>
      <w:r>
        <w:rPr/>
        <w:t>PN-HD 308 S2:2007 - Identyfikacja żył w kablach i przewodach oraz przewodach sznurowych</w:t>
      </w:r>
    </w:p>
    <w:p>
      <w:pPr>
        <w:pStyle w:val="ListParagraph"/>
        <w:numPr>
          <w:ilvl w:val="0"/>
          <w:numId w:val="6"/>
        </w:numPr>
        <w:rPr/>
      </w:pPr>
      <w:r>
        <w:rPr/>
        <w:t>PN-EN 12464-1:2012 - Światło i oświetlenie - Oświetlenie miejsc pracy - Część 1: Miejsca pracy we wnętrzach</w:t>
      </w:r>
    </w:p>
    <w:p>
      <w:pPr>
        <w:pStyle w:val="ListParagraph"/>
        <w:numPr>
          <w:ilvl w:val="0"/>
          <w:numId w:val="6"/>
        </w:numPr>
        <w:rPr/>
      </w:pPr>
      <w:r>
        <w:rPr/>
        <w:t>PN-EN_12464-2_2008 - Światło i oświetlenie - Oświetlenie miejsc pracy - Część 2: Miejsca pracy na zewnątrz</w:t>
      </w:r>
    </w:p>
    <w:p>
      <w:pPr>
        <w:pStyle w:val="ListParagraph"/>
        <w:numPr>
          <w:ilvl w:val="0"/>
          <w:numId w:val="6"/>
        </w:numPr>
        <w:rPr/>
      </w:pPr>
      <w:r>
        <w:rPr/>
        <w:t>PN-HD 60364-4-41: 2009 - Instalacje elektryczne w obiektach budowlanych – Ochrona dla zapewnienia bezpieczeństwa – Ochrona przed porażeniem prądem elektrycznym</w:t>
      </w:r>
    </w:p>
    <w:p>
      <w:pPr>
        <w:pStyle w:val="ListParagraph"/>
        <w:numPr>
          <w:ilvl w:val="0"/>
          <w:numId w:val="6"/>
        </w:numPr>
        <w:rPr/>
      </w:pPr>
      <w:r>
        <w:rPr/>
        <w:t>PN-HD 60364-4-42:2011- Instalacje elektryczne niskiego napięcia - Część 4-42: Ochrona dla zapewnienia bezpieczeństwa - Ochrona przed skutkami oddziaływania cieplnego.</w:t>
      </w:r>
    </w:p>
    <w:p>
      <w:pPr>
        <w:pStyle w:val="ListParagraph"/>
        <w:numPr>
          <w:ilvl w:val="0"/>
          <w:numId w:val="6"/>
        </w:numPr>
        <w:rPr/>
      </w:pPr>
      <w:r>
        <w:rPr/>
        <w:t>PN-HD 60364-4-43:2012- Instalacje elektryczne niskiego napięcia - Część 4-43: Ochrona dla zapewnienia bezpieczeństwa -- Ochrona przed prądem przetężeniowym.</w:t>
      </w:r>
    </w:p>
    <w:p>
      <w:pPr>
        <w:pStyle w:val="ListParagraph"/>
        <w:numPr>
          <w:ilvl w:val="0"/>
          <w:numId w:val="6"/>
        </w:numPr>
        <w:rPr/>
      </w:pPr>
      <w:r>
        <w:rPr/>
        <w:t>PN-IEC 60364-4-45:1999 - Instalacje elektryczne w obiektach budowlanych - Ochrona dla zapewnienia bezpieczeństwa - Ochrona przed obniżeniem napięcia</w:t>
      </w:r>
    </w:p>
    <w:p>
      <w:pPr>
        <w:pStyle w:val="ListParagraph"/>
        <w:numPr>
          <w:ilvl w:val="0"/>
          <w:numId w:val="6"/>
        </w:numPr>
        <w:rPr/>
      </w:pPr>
      <w:r>
        <w:rPr/>
        <w:t>PN-IEC 60364-4-442:1999 - Instalacje elektryczne w obiektach budowlanych – Ochrona dla zapewnienia bezpieczeństwa – Ochrona przed przepięciami – Ochrona instalacji niskiego napięcia przed przejściowymi przepięciami i uszkodzeniami przy doziemieniachw sieciach wysokiego napięcia</w:t>
      </w:r>
    </w:p>
    <w:p>
      <w:pPr>
        <w:pStyle w:val="ListParagraph"/>
        <w:numPr>
          <w:ilvl w:val="0"/>
          <w:numId w:val="6"/>
        </w:numPr>
        <w:rPr/>
      </w:pPr>
      <w:r>
        <w:rPr/>
        <w:t>PN-IEC 60364-4-443:1999 - Instalacje elektryczne w obiektach budowlanych - Ochrona dla zapewnienia bezpieczeństwa - Ochrona przed przepięciami - Ochrona przed przepięciami atmosferycznymi lub łączeniowymi.</w:t>
      </w:r>
    </w:p>
    <w:p>
      <w:pPr>
        <w:pStyle w:val="ListParagraph"/>
        <w:numPr>
          <w:ilvl w:val="0"/>
          <w:numId w:val="6"/>
        </w:numPr>
        <w:rPr/>
      </w:pPr>
      <w:r>
        <w:rPr/>
        <w:t>PN-HD 60364-4-444:2012 - Instalacje elektryczne niskiego napięcia – Część 4-444:</w:t>
        <w:br/>
        <w:t>Ochrona dla zapewnienia bezpieczeństwa – Ochrona przed zakłóceniami napięciowymi i zaburzeniowymi elektromagnetycznymi</w:t>
      </w:r>
    </w:p>
    <w:p>
      <w:pPr>
        <w:pStyle w:val="ListParagraph"/>
        <w:numPr>
          <w:ilvl w:val="0"/>
          <w:numId w:val="6"/>
        </w:numPr>
        <w:rPr/>
      </w:pPr>
      <w:r>
        <w:rPr/>
        <w:t>PN-IEC 60364-4-473:1999 Instalacje elektryczne w obiektach budowlanych – Ochrona dla zapewnienia bezpieczeństwa – Stosowanie środków ochrony zapewniających bezpieczeństwo – Środki ochrony przed prądem przetężeniowym</w:t>
      </w:r>
    </w:p>
    <w:p>
      <w:pPr>
        <w:pStyle w:val="ListParagraph"/>
        <w:numPr>
          <w:ilvl w:val="0"/>
          <w:numId w:val="6"/>
        </w:numPr>
        <w:rPr/>
      </w:pPr>
      <w:r>
        <w:rPr/>
        <w:t>PN- IEC 60364-4-482:1999 Instalacje elektryczne w obiektach budowlanych – Ochrona dla zapewnienia bezpieczeństwa – Dobór środków ochrony w zależności od wpływów zewnętrznych – Ochrona przeciwpożarowa</w:t>
      </w:r>
    </w:p>
    <w:p>
      <w:pPr>
        <w:pStyle w:val="ListParagraph"/>
        <w:numPr>
          <w:ilvl w:val="0"/>
          <w:numId w:val="6"/>
        </w:numPr>
        <w:rPr/>
      </w:pPr>
      <w:r>
        <w:rPr/>
        <w:t>PN- HD 60364-5-51:2011 Instalacje elektryczne w obiektach budowlanych – Część 5-51:</w:t>
        <w:br/>
        <w:t>Dobór i montaż wyposażenia elektrycznego – Postanowienia ogólne</w:t>
      </w:r>
    </w:p>
    <w:p>
      <w:pPr>
        <w:pStyle w:val="ListParagraph"/>
        <w:numPr>
          <w:ilvl w:val="0"/>
          <w:numId w:val="6"/>
        </w:numPr>
        <w:rPr/>
      </w:pPr>
      <w:r>
        <w:rPr/>
        <w:t>PN-HD 60364-5-52:2011 Instalacje elektryczne niskiego napięcia – Część 5-52: Dobór i</w:t>
        <w:br/>
        <w:t>montaż wyposażenia elektrycznego – Oprzewodowanie.</w:t>
      </w:r>
    </w:p>
    <w:p>
      <w:pPr>
        <w:pStyle w:val="ListParagraph"/>
        <w:numPr>
          <w:ilvl w:val="0"/>
          <w:numId w:val="6"/>
        </w:numPr>
        <w:rPr/>
      </w:pPr>
      <w:r>
        <w:rPr/>
        <w:t>PN-IEC 60364-5-53:2000 Instalacje elektryczne w obiektach budowlanych – Dobór i</w:t>
        <w:br/>
        <w:t>montaż wyposażenia elektrycznego – Aparatura rozdzielcza i sterownicza.</w:t>
      </w:r>
    </w:p>
    <w:p>
      <w:pPr>
        <w:pStyle w:val="ListParagraph"/>
        <w:numPr>
          <w:ilvl w:val="0"/>
          <w:numId w:val="6"/>
        </w:numPr>
        <w:rPr/>
      </w:pPr>
      <w:r>
        <w:rPr/>
        <w:t>PN-IEC 60364-5-523:2001 - Instalacje elektryczne w obiektach budowlanych - Dobór i montaż wyposażenia elektrycznego - Obciążalność prądowa długotrwała przewodów</w:t>
      </w:r>
    </w:p>
    <w:p>
      <w:pPr>
        <w:pStyle w:val="ListParagraph"/>
        <w:numPr>
          <w:ilvl w:val="0"/>
          <w:numId w:val="6"/>
        </w:numPr>
        <w:rPr/>
      </w:pPr>
      <w:r>
        <w:rPr/>
        <w:t>PN-HD 60364-5-534:2012 - Instalacje elektryczne niskiego napięcia - Część 5-53: Dobór i montaż wyposażenia elektrycznego -- Odłączanie izolacyjne, łączenie i sterowanie -- Sekcja 534: Urządzenia do ochrony przed przepięciami.</w:t>
      </w:r>
    </w:p>
    <w:p>
      <w:pPr>
        <w:pStyle w:val="ListParagraph"/>
        <w:numPr>
          <w:ilvl w:val="0"/>
          <w:numId w:val="6"/>
        </w:numPr>
        <w:rPr/>
      </w:pPr>
      <w:r>
        <w:rPr/>
        <w:t>PN-IEC 60364-5-537:1999 - Instalacje elektryczne w obiektach budowlanych – Dobór i montaż wyposażenia elektrycznego – Aparatura rozdzielcza i sterownicza – Urządzenia do odłączania izolacyjnego i łączenia</w:t>
      </w:r>
    </w:p>
    <w:p>
      <w:pPr>
        <w:pStyle w:val="ListParagraph"/>
        <w:numPr>
          <w:ilvl w:val="0"/>
          <w:numId w:val="6"/>
        </w:numPr>
        <w:rPr/>
      </w:pPr>
      <w:r>
        <w:rPr/>
        <w:t>PN-HD 60364-5-54:2010 - Instalacje elektryczne niskiego napięcia - Część 5-54: Dobór i montaż wyposażenia elektrycznego -- Uziemienia, przewody ochronne i przewody połączeń ochronnych.</w:t>
      </w:r>
    </w:p>
    <w:p>
      <w:pPr>
        <w:pStyle w:val="ListParagraph"/>
        <w:numPr>
          <w:ilvl w:val="0"/>
          <w:numId w:val="6"/>
        </w:numPr>
        <w:rPr/>
      </w:pPr>
      <w:r>
        <w:rPr/>
        <w:t>PN-HD 60364-5-56:2010 - Instalacje elektryczne niskiego napięcia - Część 5-56: Dobór i montaż wyposażenia elektrycznego -- Instalacje bezpieczeństwa.</w:t>
      </w:r>
    </w:p>
    <w:p>
      <w:pPr>
        <w:pStyle w:val="ListParagraph"/>
        <w:numPr>
          <w:ilvl w:val="0"/>
          <w:numId w:val="6"/>
        </w:numPr>
        <w:rPr/>
      </w:pPr>
      <w:r>
        <w:rPr/>
        <w:t>PN-IEC 60364-5-551:2003 - Instalacje elektryczne w obiektach budowlanych – Dobór i montaż wyposażenia elektrycznego – Inne wyposażenie – Niskonapięciowe zespoły prądotwórcze</w:t>
      </w:r>
    </w:p>
    <w:p>
      <w:pPr>
        <w:pStyle w:val="ListParagraph"/>
        <w:numPr>
          <w:ilvl w:val="0"/>
          <w:numId w:val="6"/>
        </w:numPr>
        <w:rPr/>
      </w:pPr>
      <w:r>
        <w:rPr/>
        <w:t>PN-HD 60364-5-559:2010 Instalacje elektryczne w obiektach budowlanych – Część 5-55: Dobór i montaż wyposażenia elektrycznego – Inne wyposażenie – Sekcja 559: Oprawy oświetleniowe i instalacje oświetleniowe</w:t>
      </w:r>
    </w:p>
    <w:p>
      <w:pPr>
        <w:pStyle w:val="ListParagraph"/>
        <w:numPr>
          <w:ilvl w:val="0"/>
          <w:numId w:val="6"/>
        </w:numPr>
        <w:rPr/>
      </w:pPr>
      <w:r>
        <w:rPr/>
        <w:t>PN-HD 60364-6:2008 - Instalacje elektryczne niskiego napięcia – Część 6: Sprawdzanie</w:t>
      </w:r>
    </w:p>
    <w:p>
      <w:pPr>
        <w:pStyle w:val="ListParagraph"/>
        <w:numPr>
          <w:ilvl w:val="0"/>
          <w:numId w:val="6"/>
        </w:numPr>
        <w:rPr/>
      </w:pPr>
      <w:r>
        <w:rPr/>
        <w:t>PN-EN 60445:2010 - Zasady podstawowe i bezpieczeństwa przy współdziałaniu człowieka z maszyną, znakowanie i identyfikacja – Identyfikacja zacisków urządzeń i zakończenia przewodów</w:t>
      </w:r>
    </w:p>
    <w:p>
      <w:pPr>
        <w:pStyle w:val="ListParagraph"/>
        <w:numPr>
          <w:ilvl w:val="0"/>
          <w:numId w:val="6"/>
        </w:numPr>
        <w:rPr/>
      </w:pPr>
      <w:r>
        <w:rPr/>
        <w:t>PN-EN 60446:2010 - Zasady podstawowe i bezpieczeństwa przy współdziałaniu człowieka z maszyną, znakowanie i identyfikacja – Identyfikacja przewodów kolorami albo znakami alfanumerycznymi</w:t>
      </w:r>
    </w:p>
    <w:p>
      <w:pPr>
        <w:pStyle w:val="ListParagraph"/>
        <w:numPr>
          <w:ilvl w:val="0"/>
          <w:numId w:val="6"/>
        </w:numPr>
        <w:rPr/>
      </w:pPr>
      <w:r>
        <w:rPr/>
        <w:t>PN-HD 60364-7-701:2010 - Instalacje elektryczne niskiego napięcia – Część 7-701: Wymagania dotyczące specjalnych instalacji lub lokalizacji - Pomieszczenia wyposażane w wannę lub prysznic</w:t>
      </w:r>
    </w:p>
    <w:p>
      <w:pPr>
        <w:pStyle w:val="ListParagraph"/>
        <w:numPr>
          <w:ilvl w:val="0"/>
          <w:numId w:val="6"/>
        </w:numPr>
        <w:rPr/>
      </w:pPr>
      <w:r>
        <w:rPr/>
        <w:t>PN-HD 60364-7-704:2010 - Instalacje elektryczne niskiego napięcia – Część 7-704: Wymagania dotyczące specjalnych instalacji lub lokalizacji - Instalacje na terenie budowy i rozbiórki.</w:t>
      </w:r>
    </w:p>
    <w:p>
      <w:pPr>
        <w:pStyle w:val="ListParagraph"/>
        <w:numPr>
          <w:ilvl w:val="0"/>
          <w:numId w:val="6"/>
        </w:numPr>
        <w:rPr/>
      </w:pPr>
      <w:r>
        <w:rPr/>
        <w:t>PN-IEC 60364-7-706:2000 - Instalacje elektryczne w obiektach budowlanych – Wymagania dotyczące specjalnych instalacji lub lokalizacji – Przestrzenie ograniczone powierzchniami przewodzącymi.</w:t>
      </w:r>
    </w:p>
    <w:p>
      <w:pPr>
        <w:pStyle w:val="ListParagraph"/>
        <w:numPr>
          <w:ilvl w:val="0"/>
          <w:numId w:val="6"/>
        </w:numPr>
        <w:rPr/>
      </w:pPr>
      <w:r>
        <w:rPr/>
        <w:t>PN-HD 60364-7-712:2007 - Instalacje elektryczne w obiektach budowlanych – Część 7-712: Wymagania dotyczące specjalnych instalacji lub lokalizacji – Fotowoltaiczne (PV) układy zasilania</w:t>
      </w:r>
    </w:p>
    <w:p>
      <w:pPr>
        <w:pStyle w:val="ListParagraph"/>
        <w:numPr>
          <w:ilvl w:val="0"/>
          <w:numId w:val="6"/>
        </w:numPr>
        <w:rPr/>
      </w:pPr>
      <w:r>
        <w:rPr/>
        <w:t>PN-IEC 60364-7-714:2003 - Instalacje elektryczne w obiektach budowlanych – Wymagania dotyczące specjalnych instalacji lub lokalizacji – Instalacje oświetlenia zewnętrznego</w:t>
      </w:r>
    </w:p>
    <w:p>
      <w:pPr>
        <w:pStyle w:val="ListParagraph"/>
        <w:numPr>
          <w:ilvl w:val="0"/>
          <w:numId w:val="6"/>
        </w:numPr>
        <w:rPr/>
      </w:pPr>
      <w:r>
        <w:rPr/>
        <w:t>PN-HD 60364-7-715:2006 - Instalacje elektryczne w obiektach budowlanych – Część 7-715: Wymagania dotyczące specjalnych instalacji lub lokalizacji – Instalacje oświetleniowe o bardzo niskim napięciu</w:t>
      </w:r>
    </w:p>
    <w:p>
      <w:pPr>
        <w:pStyle w:val="ListParagraph"/>
        <w:numPr>
          <w:ilvl w:val="0"/>
          <w:numId w:val="6"/>
        </w:numPr>
        <w:rPr/>
      </w:pPr>
      <w:r>
        <w:rPr/>
        <w:t>PN-N-01256-2:1992 - Znaki bezpieczeństwa – Ewakuacja</w:t>
      </w:r>
    </w:p>
    <w:p>
      <w:pPr>
        <w:pStyle w:val="ListParagraph"/>
        <w:numPr>
          <w:ilvl w:val="0"/>
          <w:numId w:val="6"/>
        </w:numPr>
        <w:rPr/>
      </w:pPr>
      <w:r>
        <w:rPr/>
        <w:t>PN-N-01256-5:1998 - Znaki bezpieczeństwa – Zasady umieszczania znaków bezpieczeństwa na drogach ewakuacyjnych i drogach pożarowych</w:t>
      </w:r>
    </w:p>
    <w:p>
      <w:pPr>
        <w:pStyle w:val="ListParagraph"/>
        <w:numPr>
          <w:ilvl w:val="0"/>
          <w:numId w:val="6"/>
        </w:numPr>
        <w:rPr/>
      </w:pPr>
      <w:r>
        <w:rPr>
          <w:bCs/>
        </w:rPr>
        <w:t xml:space="preserve">PN-EN ISO 7010:2012 - </w:t>
      </w:r>
      <w:r>
        <w:rPr/>
        <w:t>Symbole graficzne Barwy bezpieczeństwa i znaki bezpieczeństwa</w:t>
      </w:r>
    </w:p>
    <w:p>
      <w:pPr>
        <w:pStyle w:val="ListParagraph"/>
        <w:numPr>
          <w:ilvl w:val="0"/>
          <w:numId w:val="6"/>
        </w:numPr>
        <w:rPr/>
      </w:pPr>
      <w:r>
        <w:rPr/>
        <w:t>PN-EN 50310:2012- Stosowanie połączeń wyrównawczych i uziemiających w budynkach z zainstalowanym sprzętem informatycznym.</w:t>
      </w:r>
    </w:p>
    <w:p>
      <w:pPr>
        <w:pStyle w:val="ListParagraph"/>
        <w:numPr>
          <w:ilvl w:val="0"/>
          <w:numId w:val="6"/>
        </w:numPr>
        <w:rPr/>
      </w:pPr>
      <w:r>
        <w:rPr/>
        <w:t>PN-EN 60529:2003 - Stopnie ochrony zapewnianej przez obudowy (kod IP)</w:t>
      </w:r>
    </w:p>
    <w:p>
      <w:pPr>
        <w:pStyle w:val="ListParagraph"/>
        <w:numPr>
          <w:ilvl w:val="0"/>
          <w:numId w:val="6"/>
        </w:numPr>
        <w:rPr/>
      </w:pPr>
      <w:r>
        <w:rPr/>
        <w:t>PN-EN 50102:2001 - Stopnie ochrony przed zewnętrznymi uderzeniami mechanicznymi zapewnionej przez obudowy urządzeń elektrycznych (Kod IK)</w:t>
      </w:r>
    </w:p>
    <w:p>
      <w:pPr>
        <w:pStyle w:val="ListParagraph"/>
        <w:numPr>
          <w:ilvl w:val="0"/>
          <w:numId w:val="6"/>
        </w:numPr>
        <w:rPr/>
      </w:pPr>
      <w:r>
        <w:rPr/>
        <w:t>PN-EN 1838:2005 - Zastosowania oświetlenia - Oświetlenie awaryjne</w:t>
      </w:r>
    </w:p>
    <w:p>
      <w:pPr>
        <w:pStyle w:val="ListParagraph"/>
        <w:numPr>
          <w:ilvl w:val="0"/>
          <w:numId w:val="6"/>
        </w:numPr>
        <w:rPr/>
      </w:pPr>
      <w:r>
        <w:rPr/>
        <w:t>PN-EN 50172:2005 - Systemy awaryjnego oświetlenia ewakuacyjnego</w:t>
      </w:r>
    </w:p>
    <w:p>
      <w:pPr>
        <w:pStyle w:val="ListParagraph"/>
        <w:numPr>
          <w:ilvl w:val="0"/>
          <w:numId w:val="6"/>
        </w:numPr>
        <w:rPr/>
      </w:pPr>
      <w:r>
        <w:rPr/>
        <w:t>N SEP-E-001, wyd. 2013 Sieci elektroenergetyczne niskiego napięcia. Ochrona przeciwporażeniowa</w:t>
      </w:r>
    </w:p>
    <w:p>
      <w:pPr>
        <w:pStyle w:val="ListParagraph"/>
        <w:numPr>
          <w:ilvl w:val="0"/>
          <w:numId w:val="6"/>
        </w:numPr>
        <w:rPr/>
      </w:pPr>
      <w:r>
        <w:rPr/>
        <w:t>N SEP-E-002, wyd. 2009 - Instalacje elektryczne w obiektach budowlanych. Instalacje elektryczne w obiektach mieszkalnych. Podstawy planowania</w:t>
      </w:r>
    </w:p>
    <w:p>
      <w:pPr>
        <w:pStyle w:val="ListParagraph"/>
        <w:numPr>
          <w:ilvl w:val="0"/>
          <w:numId w:val="6"/>
        </w:numPr>
        <w:rPr/>
      </w:pPr>
      <w:r>
        <w:rPr/>
        <w:t>N SEP-E-004 wyd. 2014 - Elektroenergetyczne i sygnalizacyjne linie kablowe. Projektowanie i budowa</w:t>
      </w:r>
    </w:p>
    <w:p>
      <w:pPr>
        <w:pStyle w:val="ListParagraph"/>
        <w:numPr>
          <w:ilvl w:val="0"/>
          <w:numId w:val="6"/>
        </w:numPr>
        <w:rPr/>
      </w:pPr>
      <w:r>
        <w:rPr/>
        <w:t>N SEP-E-005, wyd. 2013 Dobór przewodów elektrycznych do zasilania urządzeń przeciwpożarowych, których funkcjonowania jest niezbędne w czasie pożaru</w:t>
      </w:r>
    </w:p>
    <w:p>
      <w:pPr>
        <w:pStyle w:val="ListParagraph"/>
        <w:numPr>
          <w:ilvl w:val="0"/>
          <w:numId w:val="6"/>
        </w:numPr>
        <w:rPr/>
      </w:pPr>
      <w:r>
        <w:rPr/>
        <w:t>PN-S-02205:1998 - Roboty ziemne. Wymagania i badania. W zakresie punktu 2.11.4 – Zasypki wykopów na instalacje (przewody, kable)</w:t>
      </w:r>
    </w:p>
    <w:p>
      <w:pPr>
        <w:pStyle w:val="ListParagraph"/>
        <w:numPr>
          <w:ilvl w:val="0"/>
          <w:numId w:val="6"/>
        </w:numPr>
        <w:rPr/>
      </w:pPr>
      <w:r>
        <w:rPr/>
        <w:t>PN-EN 60909-0:2002 - Prądy zwarciowe w sieciach trójfazowych prądu przemiennego. Część 0 – Obliczanie prądów</w:t>
      </w:r>
    </w:p>
    <w:p>
      <w:pPr>
        <w:pStyle w:val="ListParagraph"/>
        <w:numPr>
          <w:ilvl w:val="0"/>
          <w:numId w:val="6"/>
        </w:numPr>
        <w:rPr/>
      </w:pPr>
      <w:r>
        <w:rPr/>
        <w:t>PN-EN 1127:2011 - Atmosfery wybuchowe -Zapobieganie wybuchowi i ochrona przed wybuchem – Część 1: Pojęcia podstawowe i metodyka</w:t>
      </w:r>
    </w:p>
    <w:p>
      <w:pPr>
        <w:pStyle w:val="ListParagraph"/>
        <w:numPr>
          <w:ilvl w:val="0"/>
          <w:numId w:val="6"/>
        </w:numPr>
        <w:rPr/>
      </w:pPr>
      <w:r>
        <w:rPr/>
        <w:t>Zasady sztuki budowlanej, obowiązujące przepisy BHP, P.POŻ I SANEPID</w:t>
      </w:r>
    </w:p>
    <w:p>
      <w:pPr>
        <w:pStyle w:val="ListParagraph"/>
        <w:numPr>
          <w:ilvl w:val="0"/>
          <w:numId w:val="6"/>
        </w:numPr>
        <w:rPr/>
      </w:pPr>
      <w:r>
        <w:rPr/>
        <w:t>„</w:t>
      </w:r>
      <w:r>
        <w:rPr/>
        <w:t>Warunki techniczne wykonania i odbioru robót elektrycznych”</w:t>
      </w:r>
    </w:p>
    <w:p>
      <w:pPr>
        <w:pStyle w:val="ListParagraph"/>
        <w:numPr>
          <w:ilvl w:val="0"/>
          <w:numId w:val="6"/>
        </w:numPr>
        <w:rPr/>
      </w:pPr>
      <w:r>
        <w:rPr/>
        <w:t>Wymagania montażowe producentów zastosowanych urządzeń</w:t>
      </w:r>
    </w:p>
    <w:p>
      <w:pPr>
        <w:pStyle w:val="Normal"/>
        <w:rPr/>
      </w:pPr>
      <w:r>
        <w:rPr/>
        <w:t>oraz wszystkimi przepisami i normami wskazanymi w treści programu funkcjonalno-użytkowego, jak również innymi obowiązującymi PN (EN-PN) lub odpowiednie normy krajów UE w zakresie przyjętym przez polskie prawodawstwo.</w:t>
      </w:r>
    </w:p>
    <w:p>
      <w:pPr>
        <w:pStyle w:val="Nagwek1"/>
        <w:numPr>
          <w:ilvl w:val="0"/>
          <w:numId w:val="5"/>
        </w:numPr>
        <w:shd w:val="clear" w:fill="F04E23"/>
        <w:rPr/>
      </w:pPr>
      <w:bookmarkStart w:id="221" w:name="_Toc501620275"/>
      <w:bookmarkStart w:id="222" w:name="_Toc501625397"/>
      <w:bookmarkStart w:id="223" w:name="_Toc10627811"/>
      <w:bookmarkStart w:id="224" w:name="_Toc501550623"/>
      <w:bookmarkStart w:id="225" w:name="_Toc501574828"/>
      <w:bookmarkEnd w:id="221"/>
      <w:bookmarkEnd w:id="222"/>
      <w:bookmarkEnd w:id="223"/>
      <w:bookmarkEnd w:id="224"/>
      <w:bookmarkEnd w:id="225"/>
      <w:r>
        <w:rPr/>
        <w:t>inne posiadane informacje i dokumenty niezbędne do zaprojektowania robót budowlanych, w szczególności</w:t>
      </w:r>
    </w:p>
    <w:p>
      <w:pPr>
        <w:pStyle w:val="Normal"/>
        <w:spacing w:before="100" w:after="200"/>
        <w:ind w:left="1134" w:hanging="1134"/>
        <w:rPr/>
      </w:pPr>
      <w:r>
        <w:rPr/>
        <w:t xml:space="preserve">Brak. </w:t>
      </w:r>
    </w:p>
    <w:sectPr>
      <w:headerReference w:type="even" r:id="rId15"/>
      <w:headerReference w:type="default" r:id="rId16"/>
      <w:footerReference w:type="even" r:id="rId17"/>
      <w:footerReference w:type="default" r:id="rId18"/>
      <w:type w:val="nextPage"/>
      <w:pgSz w:w="11906" w:h="16838"/>
      <w:pgMar w:left="1800" w:right="1440" w:header="708" w:top="1440" w:footer="708" w:bottom="1440" w:gutter="0"/>
      <w:pgNumType w:fmt="decimal"/>
      <w:formProt w:val="false"/>
      <w:textDirection w:val="lrTb"/>
      <w:docGrid w:type="default" w:linePitch="360" w:charSpace="20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Segoe UI Light">
    <w:charset w:val="ee"/>
    <w:family w:val="roman"/>
    <w:pitch w:val="variable"/>
  </w:font>
  <w:font w:name="Segoe UI Semibold">
    <w:charset w:val="ee"/>
    <w:family w:val="roman"/>
    <w:pitch w:val="variable"/>
  </w:font>
  <w:font w:name="Segoe UI">
    <w:charset w:val="ee"/>
    <w:family w:val="roman"/>
    <w:pitch w:val="variable"/>
  </w:font>
  <w:font w:name="Times New Roman">
    <w:charset w:val="ee"/>
    <w:family w:val="roman"/>
    <w:pitch w:val="variable"/>
  </w:font>
  <w:font w:name="Arial">
    <w:charset w:val="ee"/>
    <w:family w:val="roman"/>
    <w:pitch w:val="variable"/>
  </w:font>
  <w:font w:name="Symbol">
    <w:charset w:val="ee"/>
    <w:family w:val="roman"/>
    <w:pitch w:val="variable"/>
  </w:font>
  <w:font w:name="Liberation Sans">
    <w:altName w:val="Arial"/>
    <w:charset w:val="ee"/>
    <w:family w:val="roman"/>
    <w:pitch w:val="variable"/>
  </w:font>
  <w:font w:name="Arial Narrow">
    <w:charset w:val="ee"/>
    <w:family w:val="roman"/>
    <w:pitch w:val="variable"/>
  </w:font>
  <w:font w:name="Courier New">
    <w:charset w:val="01"/>
    <w:family w:val="modern"/>
    <w:pitch w:val="fixed"/>
  </w:font>
  <w:font w:name="Wingdings">
    <w:charset w:val="02"/>
    <w:family w:val="auto"/>
    <w:pitch w:val="variable"/>
  </w:font>
  <w:font w:name="Liberation Serif">
    <w:altName w:val="Times New Roman"/>
    <w:charset w:val="01"/>
    <w:family w:val="roman"/>
    <w:pitch w:val="variable"/>
  </w:font>
  <w:font w:name="Arial">
    <w:charset w:val="01"/>
    <w:family w:val="swiss"/>
    <w:pitch w:val="variable"/>
  </w:font>
  <w:font w:name="Segoe UI Light">
    <w:charset w:val="01"/>
    <w:family w:val="swiss"/>
    <w:pitch w:val="variable"/>
  </w:font>
  <w:font w:name="Times New Roman">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opka"/>
      <w:tabs>
        <w:tab w:val="center" w:pos="4536" w:leader="none"/>
        <w:tab w:val="right" w:pos="9072" w:leader="none"/>
      </w:tabs>
      <w:spacing w:lineRule="auto" w:line="240" w:before="100" w:after="0"/>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opka"/>
      <w:tabs>
        <w:tab w:val="center" w:pos="4536" w:leader="none"/>
        <w:tab w:val="right" w:pos="9072" w:leader="none"/>
      </w:tabs>
      <w:spacing w:lineRule="auto" w:line="240" w:before="100" w:after="0"/>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opka"/>
      <w:tabs>
        <w:tab w:val="center" w:pos="4536" w:leader="none"/>
        <w:tab w:val="right" w:pos="9072" w:leader="none"/>
      </w:tabs>
      <w:spacing w:lineRule="auto" w:line="240" w:before="100" w:after="0"/>
      <w:rPr/>
    </w:pPr>
    <w:r>
      <w:rPr/>
    </w:r>
  </w:p>
</w:ftr>
</file>

<file path=word/footer4.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opka"/>
      <w:tabs>
        <w:tab w:val="center" w:pos="4536" w:leader="none"/>
        <w:tab w:val="right" w:pos="9072" w:leader="none"/>
      </w:tabs>
      <w:spacing w:lineRule="auto" w:line="240" w:before="100" w:after="0"/>
      <w:rPr/>
    </w:pPr>
    <w:r>
      <w:rPr/>
    </w:r>
  </w:p>
</w:ftr>
</file>

<file path=word/footer5.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opka"/>
      <w:tabs>
        <w:tab w:val="center" w:pos="4536" w:leader="none"/>
        <w:tab w:val="right" w:pos="9072" w:leader="none"/>
      </w:tabs>
      <w:spacing w:lineRule="auto" w:line="240" w:before="100" w:after="0"/>
      <w:rPr/>
    </w:pPr>
    <w:r>
      <w:rPr/>
    </w:r>
  </w:p>
</w:ftr>
</file>

<file path=word/footer6.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opka"/>
      <w:tabs>
        <w:tab w:val="center" w:pos="4536" w:leader="none"/>
        <w:tab w:val="right" w:pos="9072" w:leader="none"/>
      </w:tabs>
      <w:spacing w:lineRule="auto" w:line="240" w:before="100" w:after="0"/>
      <w:rPr/>
    </w:pPr>
    <w:r>
      <w:rPr/>
    </w:r>
  </w:p>
</w:ftr>
</file>

<file path=word/footer7.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opka"/>
      <w:tabs>
        <w:tab w:val="center" w:pos="4536" w:leader="none"/>
        <w:tab w:val="right" w:pos="9072" w:leader="none"/>
      </w:tabs>
      <w:spacing w:lineRule="auto" w:line="240" w:before="100" w:after="0"/>
      <w:rPr/>
    </w:pPr>
    <w:r>
      <w:rPr/>
    </w:r>
  </w:p>
</w:ftr>
</file>

<file path=word/footer8.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opka"/>
      <w:tabs>
        <w:tab w:val="center" w:pos="4536" w:leader="none"/>
        <w:tab w:val="right" w:pos="9072" w:leader="none"/>
      </w:tabs>
      <w:spacing w:lineRule="auto" w:line="240" w:before="100" w:after="0"/>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Gwka"/>
      <w:tabs>
        <w:tab w:val="center" w:pos="4536" w:leader="none"/>
        <w:tab w:val="right" w:pos="9072" w:leader="none"/>
      </w:tabs>
      <w:spacing w:lineRule="auto" w:line="240" w:before="100" w:after="0"/>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Gwka"/>
      <w:tabs>
        <w:tab w:val="center" w:pos="4536" w:leader="none"/>
        <w:tab w:val="right" w:pos="9072" w:leader="none"/>
      </w:tabs>
      <w:spacing w:lineRule="auto" w:line="240" w:before="100" w:after="0"/>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Gwka"/>
      <w:tabs>
        <w:tab w:val="center" w:pos="4536" w:leader="none"/>
        <w:tab w:val="right" w:pos="9072" w:leader="none"/>
      </w:tabs>
      <w:spacing w:lineRule="auto" w:line="240" w:before="100" w:after="0"/>
      <w:rPr/>
    </w:pPr>
    <w:r>
      <w:rPr/>
    </w:r>
  </w:p>
</w:hdr>
</file>

<file path=word/header4.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Gwka"/>
      <w:tabs>
        <w:tab w:val="center" w:pos="4536" w:leader="none"/>
        <w:tab w:val="right" w:pos="9072" w:leader="none"/>
      </w:tabs>
      <w:spacing w:lineRule="auto" w:line="240" w:before="100" w:after="0"/>
      <w:rPr/>
    </w:pPr>
    <w:r>
      <w:rPr/>
    </w:r>
  </w:p>
</w:hdr>
</file>

<file path=word/header5.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Gwka"/>
      <w:tabs>
        <w:tab w:val="center" w:pos="4536" w:leader="none"/>
        <w:tab w:val="right" w:pos="9072" w:leader="none"/>
      </w:tabs>
      <w:spacing w:lineRule="auto" w:line="240" w:before="100" w:after="0"/>
      <w:rPr/>
    </w:pPr>
    <w:r>
      <w:rPr/>
    </w:r>
  </w:p>
</w:hdr>
</file>

<file path=word/header6.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Gwka"/>
      <w:tabs>
        <w:tab w:val="center" w:pos="4536" w:leader="none"/>
        <w:tab w:val="right" w:pos="9072" w:leader="none"/>
      </w:tabs>
      <w:spacing w:lineRule="auto" w:line="240" w:before="100" w:after="0"/>
      <w:rPr/>
    </w:pPr>
    <w:r>
      <w:rPr/>
    </w:r>
  </w:p>
</w:hdr>
</file>

<file path=word/header7.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Gwka"/>
      <w:tabs>
        <w:tab w:val="center" w:pos="4536" w:leader="none"/>
        <w:tab w:val="right" w:pos="9072" w:leader="none"/>
      </w:tabs>
      <w:spacing w:lineRule="auto" w:line="240" w:before="100" w:after="0"/>
      <w:rPr/>
    </w:pPr>
    <w:r>
      <w:rPr/>
    </w:r>
  </w:p>
</w:hdr>
</file>

<file path=word/header8.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Gwka"/>
      <w:tabs>
        <w:tab w:val="center" w:pos="4536" w:leader="none"/>
        <w:tab w:val="right" w:pos="9072" w:leader="none"/>
      </w:tabs>
      <w:spacing w:lineRule="auto" w:line="240" w:before="100" w:after="0"/>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Nagwek1"/>
      <w:numFmt w:val="decimal"/>
      <w:lvlText w:val="%1"/>
      <w:lvlJc w:val="left"/>
      <w:pPr>
        <w:ind w:left="432" w:hanging="432"/>
      </w:pPr>
    </w:lvl>
    <w:lvl w:ilvl="1">
      <w:start w:val="1"/>
      <w:pStyle w:val="Nagwek2"/>
      <w:numFmt w:val="decimal"/>
      <w:lvlText w:val="%1.%2"/>
      <w:lvlJc w:val="left"/>
      <w:pPr>
        <w:ind w:left="576" w:hanging="576"/>
      </w:pPr>
    </w:lvl>
    <w:lvl w:ilvl="2">
      <w:start w:val="1"/>
      <w:pStyle w:val="Nagwek3"/>
      <w:numFmt w:val="decimal"/>
      <w:lvlText w:val="%1.%2.%3"/>
      <w:lvlJc w:val="left"/>
      <w:pPr>
        <w:ind w:left="720" w:hanging="720"/>
      </w:pPr>
    </w:lvl>
    <w:lvl w:ilvl="3">
      <w:start w:val="1"/>
      <w:pStyle w:val="Nagwek4"/>
      <w:numFmt w:val="decimal"/>
      <w:lvlText w:val="%1.%2.%3.%4"/>
      <w:lvlJc w:val="left"/>
      <w:pPr>
        <w:ind w:left="864" w:hanging="864"/>
      </w:pPr>
    </w:lvl>
    <w:lvl w:ilvl="4">
      <w:start w:val="1"/>
      <w:pStyle w:val="Nagwek5"/>
      <w:numFmt w:val="decimal"/>
      <w:lvlText w:val="%1.%2.%3.%4.%5"/>
      <w:lvlJc w:val="left"/>
      <w:pPr>
        <w:ind w:left="1008" w:hanging="1008"/>
      </w:pPr>
    </w:lvl>
    <w:lvl w:ilvl="5">
      <w:start w:val="1"/>
      <w:pStyle w:val="Nagwek6"/>
      <w:numFmt w:val="decimal"/>
      <w:lvlText w:val="%1.%2.%3.%4.%5.%6"/>
      <w:lvlJc w:val="left"/>
      <w:pPr>
        <w:ind w:left="1152" w:hanging="1152"/>
      </w:pPr>
    </w:lvl>
    <w:lvl w:ilvl="6">
      <w:start w:val="1"/>
      <w:pStyle w:val="Nagwek7"/>
      <w:numFmt w:val="decimal"/>
      <w:lvlText w:val="%1.%2.%3.%4.%5.%6.%7"/>
      <w:lvlJc w:val="left"/>
      <w:pPr>
        <w:ind w:left="1296" w:hanging="1296"/>
      </w:pPr>
    </w:lvl>
    <w:lvl w:ilvl="7">
      <w:start w:val="1"/>
      <w:pStyle w:val="Nagwek8"/>
      <w:numFmt w:val="decimal"/>
      <w:lvlText w:val="%1.%2.%3.%4.%5.%6.%7.%8"/>
      <w:lvlJc w:val="left"/>
      <w:pPr>
        <w:ind w:left="1440" w:hanging="1440"/>
      </w:pPr>
    </w:lvl>
    <w:lvl w:ilvl="8">
      <w:start w:val="1"/>
      <w:pStyle w:val="Nagwek9"/>
      <w:numFmt w:val="decimal"/>
      <w:lvlText w:val="%1.%2.%3.%4.%5.%6.%7.%8.%9"/>
      <w:lvlJc w:val="left"/>
      <w:pPr>
        <w:ind w:left="1584" w:hanging="1584"/>
      </w:pPr>
    </w:lvl>
  </w:abstractNum>
  <w:abstractNum w:abstractNumId="2">
    <w:lvl w:ilvl="0">
      <w:start w:val="1"/>
      <w:numFmt w:val="decimal"/>
      <w:lvlText w:val="%1."/>
      <w:lvlJc w:val="left"/>
      <w:pPr>
        <w:ind w:left="357" w:hanging="357"/>
      </w:pPr>
    </w:lvl>
    <w:lvl w:ilvl="1">
      <w:start w:val="1"/>
      <w:numFmt w:val="decimal"/>
      <w:lvlText w:val="%1.%2."/>
      <w:lvlJc w:val="left"/>
      <w:pPr>
        <w:ind w:left="357" w:hanging="357"/>
      </w:pPr>
    </w:lvl>
    <w:lvl w:ilvl="2">
      <w:start w:val="1"/>
      <w:numFmt w:val="decimal"/>
      <w:lvlText w:val="%1.%2.%3."/>
      <w:lvlJc w:val="left"/>
      <w:pPr>
        <w:ind w:left="357" w:hanging="357"/>
      </w:pPr>
    </w:lvl>
    <w:lvl w:ilvl="3">
      <w:start w:val="1"/>
      <w:numFmt w:val="decimal"/>
      <w:suff w:val="space"/>
      <w:lvlText w:val="%1.%2.%3.%4."/>
      <w:lvlJc w:val="left"/>
      <w:pPr>
        <w:ind w:left="357" w:hanging="357"/>
      </w:pPr>
    </w:lvl>
    <w:lvl w:ilvl="4">
      <w:start w:val="1"/>
      <w:numFmt w:val="decimal"/>
      <w:suff w:val="space"/>
      <w:lvlText w:val="%1.%2.%3.%4.%5."/>
      <w:lvlJc w:val="left"/>
      <w:pPr>
        <w:ind w:left="357" w:hanging="357"/>
      </w:pPr>
    </w:lvl>
    <w:lvl w:ilvl="5">
      <w:start w:val="1"/>
      <w:numFmt w:val="decimal"/>
      <w:suff w:val="space"/>
      <w:lvlText w:val="%1.%2.%3.%4.%5.%6."/>
      <w:lvlJc w:val="left"/>
      <w:pPr>
        <w:ind w:left="357" w:hanging="357"/>
      </w:pPr>
    </w:lvl>
    <w:lvl w:ilvl="6">
      <w:start w:val="1"/>
      <w:numFmt w:val="decimal"/>
      <w:lvlText w:val="%1.%2.%3.%4.%5.%6.%7."/>
      <w:lvlJc w:val="left"/>
      <w:pPr>
        <w:ind w:left="357" w:hanging="357"/>
      </w:pPr>
    </w:lvl>
    <w:lvl w:ilvl="7">
      <w:start w:val="1"/>
      <w:numFmt w:val="decimal"/>
      <w:lvlText w:val="%1.%2.%3.%4.%5.%6.%7.%8."/>
      <w:lvlJc w:val="left"/>
      <w:pPr>
        <w:ind w:left="357" w:hanging="357"/>
      </w:pPr>
    </w:lvl>
    <w:lvl w:ilvl="8">
      <w:start w:val="1"/>
      <w:numFmt w:val="decimal"/>
      <w:lvlText w:val="%1.%2.%3.%4.%5.%6.%7.%8.%9."/>
      <w:lvlJc w:val="left"/>
      <w:pPr>
        <w:ind w:left="357" w:hanging="357"/>
      </w:pPr>
    </w:lvl>
  </w:abstractNum>
  <w:abstractNum w:abstractNumId="3">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lvl w:ilvl="0">
      <w:start w:val="4"/>
      <w:numFmt w:val="decimal"/>
      <w:lvlText w:val="%1."/>
      <w:lvlJc w:val="left"/>
      <w:pPr>
        <w:ind w:left="357" w:hanging="357"/>
      </w:pPr>
    </w:lvl>
    <w:lvl w:ilvl="1">
      <w:start w:val="1"/>
      <w:numFmt w:val="decimal"/>
      <w:lvlText w:val="%1.%2."/>
      <w:lvlJc w:val="left"/>
      <w:pPr>
        <w:ind w:left="357" w:hanging="357"/>
      </w:pPr>
    </w:lvl>
    <w:lvl w:ilvl="2">
      <w:start w:val="1"/>
      <w:numFmt w:val="decimal"/>
      <w:lvlText w:val="%1.%2.%3."/>
      <w:lvlJc w:val="left"/>
      <w:pPr>
        <w:ind w:left="357" w:hanging="357"/>
      </w:pPr>
    </w:lvl>
    <w:lvl w:ilvl="3">
      <w:start w:val="1"/>
      <w:numFmt w:val="decimal"/>
      <w:suff w:val="space"/>
      <w:lvlText w:val="%1.%2.%3.%4."/>
      <w:lvlJc w:val="left"/>
      <w:pPr>
        <w:ind w:left="357" w:hanging="357"/>
      </w:pPr>
    </w:lvl>
    <w:lvl w:ilvl="4">
      <w:start w:val="1"/>
      <w:numFmt w:val="decimal"/>
      <w:suff w:val="space"/>
      <w:lvlText w:val="%1.%2.%3.%4.%5."/>
      <w:lvlJc w:val="left"/>
      <w:pPr>
        <w:ind w:left="357" w:hanging="357"/>
      </w:pPr>
    </w:lvl>
    <w:lvl w:ilvl="5">
      <w:start w:val="1"/>
      <w:numFmt w:val="decimal"/>
      <w:suff w:val="space"/>
      <w:lvlText w:val="%1.%2.%3.%4.%5.%6."/>
      <w:lvlJc w:val="left"/>
      <w:pPr>
        <w:ind w:left="357" w:hanging="357"/>
      </w:pPr>
    </w:lvl>
    <w:lvl w:ilvl="6">
      <w:start w:val="1"/>
      <w:numFmt w:val="decimal"/>
      <w:lvlText w:val="%1.%2.%3.%4.%5.%6.%7."/>
      <w:lvlJc w:val="left"/>
      <w:pPr>
        <w:ind w:left="357" w:hanging="357"/>
      </w:pPr>
    </w:lvl>
    <w:lvl w:ilvl="7">
      <w:start w:val="1"/>
      <w:numFmt w:val="decimal"/>
      <w:lvlText w:val="%1.%2.%3.%4.%5.%6.%7.%8."/>
      <w:lvlJc w:val="left"/>
      <w:pPr>
        <w:ind w:left="357" w:hanging="357"/>
      </w:pPr>
    </w:lvl>
    <w:lvl w:ilvl="8">
      <w:start w:val="1"/>
      <w:numFmt w:val="decimal"/>
      <w:lvlText w:val="%1.%2.%3.%4.%5.%6.%7.%8.%9."/>
      <w:lvlJc w:val="left"/>
      <w:pPr>
        <w:ind w:left="357" w:hanging="357"/>
      </w:pPr>
    </w:lvl>
  </w:abstractNum>
  <w:abstractNum w:abstractNumId="6">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7">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8">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9">
    <w:lvl w:ilvl="0">
      <w:start w:val="1"/>
      <w:numFmt w:val="bullet"/>
      <w:lvlText w:val=""/>
      <w:lvlJc w:val="left"/>
      <w:pPr>
        <w:ind w:left="720" w:hanging="360"/>
      </w:pPr>
      <w:rPr>
        <w:rFonts w:ascii="Symbol" w:hAnsi="Symbol" w:cs="Symbol" w:hint="default"/>
        <w:rFonts w:cs="Symbol"/>
      </w:rPr>
    </w:lvl>
    <w:lvl w:ilvl="1">
      <w:start w:val="1"/>
      <w:numFmt w:val="decimal"/>
      <w:suff w:val="space"/>
      <w:lvlText w:val="[%2] - "/>
      <w:lvlJc w:val="left"/>
      <w:pPr>
        <w:ind w:left="1440" w:hanging="360"/>
      </w:pPr>
    </w:lvl>
    <w:lvl w:ilvl="2">
      <w:start w:val="1"/>
      <w:numFmt w:val="upperRoman"/>
      <w:suff w:val="space"/>
      <w:lvlText w:val="%3."/>
      <w:lvlJc w:val="left"/>
      <w:pPr>
        <w:ind w:left="2880" w:hanging="1080"/>
      </w:p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10">
    <w:lvl w:ilvl="0">
      <w:start w:val="1"/>
      <w:numFmt w:val="bullet"/>
      <w:lvlText w:val=""/>
      <w:lvlJc w:val="left"/>
      <w:pPr>
        <w:ind w:left="780" w:hanging="360"/>
      </w:pPr>
      <w:rPr>
        <w:rFonts w:ascii="Symbol" w:hAnsi="Symbol" w:cs="Symbol" w:hint="default"/>
        <w:rFonts w:cs="Symbol"/>
      </w:rPr>
    </w:lvl>
    <w:lvl w:ilvl="1">
      <w:start w:val="1"/>
      <w:numFmt w:val="bullet"/>
      <w:lvlText w:val="-"/>
      <w:lvlJc w:val="left"/>
      <w:pPr>
        <w:ind w:left="1500" w:hanging="360"/>
      </w:pPr>
      <w:rPr>
        <w:rFonts w:ascii="Courier New" w:hAnsi="Courier New" w:cs="Courier New" w:hint="default"/>
        <w:rFonts w:cs="Courier New"/>
      </w:rPr>
    </w:lvl>
    <w:lvl w:ilvl="2">
      <w:start w:val="1"/>
      <w:numFmt w:val="bullet"/>
      <w:lvlText w:val=""/>
      <w:lvlJc w:val="left"/>
      <w:pPr>
        <w:ind w:left="2220" w:hanging="360"/>
      </w:pPr>
      <w:rPr>
        <w:rFonts w:ascii="Wingdings" w:hAnsi="Wingdings" w:cs="Wingdings" w:hint="default"/>
        <w:rFonts w:cs="Wingdings"/>
      </w:rPr>
    </w:lvl>
    <w:lvl w:ilvl="3">
      <w:start w:val="1"/>
      <w:numFmt w:val="bullet"/>
      <w:lvlText w:val=""/>
      <w:lvlJc w:val="left"/>
      <w:pPr>
        <w:ind w:left="2940" w:hanging="360"/>
      </w:pPr>
      <w:rPr>
        <w:rFonts w:ascii="Symbol" w:hAnsi="Symbol" w:cs="Symbol" w:hint="default"/>
        <w:rFonts w:cs="Symbol"/>
      </w:rPr>
    </w:lvl>
    <w:lvl w:ilvl="4">
      <w:start w:val="1"/>
      <w:numFmt w:val="bullet"/>
      <w:lvlText w:val="o"/>
      <w:lvlJc w:val="left"/>
      <w:pPr>
        <w:ind w:left="3660" w:hanging="360"/>
      </w:pPr>
      <w:rPr>
        <w:rFonts w:ascii="Courier New" w:hAnsi="Courier New" w:cs="Courier New" w:hint="default"/>
        <w:rFonts w:cs="Courier New"/>
      </w:rPr>
    </w:lvl>
    <w:lvl w:ilvl="5">
      <w:start w:val="1"/>
      <w:numFmt w:val="bullet"/>
      <w:lvlText w:val=""/>
      <w:lvlJc w:val="left"/>
      <w:pPr>
        <w:ind w:left="4380" w:hanging="360"/>
      </w:pPr>
      <w:rPr>
        <w:rFonts w:ascii="Wingdings" w:hAnsi="Wingdings" w:cs="Wingdings" w:hint="default"/>
        <w:rFonts w:cs="Wingdings"/>
      </w:rPr>
    </w:lvl>
    <w:lvl w:ilvl="6">
      <w:start w:val="1"/>
      <w:numFmt w:val="bullet"/>
      <w:lvlText w:val=""/>
      <w:lvlJc w:val="left"/>
      <w:pPr>
        <w:ind w:left="5100" w:hanging="360"/>
      </w:pPr>
      <w:rPr>
        <w:rFonts w:ascii="Symbol" w:hAnsi="Symbol" w:cs="Symbol" w:hint="default"/>
        <w:rFonts w:cs="Symbol"/>
      </w:rPr>
    </w:lvl>
    <w:lvl w:ilvl="7">
      <w:start w:val="1"/>
      <w:numFmt w:val="bullet"/>
      <w:lvlText w:val="o"/>
      <w:lvlJc w:val="left"/>
      <w:pPr>
        <w:ind w:left="5820" w:hanging="360"/>
      </w:pPr>
      <w:rPr>
        <w:rFonts w:ascii="Courier New" w:hAnsi="Courier New" w:cs="Courier New" w:hint="default"/>
        <w:rFonts w:cs="Courier New"/>
      </w:rPr>
    </w:lvl>
    <w:lvl w:ilvl="8">
      <w:start w:val="1"/>
      <w:numFmt w:val="bullet"/>
      <w:lvlText w:val=""/>
      <w:lvlJc w:val="left"/>
      <w:pPr>
        <w:ind w:left="6540" w:hanging="360"/>
      </w:pPr>
      <w:rPr>
        <w:rFonts w:ascii="Wingdings" w:hAnsi="Wingdings" w:cs="Wingdings" w:hint="default"/>
        <w:rFonts w:cs="Wingdings"/>
      </w:rPr>
    </w:lvl>
  </w:abstractNum>
  <w:abstractNum w:abstractNumId="11">
    <w:lvl w:ilvl="0">
      <w:start w:val="1"/>
      <w:numFmt w:val="bullet"/>
      <w:lvlText w:val=""/>
      <w:lvlJc w:val="left"/>
      <w:pPr>
        <w:ind w:left="1140" w:hanging="360"/>
      </w:pPr>
      <w:rPr>
        <w:rFonts w:ascii="Symbol" w:hAnsi="Symbol" w:cs="Symbol" w:hint="default"/>
        <w:rFonts w:cs="Symbol"/>
      </w:rPr>
    </w:lvl>
    <w:lvl w:ilvl="1">
      <w:start w:val="1"/>
      <w:numFmt w:val="bullet"/>
      <w:lvlText w:val="o"/>
      <w:lvlJc w:val="left"/>
      <w:pPr>
        <w:ind w:left="1860" w:hanging="360"/>
      </w:pPr>
      <w:rPr>
        <w:rFonts w:ascii="Courier New" w:hAnsi="Courier New" w:cs="Courier New" w:hint="default"/>
        <w:rFonts w:cs="Courier New"/>
      </w:rPr>
    </w:lvl>
    <w:lvl w:ilvl="2">
      <w:start w:val="1"/>
      <w:numFmt w:val="bullet"/>
      <w:lvlText w:val=""/>
      <w:lvlJc w:val="left"/>
      <w:pPr>
        <w:ind w:left="2580" w:hanging="360"/>
      </w:pPr>
      <w:rPr>
        <w:rFonts w:ascii="Wingdings" w:hAnsi="Wingdings" w:cs="Wingdings" w:hint="default"/>
        <w:rFonts w:cs="Wingdings"/>
      </w:rPr>
    </w:lvl>
    <w:lvl w:ilvl="3">
      <w:start w:val="1"/>
      <w:numFmt w:val="bullet"/>
      <w:lvlText w:val=""/>
      <w:lvlJc w:val="left"/>
      <w:pPr>
        <w:ind w:left="3300" w:hanging="360"/>
      </w:pPr>
      <w:rPr>
        <w:rFonts w:ascii="Symbol" w:hAnsi="Symbol" w:cs="Symbol" w:hint="default"/>
        <w:rFonts w:cs="Symbol"/>
      </w:rPr>
    </w:lvl>
    <w:lvl w:ilvl="4">
      <w:start w:val="1"/>
      <w:numFmt w:val="bullet"/>
      <w:lvlText w:val="o"/>
      <w:lvlJc w:val="left"/>
      <w:pPr>
        <w:ind w:left="4020" w:hanging="360"/>
      </w:pPr>
      <w:rPr>
        <w:rFonts w:ascii="Courier New" w:hAnsi="Courier New" w:cs="Courier New" w:hint="default"/>
        <w:rFonts w:cs="Courier New"/>
      </w:rPr>
    </w:lvl>
    <w:lvl w:ilvl="5">
      <w:start w:val="1"/>
      <w:numFmt w:val="bullet"/>
      <w:lvlText w:val=""/>
      <w:lvlJc w:val="left"/>
      <w:pPr>
        <w:ind w:left="4740" w:hanging="360"/>
      </w:pPr>
      <w:rPr>
        <w:rFonts w:ascii="Wingdings" w:hAnsi="Wingdings" w:cs="Wingdings" w:hint="default"/>
        <w:rFonts w:cs="Wingdings"/>
      </w:rPr>
    </w:lvl>
    <w:lvl w:ilvl="6">
      <w:start w:val="1"/>
      <w:numFmt w:val="bullet"/>
      <w:lvlText w:val=""/>
      <w:lvlJc w:val="left"/>
      <w:pPr>
        <w:ind w:left="5460" w:hanging="360"/>
      </w:pPr>
      <w:rPr>
        <w:rFonts w:ascii="Symbol" w:hAnsi="Symbol" w:cs="Symbol" w:hint="default"/>
        <w:rFonts w:cs="Symbol"/>
      </w:rPr>
    </w:lvl>
    <w:lvl w:ilvl="7">
      <w:start w:val="1"/>
      <w:numFmt w:val="bullet"/>
      <w:lvlText w:val="o"/>
      <w:lvlJc w:val="left"/>
      <w:pPr>
        <w:ind w:left="6180" w:hanging="360"/>
      </w:pPr>
      <w:rPr>
        <w:rFonts w:ascii="Courier New" w:hAnsi="Courier New" w:cs="Courier New" w:hint="default"/>
        <w:rFonts w:cs="Courier New"/>
      </w:rPr>
    </w:lvl>
    <w:lvl w:ilvl="8">
      <w:start w:val="1"/>
      <w:numFmt w:val="bullet"/>
      <w:lvlText w:val=""/>
      <w:lvlJc w:val="left"/>
      <w:pPr>
        <w:ind w:left="6900" w:hanging="360"/>
      </w:pPr>
      <w:rPr>
        <w:rFonts w:ascii="Wingdings" w:hAnsi="Wingdings" w:cs="Wingdings" w:hint="default"/>
        <w:rFonts w:cs="Wingdings"/>
      </w:rPr>
    </w:lvl>
  </w:abstractNum>
  <w:abstractNum w:abstractNumId="12">
    <w:lvl w:ilvl="0">
      <w:start w:val="1"/>
      <w:numFmt w:val="bullet"/>
      <w:lvlText w:val="-"/>
      <w:lvlJc w:val="left"/>
      <w:pPr>
        <w:ind w:left="780" w:hanging="360"/>
      </w:pPr>
      <w:rPr>
        <w:rFonts w:ascii="Courier New" w:hAnsi="Courier New" w:cs="Courier New" w:hint="default"/>
        <w:rFonts w:cs="Courier New"/>
      </w:rPr>
    </w:lvl>
    <w:lvl w:ilvl="1">
      <w:start w:val="1"/>
      <w:numFmt w:val="bullet"/>
      <w:lvlText w:val="o"/>
      <w:lvlJc w:val="left"/>
      <w:pPr>
        <w:ind w:left="1500" w:hanging="360"/>
      </w:pPr>
      <w:rPr>
        <w:rFonts w:ascii="Courier New" w:hAnsi="Courier New" w:cs="Courier New" w:hint="default"/>
        <w:rFonts w:cs="Courier New"/>
      </w:rPr>
    </w:lvl>
    <w:lvl w:ilvl="2">
      <w:start w:val="1"/>
      <w:numFmt w:val="bullet"/>
      <w:lvlText w:val=""/>
      <w:lvlJc w:val="left"/>
      <w:pPr>
        <w:ind w:left="2220" w:hanging="360"/>
      </w:pPr>
      <w:rPr>
        <w:rFonts w:ascii="Wingdings" w:hAnsi="Wingdings" w:cs="Wingdings" w:hint="default"/>
        <w:rFonts w:cs="Wingdings"/>
      </w:rPr>
    </w:lvl>
    <w:lvl w:ilvl="3">
      <w:start w:val="1"/>
      <w:numFmt w:val="bullet"/>
      <w:lvlText w:val=""/>
      <w:lvlJc w:val="left"/>
      <w:pPr>
        <w:ind w:left="2940" w:hanging="360"/>
      </w:pPr>
      <w:rPr>
        <w:rFonts w:ascii="Symbol" w:hAnsi="Symbol" w:cs="Symbol" w:hint="default"/>
        <w:rFonts w:cs="Symbol"/>
      </w:rPr>
    </w:lvl>
    <w:lvl w:ilvl="4">
      <w:start w:val="1"/>
      <w:numFmt w:val="bullet"/>
      <w:lvlText w:val="o"/>
      <w:lvlJc w:val="left"/>
      <w:pPr>
        <w:ind w:left="3660" w:hanging="360"/>
      </w:pPr>
      <w:rPr>
        <w:rFonts w:ascii="Courier New" w:hAnsi="Courier New" w:cs="Courier New" w:hint="default"/>
        <w:rFonts w:cs="Courier New"/>
      </w:rPr>
    </w:lvl>
    <w:lvl w:ilvl="5">
      <w:start w:val="1"/>
      <w:numFmt w:val="bullet"/>
      <w:lvlText w:val=""/>
      <w:lvlJc w:val="left"/>
      <w:pPr>
        <w:ind w:left="4380" w:hanging="360"/>
      </w:pPr>
      <w:rPr>
        <w:rFonts w:ascii="Wingdings" w:hAnsi="Wingdings" w:cs="Wingdings" w:hint="default"/>
        <w:rFonts w:cs="Wingdings"/>
      </w:rPr>
    </w:lvl>
    <w:lvl w:ilvl="6">
      <w:start w:val="1"/>
      <w:numFmt w:val="bullet"/>
      <w:lvlText w:val=""/>
      <w:lvlJc w:val="left"/>
      <w:pPr>
        <w:ind w:left="5100" w:hanging="360"/>
      </w:pPr>
      <w:rPr>
        <w:rFonts w:ascii="Symbol" w:hAnsi="Symbol" w:cs="Symbol" w:hint="default"/>
        <w:rFonts w:cs="Symbol"/>
      </w:rPr>
    </w:lvl>
    <w:lvl w:ilvl="7">
      <w:start w:val="1"/>
      <w:numFmt w:val="bullet"/>
      <w:lvlText w:val="o"/>
      <w:lvlJc w:val="left"/>
      <w:pPr>
        <w:ind w:left="5820" w:hanging="360"/>
      </w:pPr>
      <w:rPr>
        <w:rFonts w:ascii="Courier New" w:hAnsi="Courier New" w:cs="Courier New" w:hint="default"/>
        <w:rFonts w:cs="Courier New"/>
      </w:rPr>
    </w:lvl>
    <w:lvl w:ilvl="8">
      <w:start w:val="1"/>
      <w:numFmt w:val="bullet"/>
      <w:lvlText w:val=""/>
      <w:lvlJc w:val="left"/>
      <w:pPr>
        <w:ind w:left="6540" w:hanging="360"/>
      </w:pPr>
      <w:rPr>
        <w:rFonts w:ascii="Wingdings" w:hAnsi="Wingdings" w:cs="Wingdings" w:hint="default"/>
        <w:rFonts w:cs="Wingdings"/>
      </w:rPr>
    </w:lvl>
  </w:abstractNum>
  <w:abstractNum w:abstractNumId="13">
    <w:lvl w:ilvl="0">
      <w:start w:val="1"/>
      <w:numFmt w:val="decimal"/>
      <w:suff w:val="space"/>
      <w:lvlText w:val="%1."/>
      <w:lvlJc w:val="left"/>
      <w:pPr>
        <w:ind w:left="354" w:hanging="360"/>
      </w:pPr>
    </w:lvl>
    <w:lvl w:ilvl="1">
      <w:start w:val="1"/>
      <w:numFmt w:val="bullet"/>
      <w:lvlText w:val="-"/>
      <w:lvlJc w:val="left"/>
      <w:pPr>
        <w:ind w:left="1074" w:hanging="360"/>
      </w:pPr>
      <w:rPr>
        <w:rFonts w:ascii="Courier New" w:hAnsi="Courier New" w:cs="Courier New" w:hint="default"/>
        <w:rFonts w:cs="Courier New"/>
      </w:rPr>
    </w:lvl>
    <w:lvl w:ilvl="2">
      <w:start w:val="1"/>
      <w:numFmt w:val="lowerRoman"/>
      <w:lvlText w:val="%3."/>
      <w:lvlJc w:val="right"/>
      <w:pPr>
        <w:ind w:left="1794" w:hanging="180"/>
      </w:pPr>
    </w:lvl>
    <w:lvl w:ilvl="3">
      <w:start w:val="1"/>
      <w:numFmt w:val="decimal"/>
      <w:lvlText w:val="%4."/>
      <w:lvlJc w:val="left"/>
      <w:pPr>
        <w:ind w:left="2514" w:hanging="360"/>
      </w:pPr>
    </w:lvl>
    <w:lvl w:ilvl="4">
      <w:start w:val="1"/>
      <w:numFmt w:val="lowerLetter"/>
      <w:lvlText w:val="%5."/>
      <w:lvlJc w:val="left"/>
      <w:pPr>
        <w:ind w:left="3234" w:hanging="360"/>
      </w:pPr>
    </w:lvl>
    <w:lvl w:ilvl="5">
      <w:start w:val="1"/>
      <w:numFmt w:val="lowerRoman"/>
      <w:lvlText w:val="%6."/>
      <w:lvlJc w:val="right"/>
      <w:pPr>
        <w:ind w:left="3954" w:hanging="180"/>
      </w:pPr>
    </w:lvl>
    <w:lvl w:ilvl="6">
      <w:start w:val="1"/>
      <w:numFmt w:val="decimal"/>
      <w:lvlText w:val="%7."/>
      <w:lvlJc w:val="left"/>
      <w:pPr>
        <w:ind w:left="4674" w:hanging="360"/>
      </w:pPr>
    </w:lvl>
    <w:lvl w:ilvl="7">
      <w:start w:val="1"/>
      <w:numFmt w:val="lowerLetter"/>
      <w:lvlText w:val="%8."/>
      <w:lvlJc w:val="left"/>
      <w:pPr>
        <w:ind w:left="5394" w:hanging="360"/>
      </w:pPr>
    </w:lvl>
    <w:lvl w:ilvl="8">
      <w:start w:val="1"/>
      <w:numFmt w:val="lowerRoman"/>
      <w:lvlText w:val="%9."/>
      <w:lvlJc w:val="right"/>
      <w:pPr>
        <w:ind w:left="6114" w:hanging="180"/>
      </w:pPr>
    </w:lvl>
  </w:abstractNum>
  <w:abstractNum w:abstractNumId="14">
    <w:lvl w:ilvl="0">
      <w:start w:val="1"/>
      <w:numFmt w:val="bullet"/>
      <w:suff w:val="space"/>
      <w:lvlText w:val="-"/>
      <w:lvlJc w:val="left"/>
      <w:pPr>
        <w:ind w:left="780" w:hanging="360"/>
      </w:pPr>
      <w:rPr>
        <w:rFonts w:ascii="Courier New" w:hAnsi="Courier New" w:cs="Courier New" w:hint="default"/>
        <w:rFonts w:cs="Courier New"/>
      </w:rPr>
    </w:lvl>
    <w:lvl w:ilvl="1">
      <w:start w:val="1"/>
      <w:numFmt w:val="bullet"/>
      <w:lvlText w:val="-"/>
      <w:lvlJc w:val="left"/>
      <w:pPr>
        <w:ind w:left="1074" w:hanging="360"/>
      </w:pPr>
      <w:rPr>
        <w:rFonts w:ascii="Courier New" w:hAnsi="Courier New" w:cs="Courier New" w:hint="default"/>
        <w:rFonts w:cs="Courier New"/>
      </w:rPr>
    </w:lvl>
    <w:lvl w:ilvl="2">
      <w:start w:val="1"/>
      <w:numFmt w:val="lowerLetter"/>
      <w:lvlText w:val="%3)"/>
      <w:lvlJc w:val="left"/>
      <w:pPr>
        <w:ind w:left="1974" w:hanging="360"/>
      </w:pPr>
    </w:lvl>
    <w:lvl w:ilvl="3">
      <w:start w:val="1"/>
      <w:numFmt w:val="decimal"/>
      <w:lvlText w:val="%4."/>
      <w:lvlJc w:val="left"/>
      <w:pPr>
        <w:ind w:left="2514" w:hanging="360"/>
      </w:pPr>
    </w:lvl>
    <w:lvl w:ilvl="4">
      <w:start w:val="1"/>
      <w:numFmt w:val="lowerLetter"/>
      <w:lvlText w:val="%5."/>
      <w:lvlJc w:val="left"/>
      <w:pPr>
        <w:ind w:left="3234" w:hanging="360"/>
      </w:pPr>
    </w:lvl>
    <w:lvl w:ilvl="5">
      <w:start w:val="1"/>
      <w:numFmt w:val="lowerRoman"/>
      <w:lvlText w:val="%6."/>
      <w:lvlJc w:val="right"/>
      <w:pPr>
        <w:ind w:left="3954" w:hanging="180"/>
      </w:pPr>
    </w:lvl>
    <w:lvl w:ilvl="6">
      <w:start w:val="1"/>
      <w:numFmt w:val="decimal"/>
      <w:lvlText w:val="%7."/>
      <w:lvlJc w:val="left"/>
      <w:pPr>
        <w:ind w:left="4674" w:hanging="360"/>
      </w:pPr>
    </w:lvl>
    <w:lvl w:ilvl="7">
      <w:start w:val="1"/>
      <w:numFmt w:val="lowerLetter"/>
      <w:lvlText w:val="%8."/>
      <w:lvlJc w:val="left"/>
      <w:pPr>
        <w:ind w:left="5394" w:hanging="360"/>
      </w:pPr>
    </w:lvl>
    <w:lvl w:ilvl="8">
      <w:start w:val="1"/>
      <w:numFmt w:val="lowerRoman"/>
      <w:lvlText w:val="%9."/>
      <w:lvlJc w:val="right"/>
      <w:pPr>
        <w:ind w:left="6114" w:hanging="180"/>
      </w:pPr>
    </w:lvl>
  </w:abstractNum>
  <w:abstractNum w:abstractNumId="15">
    <w:lvl w:ilvl="0">
      <w:start w:val="1"/>
      <w:numFmt w:val="bullet"/>
      <w:suff w:val="space"/>
      <w:lvlText w:val="-"/>
      <w:lvlJc w:val="left"/>
      <w:pPr>
        <w:ind w:left="780" w:hanging="360"/>
      </w:pPr>
      <w:rPr>
        <w:rFonts w:ascii="Courier New" w:hAnsi="Courier New" w:cs="Courier New" w:hint="default"/>
        <w:rFonts w:cs="Courier New"/>
      </w:rPr>
    </w:lvl>
    <w:lvl w:ilvl="1">
      <w:start w:val="1"/>
      <w:numFmt w:val="bullet"/>
      <w:lvlText w:val=""/>
      <w:lvlJc w:val="left"/>
      <w:pPr>
        <w:ind w:left="1440" w:hanging="360"/>
      </w:pPr>
      <w:rPr>
        <w:rFonts w:ascii="Symbol" w:hAnsi="Symbol" w:cs="Symbol" w:hint="default"/>
        <w:rFonts w:cs="Symbol"/>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16">
    <w:lvl w:ilvl="0">
      <w:start w:val="1"/>
      <w:numFmt w:val="decimal"/>
      <w:suff w:val="space"/>
      <w:lvlText w:val="[%1] - "/>
      <w:lvlJc w:val="left"/>
      <w:pPr>
        <w:ind w:left="601" w:hanging="244"/>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7">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18">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19">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20">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21">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22">
    <w:lvl w:ilvl="0">
      <w:start w:val="1"/>
      <w:numFmt w:val="bullet"/>
      <w:lvlText w:val="-"/>
      <w:lvlJc w:val="left"/>
      <w:pPr>
        <w:ind w:left="720" w:hanging="360"/>
      </w:pPr>
      <w:rPr>
        <w:rFonts w:ascii="Courier New" w:hAnsi="Courier New" w:cs="Courier New" w:hint="default"/>
        <w:rFonts w:cs="Courier New"/>
      </w:rPr>
    </w:lvl>
    <w:lvl w:ilvl="1">
      <w:start w:val="1"/>
      <w:numFmt w:val="bullet"/>
      <w:lvlText w:val=""/>
      <w:lvlJc w:val="left"/>
      <w:pPr>
        <w:ind w:left="1440" w:hanging="360"/>
      </w:pPr>
      <w:rPr>
        <w:rFonts w:ascii="Symbol" w:hAnsi="Symbol" w:cs="Symbol" w:hint="default"/>
        <w:rFonts w:cs="Symbol"/>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23">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24">
    <w:lvl w:ilvl="0">
      <w:start w:val="1"/>
      <w:numFmt w:val="bullet"/>
      <w:lvlText w:val=""/>
      <w:lvlJc w:val="left"/>
      <w:pPr>
        <w:ind w:left="720" w:hanging="360"/>
      </w:pPr>
      <w:rPr>
        <w:rFonts w:ascii="Symbol" w:hAnsi="Symbol" w:cs="Symbol" w:hint="default"/>
        <w:rFonts w:cs="Symbol"/>
      </w:rPr>
    </w:lvl>
    <w:lvl w:ilvl="1">
      <w:start w:val="1"/>
      <w:numFmt w:val="bullet"/>
      <w:suff w:val="space"/>
      <w:lvlText w:val="-"/>
      <w:lvlJc w:val="left"/>
      <w:pPr>
        <w:ind w:left="1077" w:hanging="-3"/>
      </w:pPr>
      <w:rPr>
        <w:rFonts w:ascii="Liberation Serif" w:hAnsi="Liberation Serif" w:cs="Liberation Serif" w:hint="default"/>
        <w:sz w:val="24"/>
        <w:szCs w:val="24"/>
        <w:rFonts w:cs="Liberation Serif"/>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25">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26">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27">
    <w:lvl w:ilvl="0">
      <w:start w:val="1"/>
      <w:numFmt w:val="bullet"/>
      <w:lvlText w:val="-"/>
      <w:lvlJc w:val="left"/>
      <w:pPr>
        <w:ind w:left="825" w:hanging="360"/>
      </w:pPr>
      <w:rPr>
        <w:rFonts w:ascii="Courier New" w:hAnsi="Courier New" w:cs="Courier New" w:hint="default"/>
        <w:rFonts w:cs="Courier New"/>
      </w:rPr>
    </w:lvl>
    <w:lvl w:ilvl="1">
      <w:start w:val="1"/>
      <w:numFmt w:val="bullet"/>
      <w:lvlText w:val=""/>
      <w:lvlJc w:val="left"/>
      <w:pPr>
        <w:ind w:left="1545" w:hanging="360"/>
      </w:pPr>
      <w:rPr>
        <w:rFonts w:ascii="Symbol" w:hAnsi="Symbol" w:cs="Symbol" w:hint="default"/>
        <w:rFonts w:cs="Symbol"/>
      </w:rPr>
    </w:lvl>
    <w:lvl w:ilvl="2">
      <w:start w:val="1"/>
      <w:numFmt w:val="bullet"/>
      <w:lvlText w:val=""/>
      <w:lvlJc w:val="left"/>
      <w:pPr>
        <w:ind w:left="2265" w:hanging="360"/>
      </w:pPr>
      <w:rPr>
        <w:rFonts w:ascii="Wingdings" w:hAnsi="Wingdings" w:cs="Wingdings" w:hint="default"/>
        <w:rFonts w:cs="Wingdings"/>
      </w:rPr>
    </w:lvl>
    <w:lvl w:ilvl="3">
      <w:start w:val="1"/>
      <w:numFmt w:val="bullet"/>
      <w:lvlText w:val=""/>
      <w:lvlJc w:val="left"/>
      <w:pPr>
        <w:ind w:left="2985" w:hanging="360"/>
      </w:pPr>
      <w:rPr>
        <w:rFonts w:ascii="Symbol" w:hAnsi="Symbol" w:cs="Symbol" w:hint="default"/>
        <w:rFonts w:cs="Symbol"/>
      </w:rPr>
    </w:lvl>
    <w:lvl w:ilvl="4">
      <w:start w:val="1"/>
      <w:numFmt w:val="bullet"/>
      <w:lvlText w:val="o"/>
      <w:lvlJc w:val="left"/>
      <w:pPr>
        <w:ind w:left="3705" w:hanging="360"/>
      </w:pPr>
      <w:rPr>
        <w:rFonts w:ascii="Courier New" w:hAnsi="Courier New" w:cs="Courier New" w:hint="default"/>
        <w:rFonts w:cs="Courier New"/>
      </w:rPr>
    </w:lvl>
    <w:lvl w:ilvl="5">
      <w:start w:val="1"/>
      <w:numFmt w:val="bullet"/>
      <w:lvlText w:val=""/>
      <w:lvlJc w:val="left"/>
      <w:pPr>
        <w:ind w:left="4425" w:hanging="360"/>
      </w:pPr>
      <w:rPr>
        <w:rFonts w:ascii="Wingdings" w:hAnsi="Wingdings" w:cs="Wingdings" w:hint="default"/>
        <w:rFonts w:cs="Wingdings"/>
      </w:rPr>
    </w:lvl>
    <w:lvl w:ilvl="6">
      <w:start w:val="1"/>
      <w:numFmt w:val="bullet"/>
      <w:lvlText w:val=""/>
      <w:lvlJc w:val="left"/>
      <w:pPr>
        <w:ind w:left="5145" w:hanging="360"/>
      </w:pPr>
      <w:rPr>
        <w:rFonts w:ascii="Symbol" w:hAnsi="Symbol" w:cs="Symbol" w:hint="default"/>
        <w:rFonts w:cs="Symbol"/>
      </w:rPr>
    </w:lvl>
    <w:lvl w:ilvl="7">
      <w:start w:val="1"/>
      <w:numFmt w:val="bullet"/>
      <w:lvlText w:val="o"/>
      <w:lvlJc w:val="left"/>
      <w:pPr>
        <w:ind w:left="5865" w:hanging="360"/>
      </w:pPr>
      <w:rPr>
        <w:rFonts w:ascii="Courier New" w:hAnsi="Courier New" w:cs="Courier New" w:hint="default"/>
        <w:rFonts w:cs="Courier New"/>
      </w:rPr>
    </w:lvl>
    <w:lvl w:ilvl="8">
      <w:start w:val="1"/>
      <w:numFmt w:val="bullet"/>
      <w:lvlText w:val=""/>
      <w:lvlJc w:val="left"/>
      <w:pPr>
        <w:ind w:left="6585" w:hanging="360"/>
      </w:pPr>
      <w:rPr>
        <w:rFonts w:ascii="Wingdings" w:hAnsi="Wingdings" w:cs="Wingdings" w:hint="default"/>
        <w:rFonts w:cs="Wingdings"/>
      </w:rPr>
    </w:lvl>
  </w:abstractNum>
  <w:abstractNum w:abstractNumId="28">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29">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30">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31">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32">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33">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34">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35">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36">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37">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38">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39">
    <w:lvl w:ilvl="0">
      <w:start w:val="1"/>
      <w:numFmt w:val="bullet"/>
      <w:lvlText w:val="-"/>
      <w:lvlJc w:val="left"/>
      <w:pPr>
        <w:ind w:left="780" w:hanging="360"/>
      </w:pPr>
      <w:rPr>
        <w:rFonts w:ascii="Courier New" w:hAnsi="Courier New" w:cs="Courier New" w:hint="default"/>
        <w:rFonts w:cs="Courier New"/>
      </w:rPr>
    </w:lvl>
    <w:lvl w:ilvl="1">
      <w:start w:val="1"/>
      <w:numFmt w:val="bullet"/>
      <w:lvlText w:val="o"/>
      <w:lvlJc w:val="left"/>
      <w:pPr>
        <w:ind w:left="1500" w:hanging="360"/>
      </w:pPr>
      <w:rPr>
        <w:rFonts w:ascii="Courier New" w:hAnsi="Courier New" w:cs="Courier New" w:hint="default"/>
        <w:rFonts w:cs="Courier New"/>
      </w:rPr>
    </w:lvl>
    <w:lvl w:ilvl="2">
      <w:start w:val="1"/>
      <w:numFmt w:val="bullet"/>
      <w:lvlText w:val=""/>
      <w:lvlJc w:val="left"/>
      <w:pPr>
        <w:ind w:left="2220" w:hanging="360"/>
      </w:pPr>
      <w:rPr>
        <w:rFonts w:ascii="Wingdings" w:hAnsi="Wingdings" w:cs="Wingdings" w:hint="default"/>
        <w:rFonts w:cs="Wingdings"/>
      </w:rPr>
    </w:lvl>
    <w:lvl w:ilvl="3">
      <w:start w:val="1"/>
      <w:numFmt w:val="bullet"/>
      <w:lvlText w:val=""/>
      <w:lvlJc w:val="left"/>
      <w:pPr>
        <w:ind w:left="2940" w:hanging="360"/>
      </w:pPr>
      <w:rPr>
        <w:rFonts w:ascii="Symbol" w:hAnsi="Symbol" w:cs="Symbol" w:hint="default"/>
        <w:rFonts w:cs="Symbol"/>
      </w:rPr>
    </w:lvl>
    <w:lvl w:ilvl="4">
      <w:start w:val="1"/>
      <w:numFmt w:val="bullet"/>
      <w:lvlText w:val="o"/>
      <w:lvlJc w:val="left"/>
      <w:pPr>
        <w:ind w:left="3660" w:hanging="360"/>
      </w:pPr>
      <w:rPr>
        <w:rFonts w:ascii="Courier New" w:hAnsi="Courier New" w:cs="Courier New" w:hint="default"/>
        <w:rFonts w:cs="Courier New"/>
      </w:rPr>
    </w:lvl>
    <w:lvl w:ilvl="5">
      <w:start w:val="1"/>
      <w:numFmt w:val="bullet"/>
      <w:lvlText w:val=""/>
      <w:lvlJc w:val="left"/>
      <w:pPr>
        <w:ind w:left="4380" w:hanging="360"/>
      </w:pPr>
      <w:rPr>
        <w:rFonts w:ascii="Wingdings" w:hAnsi="Wingdings" w:cs="Wingdings" w:hint="default"/>
        <w:rFonts w:cs="Wingdings"/>
      </w:rPr>
    </w:lvl>
    <w:lvl w:ilvl="6">
      <w:start w:val="1"/>
      <w:numFmt w:val="bullet"/>
      <w:lvlText w:val=""/>
      <w:lvlJc w:val="left"/>
      <w:pPr>
        <w:ind w:left="5100" w:hanging="360"/>
      </w:pPr>
      <w:rPr>
        <w:rFonts w:ascii="Symbol" w:hAnsi="Symbol" w:cs="Symbol" w:hint="default"/>
        <w:rFonts w:cs="Symbol"/>
      </w:rPr>
    </w:lvl>
    <w:lvl w:ilvl="7">
      <w:start w:val="1"/>
      <w:numFmt w:val="bullet"/>
      <w:lvlText w:val="o"/>
      <w:lvlJc w:val="left"/>
      <w:pPr>
        <w:ind w:left="5820" w:hanging="360"/>
      </w:pPr>
      <w:rPr>
        <w:rFonts w:ascii="Courier New" w:hAnsi="Courier New" w:cs="Courier New" w:hint="default"/>
        <w:rFonts w:cs="Courier New"/>
      </w:rPr>
    </w:lvl>
    <w:lvl w:ilvl="8">
      <w:start w:val="1"/>
      <w:numFmt w:val="bullet"/>
      <w:lvlText w:val=""/>
      <w:lvlJc w:val="left"/>
      <w:pPr>
        <w:ind w:left="6540" w:hanging="360"/>
      </w:pPr>
      <w:rPr>
        <w:rFonts w:ascii="Wingdings" w:hAnsi="Wingdings" w:cs="Wingdings" w:hint="default"/>
        <w:rFonts w:cs="Wingdings"/>
      </w:rPr>
    </w:lvl>
  </w:abstractNum>
  <w:abstractNum w:abstractNumId="40">
    <w:lvl w:ilvl="0">
      <w:start w:val="1"/>
      <w:numFmt w:val="bullet"/>
      <w:lvlText w:val="-"/>
      <w:lvlJc w:val="left"/>
      <w:pPr>
        <w:ind w:left="780" w:hanging="360"/>
      </w:pPr>
      <w:rPr>
        <w:rFonts w:ascii="Courier New" w:hAnsi="Courier New" w:cs="Courier New" w:hint="default"/>
        <w:rFonts w:cs="Courier New"/>
      </w:rPr>
    </w:lvl>
    <w:lvl w:ilvl="1">
      <w:start w:val="1"/>
      <w:numFmt w:val="bullet"/>
      <w:lvlText w:val="o"/>
      <w:lvlJc w:val="left"/>
      <w:pPr>
        <w:ind w:left="1500" w:hanging="360"/>
      </w:pPr>
      <w:rPr>
        <w:rFonts w:ascii="Courier New" w:hAnsi="Courier New" w:cs="Courier New" w:hint="default"/>
        <w:rFonts w:cs="Courier New"/>
      </w:rPr>
    </w:lvl>
    <w:lvl w:ilvl="2">
      <w:start w:val="1"/>
      <w:numFmt w:val="bullet"/>
      <w:lvlText w:val=""/>
      <w:lvlJc w:val="left"/>
      <w:pPr>
        <w:ind w:left="2220" w:hanging="360"/>
      </w:pPr>
      <w:rPr>
        <w:rFonts w:ascii="Wingdings" w:hAnsi="Wingdings" w:cs="Wingdings" w:hint="default"/>
        <w:rFonts w:cs="Wingdings"/>
      </w:rPr>
    </w:lvl>
    <w:lvl w:ilvl="3">
      <w:start w:val="1"/>
      <w:numFmt w:val="bullet"/>
      <w:lvlText w:val=""/>
      <w:lvlJc w:val="left"/>
      <w:pPr>
        <w:ind w:left="2940" w:hanging="360"/>
      </w:pPr>
      <w:rPr>
        <w:rFonts w:ascii="Symbol" w:hAnsi="Symbol" w:cs="Symbol" w:hint="default"/>
        <w:rFonts w:cs="Symbol"/>
      </w:rPr>
    </w:lvl>
    <w:lvl w:ilvl="4">
      <w:start w:val="1"/>
      <w:numFmt w:val="bullet"/>
      <w:lvlText w:val="o"/>
      <w:lvlJc w:val="left"/>
      <w:pPr>
        <w:ind w:left="3660" w:hanging="360"/>
      </w:pPr>
      <w:rPr>
        <w:rFonts w:ascii="Courier New" w:hAnsi="Courier New" w:cs="Courier New" w:hint="default"/>
        <w:rFonts w:cs="Courier New"/>
      </w:rPr>
    </w:lvl>
    <w:lvl w:ilvl="5">
      <w:start w:val="1"/>
      <w:numFmt w:val="bullet"/>
      <w:lvlText w:val=""/>
      <w:lvlJc w:val="left"/>
      <w:pPr>
        <w:ind w:left="4380" w:hanging="360"/>
      </w:pPr>
      <w:rPr>
        <w:rFonts w:ascii="Wingdings" w:hAnsi="Wingdings" w:cs="Wingdings" w:hint="default"/>
        <w:rFonts w:cs="Wingdings"/>
      </w:rPr>
    </w:lvl>
    <w:lvl w:ilvl="6">
      <w:start w:val="1"/>
      <w:numFmt w:val="bullet"/>
      <w:lvlText w:val=""/>
      <w:lvlJc w:val="left"/>
      <w:pPr>
        <w:ind w:left="5100" w:hanging="360"/>
      </w:pPr>
      <w:rPr>
        <w:rFonts w:ascii="Symbol" w:hAnsi="Symbol" w:cs="Symbol" w:hint="default"/>
        <w:rFonts w:cs="Symbol"/>
      </w:rPr>
    </w:lvl>
    <w:lvl w:ilvl="7">
      <w:start w:val="1"/>
      <w:numFmt w:val="bullet"/>
      <w:lvlText w:val="o"/>
      <w:lvlJc w:val="left"/>
      <w:pPr>
        <w:ind w:left="5820" w:hanging="360"/>
      </w:pPr>
      <w:rPr>
        <w:rFonts w:ascii="Courier New" w:hAnsi="Courier New" w:cs="Courier New" w:hint="default"/>
        <w:rFonts w:cs="Courier New"/>
      </w:rPr>
    </w:lvl>
    <w:lvl w:ilvl="8">
      <w:start w:val="1"/>
      <w:numFmt w:val="bullet"/>
      <w:lvlText w:val=""/>
      <w:lvlJc w:val="left"/>
      <w:pPr>
        <w:ind w:left="6540" w:hanging="360"/>
      </w:pPr>
      <w:rPr>
        <w:rFonts w:ascii="Wingdings" w:hAnsi="Wingdings" w:cs="Wingdings" w:hint="default"/>
        <w:rFonts w:cs="Wingdings"/>
      </w:rPr>
    </w:lvl>
  </w:abstractNum>
  <w:abstractNum w:abstractNumId="41">
    <w:lvl w:ilvl="0">
      <w:start w:val="1"/>
      <w:numFmt w:val="bullet"/>
      <w:lvlText w:val="-"/>
      <w:lvlJc w:val="left"/>
      <w:pPr>
        <w:ind w:left="780" w:hanging="360"/>
      </w:pPr>
      <w:rPr>
        <w:rFonts w:ascii="Courier New" w:hAnsi="Courier New" w:cs="Courier New" w:hint="default"/>
        <w:rFonts w:cs="Courier New"/>
      </w:rPr>
    </w:lvl>
    <w:lvl w:ilvl="1">
      <w:start w:val="1"/>
      <w:numFmt w:val="bullet"/>
      <w:lvlText w:val=""/>
      <w:lvlJc w:val="left"/>
      <w:pPr>
        <w:ind w:left="1500" w:hanging="360"/>
      </w:pPr>
      <w:rPr>
        <w:rFonts w:ascii="Symbol" w:hAnsi="Symbol" w:cs="Symbol" w:hint="default"/>
        <w:rFonts w:cs="Symbol"/>
      </w:rPr>
    </w:lvl>
    <w:lvl w:ilvl="2">
      <w:start w:val="1"/>
      <w:numFmt w:val="bullet"/>
      <w:lvlText w:val=""/>
      <w:lvlJc w:val="left"/>
      <w:pPr>
        <w:ind w:left="2220" w:hanging="360"/>
      </w:pPr>
      <w:rPr>
        <w:rFonts w:ascii="Wingdings" w:hAnsi="Wingdings" w:cs="Wingdings" w:hint="default"/>
        <w:rFonts w:cs="Wingdings"/>
      </w:rPr>
    </w:lvl>
    <w:lvl w:ilvl="3">
      <w:start w:val="1"/>
      <w:numFmt w:val="bullet"/>
      <w:lvlText w:val=""/>
      <w:lvlJc w:val="left"/>
      <w:pPr>
        <w:ind w:left="2940" w:hanging="360"/>
      </w:pPr>
      <w:rPr>
        <w:rFonts w:ascii="Symbol" w:hAnsi="Symbol" w:cs="Symbol" w:hint="default"/>
        <w:rFonts w:cs="Symbol"/>
      </w:rPr>
    </w:lvl>
    <w:lvl w:ilvl="4">
      <w:start w:val="1"/>
      <w:numFmt w:val="bullet"/>
      <w:lvlText w:val="o"/>
      <w:lvlJc w:val="left"/>
      <w:pPr>
        <w:ind w:left="3660" w:hanging="360"/>
      </w:pPr>
      <w:rPr>
        <w:rFonts w:ascii="Courier New" w:hAnsi="Courier New" w:cs="Courier New" w:hint="default"/>
        <w:rFonts w:cs="Courier New"/>
      </w:rPr>
    </w:lvl>
    <w:lvl w:ilvl="5">
      <w:start w:val="1"/>
      <w:numFmt w:val="bullet"/>
      <w:lvlText w:val=""/>
      <w:lvlJc w:val="left"/>
      <w:pPr>
        <w:ind w:left="4380" w:hanging="360"/>
      </w:pPr>
      <w:rPr>
        <w:rFonts w:ascii="Wingdings" w:hAnsi="Wingdings" w:cs="Wingdings" w:hint="default"/>
        <w:rFonts w:cs="Wingdings"/>
      </w:rPr>
    </w:lvl>
    <w:lvl w:ilvl="6">
      <w:start w:val="1"/>
      <w:numFmt w:val="bullet"/>
      <w:lvlText w:val=""/>
      <w:lvlJc w:val="left"/>
      <w:pPr>
        <w:ind w:left="5100" w:hanging="360"/>
      </w:pPr>
      <w:rPr>
        <w:rFonts w:ascii="Symbol" w:hAnsi="Symbol" w:cs="Symbol" w:hint="default"/>
        <w:rFonts w:cs="Symbol"/>
      </w:rPr>
    </w:lvl>
    <w:lvl w:ilvl="7">
      <w:start w:val="1"/>
      <w:numFmt w:val="bullet"/>
      <w:lvlText w:val="o"/>
      <w:lvlJc w:val="left"/>
      <w:pPr>
        <w:ind w:left="5820" w:hanging="360"/>
      </w:pPr>
      <w:rPr>
        <w:rFonts w:ascii="Courier New" w:hAnsi="Courier New" w:cs="Courier New" w:hint="default"/>
        <w:rFonts w:cs="Courier New"/>
      </w:rPr>
    </w:lvl>
    <w:lvl w:ilvl="8">
      <w:start w:val="1"/>
      <w:numFmt w:val="bullet"/>
      <w:lvlText w:val=""/>
      <w:lvlJc w:val="left"/>
      <w:pPr>
        <w:ind w:left="6540" w:hanging="360"/>
      </w:pPr>
      <w:rPr>
        <w:rFonts w:ascii="Wingdings" w:hAnsi="Wingdings" w:cs="Wingdings" w:hint="default"/>
        <w:rFonts w:cs="Wingdings"/>
      </w:rPr>
    </w:lvl>
  </w:abstractNum>
  <w:abstractNum w:abstractNumId="42">
    <w:lvl w:ilvl="0">
      <w:start w:val="1"/>
      <w:numFmt w:val="bullet"/>
      <w:lvlText w:val="-"/>
      <w:lvlJc w:val="left"/>
      <w:pPr>
        <w:ind w:left="825" w:hanging="360"/>
      </w:pPr>
      <w:rPr>
        <w:rFonts w:ascii="Courier New" w:hAnsi="Courier New" w:cs="Courier New" w:hint="default"/>
        <w:rFonts w:cs="Courier New"/>
      </w:rPr>
    </w:lvl>
    <w:lvl w:ilvl="1">
      <w:start w:val="1"/>
      <w:numFmt w:val="bullet"/>
      <w:lvlText w:val="o"/>
      <w:lvlJc w:val="left"/>
      <w:pPr>
        <w:ind w:left="1545" w:hanging="360"/>
      </w:pPr>
      <w:rPr>
        <w:rFonts w:ascii="Courier New" w:hAnsi="Courier New" w:cs="Courier New" w:hint="default"/>
        <w:rFonts w:cs="Courier New"/>
      </w:rPr>
    </w:lvl>
    <w:lvl w:ilvl="2">
      <w:start w:val="1"/>
      <w:numFmt w:val="bullet"/>
      <w:lvlText w:val=""/>
      <w:lvlJc w:val="left"/>
      <w:pPr>
        <w:ind w:left="2265" w:hanging="360"/>
      </w:pPr>
      <w:rPr>
        <w:rFonts w:ascii="Wingdings" w:hAnsi="Wingdings" w:cs="Wingdings" w:hint="default"/>
        <w:rFonts w:cs="Wingdings"/>
      </w:rPr>
    </w:lvl>
    <w:lvl w:ilvl="3">
      <w:start w:val="1"/>
      <w:numFmt w:val="bullet"/>
      <w:lvlText w:val=""/>
      <w:lvlJc w:val="left"/>
      <w:pPr>
        <w:ind w:left="2985" w:hanging="360"/>
      </w:pPr>
      <w:rPr>
        <w:rFonts w:ascii="Symbol" w:hAnsi="Symbol" w:cs="Symbol" w:hint="default"/>
        <w:rFonts w:cs="Symbol"/>
      </w:rPr>
    </w:lvl>
    <w:lvl w:ilvl="4">
      <w:start w:val="1"/>
      <w:numFmt w:val="bullet"/>
      <w:lvlText w:val="o"/>
      <w:lvlJc w:val="left"/>
      <w:pPr>
        <w:ind w:left="3705" w:hanging="360"/>
      </w:pPr>
      <w:rPr>
        <w:rFonts w:ascii="Courier New" w:hAnsi="Courier New" w:cs="Courier New" w:hint="default"/>
        <w:rFonts w:cs="Courier New"/>
      </w:rPr>
    </w:lvl>
    <w:lvl w:ilvl="5">
      <w:start w:val="1"/>
      <w:numFmt w:val="bullet"/>
      <w:lvlText w:val=""/>
      <w:lvlJc w:val="left"/>
      <w:pPr>
        <w:ind w:left="4425" w:hanging="360"/>
      </w:pPr>
      <w:rPr>
        <w:rFonts w:ascii="Wingdings" w:hAnsi="Wingdings" w:cs="Wingdings" w:hint="default"/>
        <w:rFonts w:cs="Wingdings"/>
      </w:rPr>
    </w:lvl>
    <w:lvl w:ilvl="6">
      <w:start w:val="1"/>
      <w:numFmt w:val="bullet"/>
      <w:lvlText w:val=""/>
      <w:lvlJc w:val="left"/>
      <w:pPr>
        <w:ind w:left="5145" w:hanging="360"/>
      </w:pPr>
      <w:rPr>
        <w:rFonts w:ascii="Symbol" w:hAnsi="Symbol" w:cs="Symbol" w:hint="default"/>
        <w:rFonts w:cs="Symbol"/>
      </w:rPr>
    </w:lvl>
    <w:lvl w:ilvl="7">
      <w:start w:val="1"/>
      <w:numFmt w:val="bullet"/>
      <w:lvlText w:val="o"/>
      <w:lvlJc w:val="left"/>
      <w:pPr>
        <w:ind w:left="5865" w:hanging="360"/>
      </w:pPr>
      <w:rPr>
        <w:rFonts w:ascii="Courier New" w:hAnsi="Courier New" w:cs="Courier New" w:hint="default"/>
        <w:rFonts w:cs="Courier New"/>
      </w:rPr>
    </w:lvl>
    <w:lvl w:ilvl="8">
      <w:start w:val="1"/>
      <w:numFmt w:val="bullet"/>
      <w:lvlText w:val=""/>
      <w:lvlJc w:val="left"/>
      <w:pPr>
        <w:ind w:left="6585" w:hanging="360"/>
      </w:pPr>
      <w:rPr>
        <w:rFonts w:ascii="Wingdings" w:hAnsi="Wingdings" w:cs="Wingdings" w:hint="default"/>
        <w:rFonts w:cs="Wingdings"/>
      </w:rPr>
    </w:lvl>
  </w:abstractNum>
  <w:abstractNum w:abstractNumId="43">
    <w:lvl w:ilvl="0">
      <w:start w:val="1"/>
      <w:numFmt w:val="bullet"/>
      <w:lvlText w:val="-"/>
      <w:lvlJc w:val="left"/>
      <w:pPr>
        <w:ind w:left="780" w:hanging="360"/>
      </w:pPr>
      <w:rPr>
        <w:rFonts w:ascii="Courier New" w:hAnsi="Courier New" w:cs="Courier New" w:hint="default"/>
        <w:rFonts w:cs="Courier New"/>
      </w:rPr>
    </w:lvl>
    <w:lvl w:ilvl="1">
      <w:start w:val="1"/>
      <w:numFmt w:val="bullet"/>
      <w:lvlText w:val="o"/>
      <w:lvlJc w:val="left"/>
      <w:pPr>
        <w:ind w:left="1500" w:hanging="360"/>
      </w:pPr>
      <w:rPr>
        <w:rFonts w:ascii="Courier New" w:hAnsi="Courier New" w:cs="Courier New" w:hint="default"/>
        <w:rFonts w:cs="Courier New"/>
      </w:rPr>
    </w:lvl>
    <w:lvl w:ilvl="2">
      <w:start w:val="1"/>
      <w:numFmt w:val="bullet"/>
      <w:lvlText w:val=""/>
      <w:lvlJc w:val="left"/>
      <w:pPr>
        <w:ind w:left="2220" w:hanging="360"/>
      </w:pPr>
      <w:rPr>
        <w:rFonts w:ascii="Wingdings" w:hAnsi="Wingdings" w:cs="Wingdings" w:hint="default"/>
        <w:rFonts w:cs="Wingdings"/>
      </w:rPr>
    </w:lvl>
    <w:lvl w:ilvl="3">
      <w:start w:val="1"/>
      <w:numFmt w:val="bullet"/>
      <w:lvlText w:val=""/>
      <w:lvlJc w:val="left"/>
      <w:pPr>
        <w:ind w:left="2940" w:hanging="360"/>
      </w:pPr>
      <w:rPr>
        <w:rFonts w:ascii="Symbol" w:hAnsi="Symbol" w:cs="Symbol" w:hint="default"/>
        <w:rFonts w:cs="Symbol"/>
      </w:rPr>
    </w:lvl>
    <w:lvl w:ilvl="4">
      <w:start w:val="1"/>
      <w:numFmt w:val="bullet"/>
      <w:lvlText w:val="o"/>
      <w:lvlJc w:val="left"/>
      <w:pPr>
        <w:ind w:left="3660" w:hanging="360"/>
      </w:pPr>
      <w:rPr>
        <w:rFonts w:ascii="Courier New" w:hAnsi="Courier New" w:cs="Courier New" w:hint="default"/>
        <w:rFonts w:cs="Courier New"/>
      </w:rPr>
    </w:lvl>
    <w:lvl w:ilvl="5">
      <w:start w:val="1"/>
      <w:numFmt w:val="bullet"/>
      <w:lvlText w:val=""/>
      <w:lvlJc w:val="left"/>
      <w:pPr>
        <w:ind w:left="4380" w:hanging="360"/>
      </w:pPr>
      <w:rPr>
        <w:rFonts w:ascii="Wingdings" w:hAnsi="Wingdings" w:cs="Wingdings" w:hint="default"/>
        <w:rFonts w:cs="Wingdings"/>
      </w:rPr>
    </w:lvl>
    <w:lvl w:ilvl="6">
      <w:start w:val="1"/>
      <w:numFmt w:val="bullet"/>
      <w:lvlText w:val=""/>
      <w:lvlJc w:val="left"/>
      <w:pPr>
        <w:ind w:left="5100" w:hanging="360"/>
      </w:pPr>
      <w:rPr>
        <w:rFonts w:ascii="Symbol" w:hAnsi="Symbol" w:cs="Symbol" w:hint="default"/>
        <w:rFonts w:cs="Symbol"/>
      </w:rPr>
    </w:lvl>
    <w:lvl w:ilvl="7">
      <w:start w:val="1"/>
      <w:numFmt w:val="bullet"/>
      <w:lvlText w:val="o"/>
      <w:lvlJc w:val="left"/>
      <w:pPr>
        <w:ind w:left="5820" w:hanging="360"/>
      </w:pPr>
      <w:rPr>
        <w:rFonts w:ascii="Courier New" w:hAnsi="Courier New" w:cs="Courier New" w:hint="default"/>
        <w:rFonts w:cs="Courier New"/>
      </w:rPr>
    </w:lvl>
    <w:lvl w:ilvl="8">
      <w:start w:val="1"/>
      <w:numFmt w:val="bullet"/>
      <w:lvlText w:val=""/>
      <w:lvlJc w:val="left"/>
      <w:pPr>
        <w:ind w:left="6540" w:hanging="360"/>
      </w:pPr>
      <w:rPr>
        <w:rFonts w:ascii="Wingdings" w:hAnsi="Wingdings" w:cs="Wingdings" w:hint="default"/>
        <w:rFonts w:cs="Wingdings"/>
      </w:rPr>
    </w:lvl>
  </w:abstractNum>
  <w:abstractNum w:abstractNumId="44">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45">
    <w:lvl w:ilvl="0">
      <w:start w:val="1"/>
      <w:numFmt w:val="bullet"/>
      <w:lvlText w:val="-"/>
      <w:lvlJc w:val="left"/>
      <w:pPr>
        <w:ind w:left="720" w:hanging="360"/>
      </w:pPr>
      <w:rPr>
        <w:rFonts w:ascii="Courier New" w:hAnsi="Courier New" w:cs="Courier New" w:hint="default"/>
        <w:rFonts w:cs="Courier New"/>
      </w:rPr>
    </w:lvl>
    <w:lvl w:ilvl="1">
      <w:start w:val="1"/>
      <w:numFmt w:val="bullet"/>
      <w:lvlText w:val=""/>
      <w:lvlJc w:val="left"/>
      <w:pPr>
        <w:ind w:left="1440" w:hanging="360"/>
      </w:pPr>
      <w:rPr>
        <w:rFonts w:ascii="Symbol" w:hAnsi="Symbol" w:cs="Symbol" w:hint="default"/>
        <w:rFonts w:cs="Symbol"/>
      </w:rPr>
    </w:lvl>
    <w:lvl w:ilvl="2">
      <w:start w:val="1"/>
      <w:numFmt w:val="bullet"/>
      <w:lvlText w:val="-"/>
      <w:lvlJc w:val="left"/>
      <w:pPr>
        <w:ind w:left="2160" w:hanging="360"/>
      </w:pPr>
      <w:rPr>
        <w:rFonts w:ascii="Arial" w:hAnsi="Arial" w:cs="Arial" w:hint="default"/>
        <w:sz w:val="22"/>
        <w:szCs w:val="22"/>
        <w:rFonts w:cs="Arial"/>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46">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47">
    <w:lvl w:ilvl="0">
      <w:start w:val="1"/>
      <w:numFmt w:val="bullet"/>
      <w:lvlText w:val="-"/>
      <w:lvlJc w:val="left"/>
      <w:pPr>
        <w:ind w:left="720" w:hanging="360"/>
      </w:pPr>
      <w:rPr>
        <w:rFonts w:ascii="Courier New" w:hAnsi="Courier New" w:cs="Courier New" w:hint="default"/>
        <w:rFonts w:cs="Courier New"/>
      </w:rPr>
    </w:lvl>
    <w:lvl w:ilvl="1">
      <w:start w:val="1"/>
      <w:numFmt w:val="bullet"/>
      <w:lvlText w:val=""/>
      <w:lvlJc w:val="left"/>
      <w:pPr>
        <w:ind w:left="1440" w:hanging="360"/>
      </w:pPr>
      <w:rPr>
        <w:rFonts w:ascii="Symbol" w:hAnsi="Symbol" w:cs="Symbol" w:hint="default"/>
        <w:rFonts w:cs="Symbol"/>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48">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49">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50">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51">
    <w:lvl w:ilvl="0">
      <w:start w:val="1"/>
      <w:numFmt w:val="bullet"/>
      <w:lvlText w:val="-"/>
      <w:lvlJc w:val="left"/>
      <w:pPr>
        <w:ind w:left="720" w:hanging="360"/>
      </w:pPr>
      <w:rPr>
        <w:rFonts w:ascii="Courier New" w:hAnsi="Courier New" w:cs="Courier New" w:hint="default"/>
        <w:rFonts w:cs="Courier New"/>
      </w:rPr>
    </w:lvl>
    <w:lvl w:ilvl="1">
      <w:start w:val="1"/>
      <w:numFmt w:val="bullet"/>
      <w:lvlText w:val=""/>
      <w:lvlJc w:val="left"/>
      <w:pPr>
        <w:ind w:left="1440" w:hanging="360"/>
      </w:pPr>
      <w:rPr>
        <w:rFonts w:ascii="Symbol" w:hAnsi="Symbol" w:cs="Symbol" w:hint="default"/>
        <w:rFonts w:cs="Symbol"/>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52">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53">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54">
    <w:lvl w:ilvl="0">
      <w:start w:val="1"/>
      <w:numFmt w:val="bullet"/>
      <w:lvlText w:val=""/>
      <w:lvlJc w:val="left"/>
      <w:pPr>
        <w:ind w:left="720" w:hanging="360"/>
      </w:pPr>
      <w:rPr>
        <w:rFonts w:ascii="Symbol" w:hAnsi="Symbol" w:cs="Symbol" w:hint="default"/>
        <w:rFonts w:cs="Symbol"/>
      </w:rPr>
    </w:lvl>
    <w:lvl w:ilvl="1">
      <w:start w:val="1"/>
      <w:numFmt w:val="bullet"/>
      <w:lvlText w:val=""/>
      <w:lvlJc w:val="left"/>
      <w:pPr>
        <w:ind w:left="1440" w:hanging="360"/>
      </w:pPr>
      <w:rPr>
        <w:rFonts w:ascii="Symbol" w:hAnsi="Symbol" w:cs="Symbol" w:hint="default"/>
        <w:rFonts w:cs="Symbol"/>
      </w:rPr>
    </w:lvl>
    <w:lvl w:ilvl="2">
      <w:start w:val="1"/>
      <w:numFmt w:val="bullet"/>
      <w:lvlText w:val="•"/>
      <w:lvlJc w:val="left"/>
      <w:pPr>
        <w:ind w:left="2160" w:hanging="360"/>
      </w:pPr>
      <w:rPr>
        <w:rFonts w:ascii="Segoe UI Light" w:hAnsi="Segoe UI Light" w:cs="Segoe UI Light" w:hint="default"/>
        <w:rFonts w:cs="Segoe UI Light"/>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55">
    <w:lvl w:ilvl="0">
      <w:start w:val="1"/>
      <w:numFmt w:val="bullet"/>
      <w:lvlText w:val=""/>
      <w:lvlJc w:val="left"/>
      <w:pPr>
        <w:ind w:left="720" w:hanging="360"/>
      </w:pPr>
      <w:rPr>
        <w:rFonts w:ascii="Symbol" w:hAnsi="Symbol" w:cs="Symbol" w:hint="default"/>
        <w:rFonts w:cs="Symbol"/>
      </w:rPr>
    </w:lvl>
    <w:lvl w:ilvl="1">
      <w:start w:val="1"/>
      <w:numFmt w:val="bullet"/>
      <w:lvlText w:val=""/>
      <w:lvlJc w:val="left"/>
      <w:pPr>
        <w:ind w:left="1440" w:hanging="360"/>
      </w:pPr>
      <w:rPr>
        <w:rFonts w:ascii="Symbol" w:hAnsi="Symbol" w:cs="Symbol" w:hint="default"/>
        <w:rFonts w:cs="Symbol"/>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56">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57">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58">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59">
    <w:lvl w:ilvl="0">
      <w:start w:val="1"/>
      <w:numFmt w:val="bullet"/>
      <w:lvlText w:val="-"/>
      <w:lvlJc w:val="left"/>
      <w:pPr>
        <w:ind w:left="720" w:hanging="360"/>
      </w:pPr>
      <w:rPr>
        <w:rFonts w:ascii="Courier New" w:hAnsi="Courier New" w:cs="Courier New" w:hint="default"/>
        <w:sz w:val="16"/>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60">
    <w:lvl w:ilvl="0">
      <w:start w:val="1"/>
      <w:numFmt w:val="bullet"/>
      <w:suff w:val="space"/>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61">
    <w:lvl w:ilvl="0">
      <w:start w:val="1"/>
      <w:numFmt w:val="bullet"/>
      <w:lvlText w:val="-"/>
      <w:lvlJc w:val="left"/>
      <w:pPr>
        <w:ind w:left="780" w:hanging="360"/>
      </w:pPr>
      <w:rPr>
        <w:rFonts w:ascii="Courier New" w:hAnsi="Courier New" w:cs="Courier New" w:hint="default"/>
        <w:rFonts w:cs="Courier New"/>
      </w:rPr>
    </w:lvl>
    <w:lvl w:ilvl="1">
      <w:start w:val="1"/>
      <w:numFmt w:val="bullet"/>
      <w:lvlText w:val="o"/>
      <w:lvlJc w:val="left"/>
      <w:pPr>
        <w:ind w:left="1500" w:hanging="360"/>
      </w:pPr>
      <w:rPr>
        <w:rFonts w:ascii="Courier New" w:hAnsi="Courier New" w:cs="Courier New" w:hint="default"/>
        <w:rFonts w:cs="Courier New"/>
      </w:rPr>
    </w:lvl>
    <w:lvl w:ilvl="2">
      <w:start w:val="1"/>
      <w:numFmt w:val="bullet"/>
      <w:lvlText w:val=""/>
      <w:lvlJc w:val="left"/>
      <w:pPr>
        <w:ind w:left="2220" w:hanging="360"/>
      </w:pPr>
      <w:rPr>
        <w:rFonts w:ascii="Wingdings" w:hAnsi="Wingdings" w:cs="Wingdings" w:hint="default"/>
        <w:rFonts w:cs="Wingdings"/>
      </w:rPr>
    </w:lvl>
    <w:lvl w:ilvl="3">
      <w:start w:val="1"/>
      <w:numFmt w:val="bullet"/>
      <w:lvlText w:val=""/>
      <w:lvlJc w:val="left"/>
      <w:pPr>
        <w:ind w:left="2940" w:hanging="360"/>
      </w:pPr>
      <w:rPr>
        <w:rFonts w:ascii="Symbol" w:hAnsi="Symbol" w:cs="Symbol" w:hint="default"/>
        <w:rFonts w:cs="Symbol"/>
      </w:rPr>
    </w:lvl>
    <w:lvl w:ilvl="4">
      <w:start w:val="1"/>
      <w:numFmt w:val="bullet"/>
      <w:lvlText w:val="o"/>
      <w:lvlJc w:val="left"/>
      <w:pPr>
        <w:ind w:left="3660" w:hanging="360"/>
      </w:pPr>
      <w:rPr>
        <w:rFonts w:ascii="Courier New" w:hAnsi="Courier New" w:cs="Courier New" w:hint="default"/>
        <w:rFonts w:cs="Courier New"/>
      </w:rPr>
    </w:lvl>
    <w:lvl w:ilvl="5">
      <w:start w:val="1"/>
      <w:numFmt w:val="bullet"/>
      <w:lvlText w:val=""/>
      <w:lvlJc w:val="left"/>
      <w:pPr>
        <w:ind w:left="4380" w:hanging="360"/>
      </w:pPr>
      <w:rPr>
        <w:rFonts w:ascii="Wingdings" w:hAnsi="Wingdings" w:cs="Wingdings" w:hint="default"/>
        <w:rFonts w:cs="Wingdings"/>
      </w:rPr>
    </w:lvl>
    <w:lvl w:ilvl="6">
      <w:start w:val="1"/>
      <w:numFmt w:val="bullet"/>
      <w:lvlText w:val=""/>
      <w:lvlJc w:val="left"/>
      <w:pPr>
        <w:ind w:left="5100" w:hanging="360"/>
      </w:pPr>
      <w:rPr>
        <w:rFonts w:ascii="Symbol" w:hAnsi="Symbol" w:cs="Symbol" w:hint="default"/>
        <w:rFonts w:cs="Symbol"/>
      </w:rPr>
    </w:lvl>
    <w:lvl w:ilvl="7">
      <w:start w:val="1"/>
      <w:numFmt w:val="bullet"/>
      <w:lvlText w:val="o"/>
      <w:lvlJc w:val="left"/>
      <w:pPr>
        <w:ind w:left="5820" w:hanging="360"/>
      </w:pPr>
      <w:rPr>
        <w:rFonts w:ascii="Courier New" w:hAnsi="Courier New" w:cs="Courier New" w:hint="default"/>
        <w:rFonts w:cs="Courier New"/>
      </w:rPr>
    </w:lvl>
    <w:lvl w:ilvl="8">
      <w:start w:val="1"/>
      <w:numFmt w:val="bullet"/>
      <w:lvlText w:val=""/>
      <w:lvlJc w:val="left"/>
      <w:pPr>
        <w:ind w:left="6540" w:hanging="360"/>
      </w:pPr>
      <w:rPr>
        <w:rFonts w:ascii="Wingdings" w:hAnsi="Wingdings" w:cs="Wingdings" w:hint="default"/>
        <w:rFonts w:cs="Wingdings"/>
      </w:rPr>
    </w:lvl>
  </w:abstractNum>
  <w:abstractNum w:abstractNumId="62">
    <w:lvl w:ilvl="0">
      <w:start w:val="1"/>
      <w:numFmt w:val="bullet"/>
      <w:suff w:val="space"/>
      <w:lvlText w:val="-"/>
      <w:lvlJc w:val="left"/>
      <w:pPr>
        <w:ind w:left="78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63">
    <w:lvl w:ilvl="0">
      <w:start w:val="1"/>
      <w:numFmt w:val="bullet"/>
      <w:suff w:val="space"/>
      <w:lvlText w:val="-"/>
      <w:lvlJc w:val="left"/>
      <w:pPr>
        <w:ind w:left="737" w:hanging="397"/>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64">
    <w:lvl w:ilvl="0">
      <w:start w:val="1"/>
      <w:numFmt w:val="bullet"/>
      <w:suff w:val="space"/>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65">
    <w:lvl w:ilvl="0">
      <w:start w:val="1"/>
      <w:numFmt w:val="bullet"/>
      <w:lvlText w:val="-"/>
      <w:lvlJc w:val="left"/>
      <w:pPr>
        <w:ind w:left="720" w:hanging="360"/>
      </w:pPr>
      <w:rPr>
        <w:rFonts w:ascii="Courier New" w:hAnsi="Courier New" w:cs="Courier New" w:hint="default"/>
        <w:rFonts w:cs="Courier New"/>
      </w:rPr>
    </w:lvl>
    <w:lvl w:ilvl="1">
      <w:start w:val="1"/>
      <w:numFmt w:val="bullet"/>
      <w:lvlText w:val=""/>
      <w:lvlJc w:val="left"/>
      <w:pPr>
        <w:ind w:left="1440" w:hanging="360"/>
      </w:pPr>
      <w:rPr>
        <w:rFonts w:ascii="Symbol" w:hAnsi="Symbol" w:cs="Symbol" w:hint="default"/>
        <w:rFonts w:cs="Symbol"/>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66">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67">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68">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69">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70">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71">
    <w:lvl w:ilvl="0">
      <w:start w:val="1"/>
      <w:numFmt w:val="bullet"/>
      <w:lvlText w:val="-"/>
      <w:lvlJc w:val="left"/>
      <w:pPr>
        <w:ind w:left="720" w:hanging="360"/>
      </w:pPr>
      <w:rPr>
        <w:rFonts w:ascii="Courier New" w:hAnsi="Courier New" w:cs="Courier New" w:hint="default"/>
        <w:rFonts w:cs="Courier New"/>
      </w:rPr>
    </w:lvl>
    <w:lvl w:ilvl="1">
      <w:start w:val="1"/>
      <w:numFmt w:val="bullet"/>
      <w:lvlText w:val=""/>
      <w:lvlJc w:val="left"/>
      <w:pPr>
        <w:ind w:left="1440" w:hanging="360"/>
      </w:pPr>
      <w:rPr>
        <w:rFonts w:ascii="Symbol" w:hAnsi="Symbol" w:cs="Symbol" w:hint="default"/>
        <w:rFonts w:cs="Symbol"/>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72">
    <w:lvl w:ilvl="0">
      <w:start w:val="1"/>
      <w:numFmt w:val="bullet"/>
      <w:lvlText w:val="-"/>
      <w:lvlJc w:val="left"/>
      <w:pPr>
        <w:ind w:left="720" w:hanging="360"/>
      </w:pPr>
      <w:rPr>
        <w:rFonts w:ascii="Courier New" w:hAnsi="Courier New" w:cs="Courier New" w:hint="default"/>
        <w:rFonts w:cs="Courier New"/>
      </w:rPr>
    </w:lvl>
    <w:lvl w:ilvl="1">
      <w:start w:val="1"/>
      <w:numFmt w:val="bullet"/>
      <w:lvlText w:val=""/>
      <w:lvlJc w:val="left"/>
      <w:pPr>
        <w:ind w:left="1440" w:hanging="360"/>
      </w:pPr>
      <w:rPr>
        <w:rFonts w:ascii="Symbol" w:hAnsi="Symbol" w:cs="Symbol" w:hint="default"/>
        <w:rFonts w:cs="Symbol"/>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73">
    <w:lvl w:ilvl="0">
      <w:start w:val="1"/>
      <w:numFmt w:val="bullet"/>
      <w:lvlText w:val="-"/>
      <w:lvlJc w:val="left"/>
      <w:pPr>
        <w:ind w:left="720" w:hanging="360"/>
      </w:pPr>
      <w:rPr>
        <w:rFonts w:ascii="Courier New" w:hAnsi="Courier New" w:cs="Courier New" w:hint="default"/>
        <w:rFonts w:cs="Courier New"/>
      </w:rPr>
    </w:lvl>
    <w:lvl w:ilvl="1">
      <w:start w:val="1"/>
      <w:numFmt w:val="bullet"/>
      <w:lvlText w:val=""/>
      <w:lvlJc w:val="left"/>
      <w:pPr>
        <w:ind w:left="1440" w:hanging="360"/>
      </w:pPr>
      <w:rPr>
        <w:rFonts w:ascii="Symbol" w:hAnsi="Symbol" w:cs="Symbol" w:hint="default"/>
        <w:rFonts w:cs="Symbol"/>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74">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75">
    <w:lvl w:ilvl="0">
      <w:start w:val="1"/>
      <w:numFmt w:val="bullet"/>
      <w:lvlText w:val="-"/>
      <w:lvlJc w:val="left"/>
      <w:pPr>
        <w:ind w:left="720" w:hanging="360"/>
      </w:pPr>
      <w:rPr>
        <w:rFonts w:ascii="Courier New" w:hAnsi="Courier New" w:cs="Courier New" w:hint="default"/>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76">
    <w:lvl w:ilvl="0">
      <w:start w:val="1"/>
      <w:numFmt w:val="bullet"/>
      <w:lvlText w:val="-"/>
      <w:lvlJc w:val="left"/>
      <w:pPr>
        <w:ind w:left="780" w:hanging="360"/>
      </w:pPr>
      <w:rPr>
        <w:rFonts w:ascii="Courier New" w:hAnsi="Courier New" w:cs="Courier New" w:hint="default"/>
        <w:rFonts w:cs="Courier New"/>
      </w:rPr>
    </w:lvl>
    <w:lvl w:ilvl="1">
      <w:start w:val="1"/>
      <w:numFmt w:val="bullet"/>
      <w:lvlText w:val="o"/>
      <w:lvlJc w:val="left"/>
      <w:pPr>
        <w:ind w:left="1500" w:hanging="360"/>
      </w:pPr>
      <w:rPr>
        <w:rFonts w:ascii="Courier New" w:hAnsi="Courier New" w:cs="Courier New" w:hint="default"/>
        <w:rFonts w:cs="Courier New"/>
      </w:rPr>
    </w:lvl>
    <w:lvl w:ilvl="2">
      <w:start w:val="1"/>
      <w:numFmt w:val="bullet"/>
      <w:lvlText w:val=""/>
      <w:lvlJc w:val="left"/>
      <w:pPr>
        <w:ind w:left="2220" w:hanging="360"/>
      </w:pPr>
      <w:rPr>
        <w:rFonts w:ascii="Wingdings" w:hAnsi="Wingdings" w:cs="Wingdings" w:hint="default"/>
        <w:rFonts w:cs="Wingdings"/>
      </w:rPr>
    </w:lvl>
    <w:lvl w:ilvl="3">
      <w:start w:val="1"/>
      <w:numFmt w:val="bullet"/>
      <w:lvlText w:val=""/>
      <w:lvlJc w:val="left"/>
      <w:pPr>
        <w:ind w:left="2940" w:hanging="360"/>
      </w:pPr>
      <w:rPr>
        <w:rFonts w:ascii="Symbol" w:hAnsi="Symbol" w:cs="Symbol" w:hint="default"/>
        <w:rFonts w:cs="Symbol"/>
      </w:rPr>
    </w:lvl>
    <w:lvl w:ilvl="4">
      <w:start w:val="1"/>
      <w:numFmt w:val="bullet"/>
      <w:lvlText w:val="o"/>
      <w:lvlJc w:val="left"/>
      <w:pPr>
        <w:ind w:left="3660" w:hanging="360"/>
      </w:pPr>
      <w:rPr>
        <w:rFonts w:ascii="Courier New" w:hAnsi="Courier New" w:cs="Courier New" w:hint="default"/>
        <w:rFonts w:cs="Courier New"/>
      </w:rPr>
    </w:lvl>
    <w:lvl w:ilvl="5">
      <w:start w:val="1"/>
      <w:numFmt w:val="bullet"/>
      <w:lvlText w:val=""/>
      <w:lvlJc w:val="left"/>
      <w:pPr>
        <w:ind w:left="4380" w:hanging="360"/>
      </w:pPr>
      <w:rPr>
        <w:rFonts w:ascii="Wingdings" w:hAnsi="Wingdings" w:cs="Wingdings" w:hint="default"/>
        <w:rFonts w:cs="Wingdings"/>
      </w:rPr>
    </w:lvl>
    <w:lvl w:ilvl="6">
      <w:start w:val="1"/>
      <w:numFmt w:val="bullet"/>
      <w:lvlText w:val=""/>
      <w:lvlJc w:val="left"/>
      <w:pPr>
        <w:ind w:left="5100" w:hanging="360"/>
      </w:pPr>
      <w:rPr>
        <w:rFonts w:ascii="Symbol" w:hAnsi="Symbol" w:cs="Symbol" w:hint="default"/>
        <w:rFonts w:cs="Symbol"/>
      </w:rPr>
    </w:lvl>
    <w:lvl w:ilvl="7">
      <w:start w:val="1"/>
      <w:numFmt w:val="bullet"/>
      <w:lvlText w:val="o"/>
      <w:lvlJc w:val="left"/>
      <w:pPr>
        <w:ind w:left="5820" w:hanging="360"/>
      </w:pPr>
      <w:rPr>
        <w:rFonts w:ascii="Courier New" w:hAnsi="Courier New" w:cs="Courier New" w:hint="default"/>
        <w:rFonts w:cs="Courier New"/>
      </w:rPr>
    </w:lvl>
    <w:lvl w:ilvl="8">
      <w:start w:val="1"/>
      <w:numFmt w:val="bullet"/>
      <w:lvlText w:val=""/>
      <w:lvlJc w:val="left"/>
      <w:pPr>
        <w:ind w:left="6540" w:hanging="360"/>
      </w:pPr>
      <w:rPr>
        <w:rFonts w:ascii="Wingdings" w:hAnsi="Wingdings" w:cs="Wingdings" w:hint="default"/>
        <w:rFonts w:cs="Wingdings"/>
      </w:rPr>
    </w:lvl>
  </w:abstractNum>
  <w:abstractNum w:abstractNumId="77">
    <w:lvl w:ilvl="0">
      <w:start w:val="1"/>
      <w:numFmt w:val="decimal"/>
      <w:lvlText w:val="%1"/>
      <w:lvlJc w:val="left"/>
      <w:pPr>
        <w:ind w:left="893" w:hanging="432"/>
      </w:pPr>
      <w:rPr>
        <w:sz w:val="24"/>
        <w:b/>
        <w:szCs w:val="24"/>
        <w:bCs/>
        <w:w w:val="99"/>
        <w:rFonts w:eastAsia="Times New Roman" w:cs="Times New Roman"/>
        <w:color w:val="000009"/>
      </w:rPr>
    </w:lvl>
    <w:lvl w:ilvl="1">
      <w:start w:val="1"/>
      <w:numFmt w:val="decimal"/>
      <w:lvlText w:val="%1.%2"/>
      <w:lvlJc w:val="left"/>
      <w:pPr>
        <w:ind w:left="1037" w:hanging="576"/>
      </w:pPr>
      <w:rPr>
        <w:i/>
        <w:b/>
        <w:bCs/>
        <w:w w:val="99"/>
      </w:rPr>
    </w:lvl>
    <w:lvl w:ilvl="2">
      <w:start w:val="1"/>
      <w:numFmt w:val="bullet"/>
      <w:lvlText w:val="l"/>
      <w:lvlJc w:val="left"/>
      <w:pPr>
        <w:ind w:left="1181" w:hanging="360"/>
      </w:pPr>
      <w:rPr>
        <w:rFonts w:ascii="Wingdings" w:hAnsi="Wingdings" w:cs="Wingdings" w:hint="default"/>
        <w:sz w:val="22"/>
        <w:w w:val="99"/>
        <w:rFonts w:cs="Wingdings"/>
      </w:rPr>
    </w:lvl>
    <w:lvl w:ilvl="3">
      <w:start w:val="1"/>
      <w:numFmt w:val="bullet"/>
      <w:lvlText w:val=""/>
      <w:lvlJc w:val="left"/>
      <w:pPr>
        <w:ind w:left="2280" w:hanging="360"/>
      </w:pPr>
      <w:rPr>
        <w:rFonts w:ascii="Symbol" w:hAnsi="Symbol" w:cs="Symbol" w:hint="default"/>
        <w:rFonts w:cs="Symbol"/>
      </w:rPr>
    </w:lvl>
    <w:lvl w:ilvl="4">
      <w:start w:val="1"/>
      <w:numFmt w:val="bullet"/>
      <w:lvlText w:val=""/>
      <w:lvlJc w:val="left"/>
      <w:pPr>
        <w:ind w:left="3380" w:hanging="360"/>
      </w:pPr>
      <w:rPr>
        <w:rFonts w:ascii="Symbol" w:hAnsi="Symbol" w:cs="Symbol" w:hint="default"/>
        <w:rFonts w:cs="Symbol"/>
      </w:rPr>
    </w:lvl>
    <w:lvl w:ilvl="5">
      <w:start w:val="1"/>
      <w:numFmt w:val="bullet"/>
      <w:lvlText w:val=""/>
      <w:lvlJc w:val="left"/>
      <w:pPr>
        <w:ind w:left="4480" w:hanging="360"/>
      </w:pPr>
      <w:rPr>
        <w:rFonts w:ascii="Symbol" w:hAnsi="Symbol" w:cs="Symbol" w:hint="default"/>
        <w:rFonts w:cs="Symbol"/>
      </w:rPr>
    </w:lvl>
    <w:lvl w:ilvl="6">
      <w:start w:val="1"/>
      <w:numFmt w:val="bullet"/>
      <w:lvlText w:val=""/>
      <w:lvlJc w:val="left"/>
      <w:pPr>
        <w:ind w:left="5580" w:hanging="360"/>
      </w:pPr>
      <w:rPr>
        <w:rFonts w:ascii="Symbol" w:hAnsi="Symbol" w:cs="Symbol" w:hint="default"/>
        <w:rFonts w:cs="Symbol"/>
      </w:rPr>
    </w:lvl>
    <w:lvl w:ilvl="7">
      <w:start w:val="1"/>
      <w:numFmt w:val="bullet"/>
      <w:lvlText w:val=""/>
      <w:lvlJc w:val="left"/>
      <w:pPr>
        <w:ind w:left="6680" w:hanging="360"/>
      </w:pPr>
      <w:rPr>
        <w:rFonts w:ascii="Symbol" w:hAnsi="Symbol" w:cs="Symbol" w:hint="default"/>
        <w:rFonts w:cs="Symbol"/>
      </w:rPr>
    </w:lvl>
    <w:lvl w:ilvl="8">
      <w:start w:val="1"/>
      <w:numFmt w:val="bullet"/>
      <w:lvlText w:val=""/>
      <w:lvlJc w:val="left"/>
      <w:pPr>
        <w:ind w:left="7780" w:hanging="360"/>
      </w:pPr>
      <w:rPr>
        <w:rFonts w:ascii="Symbol" w:hAnsi="Symbol" w:cs="Symbol" w:hint="default"/>
        <w:rFonts w:cs="Symbol"/>
      </w:rPr>
    </w:lvl>
  </w:abstractNum>
  <w:abstractNum w:abstractNumId="78">
    <w:lvl w:ilvl="0">
      <w:start w:val="1"/>
      <w:numFmt w:val="bullet"/>
      <w:lvlText w:val="-"/>
      <w:lvlJc w:val="left"/>
      <w:pPr>
        <w:ind w:left="1032" w:hanging="572"/>
      </w:pPr>
      <w:rPr>
        <w:rFonts w:ascii="Times New Roman" w:hAnsi="Times New Roman" w:cs="Times New Roman" w:hint="default"/>
        <w:sz w:val="22"/>
        <w:szCs w:val="22"/>
        <w:w w:val="100"/>
        <w:rFonts w:cs="Times New Roman"/>
        <w:color w:val="000009"/>
      </w:rPr>
    </w:lvl>
    <w:lvl w:ilvl="1">
      <w:start w:val="1"/>
      <w:numFmt w:val="bullet"/>
      <w:lvlText w:val=""/>
      <w:lvlJc w:val="left"/>
      <w:pPr>
        <w:ind w:left="1934" w:hanging="572"/>
      </w:pPr>
      <w:rPr>
        <w:rFonts w:ascii="Symbol" w:hAnsi="Symbol" w:cs="Symbol" w:hint="default"/>
        <w:rFonts w:cs="Symbol"/>
      </w:rPr>
    </w:lvl>
    <w:lvl w:ilvl="2">
      <w:start w:val="1"/>
      <w:numFmt w:val="bullet"/>
      <w:lvlText w:val=""/>
      <w:lvlJc w:val="left"/>
      <w:pPr>
        <w:ind w:left="2828" w:hanging="572"/>
      </w:pPr>
      <w:rPr>
        <w:rFonts w:ascii="Symbol" w:hAnsi="Symbol" w:cs="Symbol" w:hint="default"/>
        <w:rFonts w:cs="Symbol"/>
      </w:rPr>
    </w:lvl>
    <w:lvl w:ilvl="3">
      <w:start w:val="1"/>
      <w:numFmt w:val="bullet"/>
      <w:lvlText w:val=""/>
      <w:lvlJc w:val="left"/>
      <w:pPr>
        <w:ind w:left="3722" w:hanging="572"/>
      </w:pPr>
      <w:rPr>
        <w:rFonts w:ascii="Symbol" w:hAnsi="Symbol" w:cs="Symbol" w:hint="default"/>
        <w:rFonts w:cs="Symbol"/>
      </w:rPr>
    </w:lvl>
    <w:lvl w:ilvl="4">
      <w:start w:val="1"/>
      <w:numFmt w:val="bullet"/>
      <w:lvlText w:val=""/>
      <w:lvlJc w:val="left"/>
      <w:pPr>
        <w:ind w:left="4616" w:hanging="572"/>
      </w:pPr>
      <w:rPr>
        <w:rFonts w:ascii="Symbol" w:hAnsi="Symbol" w:cs="Symbol" w:hint="default"/>
        <w:rFonts w:cs="Symbol"/>
      </w:rPr>
    </w:lvl>
    <w:lvl w:ilvl="5">
      <w:start w:val="1"/>
      <w:numFmt w:val="bullet"/>
      <w:lvlText w:val=""/>
      <w:lvlJc w:val="left"/>
      <w:pPr>
        <w:ind w:left="5510" w:hanging="572"/>
      </w:pPr>
      <w:rPr>
        <w:rFonts w:ascii="Symbol" w:hAnsi="Symbol" w:cs="Symbol" w:hint="default"/>
        <w:rFonts w:cs="Symbol"/>
      </w:rPr>
    </w:lvl>
    <w:lvl w:ilvl="6">
      <w:start w:val="1"/>
      <w:numFmt w:val="bullet"/>
      <w:lvlText w:val=""/>
      <w:lvlJc w:val="left"/>
      <w:pPr>
        <w:ind w:left="6404" w:hanging="572"/>
      </w:pPr>
      <w:rPr>
        <w:rFonts w:ascii="Symbol" w:hAnsi="Symbol" w:cs="Symbol" w:hint="default"/>
        <w:rFonts w:cs="Symbol"/>
      </w:rPr>
    </w:lvl>
    <w:lvl w:ilvl="7">
      <w:start w:val="1"/>
      <w:numFmt w:val="bullet"/>
      <w:lvlText w:val=""/>
      <w:lvlJc w:val="left"/>
      <w:pPr>
        <w:ind w:left="7298" w:hanging="572"/>
      </w:pPr>
      <w:rPr>
        <w:rFonts w:ascii="Symbol" w:hAnsi="Symbol" w:cs="Symbol" w:hint="default"/>
        <w:rFonts w:cs="Symbol"/>
      </w:rPr>
    </w:lvl>
    <w:lvl w:ilvl="8">
      <w:start w:val="1"/>
      <w:numFmt w:val="bullet"/>
      <w:lvlText w:val=""/>
      <w:lvlJc w:val="left"/>
      <w:pPr>
        <w:ind w:left="8192" w:hanging="572"/>
      </w:pPr>
      <w:rPr>
        <w:rFonts w:ascii="Symbol" w:hAnsi="Symbol" w:cs="Symbol" w:hint="default"/>
        <w:rFonts w:cs="Symbol"/>
      </w:rPr>
    </w:lvl>
  </w:abstractNum>
  <w:abstractNum w:abstractNumId="79">
    <w:lvl w:ilvl="0">
      <w:start w:val="1"/>
      <w:numFmt w:val="bullet"/>
      <w:lvlText w:val=""/>
      <w:lvlJc w:val="left"/>
      <w:pPr>
        <w:ind w:left="744" w:hanging="284"/>
      </w:pPr>
      <w:rPr>
        <w:rFonts w:ascii="Symbol" w:hAnsi="Symbol" w:cs="Symbol" w:hint="default"/>
        <w:sz w:val="18"/>
        <w:szCs w:val="22"/>
        <w:w w:val="100"/>
        <w:rFonts w:cs="Symbol"/>
        <w:color w:val="000009"/>
      </w:rPr>
    </w:lvl>
    <w:lvl w:ilvl="1">
      <w:start w:val="1"/>
      <w:numFmt w:val="bullet"/>
      <w:lvlText w:val=""/>
      <w:lvlJc w:val="left"/>
      <w:pPr>
        <w:ind w:left="1664" w:hanging="284"/>
      </w:pPr>
      <w:rPr>
        <w:rFonts w:ascii="Symbol" w:hAnsi="Symbol" w:cs="Symbol" w:hint="default"/>
        <w:rFonts w:cs="Symbol"/>
      </w:rPr>
    </w:lvl>
    <w:lvl w:ilvl="2">
      <w:start w:val="1"/>
      <w:numFmt w:val="bullet"/>
      <w:lvlText w:val=""/>
      <w:lvlJc w:val="left"/>
      <w:pPr>
        <w:ind w:left="2588" w:hanging="284"/>
      </w:pPr>
      <w:rPr>
        <w:rFonts w:ascii="Symbol" w:hAnsi="Symbol" w:cs="Symbol" w:hint="default"/>
        <w:rFonts w:cs="Symbol"/>
      </w:rPr>
    </w:lvl>
    <w:lvl w:ilvl="3">
      <w:start w:val="1"/>
      <w:numFmt w:val="bullet"/>
      <w:lvlText w:val=""/>
      <w:lvlJc w:val="left"/>
      <w:pPr>
        <w:ind w:left="3512" w:hanging="284"/>
      </w:pPr>
      <w:rPr>
        <w:rFonts w:ascii="Symbol" w:hAnsi="Symbol" w:cs="Symbol" w:hint="default"/>
        <w:rFonts w:cs="Symbol"/>
      </w:rPr>
    </w:lvl>
    <w:lvl w:ilvl="4">
      <w:start w:val="1"/>
      <w:numFmt w:val="bullet"/>
      <w:lvlText w:val=""/>
      <w:lvlJc w:val="left"/>
      <w:pPr>
        <w:ind w:left="4436" w:hanging="284"/>
      </w:pPr>
      <w:rPr>
        <w:rFonts w:ascii="Symbol" w:hAnsi="Symbol" w:cs="Symbol" w:hint="default"/>
        <w:rFonts w:cs="Symbol"/>
      </w:rPr>
    </w:lvl>
    <w:lvl w:ilvl="5">
      <w:start w:val="1"/>
      <w:numFmt w:val="bullet"/>
      <w:lvlText w:val=""/>
      <w:lvlJc w:val="left"/>
      <w:pPr>
        <w:ind w:left="5360" w:hanging="284"/>
      </w:pPr>
      <w:rPr>
        <w:rFonts w:ascii="Symbol" w:hAnsi="Symbol" w:cs="Symbol" w:hint="default"/>
        <w:rFonts w:cs="Symbol"/>
      </w:rPr>
    </w:lvl>
    <w:lvl w:ilvl="6">
      <w:start w:val="1"/>
      <w:numFmt w:val="bullet"/>
      <w:lvlText w:val=""/>
      <w:lvlJc w:val="left"/>
      <w:pPr>
        <w:ind w:left="6284" w:hanging="284"/>
      </w:pPr>
      <w:rPr>
        <w:rFonts w:ascii="Symbol" w:hAnsi="Symbol" w:cs="Symbol" w:hint="default"/>
        <w:rFonts w:cs="Symbol"/>
      </w:rPr>
    </w:lvl>
    <w:lvl w:ilvl="7">
      <w:start w:val="1"/>
      <w:numFmt w:val="bullet"/>
      <w:lvlText w:val=""/>
      <w:lvlJc w:val="left"/>
      <w:pPr>
        <w:ind w:left="7208" w:hanging="284"/>
      </w:pPr>
      <w:rPr>
        <w:rFonts w:ascii="Symbol" w:hAnsi="Symbol" w:cs="Symbol" w:hint="default"/>
        <w:rFonts w:cs="Symbol"/>
      </w:rPr>
    </w:lvl>
    <w:lvl w:ilvl="8">
      <w:start w:val="1"/>
      <w:numFmt w:val="bullet"/>
      <w:lvlText w:val=""/>
      <w:lvlJc w:val="left"/>
      <w:pPr>
        <w:ind w:left="8132" w:hanging="284"/>
      </w:pPr>
      <w:rPr>
        <w:rFonts w:ascii="Symbol" w:hAnsi="Symbol" w:cs="Symbol" w:hint="default"/>
        <w:rFonts w:cs="Symbol"/>
      </w:rPr>
    </w:lvl>
  </w:abstractNum>
  <w:abstractNum w:abstractNumId="80">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81">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2">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83">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84">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85">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86">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87">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88">
    <w:lvl w:ilvl="0">
      <w:start w:val="1"/>
      <w:numFmt w:val="bullet"/>
      <w:lvlText w:val=""/>
      <w:lvlJc w:val="left"/>
      <w:pPr>
        <w:ind w:left="780" w:hanging="360"/>
      </w:pPr>
      <w:rPr>
        <w:rFonts w:ascii="Symbol" w:hAnsi="Symbol" w:cs="Symbol" w:hint="default"/>
        <w:rFonts w:cs="Symbol"/>
      </w:rPr>
    </w:lvl>
    <w:lvl w:ilvl="1">
      <w:start w:val="1"/>
      <w:numFmt w:val="bullet"/>
      <w:lvlText w:val="o"/>
      <w:lvlJc w:val="left"/>
      <w:pPr>
        <w:ind w:left="1500" w:hanging="360"/>
      </w:pPr>
      <w:rPr>
        <w:rFonts w:ascii="Courier New" w:hAnsi="Courier New" w:cs="Courier New" w:hint="default"/>
        <w:rFonts w:cs="Courier New"/>
      </w:rPr>
    </w:lvl>
    <w:lvl w:ilvl="2">
      <w:start w:val="1"/>
      <w:numFmt w:val="bullet"/>
      <w:lvlText w:val=""/>
      <w:lvlJc w:val="left"/>
      <w:pPr>
        <w:ind w:left="2220" w:hanging="360"/>
      </w:pPr>
      <w:rPr>
        <w:rFonts w:ascii="Wingdings" w:hAnsi="Wingdings" w:cs="Wingdings" w:hint="default"/>
        <w:rFonts w:cs="Wingdings"/>
      </w:rPr>
    </w:lvl>
    <w:lvl w:ilvl="3">
      <w:start w:val="1"/>
      <w:numFmt w:val="bullet"/>
      <w:lvlText w:val=""/>
      <w:lvlJc w:val="left"/>
      <w:pPr>
        <w:ind w:left="2940" w:hanging="360"/>
      </w:pPr>
      <w:rPr>
        <w:rFonts w:ascii="Symbol" w:hAnsi="Symbol" w:cs="Symbol" w:hint="default"/>
        <w:rFonts w:cs="Symbol"/>
      </w:rPr>
    </w:lvl>
    <w:lvl w:ilvl="4">
      <w:start w:val="1"/>
      <w:numFmt w:val="bullet"/>
      <w:lvlText w:val="o"/>
      <w:lvlJc w:val="left"/>
      <w:pPr>
        <w:ind w:left="3660" w:hanging="360"/>
      </w:pPr>
      <w:rPr>
        <w:rFonts w:ascii="Courier New" w:hAnsi="Courier New" w:cs="Courier New" w:hint="default"/>
        <w:rFonts w:cs="Courier New"/>
      </w:rPr>
    </w:lvl>
    <w:lvl w:ilvl="5">
      <w:start w:val="1"/>
      <w:numFmt w:val="bullet"/>
      <w:lvlText w:val=""/>
      <w:lvlJc w:val="left"/>
      <w:pPr>
        <w:ind w:left="4380" w:hanging="360"/>
      </w:pPr>
      <w:rPr>
        <w:rFonts w:ascii="Wingdings" w:hAnsi="Wingdings" w:cs="Wingdings" w:hint="default"/>
        <w:rFonts w:cs="Wingdings"/>
      </w:rPr>
    </w:lvl>
    <w:lvl w:ilvl="6">
      <w:start w:val="1"/>
      <w:numFmt w:val="bullet"/>
      <w:lvlText w:val=""/>
      <w:lvlJc w:val="left"/>
      <w:pPr>
        <w:ind w:left="5100" w:hanging="360"/>
      </w:pPr>
      <w:rPr>
        <w:rFonts w:ascii="Symbol" w:hAnsi="Symbol" w:cs="Symbol" w:hint="default"/>
        <w:rFonts w:cs="Symbol"/>
      </w:rPr>
    </w:lvl>
    <w:lvl w:ilvl="7">
      <w:start w:val="1"/>
      <w:numFmt w:val="bullet"/>
      <w:lvlText w:val="o"/>
      <w:lvlJc w:val="left"/>
      <w:pPr>
        <w:ind w:left="5820" w:hanging="360"/>
      </w:pPr>
      <w:rPr>
        <w:rFonts w:ascii="Courier New" w:hAnsi="Courier New" w:cs="Courier New" w:hint="default"/>
        <w:rFonts w:cs="Courier New"/>
      </w:rPr>
    </w:lvl>
    <w:lvl w:ilvl="8">
      <w:start w:val="1"/>
      <w:numFmt w:val="bullet"/>
      <w:lvlText w:val=""/>
      <w:lvlJc w:val="left"/>
      <w:pPr>
        <w:ind w:left="6540" w:hanging="360"/>
      </w:pPr>
      <w:rPr>
        <w:rFonts w:ascii="Wingdings" w:hAnsi="Wingdings" w:cs="Wingdings" w:hint="default"/>
        <w:rFonts w:cs="Wingdings"/>
      </w:rPr>
    </w:lvl>
  </w:abstractNum>
  <w:abstractNum w:abstractNumId="89">
    <w:lvl w:ilvl="0">
      <w:start w:val="1"/>
      <w:numFmt w:val="bullet"/>
      <w:lvlText w:val=""/>
      <w:lvlJc w:val="left"/>
      <w:pPr>
        <w:ind w:left="780" w:hanging="360"/>
      </w:pPr>
      <w:rPr>
        <w:rFonts w:ascii="Symbol" w:hAnsi="Symbol" w:cs="Symbol" w:hint="default"/>
        <w:rFonts w:cs="Symbol"/>
      </w:rPr>
    </w:lvl>
    <w:lvl w:ilvl="1">
      <w:start w:val="1"/>
      <w:numFmt w:val="bullet"/>
      <w:lvlText w:val="o"/>
      <w:lvlJc w:val="left"/>
      <w:pPr>
        <w:ind w:left="1500" w:hanging="360"/>
      </w:pPr>
      <w:rPr>
        <w:rFonts w:ascii="Courier New" w:hAnsi="Courier New" w:cs="Courier New" w:hint="default"/>
        <w:rFonts w:cs="Courier New"/>
      </w:rPr>
    </w:lvl>
    <w:lvl w:ilvl="2">
      <w:start w:val="1"/>
      <w:numFmt w:val="bullet"/>
      <w:lvlText w:val=""/>
      <w:lvlJc w:val="left"/>
      <w:pPr>
        <w:ind w:left="2220" w:hanging="360"/>
      </w:pPr>
      <w:rPr>
        <w:rFonts w:ascii="Wingdings" w:hAnsi="Wingdings" w:cs="Wingdings" w:hint="default"/>
        <w:rFonts w:cs="Wingdings"/>
      </w:rPr>
    </w:lvl>
    <w:lvl w:ilvl="3">
      <w:start w:val="1"/>
      <w:numFmt w:val="bullet"/>
      <w:lvlText w:val=""/>
      <w:lvlJc w:val="left"/>
      <w:pPr>
        <w:ind w:left="2940" w:hanging="360"/>
      </w:pPr>
      <w:rPr>
        <w:rFonts w:ascii="Symbol" w:hAnsi="Symbol" w:cs="Symbol" w:hint="default"/>
        <w:rFonts w:cs="Symbol"/>
      </w:rPr>
    </w:lvl>
    <w:lvl w:ilvl="4">
      <w:start w:val="1"/>
      <w:numFmt w:val="bullet"/>
      <w:lvlText w:val="o"/>
      <w:lvlJc w:val="left"/>
      <w:pPr>
        <w:ind w:left="3660" w:hanging="360"/>
      </w:pPr>
      <w:rPr>
        <w:rFonts w:ascii="Courier New" w:hAnsi="Courier New" w:cs="Courier New" w:hint="default"/>
        <w:rFonts w:cs="Courier New"/>
      </w:rPr>
    </w:lvl>
    <w:lvl w:ilvl="5">
      <w:start w:val="1"/>
      <w:numFmt w:val="bullet"/>
      <w:lvlText w:val=""/>
      <w:lvlJc w:val="left"/>
      <w:pPr>
        <w:ind w:left="4380" w:hanging="360"/>
      </w:pPr>
      <w:rPr>
        <w:rFonts w:ascii="Wingdings" w:hAnsi="Wingdings" w:cs="Wingdings" w:hint="default"/>
        <w:rFonts w:cs="Wingdings"/>
      </w:rPr>
    </w:lvl>
    <w:lvl w:ilvl="6">
      <w:start w:val="1"/>
      <w:numFmt w:val="bullet"/>
      <w:lvlText w:val=""/>
      <w:lvlJc w:val="left"/>
      <w:pPr>
        <w:ind w:left="5100" w:hanging="360"/>
      </w:pPr>
      <w:rPr>
        <w:rFonts w:ascii="Symbol" w:hAnsi="Symbol" w:cs="Symbol" w:hint="default"/>
        <w:rFonts w:cs="Symbol"/>
      </w:rPr>
    </w:lvl>
    <w:lvl w:ilvl="7">
      <w:start w:val="1"/>
      <w:numFmt w:val="bullet"/>
      <w:lvlText w:val="o"/>
      <w:lvlJc w:val="left"/>
      <w:pPr>
        <w:ind w:left="5820" w:hanging="360"/>
      </w:pPr>
      <w:rPr>
        <w:rFonts w:ascii="Courier New" w:hAnsi="Courier New" w:cs="Courier New" w:hint="default"/>
        <w:rFonts w:cs="Courier New"/>
      </w:rPr>
    </w:lvl>
    <w:lvl w:ilvl="8">
      <w:start w:val="1"/>
      <w:numFmt w:val="bullet"/>
      <w:lvlText w:val=""/>
      <w:lvlJc w:val="left"/>
      <w:pPr>
        <w:ind w:left="6540" w:hanging="360"/>
      </w:pPr>
      <w:rPr>
        <w:rFonts w:ascii="Wingdings" w:hAnsi="Wingdings" w:cs="Wingdings" w:hint="default"/>
        <w:rFonts w:cs="Wingdings"/>
      </w:rPr>
    </w:lvl>
  </w:abstractNum>
  <w:abstractNum w:abstractNumId="90">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91">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92">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93">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94">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95">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96">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97">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98">
    <w:lvl w:ilvl="0">
      <w:start w:val="1"/>
      <w:numFmt w:val="bullet"/>
      <w:lvlText w:val=""/>
      <w:lvlJc w:val="left"/>
      <w:pPr>
        <w:ind w:left="720" w:hanging="360"/>
      </w:pPr>
      <w:rPr>
        <w:rFonts w:ascii="Symbol" w:hAnsi="Symbol" w:cs="Symbol" w:hint="default"/>
        <w:rFonts w:cs="Symbol"/>
      </w:rPr>
    </w:lvl>
    <w:lvl w:ilvl="1">
      <w:start w:val="1"/>
      <w:numFmt w:val="bullet"/>
      <w:lvlText w:val="-"/>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 w:numId="57">
    <w:abstractNumId w:val="57"/>
  </w:num>
  <w:num w:numId="58">
    <w:abstractNumId w:val="58"/>
  </w:num>
  <w:num w:numId="59">
    <w:abstractNumId w:val="59"/>
  </w:num>
  <w:num w:numId="60">
    <w:abstractNumId w:val="60"/>
  </w:num>
  <w:num w:numId="61">
    <w:abstractNumId w:val="61"/>
  </w:num>
  <w:num w:numId="62">
    <w:abstractNumId w:val="62"/>
  </w:num>
  <w:num w:numId="63">
    <w:abstractNumId w:val="63"/>
  </w:num>
  <w:num w:numId="64">
    <w:abstractNumId w:val="64"/>
  </w:num>
  <w:num w:numId="65">
    <w:abstractNumId w:val="65"/>
  </w:num>
  <w:num w:numId="66">
    <w:abstractNumId w:val="66"/>
  </w:num>
  <w:num w:numId="67">
    <w:abstractNumId w:val="67"/>
  </w:num>
  <w:num w:numId="68">
    <w:abstractNumId w:val="68"/>
  </w:num>
  <w:num w:numId="69">
    <w:abstractNumId w:val="69"/>
  </w:num>
  <w:num w:numId="70">
    <w:abstractNumId w:val="70"/>
  </w:num>
  <w:num w:numId="71">
    <w:abstractNumId w:val="71"/>
  </w:num>
  <w:num w:numId="72">
    <w:abstractNumId w:val="72"/>
  </w:num>
  <w:num w:numId="73">
    <w:abstractNumId w:val="73"/>
  </w:num>
  <w:num w:numId="74">
    <w:abstractNumId w:val="74"/>
  </w:num>
  <w:num w:numId="75">
    <w:abstractNumId w:val="75"/>
  </w:num>
  <w:num w:numId="76">
    <w:abstractNumId w:val="76"/>
  </w:num>
  <w:num w:numId="77">
    <w:abstractNumId w:val="77"/>
  </w:num>
  <w:num w:numId="78">
    <w:abstractNumId w:val="78"/>
  </w:num>
  <w:num w:numId="79">
    <w:abstractNumId w:val="79"/>
  </w:num>
  <w:num w:numId="80">
    <w:abstractNumId w:val="80"/>
  </w:num>
  <w:num w:numId="81">
    <w:abstractNumId w:val="81"/>
  </w:num>
  <w:num w:numId="82">
    <w:abstractNumId w:val="82"/>
  </w:num>
  <w:num w:numId="83">
    <w:abstractNumId w:val="83"/>
  </w:num>
  <w:num w:numId="84">
    <w:abstractNumId w:val="84"/>
  </w:num>
  <w:num w:numId="85">
    <w:abstractNumId w:val="85"/>
  </w:num>
  <w:num w:numId="86">
    <w:abstractNumId w:val="86"/>
  </w:num>
  <w:num w:numId="87">
    <w:abstractNumId w:val="87"/>
  </w:num>
  <w:num w:numId="88">
    <w:abstractNumId w:val="88"/>
  </w:num>
  <w:num w:numId="89">
    <w:abstractNumId w:val="89"/>
  </w:num>
  <w:num w:numId="90">
    <w:abstractNumId w:val="90"/>
  </w:num>
  <w:num w:numId="91">
    <w:abstractNumId w:val="91"/>
  </w:num>
  <w:num w:numId="92">
    <w:abstractNumId w:val="92"/>
  </w:num>
  <w:num w:numId="93">
    <w:abstractNumId w:val="93"/>
  </w:num>
  <w:num w:numId="94">
    <w:abstractNumId w:val="94"/>
  </w:num>
  <w:num w:numId="95">
    <w:abstractNumId w:val="95"/>
  </w:num>
  <w:num w:numId="96">
    <w:abstractNumId w:val="96"/>
  </w:num>
  <w:num w:numId="97">
    <w:abstractNumId w:val="97"/>
  </w:num>
  <w:num w:numId="98">
    <w:abstractNumId w:val="98"/>
  </w:num>
</w:numbering>
</file>

<file path=word/settings.xml><?xml version="1.0" encoding="utf-8"?>
<w:settings xmlns:w="http://schemas.openxmlformats.org/wordprocessingml/2006/main">
  <w:zoom w:percent="100"/>
  <w:mirrorMargins/>
  <w:defaultTabStop w:val="708"/>
  <w:evenAndOddHeader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pl-P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Segoe UI Light" w:hAnsi="Segoe UI Light" w:eastAsia="" w:cs="" w:asciiTheme="minorHAnsi" w:cstheme="minorBidi" w:eastAsiaTheme="minorEastAsia" w:hAnsiTheme="minorHAnsi"/>
        <w:lang w:val="pl-PL" w:eastAsia="en-US" w:bidi="ar-SA"/>
      </w:rPr>
    </w:rPrDefault>
    <w:pPrDefaul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uiPriority="0"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f62d8"/>
    <w:pPr>
      <w:widowControl/>
      <w:bidi w:val="0"/>
      <w:spacing w:lineRule="auto" w:line="276" w:before="100" w:after="200"/>
      <w:jc w:val="both"/>
    </w:pPr>
    <w:rPr>
      <w:rFonts w:ascii="Segoe UI Light" w:hAnsi="Segoe UI Light" w:eastAsia="" w:cs="" w:asciiTheme="minorHAnsi" w:cstheme="minorBidi" w:eastAsiaTheme="minorEastAsia" w:hAnsiTheme="minorHAnsi"/>
      <w:color w:val="00000A"/>
      <w:sz w:val="20"/>
      <w:szCs w:val="20"/>
      <w:lang w:val="pl-PL" w:eastAsia="en-US" w:bidi="ar-SA"/>
    </w:rPr>
  </w:style>
  <w:style w:type="paragraph" w:styleId="Nagwek1">
    <w:name w:val="Heading 1"/>
    <w:basedOn w:val="Normal"/>
    <w:link w:val="Nagwek1Znak"/>
    <w:uiPriority w:val="9"/>
    <w:qFormat/>
    <w:rsid w:val="0033456d"/>
    <w:pPr>
      <w:numPr>
        <w:ilvl w:val="0"/>
        <w:numId w:val="1"/>
      </w:numPr>
      <w:pBdr>
        <w:top w:val="single" w:sz="24" w:space="0" w:color="F04E23"/>
        <w:left w:val="single" w:sz="24" w:space="0" w:color="F04E23"/>
        <w:bottom w:val="single" w:sz="24" w:space="0" w:color="F04E23"/>
        <w:right w:val="single" w:sz="24" w:space="0" w:color="F04E23"/>
      </w:pBdr>
      <w:shd w:val="clear" w:color="auto" w:fill="F04E23" w:themeFill="accent1"/>
      <w:spacing w:before="100" w:after="0"/>
      <w:outlineLvl w:val="0"/>
      <w:outlineLvl w:val="0"/>
    </w:pPr>
    <w:rPr>
      <w:caps/>
      <w:color w:val="FFFFFF" w:themeColor="background1"/>
      <w:spacing w:val="15"/>
      <w:sz w:val="22"/>
      <w:szCs w:val="22"/>
    </w:rPr>
  </w:style>
  <w:style w:type="paragraph" w:styleId="Nagwek2">
    <w:name w:val="Heading 2"/>
    <w:basedOn w:val="Normal"/>
    <w:link w:val="Nagwek2Znak"/>
    <w:uiPriority w:val="9"/>
    <w:unhideWhenUsed/>
    <w:qFormat/>
    <w:rsid w:val="0033456d"/>
    <w:pPr>
      <w:numPr>
        <w:ilvl w:val="1"/>
        <w:numId w:val="1"/>
      </w:numPr>
      <w:pBdr>
        <w:top w:val="single" w:sz="24" w:space="0" w:color="FCDBD3"/>
        <w:left w:val="single" w:sz="24" w:space="0" w:color="FCDBD3"/>
        <w:bottom w:val="single" w:sz="24" w:space="0" w:color="FCDBD3"/>
        <w:right w:val="single" w:sz="24" w:space="0" w:color="FCDBD3"/>
      </w:pBdr>
      <w:shd w:val="clear" w:color="auto" w:fill="FCDBD3" w:themeFill="accent1" w:themeFillTint="33"/>
      <w:spacing w:before="100" w:after="0"/>
      <w:outlineLvl w:val="1"/>
      <w:outlineLvl w:val="1"/>
    </w:pPr>
    <w:rPr>
      <w:caps/>
      <w:spacing w:val="15"/>
    </w:rPr>
  </w:style>
  <w:style w:type="paragraph" w:styleId="Nagwek3">
    <w:name w:val="Heading 3"/>
    <w:basedOn w:val="Normal"/>
    <w:link w:val="Nagwek3Znak"/>
    <w:uiPriority w:val="9"/>
    <w:unhideWhenUsed/>
    <w:qFormat/>
    <w:rsid w:val="00463e49"/>
    <w:pPr>
      <w:numPr>
        <w:ilvl w:val="2"/>
        <w:numId w:val="1"/>
      </w:numPr>
      <w:pBdr>
        <w:top w:val="single" w:sz="6" w:space="2" w:color="F04E23"/>
      </w:pBdr>
      <w:spacing w:before="480" w:after="0"/>
      <w:outlineLvl w:val="2"/>
      <w:outlineLvl w:val="2"/>
    </w:pPr>
    <w:rPr>
      <w:caps/>
      <w:color w:val="7F2108" w:themeColor="accent1" w:themeShade="7f"/>
      <w:spacing w:val="15"/>
    </w:rPr>
  </w:style>
  <w:style w:type="paragraph" w:styleId="Nagwek4">
    <w:name w:val="Heading 4"/>
    <w:basedOn w:val="Normal"/>
    <w:link w:val="Nagwek4Znak"/>
    <w:uiPriority w:val="9"/>
    <w:unhideWhenUsed/>
    <w:qFormat/>
    <w:rsid w:val="0033456d"/>
    <w:pPr>
      <w:numPr>
        <w:ilvl w:val="3"/>
        <w:numId w:val="1"/>
      </w:numPr>
      <w:pBdr>
        <w:top w:val="dotted" w:sz="6" w:space="2" w:color="F04E23"/>
      </w:pBdr>
      <w:spacing w:before="200" w:after="0"/>
      <w:outlineLvl w:val="3"/>
      <w:outlineLvl w:val="3"/>
    </w:pPr>
    <w:rPr>
      <w:caps/>
      <w:color w:val="C0320D" w:themeColor="accent1" w:themeShade="bf"/>
      <w:spacing w:val="10"/>
    </w:rPr>
  </w:style>
  <w:style w:type="paragraph" w:styleId="Nagwek5">
    <w:name w:val="Heading 5"/>
    <w:basedOn w:val="Normal"/>
    <w:link w:val="Nagwek5Znak"/>
    <w:uiPriority w:val="9"/>
    <w:unhideWhenUsed/>
    <w:qFormat/>
    <w:rsid w:val="0033456d"/>
    <w:pPr>
      <w:numPr>
        <w:ilvl w:val="4"/>
        <w:numId w:val="1"/>
      </w:numPr>
      <w:pBdr>
        <w:bottom w:val="single" w:sz="6" w:space="1" w:color="F04E23"/>
      </w:pBdr>
      <w:spacing w:before="200" w:after="0"/>
      <w:outlineLvl w:val="4"/>
      <w:outlineLvl w:val="4"/>
    </w:pPr>
    <w:rPr>
      <w:caps/>
      <w:color w:val="C0320D" w:themeColor="accent1" w:themeShade="bf"/>
      <w:spacing w:val="10"/>
    </w:rPr>
  </w:style>
  <w:style w:type="paragraph" w:styleId="Nagwek6">
    <w:name w:val="Heading 6"/>
    <w:basedOn w:val="Normal"/>
    <w:link w:val="Nagwek6Znak"/>
    <w:uiPriority w:val="9"/>
    <w:unhideWhenUsed/>
    <w:qFormat/>
    <w:rsid w:val="0033456d"/>
    <w:pPr>
      <w:numPr>
        <w:ilvl w:val="5"/>
        <w:numId w:val="1"/>
      </w:numPr>
      <w:pBdr>
        <w:bottom w:val="dotted" w:sz="6" w:space="1" w:color="F04E23"/>
      </w:pBdr>
      <w:spacing w:before="200" w:after="0"/>
      <w:outlineLvl w:val="5"/>
      <w:outlineLvl w:val="5"/>
    </w:pPr>
    <w:rPr>
      <w:caps/>
      <w:color w:val="C0320D" w:themeColor="accent1" w:themeShade="bf"/>
      <w:spacing w:val="10"/>
    </w:rPr>
  </w:style>
  <w:style w:type="paragraph" w:styleId="Nagwek7">
    <w:name w:val="Heading 7"/>
    <w:basedOn w:val="Normal"/>
    <w:link w:val="Nagwek7Znak"/>
    <w:uiPriority w:val="9"/>
    <w:unhideWhenUsed/>
    <w:qFormat/>
    <w:rsid w:val="0033456d"/>
    <w:pPr>
      <w:numPr>
        <w:ilvl w:val="6"/>
        <w:numId w:val="1"/>
      </w:numPr>
      <w:spacing w:before="200" w:after="0"/>
      <w:outlineLvl w:val="6"/>
      <w:outlineLvl w:val="6"/>
    </w:pPr>
    <w:rPr>
      <w:caps/>
      <w:color w:val="C0320D" w:themeColor="accent1" w:themeShade="bf"/>
      <w:spacing w:val="10"/>
    </w:rPr>
  </w:style>
  <w:style w:type="paragraph" w:styleId="Nagwek8">
    <w:name w:val="Heading 8"/>
    <w:basedOn w:val="Normal"/>
    <w:link w:val="Nagwek8Znak"/>
    <w:uiPriority w:val="9"/>
    <w:semiHidden/>
    <w:unhideWhenUsed/>
    <w:qFormat/>
    <w:rsid w:val="0033456d"/>
    <w:pPr>
      <w:numPr>
        <w:ilvl w:val="7"/>
        <w:numId w:val="1"/>
      </w:numPr>
      <w:spacing w:before="200" w:after="0"/>
      <w:outlineLvl w:val="7"/>
      <w:outlineLvl w:val="7"/>
    </w:pPr>
    <w:rPr>
      <w:caps/>
      <w:spacing w:val="10"/>
      <w:sz w:val="18"/>
      <w:szCs w:val="18"/>
    </w:rPr>
  </w:style>
  <w:style w:type="paragraph" w:styleId="Nagwek9">
    <w:name w:val="Heading 9"/>
    <w:basedOn w:val="Normal"/>
    <w:link w:val="Nagwek9Znak"/>
    <w:uiPriority w:val="9"/>
    <w:unhideWhenUsed/>
    <w:qFormat/>
    <w:rsid w:val="0033456d"/>
    <w:pPr>
      <w:numPr>
        <w:ilvl w:val="8"/>
        <w:numId w:val="1"/>
      </w:numPr>
      <w:spacing w:before="200" w:after="0"/>
      <w:outlineLvl w:val="8"/>
      <w:outlineLvl w:val="8"/>
    </w:pPr>
    <w:rPr>
      <w:i/>
      <w:iCs/>
      <w:caps/>
      <w:spacing w:val="10"/>
      <w:sz w:val="18"/>
      <w:szCs w:val="18"/>
    </w:rPr>
  </w:style>
  <w:style w:type="character" w:styleId="DefaultParagraphFont" w:default="1">
    <w:name w:val="Default Paragraph Font"/>
    <w:uiPriority w:val="1"/>
    <w:semiHidden/>
    <w:unhideWhenUsed/>
    <w:qFormat/>
    <w:rPr/>
  </w:style>
  <w:style w:type="character" w:styleId="Nagwek1Znak" w:customStyle="1">
    <w:name w:val="Nagłówek 1 Znak"/>
    <w:basedOn w:val="DefaultParagraphFont"/>
    <w:link w:val="Nagwek1"/>
    <w:uiPriority w:val="9"/>
    <w:qFormat/>
    <w:rsid w:val="0033456d"/>
    <w:rPr>
      <w:caps/>
      <w:color w:val="FFFFFF" w:themeColor="background1"/>
      <w:spacing w:val="15"/>
      <w:sz w:val="22"/>
      <w:szCs w:val="22"/>
      <w:shd w:fill="F04E23" w:val="clear"/>
    </w:rPr>
  </w:style>
  <w:style w:type="character" w:styleId="Nagwek2Znak" w:customStyle="1">
    <w:name w:val="Nagłówek 2 Znak"/>
    <w:basedOn w:val="DefaultParagraphFont"/>
    <w:link w:val="Nagwek2"/>
    <w:uiPriority w:val="9"/>
    <w:qFormat/>
    <w:rsid w:val="0033456d"/>
    <w:rPr>
      <w:caps/>
      <w:spacing w:val="15"/>
      <w:shd w:fill="FCDBD3" w:val="clear"/>
    </w:rPr>
  </w:style>
  <w:style w:type="character" w:styleId="Nagwek3Znak" w:customStyle="1">
    <w:name w:val="Nagłówek 3 Znak"/>
    <w:basedOn w:val="DefaultParagraphFont"/>
    <w:link w:val="Nagwek3"/>
    <w:uiPriority w:val="9"/>
    <w:qFormat/>
    <w:rsid w:val="00463e49"/>
    <w:rPr>
      <w:caps/>
      <w:color w:val="7F2108" w:themeColor="accent1" w:themeShade="7f"/>
      <w:spacing w:val="15"/>
    </w:rPr>
  </w:style>
  <w:style w:type="character" w:styleId="Nagwek4Znak" w:customStyle="1">
    <w:name w:val="Nagłówek 4 Znak"/>
    <w:basedOn w:val="DefaultParagraphFont"/>
    <w:link w:val="Nagwek4"/>
    <w:uiPriority w:val="9"/>
    <w:qFormat/>
    <w:rsid w:val="0033456d"/>
    <w:rPr>
      <w:caps/>
      <w:color w:val="C0320D" w:themeColor="accent1" w:themeShade="bf"/>
      <w:spacing w:val="10"/>
    </w:rPr>
  </w:style>
  <w:style w:type="character" w:styleId="Nagwek5Znak" w:customStyle="1">
    <w:name w:val="Nagłówek 5 Znak"/>
    <w:basedOn w:val="DefaultParagraphFont"/>
    <w:link w:val="Nagwek5"/>
    <w:uiPriority w:val="9"/>
    <w:qFormat/>
    <w:rsid w:val="0033456d"/>
    <w:rPr>
      <w:caps/>
      <w:color w:val="C0320D" w:themeColor="accent1" w:themeShade="bf"/>
      <w:spacing w:val="10"/>
    </w:rPr>
  </w:style>
  <w:style w:type="character" w:styleId="Nagwek6Znak" w:customStyle="1">
    <w:name w:val="Nagłówek 6 Znak"/>
    <w:basedOn w:val="DefaultParagraphFont"/>
    <w:link w:val="Nagwek6"/>
    <w:uiPriority w:val="9"/>
    <w:qFormat/>
    <w:rsid w:val="0033456d"/>
    <w:rPr>
      <w:caps/>
      <w:color w:val="C0320D" w:themeColor="accent1" w:themeShade="bf"/>
      <w:spacing w:val="10"/>
    </w:rPr>
  </w:style>
  <w:style w:type="character" w:styleId="Nagwek7Znak" w:customStyle="1">
    <w:name w:val="Nagłówek 7 Znak"/>
    <w:basedOn w:val="DefaultParagraphFont"/>
    <w:link w:val="Nagwek7"/>
    <w:uiPriority w:val="9"/>
    <w:qFormat/>
    <w:rsid w:val="0033456d"/>
    <w:rPr>
      <w:caps/>
      <w:color w:val="C0320D" w:themeColor="accent1" w:themeShade="bf"/>
      <w:spacing w:val="10"/>
    </w:rPr>
  </w:style>
  <w:style w:type="character" w:styleId="Nagwek8Znak" w:customStyle="1">
    <w:name w:val="Nagłówek 8 Znak"/>
    <w:basedOn w:val="DefaultParagraphFont"/>
    <w:link w:val="Nagwek8"/>
    <w:uiPriority w:val="9"/>
    <w:semiHidden/>
    <w:qFormat/>
    <w:rsid w:val="0033456d"/>
    <w:rPr>
      <w:caps/>
      <w:spacing w:val="10"/>
      <w:sz w:val="18"/>
      <w:szCs w:val="18"/>
    </w:rPr>
  </w:style>
  <w:style w:type="character" w:styleId="Nagwek9Znak" w:customStyle="1">
    <w:name w:val="Nagłówek 9 Znak"/>
    <w:basedOn w:val="DefaultParagraphFont"/>
    <w:link w:val="Nagwek9"/>
    <w:uiPriority w:val="9"/>
    <w:qFormat/>
    <w:rsid w:val="0033456d"/>
    <w:rPr>
      <w:i/>
      <w:iCs/>
      <w:caps/>
      <w:spacing w:val="10"/>
      <w:sz w:val="18"/>
      <w:szCs w:val="18"/>
    </w:rPr>
  </w:style>
  <w:style w:type="character" w:styleId="NagwekZnak" w:customStyle="1">
    <w:name w:val="Nagłówek Znak"/>
    <w:basedOn w:val="DefaultParagraphFont"/>
    <w:link w:val="Nagwek"/>
    <w:qFormat/>
    <w:rsid w:val="00350c1a"/>
    <w:rPr/>
  </w:style>
  <w:style w:type="character" w:styleId="StopkaZnak" w:customStyle="1">
    <w:name w:val="Stopka Znak"/>
    <w:basedOn w:val="DefaultParagraphFont"/>
    <w:link w:val="Stopka"/>
    <w:uiPriority w:val="99"/>
    <w:qFormat/>
    <w:rsid w:val="00350c1a"/>
    <w:rPr/>
  </w:style>
  <w:style w:type="character" w:styleId="Internetlink" w:customStyle="1">
    <w:name w:val="Internet link"/>
    <w:qFormat/>
    <w:rsid w:val="00350c1a"/>
    <w:rPr>
      <w:rFonts w:cs="Times New Roman"/>
      <w:color w:val="0000FF"/>
      <w:u w:val="single"/>
    </w:rPr>
  </w:style>
  <w:style w:type="character" w:styleId="TytuZnak" w:customStyle="1">
    <w:name w:val="Tytuł Znak"/>
    <w:basedOn w:val="DefaultParagraphFont"/>
    <w:link w:val="Tytu"/>
    <w:uiPriority w:val="10"/>
    <w:qFormat/>
    <w:rsid w:val="0033456d"/>
    <w:rPr>
      <w:rFonts w:ascii="Segoe UI Semibold" w:hAnsi="Segoe UI Semibold" w:eastAsia="" w:cs="" w:asciiTheme="majorHAnsi" w:cstheme="majorBidi" w:eastAsiaTheme="majorEastAsia" w:hAnsiTheme="majorHAnsi"/>
      <w:caps/>
      <w:color w:val="F04E23" w:themeColor="accent1"/>
      <w:spacing w:val="10"/>
      <w:sz w:val="52"/>
      <w:szCs w:val="52"/>
    </w:rPr>
  </w:style>
  <w:style w:type="character" w:styleId="PodtytuZnak" w:customStyle="1">
    <w:name w:val="Podtytuł Znak"/>
    <w:basedOn w:val="DefaultParagraphFont"/>
    <w:link w:val="Podtytu"/>
    <w:uiPriority w:val="11"/>
    <w:qFormat/>
    <w:rsid w:val="0033456d"/>
    <w:rPr>
      <w:caps/>
      <w:color w:val="595959" w:themeColor="text1" w:themeTint="a6"/>
      <w:spacing w:val="10"/>
      <w:sz w:val="21"/>
      <w:szCs w:val="21"/>
    </w:rPr>
  </w:style>
  <w:style w:type="character" w:styleId="Strong">
    <w:name w:val="Strong"/>
    <w:uiPriority w:val="22"/>
    <w:qFormat/>
    <w:rsid w:val="00b4335c"/>
    <w:rPr>
      <w:rFonts w:ascii="Segoe UI Semibold" w:hAnsi="Segoe UI Semibold" w:asciiTheme="majorHAnsi" w:hAnsiTheme="majorHAnsi"/>
      <w:b w:val="false"/>
      <w:bCs/>
    </w:rPr>
  </w:style>
  <w:style w:type="character" w:styleId="Wyrnienie">
    <w:name w:val="Wyróżnienie"/>
    <w:uiPriority w:val="20"/>
    <w:qFormat/>
    <w:rsid w:val="0033456d"/>
    <w:rPr>
      <w:caps/>
      <w:color w:val="7F2108" w:themeColor="accent1" w:themeShade="7f"/>
      <w:spacing w:val="5"/>
    </w:rPr>
  </w:style>
  <w:style w:type="character" w:styleId="CytatZnak" w:customStyle="1">
    <w:name w:val="Cytat Znak"/>
    <w:basedOn w:val="DefaultParagraphFont"/>
    <w:link w:val="Cytat"/>
    <w:uiPriority w:val="29"/>
    <w:qFormat/>
    <w:rsid w:val="00ec0b3a"/>
    <w:rPr>
      <w:i/>
      <w:iCs/>
      <w:sz w:val="16"/>
      <w:szCs w:val="24"/>
    </w:rPr>
  </w:style>
  <w:style w:type="character" w:styleId="CytatintensywnyZnak" w:customStyle="1">
    <w:name w:val="Cytat intensywny Znak"/>
    <w:basedOn w:val="DefaultParagraphFont"/>
    <w:link w:val="Cytatintensywny"/>
    <w:uiPriority w:val="30"/>
    <w:qFormat/>
    <w:rsid w:val="0033456d"/>
    <w:rPr>
      <w:color w:val="F04E23" w:themeColor="accent1"/>
      <w:sz w:val="24"/>
      <w:szCs w:val="24"/>
    </w:rPr>
  </w:style>
  <w:style w:type="character" w:styleId="SubtleEmphasis">
    <w:name w:val="Subtle Emphasis"/>
    <w:uiPriority w:val="19"/>
    <w:qFormat/>
    <w:rsid w:val="0033456d"/>
    <w:rPr>
      <w:i/>
      <w:iCs/>
      <w:color w:val="7F2108" w:themeColor="accent1" w:themeShade="7f"/>
    </w:rPr>
  </w:style>
  <w:style w:type="character" w:styleId="IntenseEmphasis">
    <w:name w:val="Intense Emphasis"/>
    <w:uiPriority w:val="21"/>
    <w:qFormat/>
    <w:rsid w:val="0033456d"/>
    <w:rPr>
      <w:b/>
      <w:bCs/>
      <w:caps/>
      <w:color w:val="7F2108" w:themeColor="accent1" w:themeShade="7f"/>
      <w:spacing w:val="10"/>
    </w:rPr>
  </w:style>
  <w:style w:type="character" w:styleId="SubtleReference">
    <w:name w:val="Subtle Reference"/>
    <w:uiPriority w:val="31"/>
    <w:qFormat/>
    <w:rsid w:val="0033456d"/>
    <w:rPr>
      <w:b/>
      <w:bCs/>
      <w:color w:val="F04E23" w:themeColor="accent1"/>
    </w:rPr>
  </w:style>
  <w:style w:type="character" w:styleId="IntenseReference">
    <w:name w:val="Intense Reference"/>
    <w:uiPriority w:val="32"/>
    <w:qFormat/>
    <w:rsid w:val="0033456d"/>
    <w:rPr>
      <w:b/>
      <w:bCs/>
      <w:i/>
      <w:iCs/>
      <w:caps/>
      <w:color w:val="F04E23" w:themeColor="accent1"/>
    </w:rPr>
  </w:style>
  <w:style w:type="character" w:styleId="BookTitle">
    <w:name w:val="Book Title"/>
    <w:uiPriority w:val="33"/>
    <w:qFormat/>
    <w:rsid w:val="0033456d"/>
    <w:rPr>
      <w:b/>
      <w:bCs/>
      <w:i/>
      <w:iCs/>
      <w:spacing w:val="0"/>
    </w:rPr>
  </w:style>
  <w:style w:type="character" w:styleId="Czeinternetowe">
    <w:name w:val="Łącze internetowe"/>
    <w:basedOn w:val="DefaultParagraphFont"/>
    <w:uiPriority w:val="99"/>
    <w:unhideWhenUsed/>
    <w:rsid w:val="001d3b93"/>
    <w:rPr>
      <w:color w:val="F04E23" w:themeColor="hyperlink"/>
      <w:u w:val="single"/>
    </w:rPr>
  </w:style>
  <w:style w:type="character" w:styleId="Annotationreference">
    <w:name w:val="annotation reference"/>
    <w:basedOn w:val="DefaultParagraphFont"/>
    <w:uiPriority w:val="99"/>
    <w:semiHidden/>
    <w:unhideWhenUsed/>
    <w:qFormat/>
    <w:rsid w:val="00085646"/>
    <w:rPr>
      <w:sz w:val="16"/>
      <w:szCs w:val="16"/>
    </w:rPr>
  </w:style>
  <w:style w:type="character" w:styleId="TekstkomentarzaZnak" w:customStyle="1">
    <w:name w:val="Tekst komentarza Znak"/>
    <w:basedOn w:val="DefaultParagraphFont"/>
    <w:link w:val="Tekstkomentarza"/>
    <w:uiPriority w:val="99"/>
    <w:qFormat/>
    <w:rsid w:val="00085646"/>
    <w:rPr/>
  </w:style>
  <w:style w:type="character" w:styleId="TematkomentarzaZnak" w:customStyle="1">
    <w:name w:val="Temat komentarza Znak"/>
    <w:basedOn w:val="TekstkomentarzaZnak"/>
    <w:link w:val="Tematkomentarza"/>
    <w:uiPriority w:val="99"/>
    <w:semiHidden/>
    <w:qFormat/>
    <w:rsid w:val="00085646"/>
    <w:rPr>
      <w:b/>
      <w:bCs/>
    </w:rPr>
  </w:style>
  <w:style w:type="character" w:styleId="TekstdymkaZnak" w:customStyle="1">
    <w:name w:val="Tekst dymka Znak"/>
    <w:basedOn w:val="DefaultParagraphFont"/>
    <w:link w:val="Tekstdymka"/>
    <w:uiPriority w:val="99"/>
    <w:semiHidden/>
    <w:qFormat/>
    <w:rsid w:val="00085646"/>
    <w:rPr>
      <w:rFonts w:ascii="Segoe UI" w:hAnsi="Segoe UI" w:cs="Segoe UI"/>
      <w:sz w:val="18"/>
      <w:szCs w:val="18"/>
    </w:rPr>
  </w:style>
  <w:style w:type="character" w:styleId="TekstpodstawowywcityZnak" w:customStyle="1">
    <w:name w:val="Tekst podstawowy wcięty Znak"/>
    <w:basedOn w:val="DefaultParagraphFont"/>
    <w:link w:val="Tekstpodstawowywcity"/>
    <w:semiHidden/>
    <w:qFormat/>
    <w:rsid w:val="00a9491d"/>
    <w:rPr>
      <w:rFonts w:ascii="Times New Roman" w:hAnsi="Times New Roman" w:eastAsia="Times New Roman" w:cs="Times New Roman"/>
      <w:sz w:val="28"/>
      <w:szCs w:val="24"/>
      <w:lang w:eastAsia="pl-PL"/>
    </w:rPr>
  </w:style>
  <w:style w:type="character" w:styleId="Teksttreci" w:customStyle="1">
    <w:name w:val="Tekst treści_"/>
    <w:basedOn w:val="DefaultParagraphFont"/>
    <w:link w:val="Teksttreci1"/>
    <w:uiPriority w:val="99"/>
    <w:qFormat/>
    <w:locked/>
    <w:rsid w:val="00a9491d"/>
    <w:rPr>
      <w:rFonts w:ascii="Arial" w:hAnsi="Arial" w:cs="Arial"/>
      <w:sz w:val="19"/>
      <w:szCs w:val="19"/>
      <w:shd w:fill="FFFFFF" w:val="clear"/>
    </w:rPr>
  </w:style>
  <w:style w:type="character" w:styleId="Gwp7f698008size" w:customStyle="1">
    <w:name w:val="gwp7f698008_size"/>
    <w:basedOn w:val="DefaultParagraphFont"/>
    <w:qFormat/>
    <w:rsid w:val="00a9491d"/>
    <w:rPr/>
  </w:style>
  <w:style w:type="character" w:styleId="Nierozpoznanawzmianka1" w:customStyle="1">
    <w:name w:val="Nierozpoznana wzmianka1"/>
    <w:basedOn w:val="DefaultParagraphFont"/>
    <w:uiPriority w:val="99"/>
    <w:semiHidden/>
    <w:unhideWhenUsed/>
    <w:qFormat/>
    <w:rsid w:val="004d752c"/>
    <w:rPr>
      <w:color w:val="808080"/>
      <w:shd w:fill="E6E6E6" w:val="clear"/>
    </w:rPr>
  </w:style>
  <w:style w:type="character" w:styleId="Nierozpoznanawzmianka2" w:customStyle="1">
    <w:name w:val="Nierozpoznana wzmianka2"/>
    <w:basedOn w:val="DefaultParagraphFont"/>
    <w:uiPriority w:val="99"/>
    <w:semiHidden/>
    <w:unhideWhenUsed/>
    <w:qFormat/>
    <w:rsid w:val="00280c4f"/>
    <w:rPr>
      <w:color w:val="808080"/>
      <w:shd w:fill="E6E6E6" w:val="clear"/>
    </w:rPr>
  </w:style>
  <w:style w:type="character" w:styleId="Nierozpoznanawzmianka3" w:customStyle="1">
    <w:name w:val="Nierozpoznana wzmianka3"/>
    <w:basedOn w:val="DefaultParagraphFont"/>
    <w:uiPriority w:val="99"/>
    <w:semiHidden/>
    <w:unhideWhenUsed/>
    <w:qFormat/>
    <w:rsid w:val="00020149"/>
    <w:rPr>
      <w:color w:val="808080"/>
      <w:shd w:fill="E6E6E6" w:val="clear"/>
    </w:rPr>
  </w:style>
  <w:style w:type="character" w:styleId="Nierozpoznanawzmianka4" w:customStyle="1">
    <w:name w:val="Nierozpoznana wzmianka4"/>
    <w:basedOn w:val="DefaultParagraphFont"/>
    <w:uiPriority w:val="99"/>
    <w:semiHidden/>
    <w:unhideWhenUsed/>
    <w:qFormat/>
    <w:rsid w:val="00b256e0"/>
    <w:rPr>
      <w:color w:val="808080"/>
      <w:shd w:fill="E6E6E6" w:val="clear"/>
    </w:rPr>
  </w:style>
  <w:style w:type="character" w:styleId="TekstpodstawowyZnak" w:customStyle="1">
    <w:name w:val="Tekst podstawowy Znak"/>
    <w:basedOn w:val="DefaultParagraphFont"/>
    <w:link w:val="Tekstpodstawowy"/>
    <w:uiPriority w:val="99"/>
    <w:qFormat/>
    <w:rsid w:val="00503f3c"/>
    <w:rPr/>
  </w:style>
  <w:style w:type="character" w:styleId="Tekstpodstawowyzwciciem2Znak" w:customStyle="1">
    <w:name w:val="Tekst podstawowy z wcięciem 2 Znak"/>
    <w:basedOn w:val="TekstpodstawowywcityZnak"/>
    <w:link w:val="Tekstpodstawowyzwciciem2"/>
    <w:uiPriority w:val="99"/>
    <w:qFormat/>
    <w:rsid w:val="00503f3c"/>
    <w:rPr>
      <w:rFonts w:ascii="Times New Roman" w:hAnsi="Times New Roman" w:eastAsia="Times New Roman" w:cs="Times New Roman"/>
      <w:sz w:val="28"/>
      <w:szCs w:val="24"/>
      <w:lang w:eastAsia="pl-PL"/>
    </w:rPr>
  </w:style>
  <w:style w:type="character" w:styleId="TekstprzypisukocowegoZnak" w:customStyle="1">
    <w:name w:val="Tekst przypisu końcowego Znak"/>
    <w:basedOn w:val="DefaultParagraphFont"/>
    <w:link w:val="Tekstprzypisukocowego"/>
    <w:uiPriority w:val="99"/>
    <w:semiHidden/>
    <w:qFormat/>
    <w:rsid w:val="004e29d5"/>
    <w:rPr/>
  </w:style>
  <w:style w:type="character" w:styleId="Endnotereference">
    <w:name w:val="endnote reference"/>
    <w:basedOn w:val="DefaultParagraphFont"/>
    <w:uiPriority w:val="99"/>
    <w:semiHidden/>
    <w:unhideWhenUsed/>
    <w:qFormat/>
    <w:rsid w:val="004e29d5"/>
    <w:rPr>
      <w:vertAlign w:val="superscript"/>
    </w:rPr>
  </w:style>
  <w:style w:type="character" w:styleId="UnresolvedMention">
    <w:name w:val="Unresolved Mention"/>
    <w:basedOn w:val="DefaultParagraphFont"/>
    <w:uiPriority w:val="99"/>
    <w:semiHidden/>
    <w:unhideWhenUsed/>
    <w:qFormat/>
    <w:rsid w:val="00394014"/>
    <w:rPr>
      <w:color w:val="605E5C"/>
      <w:shd w:fill="E1DFDD" w:val="clear"/>
    </w:rPr>
  </w:style>
  <w:style w:type="character" w:styleId="ListLabel1">
    <w:name w:val="ListLabel 1"/>
    <w:qFormat/>
    <w:rPr>
      <w:rFonts w:eastAsia="Times New Roman" w:cs="Times New Roman"/>
      <w:b w:val="false"/>
      <w:bCs w:val="false"/>
      <w:i w:val="false"/>
      <w:iCs w:val="false"/>
      <w:caps w:val="false"/>
      <w:smallCaps w:val="false"/>
      <w:strike w:val="false"/>
      <w:dstrike w:val="false"/>
      <w:vanish w:val="false"/>
      <w:color w:val="000000"/>
      <w:spacing w:val="0"/>
      <w:position w:val="0"/>
      <w:sz w:val="20"/>
      <w:sz w:val="20"/>
      <w:u w:val="none"/>
      <w:effect w:val="none"/>
      <w:vertAlign w:val="baseline"/>
      <w:em w:val="none"/>
      <w:lang w:val="pl-PL"/>
    </w:rPr>
  </w:style>
  <w:style w:type="character" w:styleId="ListLabel2">
    <w:name w:val="ListLabel 2"/>
    <w:qFormat/>
    <w:rPr>
      <w:rFonts w:cs="Times New Roman"/>
      <w:b w:val="false"/>
      <w:bCs w:val="false"/>
      <w:i w:val="false"/>
      <w:iCs w:val="false"/>
      <w:caps w:val="false"/>
      <w:smallCaps w:val="false"/>
      <w:strike w:val="false"/>
      <w:dstrike w:val="false"/>
      <w:vanish w:val="false"/>
      <w:color w:val="000000"/>
      <w:spacing w:val="0"/>
      <w:position w:val="0"/>
      <w:sz w:val="20"/>
      <w:sz w:val="20"/>
      <w:u w:val="none"/>
      <w:effect w:val="none"/>
      <w:vertAlign w:val="baseline"/>
      <w:em w:val="none"/>
      <w:lang w:val="pl-PL"/>
    </w:rPr>
  </w:style>
  <w:style w:type="character" w:styleId="ListLabel3">
    <w:name w:val="ListLabel 3"/>
    <w:qFormat/>
    <w:rPr>
      <w:rFonts w:cs="Times New Roman"/>
      <w:b w:val="false"/>
      <w:bCs w:val="false"/>
      <w:i w:val="false"/>
      <w:iCs w:val="false"/>
      <w:caps w:val="false"/>
      <w:smallCaps w:val="false"/>
      <w:strike w:val="false"/>
      <w:dstrike w:val="false"/>
      <w:vanish w:val="false"/>
      <w:color w:val="000000"/>
      <w:spacing w:val="0"/>
      <w:position w:val="0"/>
      <w:sz w:val="20"/>
      <w:sz w:val="20"/>
      <w:u w:val="none"/>
      <w:effect w:val="none"/>
      <w:vertAlign w:val="baseline"/>
      <w:em w:val="none"/>
    </w:rPr>
  </w:style>
  <w:style w:type="character" w:styleId="ListLabel4">
    <w:name w:val="ListLabel 4"/>
    <w:qFormat/>
    <w:rPr>
      <w:rFonts w:cs="Courier New"/>
    </w:rPr>
  </w:style>
  <w:style w:type="character" w:styleId="ListLabel5">
    <w:name w:val="ListLabel 5"/>
    <w:qFormat/>
    <w:rPr>
      <w:rFonts w:cs="Courier New"/>
    </w:rPr>
  </w:style>
  <w:style w:type="character" w:styleId="ListLabel6">
    <w:name w:val="ListLabel 6"/>
    <w:qFormat/>
    <w:rPr>
      <w:rFonts w:cs="Courier New"/>
    </w:rPr>
  </w:style>
  <w:style w:type="character" w:styleId="ListLabel7">
    <w:name w:val="ListLabel 7"/>
    <w:qFormat/>
    <w:rPr>
      <w:rFonts w:cs="Courier New"/>
    </w:rPr>
  </w:style>
  <w:style w:type="character" w:styleId="ListLabel8">
    <w:name w:val="ListLabel 8"/>
    <w:qFormat/>
    <w:rPr>
      <w:rFonts w:cs="Courier New"/>
    </w:rPr>
  </w:style>
  <w:style w:type="character" w:styleId="ListLabel9">
    <w:name w:val="ListLabel 9"/>
    <w:qFormat/>
    <w:rPr>
      <w:rFonts w:cs="Courier New"/>
    </w:rPr>
  </w:style>
  <w:style w:type="character" w:styleId="ListLabel10">
    <w:name w:val="ListLabel 10"/>
    <w:qFormat/>
    <w:rPr>
      <w:rFonts w:cs="Courier New"/>
    </w:rPr>
  </w:style>
  <w:style w:type="character" w:styleId="ListLabel11">
    <w:name w:val="ListLabel 11"/>
    <w:qFormat/>
    <w:rPr>
      <w:rFonts w:cs="Courier New"/>
    </w:rPr>
  </w:style>
  <w:style w:type="character" w:styleId="ListLabel12">
    <w:name w:val="ListLabel 12"/>
    <w:qFormat/>
    <w:rPr>
      <w:rFonts w:cs="Courier New"/>
    </w:rPr>
  </w:style>
  <w:style w:type="character" w:styleId="ListLabel13">
    <w:name w:val="ListLabel 13"/>
    <w:qFormat/>
    <w:rPr>
      <w:rFonts w:cs="Courier New"/>
    </w:rPr>
  </w:style>
  <w:style w:type="character" w:styleId="ListLabel14">
    <w:name w:val="ListLabel 14"/>
    <w:qFormat/>
    <w:rPr>
      <w:rFonts w:cs="Courier New"/>
    </w:rPr>
  </w:style>
  <w:style w:type="character" w:styleId="ListLabel15">
    <w:name w:val="ListLabel 15"/>
    <w:qFormat/>
    <w:rPr>
      <w:rFonts w:cs="Courier New"/>
    </w:rPr>
  </w:style>
  <w:style w:type="character" w:styleId="ListLabel16">
    <w:name w:val="ListLabel 16"/>
    <w:qFormat/>
    <w:rPr>
      <w:rFonts w:cs="Courier New"/>
    </w:rPr>
  </w:style>
  <w:style w:type="character" w:styleId="ListLabel17">
    <w:name w:val="ListLabel 17"/>
    <w:qFormat/>
    <w:rPr>
      <w:rFonts w:cs="Courier New"/>
    </w:rPr>
  </w:style>
  <w:style w:type="character" w:styleId="ListLabel18">
    <w:name w:val="ListLabel 18"/>
    <w:qFormat/>
    <w:rPr>
      <w:rFonts w:cs="Courier New"/>
    </w:rPr>
  </w:style>
  <w:style w:type="character" w:styleId="ListLabel19">
    <w:name w:val="ListLabel 19"/>
    <w:qFormat/>
    <w:rPr>
      <w:rFonts w:cs="Courier New"/>
    </w:rPr>
  </w:style>
  <w:style w:type="character" w:styleId="ListLabel20">
    <w:name w:val="ListLabel 20"/>
    <w:qFormat/>
    <w:rPr>
      <w:rFonts w:cs="Courier New"/>
    </w:rPr>
  </w:style>
  <w:style w:type="character" w:styleId="ListLabel21">
    <w:name w:val="ListLabel 21"/>
    <w:qFormat/>
    <w:rPr>
      <w:rFonts w:cs="Courier New"/>
    </w:rPr>
  </w:style>
  <w:style w:type="character" w:styleId="ListLabel22">
    <w:name w:val="ListLabel 22"/>
    <w:qFormat/>
    <w:rPr>
      <w:rFonts w:cs="Courier New"/>
    </w:rPr>
  </w:style>
  <w:style w:type="character" w:styleId="ListLabel23">
    <w:name w:val="ListLabel 23"/>
    <w:qFormat/>
    <w:rPr>
      <w:rFonts w:cs="Courier New"/>
    </w:rPr>
  </w:style>
  <w:style w:type="character" w:styleId="ListLabel24">
    <w:name w:val="ListLabel 24"/>
    <w:qFormat/>
    <w:rPr>
      <w:rFonts w:cs="Courier New"/>
    </w:rPr>
  </w:style>
  <w:style w:type="character" w:styleId="ListLabel25">
    <w:name w:val="ListLabel 25"/>
    <w:qFormat/>
    <w:rPr>
      <w:rFonts w:cs="Courier New"/>
    </w:rPr>
  </w:style>
  <w:style w:type="character" w:styleId="ListLabel26">
    <w:name w:val="ListLabel 26"/>
    <w:qFormat/>
    <w:rPr>
      <w:rFonts w:cs="Courier New"/>
    </w:rPr>
  </w:style>
  <w:style w:type="character" w:styleId="ListLabel27">
    <w:name w:val="ListLabel 27"/>
    <w:qFormat/>
    <w:rPr>
      <w:rFonts w:cs="Courier New"/>
    </w:rPr>
  </w:style>
  <w:style w:type="character" w:styleId="ListLabel28">
    <w:name w:val="ListLabel 28"/>
    <w:qFormat/>
    <w:rPr>
      <w:rFonts w:cs="Courier New"/>
    </w:rPr>
  </w:style>
  <w:style w:type="character" w:styleId="ListLabel29">
    <w:name w:val="ListLabel 29"/>
    <w:qFormat/>
    <w:rPr>
      <w:rFonts w:cs="Courier New"/>
    </w:rPr>
  </w:style>
  <w:style w:type="character" w:styleId="ListLabel30">
    <w:name w:val="ListLabel 30"/>
    <w:qFormat/>
    <w:rPr>
      <w:rFonts w:cs="Courier New"/>
    </w:rPr>
  </w:style>
  <w:style w:type="character" w:styleId="ListLabel31">
    <w:name w:val="ListLabel 31"/>
    <w:qFormat/>
    <w:rPr>
      <w:rFonts w:cs="Courier New"/>
    </w:rPr>
  </w:style>
  <w:style w:type="character" w:styleId="ListLabel32">
    <w:name w:val="ListLabel 32"/>
    <w:qFormat/>
    <w:rPr>
      <w:rFonts w:cs="Courier New"/>
    </w:rPr>
  </w:style>
  <w:style w:type="character" w:styleId="ListLabel33">
    <w:name w:val="ListLabel 33"/>
    <w:qFormat/>
    <w:rPr>
      <w:rFonts w:cs="Courier New"/>
    </w:rPr>
  </w:style>
  <w:style w:type="character" w:styleId="ListLabel34">
    <w:name w:val="ListLabel 34"/>
    <w:qFormat/>
    <w:rPr>
      <w:rFonts w:cs="Courier New"/>
    </w:rPr>
  </w:style>
  <w:style w:type="character" w:styleId="ListLabel35">
    <w:name w:val="ListLabel 35"/>
    <w:qFormat/>
    <w:rPr>
      <w:rFonts w:cs="Courier New"/>
    </w:rPr>
  </w:style>
  <w:style w:type="character" w:styleId="ListLabel36">
    <w:name w:val="ListLabel 36"/>
    <w:qFormat/>
    <w:rPr>
      <w:rFonts w:cs="Courier New"/>
    </w:rPr>
  </w:style>
  <w:style w:type="character" w:styleId="ListLabel37">
    <w:name w:val="ListLabel 37"/>
    <w:qFormat/>
    <w:rPr>
      <w:rFonts w:cs="Courier New"/>
    </w:rPr>
  </w:style>
  <w:style w:type="character" w:styleId="ListLabel38">
    <w:name w:val="ListLabel 38"/>
    <w:qFormat/>
    <w:rPr>
      <w:rFonts w:cs="Courier New"/>
    </w:rPr>
  </w:style>
  <w:style w:type="character" w:styleId="ListLabel39">
    <w:name w:val="ListLabel 39"/>
    <w:qFormat/>
    <w:rPr>
      <w:rFonts w:cs="Courier New"/>
    </w:rPr>
  </w:style>
  <w:style w:type="character" w:styleId="ListLabel40">
    <w:name w:val="ListLabel 40"/>
    <w:qFormat/>
    <w:rPr>
      <w:rFonts w:cs="Courier New"/>
    </w:rPr>
  </w:style>
  <w:style w:type="character" w:styleId="ListLabel41">
    <w:name w:val="ListLabel 41"/>
    <w:qFormat/>
    <w:rPr>
      <w:rFonts w:cs="Courier New"/>
    </w:rPr>
  </w:style>
  <w:style w:type="character" w:styleId="ListLabel42">
    <w:name w:val="ListLabel 42"/>
    <w:qFormat/>
    <w:rPr>
      <w:rFonts w:cs="Courier New"/>
    </w:rPr>
  </w:style>
  <w:style w:type="character" w:styleId="ListLabel43">
    <w:name w:val="ListLabel 43"/>
    <w:qFormat/>
    <w:rPr>
      <w:rFonts w:cs="Courier New"/>
    </w:rPr>
  </w:style>
  <w:style w:type="character" w:styleId="ListLabel44">
    <w:name w:val="ListLabel 44"/>
    <w:qFormat/>
    <w:rPr>
      <w:rFonts w:cs="Courier New"/>
    </w:rPr>
  </w:style>
  <w:style w:type="character" w:styleId="ListLabel45">
    <w:name w:val="ListLabel 45"/>
    <w:qFormat/>
    <w:rPr>
      <w:rFonts w:cs="Courier New"/>
    </w:rPr>
  </w:style>
  <w:style w:type="character" w:styleId="ListLabel46">
    <w:name w:val="ListLabel 46"/>
    <w:qFormat/>
    <w:rPr>
      <w:rFonts w:cs="Courier New"/>
    </w:rPr>
  </w:style>
  <w:style w:type="character" w:styleId="ListLabel47">
    <w:name w:val="ListLabel 47"/>
    <w:qFormat/>
    <w:rPr>
      <w:rFonts w:cs="Courier New"/>
    </w:rPr>
  </w:style>
  <w:style w:type="character" w:styleId="ListLabel48">
    <w:name w:val="ListLabel 48"/>
    <w:qFormat/>
    <w:rPr>
      <w:sz w:val="24"/>
      <w:szCs w:val="24"/>
    </w:rPr>
  </w:style>
  <w:style w:type="character" w:styleId="ListLabel49">
    <w:name w:val="ListLabel 49"/>
    <w:qFormat/>
    <w:rPr>
      <w:rFonts w:cs="Courier New"/>
    </w:rPr>
  </w:style>
  <w:style w:type="character" w:styleId="ListLabel50">
    <w:name w:val="ListLabel 50"/>
    <w:qFormat/>
    <w:rPr>
      <w:rFonts w:cs="Courier New"/>
    </w:rPr>
  </w:style>
  <w:style w:type="character" w:styleId="ListLabel51">
    <w:name w:val="ListLabel 51"/>
    <w:qFormat/>
    <w:rPr>
      <w:rFonts w:cs="Courier New"/>
    </w:rPr>
  </w:style>
  <w:style w:type="character" w:styleId="ListLabel52">
    <w:name w:val="ListLabel 52"/>
    <w:qFormat/>
    <w:rPr>
      <w:rFonts w:cs="Courier New"/>
    </w:rPr>
  </w:style>
  <w:style w:type="character" w:styleId="ListLabel53">
    <w:name w:val="ListLabel 53"/>
    <w:qFormat/>
    <w:rPr>
      <w:rFonts w:cs="Courier New"/>
    </w:rPr>
  </w:style>
  <w:style w:type="character" w:styleId="ListLabel54">
    <w:name w:val="ListLabel 54"/>
    <w:qFormat/>
    <w:rPr>
      <w:rFonts w:cs="Courier New"/>
    </w:rPr>
  </w:style>
  <w:style w:type="character" w:styleId="ListLabel55">
    <w:name w:val="ListLabel 55"/>
    <w:qFormat/>
    <w:rPr>
      <w:rFonts w:cs="Courier New"/>
    </w:rPr>
  </w:style>
  <w:style w:type="character" w:styleId="ListLabel56">
    <w:name w:val="ListLabel 56"/>
    <w:qFormat/>
    <w:rPr>
      <w:rFonts w:cs="Courier New"/>
    </w:rPr>
  </w:style>
  <w:style w:type="character" w:styleId="ListLabel57">
    <w:name w:val="ListLabel 57"/>
    <w:qFormat/>
    <w:rPr>
      <w:rFonts w:cs="Courier New"/>
    </w:rPr>
  </w:style>
  <w:style w:type="character" w:styleId="ListLabel58">
    <w:name w:val="ListLabel 58"/>
    <w:qFormat/>
    <w:rPr>
      <w:rFonts w:cs="Courier New"/>
    </w:rPr>
  </w:style>
  <w:style w:type="character" w:styleId="ListLabel59">
    <w:name w:val="ListLabel 59"/>
    <w:qFormat/>
    <w:rPr>
      <w:rFonts w:cs="Courier New"/>
    </w:rPr>
  </w:style>
  <w:style w:type="character" w:styleId="ListLabel60">
    <w:name w:val="ListLabel 60"/>
    <w:qFormat/>
    <w:rPr>
      <w:rFonts w:cs="Courier New"/>
    </w:rPr>
  </w:style>
  <w:style w:type="character" w:styleId="ListLabel61">
    <w:name w:val="ListLabel 61"/>
    <w:qFormat/>
    <w:rPr>
      <w:rFonts w:cs="Courier New"/>
    </w:rPr>
  </w:style>
  <w:style w:type="character" w:styleId="ListLabel62">
    <w:name w:val="ListLabel 62"/>
    <w:qFormat/>
    <w:rPr>
      <w:rFonts w:cs="Courier New"/>
    </w:rPr>
  </w:style>
  <w:style w:type="character" w:styleId="ListLabel63">
    <w:name w:val="ListLabel 63"/>
    <w:qFormat/>
    <w:rPr>
      <w:rFonts w:cs="Courier New"/>
    </w:rPr>
  </w:style>
  <w:style w:type="character" w:styleId="ListLabel64">
    <w:name w:val="ListLabel 64"/>
    <w:qFormat/>
    <w:rPr>
      <w:rFonts w:cs="Courier New"/>
    </w:rPr>
  </w:style>
  <w:style w:type="character" w:styleId="ListLabel65">
    <w:name w:val="ListLabel 65"/>
    <w:qFormat/>
    <w:rPr>
      <w:rFonts w:cs="Courier New"/>
    </w:rPr>
  </w:style>
  <w:style w:type="character" w:styleId="ListLabel66">
    <w:name w:val="ListLabel 66"/>
    <w:qFormat/>
    <w:rPr>
      <w:rFonts w:cs="Courier New"/>
    </w:rPr>
  </w:style>
  <w:style w:type="character" w:styleId="ListLabel67">
    <w:name w:val="ListLabel 67"/>
    <w:qFormat/>
    <w:rPr>
      <w:rFonts w:cs="Courier New"/>
    </w:rPr>
  </w:style>
  <w:style w:type="character" w:styleId="ListLabel68">
    <w:name w:val="ListLabel 68"/>
    <w:qFormat/>
    <w:rPr>
      <w:rFonts w:cs="Courier New"/>
    </w:rPr>
  </w:style>
  <w:style w:type="character" w:styleId="ListLabel69">
    <w:name w:val="ListLabel 69"/>
    <w:qFormat/>
    <w:rPr>
      <w:rFonts w:cs="Courier New"/>
    </w:rPr>
  </w:style>
  <w:style w:type="character" w:styleId="ListLabel70">
    <w:name w:val="ListLabel 70"/>
    <w:qFormat/>
    <w:rPr>
      <w:rFonts w:cs="Courier New"/>
    </w:rPr>
  </w:style>
  <w:style w:type="character" w:styleId="ListLabel71">
    <w:name w:val="ListLabel 71"/>
    <w:qFormat/>
    <w:rPr>
      <w:rFonts w:cs="Courier New"/>
    </w:rPr>
  </w:style>
  <w:style w:type="character" w:styleId="ListLabel72">
    <w:name w:val="ListLabel 72"/>
    <w:qFormat/>
    <w:rPr>
      <w:rFonts w:cs="Courier New"/>
    </w:rPr>
  </w:style>
  <w:style w:type="character" w:styleId="ListLabel73">
    <w:name w:val="ListLabel 73"/>
    <w:qFormat/>
    <w:rPr>
      <w:rFonts w:cs="Courier New"/>
    </w:rPr>
  </w:style>
  <w:style w:type="character" w:styleId="ListLabel74">
    <w:name w:val="ListLabel 74"/>
    <w:qFormat/>
    <w:rPr>
      <w:rFonts w:cs="Courier New"/>
    </w:rPr>
  </w:style>
  <w:style w:type="character" w:styleId="ListLabel75">
    <w:name w:val="ListLabel 75"/>
    <w:qFormat/>
    <w:rPr>
      <w:rFonts w:cs="Courier New"/>
    </w:rPr>
  </w:style>
  <w:style w:type="character" w:styleId="ListLabel76">
    <w:name w:val="ListLabel 76"/>
    <w:qFormat/>
    <w:rPr>
      <w:rFonts w:cs="Courier New"/>
    </w:rPr>
  </w:style>
  <w:style w:type="character" w:styleId="ListLabel77">
    <w:name w:val="ListLabel 77"/>
    <w:qFormat/>
    <w:rPr>
      <w:rFonts w:cs="Courier New"/>
    </w:rPr>
  </w:style>
  <w:style w:type="character" w:styleId="ListLabel78">
    <w:name w:val="ListLabel 78"/>
    <w:qFormat/>
    <w:rPr>
      <w:rFonts w:cs="Courier New"/>
    </w:rPr>
  </w:style>
  <w:style w:type="character" w:styleId="ListLabel79">
    <w:name w:val="ListLabel 79"/>
    <w:qFormat/>
    <w:rPr>
      <w:rFonts w:cs="Courier New"/>
    </w:rPr>
  </w:style>
  <w:style w:type="character" w:styleId="ListLabel80">
    <w:name w:val="ListLabel 80"/>
    <w:qFormat/>
    <w:rPr>
      <w:rFonts w:cs="Courier New"/>
    </w:rPr>
  </w:style>
  <w:style w:type="character" w:styleId="ListLabel81">
    <w:name w:val="ListLabel 81"/>
    <w:qFormat/>
    <w:rPr>
      <w:rFonts w:cs="Courier New"/>
    </w:rPr>
  </w:style>
  <w:style w:type="character" w:styleId="ListLabel82">
    <w:name w:val="ListLabel 82"/>
    <w:qFormat/>
    <w:rPr>
      <w:rFonts w:cs="Courier New"/>
    </w:rPr>
  </w:style>
  <w:style w:type="character" w:styleId="ListLabel83">
    <w:name w:val="ListLabel 83"/>
    <w:qFormat/>
    <w:rPr>
      <w:rFonts w:cs="Courier New"/>
    </w:rPr>
  </w:style>
  <w:style w:type="character" w:styleId="ListLabel84">
    <w:name w:val="ListLabel 84"/>
    <w:qFormat/>
    <w:rPr>
      <w:rFonts w:cs="Courier New"/>
    </w:rPr>
  </w:style>
  <w:style w:type="character" w:styleId="ListLabel85">
    <w:name w:val="ListLabel 85"/>
    <w:qFormat/>
    <w:rPr>
      <w:rFonts w:cs="Courier New"/>
    </w:rPr>
  </w:style>
  <w:style w:type="character" w:styleId="ListLabel86">
    <w:name w:val="ListLabel 86"/>
    <w:qFormat/>
    <w:rPr>
      <w:rFonts w:cs="Courier New"/>
    </w:rPr>
  </w:style>
  <w:style w:type="character" w:styleId="ListLabel87">
    <w:name w:val="ListLabel 87"/>
    <w:qFormat/>
    <w:rPr>
      <w:rFonts w:cs="Courier New"/>
    </w:rPr>
  </w:style>
  <w:style w:type="character" w:styleId="ListLabel88">
    <w:name w:val="ListLabel 88"/>
    <w:qFormat/>
    <w:rPr>
      <w:rFonts w:cs="Courier New"/>
    </w:rPr>
  </w:style>
  <w:style w:type="character" w:styleId="ListLabel89">
    <w:name w:val="ListLabel 89"/>
    <w:qFormat/>
    <w:rPr>
      <w:rFonts w:cs="Courier New"/>
    </w:rPr>
  </w:style>
  <w:style w:type="character" w:styleId="ListLabel90">
    <w:name w:val="ListLabel 90"/>
    <w:qFormat/>
    <w:rPr>
      <w:rFonts w:cs="Courier New"/>
    </w:rPr>
  </w:style>
  <w:style w:type="character" w:styleId="ListLabel91">
    <w:name w:val="ListLabel 91"/>
    <w:qFormat/>
    <w:rPr>
      <w:rFonts w:cs="Courier New"/>
    </w:rPr>
  </w:style>
  <w:style w:type="character" w:styleId="ListLabel92">
    <w:name w:val="ListLabel 92"/>
    <w:qFormat/>
    <w:rPr>
      <w:rFonts w:cs="Courier New"/>
    </w:rPr>
  </w:style>
  <w:style w:type="character" w:styleId="ListLabel93">
    <w:name w:val="ListLabel 93"/>
    <w:qFormat/>
    <w:rPr>
      <w:rFonts w:cs="Courier New"/>
    </w:rPr>
  </w:style>
  <w:style w:type="character" w:styleId="ListLabel94">
    <w:name w:val="ListLabel 94"/>
    <w:qFormat/>
    <w:rPr>
      <w:rFonts w:cs="Courier New"/>
    </w:rPr>
  </w:style>
  <w:style w:type="character" w:styleId="ListLabel95">
    <w:name w:val="ListLabel 95"/>
    <w:qFormat/>
    <w:rPr>
      <w:rFonts w:cs="Courier New"/>
    </w:rPr>
  </w:style>
  <w:style w:type="character" w:styleId="ListLabel96">
    <w:name w:val="ListLabel 96"/>
    <w:qFormat/>
    <w:rPr>
      <w:rFonts w:cs="Courier New"/>
    </w:rPr>
  </w:style>
  <w:style w:type="character" w:styleId="ListLabel97">
    <w:name w:val="ListLabel 97"/>
    <w:qFormat/>
    <w:rPr>
      <w:rFonts w:cs="Courier New"/>
    </w:rPr>
  </w:style>
  <w:style w:type="character" w:styleId="ListLabel98">
    <w:name w:val="ListLabel 98"/>
    <w:qFormat/>
    <w:rPr>
      <w:rFonts w:cs="Courier New"/>
    </w:rPr>
  </w:style>
  <w:style w:type="character" w:styleId="ListLabel99">
    <w:name w:val="ListLabel 99"/>
    <w:qFormat/>
    <w:rPr>
      <w:rFonts w:cs="Courier New"/>
    </w:rPr>
  </w:style>
  <w:style w:type="character" w:styleId="ListLabel100">
    <w:name w:val="ListLabel 100"/>
    <w:qFormat/>
    <w:rPr>
      <w:rFonts w:cs="Courier New"/>
    </w:rPr>
  </w:style>
  <w:style w:type="character" w:styleId="ListLabel101">
    <w:name w:val="ListLabel 101"/>
    <w:qFormat/>
    <w:rPr>
      <w:rFonts w:cs="Courier New"/>
    </w:rPr>
  </w:style>
  <w:style w:type="character" w:styleId="ListLabel102">
    <w:name w:val="ListLabel 102"/>
    <w:qFormat/>
    <w:rPr>
      <w:rFonts w:cs="Courier New"/>
    </w:rPr>
  </w:style>
  <w:style w:type="character" w:styleId="ListLabel103">
    <w:name w:val="ListLabel 103"/>
    <w:qFormat/>
    <w:rPr>
      <w:rFonts w:cs="Courier New"/>
    </w:rPr>
  </w:style>
  <w:style w:type="character" w:styleId="ListLabel104">
    <w:name w:val="ListLabel 104"/>
    <w:qFormat/>
    <w:rPr>
      <w:rFonts w:cs="Courier New"/>
    </w:rPr>
  </w:style>
  <w:style w:type="character" w:styleId="ListLabel105">
    <w:name w:val="ListLabel 105"/>
    <w:qFormat/>
    <w:rPr>
      <w:rFonts w:cs="Courier New"/>
    </w:rPr>
  </w:style>
  <w:style w:type="character" w:styleId="ListLabel106">
    <w:name w:val="ListLabel 106"/>
    <w:qFormat/>
    <w:rPr>
      <w:rFonts w:cs="Courier New"/>
    </w:rPr>
  </w:style>
  <w:style w:type="character" w:styleId="ListLabel107">
    <w:name w:val="ListLabel 107"/>
    <w:qFormat/>
    <w:rPr>
      <w:rFonts w:cs="Courier New"/>
    </w:rPr>
  </w:style>
  <w:style w:type="character" w:styleId="ListLabel108">
    <w:name w:val="ListLabel 108"/>
    <w:qFormat/>
    <w:rPr>
      <w:rFonts w:cs="Courier New"/>
    </w:rPr>
  </w:style>
  <w:style w:type="character" w:styleId="ListLabel109">
    <w:name w:val="ListLabel 109"/>
    <w:qFormat/>
    <w:rPr>
      <w:rFonts w:cs="Arial"/>
      <w:sz w:val="22"/>
      <w:szCs w:val="22"/>
    </w:rPr>
  </w:style>
  <w:style w:type="character" w:styleId="ListLabel110">
    <w:name w:val="ListLabel 110"/>
    <w:qFormat/>
    <w:rPr>
      <w:rFonts w:cs="Courier New"/>
    </w:rPr>
  </w:style>
  <w:style w:type="character" w:styleId="ListLabel111">
    <w:name w:val="ListLabel 111"/>
    <w:qFormat/>
    <w:rPr>
      <w:rFonts w:cs="Courier New"/>
    </w:rPr>
  </w:style>
  <w:style w:type="character" w:styleId="ListLabel112">
    <w:name w:val="ListLabel 112"/>
    <w:qFormat/>
    <w:rPr>
      <w:rFonts w:cs="Courier New"/>
    </w:rPr>
  </w:style>
  <w:style w:type="character" w:styleId="ListLabel113">
    <w:name w:val="ListLabel 113"/>
    <w:qFormat/>
    <w:rPr>
      <w:rFonts w:cs="Courier New"/>
    </w:rPr>
  </w:style>
  <w:style w:type="character" w:styleId="ListLabel114">
    <w:name w:val="ListLabel 114"/>
    <w:qFormat/>
    <w:rPr>
      <w:rFonts w:cs="Courier New"/>
    </w:rPr>
  </w:style>
  <w:style w:type="character" w:styleId="ListLabel115">
    <w:name w:val="ListLabel 115"/>
    <w:qFormat/>
    <w:rPr>
      <w:rFonts w:cs="Courier New"/>
    </w:rPr>
  </w:style>
  <w:style w:type="character" w:styleId="ListLabel116">
    <w:name w:val="ListLabel 116"/>
    <w:qFormat/>
    <w:rPr>
      <w:rFonts w:cs="Courier New"/>
    </w:rPr>
  </w:style>
  <w:style w:type="character" w:styleId="ListLabel117">
    <w:name w:val="ListLabel 117"/>
    <w:qFormat/>
    <w:rPr>
      <w:rFonts w:cs="Courier New"/>
    </w:rPr>
  </w:style>
  <w:style w:type="character" w:styleId="ListLabel118">
    <w:name w:val="ListLabel 118"/>
    <w:qFormat/>
    <w:rPr>
      <w:rFonts w:cs="Courier New"/>
    </w:rPr>
  </w:style>
  <w:style w:type="character" w:styleId="ListLabel119">
    <w:name w:val="ListLabel 119"/>
    <w:qFormat/>
    <w:rPr>
      <w:rFonts w:cs="Courier New"/>
    </w:rPr>
  </w:style>
  <w:style w:type="character" w:styleId="ListLabel120">
    <w:name w:val="ListLabel 120"/>
    <w:qFormat/>
    <w:rPr>
      <w:rFonts w:cs="Courier New"/>
    </w:rPr>
  </w:style>
  <w:style w:type="character" w:styleId="ListLabel121">
    <w:name w:val="ListLabel 121"/>
    <w:qFormat/>
    <w:rPr>
      <w:rFonts w:cs="Courier New"/>
    </w:rPr>
  </w:style>
  <w:style w:type="character" w:styleId="ListLabel122">
    <w:name w:val="ListLabel 122"/>
    <w:qFormat/>
    <w:rPr>
      <w:rFonts w:cs="Courier New"/>
    </w:rPr>
  </w:style>
  <w:style w:type="character" w:styleId="ListLabel123">
    <w:name w:val="ListLabel 123"/>
    <w:qFormat/>
    <w:rPr>
      <w:rFonts w:cs="Courier New"/>
    </w:rPr>
  </w:style>
  <w:style w:type="character" w:styleId="ListLabel124">
    <w:name w:val="ListLabel 124"/>
    <w:qFormat/>
    <w:rPr>
      <w:rFonts w:cs="Courier New"/>
    </w:rPr>
  </w:style>
  <w:style w:type="character" w:styleId="ListLabel125">
    <w:name w:val="ListLabel 125"/>
    <w:qFormat/>
    <w:rPr>
      <w:rFonts w:cs="Courier New"/>
    </w:rPr>
  </w:style>
  <w:style w:type="character" w:styleId="ListLabel126">
    <w:name w:val="ListLabel 126"/>
    <w:qFormat/>
    <w:rPr>
      <w:rFonts w:cs="Courier New"/>
    </w:rPr>
  </w:style>
  <w:style w:type="character" w:styleId="ListLabel127">
    <w:name w:val="ListLabel 127"/>
    <w:qFormat/>
    <w:rPr>
      <w:rFonts w:cs="Courier New"/>
    </w:rPr>
  </w:style>
  <w:style w:type="character" w:styleId="ListLabel128">
    <w:name w:val="ListLabel 128"/>
    <w:qFormat/>
    <w:rPr>
      <w:rFonts w:cs="Courier New"/>
    </w:rPr>
  </w:style>
  <w:style w:type="character" w:styleId="ListLabel129">
    <w:name w:val="ListLabel 129"/>
    <w:qFormat/>
    <w:rPr>
      <w:rFonts w:cs="Courier New"/>
    </w:rPr>
  </w:style>
  <w:style w:type="character" w:styleId="ListLabel130">
    <w:name w:val="ListLabel 130"/>
    <w:qFormat/>
    <w:rPr>
      <w:rFonts w:cs="Courier New"/>
    </w:rPr>
  </w:style>
  <w:style w:type="character" w:styleId="ListLabel131">
    <w:name w:val="ListLabel 131"/>
    <w:qFormat/>
    <w:rPr>
      <w:rFonts w:cs="Courier New"/>
    </w:rPr>
  </w:style>
  <w:style w:type="character" w:styleId="ListLabel132">
    <w:name w:val="ListLabel 132"/>
    <w:qFormat/>
    <w:rPr>
      <w:rFonts w:cs="Courier New"/>
    </w:rPr>
  </w:style>
  <w:style w:type="character" w:styleId="ListLabel133">
    <w:name w:val="ListLabel 133"/>
    <w:qFormat/>
    <w:rPr>
      <w:rFonts w:cs="Courier New"/>
    </w:rPr>
  </w:style>
  <w:style w:type="character" w:styleId="ListLabel134">
    <w:name w:val="ListLabel 134"/>
    <w:qFormat/>
    <w:rPr>
      <w:rFonts w:eastAsia="" w:cs="Segoe UI Light"/>
    </w:rPr>
  </w:style>
  <w:style w:type="character" w:styleId="ListLabel135">
    <w:name w:val="ListLabel 135"/>
    <w:qFormat/>
    <w:rPr>
      <w:rFonts w:cs="Courier New"/>
    </w:rPr>
  </w:style>
  <w:style w:type="character" w:styleId="ListLabel136">
    <w:name w:val="ListLabel 136"/>
    <w:qFormat/>
    <w:rPr>
      <w:rFonts w:cs="Courier New"/>
    </w:rPr>
  </w:style>
  <w:style w:type="character" w:styleId="ListLabel137">
    <w:name w:val="ListLabel 137"/>
    <w:qFormat/>
    <w:rPr>
      <w:rFonts w:cs="Courier New"/>
    </w:rPr>
  </w:style>
  <w:style w:type="character" w:styleId="ListLabel138">
    <w:name w:val="ListLabel 138"/>
    <w:qFormat/>
    <w:rPr>
      <w:rFonts w:cs="Courier New"/>
    </w:rPr>
  </w:style>
  <w:style w:type="character" w:styleId="ListLabel139">
    <w:name w:val="ListLabel 139"/>
    <w:qFormat/>
    <w:rPr>
      <w:rFonts w:cs="Courier New"/>
    </w:rPr>
  </w:style>
  <w:style w:type="character" w:styleId="ListLabel140">
    <w:name w:val="ListLabel 140"/>
    <w:qFormat/>
    <w:rPr>
      <w:rFonts w:cs="Courier New"/>
    </w:rPr>
  </w:style>
  <w:style w:type="character" w:styleId="ListLabel141">
    <w:name w:val="ListLabel 141"/>
    <w:qFormat/>
    <w:rPr>
      <w:rFonts w:cs="Courier New"/>
    </w:rPr>
  </w:style>
  <w:style w:type="character" w:styleId="ListLabel142">
    <w:name w:val="ListLabel 142"/>
    <w:qFormat/>
    <w:rPr>
      <w:rFonts w:cs="Courier New"/>
    </w:rPr>
  </w:style>
  <w:style w:type="character" w:styleId="ListLabel143">
    <w:name w:val="ListLabel 143"/>
    <w:qFormat/>
    <w:rPr>
      <w:rFonts w:cs="Courier New"/>
    </w:rPr>
  </w:style>
  <w:style w:type="character" w:styleId="ListLabel144">
    <w:name w:val="ListLabel 144"/>
    <w:qFormat/>
    <w:rPr>
      <w:rFonts w:cs="Courier New"/>
    </w:rPr>
  </w:style>
  <w:style w:type="character" w:styleId="ListLabel145">
    <w:name w:val="ListLabel 145"/>
    <w:qFormat/>
    <w:rPr>
      <w:rFonts w:cs="Courier New"/>
    </w:rPr>
  </w:style>
  <w:style w:type="character" w:styleId="ListLabel146">
    <w:name w:val="ListLabel 146"/>
    <w:qFormat/>
    <w:rPr>
      <w:rFonts w:cs="Courier New"/>
    </w:rPr>
  </w:style>
  <w:style w:type="character" w:styleId="ListLabel147">
    <w:name w:val="ListLabel 147"/>
    <w:qFormat/>
    <w:rPr>
      <w:rFonts w:cs="Courier New"/>
    </w:rPr>
  </w:style>
  <w:style w:type="character" w:styleId="ListLabel148">
    <w:name w:val="ListLabel 148"/>
    <w:qFormat/>
    <w:rPr>
      <w:rFonts w:cs="Courier New"/>
    </w:rPr>
  </w:style>
  <w:style w:type="character" w:styleId="ListLabel149">
    <w:name w:val="ListLabel 149"/>
    <w:qFormat/>
    <w:rPr>
      <w:rFonts w:cs="Courier New"/>
    </w:rPr>
  </w:style>
  <w:style w:type="character" w:styleId="ListLabel150">
    <w:name w:val="ListLabel 150"/>
    <w:qFormat/>
    <w:rPr>
      <w:rFonts w:cs="Courier New"/>
    </w:rPr>
  </w:style>
  <w:style w:type="character" w:styleId="ListLabel151">
    <w:name w:val="ListLabel 151"/>
    <w:qFormat/>
    <w:rPr>
      <w:rFonts w:cs="Courier New"/>
    </w:rPr>
  </w:style>
  <w:style w:type="character" w:styleId="ListLabel152">
    <w:name w:val="ListLabel 152"/>
    <w:qFormat/>
    <w:rPr>
      <w:rFonts w:cs="Courier New"/>
    </w:rPr>
  </w:style>
  <w:style w:type="character" w:styleId="ListLabel153">
    <w:name w:val="ListLabel 153"/>
    <w:qFormat/>
    <w:rPr>
      <w:rFonts w:cs="Courier New"/>
    </w:rPr>
  </w:style>
  <w:style w:type="character" w:styleId="ListLabel154">
    <w:name w:val="ListLabel 154"/>
    <w:qFormat/>
    <w:rPr>
      <w:rFonts w:cs="Courier New"/>
    </w:rPr>
  </w:style>
  <w:style w:type="character" w:styleId="ListLabel155">
    <w:name w:val="ListLabel 155"/>
    <w:qFormat/>
    <w:rPr>
      <w:rFonts w:cs="Courier New"/>
    </w:rPr>
  </w:style>
  <w:style w:type="character" w:styleId="ListLabel156">
    <w:name w:val="ListLabel 156"/>
    <w:qFormat/>
    <w:rPr>
      <w:rFonts w:cs="Courier New"/>
    </w:rPr>
  </w:style>
  <w:style w:type="character" w:styleId="ListLabel157">
    <w:name w:val="ListLabel 157"/>
    <w:qFormat/>
    <w:rPr>
      <w:rFonts w:cs="Courier New"/>
    </w:rPr>
  </w:style>
  <w:style w:type="character" w:styleId="ListLabel158">
    <w:name w:val="ListLabel 158"/>
    <w:qFormat/>
    <w:rPr>
      <w:rFonts w:cs="Courier New"/>
    </w:rPr>
  </w:style>
  <w:style w:type="character" w:styleId="ListLabel159">
    <w:name w:val="ListLabel 159"/>
    <w:qFormat/>
    <w:rPr>
      <w:rFonts w:cs="Courier New"/>
    </w:rPr>
  </w:style>
  <w:style w:type="character" w:styleId="ListLabel160">
    <w:name w:val="ListLabel 160"/>
    <w:qFormat/>
    <w:rPr>
      <w:rFonts w:cs="Courier New"/>
    </w:rPr>
  </w:style>
  <w:style w:type="character" w:styleId="ListLabel161">
    <w:name w:val="ListLabel 161"/>
    <w:qFormat/>
    <w:rPr>
      <w:rFonts w:cs="Courier New"/>
    </w:rPr>
  </w:style>
  <w:style w:type="character" w:styleId="ListLabel162">
    <w:name w:val="ListLabel 162"/>
    <w:qFormat/>
    <w:rPr>
      <w:rFonts w:cs="Courier New"/>
    </w:rPr>
  </w:style>
  <w:style w:type="character" w:styleId="ListLabel163">
    <w:name w:val="ListLabel 163"/>
    <w:qFormat/>
    <w:rPr>
      <w:rFonts w:cs="Courier New"/>
    </w:rPr>
  </w:style>
  <w:style w:type="character" w:styleId="ListLabel164">
    <w:name w:val="ListLabel 164"/>
    <w:qFormat/>
    <w:rPr>
      <w:rFonts w:cs="Courier New"/>
    </w:rPr>
  </w:style>
  <w:style w:type="character" w:styleId="ListLabel165">
    <w:name w:val="ListLabel 165"/>
    <w:qFormat/>
    <w:rPr>
      <w:rFonts w:cs="Courier New"/>
    </w:rPr>
  </w:style>
  <w:style w:type="character" w:styleId="ListLabel166">
    <w:name w:val="ListLabel 166"/>
    <w:qFormat/>
    <w:rPr>
      <w:rFonts w:cs="Courier New"/>
    </w:rPr>
  </w:style>
  <w:style w:type="character" w:styleId="ListLabel167">
    <w:name w:val="ListLabel 167"/>
    <w:qFormat/>
    <w:rPr>
      <w:rFonts w:cs="Courier New"/>
    </w:rPr>
  </w:style>
  <w:style w:type="character" w:styleId="ListLabel168">
    <w:name w:val="ListLabel 168"/>
    <w:qFormat/>
    <w:rPr>
      <w:rFonts w:cs="Courier New"/>
    </w:rPr>
  </w:style>
  <w:style w:type="character" w:styleId="ListLabel169">
    <w:name w:val="ListLabel 169"/>
    <w:qFormat/>
    <w:rPr>
      <w:rFonts w:cs="Courier New"/>
    </w:rPr>
  </w:style>
  <w:style w:type="character" w:styleId="ListLabel170">
    <w:name w:val="ListLabel 170"/>
    <w:qFormat/>
    <w:rPr>
      <w:rFonts w:cs="Courier New"/>
    </w:rPr>
  </w:style>
  <w:style w:type="character" w:styleId="ListLabel171">
    <w:name w:val="ListLabel 171"/>
    <w:qFormat/>
    <w:rPr>
      <w:rFonts w:cs="Courier New"/>
    </w:rPr>
  </w:style>
  <w:style w:type="character" w:styleId="ListLabel172">
    <w:name w:val="ListLabel 172"/>
    <w:qFormat/>
    <w:rPr>
      <w:rFonts w:cs="Courier New"/>
    </w:rPr>
  </w:style>
  <w:style w:type="character" w:styleId="ListLabel173">
    <w:name w:val="ListLabel 173"/>
    <w:qFormat/>
    <w:rPr>
      <w:rFonts w:cs="Courier New"/>
    </w:rPr>
  </w:style>
  <w:style w:type="character" w:styleId="ListLabel174">
    <w:name w:val="ListLabel 174"/>
    <w:qFormat/>
    <w:rPr>
      <w:rFonts w:cs="Courier New"/>
    </w:rPr>
  </w:style>
  <w:style w:type="character" w:styleId="ListLabel175">
    <w:name w:val="ListLabel 175"/>
    <w:qFormat/>
    <w:rPr>
      <w:rFonts w:cs="Courier New"/>
    </w:rPr>
  </w:style>
  <w:style w:type="character" w:styleId="ListLabel176">
    <w:name w:val="ListLabel 176"/>
    <w:qFormat/>
    <w:rPr>
      <w:rFonts w:cs="Courier New"/>
    </w:rPr>
  </w:style>
  <w:style w:type="character" w:styleId="ListLabel177">
    <w:name w:val="ListLabel 177"/>
    <w:qFormat/>
    <w:rPr>
      <w:rFonts w:cs="Courier New"/>
    </w:rPr>
  </w:style>
  <w:style w:type="character" w:styleId="ListLabel178">
    <w:name w:val="ListLabel 178"/>
    <w:qFormat/>
    <w:rPr>
      <w:rFonts w:cs="Courier New"/>
    </w:rPr>
  </w:style>
  <w:style w:type="character" w:styleId="ListLabel179">
    <w:name w:val="ListLabel 179"/>
    <w:qFormat/>
    <w:rPr>
      <w:rFonts w:cs="Courier New"/>
    </w:rPr>
  </w:style>
  <w:style w:type="character" w:styleId="ListLabel180">
    <w:name w:val="ListLabel 180"/>
    <w:qFormat/>
    <w:rPr>
      <w:rFonts w:cs="Courier New"/>
    </w:rPr>
  </w:style>
  <w:style w:type="character" w:styleId="ListLabel181">
    <w:name w:val="ListLabel 181"/>
    <w:qFormat/>
    <w:rPr>
      <w:rFonts w:cs="Courier New"/>
    </w:rPr>
  </w:style>
  <w:style w:type="character" w:styleId="ListLabel182">
    <w:name w:val="ListLabel 182"/>
    <w:qFormat/>
    <w:rPr>
      <w:rFonts w:cs="Courier New"/>
    </w:rPr>
  </w:style>
  <w:style w:type="character" w:styleId="ListLabel183">
    <w:name w:val="ListLabel 183"/>
    <w:qFormat/>
    <w:rPr>
      <w:rFonts w:cs="Courier New"/>
    </w:rPr>
  </w:style>
  <w:style w:type="character" w:styleId="ListLabel184">
    <w:name w:val="ListLabel 184"/>
    <w:qFormat/>
    <w:rPr>
      <w:rFonts w:cs="Courier New"/>
    </w:rPr>
  </w:style>
  <w:style w:type="character" w:styleId="ListLabel185">
    <w:name w:val="ListLabel 185"/>
    <w:qFormat/>
    <w:rPr>
      <w:rFonts w:cs="Courier New"/>
    </w:rPr>
  </w:style>
  <w:style w:type="character" w:styleId="ListLabel186">
    <w:name w:val="ListLabel 186"/>
    <w:qFormat/>
    <w:rPr>
      <w:rFonts w:cs="Courier New"/>
    </w:rPr>
  </w:style>
  <w:style w:type="character" w:styleId="ListLabel187">
    <w:name w:val="ListLabel 187"/>
    <w:qFormat/>
    <w:rPr>
      <w:rFonts w:cs="Courier New"/>
    </w:rPr>
  </w:style>
  <w:style w:type="character" w:styleId="ListLabel188">
    <w:name w:val="ListLabel 188"/>
    <w:qFormat/>
    <w:rPr>
      <w:rFonts w:cs="Courier New"/>
    </w:rPr>
  </w:style>
  <w:style w:type="character" w:styleId="ListLabel189">
    <w:name w:val="ListLabel 189"/>
    <w:qFormat/>
    <w:rPr>
      <w:rFonts w:cs="Courier New"/>
    </w:rPr>
  </w:style>
  <w:style w:type="character" w:styleId="ListLabel190">
    <w:name w:val="ListLabel 190"/>
    <w:qFormat/>
    <w:rPr>
      <w:rFonts w:cs="Courier New"/>
    </w:rPr>
  </w:style>
  <w:style w:type="character" w:styleId="ListLabel191">
    <w:name w:val="ListLabel 191"/>
    <w:qFormat/>
    <w:rPr>
      <w:rFonts w:cs="Courier New"/>
    </w:rPr>
  </w:style>
  <w:style w:type="character" w:styleId="ListLabel192">
    <w:name w:val="ListLabel 192"/>
    <w:qFormat/>
    <w:rPr>
      <w:rFonts w:cs="Courier New"/>
    </w:rPr>
  </w:style>
  <w:style w:type="character" w:styleId="ListLabel193">
    <w:name w:val="ListLabel 193"/>
    <w:qFormat/>
    <w:rPr>
      <w:rFonts w:cs="Courier New"/>
    </w:rPr>
  </w:style>
  <w:style w:type="character" w:styleId="ListLabel194">
    <w:name w:val="ListLabel 194"/>
    <w:qFormat/>
    <w:rPr>
      <w:rFonts w:cs="Courier New"/>
    </w:rPr>
  </w:style>
  <w:style w:type="character" w:styleId="ListLabel195">
    <w:name w:val="ListLabel 195"/>
    <w:qFormat/>
    <w:rPr>
      <w:rFonts w:cs="Courier New"/>
    </w:rPr>
  </w:style>
  <w:style w:type="character" w:styleId="ListLabel196">
    <w:name w:val="ListLabel 196"/>
    <w:qFormat/>
    <w:rPr>
      <w:rFonts w:cs="Courier New"/>
    </w:rPr>
  </w:style>
  <w:style w:type="character" w:styleId="ListLabel197">
    <w:name w:val="ListLabel 197"/>
    <w:qFormat/>
    <w:rPr>
      <w:rFonts w:cs="Courier New"/>
    </w:rPr>
  </w:style>
  <w:style w:type="character" w:styleId="ListLabel198">
    <w:name w:val="ListLabel 198"/>
    <w:qFormat/>
    <w:rPr>
      <w:rFonts w:eastAsia="Times New Roman" w:cs="Times New Roman"/>
      <w:b/>
      <w:bCs/>
      <w:color w:val="000009"/>
      <w:w w:val="99"/>
      <w:sz w:val="24"/>
      <w:szCs w:val="24"/>
    </w:rPr>
  </w:style>
  <w:style w:type="character" w:styleId="ListLabel199">
    <w:name w:val="ListLabel 199"/>
    <w:qFormat/>
    <w:rPr>
      <w:b/>
      <w:bCs/>
      <w:i/>
      <w:w w:val="99"/>
    </w:rPr>
  </w:style>
  <w:style w:type="character" w:styleId="ListLabel200">
    <w:name w:val="ListLabel 200"/>
    <w:qFormat/>
    <w:rPr>
      <w:rFonts w:ascii="Symbol" w:hAnsi="Symbol"/>
      <w:w w:val="99"/>
      <w:sz w:val="22"/>
    </w:rPr>
  </w:style>
  <w:style w:type="character" w:styleId="ListLabel201">
    <w:name w:val="ListLabel 201"/>
    <w:qFormat/>
    <w:rPr>
      <w:rFonts w:eastAsia="Times New Roman" w:cs="Times New Roman"/>
      <w:color w:val="000009"/>
      <w:w w:val="100"/>
      <w:sz w:val="22"/>
      <w:szCs w:val="22"/>
    </w:rPr>
  </w:style>
  <w:style w:type="character" w:styleId="ListLabel202">
    <w:name w:val="ListLabel 202"/>
    <w:qFormat/>
    <w:rPr>
      <w:rFonts w:eastAsia="Symbol" w:cs="Symbol"/>
      <w:color w:val="000009"/>
      <w:w w:val="100"/>
      <w:sz w:val="18"/>
      <w:szCs w:val="22"/>
    </w:rPr>
  </w:style>
  <w:style w:type="character" w:styleId="ListLabel203">
    <w:name w:val="ListLabel 203"/>
    <w:qFormat/>
    <w:rPr>
      <w:rFonts w:cs="Courier New"/>
    </w:rPr>
  </w:style>
  <w:style w:type="character" w:styleId="ListLabel204">
    <w:name w:val="ListLabel 204"/>
    <w:qFormat/>
    <w:rPr>
      <w:rFonts w:cs="Courier New"/>
    </w:rPr>
  </w:style>
  <w:style w:type="character" w:styleId="ListLabel205">
    <w:name w:val="ListLabel 205"/>
    <w:qFormat/>
    <w:rPr>
      <w:rFonts w:cs="Courier New"/>
    </w:rPr>
  </w:style>
  <w:style w:type="character" w:styleId="ListLabel206">
    <w:name w:val="ListLabel 206"/>
    <w:qFormat/>
    <w:rPr>
      <w:rFonts w:cs="Courier New"/>
    </w:rPr>
  </w:style>
  <w:style w:type="character" w:styleId="ListLabel207">
    <w:name w:val="ListLabel 207"/>
    <w:qFormat/>
    <w:rPr>
      <w:rFonts w:cs="Courier New"/>
    </w:rPr>
  </w:style>
  <w:style w:type="character" w:styleId="ListLabel208">
    <w:name w:val="ListLabel 208"/>
    <w:qFormat/>
    <w:rPr>
      <w:rFonts w:cs="Courier New"/>
    </w:rPr>
  </w:style>
  <w:style w:type="character" w:styleId="ListLabel209">
    <w:name w:val="ListLabel 209"/>
    <w:qFormat/>
    <w:rPr>
      <w:rFonts w:cs="Courier New"/>
    </w:rPr>
  </w:style>
  <w:style w:type="character" w:styleId="ListLabel210">
    <w:name w:val="ListLabel 210"/>
    <w:qFormat/>
    <w:rPr>
      <w:rFonts w:cs="Courier New"/>
    </w:rPr>
  </w:style>
  <w:style w:type="character" w:styleId="ListLabel211">
    <w:name w:val="ListLabel 211"/>
    <w:qFormat/>
    <w:rPr>
      <w:rFonts w:cs="Courier New"/>
    </w:rPr>
  </w:style>
  <w:style w:type="character" w:styleId="ListLabel212">
    <w:name w:val="ListLabel 212"/>
    <w:qFormat/>
    <w:rPr>
      <w:rFonts w:cs="Courier New"/>
    </w:rPr>
  </w:style>
  <w:style w:type="character" w:styleId="ListLabel213">
    <w:name w:val="ListLabel 213"/>
    <w:qFormat/>
    <w:rPr>
      <w:rFonts w:cs="Courier New"/>
    </w:rPr>
  </w:style>
  <w:style w:type="character" w:styleId="ListLabel214">
    <w:name w:val="ListLabel 214"/>
    <w:qFormat/>
    <w:rPr>
      <w:rFonts w:cs="Courier New"/>
    </w:rPr>
  </w:style>
  <w:style w:type="character" w:styleId="ListLabel215">
    <w:name w:val="ListLabel 215"/>
    <w:qFormat/>
    <w:rPr>
      <w:rFonts w:cs="Courier New"/>
    </w:rPr>
  </w:style>
  <w:style w:type="character" w:styleId="ListLabel216">
    <w:name w:val="ListLabel 216"/>
    <w:qFormat/>
    <w:rPr>
      <w:rFonts w:cs="Courier New"/>
    </w:rPr>
  </w:style>
  <w:style w:type="character" w:styleId="ListLabel217">
    <w:name w:val="ListLabel 217"/>
    <w:qFormat/>
    <w:rPr>
      <w:rFonts w:cs="Courier New"/>
    </w:rPr>
  </w:style>
  <w:style w:type="character" w:styleId="ListLabel218">
    <w:name w:val="ListLabel 218"/>
    <w:qFormat/>
    <w:rPr>
      <w:rFonts w:cs="Courier New"/>
    </w:rPr>
  </w:style>
  <w:style w:type="character" w:styleId="ListLabel219">
    <w:name w:val="ListLabel 219"/>
    <w:qFormat/>
    <w:rPr>
      <w:rFonts w:cs="Courier New"/>
    </w:rPr>
  </w:style>
  <w:style w:type="character" w:styleId="ListLabel220">
    <w:name w:val="ListLabel 220"/>
    <w:qFormat/>
    <w:rPr>
      <w:rFonts w:cs="Courier New"/>
    </w:rPr>
  </w:style>
  <w:style w:type="character" w:styleId="ListLabel221">
    <w:name w:val="ListLabel 221"/>
    <w:qFormat/>
    <w:rPr>
      <w:rFonts w:cs="Courier New"/>
    </w:rPr>
  </w:style>
  <w:style w:type="character" w:styleId="ListLabel222">
    <w:name w:val="ListLabel 222"/>
    <w:qFormat/>
    <w:rPr>
      <w:rFonts w:cs="Courier New"/>
    </w:rPr>
  </w:style>
  <w:style w:type="character" w:styleId="ListLabel223">
    <w:name w:val="ListLabel 223"/>
    <w:qFormat/>
    <w:rPr>
      <w:rFonts w:cs="Courier New"/>
    </w:rPr>
  </w:style>
  <w:style w:type="character" w:styleId="ListLabel224">
    <w:name w:val="ListLabel 224"/>
    <w:qFormat/>
    <w:rPr>
      <w:rFonts w:cs="Courier New"/>
    </w:rPr>
  </w:style>
  <w:style w:type="character" w:styleId="ListLabel225">
    <w:name w:val="ListLabel 225"/>
    <w:qFormat/>
    <w:rPr>
      <w:rFonts w:cs="Courier New"/>
    </w:rPr>
  </w:style>
  <w:style w:type="character" w:styleId="ListLabel226">
    <w:name w:val="ListLabel 226"/>
    <w:qFormat/>
    <w:rPr>
      <w:rFonts w:cs="Courier New"/>
    </w:rPr>
  </w:style>
  <w:style w:type="character" w:styleId="ListLabel227">
    <w:name w:val="ListLabel 227"/>
    <w:qFormat/>
    <w:rPr>
      <w:rFonts w:cs="Courier New"/>
    </w:rPr>
  </w:style>
  <w:style w:type="character" w:styleId="ListLabel228">
    <w:name w:val="ListLabel 228"/>
    <w:qFormat/>
    <w:rPr>
      <w:rFonts w:cs="Courier New"/>
    </w:rPr>
  </w:style>
  <w:style w:type="character" w:styleId="ListLabel229">
    <w:name w:val="ListLabel 229"/>
    <w:qFormat/>
    <w:rPr>
      <w:rFonts w:cs="Courier New"/>
    </w:rPr>
  </w:style>
  <w:style w:type="character" w:styleId="ListLabel230">
    <w:name w:val="ListLabel 230"/>
    <w:qFormat/>
    <w:rPr>
      <w:rFonts w:cs="Courier New"/>
    </w:rPr>
  </w:style>
  <w:style w:type="character" w:styleId="ListLabel231">
    <w:name w:val="ListLabel 231"/>
    <w:qFormat/>
    <w:rPr>
      <w:rFonts w:cs="Courier New"/>
    </w:rPr>
  </w:style>
  <w:style w:type="character" w:styleId="ListLabel232">
    <w:name w:val="ListLabel 232"/>
    <w:qFormat/>
    <w:rPr>
      <w:rFonts w:cs="Courier New"/>
    </w:rPr>
  </w:style>
  <w:style w:type="character" w:styleId="ListLabel233">
    <w:name w:val="ListLabel 233"/>
    <w:qFormat/>
    <w:rPr>
      <w:rFonts w:cs="Courier New"/>
    </w:rPr>
  </w:style>
  <w:style w:type="character" w:styleId="ListLabel234">
    <w:name w:val="ListLabel 234"/>
    <w:qFormat/>
    <w:rPr>
      <w:rFonts w:cs="Courier New"/>
    </w:rPr>
  </w:style>
  <w:style w:type="character" w:styleId="ListLabel235">
    <w:name w:val="ListLabel 235"/>
    <w:qFormat/>
    <w:rPr>
      <w:rFonts w:cs="Courier New"/>
    </w:rPr>
  </w:style>
  <w:style w:type="character" w:styleId="ListLabel236">
    <w:name w:val="ListLabel 236"/>
    <w:qFormat/>
    <w:rPr>
      <w:rFonts w:cs="Courier New"/>
    </w:rPr>
  </w:style>
  <w:style w:type="character" w:styleId="ListLabel237">
    <w:name w:val="ListLabel 237"/>
    <w:qFormat/>
    <w:rPr>
      <w:rFonts w:cs="Courier New"/>
    </w:rPr>
  </w:style>
  <w:style w:type="character" w:styleId="ListLabel238">
    <w:name w:val="ListLabel 238"/>
    <w:qFormat/>
    <w:rPr>
      <w:rFonts w:cs="Courier New"/>
    </w:rPr>
  </w:style>
  <w:style w:type="character" w:styleId="ListLabel239">
    <w:name w:val="ListLabel 239"/>
    <w:qFormat/>
    <w:rPr>
      <w:rFonts w:cs="Courier New"/>
    </w:rPr>
  </w:style>
  <w:style w:type="character" w:styleId="ListLabel240">
    <w:name w:val="ListLabel 240"/>
    <w:qFormat/>
    <w:rPr>
      <w:rFonts w:cs="Courier New"/>
    </w:rPr>
  </w:style>
  <w:style w:type="character" w:styleId="ListLabel241">
    <w:name w:val="ListLabel 241"/>
    <w:qFormat/>
    <w:rPr>
      <w:rFonts w:cs="Courier New"/>
    </w:rPr>
  </w:style>
  <w:style w:type="character" w:styleId="ListLabel242">
    <w:name w:val="ListLabel 242"/>
    <w:qFormat/>
    <w:rPr>
      <w:rFonts w:cs="Courier New"/>
    </w:rPr>
  </w:style>
  <w:style w:type="character" w:styleId="ListLabel243">
    <w:name w:val="ListLabel 243"/>
    <w:qFormat/>
    <w:rPr>
      <w:rFonts w:cs="Courier New"/>
    </w:rPr>
  </w:style>
  <w:style w:type="character" w:styleId="ListLabel244">
    <w:name w:val="ListLabel 244"/>
    <w:qFormat/>
    <w:rPr>
      <w:rFonts w:cs="Courier New"/>
    </w:rPr>
  </w:style>
  <w:style w:type="character" w:styleId="ListLabel245">
    <w:name w:val="ListLabel 245"/>
    <w:qFormat/>
    <w:rPr>
      <w:rFonts w:cs="Courier New"/>
    </w:rPr>
  </w:style>
  <w:style w:type="character" w:styleId="ListLabel246">
    <w:name w:val="ListLabel 246"/>
    <w:qFormat/>
    <w:rPr>
      <w:rFonts w:cs="Courier New"/>
    </w:rPr>
  </w:style>
  <w:style w:type="character" w:styleId="ListLabel247">
    <w:name w:val="ListLabel 247"/>
    <w:qFormat/>
    <w:rPr>
      <w:rFonts w:cs="Courier New"/>
    </w:rPr>
  </w:style>
  <w:style w:type="character" w:styleId="ListLabel248">
    <w:name w:val="ListLabel 248"/>
    <w:qFormat/>
    <w:rPr>
      <w:rFonts w:cs="Courier New"/>
    </w:rPr>
  </w:style>
  <w:style w:type="character" w:styleId="ListLabel249">
    <w:name w:val="ListLabel 249"/>
    <w:qFormat/>
    <w:rPr>
      <w:rFonts w:cs="Courier New"/>
    </w:rPr>
  </w:style>
  <w:style w:type="character" w:styleId="ListLabel250">
    <w:name w:val="ListLabel 250"/>
    <w:qFormat/>
    <w:rPr>
      <w:rFonts w:cs="Courier New"/>
    </w:rPr>
  </w:style>
  <w:style w:type="character" w:styleId="ListLabel251">
    <w:name w:val="ListLabel 251"/>
    <w:qFormat/>
    <w:rPr>
      <w:rFonts w:cs="Courier New"/>
    </w:rPr>
  </w:style>
  <w:style w:type="character" w:styleId="ListLabel252">
    <w:name w:val="ListLabel 252"/>
    <w:qFormat/>
    <w:rPr>
      <w:rFonts w:cs="Courier New"/>
    </w:rPr>
  </w:style>
  <w:style w:type="character" w:styleId="ListLabel253">
    <w:name w:val="ListLabel 253"/>
    <w:qFormat/>
    <w:rPr>
      <w:rFonts w:cs="Courier New"/>
    </w:rPr>
  </w:style>
  <w:style w:type="character" w:styleId="ListLabel254">
    <w:name w:val="ListLabel 254"/>
    <w:qFormat/>
    <w:rPr>
      <w:rFonts w:cs="Courier New"/>
    </w:rPr>
  </w:style>
  <w:style w:type="character" w:styleId="ListLabel255">
    <w:name w:val="ListLabel 255"/>
    <w:qFormat/>
    <w:rPr>
      <w:rFonts w:cs="Courier New"/>
    </w:rPr>
  </w:style>
  <w:style w:type="character" w:styleId="Czeindeksu">
    <w:name w:val="Łącze indeksu"/>
    <w:qFormat/>
    <w:rPr/>
  </w:style>
  <w:style w:type="character" w:styleId="ListLabel256">
    <w:name w:val="ListLabel 256"/>
    <w:qFormat/>
    <w:rPr>
      <w:rFonts w:cs="Symbol"/>
    </w:rPr>
  </w:style>
  <w:style w:type="character" w:styleId="ListLabel257">
    <w:name w:val="ListLabel 257"/>
    <w:qFormat/>
    <w:rPr>
      <w:rFonts w:cs="Courier New"/>
    </w:rPr>
  </w:style>
  <w:style w:type="character" w:styleId="ListLabel258">
    <w:name w:val="ListLabel 258"/>
    <w:qFormat/>
    <w:rPr>
      <w:rFonts w:cs="Wingdings"/>
    </w:rPr>
  </w:style>
  <w:style w:type="character" w:styleId="ListLabel259">
    <w:name w:val="ListLabel 259"/>
    <w:qFormat/>
    <w:rPr>
      <w:rFonts w:cs="Symbol"/>
    </w:rPr>
  </w:style>
  <w:style w:type="character" w:styleId="ListLabel260">
    <w:name w:val="ListLabel 260"/>
    <w:qFormat/>
    <w:rPr>
      <w:rFonts w:cs="Courier New"/>
    </w:rPr>
  </w:style>
  <w:style w:type="character" w:styleId="ListLabel261">
    <w:name w:val="ListLabel 261"/>
    <w:qFormat/>
    <w:rPr>
      <w:rFonts w:cs="Wingdings"/>
    </w:rPr>
  </w:style>
  <w:style w:type="character" w:styleId="ListLabel262">
    <w:name w:val="ListLabel 262"/>
    <w:qFormat/>
    <w:rPr>
      <w:rFonts w:cs="Symbol"/>
    </w:rPr>
  </w:style>
  <w:style w:type="character" w:styleId="ListLabel263">
    <w:name w:val="ListLabel 263"/>
    <w:qFormat/>
    <w:rPr>
      <w:rFonts w:cs="Courier New"/>
    </w:rPr>
  </w:style>
  <w:style w:type="character" w:styleId="ListLabel264">
    <w:name w:val="ListLabel 264"/>
    <w:qFormat/>
    <w:rPr>
      <w:rFonts w:cs="Wingdings"/>
    </w:rPr>
  </w:style>
  <w:style w:type="character" w:styleId="ListLabel265">
    <w:name w:val="ListLabel 265"/>
    <w:qFormat/>
    <w:rPr>
      <w:rFonts w:cs="Symbol"/>
    </w:rPr>
  </w:style>
  <w:style w:type="character" w:styleId="ListLabel266">
    <w:name w:val="ListLabel 266"/>
    <w:qFormat/>
    <w:rPr>
      <w:rFonts w:cs="Courier New"/>
    </w:rPr>
  </w:style>
  <w:style w:type="character" w:styleId="ListLabel267">
    <w:name w:val="ListLabel 267"/>
    <w:qFormat/>
    <w:rPr>
      <w:rFonts w:cs="Wingdings"/>
    </w:rPr>
  </w:style>
  <w:style w:type="character" w:styleId="ListLabel268">
    <w:name w:val="ListLabel 268"/>
    <w:qFormat/>
    <w:rPr>
      <w:rFonts w:cs="Symbol"/>
    </w:rPr>
  </w:style>
  <w:style w:type="character" w:styleId="ListLabel269">
    <w:name w:val="ListLabel 269"/>
    <w:qFormat/>
    <w:rPr>
      <w:rFonts w:cs="Courier New"/>
    </w:rPr>
  </w:style>
  <w:style w:type="character" w:styleId="ListLabel270">
    <w:name w:val="ListLabel 270"/>
    <w:qFormat/>
    <w:rPr>
      <w:rFonts w:cs="Wingdings"/>
    </w:rPr>
  </w:style>
  <w:style w:type="character" w:styleId="ListLabel271">
    <w:name w:val="ListLabel 271"/>
    <w:qFormat/>
    <w:rPr>
      <w:rFonts w:cs="Symbol"/>
    </w:rPr>
  </w:style>
  <w:style w:type="character" w:styleId="ListLabel272">
    <w:name w:val="ListLabel 272"/>
    <w:qFormat/>
    <w:rPr>
      <w:rFonts w:cs="Courier New"/>
    </w:rPr>
  </w:style>
  <w:style w:type="character" w:styleId="ListLabel273">
    <w:name w:val="ListLabel 273"/>
    <w:qFormat/>
    <w:rPr>
      <w:rFonts w:cs="Wingdings"/>
    </w:rPr>
  </w:style>
  <w:style w:type="character" w:styleId="ListLabel274">
    <w:name w:val="ListLabel 274"/>
    <w:qFormat/>
    <w:rPr>
      <w:rFonts w:cs="Symbol"/>
    </w:rPr>
  </w:style>
  <w:style w:type="character" w:styleId="ListLabel275">
    <w:name w:val="ListLabel 275"/>
    <w:qFormat/>
    <w:rPr>
      <w:rFonts w:cs="Courier New"/>
    </w:rPr>
  </w:style>
  <w:style w:type="character" w:styleId="ListLabel276">
    <w:name w:val="ListLabel 276"/>
    <w:qFormat/>
    <w:rPr>
      <w:rFonts w:cs="Wingdings"/>
    </w:rPr>
  </w:style>
  <w:style w:type="character" w:styleId="ListLabel277">
    <w:name w:val="ListLabel 277"/>
    <w:qFormat/>
    <w:rPr>
      <w:rFonts w:cs="Symbol"/>
    </w:rPr>
  </w:style>
  <w:style w:type="character" w:styleId="ListLabel278">
    <w:name w:val="ListLabel 278"/>
    <w:qFormat/>
    <w:rPr>
      <w:rFonts w:cs="Courier New"/>
    </w:rPr>
  </w:style>
  <w:style w:type="character" w:styleId="ListLabel279">
    <w:name w:val="ListLabel 279"/>
    <w:qFormat/>
    <w:rPr>
      <w:rFonts w:cs="Wingdings"/>
    </w:rPr>
  </w:style>
  <w:style w:type="character" w:styleId="ListLabel280">
    <w:name w:val="ListLabel 280"/>
    <w:qFormat/>
    <w:rPr>
      <w:rFonts w:cs="Symbol"/>
    </w:rPr>
  </w:style>
  <w:style w:type="character" w:styleId="ListLabel281">
    <w:name w:val="ListLabel 281"/>
    <w:qFormat/>
    <w:rPr>
      <w:rFonts w:cs="Courier New"/>
    </w:rPr>
  </w:style>
  <w:style w:type="character" w:styleId="ListLabel282">
    <w:name w:val="ListLabel 282"/>
    <w:qFormat/>
    <w:rPr>
      <w:rFonts w:cs="Wingdings"/>
    </w:rPr>
  </w:style>
  <w:style w:type="character" w:styleId="ListLabel283">
    <w:name w:val="ListLabel 283"/>
    <w:qFormat/>
    <w:rPr>
      <w:rFonts w:cs="Symbol"/>
    </w:rPr>
  </w:style>
  <w:style w:type="character" w:styleId="ListLabel284">
    <w:name w:val="ListLabel 284"/>
    <w:qFormat/>
    <w:rPr>
      <w:rFonts w:cs="Symbol"/>
    </w:rPr>
  </w:style>
  <w:style w:type="character" w:styleId="ListLabel285">
    <w:name w:val="ListLabel 285"/>
    <w:qFormat/>
    <w:rPr>
      <w:rFonts w:cs="Courier New"/>
    </w:rPr>
  </w:style>
  <w:style w:type="character" w:styleId="ListLabel286">
    <w:name w:val="ListLabel 286"/>
    <w:qFormat/>
    <w:rPr>
      <w:rFonts w:cs="Wingdings"/>
    </w:rPr>
  </w:style>
  <w:style w:type="character" w:styleId="ListLabel287">
    <w:name w:val="ListLabel 287"/>
    <w:qFormat/>
    <w:rPr>
      <w:rFonts w:cs="Symbol"/>
    </w:rPr>
  </w:style>
  <w:style w:type="character" w:styleId="ListLabel288">
    <w:name w:val="ListLabel 288"/>
    <w:qFormat/>
    <w:rPr>
      <w:rFonts w:cs="Courier New"/>
    </w:rPr>
  </w:style>
  <w:style w:type="character" w:styleId="ListLabel289">
    <w:name w:val="ListLabel 289"/>
    <w:qFormat/>
    <w:rPr>
      <w:rFonts w:cs="Wingdings"/>
    </w:rPr>
  </w:style>
  <w:style w:type="character" w:styleId="ListLabel290">
    <w:name w:val="ListLabel 290"/>
    <w:qFormat/>
    <w:rPr>
      <w:rFonts w:cs="Symbol"/>
    </w:rPr>
  </w:style>
  <w:style w:type="character" w:styleId="ListLabel291">
    <w:name w:val="ListLabel 291"/>
    <w:qFormat/>
    <w:rPr>
      <w:rFonts w:cs="Courier New"/>
    </w:rPr>
  </w:style>
  <w:style w:type="character" w:styleId="ListLabel292">
    <w:name w:val="ListLabel 292"/>
    <w:qFormat/>
    <w:rPr>
      <w:rFonts w:cs="Wingdings"/>
    </w:rPr>
  </w:style>
  <w:style w:type="character" w:styleId="ListLabel293">
    <w:name w:val="ListLabel 293"/>
    <w:qFormat/>
    <w:rPr>
      <w:rFonts w:cs="Symbol"/>
    </w:rPr>
  </w:style>
  <w:style w:type="character" w:styleId="ListLabel294">
    <w:name w:val="ListLabel 294"/>
    <w:qFormat/>
    <w:rPr>
      <w:rFonts w:cs="Courier New"/>
    </w:rPr>
  </w:style>
  <w:style w:type="character" w:styleId="ListLabel295">
    <w:name w:val="ListLabel 295"/>
    <w:qFormat/>
    <w:rPr>
      <w:rFonts w:cs="Wingdings"/>
    </w:rPr>
  </w:style>
  <w:style w:type="character" w:styleId="ListLabel296">
    <w:name w:val="ListLabel 296"/>
    <w:qFormat/>
    <w:rPr>
      <w:rFonts w:cs="Symbol"/>
    </w:rPr>
  </w:style>
  <w:style w:type="character" w:styleId="ListLabel297">
    <w:name w:val="ListLabel 297"/>
    <w:qFormat/>
    <w:rPr>
      <w:rFonts w:cs="Courier New"/>
    </w:rPr>
  </w:style>
  <w:style w:type="character" w:styleId="ListLabel298">
    <w:name w:val="ListLabel 298"/>
    <w:qFormat/>
    <w:rPr>
      <w:rFonts w:cs="Wingdings"/>
    </w:rPr>
  </w:style>
  <w:style w:type="character" w:styleId="ListLabel299">
    <w:name w:val="ListLabel 299"/>
    <w:qFormat/>
    <w:rPr>
      <w:rFonts w:cs="Symbol"/>
    </w:rPr>
  </w:style>
  <w:style w:type="character" w:styleId="ListLabel300">
    <w:name w:val="ListLabel 300"/>
    <w:qFormat/>
    <w:rPr>
      <w:rFonts w:cs="Courier New"/>
    </w:rPr>
  </w:style>
  <w:style w:type="character" w:styleId="ListLabel301">
    <w:name w:val="ListLabel 301"/>
    <w:qFormat/>
    <w:rPr>
      <w:rFonts w:cs="Wingdings"/>
    </w:rPr>
  </w:style>
  <w:style w:type="character" w:styleId="ListLabel302">
    <w:name w:val="ListLabel 302"/>
    <w:qFormat/>
    <w:rPr>
      <w:rFonts w:cs="Symbol"/>
    </w:rPr>
  </w:style>
  <w:style w:type="character" w:styleId="ListLabel303">
    <w:name w:val="ListLabel 303"/>
    <w:qFormat/>
    <w:rPr>
      <w:rFonts w:cs="Courier New"/>
    </w:rPr>
  </w:style>
  <w:style w:type="character" w:styleId="ListLabel304">
    <w:name w:val="ListLabel 304"/>
    <w:qFormat/>
    <w:rPr>
      <w:rFonts w:cs="Wingdings"/>
    </w:rPr>
  </w:style>
  <w:style w:type="character" w:styleId="ListLabel305">
    <w:name w:val="ListLabel 305"/>
    <w:qFormat/>
    <w:rPr>
      <w:rFonts w:cs="Symbol"/>
    </w:rPr>
  </w:style>
  <w:style w:type="character" w:styleId="ListLabel306">
    <w:name w:val="ListLabel 306"/>
    <w:qFormat/>
    <w:rPr>
      <w:rFonts w:cs="Courier New"/>
    </w:rPr>
  </w:style>
  <w:style w:type="character" w:styleId="ListLabel307">
    <w:name w:val="ListLabel 307"/>
    <w:qFormat/>
    <w:rPr>
      <w:rFonts w:cs="Wingdings"/>
    </w:rPr>
  </w:style>
  <w:style w:type="character" w:styleId="ListLabel308">
    <w:name w:val="ListLabel 308"/>
    <w:qFormat/>
    <w:rPr>
      <w:rFonts w:cs="Courier New"/>
    </w:rPr>
  </w:style>
  <w:style w:type="character" w:styleId="ListLabel309">
    <w:name w:val="ListLabel 309"/>
    <w:qFormat/>
    <w:rPr>
      <w:rFonts w:cs="Courier New"/>
    </w:rPr>
  </w:style>
  <w:style w:type="character" w:styleId="ListLabel310">
    <w:name w:val="ListLabel 310"/>
    <w:qFormat/>
    <w:rPr>
      <w:rFonts w:cs="Wingdings"/>
    </w:rPr>
  </w:style>
  <w:style w:type="character" w:styleId="ListLabel311">
    <w:name w:val="ListLabel 311"/>
    <w:qFormat/>
    <w:rPr>
      <w:rFonts w:cs="Symbol"/>
    </w:rPr>
  </w:style>
  <w:style w:type="character" w:styleId="ListLabel312">
    <w:name w:val="ListLabel 312"/>
    <w:qFormat/>
    <w:rPr>
      <w:rFonts w:cs="Courier New"/>
    </w:rPr>
  </w:style>
  <w:style w:type="character" w:styleId="ListLabel313">
    <w:name w:val="ListLabel 313"/>
    <w:qFormat/>
    <w:rPr>
      <w:rFonts w:cs="Wingdings"/>
    </w:rPr>
  </w:style>
  <w:style w:type="character" w:styleId="ListLabel314">
    <w:name w:val="ListLabel 314"/>
    <w:qFormat/>
    <w:rPr>
      <w:rFonts w:cs="Symbol"/>
    </w:rPr>
  </w:style>
  <w:style w:type="character" w:styleId="ListLabel315">
    <w:name w:val="ListLabel 315"/>
    <w:qFormat/>
    <w:rPr>
      <w:rFonts w:cs="Courier New"/>
    </w:rPr>
  </w:style>
  <w:style w:type="character" w:styleId="ListLabel316">
    <w:name w:val="ListLabel 316"/>
    <w:qFormat/>
    <w:rPr>
      <w:rFonts w:cs="Wingdings"/>
    </w:rPr>
  </w:style>
  <w:style w:type="character" w:styleId="ListLabel317">
    <w:name w:val="ListLabel 317"/>
    <w:qFormat/>
    <w:rPr>
      <w:rFonts w:cs="Courier New"/>
    </w:rPr>
  </w:style>
  <w:style w:type="character" w:styleId="ListLabel318">
    <w:name w:val="ListLabel 318"/>
    <w:qFormat/>
    <w:rPr>
      <w:rFonts w:cs="Courier New"/>
    </w:rPr>
  </w:style>
  <w:style w:type="character" w:styleId="ListLabel319">
    <w:name w:val="ListLabel 319"/>
    <w:qFormat/>
    <w:rPr>
      <w:rFonts w:cs="Courier New"/>
    </w:rPr>
  </w:style>
  <w:style w:type="character" w:styleId="ListLabel320">
    <w:name w:val="ListLabel 320"/>
    <w:qFormat/>
    <w:rPr>
      <w:rFonts w:cs="Courier New"/>
    </w:rPr>
  </w:style>
  <w:style w:type="character" w:styleId="ListLabel321">
    <w:name w:val="ListLabel 321"/>
    <w:qFormat/>
    <w:rPr>
      <w:rFonts w:cs="Symbol"/>
    </w:rPr>
  </w:style>
  <w:style w:type="character" w:styleId="ListLabel322">
    <w:name w:val="ListLabel 322"/>
    <w:qFormat/>
    <w:rPr>
      <w:rFonts w:cs="Wingdings"/>
    </w:rPr>
  </w:style>
  <w:style w:type="character" w:styleId="ListLabel323">
    <w:name w:val="ListLabel 323"/>
    <w:qFormat/>
    <w:rPr>
      <w:rFonts w:cs="Symbol"/>
    </w:rPr>
  </w:style>
  <w:style w:type="character" w:styleId="ListLabel324">
    <w:name w:val="ListLabel 324"/>
    <w:qFormat/>
    <w:rPr>
      <w:rFonts w:cs="Courier New"/>
    </w:rPr>
  </w:style>
  <w:style w:type="character" w:styleId="ListLabel325">
    <w:name w:val="ListLabel 325"/>
    <w:qFormat/>
    <w:rPr>
      <w:rFonts w:cs="Wingdings"/>
    </w:rPr>
  </w:style>
  <w:style w:type="character" w:styleId="ListLabel326">
    <w:name w:val="ListLabel 326"/>
    <w:qFormat/>
    <w:rPr>
      <w:rFonts w:cs="Symbol"/>
    </w:rPr>
  </w:style>
  <w:style w:type="character" w:styleId="ListLabel327">
    <w:name w:val="ListLabel 327"/>
    <w:qFormat/>
    <w:rPr>
      <w:rFonts w:cs="Courier New"/>
    </w:rPr>
  </w:style>
  <w:style w:type="character" w:styleId="ListLabel328">
    <w:name w:val="ListLabel 328"/>
    <w:qFormat/>
    <w:rPr>
      <w:rFonts w:cs="Wingdings"/>
    </w:rPr>
  </w:style>
  <w:style w:type="character" w:styleId="ListLabel329">
    <w:name w:val="ListLabel 329"/>
    <w:qFormat/>
    <w:rPr>
      <w:rFonts w:cs="Symbol"/>
    </w:rPr>
  </w:style>
  <w:style w:type="character" w:styleId="ListLabel330">
    <w:name w:val="ListLabel 330"/>
    <w:qFormat/>
    <w:rPr>
      <w:rFonts w:cs="Courier New"/>
    </w:rPr>
  </w:style>
  <w:style w:type="character" w:styleId="ListLabel331">
    <w:name w:val="ListLabel 331"/>
    <w:qFormat/>
    <w:rPr>
      <w:rFonts w:cs="Wingdings"/>
    </w:rPr>
  </w:style>
  <w:style w:type="character" w:styleId="ListLabel332">
    <w:name w:val="ListLabel 332"/>
    <w:qFormat/>
    <w:rPr>
      <w:rFonts w:cs="Symbol"/>
    </w:rPr>
  </w:style>
  <w:style w:type="character" w:styleId="ListLabel333">
    <w:name w:val="ListLabel 333"/>
    <w:qFormat/>
    <w:rPr>
      <w:rFonts w:cs="Courier New"/>
    </w:rPr>
  </w:style>
  <w:style w:type="character" w:styleId="ListLabel334">
    <w:name w:val="ListLabel 334"/>
    <w:qFormat/>
    <w:rPr>
      <w:rFonts w:cs="Wingdings"/>
    </w:rPr>
  </w:style>
  <w:style w:type="character" w:styleId="ListLabel335">
    <w:name w:val="ListLabel 335"/>
    <w:qFormat/>
    <w:rPr>
      <w:rFonts w:cs="Symbol"/>
    </w:rPr>
  </w:style>
  <w:style w:type="character" w:styleId="ListLabel336">
    <w:name w:val="ListLabel 336"/>
    <w:qFormat/>
    <w:rPr>
      <w:rFonts w:cs="Courier New"/>
    </w:rPr>
  </w:style>
  <w:style w:type="character" w:styleId="ListLabel337">
    <w:name w:val="ListLabel 337"/>
    <w:qFormat/>
    <w:rPr>
      <w:rFonts w:cs="Wingdings"/>
    </w:rPr>
  </w:style>
  <w:style w:type="character" w:styleId="ListLabel338">
    <w:name w:val="ListLabel 338"/>
    <w:qFormat/>
    <w:rPr>
      <w:rFonts w:cs="Courier New"/>
    </w:rPr>
  </w:style>
  <w:style w:type="character" w:styleId="ListLabel339">
    <w:name w:val="ListLabel 339"/>
    <w:qFormat/>
    <w:rPr>
      <w:rFonts w:cs="Courier New"/>
    </w:rPr>
  </w:style>
  <w:style w:type="character" w:styleId="ListLabel340">
    <w:name w:val="ListLabel 340"/>
    <w:qFormat/>
    <w:rPr>
      <w:rFonts w:cs="Wingdings"/>
    </w:rPr>
  </w:style>
  <w:style w:type="character" w:styleId="ListLabel341">
    <w:name w:val="ListLabel 341"/>
    <w:qFormat/>
    <w:rPr>
      <w:rFonts w:cs="Symbol"/>
    </w:rPr>
  </w:style>
  <w:style w:type="character" w:styleId="ListLabel342">
    <w:name w:val="ListLabel 342"/>
    <w:qFormat/>
    <w:rPr>
      <w:rFonts w:cs="Courier New"/>
    </w:rPr>
  </w:style>
  <w:style w:type="character" w:styleId="ListLabel343">
    <w:name w:val="ListLabel 343"/>
    <w:qFormat/>
    <w:rPr>
      <w:rFonts w:cs="Wingdings"/>
    </w:rPr>
  </w:style>
  <w:style w:type="character" w:styleId="ListLabel344">
    <w:name w:val="ListLabel 344"/>
    <w:qFormat/>
    <w:rPr>
      <w:rFonts w:cs="Symbol"/>
    </w:rPr>
  </w:style>
  <w:style w:type="character" w:styleId="ListLabel345">
    <w:name w:val="ListLabel 345"/>
    <w:qFormat/>
    <w:rPr>
      <w:rFonts w:cs="Courier New"/>
    </w:rPr>
  </w:style>
  <w:style w:type="character" w:styleId="ListLabel346">
    <w:name w:val="ListLabel 346"/>
    <w:qFormat/>
    <w:rPr>
      <w:rFonts w:cs="Wingdings"/>
    </w:rPr>
  </w:style>
  <w:style w:type="character" w:styleId="ListLabel347">
    <w:name w:val="ListLabel 347"/>
    <w:qFormat/>
    <w:rPr>
      <w:rFonts w:cs="Courier New"/>
    </w:rPr>
  </w:style>
  <w:style w:type="character" w:styleId="ListLabel348">
    <w:name w:val="ListLabel 348"/>
    <w:qFormat/>
    <w:rPr>
      <w:rFonts w:cs="Courier New"/>
    </w:rPr>
  </w:style>
  <w:style w:type="character" w:styleId="ListLabel349">
    <w:name w:val="ListLabel 349"/>
    <w:qFormat/>
    <w:rPr>
      <w:rFonts w:cs="Wingdings"/>
    </w:rPr>
  </w:style>
  <w:style w:type="character" w:styleId="ListLabel350">
    <w:name w:val="ListLabel 350"/>
    <w:qFormat/>
    <w:rPr>
      <w:rFonts w:cs="Symbol"/>
    </w:rPr>
  </w:style>
  <w:style w:type="character" w:styleId="ListLabel351">
    <w:name w:val="ListLabel 351"/>
    <w:qFormat/>
    <w:rPr>
      <w:rFonts w:cs="Courier New"/>
    </w:rPr>
  </w:style>
  <w:style w:type="character" w:styleId="ListLabel352">
    <w:name w:val="ListLabel 352"/>
    <w:qFormat/>
    <w:rPr>
      <w:rFonts w:cs="Wingdings"/>
    </w:rPr>
  </w:style>
  <w:style w:type="character" w:styleId="ListLabel353">
    <w:name w:val="ListLabel 353"/>
    <w:qFormat/>
    <w:rPr>
      <w:rFonts w:cs="Symbol"/>
    </w:rPr>
  </w:style>
  <w:style w:type="character" w:styleId="ListLabel354">
    <w:name w:val="ListLabel 354"/>
    <w:qFormat/>
    <w:rPr>
      <w:rFonts w:cs="Courier New"/>
    </w:rPr>
  </w:style>
  <w:style w:type="character" w:styleId="ListLabel355">
    <w:name w:val="ListLabel 355"/>
    <w:qFormat/>
    <w:rPr>
      <w:rFonts w:cs="Wingdings"/>
    </w:rPr>
  </w:style>
  <w:style w:type="character" w:styleId="ListLabel356">
    <w:name w:val="ListLabel 356"/>
    <w:qFormat/>
    <w:rPr>
      <w:rFonts w:cs="Courier New"/>
    </w:rPr>
  </w:style>
  <w:style w:type="character" w:styleId="ListLabel357">
    <w:name w:val="ListLabel 357"/>
    <w:qFormat/>
    <w:rPr>
      <w:rFonts w:cs="Courier New"/>
    </w:rPr>
  </w:style>
  <w:style w:type="character" w:styleId="ListLabel358">
    <w:name w:val="ListLabel 358"/>
    <w:qFormat/>
    <w:rPr>
      <w:rFonts w:cs="Wingdings"/>
    </w:rPr>
  </w:style>
  <w:style w:type="character" w:styleId="ListLabel359">
    <w:name w:val="ListLabel 359"/>
    <w:qFormat/>
    <w:rPr>
      <w:rFonts w:cs="Symbol"/>
    </w:rPr>
  </w:style>
  <w:style w:type="character" w:styleId="ListLabel360">
    <w:name w:val="ListLabel 360"/>
    <w:qFormat/>
    <w:rPr>
      <w:rFonts w:cs="Courier New"/>
    </w:rPr>
  </w:style>
  <w:style w:type="character" w:styleId="ListLabel361">
    <w:name w:val="ListLabel 361"/>
    <w:qFormat/>
    <w:rPr>
      <w:rFonts w:cs="Wingdings"/>
    </w:rPr>
  </w:style>
  <w:style w:type="character" w:styleId="ListLabel362">
    <w:name w:val="ListLabel 362"/>
    <w:qFormat/>
    <w:rPr>
      <w:rFonts w:cs="Symbol"/>
    </w:rPr>
  </w:style>
  <w:style w:type="character" w:styleId="ListLabel363">
    <w:name w:val="ListLabel 363"/>
    <w:qFormat/>
    <w:rPr>
      <w:rFonts w:cs="Courier New"/>
    </w:rPr>
  </w:style>
  <w:style w:type="character" w:styleId="ListLabel364">
    <w:name w:val="ListLabel 364"/>
    <w:qFormat/>
    <w:rPr>
      <w:rFonts w:cs="Wingdings"/>
    </w:rPr>
  </w:style>
  <w:style w:type="character" w:styleId="ListLabel365">
    <w:name w:val="ListLabel 365"/>
    <w:qFormat/>
    <w:rPr>
      <w:rFonts w:cs="Symbol"/>
    </w:rPr>
  </w:style>
  <w:style w:type="character" w:styleId="ListLabel366">
    <w:name w:val="ListLabel 366"/>
    <w:qFormat/>
    <w:rPr>
      <w:rFonts w:cs="Courier New"/>
    </w:rPr>
  </w:style>
  <w:style w:type="character" w:styleId="ListLabel367">
    <w:name w:val="ListLabel 367"/>
    <w:qFormat/>
    <w:rPr>
      <w:rFonts w:cs="Wingdings"/>
    </w:rPr>
  </w:style>
  <w:style w:type="character" w:styleId="ListLabel368">
    <w:name w:val="ListLabel 368"/>
    <w:qFormat/>
    <w:rPr>
      <w:rFonts w:cs="Symbol"/>
    </w:rPr>
  </w:style>
  <w:style w:type="character" w:styleId="ListLabel369">
    <w:name w:val="ListLabel 369"/>
    <w:qFormat/>
    <w:rPr>
      <w:rFonts w:cs="Courier New"/>
    </w:rPr>
  </w:style>
  <w:style w:type="character" w:styleId="ListLabel370">
    <w:name w:val="ListLabel 370"/>
    <w:qFormat/>
    <w:rPr>
      <w:rFonts w:cs="Wingdings"/>
    </w:rPr>
  </w:style>
  <w:style w:type="character" w:styleId="ListLabel371">
    <w:name w:val="ListLabel 371"/>
    <w:qFormat/>
    <w:rPr>
      <w:rFonts w:cs="Symbol"/>
    </w:rPr>
  </w:style>
  <w:style w:type="character" w:styleId="ListLabel372">
    <w:name w:val="ListLabel 372"/>
    <w:qFormat/>
    <w:rPr>
      <w:rFonts w:cs="Courier New"/>
    </w:rPr>
  </w:style>
  <w:style w:type="character" w:styleId="ListLabel373">
    <w:name w:val="ListLabel 373"/>
    <w:qFormat/>
    <w:rPr>
      <w:rFonts w:cs="Wingdings"/>
    </w:rPr>
  </w:style>
  <w:style w:type="character" w:styleId="ListLabel374">
    <w:name w:val="ListLabel 374"/>
    <w:qFormat/>
    <w:rPr>
      <w:rFonts w:cs="Courier New"/>
    </w:rPr>
  </w:style>
  <w:style w:type="character" w:styleId="ListLabel375">
    <w:name w:val="ListLabel 375"/>
    <w:qFormat/>
    <w:rPr>
      <w:rFonts w:cs="Symbol"/>
    </w:rPr>
  </w:style>
  <w:style w:type="character" w:styleId="ListLabel376">
    <w:name w:val="ListLabel 376"/>
    <w:qFormat/>
    <w:rPr>
      <w:rFonts w:cs="Wingdings"/>
    </w:rPr>
  </w:style>
  <w:style w:type="character" w:styleId="ListLabel377">
    <w:name w:val="ListLabel 377"/>
    <w:qFormat/>
    <w:rPr>
      <w:rFonts w:cs="Symbol"/>
    </w:rPr>
  </w:style>
  <w:style w:type="character" w:styleId="ListLabel378">
    <w:name w:val="ListLabel 378"/>
    <w:qFormat/>
    <w:rPr>
      <w:rFonts w:cs="Courier New"/>
    </w:rPr>
  </w:style>
  <w:style w:type="character" w:styleId="ListLabel379">
    <w:name w:val="ListLabel 379"/>
    <w:qFormat/>
    <w:rPr>
      <w:rFonts w:cs="Wingdings"/>
    </w:rPr>
  </w:style>
  <w:style w:type="character" w:styleId="ListLabel380">
    <w:name w:val="ListLabel 380"/>
    <w:qFormat/>
    <w:rPr>
      <w:rFonts w:cs="Symbol"/>
    </w:rPr>
  </w:style>
  <w:style w:type="character" w:styleId="ListLabel381">
    <w:name w:val="ListLabel 381"/>
    <w:qFormat/>
    <w:rPr>
      <w:rFonts w:cs="Courier New"/>
    </w:rPr>
  </w:style>
  <w:style w:type="character" w:styleId="ListLabel382">
    <w:name w:val="ListLabel 382"/>
    <w:qFormat/>
    <w:rPr>
      <w:rFonts w:cs="Wingdings"/>
    </w:rPr>
  </w:style>
  <w:style w:type="character" w:styleId="ListLabel383">
    <w:name w:val="ListLabel 383"/>
    <w:qFormat/>
    <w:rPr>
      <w:rFonts w:cs="Symbol"/>
    </w:rPr>
  </w:style>
  <w:style w:type="character" w:styleId="ListLabel384">
    <w:name w:val="ListLabel 384"/>
    <w:qFormat/>
    <w:rPr>
      <w:rFonts w:cs="Courier New"/>
    </w:rPr>
  </w:style>
  <w:style w:type="character" w:styleId="ListLabel385">
    <w:name w:val="ListLabel 385"/>
    <w:qFormat/>
    <w:rPr>
      <w:rFonts w:cs="Wingdings"/>
    </w:rPr>
  </w:style>
  <w:style w:type="character" w:styleId="ListLabel386">
    <w:name w:val="ListLabel 386"/>
    <w:qFormat/>
    <w:rPr>
      <w:rFonts w:cs="Symbol"/>
    </w:rPr>
  </w:style>
  <w:style w:type="character" w:styleId="ListLabel387">
    <w:name w:val="ListLabel 387"/>
    <w:qFormat/>
    <w:rPr>
      <w:rFonts w:cs="Courier New"/>
    </w:rPr>
  </w:style>
  <w:style w:type="character" w:styleId="ListLabel388">
    <w:name w:val="ListLabel 388"/>
    <w:qFormat/>
    <w:rPr>
      <w:rFonts w:cs="Wingdings"/>
    </w:rPr>
  </w:style>
  <w:style w:type="character" w:styleId="ListLabel389">
    <w:name w:val="ListLabel 389"/>
    <w:qFormat/>
    <w:rPr>
      <w:rFonts w:cs="Symbol"/>
    </w:rPr>
  </w:style>
  <w:style w:type="character" w:styleId="ListLabel390">
    <w:name w:val="ListLabel 390"/>
    <w:qFormat/>
    <w:rPr>
      <w:rFonts w:cs="Courier New"/>
    </w:rPr>
  </w:style>
  <w:style w:type="character" w:styleId="ListLabel391">
    <w:name w:val="ListLabel 391"/>
    <w:qFormat/>
    <w:rPr>
      <w:rFonts w:cs="Wingdings"/>
    </w:rPr>
  </w:style>
  <w:style w:type="character" w:styleId="ListLabel392">
    <w:name w:val="ListLabel 392"/>
    <w:qFormat/>
    <w:rPr>
      <w:rFonts w:cs="Symbol"/>
    </w:rPr>
  </w:style>
  <w:style w:type="character" w:styleId="ListLabel393">
    <w:name w:val="ListLabel 393"/>
    <w:qFormat/>
    <w:rPr>
      <w:rFonts w:cs="Liberation Serif"/>
      <w:sz w:val="24"/>
      <w:szCs w:val="24"/>
    </w:rPr>
  </w:style>
  <w:style w:type="character" w:styleId="ListLabel394">
    <w:name w:val="ListLabel 394"/>
    <w:qFormat/>
    <w:rPr>
      <w:rFonts w:cs="Wingdings"/>
    </w:rPr>
  </w:style>
  <w:style w:type="character" w:styleId="ListLabel395">
    <w:name w:val="ListLabel 395"/>
    <w:qFormat/>
    <w:rPr>
      <w:rFonts w:cs="Symbol"/>
    </w:rPr>
  </w:style>
  <w:style w:type="character" w:styleId="ListLabel396">
    <w:name w:val="ListLabel 396"/>
    <w:qFormat/>
    <w:rPr>
      <w:rFonts w:cs="Courier New"/>
    </w:rPr>
  </w:style>
  <w:style w:type="character" w:styleId="ListLabel397">
    <w:name w:val="ListLabel 397"/>
    <w:qFormat/>
    <w:rPr>
      <w:rFonts w:cs="Wingdings"/>
    </w:rPr>
  </w:style>
  <w:style w:type="character" w:styleId="ListLabel398">
    <w:name w:val="ListLabel 398"/>
    <w:qFormat/>
    <w:rPr>
      <w:rFonts w:cs="Symbol"/>
    </w:rPr>
  </w:style>
  <w:style w:type="character" w:styleId="ListLabel399">
    <w:name w:val="ListLabel 399"/>
    <w:qFormat/>
    <w:rPr>
      <w:rFonts w:cs="Courier New"/>
    </w:rPr>
  </w:style>
  <w:style w:type="character" w:styleId="ListLabel400">
    <w:name w:val="ListLabel 400"/>
    <w:qFormat/>
    <w:rPr>
      <w:rFonts w:cs="Wingdings"/>
    </w:rPr>
  </w:style>
  <w:style w:type="character" w:styleId="ListLabel401">
    <w:name w:val="ListLabel 401"/>
    <w:qFormat/>
    <w:rPr>
      <w:rFonts w:cs="Courier New"/>
    </w:rPr>
  </w:style>
  <w:style w:type="character" w:styleId="ListLabel402">
    <w:name w:val="ListLabel 402"/>
    <w:qFormat/>
    <w:rPr>
      <w:rFonts w:cs="Courier New"/>
    </w:rPr>
  </w:style>
  <w:style w:type="character" w:styleId="ListLabel403">
    <w:name w:val="ListLabel 403"/>
    <w:qFormat/>
    <w:rPr>
      <w:rFonts w:cs="Wingdings"/>
    </w:rPr>
  </w:style>
  <w:style w:type="character" w:styleId="ListLabel404">
    <w:name w:val="ListLabel 404"/>
    <w:qFormat/>
    <w:rPr>
      <w:rFonts w:cs="Symbol"/>
    </w:rPr>
  </w:style>
  <w:style w:type="character" w:styleId="ListLabel405">
    <w:name w:val="ListLabel 405"/>
    <w:qFormat/>
    <w:rPr>
      <w:rFonts w:cs="Courier New"/>
    </w:rPr>
  </w:style>
  <w:style w:type="character" w:styleId="ListLabel406">
    <w:name w:val="ListLabel 406"/>
    <w:qFormat/>
    <w:rPr>
      <w:rFonts w:cs="Wingdings"/>
    </w:rPr>
  </w:style>
  <w:style w:type="character" w:styleId="ListLabel407">
    <w:name w:val="ListLabel 407"/>
    <w:qFormat/>
    <w:rPr>
      <w:rFonts w:cs="Symbol"/>
    </w:rPr>
  </w:style>
  <w:style w:type="character" w:styleId="ListLabel408">
    <w:name w:val="ListLabel 408"/>
    <w:qFormat/>
    <w:rPr>
      <w:rFonts w:cs="Courier New"/>
    </w:rPr>
  </w:style>
  <w:style w:type="character" w:styleId="ListLabel409">
    <w:name w:val="ListLabel 409"/>
    <w:qFormat/>
    <w:rPr>
      <w:rFonts w:cs="Wingdings"/>
    </w:rPr>
  </w:style>
  <w:style w:type="character" w:styleId="ListLabel410">
    <w:name w:val="ListLabel 410"/>
    <w:qFormat/>
    <w:rPr>
      <w:rFonts w:cs="Courier New"/>
    </w:rPr>
  </w:style>
  <w:style w:type="character" w:styleId="ListLabel411">
    <w:name w:val="ListLabel 411"/>
    <w:qFormat/>
    <w:rPr>
      <w:rFonts w:cs="Courier New"/>
    </w:rPr>
  </w:style>
  <w:style w:type="character" w:styleId="ListLabel412">
    <w:name w:val="ListLabel 412"/>
    <w:qFormat/>
    <w:rPr>
      <w:rFonts w:cs="Wingdings"/>
    </w:rPr>
  </w:style>
  <w:style w:type="character" w:styleId="ListLabel413">
    <w:name w:val="ListLabel 413"/>
    <w:qFormat/>
    <w:rPr>
      <w:rFonts w:cs="Symbol"/>
    </w:rPr>
  </w:style>
  <w:style w:type="character" w:styleId="ListLabel414">
    <w:name w:val="ListLabel 414"/>
    <w:qFormat/>
    <w:rPr>
      <w:rFonts w:cs="Courier New"/>
    </w:rPr>
  </w:style>
  <w:style w:type="character" w:styleId="ListLabel415">
    <w:name w:val="ListLabel 415"/>
    <w:qFormat/>
    <w:rPr>
      <w:rFonts w:cs="Wingdings"/>
    </w:rPr>
  </w:style>
  <w:style w:type="character" w:styleId="ListLabel416">
    <w:name w:val="ListLabel 416"/>
    <w:qFormat/>
    <w:rPr>
      <w:rFonts w:cs="Symbol"/>
    </w:rPr>
  </w:style>
  <w:style w:type="character" w:styleId="ListLabel417">
    <w:name w:val="ListLabel 417"/>
    <w:qFormat/>
    <w:rPr>
      <w:rFonts w:cs="Courier New"/>
    </w:rPr>
  </w:style>
  <w:style w:type="character" w:styleId="ListLabel418">
    <w:name w:val="ListLabel 418"/>
    <w:qFormat/>
    <w:rPr>
      <w:rFonts w:cs="Wingdings"/>
    </w:rPr>
  </w:style>
  <w:style w:type="character" w:styleId="ListLabel419">
    <w:name w:val="ListLabel 419"/>
    <w:qFormat/>
    <w:rPr>
      <w:rFonts w:cs="Courier New"/>
    </w:rPr>
  </w:style>
  <w:style w:type="character" w:styleId="ListLabel420">
    <w:name w:val="ListLabel 420"/>
    <w:qFormat/>
    <w:rPr>
      <w:rFonts w:cs="Symbol"/>
    </w:rPr>
  </w:style>
  <w:style w:type="character" w:styleId="ListLabel421">
    <w:name w:val="ListLabel 421"/>
    <w:qFormat/>
    <w:rPr>
      <w:rFonts w:cs="Wingdings"/>
    </w:rPr>
  </w:style>
  <w:style w:type="character" w:styleId="ListLabel422">
    <w:name w:val="ListLabel 422"/>
    <w:qFormat/>
    <w:rPr>
      <w:rFonts w:cs="Symbol"/>
    </w:rPr>
  </w:style>
  <w:style w:type="character" w:styleId="ListLabel423">
    <w:name w:val="ListLabel 423"/>
    <w:qFormat/>
    <w:rPr>
      <w:rFonts w:cs="Courier New"/>
    </w:rPr>
  </w:style>
  <w:style w:type="character" w:styleId="ListLabel424">
    <w:name w:val="ListLabel 424"/>
    <w:qFormat/>
    <w:rPr>
      <w:rFonts w:cs="Wingdings"/>
    </w:rPr>
  </w:style>
  <w:style w:type="character" w:styleId="ListLabel425">
    <w:name w:val="ListLabel 425"/>
    <w:qFormat/>
    <w:rPr>
      <w:rFonts w:cs="Symbol"/>
    </w:rPr>
  </w:style>
  <w:style w:type="character" w:styleId="ListLabel426">
    <w:name w:val="ListLabel 426"/>
    <w:qFormat/>
    <w:rPr>
      <w:rFonts w:cs="Courier New"/>
    </w:rPr>
  </w:style>
  <w:style w:type="character" w:styleId="ListLabel427">
    <w:name w:val="ListLabel 427"/>
    <w:qFormat/>
    <w:rPr>
      <w:rFonts w:cs="Wingdings"/>
    </w:rPr>
  </w:style>
  <w:style w:type="character" w:styleId="ListLabel428">
    <w:name w:val="ListLabel 428"/>
    <w:qFormat/>
    <w:rPr>
      <w:rFonts w:cs="Courier New"/>
    </w:rPr>
  </w:style>
  <w:style w:type="character" w:styleId="ListLabel429">
    <w:name w:val="ListLabel 429"/>
    <w:qFormat/>
    <w:rPr>
      <w:rFonts w:cs="Courier New"/>
    </w:rPr>
  </w:style>
  <w:style w:type="character" w:styleId="ListLabel430">
    <w:name w:val="ListLabel 430"/>
    <w:qFormat/>
    <w:rPr>
      <w:rFonts w:cs="Wingdings"/>
    </w:rPr>
  </w:style>
  <w:style w:type="character" w:styleId="ListLabel431">
    <w:name w:val="ListLabel 431"/>
    <w:qFormat/>
    <w:rPr>
      <w:rFonts w:cs="Symbol"/>
    </w:rPr>
  </w:style>
  <w:style w:type="character" w:styleId="ListLabel432">
    <w:name w:val="ListLabel 432"/>
    <w:qFormat/>
    <w:rPr>
      <w:rFonts w:cs="Courier New"/>
    </w:rPr>
  </w:style>
  <w:style w:type="character" w:styleId="ListLabel433">
    <w:name w:val="ListLabel 433"/>
    <w:qFormat/>
    <w:rPr>
      <w:rFonts w:cs="Wingdings"/>
    </w:rPr>
  </w:style>
  <w:style w:type="character" w:styleId="ListLabel434">
    <w:name w:val="ListLabel 434"/>
    <w:qFormat/>
    <w:rPr>
      <w:rFonts w:cs="Symbol"/>
    </w:rPr>
  </w:style>
  <w:style w:type="character" w:styleId="ListLabel435">
    <w:name w:val="ListLabel 435"/>
    <w:qFormat/>
    <w:rPr>
      <w:rFonts w:cs="Courier New"/>
    </w:rPr>
  </w:style>
  <w:style w:type="character" w:styleId="ListLabel436">
    <w:name w:val="ListLabel 436"/>
    <w:qFormat/>
    <w:rPr>
      <w:rFonts w:cs="Wingdings"/>
    </w:rPr>
  </w:style>
  <w:style w:type="character" w:styleId="ListLabel437">
    <w:name w:val="ListLabel 437"/>
    <w:qFormat/>
    <w:rPr>
      <w:rFonts w:cs="Courier New"/>
    </w:rPr>
  </w:style>
  <w:style w:type="character" w:styleId="ListLabel438">
    <w:name w:val="ListLabel 438"/>
    <w:qFormat/>
    <w:rPr>
      <w:rFonts w:cs="Courier New"/>
    </w:rPr>
  </w:style>
  <w:style w:type="character" w:styleId="ListLabel439">
    <w:name w:val="ListLabel 439"/>
    <w:qFormat/>
    <w:rPr>
      <w:rFonts w:cs="Wingdings"/>
    </w:rPr>
  </w:style>
  <w:style w:type="character" w:styleId="ListLabel440">
    <w:name w:val="ListLabel 440"/>
    <w:qFormat/>
    <w:rPr>
      <w:rFonts w:cs="Symbol"/>
    </w:rPr>
  </w:style>
  <w:style w:type="character" w:styleId="ListLabel441">
    <w:name w:val="ListLabel 441"/>
    <w:qFormat/>
    <w:rPr>
      <w:rFonts w:cs="Courier New"/>
    </w:rPr>
  </w:style>
  <w:style w:type="character" w:styleId="ListLabel442">
    <w:name w:val="ListLabel 442"/>
    <w:qFormat/>
    <w:rPr>
      <w:rFonts w:cs="Wingdings"/>
    </w:rPr>
  </w:style>
  <w:style w:type="character" w:styleId="ListLabel443">
    <w:name w:val="ListLabel 443"/>
    <w:qFormat/>
    <w:rPr>
      <w:rFonts w:cs="Symbol"/>
    </w:rPr>
  </w:style>
  <w:style w:type="character" w:styleId="ListLabel444">
    <w:name w:val="ListLabel 444"/>
    <w:qFormat/>
    <w:rPr>
      <w:rFonts w:cs="Courier New"/>
    </w:rPr>
  </w:style>
  <w:style w:type="character" w:styleId="ListLabel445">
    <w:name w:val="ListLabel 445"/>
    <w:qFormat/>
    <w:rPr>
      <w:rFonts w:cs="Wingdings"/>
    </w:rPr>
  </w:style>
  <w:style w:type="character" w:styleId="ListLabel446">
    <w:name w:val="ListLabel 446"/>
    <w:qFormat/>
    <w:rPr>
      <w:rFonts w:cs="Courier New"/>
    </w:rPr>
  </w:style>
  <w:style w:type="character" w:styleId="ListLabel447">
    <w:name w:val="ListLabel 447"/>
    <w:qFormat/>
    <w:rPr>
      <w:rFonts w:cs="Courier New"/>
    </w:rPr>
  </w:style>
  <w:style w:type="character" w:styleId="ListLabel448">
    <w:name w:val="ListLabel 448"/>
    <w:qFormat/>
    <w:rPr>
      <w:rFonts w:cs="Wingdings"/>
    </w:rPr>
  </w:style>
  <w:style w:type="character" w:styleId="ListLabel449">
    <w:name w:val="ListLabel 449"/>
    <w:qFormat/>
    <w:rPr>
      <w:rFonts w:cs="Symbol"/>
    </w:rPr>
  </w:style>
  <w:style w:type="character" w:styleId="ListLabel450">
    <w:name w:val="ListLabel 450"/>
    <w:qFormat/>
    <w:rPr>
      <w:rFonts w:cs="Courier New"/>
    </w:rPr>
  </w:style>
  <w:style w:type="character" w:styleId="ListLabel451">
    <w:name w:val="ListLabel 451"/>
    <w:qFormat/>
    <w:rPr>
      <w:rFonts w:cs="Wingdings"/>
    </w:rPr>
  </w:style>
  <w:style w:type="character" w:styleId="ListLabel452">
    <w:name w:val="ListLabel 452"/>
    <w:qFormat/>
    <w:rPr>
      <w:rFonts w:cs="Symbol"/>
    </w:rPr>
  </w:style>
  <w:style w:type="character" w:styleId="ListLabel453">
    <w:name w:val="ListLabel 453"/>
    <w:qFormat/>
    <w:rPr>
      <w:rFonts w:cs="Courier New"/>
    </w:rPr>
  </w:style>
  <w:style w:type="character" w:styleId="ListLabel454">
    <w:name w:val="ListLabel 454"/>
    <w:qFormat/>
    <w:rPr>
      <w:rFonts w:cs="Wingdings"/>
    </w:rPr>
  </w:style>
  <w:style w:type="character" w:styleId="ListLabel455">
    <w:name w:val="ListLabel 455"/>
    <w:qFormat/>
    <w:rPr>
      <w:rFonts w:cs="Courier New"/>
    </w:rPr>
  </w:style>
  <w:style w:type="character" w:styleId="ListLabel456">
    <w:name w:val="ListLabel 456"/>
    <w:qFormat/>
    <w:rPr>
      <w:rFonts w:cs="Courier New"/>
    </w:rPr>
  </w:style>
  <w:style w:type="character" w:styleId="ListLabel457">
    <w:name w:val="ListLabel 457"/>
    <w:qFormat/>
    <w:rPr>
      <w:rFonts w:cs="Wingdings"/>
    </w:rPr>
  </w:style>
  <w:style w:type="character" w:styleId="ListLabel458">
    <w:name w:val="ListLabel 458"/>
    <w:qFormat/>
    <w:rPr>
      <w:rFonts w:cs="Symbol"/>
    </w:rPr>
  </w:style>
  <w:style w:type="character" w:styleId="ListLabel459">
    <w:name w:val="ListLabel 459"/>
    <w:qFormat/>
    <w:rPr>
      <w:rFonts w:cs="Courier New"/>
    </w:rPr>
  </w:style>
  <w:style w:type="character" w:styleId="ListLabel460">
    <w:name w:val="ListLabel 460"/>
    <w:qFormat/>
    <w:rPr>
      <w:rFonts w:cs="Wingdings"/>
    </w:rPr>
  </w:style>
  <w:style w:type="character" w:styleId="ListLabel461">
    <w:name w:val="ListLabel 461"/>
    <w:qFormat/>
    <w:rPr>
      <w:rFonts w:cs="Symbol"/>
    </w:rPr>
  </w:style>
  <w:style w:type="character" w:styleId="ListLabel462">
    <w:name w:val="ListLabel 462"/>
    <w:qFormat/>
    <w:rPr>
      <w:rFonts w:cs="Courier New"/>
    </w:rPr>
  </w:style>
  <w:style w:type="character" w:styleId="ListLabel463">
    <w:name w:val="ListLabel 463"/>
    <w:qFormat/>
    <w:rPr>
      <w:rFonts w:cs="Wingdings"/>
    </w:rPr>
  </w:style>
  <w:style w:type="character" w:styleId="ListLabel464">
    <w:name w:val="ListLabel 464"/>
    <w:qFormat/>
    <w:rPr>
      <w:rFonts w:cs="Courier New"/>
    </w:rPr>
  </w:style>
  <w:style w:type="character" w:styleId="ListLabel465">
    <w:name w:val="ListLabel 465"/>
    <w:qFormat/>
    <w:rPr>
      <w:rFonts w:cs="Courier New"/>
    </w:rPr>
  </w:style>
  <w:style w:type="character" w:styleId="ListLabel466">
    <w:name w:val="ListLabel 466"/>
    <w:qFormat/>
    <w:rPr>
      <w:rFonts w:cs="Wingdings"/>
    </w:rPr>
  </w:style>
  <w:style w:type="character" w:styleId="ListLabel467">
    <w:name w:val="ListLabel 467"/>
    <w:qFormat/>
    <w:rPr>
      <w:rFonts w:cs="Symbol"/>
    </w:rPr>
  </w:style>
  <w:style w:type="character" w:styleId="ListLabel468">
    <w:name w:val="ListLabel 468"/>
    <w:qFormat/>
    <w:rPr>
      <w:rFonts w:cs="Courier New"/>
    </w:rPr>
  </w:style>
  <w:style w:type="character" w:styleId="ListLabel469">
    <w:name w:val="ListLabel 469"/>
    <w:qFormat/>
    <w:rPr>
      <w:rFonts w:cs="Wingdings"/>
    </w:rPr>
  </w:style>
  <w:style w:type="character" w:styleId="ListLabel470">
    <w:name w:val="ListLabel 470"/>
    <w:qFormat/>
    <w:rPr>
      <w:rFonts w:cs="Symbol"/>
    </w:rPr>
  </w:style>
  <w:style w:type="character" w:styleId="ListLabel471">
    <w:name w:val="ListLabel 471"/>
    <w:qFormat/>
    <w:rPr>
      <w:rFonts w:cs="Courier New"/>
    </w:rPr>
  </w:style>
  <w:style w:type="character" w:styleId="ListLabel472">
    <w:name w:val="ListLabel 472"/>
    <w:qFormat/>
    <w:rPr>
      <w:rFonts w:cs="Wingdings"/>
    </w:rPr>
  </w:style>
  <w:style w:type="character" w:styleId="ListLabel473">
    <w:name w:val="ListLabel 473"/>
    <w:qFormat/>
    <w:rPr>
      <w:rFonts w:cs="Courier New"/>
    </w:rPr>
  </w:style>
  <w:style w:type="character" w:styleId="ListLabel474">
    <w:name w:val="ListLabel 474"/>
    <w:qFormat/>
    <w:rPr>
      <w:rFonts w:cs="Courier New"/>
    </w:rPr>
  </w:style>
  <w:style w:type="character" w:styleId="ListLabel475">
    <w:name w:val="ListLabel 475"/>
    <w:qFormat/>
    <w:rPr>
      <w:rFonts w:cs="Wingdings"/>
    </w:rPr>
  </w:style>
  <w:style w:type="character" w:styleId="ListLabel476">
    <w:name w:val="ListLabel 476"/>
    <w:qFormat/>
    <w:rPr>
      <w:rFonts w:cs="Symbol"/>
    </w:rPr>
  </w:style>
  <w:style w:type="character" w:styleId="ListLabel477">
    <w:name w:val="ListLabel 477"/>
    <w:qFormat/>
    <w:rPr>
      <w:rFonts w:cs="Courier New"/>
    </w:rPr>
  </w:style>
  <w:style w:type="character" w:styleId="ListLabel478">
    <w:name w:val="ListLabel 478"/>
    <w:qFormat/>
    <w:rPr>
      <w:rFonts w:cs="Wingdings"/>
    </w:rPr>
  </w:style>
  <w:style w:type="character" w:styleId="ListLabel479">
    <w:name w:val="ListLabel 479"/>
    <w:qFormat/>
    <w:rPr>
      <w:rFonts w:cs="Symbol"/>
    </w:rPr>
  </w:style>
  <w:style w:type="character" w:styleId="ListLabel480">
    <w:name w:val="ListLabel 480"/>
    <w:qFormat/>
    <w:rPr>
      <w:rFonts w:cs="Courier New"/>
    </w:rPr>
  </w:style>
  <w:style w:type="character" w:styleId="ListLabel481">
    <w:name w:val="ListLabel 481"/>
    <w:qFormat/>
    <w:rPr>
      <w:rFonts w:cs="Wingdings"/>
    </w:rPr>
  </w:style>
  <w:style w:type="character" w:styleId="ListLabel482">
    <w:name w:val="ListLabel 482"/>
    <w:qFormat/>
    <w:rPr>
      <w:rFonts w:cs="Courier New"/>
    </w:rPr>
  </w:style>
  <w:style w:type="character" w:styleId="ListLabel483">
    <w:name w:val="ListLabel 483"/>
    <w:qFormat/>
    <w:rPr>
      <w:rFonts w:cs="Courier New"/>
    </w:rPr>
  </w:style>
  <w:style w:type="character" w:styleId="ListLabel484">
    <w:name w:val="ListLabel 484"/>
    <w:qFormat/>
    <w:rPr>
      <w:rFonts w:cs="Wingdings"/>
    </w:rPr>
  </w:style>
  <w:style w:type="character" w:styleId="ListLabel485">
    <w:name w:val="ListLabel 485"/>
    <w:qFormat/>
    <w:rPr>
      <w:rFonts w:cs="Symbol"/>
    </w:rPr>
  </w:style>
  <w:style w:type="character" w:styleId="ListLabel486">
    <w:name w:val="ListLabel 486"/>
    <w:qFormat/>
    <w:rPr>
      <w:rFonts w:cs="Courier New"/>
    </w:rPr>
  </w:style>
  <w:style w:type="character" w:styleId="ListLabel487">
    <w:name w:val="ListLabel 487"/>
    <w:qFormat/>
    <w:rPr>
      <w:rFonts w:cs="Wingdings"/>
    </w:rPr>
  </w:style>
  <w:style w:type="character" w:styleId="ListLabel488">
    <w:name w:val="ListLabel 488"/>
    <w:qFormat/>
    <w:rPr>
      <w:rFonts w:cs="Symbol"/>
    </w:rPr>
  </w:style>
  <w:style w:type="character" w:styleId="ListLabel489">
    <w:name w:val="ListLabel 489"/>
    <w:qFormat/>
    <w:rPr>
      <w:rFonts w:cs="Courier New"/>
    </w:rPr>
  </w:style>
  <w:style w:type="character" w:styleId="ListLabel490">
    <w:name w:val="ListLabel 490"/>
    <w:qFormat/>
    <w:rPr>
      <w:rFonts w:cs="Wingdings"/>
    </w:rPr>
  </w:style>
  <w:style w:type="character" w:styleId="ListLabel491">
    <w:name w:val="ListLabel 491"/>
    <w:qFormat/>
    <w:rPr>
      <w:rFonts w:cs="Courier New"/>
    </w:rPr>
  </w:style>
  <w:style w:type="character" w:styleId="ListLabel492">
    <w:name w:val="ListLabel 492"/>
    <w:qFormat/>
    <w:rPr>
      <w:rFonts w:cs="Courier New"/>
    </w:rPr>
  </w:style>
  <w:style w:type="character" w:styleId="ListLabel493">
    <w:name w:val="ListLabel 493"/>
    <w:qFormat/>
    <w:rPr>
      <w:rFonts w:cs="Wingdings"/>
    </w:rPr>
  </w:style>
  <w:style w:type="character" w:styleId="ListLabel494">
    <w:name w:val="ListLabel 494"/>
    <w:qFormat/>
    <w:rPr>
      <w:rFonts w:cs="Symbol"/>
    </w:rPr>
  </w:style>
  <w:style w:type="character" w:styleId="ListLabel495">
    <w:name w:val="ListLabel 495"/>
    <w:qFormat/>
    <w:rPr>
      <w:rFonts w:cs="Courier New"/>
    </w:rPr>
  </w:style>
  <w:style w:type="character" w:styleId="ListLabel496">
    <w:name w:val="ListLabel 496"/>
    <w:qFormat/>
    <w:rPr>
      <w:rFonts w:cs="Wingdings"/>
    </w:rPr>
  </w:style>
  <w:style w:type="character" w:styleId="ListLabel497">
    <w:name w:val="ListLabel 497"/>
    <w:qFormat/>
    <w:rPr>
      <w:rFonts w:cs="Symbol"/>
    </w:rPr>
  </w:style>
  <w:style w:type="character" w:styleId="ListLabel498">
    <w:name w:val="ListLabel 498"/>
    <w:qFormat/>
    <w:rPr>
      <w:rFonts w:cs="Courier New"/>
    </w:rPr>
  </w:style>
  <w:style w:type="character" w:styleId="ListLabel499">
    <w:name w:val="ListLabel 499"/>
    <w:qFormat/>
    <w:rPr>
      <w:rFonts w:cs="Wingdings"/>
    </w:rPr>
  </w:style>
  <w:style w:type="character" w:styleId="ListLabel500">
    <w:name w:val="ListLabel 500"/>
    <w:qFormat/>
    <w:rPr>
      <w:rFonts w:cs="Courier New"/>
    </w:rPr>
  </w:style>
  <w:style w:type="character" w:styleId="ListLabel501">
    <w:name w:val="ListLabel 501"/>
    <w:qFormat/>
    <w:rPr>
      <w:rFonts w:cs="Courier New"/>
    </w:rPr>
  </w:style>
  <w:style w:type="character" w:styleId="ListLabel502">
    <w:name w:val="ListLabel 502"/>
    <w:qFormat/>
    <w:rPr>
      <w:rFonts w:cs="Wingdings"/>
    </w:rPr>
  </w:style>
  <w:style w:type="character" w:styleId="ListLabel503">
    <w:name w:val="ListLabel 503"/>
    <w:qFormat/>
    <w:rPr>
      <w:rFonts w:cs="Symbol"/>
    </w:rPr>
  </w:style>
  <w:style w:type="character" w:styleId="ListLabel504">
    <w:name w:val="ListLabel 504"/>
    <w:qFormat/>
    <w:rPr>
      <w:rFonts w:cs="Courier New"/>
    </w:rPr>
  </w:style>
  <w:style w:type="character" w:styleId="ListLabel505">
    <w:name w:val="ListLabel 505"/>
    <w:qFormat/>
    <w:rPr>
      <w:rFonts w:cs="Wingdings"/>
    </w:rPr>
  </w:style>
  <w:style w:type="character" w:styleId="ListLabel506">
    <w:name w:val="ListLabel 506"/>
    <w:qFormat/>
    <w:rPr>
      <w:rFonts w:cs="Symbol"/>
    </w:rPr>
  </w:style>
  <w:style w:type="character" w:styleId="ListLabel507">
    <w:name w:val="ListLabel 507"/>
    <w:qFormat/>
    <w:rPr>
      <w:rFonts w:cs="Courier New"/>
    </w:rPr>
  </w:style>
  <w:style w:type="character" w:styleId="ListLabel508">
    <w:name w:val="ListLabel 508"/>
    <w:qFormat/>
    <w:rPr>
      <w:rFonts w:cs="Wingdings"/>
    </w:rPr>
  </w:style>
  <w:style w:type="character" w:styleId="ListLabel509">
    <w:name w:val="ListLabel 509"/>
    <w:qFormat/>
    <w:rPr>
      <w:rFonts w:cs="Courier New"/>
    </w:rPr>
  </w:style>
  <w:style w:type="character" w:styleId="ListLabel510">
    <w:name w:val="ListLabel 510"/>
    <w:qFormat/>
    <w:rPr>
      <w:rFonts w:cs="Courier New"/>
    </w:rPr>
  </w:style>
  <w:style w:type="character" w:styleId="ListLabel511">
    <w:name w:val="ListLabel 511"/>
    <w:qFormat/>
    <w:rPr>
      <w:rFonts w:cs="Wingdings"/>
    </w:rPr>
  </w:style>
  <w:style w:type="character" w:styleId="ListLabel512">
    <w:name w:val="ListLabel 512"/>
    <w:qFormat/>
    <w:rPr>
      <w:rFonts w:cs="Symbol"/>
    </w:rPr>
  </w:style>
  <w:style w:type="character" w:styleId="ListLabel513">
    <w:name w:val="ListLabel 513"/>
    <w:qFormat/>
    <w:rPr>
      <w:rFonts w:cs="Courier New"/>
    </w:rPr>
  </w:style>
  <w:style w:type="character" w:styleId="ListLabel514">
    <w:name w:val="ListLabel 514"/>
    <w:qFormat/>
    <w:rPr>
      <w:rFonts w:cs="Wingdings"/>
    </w:rPr>
  </w:style>
  <w:style w:type="character" w:styleId="ListLabel515">
    <w:name w:val="ListLabel 515"/>
    <w:qFormat/>
    <w:rPr>
      <w:rFonts w:cs="Symbol"/>
    </w:rPr>
  </w:style>
  <w:style w:type="character" w:styleId="ListLabel516">
    <w:name w:val="ListLabel 516"/>
    <w:qFormat/>
    <w:rPr>
      <w:rFonts w:cs="Courier New"/>
    </w:rPr>
  </w:style>
  <w:style w:type="character" w:styleId="ListLabel517">
    <w:name w:val="ListLabel 517"/>
    <w:qFormat/>
    <w:rPr>
      <w:rFonts w:cs="Wingdings"/>
    </w:rPr>
  </w:style>
  <w:style w:type="character" w:styleId="ListLabel518">
    <w:name w:val="ListLabel 518"/>
    <w:qFormat/>
    <w:rPr>
      <w:rFonts w:cs="Courier New"/>
    </w:rPr>
  </w:style>
  <w:style w:type="character" w:styleId="ListLabel519">
    <w:name w:val="ListLabel 519"/>
    <w:qFormat/>
    <w:rPr>
      <w:rFonts w:cs="Courier New"/>
    </w:rPr>
  </w:style>
  <w:style w:type="character" w:styleId="ListLabel520">
    <w:name w:val="ListLabel 520"/>
    <w:qFormat/>
    <w:rPr>
      <w:rFonts w:cs="Wingdings"/>
    </w:rPr>
  </w:style>
  <w:style w:type="character" w:styleId="ListLabel521">
    <w:name w:val="ListLabel 521"/>
    <w:qFormat/>
    <w:rPr>
      <w:rFonts w:cs="Symbol"/>
    </w:rPr>
  </w:style>
  <w:style w:type="character" w:styleId="ListLabel522">
    <w:name w:val="ListLabel 522"/>
    <w:qFormat/>
    <w:rPr>
      <w:rFonts w:cs="Courier New"/>
    </w:rPr>
  </w:style>
  <w:style w:type="character" w:styleId="ListLabel523">
    <w:name w:val="ListLabel 523"/>
    <w:qFormat/>
    <w:rPr>
      <w:rFonts w:cs="Wingdings"/>
    </w:rPr>
  </w:style>
  <w:style w:type="character" w:styleId="ListLabel524">
    <w:name w:val="ListLabel 524"/>
    <w:qFormat/>
    <w:rPr>
      <w:rFonts w:cs="Symbol"/>
    </w:rPr>
  </w:style>
  <w:style w:type="character" w:styleId="ListLabel525">
    <w:name w:val="ListLabel 525"/>
    <w:qFormat/>
    <w:rPr>
      <w:rFonts w:cs="Courier New"/>
    </w:rPr>
  </w:style>
  <w:style w:type="character" w:styleId="ListLabel526">
    <w:name w:val="ListLabel 526"/>
    <w:qFormat/>
    <w:rPr>
      <w:rFonts w:cs="Wingdings"/>
    </w:rPr>
  </w:style>
  <w:style w:type="character" w:styleId="ListLabel527">
    <w:name w:val="ListLabel 527"/>
    <w:qFormat/>
    <w:rPr>
      <w:rFonts w:cs="Courier New"/>
    </w:rPr>
  </w:style>
  <w:style w:type="character" w:styleId="ListLabel528">
    <w:name w:val="ListLabel 528"/>
    <w:qFormat/>
    <w:rPr>
      <w:rFonts w:cs="Courier New"/>
    </w:rPr>
  </w:style>
  <w:style w:type="character" w:styleId="ListLabel529">
    <w:name w:val="ListLabel 529"/>
    <w:qFormat/>
    <w:rPr>
      <w:rFonts w:cs="Wingdings"/>
    </w:rPr>
  </w:style>
  <w:style w:type="character" w:styleId="ListLabel530">
    <w:name w:val="ListLabel 530"/>
    <w:qFormat/>
    <w:rPr>
      <w:rFonts w:cs="Symbol"/>
    </w:rPr>
  </w:style>
  <w:style w:type="character" w:styleId="ListLabel531">
    <w:name w:val="ListLabel 531"/>
    <w:qFormat/>
    <w:rPr>
      <w:rFonts w:cs="Courier New"/>
    </w:rPr>
  </w:style>
  <w:style w:type="character" w:styleId="ListLabel532">
    <w:name w:val="ListLabel 532"/>
    <w:qFormat/>
    <w:rPr>
      <w:rFonts w:cs="Wingdings"/>
    </w:rPr>
  </w:style>
  <w:style w:type="character" w:styleId="ListLabel533">
    <w:name w:val="ListLabel 533"/>
    <w:qFormat/>
    <w:rPr>
      <w:rFonts w:cs="Symbol"/>
    </w:rPr>
  </w:style>
  <w:style w:type="character" w:styleId="ListLabel534">
    <w:name w:val="ListLabel 534"/>
    <w:qFormat/>
    <w:rPr>
      <w:rFonts w:cs="Courier New"/>
    </w:rPr>
  </w:style>
  <w:style w:type="character" w:styleId="ListLabel535">
    <w:name w:val="ListLabel 535"/>
    <w:qFormat/>
    <w:rPr>
      <w:rFonts w:cs="Wingdings"/>
    </w:rPr>
  </w:style>
  <w:style w:type="character" w:styleId="ListLabel536">
    <w:name w:val="ListLabel 536"/>
    <w:qFormat/>
    <w:rPr>
      <w:rFonts w:cs="Courier New"/>
    </w:rPr>
  </w:style>
  <w:style w:type="character" w:styleId="ListLabel537">
    <w:name w:val="ListLabel 537"/>
    <w:qFormat/>
    <w:rPr>
      <w:rFonts w:cs="Courier New"/>
    </w:rPr>
  </w:style>
  <w:style w:type="character" w:styleId="ListLabel538">
    <w:name w:val="ListLabel 538"/>
    <w:qFormat/>
    <w:rPr>
      <w:rFonts w:cs="Wingdings"/>
    </w:rPr>
  </w:style>
  <w:style w:type="character" w:styleId="ListLabel539">
    <w:name w:val="ListLabel 539"/>
    <w:qFormat/>
    <w:rPr>
      <w:rFonts w:cs="Symbol"/>
    </w:rPr>
  </w:style>
  <w:style w:type="character" w:styleId="ListLabel540">
    <w:name w:val="ListLabel 540"/>
    <w:qFormat/>
    <w:rPr>
      <w:rFonts w:cs="Courier New"/>
    </w:rPr>
  </w:style>
  <w:style w:type="character" w:styleId="ListLabel541">
    <w:name w:val="ListLabel 541"/>
    <w:qFormat/>
    <w:rPr>
      <w:rFonts w:cs="Wingdings"/>
    </w:rPr>
  </w:style>
  <w:style w:type="character" w:styleId="ListLabel542">
    <w:name w:val="ListLabel 542"/>
    <w:qFormat/>
    <w:rPr>
      <w:rFonts w:cs="Symbol"/>
    </w:rPr>
  </w:style>
  <w:style w:type="character" w:styleId="ListLabel543">
    <w:name w:val="ListLabel 543"/>
    <w:qFormat/>
    <w:rPr>
      <w:rFonts w:cs="Courier New"/>
    </w:rPr>
  </w:style>
  <w:style w:type="character" w:styleId="ListLabel544">
    <w:name w:val="ListLabel 544"/>
    <w:qFormat/>
    <w:rPr>
      <w:rFonts w:cs="Wingdings"/>
    </w:rPr>
  </w:style>
  <w:style w:type="character" w:styleId="ListLabel545">
    <w:name w:val="ListLabel 545"/>
    <w:qFormat/>
    <w:rPr>
      <w:rFonts w:cs="Courier New"/>
    </w:rPr>
  </w:style>
  <w:style w:type="character" w:styleId="ListLabel546">
    <w:name w:val="ListLabel 546"/>
    <w:qFormat/>
    <w:rPr>
      <w:rFonts w:cs="Symbol"/>
    </w:rPr>
  </w:style>
  <w:style w:type="character" w:styleId="ListLabel547">
    <w:name w:val="ListLabel 547"/>
    <w:qFormat/>
    <w:rPr>
      <w:rFonts w:cs="Wingdings"/>
    </w:rPr>
  </w:style>
  <w:style w:type="character" w:styleId="ListLabel548">
    <w:name w:val="ListLabel 548"/>
    <w:qFormat/>
    <w:rPr>
      <w:rFonts w:cs="Symbol"/>
    </w:rPr>
  </w:style>
  <w:style w:type="character" w:styleId="ListLabel549">
    <w:name w:val="ListLabel 549"/>
    <w:qFormat/>
    <w:rPr>
      <w:rFonts w:cs="Courier New"/>
    </w:rPr>
  </w:style>
  <w:style w:type="character" w:styleId="ListLabel550">
    <w:name w:val="ListLabel 550"/>
    <w:qFormat/>
    <w:rPr>
      <w:rFonts w:cs="Wingdings"/>
    </w:rPr>
  </w:style>
  <w:style w:type="character" w:styleId="ListLabel551">
    <w:name w:val="ListLabel 551"/>
    <w:qFormat/>
    <w:rPr>
      <w:rFonts w:cs="Symbol"/>
    </w:rPr>
  </w:style>
  <w:style w:type="character" w:styleId="ListLabel552">
    <w:name w:val="ListLabel 552"/>
    <w:qFormat/>
    <w:rPr>
      <w:rFonts w:cs="Courier New"/>
    </w:rPr>
  </w:style>
  <w:style w:type="character" w:styleId="ListLabel553">
    <w:name w:val="ListLabel 553"/>
    <w:qFormat/>
    <w:rPr>
      <w:rFonts w:cs="Wingdings"/>
    </w:rPr>
  </w:style>
  <w:style w:type="character" w:styleId="ListLabel554">
    <w:name w:val="ListLabel 554"/>
    <w:qFormat/>
    <w:rPr>
      <w:rFonts w:cs="Courier New"/>
    </w:rPr>
  </w:style>
  <w:style w:type="character" w:styleId="ListLabel555">
    <w:name w:val="ListLabel 555"/>
    <w:qFormat/>
    <w:rPr>
      <w:rFonts w:cs="Courier New"/>
    </w:rPr>
  </w:style>
  <w:style w:type="character" w:styleId="ListLabel556">
    <w:name w:val="ListLabel 556"/>
    <w:qFormat/>
    <w:rPr>
      <w:rFonts w:cs="Wingdings"/>
    </w:rPr>
  </w:style>
  <w:style w:type="character" w:styleId="ListLabel557">
    <w:name w:val="ListLabel 557"/>
    <w:qFormat/>
    <w:rPr>
      <w:rFonts w:cs="Symbol"/>
    </w:rPr>
  </w:style>
  <w:style w:type="character" w:styleId="ListLabel558">
    <w:name w:val="ListLabel 558"/>
    <w:qFormat/>
    <w:rPr>
      <w:rFonts w:cs="Courier New"/>
    </w:rPr>
  </w:style>
  <w:style w:type="character" w:styleId="ListLabel559">
    <w:name w:val="ListLabel 559"/>
    <w:qFormat/>
    <w:rPr>
      <w:rFonts w:cs="Wingdings"/>
    </w:rPr>
  </w:style>
  <w:style w:type="character" w:styleId="ListLabel560">
    <w:name w:val="ListLabel 560"/>
    <w:qFormat/>
    <w:rPr>
      <w:rFonts w:cs="Symbol"/>
    </w:rPr>
  </w:style>
  <w:style w:type="character" w:styleId="ListLabel561">
    <w:name w:val="ListLabel 561"/>
    <w:qFormat/>
    <w:rPr>
      <w:rFonts w:cs="Courier New"/>
    </w:rPr>
  </w:style>
  <w:style w:type="character" w:styleId="ListLabel562">
    <w:name w:val="ListLabel 562"/>
    <w:qFormat/>
    <w:rPr>
      <w:rFonts w:cs="Wingdings"/>
    </w:rPr>
  </w:style>
  <w:style w:type="character" w:styleId="ListLabel563">
    <w:name w:val="ListLabel 563"/>
    <w:qFormat/>
    <w:rPr>
      <w:rFonts w:cs="Courier New"/>
    </w:rPr>
  </w:style>
  <w:style w:type="character" w:styleId="ListLabel564">
    <w:name w:val="ListLabel 564"/>
    <w:qFormat/>
    <w:rPr>
      <w:rFonts w:cs="Courier New"/>
    </w:rPr>
  </w:style>
  <w:style w:type="character" w:styleId="ListLabel565">
    <w:name w:val="ListLabel 565"/>
    <w:qFormat/>
    <w:rPr>
      <w:rFonts w:cs="Wingdings"/>
    </w:rPr>
  </w:style>
  <w:style w:type="character" w:styleId="ListLabel566">
    <w:name w:val="ListLabel 566"/>
    <w:qFormat/>
    <w:rPr>
      <w:rFonts w:cs="Symbol"/>
    </w:rPr>
  </w:style>
  <w:style w:type="character" w:styleId="ListLabel567">
    <w:name w:val="ListLabel 567"/>
    <w:qFormat/>
    <w:rPr>
      <w:rFonts w:cs="Courier New"/>
    </w:rPr>
  </w:style>
  <w:style w:type="character" w:styleId="ListLabel568">
    <w:name w:val="ListLabel 568"/>
    <w:qFormat/>
    <w:rPr>
      <w:rFonts w:cs="Wingdings"/>
    </w:rPr>
  </w:style>
  <w:style w:type="character" w:styleId="ListLabel569">
    <w:name w:val="ListLabel 569"/>
    <w:qFormat/>
    <w:rPr>
      <w:rFonts w:cs="Symbol"/>
    </w:rPr>
  </w:style>
  <w:style w:type="character" w:styleId="ListLabel570">
    <w:name w:val="ListLabel 570"/>
    <w:qFormat/>
    <w:rPr>
      <w:rFonts w:cs="Courier New"/>
    </w:rPr>
  </w:style>
  <w:style w:type="character" w:styleId="ListLabel571">
    <w:name w:val="ListLabel 571"/>
    <w:qFormat/>
    <w:rPr>
      <w:rFonts w:cs="Wingdings"/>
    </w:rPr>
  </w:style>
  <w:style w:type="character" w:styleId="ListLabel572">
    <w:name w:val="ListLabel 572"/>
    <w:qFormat/>
    <w:rPr>
      <w:rFonts w:cs="Symbol"/>
    </w:rPr>
  </w:style>
  <w:style w:type="character" w:styleId="ListLabel573">
    <w:name w:val="ListLabel 573"/>
    <w:qFormat/>
    <w:rPr>
      <w:rFonts w:cs="Courier New"/>
    </w:rPr>
  </w:style>
  <w:style w:type="character" w:styleId="ListLabel574">
    <w:name w:val="ListLabel 574"/>
    <w:qFormat/>
    <w:rPr>
      <w:rFonts w:cs="Wingdings"/>
    </w:rPr>
  </w:style>
  <w:style w:type="character" w:styleId="ListLabel575">
    <w:name w:val="ListLabel 575"/>
    <w:qFormat/>
    <w:rPr>
      <w:rFonts w:cs="Symbol"/>
    </w:rPr>
  </w:style>
  <w:style w:type="character" w:styleId="ListLabel576">
    <w:name w:val="ListLabel 576"/>
    <w:qFormat/>
    <w:rPr>
      <w:rFonts w:cs="Courier New"/>
    </w:rPr>
  </w:style>
  <w:style w:type="character" w:styleId="ListLabel577">
    <w:name w:val="ListLabel 577"/>
    <w:qFormat/>
    <w:rPr>
      <w:rFonts w:cs="Wingdings"/>
    </w:rPr>
  </w:style>
  <w:style w:type="character" w:styleId="ListLabel578">
    <w:name w:val="ListLabel 578"/>
    <w:qFormat/>
    <w:rPr>
      <w:rFonts w:cs="Symbol"/>
    </w:rPr>
  </w:style>
  <w:style w:type="character" w:styleId="ListLabel579">
    <w:name w:val="ListLabel 579"/>
    <w:qFormat/>
    <w:rPr>
      <w:rFonts w:cs="Courier New"/>
    </w:rPr>
  </w:style>
  <w:style w:type="character" w:styleId="ListLabel580">
    <w:name w:val="ListLabel 580"/>
    <w:qFormat/>
    <w:rPr>
      <w:rFonts w:cs="Wingdings"/>
    </w:rPr>
  </w:style>
  <w:style w:type="character" w:styleId="ListLabel581">
    <w:name w:val="ListLabel 581"/>
    <w:qFormat/>
    <w:rPr>
      <w:rFonts w:cs="Courier New"/>
    </w:rPr>
  </w:style>
  <w:style w:type="character" w:styleId="ListLabel582">
    <w:name w:val="ListLabel 582"/>
    <w:qFormat/>
    <w:rPr>
      <w:rFonts w:cs="Symbol"/>
    </w:rPr>
  </w:style>
  <w:style w:type="character" w:styleId="ListLabel583">
    <w:name w:val="ListLabel 583"/>
    <w:qFormat/>
    <w:rPr>
      <w:rFonts w:cs="Arial"/>
      <w:sz w:val="22"/>
      <w:szCs w:val="22"/>
    </w:rPr>
  </w:style>
  <w:style w:type="character" w:styleId="ListLabel584">
    <w:name w:val="ListLabel 584"/>
    <w:qFormat/>
    <w:rPr>
      <w:rFonts w:cs="Symbol"/>
    </w:rPr>
  </w:style>
  <w:style w:type="character" w:styleId="ListLabel585">
    <w:name w:val="ListLabel 585"/>
    <w:qFormat/>
    <w:rPr>
      <w:rFonts w:cs="Courier New"/>
    </w:rPr>
  </w:style>
  <w:style w:type="character" w:styleId="ListLabel586">
    <w:name w:val="ListLabel 586"/>
    <w:qFormat/>
    <w:rPr>
      <w:rFonts w:cs="Wingdings"/>
    </w:rPr>
  </w:style>
  <w:style w:type="character" w:styleId="ListLabel587">
    <w:name w:val="ListLabel 587"/>
    <w:qFormat/>
    <w:rPr>
      <w:rFonts w:cs="Symbol"/>
    </w:rPr>
  </w:style>
  <w:style w:type="character" w:styleId="ListLabel588">
    <w:name w:val="ListLabel 588"/>
    <w:qFormat/>
    <w:rPr>
      <w:rFonts w:cs="Courier New"/>
    </w:rPr>
  </w:style>
  <w:style w:type="character" w:styleId="ListLabel589">
    <w:name w:val="ListLabel 589"/>
    <w:qFormat/>
    <w:rPr>
      <w:rFonts w:cs="Wingdings"/>
    </w:rPr>
  </w:style>
  <w:style w:type="character" w:styleId="ListLabel590">
    <w:name w:val="ListLabel 590"/>
    <w:qFormat/>
    <w:rPr>
      <w:rFonts w:cs="Courier New"/>
    </w:rPr>
  </w:style>
  <w:style w:type="character" w:styleId="ListLabel591">
    <w:name w:val="ListLabel 591"/>
    <w:qFormat/>
    <w:rPr>
      <w:rFonts w:cs="Courier New"/>
    </w:rPr>
  </w:style>
  <w:style w:type="character" w:styleId="ListLabel592">
    <w:name w:val="ListLabel 592"/>
    <w:qFormat/>
    <w:rPr>
      <w:rFonts w:cs="Wingdings"/>
    </w:rPr>
  </w:style>
  <w:style w:type="character" w:styleId="ListLabel593">
    <w:name w:val="ListLabel 593"/>
    <w:qFormat/>
    <w:rPr>
      <w:rFonts w:cs="Symbol"/>
    </w:rPr>
  </w:style>
  <w:style w:type="character" w:styleId="ListLabel594">
    <w:name w:val="ListLabel 594"/>
    <w:qFormat/>
    <w:rPr>
      <w:rFonts w:cs="Courier New"/>
    </w:rPr>
  </w:style>
  <w:style w:type="character" w:styleId="ListLabel595">
    <w:name w:val="ListLabel 595"/>
    <w:qFormat/>
    <w:rPr>
      <w:rFonts w:cs="Wingdings"/>
    </w:rPr>
  </w:style>
  <w:style w:type="character" w:styleId="ListLabel596">
    <w:name w:val="ListLabel 596"/>
    <w:qFormat/>
    <w:rPr>
      <w:rFonts w:cs="Symbol"/>
    </w:rPr>
  </w:style>
  <w:style w:type="character" w:styleId="ListLabel597">
    <w:name w:val="ListLabel 597"/>
    <w:qFormat/>
    <w:rPr>
      <w:rFonts w:cs="Courier New"/>
    </w:rPr>
  </w:style>
  <w:style w:type="character" w:styleId="ListLabel598">
    <w:name w:val="ListLabel 598"/>
    <w:qFormat/>
    <w:rPr>
      <w:rFonts w:cs="Wingdings"/>
    </w:rPr>
  </w:style>
  <w:style w:type="character" w:styleId="ListLabel599">
    <w:name w:val="ListLabel 599"/>
    <w:qFormat/>
    <w:rPr>
      <w:rFonts w:cs="Courier New"/>
    </w:rPr>
  </w:style>
  <w:style w:type="character" w:styleId="ListLabel600">
    <w:name w:val="ListLabel 600"/>
    <w:qFormat/>
    <w:rPr>
      <w:rFonts w:cs="Symbol"/>
    </w:rPr>
  </w:style>
  <w:style w:type="character" w:styleId="ListLabel601">
    <w:name w:val="ListLabel 601"/>
    <w:qFormat/>
    <w:rPr>
      <w:rFonts w:cs="Wingdings"/>
    </w:rPr>
  </w:style>
  <w:style w:type="character" w:styleId="ListLabel602">
    <w:name w:val="ListLabel 602"/>
    <w:qFormat/>
    <w:rPr>
      <w:rFonts w:cs="Symbol"/>
    </w:rPr>
  </w:style>
  <w:style w:type="character" w:styleId="ListLabel603">
    <w:name w:val="ListLabel 603"/>
    <w:qFormat/>
    <w:rPr>
      <w:rFonts w:cs="Courier New"/>
    </w:rPr>
  </w:style>
  <w:style w:type="character" w:styleId="ListLabel604">
    <w:name w:val="ListLabel 604"/>
    <w:qFormat/>
    <w:rPr>
      <w:rFonts w:cs="Wingdings"/>
    </w:rPr>
  </w:style>
  <w:style w:type="character" w:styleId="ListLabel605">
    <w:name w:val="ListLabel 605"/>
    <w:qFormat/>
    <w:rPr>
      <w:rFonts w:cs="Symbol"/>
    </w:rPr>
  </w:style>
  <w:style w:type="character" w:styleId="ListLabel606">
    <w:name w:val="ListLabel 606"/>
    <w:qFormat/>
    <w:rPr>
      <w:rFonts w:cs="Courier New"/>
    </w:rPr>
  </w:style>
  <w:style w:type="character" w:styleId="ListLabel607">
    <w:name w:val="ListLabel 607"/>
    <w:qFormat/>
    <w:rPr>
      <w:rFonts w:cs="Wingdings"/>
    </w:rPr>
  </w:style>
  <w:style w:type="character" w:styleId="ListLabel608">
    <w:name w:val="ListLabel 608"/>
    <w:qFormat/>
    <w:rPr>
      <w:rFonts w:cs="Symbol"/>
    </w:rPr>
  </w:style>
  <w:style w:type="character" w:styleId="ListLabel609">
    <w:name w:val="ListLabel 609"/>
    <w:qFormat/>
    <w:rPr>
      <w:rFonts w:cs="Courier New"/>
    </w:rPr>
  </w:style>
  <w:style w:type="character" w:styleId="ListLabel610">
    <w:name w:val="ListLabel 610"/>
    <w:qFormat/>
    <w:rPr>
      <w:rFonts w:cs="Wingdings"/>
    </w:rPr>
  </w:style>
  <w:style w:type="character" w:styleId="ListLabel611">
    <w:name w:val="ListLabel 611"/>
    <w:qFormat/>
    <w:rPr>
      <w:rFonts w:cs="Symbol"/>
    </w:rPr>
  </w:style>
  <w:style w:type="character" w:styleId="ListLabel612">
    <w:name w:val="ListLabel 612"/>
    <w:qFormat/>
    <w:rPr>
      <w:rFonts w:cs="Courier New"/>
    </w:rPr>
  </w:style>
  <w:style w:type="character" w:styleId="ListLabel613">
    <w:name w:val="ListLabel 613"/>
    <w:qFormat/>
    <w:rPr>
      <w:rFonts w:cs="Wingdings"/>
    </w:rPr>
  </w:style>
  <w:style w:type="character" w:styleId="ListLabel614">
    <w:name w:val="ListLabel 614"/>
    <w:qFormat/>
    <w:rPr>
      <w:rFonts w:cs="Symbol"/>
    </w:rPr>
  </w:style>
  <w:style w:type="character" w:styleId="ListLabel615">
    <w:name w:val="ListLabel 615"/>
    <w:qFormat/>
    <w:rPr>
      <w:rFonts w:cs="Courier New"/>
    </w:rPr>
  </w:style>
  <w:style w:type="character" w:styleId="ListLabel616">
    <w:name w:val="ListLabel 616"/>
    <w:qFormat/>
    <w:rPr>
      <w:rFonts w:cs="Wingdings"/>
    </w:rPr>
  </w:style>
  <w:style w:type="character" w:styleId="ListLabel617">
    <w:name w:val="ListLabel 617"/>
    <w:qFormat/>
    <w:rPr>
      <w:rFonts w:cs="Courier New"/>
    </w:rPr>
  </w:style>
  <w:style w:type="character" w:styleId="ListLabel618">
    <w:name w:val="ListLabel 618"/>
    <w:qFormat/>
    <w:rPr>
      <w:rFonts w:cs="Courier New"/>
    </w:rPr>
  </w:style>
  <w:style w:type="character" w:styleId="ListLabel619">
    <w:name w:val="ListLabel 619"/>
    <w:qFormat/>
    <w:rPr>
      <w:rFonts w:cs="Wingdings"/>
    </w:rPr>
  </w:style>
  <w:style w:type="character" w:styleId="ListLabel620">
    <w:name w:val="ListLabel 620"/>
    <w:qFormat/>
    <w:rPr>
      <w:rFonts w:cs="Symbol"/>
    </w:rPr>
  </w:style>
  <w:style w:type="character" w:styleId="ListLabel621">
    <w:name w:val="ListLabel 621"/>
    <w:qFormat/>
    <w:rPr>
      <w:rFonts w:cs="Courier New"/>
    </w:rPr>
  </w:style>
  <w:style w:type="character" w:styleId="ListLabel622">
    <w:name w:val="ListLabel 622"/>
    <w:qFormat/>
    <w:rPr>
      <w:rFonts w:cs="Wingdings"/>
    </w:rPr>
  </w:style>
  <w:style w:type="character" w:styleId="ListLabel623">
    <w:name w:val="ListLabel 623"/>
    <w:qFormat/>
    <w:rPr>
      <w:rFonts w:cs="Symbol"/>
    </w:rPr>
  </w:style>
  <w:style w:type="character" w:styleId="ListLabel624">
    <w:name w:val="ListLabel 624"/>
    <w:qFormat/>
    <w:rPr>
      <w:rFonts w:cs="Courier New"/>
    </w:rPr>
  </w:style>
  <w:style w:type="character" w:styleId="ListLabel625">
    <w:name w:val="ListLabel 625"/>
    <w:qFormat/>
    <w:rPr>
      <w:rFonts w:cs="Wingdings"/>
    </w:rPr>
  </w:style>
  <w:style w:type="character" w:styleId="ListLabel626">
    <w:name w:val="ListLabel 626"/>
    <w:qFormat/>
    <w:rPr>
      <w:rFonts w:cs="Courier New"/>
    </w:rPr>
  </w:style>
  <w:style w:type="character" w:styleId="ListLabel627">
    <w:name w:val="ListLabel 627"/>
    <w:qFormat/>
    <w:rPr>
      <w:rFonts w:cs="Courier New"/>
    </w:rPr>
  </w:style>
  <w:style w:type="character" w:styleId="ListLabel628">
    <w:name w:val="ListLabel 628"/>
    <w:qFormat/>
    <w:rPr>
      <w:rFonts w:cs="Wingdings"/>
    </w:rPr>
  </w:style>
  <w:style w:type="character" w:styleId="ListLabel629">
    <w:name w:val="ListLabel 629"/>
    <w:qFormat/>
    <w:rPr>
      <w:rFonts w:cs="Symbol"/>
    </w:rPr>
  </w:style>
  <w:style w:type="character" w:styleId="ListLabel630">
    <w:name w:val="ListLabel 630"/>
    <w:qFormat/>
    <w:rPr>
      <w:rFonts w:cs="Courier New"/>
    </w:rPr>
  </w:style>
  <w:style w:type="character" w:styleId="ListLabel631">
    <w:name w:val="ListLabel 631"/>
    <w:qFormat/>
    <w:rPr>
      <w:rFonts w:cs="Wingdings"/>
    </w:rPr>
  </w:style>
  <w:style w:type="character" w:styleId="ListLabel632">
    <w:name w:val="ListLabel 632"/>
    <w:qFormat/>
    <w:rPr>
      <w:rFonts w:cs="Symbol"/>
    </w:rPr>
  </w:style>
  <w:style w:type="character" w:styleId="ListLabel633">
    <w:name w:val="ListLabel 633"/>
    <w:qFormat/>
    <w:rPr>
      <w:rFonts w:cs="Courier New"/>
    </w:rPr>
  </w:style>
  <w:style w:type="character" w:styleId="ListLabel634">
    <w:name w:val="ListLabel 634"/>
    <w:qFormat/>
    <w:rPr>
      <w:rFonts w:cs="Wingdings"/>
    </w:rPr>
  </w:style>
  <w:style w:type="character" w:styleId="ListLabel635">
    <w:name w:val="ListLabel 635"/>
    <w:qFormat/>
    <w:rPr>
      <w:rFonts w:cs="Courier New"/>
    </w:rPr>
  </w:style>
  <w:style w:type="character" w:styleId="ListLabel636">
    <w:name w:val="ListLabel 636"/>
    <w:qFormat/>
    <w:rPr>
      <w:rFonts w:cs="Symbol"/>
    </w:rPr>
  </w:style>
  <w:style w:type="character" w:styleId="ListLabel637">
    <w:name w:val="ListLabel 637"/>
    <w:qFormat/>
    <w:rPr>
      <w:rFonts w:cs="Wingdings"/>
    </w:rPr>
  </w:style>
  <w:style w:type="character" w:styleId="ListLabel638">
    <w:name w:val="ListLabel 638"/>
    <w:qFormat/>
    <w:rPr>
      <w:rFonts w:cs="Symbol"/>
    </w:rPr>
  </w:style>
  <w:style w:type="character" w:styleId="ListLabel639">
    <w:name w:val="ListLabel 639"/>
    <w:qFormat/>
    <w:rPr>
      <w:rFonts w:cs="Courier New"/>
    </w:rPr>
  </w:style>
  <w:style w:type="character" w:styleId="ListLabel640">
    <w:name w:val="ListLabel 640"/>
    <w:qFormat/>
    <w:rPr>
      <w:rFonts w:cs="Wingdings"/>
    </w:rPr>
  </w:style>
  <w:style w:type="character" w:styleId="ListLabel641">
    <w:name w:val="ListLabel 641"/>
    <w:qFormat/>
    <w:rPr>
      <w:rFonts w:cs="Symbol"/>
    </w:rPr>
  </w:style>
  <w:style w:type="character" w:styleId="ListLabel642">
    <w:name w:val="ListLabel 642"/>
    <w:qFormat/>
    <w:rPr>
      <w:rFonts w:cs="Courier New"/>
    </w:rPr>
  </w:style>
  <w:style w:type="character" w:styleId="ListLabel643">
    <w:name w:val="ListLabel 643"/>
    <w:qFormat/>
    <w:rPr>
      <w:rFonts w:cs="Wingdings"/>
    </w:rPr>
  </w:style>
  <w:style w:type="character" w:styleId="ListLabel644">
    <w:name w:val="ListLabel 644"/>
    <w:qFormat/>
    <w:rPr>
      <w:rFonts w:cs="Symbol"/>
    </w:rPr>
  </w:style>
  <w:style w:type="character" w:styleId="ListLabel645">
    <w:name w:val="ListLabel 645"/>
    <w:qFormat/>
    <w:rPr>
      <w:rFonts w:cs="Courier New"/>
    </w:rPr>
  </w:style>
  <w:style w:type="character" w:styleId="ListLabel646">
    <w:name w:val="ListLabel 646"/>
    <w:qFormat/>
    <w:rPr>
      <w:rFonts w:cs="Wingdings"/>
    </w:rPr>
  </w:style>
  <w:style w:type="character" w:styleId="ListLabel647">
    <w:name w:val="ListLabel 647"/>
    <w:qFormat/>
    <w:rPr>
      <w:rFonts w:cs="Symbol"/>
    </w:rPr>
  </w:style>
  <w:style w:type="character" w:styleId="ListLabel648">
    <w:name w:val="ListLabel 648"/>
    <w:qFormat/>
    <w:rPr>
      <w:rFonts w:cs="Courier New"/>
    </w:rPr>
  </w:style>
  <w:style w:type="character" w:styleId="ListLabel649">
    <w:name w:val="ListLabel 649"/>
    <w:qFormat/>
    <w:rPr>
      <w:rFonts w:cs="Wingdings"/>
    </w:rPr>
  </w:style>
  <w:style w:type="character" w:styleId="ListLabel650">
    <w:name w:val="ListLabel 650"/>
    <w:qFormat/>
    <w:rPr>
      <w:rFonts w:cs="Symbol"/>
    </w:rPr>
  </w:style>
  <w:style w:type="character" w:styleId="ListLabel651">
    <w:name w:val="ListLabel 651"/>
    <w:qFormat/>
    <w:rPr>
      <w:rFonts w:cs="Courier New"/>
    </w:rPr>
  </w:style>
  <w:style w:type="character" w:styleId="ListLabel652">
    <w:name w:val="ListLabel 652"/>
    <w:qFormat/>
    <w:rPr>
      <w:rFonts w:cs="Wingdings"/>
    </w:rPr>
  </w:style>
  <w:style w:type="character" w:styleId="ListLabel653">
    <w:name w:val="ListLabel 653"/>
    <w:qFormat/>
    <w:rPr>
      <w:rFonts w:cs="Symbol"/>
    </w:rPr>
  </w:style>
  <w:style w:type="character" w:styleId="ListLabel654">
    <w:name w:val="ListLabel 654"/>
    <w:qFormat/>
    <w:rPr>
      <w:rFonts w:cs="Courier New"/>
    </w:rPr>
  </w:style>
  <w:style w:type="character" w:styleId="ListLabel655">
    <w:name w:val="ListLabel 655"/>
    <w:qFormat/>
    <w:rPr>
      <w:rFonts w:cs="Wingdings"/>
    </w:rPr>
  </w:style>
  <w:style w:type="character" w:styleId="ListLabel656">
    <w:name w:val="ListLabel 656"/>
    <w:qFormat/>
    <w:rPr>
      <w:rFonts w:cs="Symbol"/>
    </w:rPr>
  </w:style>
  <w:style w:type="character" w:styleId="ListLabel657">
    <w:name w:val="ListLabel 657"/>
    <w:qFormat/>
    <w:rPr>
      <w:rFonts w:cs="Courier New"/>
    </w:rPr>
  </w:style>
  <w:style w:type="character" w:styleId="ListLabel658">
    <w:name w:val="ListLabel 658"/>
    <w:qFormat/>
    <w:rPr>
      <w:rFonts w:cs="Wingdings"/>
    </w:rPr>
  </w:style>
  <w:style w:type="character" w:styleId="ListLabel659">
    <w:name w:val="ListLabel 659"/>
    <w:qFormat/>
    <w:rPr>
      <w:rFonts w:cs="Symbol"/>
    </w:rPr>
  </w:style>
  <w:style w:type="character" w:styleId="ListLabel660">
    <w:name w:val="ListLabel 660"/>
    <w:qFormat/>
    <w:rPr>
      <w:rFonts w:cs="Courier New"/>
    </w:rPr>
  </w:style>
  <w:style w:type="character" w:styleId="ListLabel661">
    <w:name w:val="ListLabel 661"/>
    <w:qFormat/>
    <w:rPr>
      <w:rFonts w:cs="Wingdings"/>
    </w:rPr>
  </w:style>
  <w:style w:type="character" w:styleId="ListLabel662">
    <w:name w:val="ListLabel 662"/>
    <w:qFormat/>
    <w:rPr>
      <w:rFonts w:cs="Symbol"/>
    </w:rPr>
  </w:style>
  <w:style w:type="character" w:styleId="ListLabel663">
    <w:name w:val="ListLabel 663"/>
    <w:qFormat/>
    <w:rPr>
      <w:rFonts w:cs="Symbol"/>
    </w:rPr>
  </w:style>
  <w:style w:type="character" w:styleId="ListLabel664">
    <w:name w:val="ListLabel 664"/>
    <w:qFormat/>
    <w:rPr>
      <w:rFonts w:cs="Segoe UI Light"/>
    </w:rPr>
  </w:style>
  <w:style w:type="character" w:styleId="ListLabel665">
    <w:name w:val="ListLabel 665"/>
    <w:qFormat/>
    <w:rPr>
      <w:rFonts w:cs="Symbol"/>
    </w:rPr>
  </w:style>
  <w:style w:type="character" w:styleId="ListLabel666">
    <w:name w:val="ListLabel 666"/>
    <w:qFormat/>
    <w:rPr>
      <w:rFonts w:cs="Courier New"/>
    </w:rPr>
  </w:style>
  <w:style w:type="character" w:styleId="ListLabel667">
    <w:name w:val="ListLabel 667"/>
    <w:qFormat/>
    <w:rPr>
      <w:rFonts w:cs="Wingdings"/>
    </w:rPr>
  </w:style>
  <w:style w:type="character" w:styleId="ListLabel668">
    <w:name w:val="ListLabel 668"/>
    <w:qFormat/>
    <w:rPr>
      <w:rFonts w:cs="Symbol"/>
    </w:rPr>
  </w:style>
  <w:style w:type="character" w:styleId="ListLabel669">
    <w:name w:val="ListLabel 669"/>
    <w:qFormat/>
    <w:rPr>
      <w:rFonts w:cs="Courier New"/>
    </w:rPr>
  </w:style>
  <w:style w:type="character" w:styleId="ListLabel670">
    <w:name w:val="ListLabel 670"/>
    <w:qFormat/>
    <w:rPr>
      <w:rFonts w:cs="Wingdings"/>
    </w:rPr>
  </w:style>
  <w:style w:type="character" w:styleId="ListLabel671">
    <w:name w:val="ListLabel 671"/>
    <w:qFormat/>
    <w:rPr>
      <w:rFonts w:cs="Symbol"/>
    </w:rPr>
  </w:style>
  <w:style w:type="character" w:styleId="ListLabel672">
    <w:name w:val="ListLabel 672"/>
    <w:qFormat/>
    <w:rPr>
      <w:rFonts w:cs="Symbol"/>
    </w:rPr>
  </w:style>
  <w:style w:type="character" w:styleId="ListLabel673">
    <w:name w:val="ListLabel 673"/>
    <w:qFormat/>
    <w:rPr>
      <w:rFonts w:cs="Wingdings"/>
    </w:rPr>
  </w:style>
  <w:style w:type="character" w:styleId="ListLabel674">
    <w:name w:val="ListLabel 674"/>
    <w:qFormat/>
    <w:rPr>
      <w:rFonts w:cs="Symbol"/>
    </w:rPr>
  </w:style>
  <w:style w:type="character" w:styleId="ListLabel675">
    <w:name w:val="ListLabel 675"/>
    <w:qFormat/>
    <w:rPr>
      <w:rFonts w:cs="Courier New"/>
    </w:rPr>
  </w:style>
  <w:style w:type="character" w:styleId="ListLabel676">
    <w:name w:val="ListLabel 676"/>
    <w:qFormat/>
    <w:rPr>
      <w:rFonts w:cs="Wingdings"/>
    </w:rPr>
  </w:style>
  <w:style w:type="character" w:styleId="ListLabel677">
    <w:name w:val="ListLabel 677"/>
    <w:qFormat/>
    <w:rPr>
      <w:rFonts w:cs="Symbol"/>
    </w:rPr>
  </w:style>
  <w:style w:type="character" w:styleId="ListLabel678">
    <w:name w:val="ListLabel 678"/>
    <w:qFormat/>
    <w:rPr>
      <w:rFonts w:cs="Courier New"/>
    </w:rPr>
  </w:style>
  <w:style w:type="character" w:styleId="ListLabel679">
    <w:name w:val="ListLabel 679"/>
    <w:qFormat/>
    <w:rPr>
      <w:rFonts w:cs="Wingdings"/>
    </w:rPr>
  </w:style>
  <w:style w:type="character" w:styleId="ListLabel680">
    <w:name w:val="ListLabel 680"/>
    <w:qFormat/>
    <w:rPr>
      <w:rFonts w:cs="Symbol"/>
    </w:rPr>
  </w:style>
  <w:style w:type="character" w:styleId="ListLabel681">
    <w:name w:val="ListLabel 681"/>
    <w:qFormat/>
    <w:rPr>
      <w:rFonts w:cs="Courier New"/>
    </w:rPr>
  </w:style>
  <w:style w:type="character" w:styleId="ListLabel682">
    <w:name w:val="ListLabel 682"/>
    <w:qFormat/>
    <w:rPr>
      <w:rFonts w:cs="Wingdings"/>
    </w:rPr>
  </w:style>
  <w:style w:type="character" w:styleId="ListLabel683">
    <w:name w:val="ListLabel 683"/>
    <w:qFormat/>
    <w:rPr>
      <w:rFonts w:cs="Symbol"/>
    </w:rPr>
  </w:style>
  <w:style w:type="character" w:styleId="ListLabel684">
    <w:name w:val="ListLabel 684"/>
    <w:qFormat/>
    <w:rPr>
      <w:rFonts w:cs="Courier New"/>
    </w:rPr>
  </w:style>
  <w:style w:type="character" w:styleId="ListLabel685">
    <w:name w:val="ListLabel 685"/>
    <w:qFormat/>
    <w:rPr>
      <w:rFonts w:cs="Wingdings"/>
    </w:rPr>
  </w:style>
  <w:style w:type="character" w:styleId="ListLabel686">
    <w:name w:val="ListLabel 686"/>
    <w:qFormat/>
    <w:rPr>
      <w:rFonts w:cs="Symbol"/>
    </w:rPr>
  </w:style>
  <w:style w:type="character" w:styleId="ListLabel687">
    <w:name w:val="ListLabel 687"/>
    <w:qFormat/>
    <w:rPr>
      <w:rFonts w:cs="Courier New"/>
    </w:rPr>
  </w:style>
  <w:style w:type="character" w:styleId="ListLabel688">
    <w:name w:val="ListLabel 688"/>
    <w:qFormat/>
    <w:rPr>
      <w:rFonts w:cs="Wingdings"/>
    </w:rPr>
  </w:style>
  <w:style w:type="character" w:styleId="ListLabel689">
    <w:name w:val="ListLabel 689"/>
    <w:qFormat/>
    <w:rPr>
      <w:rFonts w:cs="Courier New"/>
    </w:rPr>
  </w:style>
  <w:style w:type="character" w:styleId="ListLabel690">
    <w:name w:val="ListLabel 690"/>
    <w:qFormat/>
    <w:rPr>
      <w:rFonts w:cs="Courier New"/>
    </w:rPr>
  </w:style>
  <w:style w:type="character" w:styleId="ListLabel691">
    <w:name w:val="ListLabel 691"/>
    <w:qFormat/>
    <w:rPr>
      <w:rFonts w:cs="Wingdings"/>
    </w:rPr>
  </w:style>
  <w:style w:type="character" w:styleId="ListLabel692">
    <w:name w:val="ListLabel 692"/>
    <w:qFormat/>
    <w:rPr>
      <w:rFonts w:cs="Symbol"/>
    </w:rPr>
  </w:style>
  <w:style w:type="character" w:styleId="ListLabel693">
    <w:name w:val="ListLabel 693"/>
    <w:qFormat/>
    <w:rPr>
      <w:rFonts w:cs="Courier New"/>
    </w:rPr>
  </w:style>
  <w:style w:type="character" w:styleId="ListLabel694">
    <w:name w:val="ListLabel 694"/>
    <w:qFormat/>
    <w:rPr>
      <w:rFonts w:cs="Wingdings"/>
    </w:rPr>
  </w:style>
  <w:style w:type="character" w:styleId="ListLabel695">
    <w:name w:val="ListLabel 695"/>
    <w:qFormat/>
    <w:rPr>
      <w:rFonts w:cs="Symbol"/>
    </w:rPr>
  </w:style>
  <w:style w:type="character" w:styleId="ListLabel696">
    <w:name w:val="ListLabel 696"/>
    <w:qFormat/>
    <w:rPr>
      <w:rFonts w:cs="Courier New"/>
    </w:rPr>
  </w:style>
  <w:style w:type="character" w:styleId="ListLabel697">
    <w:name w:val="ListLabel 697"/>
    <w:qFormat/>
    <w:rPr>
      <w:rFonts w:cs="Wingdings"/>
    </w:rPr>
  </w:style>
  <w:style w:type="character" w:styleId="ListLabel698">
    <w:name w:val="ListLabel 698"/>
    <w:qFormat/>
    <w:rPr>
      <w:rFonts w:cs="Symbol"/>
    </w:rPr>
  </w:style>
  <w:style w:type="character" w:styleId="ListLabel699">
    <w:name w:val="ListLabel 699"/>
    <w:qFormat/>
    <w:rPr>
      <w:rFonts w:cs="Courier New"/>
    </w:rPr>
  </w:style>
  <w:style w:type="character" w:styleId="ListLabel700">
    <w:name w:val="ListLabel 700"/>
    <w:qFormat/>
    <w:rPr>
      <w:rFonts w:cs="Wingdings"/>
    </w:rPr>
  </w:style>
  <w:style w:type="character" w:styleId="ListLabel701">
    <w:name w:val="ListLabel 701"/>
    <w:qFormat/>
    <w:rPr>
      <w:rFonts w:cs="Symbol"/>
    </w:rPr>
  </w:style>
  <w:style w:type="character" w:styleId="ListLabel702">
    <w:name w:val="ListLabel 702"/>
    <w:qFormat/>
    <w:rPr>
      <w:rFonts w:cs="Courier New"/>
    </w:rPr>
  </w:style>
  <w:style w:type="character" w:styleId="ListLabel703">
    <w:name w:val="ListLabel 703"/>
    <w:qFormat/>
    <w:rPr>
      <w:rFonts w:cs="Wingdings"/>
    </w:rPr>
  </w:style>
  <w:style w:type="character" w:styleId="ListLabel704">
    <w:name w:val="ListLabel 704"/>
    <w:qFormat/>
    <w:rPr>
      <w:rFonts w:cs="Symbol"/>
    </w:rPr>
  </w:style>
  <w:style w:type="character" w:styleId="ListLabel705">
    <w:name w:val="ListLabel 705"/>
    <w:qFormat/>
    <w:rPr>
      <w:rFonts w:cs="Courier New"/>
    </w:rPr>
  </w:style>
  <w:style w:type="character" w:styleId="ListLabel706">
    <w:name w:val="ListLabel 706"/>
    <w:qFormat/>
    <w:rPr>
      <w:rFonts w:cs="Wingdings"/>
    </w:rPr>
  </w:style>
  <w:style w:type="character" w:styleId="ListLabel707">
    <w:name w:val="ListLabel 707"/>
    <w:qFormat/>
    <w:rPr>
      <w:rFonts w:cs="Courier New"/>
      <w:sz w:val="16"/>
    </w:rPr>
  </w:style>
  <w:style w:type="character" w:styleId="ListLabel708">
    <w:name w:val="ListLabel 708"/>
    <w:qFormat/>
    <w:rPr>
      <w:rFonts w:cs="Courier New"/>
    </w:rPr>
  </w:style>
  <w:style w:type="character" w:styleId="ListLabel709">
    <w:name w:val="ListLabel 709"/>
    <w:qFormat/>
    <w:rPr>
      <w:rFonts w:cs="Wingdings"/>
    </w:rPr>
  </w:style>
  <w:style w:type="character" w:styleId="ListLabel710">
    <w:name w:val="ListLabel 710"/>
    <w:qFormat/>
    <w:rPr>
      <w:rFonts w:cs="Symbol"/>
    </w:rPr>
  </w:style>
  <w:style w:type="character" w:styleId="ListLabel711">
    <w:name w:val="ListLabel 711"/>
    <w:qFormat/>
    <w:rPr>
      <w:rFonts w:cs="Courier New"/>
    </w:rPr>
  </w:style>
  <w:style w:type="character" w:styleId="ListLabel712">
    <w:name w:val="ListLabel 712"/>
    <w:qFormat/>
    <w:rPr>
      <w:rFonts w:cs="Wingdings"/>
    </w:rPr>
  </w:style>
  <w:style w:type="character" w:styleId="ListLabel713">
    <w:name w:val="ListLabel 713"/>
    <w:qFormat/>
    <w:rPr>
      <w:rFonts w:cs="Symbol"/>
    </w:rPr>
  </w:style>
  <w:style w:type="character" w:styleId="ListLabel714">
    <w:name w:val="ListLabel 714"/>
    <w:qFormat/>
    <w:rPr>
      <w:rFonts w:cs="Courier New"/>
    </w:rPr>
  </w:style>
  <w:style w:type="character" w:styleId="ListLabel715">
    <w:name w:val="ListLabel 715"/>
    <w:qFormat/>
    <w:rPr>
      <w:rFonts w:cs="Wingdings"/>
    </w:rPr>
  </w:style>
  <w:style w:type="character" w:styleId="ListLabel716">
    <w:name w:val="ListLabel 716"/>
    <w:qFormat/>
    <w:rPr>
      <w:rFonts w:cs="Symbol"/>
    </w:rPr>
  </w:style>
  <w:style w:type="character" w:styleId="ListLabel717">
    <w:name w:val="ListLabel 717"/>
    <w:qFormat/>
    <w:rPr>
      <w:rFonts w:cs="Courier New"/>
    </w:rPr>
  </w:style>
  <w:style w:type="character" w:styleId="ListLabel718">
    <w:name w:val="ListLabel 718"/>
    <w:qFormat/>
    <w:rPr>
      <w:rFonts w:cs="Wingdings"/>
    </w:rPr>
  </w:style>
  <w:style w:type="character" w:styleId="ListLabel719">
    <w:name w:val="ListLabel 719"/>
    <w:qFormat/>
    <w:rPr>
      <w:rFonts w:cs="Symbol"/>
    </w:rPr>
  </w:style>
  <w:style w:type="character" w:styleId="ListLabel720">
    <w:name w:val="ListLabel 720"/>
    <w:qFormat/>
    <w:rPr>
      <w:rFonts w:cs="Courier New"/>
    </w:rPr>
  </w:style>
  <w:style w:type="character" w:styleId="ListLabel721">
    <w:name w:val="ListLabel 721"/>
    <w:qFormat/>
    <w:rPr>
      <w:rFonts w:cs="Wingdings"/>
    </w:rPr>
  </w:style>
  <w:style w:type="character" w:styleId="ListLabel722">
    <w:name w:val="ListLabel 722"/>
    <w:qFormat/>
    <w:rPr>
      <w:rFonts w:cs="Symbol"/>
    </w:rPr>
  </w:style>
  <w:style w:type="character" w:styleId="ListLabel723">
    <w:name w:val="ListLabel 723"/>
    <w:qFormat/>
    <w:rPr>
      <w:rFonts w:cs="Courier New"/>
    </w:rPr>
  </w:style>
  <w:style w:type="character" w:styleId="ListLabel724">
    <w:name w:val="ListLabel 724"/>
    <w:qFormat/>
    <w:rPr>
      <w:rFonts w:cs="Wingdings"/>
    </w:rPr>
  </w:style>
  <w:style w:type="character" w:styleId="ListLabel725">
    <w:name w:val="ListLabel 725"/>
    <w:qFormat/>
    <w:rPr>
      <w:rFonts w:cs="Courier New"/>
    </w:rPr>
  </w:style>
  <w:style w:type="character" w:styleId="ListLabel726">
    <w:name w:val="ListLabel 726"/>
    <w:qFormat/>
    <w:rPr>
      <w:rFonts w:cs="Courier New"/>
    </w:rPr>
  </w:style>
  <w:style w:type="character" w:styleId="ListLabel727">
    <w:name w:val="ListLabel 727"/>
    <w:qFormat/>
    <w:rPr>
      <w:rFonts w:cs="Wingdings"/>
    </w:rPr>
  </w:style>
  <w:style w:type="character" w:styleId="ListLabel728">
    <w:name w:val="ListLabel 728"/>
    <w:qFormat/>
    <w:rPr>
      <w:rFonts w:cs="Symbol"/>
    </w:rPr>
  </w:style>
  <w:style w:type="character" w:styleId="ListLabel729">
    <w:name w:val="ListLabel 729"/>
    <w:qFormat/>
    <w:rPr>
      <w:rFonts w:cs="Courier New"/>
    </w:rPr>
  </w:style>
  <w:style w:type="character" w:styleId="ListLabel730">
    <w:name w:val="ListLabel 730"/>
    <w:qFormat/>
    <w:rPr>
      <w:rFonts w:cs="Wingdings"/>
    </w:rPr>
  </w:style>
  <w:style w:type="character" w:styleId="ListLabel731">
    <w:name w:val="ListLabel 731"/>
    <w:qFormat/>
    <w:rPr>
      <w:rFonts w:cs="Symbol"/>
    </w:rPr>
  </w:style>
  <w:style w:type="character" w:styleId="ListLabel732">
    <w:name w:val="ListLabel 732"/>
    <w:qFormat/>
    <w:rPr>
      <w:rFonts w:cs="Courier New"/>
    </w:rPr>
  </w:style>
  <w:style w:type="character" w:styleId="ListLabel733">
    <w:name w:val="ListLabel 733"/>
    <w:qFormat/>
    <w:rPr>
      <w:rFonts w:cs="Wingdings"/>
    </w:rPr>
  </w:style>
  <w:style w:type="character" w:styleId="ListLabel734">
    <w:name w:val="ListLabel 734"/>
    <w:qFormat/>
    <w:rPr>
      <w:rFonts w:cs="Courier New"/>
    </w:rPr>
  </w:style>
  <w:style w:type="character" w:styleId="ListLabel735">
    <w:name w:val="ListLabel 735"/>
    <w:qFormat/>
    <w:rPr>
      <w:rFonts w:cs="Courier New"/>
    </w:rPr>
  </w:style>
  <w:style w:type="character" w:styleId="ListLabel736">
    <w:name w:val="ListLabel 736"/>
    <w:qFormat/>
    <w:rPr>
      <w:rFonts w:cs="Wingdings"/>
    </w:rPr>
  </w:style>
  <w:style w:type="character" w:styleId="ListLabel737">
    <w:name w:val="ListLabel 737"/>
    <w:qFormat/>
    <w:rPr>
      <w:rFonts w:cs="Symbol"/>
    </w:rPr>
  </w:style>
  <w:style w:type="character" w:styleId="ListLabel738">
    <w:name w:val="ListLabel 738"/>
    <w:qFormat/>
    <w:rPr>
      <w:rFonts w:cs="Courier New"/>
    </w:rPr>
  </w:style>
  <w:style w:type="character" w:styleId="ListLabel739">
    <w:name w:val="ListLabel 739"/>
    <w:qFormat/>
    <w:rPr>
      <w:rFonts w:cs="Wingdings"/>
    </w:rPr>
  </w:style>
  <w:style w:type="character" w:styleId="ListLabel740">
    <w:name w:val="ListLabel 740"/>
    <w:qFormat/>
    <w:rPr>
      <w:rFonts w:cs="Symbol"/>
    </w:rPr>
  </w:style>
  <w:style w:type="character" w:styleId="ListLabel741">
    <w:name w:val="ListLabel 741"/>
    <w:qFormat/>
    <w:rPr>
      <w:rFonts w:cs="Courier New"/>
    </w:rPr>
  </w:style>
  <w:style w:type="character" w:styleId="ListLabel742">
    <w:name w:val="ListLabel 742"/>
    <w:qFormat/>
    <w:rPr>
      <w:rFonts w:cs="Wingdings"/>
    </w:rPr>
  </w:style>
  <w:style w:type="character" w:styleId="ListLabel743">
    <w:name w:val="ListLabel 743"/>
    <w:qFormat/>
    <w:rPr>
      <w:rFonts w:cs="Courier New"/>
    </w:rPr>
  </w:style>
  <w:style w:type="character" w:styleId="ListLabel744">
    <w:name w:val="ListLabel 744"/>
    <w:qFormat/>
    <w:rPr>
      <w:rFonts w:cs="Courier New"/>
    </w:rPr>
  </w:style>
  <w:style w:type="character" w:styleId="ListLabel745">
    <w:name w:val="ListLabel 745"/>
    <w:qFormat/>
    <w:rPr>
      <w:rFonts w:cs="Wingdings"/>
    </w:rPr>
  </w:style>
  <w:style w:type="character" w:styleId="ListLabel746">
    <w:name w:val="ListLabel 746"/>
    <w:qFormat/>
    <w:rPr>
      <w:rFonts w:cs="Symbol"/>
    </w:rPr>
  </w:style>
  <w:style w:type="character" w:styleId="ListLabel747">
    <w:name w:val="ListLabel 747"/>
    <w:qFormat/>
    <w:rPr>
      <w:rFonts w:cs="Courier New"/>
    </w:rPr>
  </w:style>
  <w:style w:type="character" w:styleId="ListLabel748">
    <w:name w:val="ListLabel 748"/>
    <w:qFormat/>
    <w:rPr>
      <w:rFonts w:cs="Wingdings"/>
    </w:rPr>
  </w:style>
  <w:style w:type="character" w:styleId="ListLabel749">
    <w:name w:val="ListLabel 749"/>
    <w:qFormat/>
    <w:rPr>
      <w:rFonts w:cs="Symbol"/>
    </w:rPr>
  </w:style>
  <w:style w:type="character" w:styleId="ListLabel750">
    <w:name w:val="ListLabel 750"/>
    <w:qFormat/>
    <w:rPr>
      <w:rFonts w:cs="Courier New"/>
    </w:rPr>
  </w:style>
  <w:style w:type="character" w:styleId="ListLabel751">
    <w:name w:val="ListLabel 751"/>
    <w:qFormat/>
    <w:rPr>
      <w:rFonts w:cs="Wingdings"/>
    </w:rPr>
  </w:style>
  <w:style w:type="character" w:styleId="ListLabel752">
    <w:name w:val="ListLabel 752"/>
    <w:qFormat/>
    <w:rPr>
      <w:rFonts w:cs="Courier New"/>
    </w:rPr>
  </w:style>
  <w:style w:type="character" w:styleId="ListLabel753">
    <w:name w:val="ListLabel 753"/>
    <w:qFormat/>
    <w:rPr>
      <w:rFonts w:cs="Courier New"/>
    </w:rPr>
  </w:style>
  <w:style w:type="character" w:styleId="ListLabel754">
    <w:name w:val="ListLabel 754"/>
    <w:qFormat/>
    <w:rPr>
      <w:rFonts w:cs="Wingdings"/>
    </w:rPr>
  </w:style>
  <w:style w:type="character" w:styleId="ListLabel755">
    <w:name w:val="ListLabel 755"/>
    <w:qFormat/>
    <w:rPr>
      <w:rFonts w:cs="Symbol"/>
    </w:rPr>
  </w:style>
  <w:style w:type="character" w:styleId="ListLabel756">
    <w:name w:val="ListLabel 756"/>
    <w:qFormat/>
    <w:rPr>
      <w:rFonts w:cs="Courier New"/>
    </w:rPr>
  </w:style>
  <w:style w:type="character" w:styleId="ListLabel757">
    <w:name w:val="ListLabel 757"/>
    <w:qFormat/>
    <w:rPr>
      <w:rFonts w:cs="Wingdings"/>
    </w:rPr>
  </w:style>
  <w:style w:type="character" w:styleId="ListLabel758">
    <w:name w:val="ListLabel 758"/>
    <w:qFormat/>
    <w:rPr>
      <w:rFonts w:cs="Symbol"/>
    </w:rPr>
  </w:style>
  <w:style w:type="character" w:styleId="ListLabel759">
    <w:name w:val="ListLabel 759"/>
    <w:qFormat/>
    <w:rPr>
      <w:rFonts w:cs="Courier New"/>
    </w:rPr>
  </w:style>
  <w:style w:type="character" w:styleId="ListLabel760">
    <w:name w:val="ListLabel 760"/>
    <w:qFormat/>
    <w:rPr>
      <w:rFonts w:cs="Wingdings"/>
    </w:rPr>
  </w:style>
  <w:style w:type="character" w:styleId="ListLabel761">
    <w:name w:val="ListLabel 761"/>
    <w:qFormat/>
    <w:rPr>
      <w:rFonts w:cs="Courier New"/>
    </w:rPr>
  </w:style>
  <w:style w:type="character" w:styleId="ListLabel762">
    <w:name w:val="ListLabel 762"/>
    <w:qFormat/>
    <w:rPr>
      <w:rFonts w:cs="Symbol"/>
    </w:rPr>
  </w:style>
  <w:style w:type="character" w:styleId="ListLabel763">
    <w:name w:val="ListLabel 763"/>
    <w:qFormat/>
    <w:rPr>
      <w:rFonts w:cs="Wingdings"/>
    </w:rPr>
  </w:style>
  <w:style w:type="character" w:styleId="ListLabel764">
    <w:name w:val="ListLabel 764"/>
    <w:qFormat/>
    <w:rPr>
      <w:rFonts w:cs="Symbol"/>
    </w:rPr>
  </w:style>
  <w:style w:type="character" w:styleId="ListLabel765">
    <w:name w:val="ListLabel 765"/>
    <w:qFormat/>
    <w:rPr>
      <w:rFonts w:cs="Courier New"/>
    </w:rPr>
  </w:style>
  <w:style w:type="character" w:styleId="ListLabel766">
    <w:name w:val="ListLabel 766"/>
    <w:qFormat/>
    <w:rPr>
      <w:rFonts w:cs="Wingdings"/>
    </w:rPr>
  </w:style>
  <w:style w:type="character" w:styleId="ListLabel767">
    <w:name w:val="ListLabel 767"/>
    <w:qFormat/>
    <w:rPr>
      <w:rFonts w:cs="Symbol"/>
    </w:rPr>
  </w:style>
  <w:style w:type="character" w:styleId="ListLabel768">
    <w:name w:val="ListLabel 768"/>
    <w:qFormat/>
    <w:rPr>
      <w:rFonts w:cs="Courier New"/>
    </w:rPr>
  </w:style>
  <w:style w:type="character" w:styleId="ListLabel769">
    <w:name w:val="ListLabel 769"/>
    <w:qFormat/>
    <w:rPr>
      <w:rFonts w:cs="Wingdings"/>
    </w:rPr>
  </w:style>
  <w:style w:type="character" w:styleId="ListLabel770">
    <w:name w:val="ListLabel 770"/>
    <w:qFormat/>
    <w:rPr>
      <w:rFonts w:cs="Symbol"/>
    </w:rPr>
  </w:style>
  <w:style w:type="character" w:styleId="ListLabel771">
    <w:name w:val="ListLabel 771"/>
    <w:qFormat/>
    <w:rPr>
      <w:rFonts w:cs="Courier New"/>
    </w:rPr>
  </w:style>
  <w:style w:type="character" w:styleId="ListLabel772">
    <w:name w:val="ListLabel 772"/>
    <w:qFormat/>
    <w:rPr>
      <w:rFonts w:cs="Wingdings"/>
    </w:rPr>
  </w:style>
  <w:style w:type="character" w:styleId="ListLabel773">
    <w:name w:val="ListLabel 773"/>
    <w:qFormat/>
    <w:rPr>
      <w:rFonts w:cs="Symbol"/>
    </w:rPr>
  </w:style>
  <w:style w:type="character" w:styleId="ListLabel774">
    <w:name w:val="ListLabel 774"/>
    <w:qFormat/>
    <w:rPr>
      <w:rFonts w:cs="Courier New"/>
    </w:rPr>
  </w:style>
  <w:style w:type="character" w:styleId="ListLabel775">
    <w:name w:val="ListLabel 775"/>
    <w:qFormat/>
    <w:rPr>
      <w:rFonts w:cs="Wingdings"/>
    </w:rPr>
  </w:style>
  <w:style w:type="character" w:styleId="ListLabel776">
    <w:name w:val="ListLabel 776"/>
    <w:qFormat/>
    <w:rPr>
      <w:rFonts w:cs="Symbol"/>
    </w:rPr>
  </w:style>
  <w:style w:type="character" w:styleId="ListLabel777">
    <w:name w:val="ListLabel 777"/>
    <w:qFormat/>
    <w:rPr>
      <w:rFonts w:cs="Courier New"/>
    </w:rPr>
  </w:style>
  <w:style w:type="character" w:styleId="ListLabel778">
    <w:name w:val="ListLabel 778"/>
    <w:qFormat/>
    <w:rPr>
      <w:rFonts w:cs="Wingdings"/>
    </w:rPr>
  </w:style>
  <w:style w:type="character" w:styleId="ListLabel779">
    <w:name w:val="ListLabel 779"/>
    <w:qFormat/>
    <w:rPr>
      <w:rFonts w:cs="Symbol"/>
    </w:rPr>
  </w:style>
  <w:style w:type="character" w:styleId="ListLabel780">
    <w:name w:val="ListLabel 780"/>
    <w:qFormat/>
    <w:rPr>
      <w:rFonts w:cs="Courier New"/>
    </w:rPr>
  </w:style>
  <w:style w:type="character" w:styleId="ListLabel781">
    <w:name w:val="ListLabel 781"/>
    <w:qFormat/>
    <w:rPr>
      <w:rFonts w:cs="Wingdings"/>
    </w:rPr>
  </w:style>
  <w:style w:type="character" w:styleId="ListLabel782">
    <w:name w:val="ListLabel 782"/>
    <w:qFormat/>
    <w:rPr>
      <w:rFonts w:cs="Symbol"/>
    </w:rPr>
  </w:style>
  <w:style w:type="character" w:styleId="ListLabel783">
    <w:name w:val="ListLabel 783"/>
    <w:qFormat/>
    <w:rPr>
      <w:rFonts w:cs="Courier New"/>
    </w:rPr>
  </w:style>
  <w:style w:type="character" w:styleId="ListLabel784">
    <w:name w:val="ListLabel 784"/>
    <w:qFormat/>
    <w:rPr>
      <w:rFonts w:cs="Wingdings"/>
    </w:rPr>
  </w:style>
  <w:style w:type="character" w:styleId="ListLabel785">
    <w:name w:val="ListLabel 785"/>
    <w:qFormat/>
    <w:rPr>
      <w:rFonts w:cs="Symbol"/>
    </w:rPr>
  </w:style>
  <w:style w:type="character" w:styleId="ListLabel786">
    <w:name w:val="ListLabel 786"/>
    <w:qFormat/>
    <w:rPr>
      <w:rFonts w:cs="Courier New"/>
    </w:rPr>
  </w:style>
  <w:style w:type="character" w:styleId="ListLabel787">
    <w:name w:val="ListLabel 787"/>
    <w:qFormat/>
    <w:rPr>
      <w:rFonts w:cs="Wingdings"/>
    </w:rPr>
  </w:style>
  <w:style w:type="character" w:styleId="ListLabel788">
    <w:name w:val="ListLabel 788"/>
    <w:qFormat/>
    <w:rPr>
      <w:rFonts w:cs="Courier New"/>
    </w:rPr>
  </w:style>
  <w:style w:type="character" w:styleId="ListLabel789">
    <w:name w:val="ListLabel 789"/>
    <w:qFormat/>
    <w:rPr>
      <w:rFonts w:cs="Courier New"/>
    </w:rPr>
  </w:style>
  <w:style w:type="character" w:styleId="ListLabel790">
    <w:name w:val="ListLabel 790"/>
    <w:qFormat/>
    <w:rPr>
      <w:rFonts w:cs="Wingdings"/>
    </w:rPr>
  </w:style>
  <w:style w:type="character" w:styleId="ListLabel791">
    <w:name w:val="ListLabel 791"/>
    <w:qFormat/>
    <w:rPr>
      <w:rFonts w:cs="Symbol"/>
    </w:rPr>
  </w:style>
  <w:style w:type="character" w:styleId="ListLabel792">
    <w:name w:val="ListLabel 792"/>
    <w:qFormat/>
    <w:rPr>
      <w:rFonts w:cs="Courier New"/>
    </w:rPr>
  </w:style>
  <w:style w:type="character" w:styleId="ListLabel793">
    <w:name w:val="ListLabel 793"/>
    <w:qFormat/>
    <w:rPr>
      <w:rFonts w:cs="Wingdings"/>
    </w:rPr>
  </w:style>
  <w:style w:type="character" w:styleId="ListLabel794">
    <w:name w:val="ListLabel 794"/>
    <w:qFormat/>
    <w:rPr>
      <w:rFonts w:cs="Symbol"/>
    </w:rPr>
  </w:style>
  <w:style w:type="character" w:styleId="ListLabel795">
    <w:name w:val="ListLabel 795"/>
    <w:qFormat/>
    <w:rPr>
      <w:rFonts w:cs="Courier New"/>
    </w:rPr>
  </w:style>
  <w:style w:type="character" w:styleId="ListLabel796">
    <w:name w:val="ListLabel 796"/>
    <w:qFormat/>
    <w:rPr>
      <w:rFonts w:cs="Wingdings"/>
    </w:rPr>
  </w:style>
  <w:style w:type="character" w:styleId="ListLabel797">
    <w:name w:val="ListLabel 797"/>
    <w:qFormat/>
    <w:rPr>
      <w:rFonts w:cs="Courier New"/>
    </w:rPr>
  </w:style>
  <w:style w:type="character" w:styleId="ListLabel798">
    <w:name w:val="ListLabel 798"/>
    <w:qFormat/>
    <w:rPr>
      <w:rFonts w:cs="Courier New"/>
    </w:rPr>
  </w:style>
  <w:style w:type="character" w:styleId="ListLabel799">
    <w:name w:val="ListLabel 799"/>
    <w:qFormat/>
    <w:rPr>
      <w:rFonts w:cs="Wingdings"/>
    </w:rPr>
  </w:style>
  <w:style w:type="character" w:styleId="ListLabel800">
    <w:name w:val="ListLabel 800"/>
    <w:qFormat/>
    <w:rPr>
      <w:rFonts w:cs="Symbol"/>
    </w:rPr>
  </w:style>
  <w:style w:type="character" w:styleId="ListLabel801">
    <w:name w:val="ListLabel 801"/>
    <w:qFormat/>
    <w:rPr>
      <w:rFonts w:cs="Courier New"/>
    </w:rPr>
  </w:style>
  <w:style w:type="character" w:styleId="ListLabel802">
    <w:name w:val="ListLabel 802"/>
    <w:qFormat/>
    <w:rPr>
      <w:rFonts w:cs="Wingdings"/>
    </w:rPr>
  </w:style>
  <w:style w:type="character" w:styleId="ListLabel803">
    <w:name w:val="ListLabel 803"/>
    <w:qFormat/>
    <w:rPr>
      <w:rFonts w:cs="Symbol"/>
    </w:rPr>
  </w:style>
  <w:style w:type="character" w:styleId="ListLabel804">
    <w:name w:val="ListLabel 804"/>
    <w:qFormat/>
    <w:rPr>
      <w:rFonts w:cs="Courier New"/>
    </w:rPr>
  </w:style>
  <w:style w:type="character" w:styleId="ListLabel805">
    <w:name w:val="ListLabel 805"/>
    <w:qFormat/>
    <w:rPr>
      <w:rFonts w:cs="Wingdings"/>
    </w:rPr>
  </w:style>
  <w:style w:type="character" w:styleId="ListLabel806">
    <w:name w:val="ListLabel 806"/>
    <w:qFormat/>
    <w:rPr>
      <w:rFonts w:cs="Courier New"/>
    </w:rPr>
  </w:style>
  <w:style w:type="character" w:styleId="ListLabel807">
    <w:name w:val="ListLabel 807"/>
    <w:qFormat/>
    <w:rPr>
      <w:rFonts w:cs="Courier New"/>
    </w:rPr>
  </w:style>
  <w:style w:type="character" w:styleId="ListLabel808">
    <w:name w:val="ListLabel 808"/>
    <w:qFormat/>
    <w:rPr>
      <w:rFonts w:cs="Wingdings"/>
    </w:rPr>
  </w:style>
  <w:style w:type="character" w:styleId="ListLabel809">
    <w:name w:val="ListLabel 809"/>
    <w:qFormat/>
    <w:rPr>
      <w:rFonts w:cs="Symbol"/>
    </w:rPr>
  </w:style>
  <w:style w:type="character" w:styleId="ListLabel810">
    <w:name w:val="ListLabel 810"/>
    <w:qFormat/>
    <w:rPr>
      <w:rFonts w:cs="Courier New"/>
    </w:rPr>
  </w:style>
  <w:style w:type="character" w:styleId="ListLabel811">
    <w:name w:val="ListLabel 811"/>
    <w:qFormat/>
    <w:rPr>
      <w:rFonts w:cs="Wingdings"/>
    </w:rPr>
  </w:style>
  <w:style w:type="character" w:styleId="ListLabel812">
    <w:name w:val="ListLabel 812"/>
    <w:qFormat/>
    <w:rPr>
      <w:rFonts w:cs="Symbol"/>
    </w:rPr>
  </w:style>
  <w:style w:type="character" w:styleId="ListLabel813">
    <w:name w:val="ListLabel 813"/>
    <w:qFormat/>
    <w:rPr>
      <w:rFonts w:cs="Courier New"/>
    </w:rPr>
  </w:style>
  <w:style w:type="character" w:styleId="ListLabel814">
    <w:name w:val="ListLabel 814"/>
    <w:qFormat/>
    <w:rPr>
      <w:rFonts w:cs="Wingdings"/>
    </w:rPr>
  </w:style>
  <w:style w:type="character" w:styleId="ListLabel815">
    <w:name w:val="ListLabel 815"/>
    <w:qFormat/>
    <w:rPr>
      <w:rFonts w:cs="Courier New"/>
    </w:rPr>
  </w:style>
  <w:style w:type="character" w:styleId="ListLabel816">
    <w:name w:val="ListLabel 816"/>
    <w:qFormat/>
    <w:rPr>
      <w:rFonts w:cs="Symbol"/>
    </w:rPr>
  </w:style>
  <w:style w:type="character" w:styleId="ListLabel817">
    <w:name w:val="ListLabel 817"/>
    <w:qFormat/>
    <w:rPr>
      <w:rFonts w:cs="Wingdings"/>
    </w:rPr>
  </w:style>
  <w:style w:type="character" w:styleId="ListLabel818">
    <w:name w:val="ListLabel 818"/>
    <w:qFormat/>
    <w:rPr>
      <w:rFonts w:cs="Symbol"/>
    </w:rPr>
  </w:style>
  <w:style w:type="character" w:styleId="ListLabel819">
    <w:name w:val="ListLabel 819"/>
    <w:qFormat/>
    <w:rPr>
      <w:rFonts w:cs="Courier New"/>
    </w:rPr>
  </w:style>
  <w:style w:type="character" w:styleId="ListLabel820">
    <w:name w:val="ListLabel 820"/>
    <w:qFormat/>
    <w:rPr>
      <w:rFonts w:cs="Wingdings"/>
    </w:rPr>
  </w:style>
  <w:style w:type="character" w:styleId="ListLabel821">
    <w:name w:val="ListLabel 821"/>
    <w:qFormat/>
    <w:rPr>
      <w:rFonts w:cs="Symbol"/>
    </w:rPr>
  </w:style>
  <w:style w:type="character" w:styleId="ListLabel822">
    <w:name w:val="ListLabel 822"/>
    <w:qFormat/>
    <w:rPr>
      <w:rFonts w:cs="Courier New"/>
    </w:rPr>
  </w:style>
  <w:style w:type="character" w:styleId="ListLabel823">
    <w:name w:val="ListLabel 823"/>
    <w:qFormat/>
    <w:rPr>
      <w:rFonts w:cs="Wingdings"/>
    </w:rPr>
  </w:style>
  <w:style w:type="character" w:styleId="ListLabel824">
    <w:name w:val="ListLabel 824"/>
    <w:qFormat/>
    <w:rPr>
      <w:rFonts w:cs="Courier New"/>
    </w:rPr>
  </w:style>
  <w:style w:type="character" w:styleId="ListLabel825">
    <w:name w:val="ListLabel 825"/>
    <w:qFormat/>
    <w:rPr>
      <w:rFonts w:cs="Symbol"/>
    </w:rPr>
  </w:style>
  <w:style w:type="character" w:styleId="ListLabel826">
    <w:name w:val="ListLabel 826"/>
    <w:qFormat/>
    <w:rPr>
      <w:rFonts w:cs="Wingdings"/>
    </w:rPr>
  </w:style>
  <w:style w:type="character" w:styleId="ListLabel827">
    <w:name w:val="ListLabel 827"/>
    <w:qFormat/>
    <w:rPr>
      <w:rFonts w:cs="Symbol"/>
    </w:rPr>
  </w:style>
  <w:style w:type="character" w:styleId="ListLabel828">
    <w:name w:val="ListLabel 828"/>
    <w:qFormat/>
    <w:rPr>
      <w:rFonts w:cs="Courier New"/>
    </w:rPr>
  </w:style>
  <w:style w:type="character" w:styleId="ListLabel829">
    <w:name w:val="ListLabel 829"/>
    <w:qFormat/>
    <w:rPr>
      <w:rFonts w:cs="Wingdings"/>
    </w:rPr>
  </w:style>
  <w:style w:type="character" w:styleId="ListLabel830">
    <w:name w:val="ListLabel 830"/>
    <w:qFormat/>
    <w:rPr>
      <w:rFonts w:cs="Symbol"/>
    </w:rPr>
  </w:style>
  <w:style w:type="character" w:styleId="ListLabel831">
    <w:name w:val="ListLabel 831"/>
    <w:qFormat/>
    <w:rPr>
      <w:rFonts w:cs="Courier New"/>
    </w:rPr>
  </w:style>
  <w:style w:type="character" w:styleId="ListLabel832">
    <w:name w:val="ListLabel 832"/>
    <w:qFormat/>
    <w:rPr>
      <w:rFonts w:cs="Wingdings"/>
    </w:rPr>
  </w:style>
  <w:style w:type="character" w:styleId="ListLabel833">
    <w:name w:val="ListLabel 833"/>
    <w:qFormat/>
    <w:rPr>
      <w:rFonts w:cs="Courier New"/>
    </w:rPr>
  </w:style>
  <w:style w:type="character" w:styleId="ListLabel834">
    <w:name w:val="ListLabel 834"/>
    <w:qFormat/>
    <w:rPr>
      <w:rFonts w:cs="Symbol"/>
    </w:rPr>
  </w:style>
  <w:style w:type="character" w:styleId="ListLabel835">
    <w:name w:val="ListLabel 835"/>
    <w:qFormat/>
    <w:rPr>
      <w:rFonts w:cs="Wingdings"/>
    </w:rPr>
  </w:style>
  <w:style w:type="character" w:styleId="ListLabel836">
    <w:name w:val="ListLabel 836"/>
    <w:qFormat/>
    <w:rPr>
      <w:rFonts w:cs="Symbol"/>
    </w:rPr>
  </w:style>
  <w:style w:type="character" w:styleId="ListLabel837">
    <w:name w:val="ListLabel 837"/>
    <w:qFormat/>
    <w:rPr>
      <w:rFonts w:cs="Courier New"/>
    </w:rPr>
  </w:style>
  <w:style w:type="character" w:styleId="ListLabel838">
    <w:name w:val="ListLabel 838"/>
    <w:qFormat/>
    <w:rPr>
      <w:rFonts w:cs="Wingdings"/>
    </w:rPr>
  </w:style>
  <w:style w:type="character" w:styleId="ListLabel839">
    <w:name w:val="ListLabel 839"/>
    <w:qFormat/>
    <w:rPr>
      <w:rFonts w:cs="Symbol"/>
    </w:rPr>
  </w:style>
  <w:style w:type="character" w:styleId="ListLabel840">
    <w:name w:val="ListLabel 840"/>
    <w:qFormat/>
    <w:rPr>
      <w:rFonts w:cs="Courier New"/>
    </w:rPr>
  </w:style>
  <w:style w:type="character" w:styleId="ListLabel841">
    <w:name w:val="ListLabel 841"/>
    <w:qFormat/>
    <w:rPr>
      <w:rFonts w:cs="Wingdings"/>
    </w:rPr>
  </w:style>
  <w:style w:type="character" w:styleId="ListLabel842">
    <w:name w:val="ListLabel 842"/>
    <w:qFormat/>
    <w:rPr>
      <w:rFonts w:cs="Symbol"/>
    </w:rPr>
  </w:style>
  <w:style w:type="character" w:styleId="ListLabel843">
    <w:name w:val="ListLabel 843"/>
    <w:qFormat/>
    <w:rPr>
      <w:rFonts w:cs="Courier New"/>
    </w:rPr>
  </w:style>
  <w:style w:type="character" w:styleId="ListLabel844">
    <w:name w:val="ListLabel 844"/>
    <w:qFormat/>
    <w:rPr>
      <w:rFonts w:cs="Wingdings"/>
    </w:rPr>
  </w:style>
  <w:style w:type="character" w:styleId="ListLabel845">
    <w:name w:val="ListLabel 845"/>
    <w:qFormat/>
    <w:rPr>
      <w:rFonts w:cs="Symbol"/>
    </w:rPr>
  </w:style>
  <w:style w:type="character" w:styleId="ListLabel846">
    <w:name w:val="ListLabel 846"/>
    <w:qFormat/>
    <w:rPr>
      <w:rFonts w:cs="Courier New"/>
    </w:rPr>
  </w:style>
  <w:style w:type="character" w:styleId="ListLabel847">
    <w:name w:val="ListLabel 847"/>
    <w:qFormat/>
    <w:rPr>
      <w:rFonts w:cs="Wingdings"/>
    </w:rPr>
  </w:style>
  <w:style w:type="character" w:styleId="ListLabel848">
    <w:name w:val="ListLabel 848"/>
    <w:qFormat/>
    <w:rPr>
      <w:rFonts w:cs="Symbol"/>
    </w:rPr>
  </w:style>
  <w:style w:type="character" w:styleId="ListLabel849">
    <w:name w:val="ListLabel 849"/>
    <w:qFormat/>
    <w:rPr>
      <w:rFonts w:cs="Courier New"/>
    </w:rPr>
  </w:style>
  <w:style w:type="character" w:styleId="ListLabel850">
    <w:name w:val="ListLabel 850"/>
    <w:qFormat/>
    <w:rPr>
      <w:rFonts w:cs="Wingdings"/>
    </w:rPr>
  </w:style>
  <w:style w:type="character" w:styleId="ListLabel851">
    <w:name w:val="ListLabel 851"/>
    <w:qFormat/>
    <w:rPr>
      <w:rFonts w:cs="Courier New"/>
    </w:rPr>
  </w:style>
  <w:style w:type="character" w:styleId="ListLabel852">
    <w:name w:val="ListLabel 852"/>
    <w:qFormat/>
    <w:rPr>
      <w:rFonts w:cs="Courier New"/>
    </w:rPr>
  </w:style>
  <w:style w:type="character" w:styleId="ListLabel853">
    <w:name w:val="ListLabel 853"/>
    <w:qFormat/>
    <w:rPr>
      <w:rFonts w:cs="Wingdings"/>
    </w:rPr>
  </w:style>
  <w:style w:type="character" w:styleId="ListLabel854">
    <w:name w:val="ListLabel 854"/>
    <w:qFormat/>
    <w:rPr>
      <w:rFonts w:cs="Symbol"/>
    </w:rPr>
  </w:style>
  <w:style w:type="character" w:styleId="ListLabel855">
    <w:name w:val="ListLabel 855"/>
    <w:qFormat/>
    <w:rPr>
      <w:rFonts w:cs="Courier New"/>
    </w:rPr>
  </w:style>
  <w:style w:type="character" w:styleId="ListLabel856">
    <w:name w:val="ListLabel 856"/>
    <w:qFormat/>
    <w:rPr>
      <w:rFonts w:cs="Wingdings"/>
    </w:rPr>
  </w:style>
  <w:style w:type="character" w:styleId="ListLabel857">
    <w:name w:val="ListLabel 857"/>
    <w:qFormat/>
    <w:rPr>
      <w:rFonts w:cs="Symbol"/>
    </w:rPr>
  </w:style>
  <w:style w:type="character" w:styleId="ListLabel858">
    <w:name w:val="ListLabel 858"/>
    <w:qFormat/>
    <w:rPr>
      <w:rFonts w:cs="Courier New"/>
    </w:rPr>
  </w:style>
  <w:style w:type="character" w:styleId="ListLabel859">
    <w:name w:val="ListLabel 859"/>
    <w:qFormat/>
    <w:rPr>
      <w:rFonts w:cs="Wingdings"/>
    </w:rPr>
  </w:style>
  <w:style w:type="character" w:styleId="ListLabel860">
    <w:name w:val="ListLabel 860"/>
    <w:qFormat/>
    <w:rPr>
      <w:rFonts w:cs="Courier New"/>
    </w:rPr>
  </w:style>
  <w:style w:type="character" w:styleId="ListLabel861">
    <w:name w:val="ListLabel 861"/>
    <w:qFormat/>
    <w:rPr>
      <w:rFonts w:cs="Courier New"/>
    </w:rPr>
  </w:style>
  <w:style w:type="character" w:styleId="ListLabel862">
    <w:name w:val="ListLabel 862"/>
    <w:qFormat/>
    <w:rPr>
      <w:rFonts w:cs="Wingdings"/>
    </w:rPr>
  </w:style>
  <w:style w:type="character" w:styleId="ListLabel863">
    <w:name w:val="ListLabel 863"/>
    <w:qFormat/>
    <w:rPr>
      <w:rFonts w:cs="Symbol"/>
    </w:rPr>
  </w:style>
  <w:style w:type="character" w:styleId="ListLabel864">
    <w:name w:val="ListLabel 864"/>
    <w:qFormat/>
    <w:rPr>
      <w:rFonts w:cs="Courier New"/>
    </w:rPr>
  </w:style>
  <w:style w:type="character" w:styleId="ListLabel865">
    <w:name w:val="ListLabel 865"/>
    <w:qFormat/>
    <w:rPr>
      <w:rFonts w:cs="Wingdings"/>
    </w:rPr>
  </w:style>
  <w:style w:type="character" w:styleId="ListLabel866">
    <w:name w:val="ListLabel 866"/>
    <w:qFormat/>
    <w:rPr>
      <w:rFonts w:cs="Symbol"/>
    </w:rPr>
  </w:style>
  <w:style w:type="character" w:styleId="ListLabel867">
    <w:name w:val="ListLabel 867"/>
    <w:qFormat/>
    <w:rPr>
      <w:rFonts w:cs="Courier New"/>
    </w:rPr>
  </w:style>
  <w:style w:type="character" w:styleId="ListLabel868">
    <w:name w:val="ListLabel 868"/>
    <w:qFormat/>
    <w:rPr>
      <w:rFonts w:cs="Wingdings"/>
    </w:rPr>
  </w:style>
  <w:style w:type="character" w:styleId="ListLabel869">
    <w:name w:val="ListLabel 869"/>
    <w:qFormat/>
    <w:rPr>
      <w:rFonts w:eastAsia="Times New Roman" w:cs="Times New Roman"/>
      <w:b/>
      <w:bCs/>
      <w:color w:val="000009"/>
      <w:w w:val="99"/>
      <w:sz w:val="24"/>
      <w:szCs w:val="24"/>
    </w:rPr>
  </w:style>
  <w:style w:type="character" w:styleId="ListLabel870">
    <w:name w:val="ListLabel 870"/>
    <w:qFormat/>
    <w:rPr>
      <w:b/>
      <w:bCs/>
      <w:i/>
      <w:w w:val="99"/>
    </w:rPr>
  </w:style>
  <w:style w:type="character" w:styleId="ListLabel871">
    <w:name w:val="ListLabel 871"/>
    <w:qFormat/>
    <w:rPr>
      <w:rFonts w:ascii="Symbol" w:hAnsi="Symbol" w:cs="Wingdings"/>
      <w:w w:val="99"/>
      <w:sz w:val="22"/>
    </w:rPr>
  </w:style>
  <w:style w:type="character" w:styleId="ListLabel872">
    <w:name w:val="ListLabel 872"/>
    <w:qFormat/>
    <w:rPr>
      <w:rFonts w:cs="Symbol"/>
    </w:rPr>
  </w:style>
  <w:style w:type="character" w:styleId="ListLabel873">
    <w:name w:val="ListLabel 873"/>
    <w:qFormat/>
    <w:rPr>
      <w:rFonts w:cs="Symbol"/>
    </w:rPr>
  </w:style>
  <w:style w:type="character" w:styleId="ListLabel874">
    <w:name w:val="ListLabel 874"/>
    <w:qFormat/>
    <w:rPr>
      <w:rFonts w:cs="Symbol"/>
    </w:rPr>
  </w:style>
  <w:style w:type="character" w:styleId="ListLabel875">
    <w:name w:val="ListLabel 875"/>
    <w:qFormat/>
    <w:rPr>
      <w:rFonts w:cs="Symbol"/>
    </w:rPr>
  </w:style>
  <w:style w:type="character" w:styleId="ListLabel876">
    <w:name w:val="ListLabel 876"/>
    <w:qFormat/>
    <w:rPr>
      <w:rFonts w:cs="Symbol"/>
    </w:rPr>
  </w:style>
  <w:style w:type="character" w:styleId="ListLabel877">
    <w:name w:val="ListLabel 877"/>
    <w:qFormat/>
    <w:rPr>
      <w:rFonts w:cs="Symbol"/>
    </w:rPr>
  </w:style>
  <w:style w:type="character" w:styleId="ListLabel878">
    <w:name w:val="ListLabel 878"/>
    <w:qFormat/>
    <w:rPr>
      <w:rFonts w:cs="Times New Roman"/>
      <w:color w:val="000009"/>
      <w:w w:val="100"/>
      <w:sz w:val="22"/>
      <w:szCs w:val="22"/>
    </w:rPr>
  </w:style>
  <w:style w:type="character" w:styleId="ListLabel879">
    <w:name w:val="ListLabel 879"/>
    <w:qFormat/>
    <w:rPr>
      <w:rFonts w:cs="Symbol"/>
    </w:rPr>
  </w:style>
  <w:style w:type="character" w:styleId="ListLabel880">
    <w:name w:val="ListLabel 880"/>
    <w:qFormat/>
    <w:rPr>
      <w:rFonts w:cs="Symbol"/>
    </w:rPr>
  </w:style>
  <w:style w:type="character" w:styleId="ListLabel881">
    <w:name w:val="ListLabel 881"/>
    <w:qFormat/>
    <w:rPr>
      <w:rFonts w:cs="Symbol"/>
    </w:rPr>
  </w:style>
  <w:style w:type="character" w:styleId="ListLabel882">
    <w:name w:val="ListLabel 882"/>
    <w:qFormat/>
    <w:rPr>
      <w:rFonts w:cs="Symbol"/>
    </w:rPr>
  </w:style>
  <w:style w:type="character" w:styleId="ListLabel883">
    <w:name w:val="ListLabel 883"/>
    <w:qFormat/>
    <w:rPr>
      <w:rFonts w:cs="Symbol"/>
    </w:rPr>
  </w:style>
  <w:style w:type="character" w:styleId="ListLabel884">
    <w:name w:val="ListLabel 884"/>
    <w:qFormat/>
    <w:rPr>
      <w:rFonts w:cs="Symbol"/>
    </w:rPr>
  </w:style>
  <w:style w:type="character" w:styleId="ListLabel885">
    <w:name w:val="ListLabel 885"/>
    <w:qFormat/>
    <w:rPr>
      <w:rFonts w:cs="Symbol"/>
    </w:rPr>
  </w:style>
  <w:style w:type="character" w:styleId="ListLabel886">
    <w:name w:val="ListLabel 886"/>
    <w:qFormat/>
    <w:rPr>
      <w:rFonts w:cs="Symbol"/>
    </w:rPr>
  </w:style>
  <w:style w:type="character" w:styleId="ListLabel887">
    <w:name w:val="ListLabel 887"/>
    <w:qFormat/>
    <w:rPr>
      <w:rFonts w:cs="Symbol"/>
      <w:color w:val="000009"/>
      <w:w w:val="100"/>
      <w:sz w:val="18"/>
      <w:szCs w:val="22"/>
    </w:rPr>
  </w:style>
  <w:style w:type="character" w:styleId="ListLabel888">
    <w:name w:val="ListLabel 888"/>
    <w:qFormat/>
    <w:rPr>
      <w:rFonts w:cs="Symbol"/>
    </w:rPr>
  </w:style>
  <w:style w:type="character" w:styleId="ListLabel889">
    <w:name w:val="ListLabel 889"/>
    <w:qFormat/>
    <w:rPr>
      <w:rFonts w:cs="Symbol"/>
    </w:rPr>
  </w:style>
  <w:style w:type="character" w:styleId="ListLabel890">
    <w:name w:val="ListLabel 890"/>
    <w:qFormat/>
    <w:rPr>
      <w:rFonts w:cs="Symbol"/>
    </w:rPr>
  </w:style>
  <w:style w:type="character" w:styleId="ListLabel891">
    <w:name w:val="ListLabel 891"/>
    <w:qFormat/>
    <w:rPr>
      <w:rFonts w:cs="Symbol"/>
    </w:rPr>
  </w:style>
  <w:style w:type="character" w:styleId="ListLabel892">
    <w:name w:val="ListLabel 892"/>
    <w:qFormat/>
    <w:rPr>
      <w:rFonts w:cs="Symbol"/>
    </w:rPr>
  </w:style>
  <w:style w:type="character" w:styleId="ListLabel893">
    <w:name w:val="ListLabel 893"/>
    <w:qFormat/>
    <w:rPr>
      <w:rFonts w:cs="Symbol"/>
    </w:rPr>
  </w:style>
  <w:style w:type="character" w:styleId="ListLabel894">
    <w:name w:val="ListLabel 894"/>
    <w:qFormat/>
    <w:rPr>
      <w:rFonts w:cs="Symbol"/>
    </w:rPr>
  </w:style>
  <w:style w:type="character" w:styleId="ListLabel895">
    <w:name w:val="ListLabel 895"/>
    <w:qFormat/>
    <w:rPr>
      <w:rFonts w:cs="Symbol"/>
    </w:rPr>
  </w:style>
  <w:style w:type="character" w:styleId="ListLabel896">
    <w:name w:val="ListLabel 896"/>
    <w:qFormat/>
    <w:rPr>
      <w:rFonts w:cs="Symbol"/>
    </w:rPr>
  </w:style>
  <w:style w:type="character" w:styleId="ListLabel897">
    <w:name w:val="ListLabel 897"/>
    <w:qFormat/>
    <w:rPr>
      <w:rFonts w:cs="Courier New"/>
    </w:rPr>
  </w:style>
  <w:style w:type="character" w:styleId="ListLabel898">
    <w:name w:val="ListLabel 898"/>
    <w:qFormat/>
    <w:rPr>
      <w:rFonts w:cs="Wingdings"/>
    </w:rPr>
  </w:style>
  <w:style w:type="character" w:styleId="ListLabel899">
    <w:name w:val="ListLabel 899"/>
    <w:qFormat/>
    <w:rPr>
      <w:rFonts w:cs="Symbol"/>
    </w:rPr>
  </w:style>
  <w:style w:type="character" w:styleId="ListLabel900">
    <w:name w:val="ListLabel 900"/>
    <w:qFormat/>
    <w:rPr>
      <w:rFonts w:cs="Courier New"/>
    </w:rPr>
  </w:style>
  <w:style w:type="character" w:styleId="ListLabel901">
    <w:name w:val="ListLabel 901"/>
    <w:qFormat/>
    <w:rPr>
      <w:rFonts w:cs="Wingdings"/>
    </w:rPr>
  </w:style>
  <w:style w:type="character" w:styleId="ListLabel902">
    <w:name w:val="ListLabel 902"/>
    <w:qFormat/>
    <w:rPr>
      <w:rFonts w:cs="Symbol"/>
    </w:rPr>
  </w:style>
  <w:style w:type="character" w:styleId="ListLabel903">
    <w:name w:val="ListLabel 903"/>
    <w:qFormat/>
    <w:rPr>
      <w:rFonts w:cs="Courier New"/>
    </w:rPr>
  </w:style>
  <w:style w:type="character" w:styleId="ListLabel904">
    <w:name w:val="ListLabel 904"/>
    <w:qFormat/>
    <w:rPr>
      <w:rFonts w:cs="Wingdings"/>
    </w:rPr>
  </w:style>
  <w:style w:type="character" w:styleId="ListLabel905">
    <w:name w:val="ListLabel 905"/>
    <w:qFormat/>
    <w:rPr>
      <w:rFonts w:cs="Symbol"/>
    </w:rPr>
  </w:style>
  <w:style w:type="character" w:styleId="ListLabel906">
    <w:name w:val="ListLabel 906"/>
    <w:qFormat/>
    <w:rPr>
      <w:rFonts w:cs="Courier New"/>
    </w:rPr>
  </w:style>
  <w:style w:type="character" w:styleId="ListLabel907">
    <w:name w:val="ListLabel 907"/>
    <w:qFormat/>
    <w:rPr>
      <w:rFonts w:cs="Wingdings"/>
    </w:rPr>
  </w:style>
  <w:style w:type="character" w:styleId="ListLabel908">
    <w:name w:val="ListLabel 908"/>
    <w:qFormat/>
    <w:rPr>
      <w:rFonts w:cs="Symbol"/>
    </w:rPr>
  </w:style>
  <w:style w:type="character" w:styleId="ListLabel909">
    <w:name w:val="ListLabel 909"/>
    <w:qFormat/>
    <w:rPr>
      <w:rFonts w:cs="Courier New"/>
    </w:rPr>
  </w:style>
  <w:style w:type="character" w:styleId="ListLabel910">
    <w:name w:val="ListLabel 910"/>
    <w:qFormat/>
    <w:rPr>
      <w:rFonts w:cs="Wingdings"/>
    </w:rPr>
  </w:style>
  <w:style w:type="character" w:styleId="ListLabel911">
    <w:name w:val="ListLabel 911"/>
    <w:qFormat/>
    <w:rPr>
      <w:rFonts w:cs="Symbol"/>
    </w:rPr>
  </w:style>
  <w:style w:type="character" w:styleId="ListLabel912">
    <w:name w:val="ListLabel 912"/>
    <w:qFormat/>
    <w:rPr>
      <w:rFonts w:cs="Courier New"/>
    </w:rPr>
  </w:style>
  <w:style w:type="character" w:styleId="ListLabel913">
    <w:name w:val="ListLabel 913"/>
    <w:qFormat/>
    <w:rPr>
      <w:rFonts w:cs="Wingdings"/>
    </w:rPr>
  </w:style>
  <w:style w:type="character" w:styleId="ListLabel914">
    <w:name w:val="ListLabel 914"/>
    <w:qFormat/>
    <w:rPr>
      <w:rFonts w:cs="Symbol"/>
    </w:rPr>
  </w:style>
  <w:style w:type="character" w:styleId="ListLabel915">
    <w:name w:val="ListLabel 915"/>
    <w:qFormat/>
    <w:rPr>
      <w:rFonts w:cs="Courier New"/>
    </w:rPr>
  </w:style>
  <w:style w:type="character" w:styleId="ListLabel916">
    <w:name w:val="ListLabel 916"/>
    <w:qFormat/>
    <w:rPr>
      <w:rFonts w:cs="Wingdings"/>
    </w:rPr>
  </w:style>
  <w:style w:type="character" w:styleId="ListLabel917">
    <w:name w:val="ListLabel 917"/>
    <w:qFormat/>
    <w:rPr>
      <w:rFonts w:cs="Symbol"/>
    </w:rPr>
  </w:style>
  <w:style w:type="character" w:styleId="ListLabel918">
    <w:name w:val="ListLabel 918"/>
    <w:qFormat/>
    <w:rPr>
      <w:rFonts w:cs="Courier New"/>
    </w:rPr>
  </w:style>
  <w:style w:type="character" w:styleId="ListLabel919">
    <w:name w:val="ListLabel 919"/>
    <w:qFormat/>
    <w:rPr>
      <w:rFonts w:cs="Wingdings"/>
    </w:rPr>
  </w:style>
  <w:style w:type="character" w:styleId="ListLabel920">
    <w:name w:val="ListLabel 920"/>
    <w:qFormat/>
    <w:rPr>
      <w:rFonts w:cs="Symbol"/>
    </w:rPr>
  </w:style>
  <w:style w:type="character" w:styleId="ListLabel921">
    <w:name w:val="ListLabel 921"/>
    <w:qFormat/>
    <w:rPr>
      <w:rFonts w:cs="Courier New"/>
    </w:rPr>
  </w:style>
  <w:style w:type="character" w:styleId="ListLabel922">
    <w:name w:val="ListLabel 922"/>
    <w:qFormat/>
    <w:rPr>
      <w:rFonts w:cs="Wingdings"/>
    </w:rPr>
  </w:style>
  <w:style w:type="character" w:styleId="ListLabel923">
    <w:name w:val="ListLabel 923"/>
    <w:qFormat/>
    <w:rPr>
      <w:rFonts w:cs="Symbol"/>
    </w:rPr>
  </w:style>
  <w:style w:type="character" w:styleId="ListLabel924">
    <w:name w:val="ListLabel 924"/>
    <w:qFormat/>
    <w:rPr>
      <w:rFonts w:cs="Courier New"/>
    </w:rPr>
  </w:style>
  <w:style w:type="character" w:styleId="ListLabel925">
    <w:name w:val="ListLabel 925"/>
    <w:qFormat/>
    <w:rPr>
      <w:rFonts w:cs="Wingdings"/>
    </w:rPr>
  </w:style>
  <w:style w:type="character" w:styleId="ListLabel926">
    <w:name w:val="ListLabel 926"/>
    <w:qFormat/>
    <w:rPr>
      <w:rFonts w:cs="Symbol"/>
    </w:rPr>
  </w:style>
  <w:style w:type="character" w:styleId="ListLabel927">
    <w:name w:val="ListLabel 927"/>
    <w:qFormat/>
    <w:rPr>
      <w:rFonts w:cs="Courier New"/>
    </w:rPr>
  </w:style>
  <w:style w:type="character" w:styleId="ListLabel928">
    <w:name w:val="ListLabel 928"/>
    <w:qFormat/>
    <w:rPr>
      <w:rFonts w:cs="Wingdings"/>
    </w:rPr>
  </w:style>
  <w:style w:type="character" w:styleId="ListLabel929">
    <w:name w:val="ListLabel 929"/>
    <w:qFormat/>
    <w:rPr>
      <w:rFonts w:cs="Symbol"/>
    </w:rPr>
  </w:style>
  <w:style w:type="character" w:styleId="ListLabel930">
    <w:name w:val="ListLabel 930"/>
    <w:qFormat/>
    <w:rPr>
      <w:rFonts w:cs="Courier New"/>
    </w:rPr>
  </w:style>
  <w:style w:type="character" w:styleId="ListLabel931">
    <w:name w:val="ListLabel 931"/>
    <w:qFormat/>
    <w:rPr>
      <w:rFonts w:cs="Wingdings"/>
    </w:rPr>
  </w:style>
  <w:style w:type="character" w:styleId="ListLabel932">
    <w:name w:val="ListLabel 932"/>
    <w:qFormat/>
    <w:rPr>
      <w:rFonts w:cs="Symbol"/>
    </w:rPr>
  </w:style>
  <w:style w:type="character" w:styleId="ListLabel933">
    <w:name w:val="ListLabel 933"/>
    <w:qFormat/>
    <w:rPr>
      <w:rFonts w:cs="Courier New"/>
    </w:rPr>
  </w:style>
  <w:style w:type="character" w:styleId="ListLabel934">
    <w:name w:val="ListLabel 934"/>
    <w:qFormat/>
    <w:rPr>
      <w:rFonts w:cs="Wingdings"/>
    </w:rPr>
  </w:style>
  <w:style w:type="character" w:styleId="ListLabel935">
    <w:name w:val="ListLabel 935"/>
    <w:qFormat/>
    <w:rPr>
      <w:rFonts w:cs="Symbol"/>
    </w:rPr>
  </w:style>
  <w:style w:type="character" w:styleId="ListLabel936">
    <w:name w:val="ListLabel 936"/>
    <w:qFormat/>
    <w:rPr>
      <w:rFonts w:cs="Courier New"/>
    </w:rPr>
  </w:style>
  <w:style w:type="character" w:styleId="ListLabel937">
    <w:name w:val="ListLabel 937"/>
    <w:qFormat/>
    <w:rPr>
      <w:rFonts w:cs="Wingdings"/>
    </w:rPr>
  </w:style>
  <w:style w:type="character" w:styleId="ListLabel938">
    <w:name w:val="ListLabel 938"/>
    <w:qFormat/>
    <w:rPr>
      <w:rFonts w:cs="Symbol"/>
    </w:rPr>
  </w:style>
  <w:style w:type="character" w:styleId="ListLabel939">
    <w:name w:val="ListLabel 939"/>
    <w:qFormat/>
    <w:rPr>
      <w:rFonts w:cs="Courier New"/>
    </w:rPr>
  </w:style>
  <w:style w:type="character" w:styleId="ListLabel940">
    <w:name w:val="ListLabel 940"/>
    <w:qFormat/>
    <w:rPr>
      <w:rFonts w:cs="Wingdings"/>
    </w:rPr>
  </w:style>
  <w:style w:type="character" w:styleId="ListLabel941">
    <w:name w:val="ListLabel 941"/>
    <w:qFormat/>
    <w:rPr>
      <w:rFonts w:cs="Symbol"/>
    </w:rPr>
  </w:style>
  <w:style w:type="character" w:styleId="ListLabel942">
    <w:name w:val="ListLabel 942"/>
    <w:qFormat/>
    <w:rPr>
      <w:rFonts w:cs="Courier New"/>
    </w:rPr>
  </w:style>
  <w:style w:type="character" w:styleId="ListLabel943">
    <w:name w:val="ListLabel 943"/>
    <w:qFormat/>
    <w:rPr>
      <w:rFonts w:cs="Wingdings"/>
    </w:rPr>
  </w:style>
  <w:style w:type="character" w:styleId="ListLabel944">
    <w:name w:val="ListLabel 944"/>
    <w:qFormat/>
    <w:rPr>
      <w:rFonts w:cs="Symbol"/>
    </w:rPr>
  </w:style>
  <w:style w:type="character" w:styleId="ListLabel945">
    <w:name w:val="ListLabel 945"/>
    <w:qFormat/>
    <w:rPr>
      <w:rFonts w:cs="Courier New"/>
    </w:rPr>
  </w:style>
  <w:style w:type="character" w:styleId="ListLabel946">
    <w:name w:val="ListLabel 946"/>
    <w:qFormat/>
    <w:rPr>
      <w:rFonts w:cs="Wingdings"/>
    </w:rPr>
  </w:style>
  <w:style w:type="character" w:styleId="ListLabel947">
    <w:name w:val="ListLabel 947"/>
    <w:qFormat/>
    <w:rPr>
      <w:rFonts w:cs="Symbol"/>
    </w:rPr>
  </w:style>
  <w:style w:type="character" w:styleId="ListLabel948">
    <w:name w:val="ListLabel 948"/>
    <w:qFormat/>
    <w:rPr>
      <w:rFonts w:cs="Courier New"/>
    </w:rPr>
  </w:style>
  <w:style w:type="character" w:styleId="ListLabel949">
    <w:name w:val="ListLabel 949"/>
    <w:qFormat/>
    <w:rPr>
      <w:rFonts w:cs="Wingdings"/>
    </w:rPr>
  </w:style>
  <w:style w:type="character" w:styleId="ListLabel950">
    <w:name w:val="ListLabel 950"/>
    <w:qFormat/>
    <w:rPr>
      <w:rFonts w:cs="Symbol"/>
    </w:rPr>
  </w:style>
  <w:style w:type="character" w:styleId="ListLabel951">
    <w:name w:val="ListLabel 951"/>
    <w:qFormat/>
    <w:rPr>
      <w:rFonts w:cs="Courier New"/>
    </w:rPr>
  </w:style>
  <w:style w:type="character" w:styleId="ListLabel952">
    <w:name w:val="ListLabel 952"/>
    <w:qFormat/>
    <w:rPr>
      <w:rFonts w:cs="Wingdings"/>
    </w:rPr>
  </w:style>
  <w:style w:type="character" w:styleId="ListLabel953">
    <w:name w:val="ListLabel 953"/>
    <w:qFormat/>
    <w:rPr>
      <w:rFonts w:cs="Symbol"/>
    </w:rPr>
  </w:style>
  <w:style w:type="character" w:styleId="ListLabel954">
    <w:name w:val="ListLabel 954"/>
    <w:qFormat/>
    <w:rPr>
      <w:rFonts w:cs="Courier New"/>
    </w:rPr>
  </w:style>
  <w:style w:type="character" w:styleId="ListLabel955">
    <w:name w:val="ListLabel 955"/>
    <w:qFormat/>
    <w:rPr>
      <w:rFonts w:cs="Wingdings"/>
    </w:rPr>
  </w:style>
  <w:style w:type="character" w:styleId="ListLabel956">
    <w:name w:val="ListLabel 956"/>
    <w:qFormat/>
    <w:rPr>
      <w:rFonts w:cs="Symbol"/>
    </w:rPr>
  </w:style>
  <w:style w:type="character" w:styleId="ListLabel957">
    <w:name w:val="ListLabel 957"/>
    <w:qFormat/>
    <w:rPr>
      <w:rFonts w:cs="Courier New"/>
    </w:rPr>
  </w:style>
  <w:style w:type="character" w:styleId="ListLabel958">
    <w:name w:val="ListLabel 958"/>
    <w:qFormat/>
    <w:rPr>
      <w:rFonts w:cs="Wingdings"/>
    </w:rPr>
  </w:style>
  <w:style w:type="character" w:styleId="ListLabel959">
    <w:name w:val="ListLabel 959"/>
    <w:qFormat/>
    <w:rPr>
      <w:rFonts w:cs="Symbol"/>
    </w:rPr>
  </w:style>
  <w:style w:type="character" w:styleId="ListLabel960">
    <w:name w:val="ListLabel 960"/>
    <w:qFormat/>
    <w:rPr>
      <w:rFonts w:cs="Courier New"/>
    </w:rPr>
  </w:style>
  <w:style w:type="character" w:styleId="ListLabel961">
    <w:name w:val="ListLabel 961"/>
    <w:qFormat/>
    <w:rPr>
      <w:rFonts w:cs="Wingdings"/>
    </w:rPr>
  </w:style>
  <w:style w:type="character" w:styleId="ListLabel962">
    <w:name w:val="ListLabel 962"/>
    <w:qFormat/>
    <w:rPr>
      <w:rFonts w:cs="Symbol"/>
    </w:rPr>
  </w:style>
  <w:style w:type="character" w:styleId="ListLabel963">
    <w:name w:val="ListLabel 963"/>
    <w:qFormat/>
    <w:rPr>
      <w:rFonts w:cs="Courier New"/>
    </w:rPr>
  </w:style>
  <w:style w:type="character" w:styleId="ListLabel964">
    <w:name w:val="ListLabel 964"/>
    <w:qFormat/>
    <w:rPr>
      <w:rFonts w:cs="Wingdings"/>
    </w:rPr>
  </w:style>
  <w:style w:type="character" w:styleId="ListLabel965">
    <w:name w:val="ListLabel 965"/>
    <w:qFormat/>
    <w:rPr>
      <w:rFonts w:cs="Symbol"/>
    </w:rPr>
  </w:style>
  <w:style w:type="character" w:styleId="ListLabel966">
    <w:name w:val="ListLabel 966"/>
    <w:qFormat/>
    <w:rPr>
      <w:rFonts w:cs="Courier New"/>
    </w:rPr>
  </w:style>
  <w:style w:type="character" w:styleId="ListLabel967">
    <w:name w:val="ListLabel 967"/>
    <w:qFormat/>
    <w:rPr>
      <w:rFonts w:cs="Wingdings"/>
    </w:rPr>
  </w:style>
  <w:style w:type="character" w:styleId="ListLabel968">
    <w:name w:val="ListLabel 968"/>
    <w:qFormat/>
    <w:rPr>
      <w:rFonts w:cs="Symbol"/>
    </w:rPr>
  </w:style>
  <w:style w:type="character" w:styleId="ListLabel969">
    <w:name w:val="ListLabel 969"/>
    <w:qFormat/>
    <w:rPr>
      <w:rFonts w:cs="Courier New"/>
    </w:rPr>
  </w:style>
  <w:style w:type="character" w:styleId="ListLabel970">
    <w:name w:val="ListLabel 970"/>
    <w:qFormat/>
    <w:rPr>
      <w:rFonts w:cs="Wingdings"/>
    </w:rPr>
  </w:style>
  <w:style w:type="character" w:styleId="ListLabel971">
    <w:name w:val="ListLabel 971"/>
    <w:qFormat/>
    <w:rPr>
      <w:rFonts w:cs="Symbol"/>
    </w:rPr>
  </w:style>
  <w:style w:type="character" w:styleId="ListLabel972">
    <w:name w:val="ListLabel 972"/>
    <w:qFormat/>
    <w:rPr>
      <w:rFonts w:cs="Courier New"/>
    </w:rPr>
  </w:style>
  <w:style w:type="character" w:styleId="ListLabel973">
    <w:name w:val="ListLabel 973"/>
    <w:qFormat/>
    <w:rPr>
      <w:rFonts w:cs="Wingdings"/>
    </w:rPr>
  </w:style>
  <w:style w:type="character" w:styleId="ListLabel974">
    <w:name w:val="ListLabel 974"/>
    <w:qFormat/>
    <w:rPr>
      <w:rFonts w:cs="Symbol"/>
    </w:rPr>
  </w:style>
  <w:style w:type="character" w:styleId="ListLabel975">
    <w:name w:val="ListLabel 975"/>
    <w:qFormat/>
    <w:rPr>
      <w:rFonts w:cs="Courier New"/>
    </w:rPr>
  </w:style>
  <w:style w:type="character" w:styleId="ListLabel976">
    <w:name w:val="ListLabel 976"/>
    <w:qFormat/>
    <w:rPr>
      <w:rFonts w:cs="Wingdings"/>
    </w:rPr>
  </w:style>
  <w:style w:type="character" w:styleId="ListLabel977">
    <w:name w:val="ListLabel 977"/>
    <w:qFormat/>
    <w:rPr>
      <w:rFonts w:cs="Symbol"/>
    </w:rPr>
  </w:style>
  <w:style w:type="character" w:styleId="ListLabel978">
    <w:name w:val="ListLabel 978"/>
    <w:qFormat/>
    <w:rPr>
      <w:rFonts w:cs="Courier New"/>
    </w:rPr>
  </w:style>
  <w:style w:type="character" w:styleId="ListLabel979">
    <w:name w:val="ListLabel 979"/>
    <w:qFormat/>
    <w:rPr>
      <w:rFonts w:cs="Wingdings"/>
    </w:rPr>
  </w:style>
  <w:style w:type="character" w:styleId="ListLabel980">
    <w:name w:val="ListLabel 980"/>
    <w:qFormat/>
    <w:rPr>
      <w:rFonts w:cs="Symbol"/>
    </w:rPr>
  </w:style>
  <w:style w:type="character" w:styleId="ListLabel981">
    <w:name w:val="ListLabel 981"/>
    <w:qFormat/>
    <w:rPr>
      <w:rFonts w:cs="Courier New"/>
    </w:rPr>
  </w:style>
  <w:style w:type="character" w:styleId="ListLabel982">
    <w:name w:val="ListLabel 982"/>
    <w:qFormat/>
    <w:rPr>
      <w:rFonts w:cs="Wingdings"/>
    </w:rPr>
  </w:style>
  <w:style w:type="character" w:styleId="ListLabel983">
    <w:name w:val="ListLabel 983"/>
    <w:qFormat/>
    <w:rPr>
      <w:rFonts w:cs="Symbol"/>
    </w:rPr>
  </w:style>
  <w:style w:type="character" w:styleId="ListLabel984">
    <w:name w:val="ListLabel 984"/>
    <w:qFormat/>
    <w:rPr>
      <w:rFonts w:cs="Courier New"/>
    </w:rPr>
  </w:style>
  <w:style w:type="character" w:styleId="ListLabel985">
    <w:name w:val="ListLabel 985"/>
    <w:qFormat/>
    <w:rPr>
      <w:rFonts w:cs="Wingdings"/>
    </w:rPr>
  </w:style>
  <w:style w:type="character" w:styleId="ListLabel986">
    <w:name w:val="ListLabel 986"/>
    <w:qFormat/>
    <w:rPr>
      <w:rFonts w:cs="Symbol"/>
    </w:rPr>
  </w:style>
  <w:style w:type="character" w:styleId="ListLabel987">
    <w:name w:val="ListLabel 987"/>
    <w:qFormat/>
    <w:rPr>
      <w:rFonts w:cs="Courier New"/>
    </w:rPr>
  </w:style>
  <w:style w:type="character" w:styleId="ListLabel988">
    <w:name w:val="ListLabel 988"/>
    <w:qFormat/>
    <w:rPr>
      <w:rFonts w:cs="Wingdings"/>
    </w:rPr>
  </w:style>
  <w:style w:type="character" w:styleId="ListLabel989">
    <w:name w:val="ListLabel 989"/>
    <w:qFormat/>
    <w:rPr>
      <w:rFonts w:cs="Symbol"/>
    </w:rPr>
  </w:style>
  <w:style w:type="character" w:styleId="ListLabel990">
    <w:name w:val="ListLabel 990"/>
    <w:qFormat/>
    <w:rPr>
      <w:rFonts w:cs="Courier New"/>
    </w:rPr>
  </w:style>
  <w:style w:type="character" w:styleId="ListLabel991">
    <w:name w:val="ListLabel 991"/>
    <w:qFormat/>
    <w:rPr>
      <w:rFonts w:cs="Wingdings"/>
    </w:rPr>
  </w:style>
  <w:style w:type="character" w:styleId="ListLabel992">
    <w:name w:val="ListLabel 992"/>
    <w:qFormat/>
    <w:rPr>
      <w:rFonts w:cs="Symbol"/>
    </w:rPr>
  </w:style>
  <w:style w:type="character" w:styleId="ListLabel993">
    <w:name w:val="ListLabel 993"/>
    <w:qFormat/>
    <w:rPr>
      <w:rFonts w:cs="Courier New"/>
    </w:rPr>
  </w:style>
  <w:style w:type="character" w:styleId="ListLabel994">
    <w:name w:val="ListLabel 994"/>
    <w:qFormat/>
    <w:rPr>
      <w:rFonts w:cs="Wingdings"/>
    </w:rPr>
  </w:style>
  <w:style w:type="character" w:styleId="ListLabel995">
    <w:name w:val="ListLabel 995"/>
    <w:qFormat/>
    <w:rPr>
      <w:rFonts w:cs="Symbol"/>
    </w:rPr>
  </w:style>
  <w:style w:type="character" w:styleId="ListLabel996">
    <w:name w:val="ListLabel 996"/>
    <w:qFormat/>
    <w:rPr>
      <w:rFonts w:cs="Courier New"/>
    </w:rPr>
  </w:style>
  <w:style w:type="character" w:styleId="ListLabel997">
    <w:name w:val="ListLabel 997"/>
    <w:qFormat/>
    <w:rPr>
      <w:rFonts w:cs="Wingdings"/>
    </w:rPr>
  </w:style>
  <w:style w:type="character" w:styleId="ListLabel998">
    <w:name w:val="ListLabel 998"/>
    <w:qFormat/>
    <w:rPr>
      <w:rFonts w:cs="Symbol"/>
    </w:rPr>
  </w:style>
  <w:style w:type="character" w:styleId="ListLabel999">
    <w:name w:val="ListLabel 999"/>
    <w:qFormat/>
    <w:rPr>
      <w:rFonts w:cs="Courier New"/>
    </w:rPr>
  </w:style>
  <w:style w:type="character" w:styleId="ListLabel1000">
    <w:name w:val="ListLabel 1000"/>
    <w:qFormat/>
    <w:rPr>
      <w:rFonts w:cs="Wingdings"/>
    </w:rPr>
  </w:style>
  <w:style w:type="character" w:styleId="ListLabel1001">
    <w:name w:val="ListLabel 1001"/>
    <w:qFormat/>
    <w:rPr>
      <w:rFonts w:cs="Symbol"/>
    </w:rPr>
  </w:style>
  <w:style w:type="character" w:styleId="ListLabel1002">
    <w:name w:val="ListLabel 1002"/>
    <w:qFormat/>
    <w:rPr>
      <w:rFonts w:cs="Courier New"/>
    </w:rPr>
  </w:style>
  <w:style w:type="character" w:styleId="ListLabel1003">
    <w:name w:val="ListLabel 1003"/>
    <w:qFormat/>
    <w:rPr>
      <w:rFonts w:cs="Wingdings"/>
    </w:rPr>
  </w:style>
  <w:style w:type="character" w:styleId="ListLabel1004">
    <w:name w:val="ListLabel 1004"/>
    <w:qFormat/>
    <w:rPr>
      <w:rFonts w:cs="Symbol"/>
    </w:rPr>
  </w:style>
  <w:style w:type="character" w:styleId="ListLabel1005">
    <w:name w:val="ListLabel 1005"/>
    <w:qFormat/>
    <w:rPr>
      <w:rFonts w:cs="Courier New"/>
    </w:rPr>
  </w:style>
  <w:style w:type="character" w:styleId="ListLabel1006">
    <w:name w:val="ListLabel 1006"/>
    <w:qFormat/>
    <w:rPr>
      <w:rFonts w:cs="Wingdings"/>
    </w:rPr>
  </w:style>
  <w:style w:type="character" w:styleId="ListLabel1007">
    <w:name w:val="ListLabel 1007"/>
    <w:qFormat/>
    <w:rPr>
      <w:rFonts w:cs="Symbol"/>
    </w:rPr>
  </w:style>
  <w:style w:type="character" w:styleId="ListLabel1008">
    <w:name w:val="ListLabel 1008"/>
    <w:qFormat/>
    <w:rPr>
      <w:rFonts w:cs="Courier New"/>
    </w:rPr>
  </w:style>
  <w:style w:type="character" w:styleId="ListLabel1009">
    <w:name w:val="ListLabel 1009"/>
    <w:qFormat/>
    <w:rPr>
      <w:rFonts w:cs="Wingdings"/>
    </w:rPr>
  </w:style>
  <w:style w:type="character" w:styleId="ListLabel1010">
    <w:name w:val="ListLabel 1010"/>
    <w:qFormat/>
    <w:rPr>
      <w:rFonts w:cs="Symbol"/>
    </w:rPr>
  </w:style>
  <w:style w:type="character" w:styleId="ListLabel1011">
    <w:name w:val="ListLabel 1011"/>
    <w:qFormat/>
    <w:rPr>
      <w:rFonts w:cs="Courier New"/>
    </w:rPr>
  </w:style>
  <w:style w:type="character" w:styleId="ListLabel1012">
    <w:name w:val="ListLabel 1012"/>
    <w:qFormat/>
    <w:rPr>
      <w:rFonts w:cs="Wingdings"/>
    </w:rPr>
  </w:style>
  <w:style w:type="character" w:styleId="ListLabel1013">
    <w:name w:val="ListLabel 1013"/>
    <w:qFormat/>
    <w:rPr>
      <w:rFonts w:cs="Symbol"/>
    </w:rPr>
  </w:style>
  <w:style w:type="character" w:styleId="ListLabel1014">
    <w:name w:val="ListLabel 1014"/>
    <w:qFormat/>
    <w:rPr>
      <w:rFonts w:cs="Courier New"/>
    </w:rPr>
  </w:style>
  <w:style w:type="character" w:styleId="ListLabel1015">
    <w:name w:val="ListLabel 1015"/>
    <w:qFormat/>
    <w:rPr>
      <w:rFonts w:cs="Wingdings"/>
    </w:rPr>
  </w:style>
  <w:style w:type="character" w:styleId="ListLabel1016">
    <w:name w:val="ListLabel 1016"/>
    <w:qFormat/>
    <w:rPr>
      <w:rFonts w:cs="Symbol"/>
    </w:rPr>
  </w:style>
  <w:style w:type="character" w:styleId="ListLabel1017">
    <w:name w:val="ListLabel 1017"/>
    <w:qFormat/>
    <w:rPr>
      <w:rFonts w:cs="Courier New"/>
    </w:rPr>
  </w:style>
  <w:style w:type="character" w:styleId="ListLabel1018">
    <w:name w:val="ListLabel 1018"/>
    <w:qFormat/>
    <w:rPr>
      <w:rFonts w:cs="Wingdings"/>
    </w:rPr>
  </w:style>
  <w:style w:type="character" w:styleId="ListLabel1019">
    <w:name w:val="ListLabel 1019"/>
    <w:qFormat/>
    <w:rPr>
      <w:rFonts w:cs="Symbol"/>
    </w:rPr>
  </w:style>
  <w:style w:type="character" w:styleId="ListLabel1020">
    <w:name w:val="ListLabel 1020"/>
    <w:qFormat/>
    <w:rPr>
      <w:rFonts w:cs="Courier New"/>
    </w:rPr>
  </w:style>
  <w:style w:type="character" w:styleId="ListLabel1021">
    <w:name w:val="ListLabel 1021"/>
    <w:qFormat/>
    <w:rPr>
      <w:rFonts w:cs="Wingdings"/>
    </w:rPr>
  </w:style>
  <w:style w:type="character" w:styleId="ListLabel1022">
    <w:name w:val="ListLabel 1022"/>
    <w:qFormat/>
    <w:rPr>
      <w:rFonts w:cs="Symbol"/>
    </w:rPr>
  </w:style>
  <w:style w:type="character" w:styleId="ListLabel1023">
    <w:name w:val="ListLabel 1023"/>
    <w:qFormat/>
    <w:rPr>
      <w:rFonts w:cs="Courier New"/>
    </w:rPr>
  </w:style>
  <w:style w:type="character" w:styleId="ListLabel1024">
    <w:name w:val="ListLabel 1024"/>
    <w:qFormat/>
    <w:rPr>
      <w:rFonts w:cs="Wingdings"/>
    </w:rPr>
  </w:style>
  <w:style w:type="character" w:styleId="ListLabel1025">
    <w:name w:val="ListLabel 1025"/>
    <w:qFormat/>
    <w:rPr>
      <w:rFonts w:cs="Symbol"/>
    </w:rPr>
  </w:style>
  <w:style w:type="character" w:styleId="ListLabel1026">
    <w:name w:val="ListLabel 1026"/>
    <w:qFormat/>
    <w:rPr>
      <w:rFonts w:cs="Courier New"/>
    </w:rPr>
  </w:style>
  <w:style w:type="character" w:styleId="ListLabel1027">
    <w:name w:val="ListLabel 1027"/>
    <w:qFormat/>
    <w:rPr>
      <w:rFonts w:cs="Wingdings"/>
    </w:rPr>
  </w:style>
  <w:style w:type="character" w:styleId="ListLabel1028">
    <w:name w:val="ListLabel 1028"/>
    <w:qFormat/>
    <w:rPr>
      <w:rFonts w:cs="Symbol"/>
    </w:rPr>
  </w:style>
  <w:style w:type="character" w:styleId="ListLabel1029">
    <w:name w:val="ListLabel 1029"/>
    <w:qFormat/>
    <w:rPr>
      <w:rFonts w:cs="Courier New"/>
    </w:rPr>
  </w:style>
  <w:style w:type="character" w:styleId="ListLabel1030">
    <w:name w:val="ListLabel 1030"/>
    <w:qFormat/>
    <w:rPr>
      <w:rFonts w:cs="Wingdings"/>
    </w:rPr>
  </w:style>
  <w:style w:type="character" w:styleId="ListLabel1031">
    <w:name w:val="ListLabel 1031"/>
    <w:qFormat/>
    <w:rPr>
      <w:rFonts w:cs="Symbol"/>
    </w:rPr>
  </w:style>
  <w:style w:type="character" w:styleId="ListLabel1032">
    <w:name w:val="ListLabel 1032"/>
    <w:qFormat/>
    <w:rPr>
      <w:rFonts w:cs="Courier New"/>
    </w:rPr>
  </w:style>
  <w:style w:type="character" w:styleId="ListLabel1033">
    <w:name w:val="ListLabel 1033"/>
    <w:qFormat/>
    <w:rPr>
      <w:rFonts w:cs="Wingdings"/>
    </w:rPr>
  </w:style>
  <w:style w:type="character" w:styleId="ListLabel1034">
    <w:name w:val="ListLabel 1034"/>
    <w:qFormat/>
    <w:rPr>
      <w:rFonts w:cs="Symbol"/>
    </w:rPr>
  </w:style>
  <w:style w:type="character" w:styleId="ListLabel1035">
    <w:name w:val="ListLabel 1035"/>
    <w:qFormat/>
    <w:rPr>
      <w:rFonts w:cs="Courier New"/>
    </w:rPr>
  </w:style>
  <w:style w:type="character" w:styleId="ListLabel1036">
    <w:name w:val="ListLabel 1036"/>
    <w:qFormat/>
    <w:rPr>
      <w:rFonts w:cs="Wingdings"/>
    </w:rPr>
  </w:style>
  <w:style w:type="character" w:styleId="ListLabel1037">
    <w:name w:val="ListLabel 1037"/>
    <w:qFormat/>
    <w:rPr>
      <w:rFonts w:cs="Symbol"/>
    </w:rPr>
  </w:style>
  <w:style w:type="character" w:styleId="ListLabel1038">
    <w:name w:val="ListLabel 1038"/>
    <w:qFormat/>
    <w:rPr>
      <w:rFonts w:cs="Courier New"/>
    </w:rPr>
  </w:style>
  <w:style w:type="character" w:styleId="ListLabel1039">
    <w:name w:val="ListLabel 1039"/>
    <w:qFormat/>
    <w:rPr>
      <w:rFonts w:cs="Wingdings"/>
    </w:rPr>
  </w:style>
  <w:style w:type="character" w:styleId="ListLabel1040">
    <w:name w:val="ListLabel 1040"/>
    <w:qFormat/>
    <w:rPr>
      <w:rFonts w:cs="Symbol"/>
    </w:rPr>
  </w:style>
  <w:style w:type="character" w:styleId="ListLabel1041">
    <w:name w:val="ListLabel 1041"/>
    <w:qFormat/>
    <w:rPr>
      <w:rFonts w:cs="Courier New"/>
    </w:rPr>
  </w:style>
  <w:style w:type="character" w:styleId="ListLabel1042">
    <w:name w:val="ListLabel 1042"/>
    <w:qFormat/>
    <w:rPr>
      <w:rFonts w:cs="Wingdings"/>
    </w:rPr>
  </w:style>
  <w:style w:type="character" w:styleId="ListLabel1043">
    <w:name w:val="ListLabel 1043"/>
    <w:qFormat/>
    <w:rPr>
      <w:rFonts w:cs="Symbol"/>
    </w:rPr>
  </w:style>
  <w:style w:type="character" w:styleId="ListLabel1044">
    <w:name w:val="ListLabel 1044"/>
    <w:qFormat/>
    <w:rPr>
      <w:rFonts w:cs="Courier New"/>
    </w:rPr>
  </w:style>
  <w:style w:type="character" w:styleId="ListLabel1045">
    <w:name w:val="ListLabel 1045"/>
    <w:qFormat/>
    <w:rPr>
      <w:rFonts w:cs="Wingdings"/>
    </w:rPr>
  </w:style>
  <w:style w:type="character" w:styleId="ListLabel1046">
    <w:name w:val="ListLabel 1046"/>
    <w:qFormat/>
    <w:rPr>
      <w:rFonts w:cs="Symbol"/>
    </w:rPr>
  </w:style>
  <w:style w:type="character" w:styleId="ListLabel1047">
    <w:name w:val="ListLabel 1047"/>
    <w:qFormat/>
    <w:rPr>
      <w:rFonts w:cs="Courier New"/>
    </w:rPr>
  </w:style>
  <w:style w:type="character" w:styleId="ListLabel1048">
    <w:name w:val="ListLabel 1048"/>
    <w:qFormat/>
    <w:rPr>
      <w:rFonts w:cs="Wingdings"/>
    </w:rPr>
  </w:style>
  <w:style w:type="character" w:styleId="ListLabel1049">
    <w:name w:val="ListLabel 1049"/>
    <w:qFormat/>
    <w:rPr>
      <w:rFonts w:cs="Symbol"/>
    </w:rPr>
  </w:style>
  <w:style w:type="character" w:styleId="ListLabel1050">
    <w:name w:val="ListLabel 1050"/>
    <w:qFormat/>
    <w:rPr>
      <w:rFonts w:cs="Courier New"/>
    </w:rPr>
  </w:style>
  <w:style w:type="character" w:styleId="ListLabel1051">
    <w:name w:val="ListLabel 1051"/>
    <w:qFormat/>
    <w:rPr>
      <w:rFonts w:cs="Wingdings"/>
    </w:rPr>
  </w:style>
  <w:style w:type="character" w:styleId="ListLabel1052">
    <w:name w:val="ListLabel 1052"/>
    <w:qFormat/>
    <w:rPr>
      <w:rFonts w:cs="Symbol"/>
    </w:rPr>
  </w:style>
  <w:style w:type="character" w:styleId="ListLabel1053">
    <w:name w:val="ListLabel 1053"/>
    <w:qFormat/>
    <w:rPr>
      <w:rFonts w:cs="Courier New"/>
    </w:rPr>
  </w:style>
  <w:style w:type="character" w:styleId="ListLabel1054">
    <w:name w:val="ListLabel 1054"/>
    <w:qFormat/>
    <w:rPr>
      <w:rFonts w:cs="Wingdings"/>
    </w:rPr>
  </w:style>
  <w:style w:type="character" w:styleId="ListLabel1055">
    <w:name w:val="ListLabel 1055"/>
    <w:qFormat/>
    <w:rPr>
      <w:rFonts w:cs="Symbol"/>
    </w:rPr>
  </w:style>
  <w:style w:type="character" w:styleId="ListLabel1056">
    <w:name w:val="ListLabel 1056"/>
    <w:qFormat/>
    <w:rPr>
      <w:rFonts w:cs="Courier New"/>
    </w:rPr>
  </w:style>
  <w:style w:type="character" w:styleId="ListLabel1057">
    <w:name w:val="ListLabel 1057"/>
    <w:qFormat/>
    <w:rPr>
      <w:rFonts w:cs="Wingdings"/>
    </w:rPr>
  </w:style>
  <w:style w:type="paragraph" w:styleId="Nagwek">
    <w:name w:val="Nagłówek"/>
    <w:basedOn w:val="Normal"/>
    <w:next w:val="Tretekstu"/>
    <w:qFormat/>
    <w:pPr>
      <w:keepNext/>
      <w:spacing w:before="240" w:after="120"/>
    </w:pPr>
    <w:rPr>
      <w:rFonts w:ascii="Liberation Sans" w:hAnsi="Liberation Sans" w:eastAsia="Microsoft YaHei" w:cs="Arial"/>
      <w:sz w:val="28"/>
      <w:szCs w:val="28"/>
    </w:rPr>
  </w:style>
  <w:style w:type="paragraph" w:styleId="Tretekstu">
    <w:name w:val="Body Text"/>
    <w:basedOn w:val="Normal"/>
    <w:link w:val="TekstpodstawowyZnak"/>
    <w:uiPriority w:val="99"/>
    <w:unhideWhenUsed/>
    <w:rsid w:val="00503f3c"/>
    <w:pPr>
      <w:spacing w:before="100" w:after="120"/>
    </w:pPr>
    <w:rPr/>
  </w:style>
  <w:style w:type="paragraph" w:styleId="Lista">
    <w:name w:val="List"/>
    <w:basedOn w:val="Normal"/>
    <w:uiPriority w:val="99"/>
    <w:unhideWhenUsed/>
    <w:rsid w:val="00503f3c"/>
    <w:pPr>
      <w:spacing w:before="100" w:after="200"/>
      <w:ind w:left="283" w:hanging="283"/>
      <w:contextualSpacing/>
    </w:pPr>
    <w:rPr/>
  </w:style>
  <w:style w:type="paragraph" w:styleId="Podpis">
    <w:name w:val="Caption"/>
    <w:basedOn w:val="Normal"/>
    <w:qFormat/>
    <w:pPr>
      <w:suppressLineNumbers/>
      <w:spacing w:before="120" w:after="120"/>
    </w:pPr>
    <w:rPr>
      <w:rFonts w:cs="Arial"/>
      <w:i/>
      <w:iCs/>
      <w:sz w:val="24"/>
      <w:szCs w:val="24"/>
    </w:rPr>
  </w:style>
  <w:style w:type="paragraph" w:styleId="Indeks">
    <w:name w:val="Indeks"/>
    <w:basedOn w:val="Normal"/>
    <w:qFormat/>
    <w:pPr>
      <w:suppressLineNumbers/>
    </w:pPr>
    <w:rPr>
      <w:rFonts w:cs="Arial"/>
    </w:rPr>
  </w:style>
  <w:style w:type="paragraph" w:styleId="Gwka">
    <w:name w:val="Header"/>
    <w:basedOn w:val="Normal"/>
    <w:link w:val="NagwekZnak"/>
    <w:unhideWhenUsed/>
    <w:rsid w:val="00350c1a"/>
    <w:pPr>
      <w:tabs>
        <w:tab w:val="center" w:pos="4536" w:leader="none"/>
        <w:tab w:val="right" w:pos="9072" w:leader="none"/>
      </w:tabs>
      <w:spacing w:lineRule="auto" w:line="240" w:before="100" w:after="0"/>
    </w:pPr>
    <w:rPr/>
  </w:style>
  <w:style w:type="paragraph" w:styleId="Stopka">
    <w:name w:val="Footer"/>
    <w:basedOn w:val="Normal"/>
    <w:link w:val="StopkaZnak"/>
    <w:uiPriority w:val="99"/>
    <w:unhideWhenUsed/>
    <w:rsid w:val="00350c1a"/>
    <w:pPr>
      <w:tabs>
        <w:tab w:val="center" w:pos="4536" w:leader="none"/>
        <w:tab w:val="right" w:pos="9072" w:leader="none"/>
      </w:tabs>
      <w:spacing w:lineRule="auto" w:line="240" w:before="100" w:after="0"/>
    </w:pPr>
    <w:rPr/>
  </w:style>
  <w:style w:type="paragraph" w:styleId="Caption">
    <w:name w:val="caption"/>
    <w:basedOn w:val="Normal"/>
    <w:uiPriority w:val="35"/>
    <w:unhideWhenUsed/>
    <w:qFormat/>
    <w:rsid w:val="0033456d"/>
    <w:pPr/>
    <w:rPr>
      <w:b/>
      <w:bCs/>
      <w:color w:val="C0320D" w:themeColor="accent1" w:themeShade="bf"/>
      <w:sz w:val="16"/>
      <w:szCs w:val="16"/>
    </w:rPr>
  </w:style>
  <w:style w:type="paragraph" w:styleId="Tytu">
    <w:name w:val="Title"/>
    <w:basedOn w:val="Normal"/>
    <w:link w:val="TytuZnak"/>
    <w:uiPriority w:val="10"/>
    <w:qFormat/>
    <w:rsid w:val="0033456d"/>
    <w:pPr>
      <w:spacing w:before="0" w:after="0"/>
    </w:pPr>
    <w:rPr>
      <w:rFonts w:ascii="Segoe UI Semibold" w:hAnsi="Segoe UI Semibold" w:eastAsia="" w:cs="" w:asciiTheme="majorHAnsi" w:cstheme="majorBidi" w:eastAsiaTheme="majorEastAsia" w:hAnsiTheme="majorHAnsi"/>
      <w:caps/>
      <w:color w:val="F04E23" w:themeColor="accent1"/>
      <w:spacing w:val="10"/>
      <w:sz w:val="52"/>
      <w:szCs w:val="52"/>
    </w:rPr>
  </w:style>
  <w:style w:type="paragraph" w:styleId="Podtytu">
    <w:name w:val="Subtitle"/>
    <w:basedOn w:val="Normal"/>
    <w:link w:val="PodtytuZnak"/>
    <w:uiPriority w:val="11"/>
    <w:qFormat/>
    <w:rsid w:val="0033456d"/>
    <w:pPr>
      <w:spacing w:lineRule="auto" w:line="240" w:before="0" w:after="500"/>
    </w:pPr>
    <w:rPr>
      <w:caps/>
      <w:color w:val="595959" w:themeColor="text1" w:themeTint="a6"/>
      <w:spacing w:val="10"/>
      <w:sz w:val="21"/>
      <w:szCs w:val="21"/>
    </w:rPr>
  </w:style>
  <w:style w:type="paragraph" w:styleId="NoSpacing">
    <w:name w:val="No Spacing"/>
    <w:uiPriority w:val="1"/>
    <w:qFormat/>
    <w:rsid w:val="0033456d"/>
    <w:pPr>
      <w:widowControl/>
      <w:bidi w:val="0"/>
      <w:spacing w:lineRule="auto" w:line="240" w:before="0" w:after="0"/>
      <w:jc w:val="left"/>
    </w:pPr>
    <w:rPr>
      <w:rFonts w:ascii="Segoe UI Light" w:hAnsi="Segoe UI Light" w:eastAsia="" w:cs="" w:asciiTheme="minorHAnsi" w:cstheme="minorBidi" w:eastAsiaTheme="minorEastAsia" w:hAnsiTheme="minorHAnsi"/>
      <w:color w:val="00000A"/>
      <w:sz w:val="20"/>
      <w:szCs w:val="20"/>
      <w:lang w:val="pl-PL" w:eastAsia="en-US" w:bidi="ar-SA"/>
    </w:rPr>
  </w:style>
  <w:style w:type="paragraph" w:styleId="Quote">
    <w:name w:val="Quote"/>
    <w:basedOn w:val="Normal"/>
    <w:link w:val="CytatZnak"/>
    <w:uiPriority w:val="29"/>
    <w:qFormat/>
    <w:rsid w:val="00ec0b3a"/>
    <w:pPr/>
    <w:rPr>
      <w:i/>
      <w:iCs/>
      <w:sz w:val="16"/>
      <w:szCs w:val="24"/>
    </w:rPr>
  </w:style>
  <w:style w:type="paragraph" w:styleId="IntenseQuote">
    <w:name w:val="Intense Quote"/>
    <w:basedOn w:val="Normal"/>
    <w:link w:val="CytatintensywnyZnak"/>
    <w:uiPriority w:val="30"/>
    <w:qFormat/>
    <w:rsid w:val="0033456d"/>
    <w:pPr>
      <w:spacing w:lineRule="auto" w:line="240" w:before="240" w:after="240"/>
      <w:ind w:left="1080" w:right="1080" w:hanging="0"/>
      <w:jc w:val="center"/>
    </w:pPr>
    <w:rPr>
      <w:color w:val="F04E23" w:themeColor="accent1"/>
      <w:sz w:val="24"/>
      <w:szCs w:val="24"/>
    </w:rPr>
  </w:style>
  <w:style w:type="paragraph" w:styleId="TOCHeading">
    <w:name w:val="TOC Heading"/>
    <w:basedOn w:val="Nagwek1"/>
    <w:uiPriority w:val="39"/>
    <w:unhideWhenUsed/>
    <w:qFormat/>
    <w:rsid w:val="0033456d"/>
    <w:pPr>
      <w:numPr>
        <w:ilvl w:val="0"/>
        <w:numId w:val="0"/>
      </w:numPr>
      <w:shd w:val="clear" w:fill="F04E23"/>
    </w:pPr>
    <w:rPr/>
  </w:style>
  <w:style w:type="paragraph" w:styleId="ListParagraph">
    <w:name w:val="List Paragraph"/>
    <w:basedOn w:val="Normal"/>
    <w:uiPriority w:val="34"/>
    <w:qFormat/>
    <w:rsid w:val="00ea5087"/>
    <w:pPr>
      <w:spacing w:before="100" w:after="200"/>
      <w:ind w:left="720" w:hanging="0"/>
      <w:contextualSpacing/>
    </w:pPr>
    <w:rPr/>
  </w:style>
  <w:style w:type="paragraph" w:styleId="Spistreci1">
    <w:name w:val="TOC 1"/>
    <w:basedOn w:val="Normal"/>
    <w:autoRedefine/>
    <w:uiPriority w:val="39"/>
    <w:unhideWhenUsed/>
    <w:rsid w:val="001d3b93"/>
    <w:pPr>
      <w:tabs>
        <w:tab w:val="left" w:pos="400" w:leader="none"/>
        <w:tab w:val="right" w:pos="9062" w:leader="dot"/>
      </w:tabs>
      <w:spacing w:before="100" w:after="100"/>
    </w:pPr>
    <w:rPr/>
  </w:style>
  <w:style w:type="paragraph" w:styleId="Spistreci2">
    <w:name w:val="TOC 2"/>
    <w:basedOn w:val="Normal"/>
    <w:autoRedefine/>
    <w:uiPriority w:val="39"/>
    <w:unhideWhenUsed/>
    <w:rsid w:val="001d3b93"/>
    <w:pPr>
      <w:spacing w:before="100" w:after="100"/>
      <w:ind w:left="200" w:hanging="0"/>
    </w:pPr>
    <w:rPr/>
  </w:style>
  <w:style w:type="paragraph" w:styleId="Spistreci3">
    <w:name w:val="TOC 3"/>
    <w:basedOn w:val="Normal"/>
    <w:autoRedefine/>
    <w:uiPriority w:val="39"/>
    <w:unhideWhenUsed/>
    <w:rsid w:val="001d3b93"/>
    <w:pPr>
      <w:spacing w:before="100" w:after="100"/>
      <w:ind w:left="400" w:hanging="0"/>
    </w:pPr>
    <w:rPr/>
  </w:style>
  <w:style w:type="paragraph" w:styleId="Annotationtext">
    <w:name w:val="annotation text"/>
    <w:basedOn w:val="Normal"/>
    <w:link w:val="TekstkomentarzaZnak"/>
    <w:uiPriority w:val="99"/>
    <w:unhideWhenUsed/>
    <w:qFormat/>
    <w:rsid w:val="00085646"/>
    <w:pPr>
      <w:spacing w:lineRule="auto" w:line="240"/>
    </w:pPr>
    <w:rPr/>
  </w:style>
  <w:style w:type="paragraph" w:styleId="Annotationsubject">
    <w:name w:val="annotation subject"/>
    <w:basedOn w:val="Annotationtext"/>
    <w:link w:val="TematkomentarzaZnak"/>
    <w:uiPriority w:val="99"/>
    <w:semiHidden/>
    <w:unhideWhenUsed/>
    <w:qFormat/>
    <w:rsid w:val="00085646"/>
    <w:pPr/>
    <w:rPr>
      <w:b/>
      <w:bCs/>
    </w:rPr>
  </w:style>
  <w:style w:type="paragraph" w:styleId="BalloonText">
    <w:name w:val="Balloon Text"/>
    <w:basedOn w:val="Normal"/>
    <w:link w:val="TekstdymkaZnak"/>
    <w:uiPriority w:val="99"/>
    <w:semiHidden/>
    <w:unhideWhenUsed/>
    <w:qFormat/>
    <w:rsid w:val="00085646"/>
    <w:pPr>
      <w:spacing w:lineRule="auto" w:line="240" w:before="0" w:after="0"/>
    </w:pPr>
    <w:rPr>
      <w:rFonts w:ascii="Segoe UI" w:hAnsi="Segoe UI" w:cs="Segoe UI"/>
      <w:sz w:val="18"/>
      <w:szCs w:val="18"/>
    </w:rPr>
  </w:style>
  <w:style w:type="paragraph" w:styleId="Revision">
    <w:name w:val="Revision"/>
    <w:uiPriority w:val="99"/>
    <w:semiHidden/>
    <w:qFormat/>
    <w:rsid w:val="00f14fbb"/>
    <w:pPr>
      <w:widowControl/>
      <w:bidi w:val="0"/>
      <w:spacing w:lineRule="auto" w:line="240" w:before="0" w:after="0"/>
      <w:jc w:val="left"/>
    </w:pPr>
    <w:rPr>
      <w:rFonts w:ascii="Segoe UI Light" w:hAnsi="Segoe UI Light" w:eastAsia="" w:cs="" w:asciiTheme="minorHAnsi" w:cstheme="minorBidi" w:eastAsiaTheme="minorEastAsia" w:hAnsiTheme="minorHAnsi"/>
      <w:color w:val="00000A"/>
      <w:sz w:val="20"/>
      <w:szCs w:val="20"/>
      <w:lang w:val="pl-PL" w:eastAsia="en-US" w:bidi="ar-SA"/>
    </w:rPr>
  </w:style>
  <w:style w:type="paragraph" w:styleId="Wcicietrecitekstu">
    <w:name w:val="Body Text Indent"/>
    <w:basedOn w:val="Normal"/>
    <w:link w:val="TekstpodstawowywcityZnak"/>
    <w:semiHidden/>
    <w:unhideWhenUsed/>
    <w:rsid w:val="00a9491d"/>
    <w:pPr>
      <w:spacing w:lineRule="auto" w:line="240" w:before="0" w:after="0"/>
      <w:ind w:firstLine="720"/>
    </w:pPr>
    <w:rPr>
      <w:rFonts w:ascii="Times New Roman" w:hAnsi="Times New Roman" w:eastAsia="Times New Roman" w:cs="Times New Roman"/>
      <w:sz w:val="28"/>
      <w:szCs w:val="24"/>
      <w:lang w:eastAsia="pl-PL"/>
    </w:rPr>
  </w:style>
  <w:style w:type="paragraph" w:styleId="Teksttreci1" w:customStyle="1">
    <w:name w:val="Tekst treści1"/>
    <w:basedOn w:val="Normal"/>
    <w:link w:val="Teksttreci"/>
    <w:uiPriority w:val="99"/>
    <w:qFormat/>
    <w:rsid w:val="00a9491d"/>
    <w:pPr>
      <w:widowControl w:val="false"/>
      <w:shd w:val="clear" w:color="auto" w:fill="FFFFFF"/>
      <w:spacing w:lineRule="atLeast" w:line="240" w:before="0" w:after="240"/>
      <w:ind w:hanging="1280"/>
      <w:jc w:val="left"/>
    </w:pPr>
    <w:rPr>
      <w:rFonts w:ascii="Arial" w:hAnsi="Arial" w:cs="Arial"/>
      <w:sz w:val="19"/>
      <w:szCs w:val="19"/>
    </w:rPr>
  </w:style>
  <w:style w:type="paragraph" w:styleId="1POZLISTY" w:customStyle="1">
    <w:name w:val="1POZ LISTY"/>
    <w:basedOn w:val="Normal"/>
    <w:qFormat/>
    <w:rsid w:val="00350ffd"/>
    <w:pPr/>
    <w:rPr/>
  </w:style>
  <w:style w:type="paragraph" w:styleId="2pozlisty" w:customStyle="1">
    <w:name w:val="2poz listy"/>
    <w:basedOn w:val="Normal"/>
    <w:qFormat/>
    <w:rsid w:val="00350ffd"/>
    <w:pPr/>
    <w:rPr/>
  </w:style>
  <w:style w:type="paragraph" w:styleId="3pozlisty" w:customStyle="1">
    <w:name w:val="3poz listy"/>
    <w:basedOn w:val="Normal"/>
    <w:qFormat/>
    <w:rsid w:val="00350ffd"/>
    <w:pPr/>
    <w:rPr/>
  </w:style>
  <w:style w:type="paragraph" w:styleId="Default" w:customStyle="1">
    <w:name w:val="Default"/>
    <w:qFormat/>
    <w:rsid w:val="001b752d"/>
    <w:pPr>
      <w:widowControl/>
      <w:suppressAutoHyphens w:val="true"/>
      <w:bidi w:val="0"/>
      <w:spacing w:lineRule="auto" w:line="240" w:before="0" w:after="0"/>
      <w:jc w:val="left"/>
    </w:pPr>
    <w:rPr>
      <w:rFonts w:ascii="Arial" w:hAnsi="Arial" w:eastAsia="Times New Roman" w:cs="Arial"/>
      <w:color w:val="000000"/>
      <w:sz w:val="24"/>
      <w:szCs w:val="24"/>
      <w:lang w:val="pl-PL" w:eastAsia="ar-SA" w:bidi="ar-SA"/>
    </w:rPr>
  </w:style>
  <w:style w:type="paragraph" w:styleId="Spistreci4">
    <w:name w:val="TOC 4"/>
    <w:basedOn w:val="Normal"/>
    <w:autoRedefine/>
    <w:uiPriority w:val="39"/>
    <w:unhideWhenUsed/>
    <w:rsid w:val="00d34832"/>
    <w:pPr>
      <w:spacing w:lineRule="auto" w:line="259" w:before="0" w:after="100"/>
      <w:ind w:left="660" w:hanging="0"/>
      <w:jc w:val="left"/>
    </w:pPr>
    <w:rPr>
      <w:sz w:val="22"/>
      <w:szCs w:val="22"/>
      <w:lang w:eastAsia="pl-PL"/>
    </w:rPr>
  </w:style>
  <w:style w:type="paragraph" w:styleId="Spistreci5">
    <w:name w:val="TOC 5"/>
    <w:basedOn w:val="Normal"/>
    <w:autoRedefine/>
    <w:uiPriority w:val="39"/>
    <w:unhideWhenUsed/>
    <w:rsid w:val="00d34832"/>
    <w:pPr>
      <w:spacing w:lineRule="auto" w:line="259" w:before="0" w:after="100"/>
      <w:ind w:left="880" w:hanging="0"/>
      <w:jc w:val="left"/>
    </w:pPr>
    <w:rPr>
      <w:sz w:val="22"/>
      <w:szCs w:val="22"/>
      <w:lang w:eastAsia="pl-PL"/>
    </w:rPr>
  </w:style>
  <w:style w:type="paragraph" w:styleId="Spistreci6">
    <w:name w:val="TOC 6"/>
    <w:basedOn w:val="Normal"/>
    <w:autoRedefine/>
    <w:uiPriority w:val="39"/>
    <w:unhideWhenUsed/>
    <w:rsid w:val="00d34832"/>
    <w:pPr>
      <w:spacing w:lineRule="auto" w:line="259" w:before="0" w:after="100"/>
      <w:ind w:left="1100" w:hanging="0"/>
      <w:jc w:val="left"/>
    </w:pPr>
    <w:rPr>
      <w:sz w:val="22"/>
      <w:szCs w:val="22"/>
      <w:lang w:eastAsia="pl-PL"/>
    </w:rPr>
  </w:style>
  <w:style w:type="paragraph" w:styleId="Spistreci7">
    <w:name w:val="TOC 7"/>
    <w:basedOn w:val="Normal"/>
    <w:autoRedefine/>
    <w:uiPriority w:val="39"/>
    <w:unhideWhenUsed/>
    <w:rsid w:val="00d34832"/>
    <w:pPr>
      <w:spacing w:lineRule="auto" w:line="259" w:before="0" w:after="100"/>
      <w:ind w:left="1320" w:hanging="0"/>
      <w:jc w:val="left"/>
    </w:pPr>
    <w:rPr>
      <w:sz w:val="22"/>
      <w:szCs w:val="22"/>
      <w:lang w:eastAsia="pl-PL"/>
    </w:rPr>
  </w:style>
  <w:style w:type="paragraph" w:styleId="Spistreci8">
    <w:name w:val="TOC 8"/>
    <w:basedOn w:val="Normal"/>
    <w:autoRedefine/>
    <w:uiPriority w:val="39"/>
    <w:unhideWhenUsed/>
    <w:rsid w:val="00d34832"/>
    <w:pPr>
      <w:spacing w:lineRule="auto" w:line="259" w:before="0" w:after="100"/>
      <w:ind w:left="1540" w:hanging="0"/>
      <w:jc w:val="left"/>
    </w:pPr>
    <w:rPr>
      <w:sz w:val="22"/>
      <w:szCs w:val="22"/>
      <w:lang w:eastAsia="pl-PL"/>
    </w:rPr>
  </w:style>
  <w:style w:type="paragraph" w:styleId="Spistreci9">
    <w:name w:val="TOC 9"/>
    <w:basedOn w:val="Normal"/>
    <w:autoRedefine/>
    <w:uiPriority w:val="39"/>
    <w:unhideWhenUsed/>
    <w:rsid w:val="00d34832"/>
    <w:pPr>
      <w:spacing w:lineRule="auto" w:line="259" w:before="0" w:after="100"/>
      <w:ind w:left="1760" w:hanging="0"/>
      <w:jc w:val="left"/>
    </w:pPr>
    <w:rPr>
      <w:sz w:val="22"/>
      <w:szCs w:val="22"/>
      <w:lang w:eastAsia="pl-PL"/>
    </w:rPr>
  </w:style>
  <w:style w:type="paragraph" w:styleId="Xl47" w:customStyle="1">
    <w:name w:val="xl47"/>
    <w:basedOn w:val="Normal"/>
    <w:qFormat/>
    <w:rsid w:val="00775cd2"/>
    <w:pPr>
      <w:widowControl w:val="false"/>
      <w:suppressAutoHyphens w:val="true"/>
      <w:spacing w:lineRule="auto" w:line="240" w:before="280" w:after="280"/>
      <w:jc w:val="center"/>
    </w:pPr>
    <w:rPr>
      <w:rFonts w:ascii="Times New Roman" w:hAnsi="Times New Roman" w:eastAsia="Bitstream Vera Sans" w:cs="Arial"/>
      <w:sz w:val="24"/>
      <w:szCs w:val="24"/>
      <w:lang w:eastAsia="pl-PL"/>
    </w:rPr>
  </w:style>
  <w:style w:type="paragraph" w:styleId="ListBullet4">
    <w:name w:val="List Bullet 4"/>
    <w:basedOn w:val="Normal"/>
    <w:uiPriority w:val="99"/>
    <w:unhideWhenUsed/>
    <w:qFormat/>
    <w:rsid w:val="00503f3c"/>
    <w:pPr>
      <w:spacing w:before="100" w:after="200"/>
      <w:ind w:left="849" w:hanging="283"/>
      <w:contextualSpacing/>
    </w:pPr>
    <w:rPr/>
  </w:style>
  <w:style w:type="paragraph" w:styleId="ListContinue2">
    <w:name w:val="List Continue 2"/>
    <w:basedOn w:val="Normal"/>
    <w:uiPriority w:val="99"/>
    <w:unhideWhenUsed/>
    <w:qFormat/>
    <w:rsid w:val="00503f3c"/>
    <w:pPr>
      <w:spacing w:before="100" w:after="120"/>
      <w:ind w:left="566" w:hanging="0"/>
      <w:contextualSpacing/>
    </w:pPr>
    <w:rPr/>
  </w:style>
  <w:style w:type="paragraph" w:styleId="BodyTextFirstIndent2">
    <w:name w:val="Body Text First Indent 2"/>
    <w:basedOn w:val="Wcicietrecitekstu"/>
    <w:link w:val="Tekstpodstawowyzwciciem2Znak"/>
    <w:uiPriority w:val="99"/>
    <w:unhideWhenUsed/>
    <w:qFormat/>
    <w:rsid w:val="00503f3c"/>
    <w:pPr>
      <w:spacing w:lineRule="auto" w:line="276" w:before="100" w:after="200"/>
      <w:ind w:left="360" w:firstLine="360"/>
    </w:pPr>
    <w:rPr>
      <w:rFonts w:ascii="Segoe UI Light" w:hAnsi="Segoe UI Light" w:eastAsia="" w:cs="" w:asciiTheme="minorHAnsi" w:cstheme="minorBidi" w:eastAsiaTheme="minorEastAsia" w:hAnsiTheme="minorHAnsi"/>
      <w:sz w:val="20"/>
      <w:szCs w:val="20"/>
      <w:lang w:eastAsia="en-US"/>
    </w:rPr>
  </w:style>
  <w:style w:type="paragraph" w:styleId="NormalWeb">
    <w:name w:val="Normal (Web)"/>
    <w:basedOn w:val="Normal"/>
    <w:uiPriority w:val="99"/>
    <w:semiHidden/>
    <w:unhideWhenUsed/>
    <w:qFormat/>
    <w:rsid w:val="00aa40e7"/>
    <w:pPr>
      <w:spacing w:lineRule="auto" w:line="240" w:beforeAutospacing="1" w:afterAutospacing="1"/>
      <w:jc w:val="left"/>
    </w:pPr>
    <w:rPr>
      <w:rFonts w:ascii="Times New Roman" w:hAnsi="Times New Roman" w:eastAsia="Times New Roman" w:cs="Times New Roman"/>
      <w:sz w:val="24"/>
      <w:szCs w:val="24"/>
      <w:lang w:eastAsia="pl-PL"/>
    </w:rPr>
  </w:style>
  <w:style w:type="paragraph" w:styleId="Endnotetext">
    <w:name w:val="endnote text"/>
    <w:basedOn w:val="Normal"/>
    <w:link w:val="TekstprzypisukocowegoZnak"/>
    <w:uiPriority w:val="99"/>
    <w:semiHidden/>
    <w:unhideWhenUsed/>
    <w:qFormat/>
    <w:rsid w:val="004e29d5"/>
    <w:pPr>
      <w:spacing w:lineRule="auto" w:line="240" w:before="0" w:after="0"/>
    </w:pPr>
    <w:rPr/>
  </w:style>
  <w:style w:type="paragraph" w:styleId="Zawartoramki">
    <w:name w:val="Zawartość ramki"/>
    <w:basedOn w:val="Normal"/>
    <w:qFormat/>
    <w:pPr/>
    <w:rPr/>
  </w:style>
  <w:style w:type="numbering" w:styleId="NoList" w:default="1">
    <w:name w:val="No List"/>
    <w:uiPriority w:val="99"/>
    <w:semiHidden/>
    <w:unhideWhenUsed/>
    <w:qFormat/>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table" w:styleId="Tabela-Siatka">
    <w:name w:val="Table Grid"/>
    <w:basedOn w:val="Standardowy"/>
    <w:uiPriority w:val="39"/>
    <w:rsid w:val="00ef2ab3"/>
    <w:pPr>
      <w:spacing w:before="0"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Tabela-Siatka1">
    <w:name w:val="Tabela - Siatka1"/>
    <w:basedOn w:val="Standardowy"/>
    <w:uiPriority w:val="39"/>
    <w:rsid w:val="00067b54"/>
    <w:pPr>
      <w:spacing w:before="0" w:after="0" w:line="240" w:lineRule="auto"/>
    </w:pPr>
    <w:rPr>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eader" Target="header1.xml"/><Relationship Id="rId4" Type="http://schemas.openxmlformats.org/officeDocument/2006/relationships/header" Target="header2.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header" Target="header3.xml"/><Relationship Id="rId8" Type="http://schemas.openxmlformats.org/officeDocument/2006/relationships/header" Target="header4.xml"/><Relationship Id="rId9" Type="http://schemas.openxmlformats.org/officeDocument/2006/relationships/footer" Target="footer3.xml"/><Relationship Id="rId10" Type="http://schemas.openxmlformats.org/officeDocument/2006/relationships/footer" Target="footer4.xml"/><Relationship Id="rId11" Type="http://schemas.openxmlformats.org/officeDocument/2006/relationships/header" Target="header5.xml"/><Relationship Id="rId12" Type="http://schemas.openxmlformats.org/officeDocument/2006/relationships/header" Target="header6.xml"/><Relationship Id="rId13" Type="http://schemas.openxmlformats.org/officeDocument/2006/relationships/footer" Target="footer5.xml"/><Relationship Id="rId14" Type="http://schemas.openxmlformats.org/officeDocument/2006/relationships/footer" Target="footer6.xml"/><Relationship Id="rId15" Type="http://schemas.openxmlformats.org/officeDocument/2006/relationships/header" Target="header7.xml"/><Relationship Id="rId16" Type="http://schemas.openxmlformats.org/officeDocument/2006/relationships/header" Target="header8.xml"/><Relationship Id="rId17" Type="http://schemas.openxmlformats.org/officeDocument/2006/relationships/footer" Target="footer7.xml"/><Relationship Id="rId18" Type="http://schemas.openxmlformats.org/officeDocument/2006/relationships/footer" Target="footer8.xml"/><Relationship Id="rId19" Type="http://schemas.openxmlformats.org/officeDocument/2006/relationships/numbering" Target="numbering.xml"/><Relationship Id="rId20" Type="http://schemas.openxmlformats.org/officeDocument/2006/relationships/fontTable" Target="fontTable.xml"/><Relationship Id="rId21" Type="http://schemas.openxmlformats.org/officeDocument/2006/relationships/settings" Target="settings.xml"/><Relationship Id="rId22" Type="http://schemas.openxmlformats.org/officeDocument/2006/relationships/theme" Target="theme/theme1.xml"/><Relationship Id="rId23" Type="http://schemas.openxmlformats.org/officeDocument/2006/relationships/customXml" Target="../customXml/item1.xml"/><Relationship Id="rId24" Type="http://schemas.openxmlformats.org/officeDocument/2006/relationships/customXml" Target="../customXml/item2.xml"/><Relationship Id="rId25" Type="http://schemas.openxmlformats.org/officeDocument/2006/relationships/customXml" Target="../customXml/item3.xml"/><Relationship Id="rId26" Type="http://schemas.openxmlformats.org/officeDocument/2006/relationships/customXml" Target="../customXml/item4.xml"/>
</Relationships>
</file>

<file path=word/theme/theme1.xml><?xml version="1.0" encoding="utf-8"?>
<a:theme xmlns:a="http://schemas.openxmlformats.org/drawingml/2006/main" name="Motyw pakietu Office">
  <a:themeElements>
    <a:clrScheme name="Archice">
      <a:dk1>
        <a:sysClr val="windowText" lastClr="000000"/>
      </a:dk1>
      <a:lt1>
        <a:sysClr val="window" lastClr="FFFFFF"/>
      </a:lt1>
      <a:dk2>
        <a:srgbClr val="262626"/>
      </a:dk2>
      <a:lt2>
        <a:srgbClr val="E7E6E6"/>
      </a:lt2>
      <a:accent1>
        <a:srgbClr val="F04E23"/>
      </a:accent1>
      <a:accent2>
        <a:srgbClr val="F37021"/>
      </a:accent2>
      <a:accent3>
        <a:srgbClr val="A5A5A5"/>
      </a:accent3>
      <a:accent4>
        <a:srgbClr val="FFC000"/>
      </a:accent4>
      <a:accent5>
        <a:srgbClr val="5B9BD5"/>
      </a:accent5>
      <a:accent6>
        <a:srgbClr val="70AD47"/>
      </a:accent6>
      <a:hlink>
        <a:srgbClr val="F04E23"/>
      </a:hlink>
      <a:folHlink>
        <a:srgbClr val="FFC000"/>
      </a:folHlink>
    </a:clrScheme>
    <a:fontScheme name="Segoe UI">
      <a:majorFont>
        <a:latin typeface="Segoe UI Semibold"/>
        <a:ea typeface=""/>
        <a:cs typeface=""/>
      </a:majorFont>
      <a:minorFont>
        <a:latin typeface="Segoe UI Light"/>
        <a:ea typeface=""/>
        <a:cs typeface=""/>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1A4F5D91F18BE44DB9961738437DC35C" ma:contentTypeVersion="2" ma:contentTypeDescription="Utwórz nowy dokument." ma:contentTypeScope="" ma:versionID="6e991d403a7e052a6eae8ff2a1448459">
  <xsd:schema xmlns:xsd="http://www.w3.org/2001/XMLSchema" xmlns:xs="http://www.w3.org/2001/XMLSchema" xmlns:p="http://schemas.microsoft.com/office/2006/metadata/properties" xmlns:ns2="478d7480-6c91-4249-ba18-019eed9c590b" targetNamespace="http://schemas.microsoft.com/office/2006/metadata/properties" ma:root="true" ma:fieldsID="74abd5028262fc8af0252802e71f7bad" ns2:_="">
    <xsd:import namespace="478d7480-6c91-4249-ba18-019eed9c590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8d7480-6c91-4249-ba18-019eed9c59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36F002-CD2B-42CF-B67F-F107BEC0D3AD}">
  <ds:schemaRefs>
    <ds:schemaRef ds:uri="http://schemas.microsoft.com/sharepoint/v3/contenttype/forms"/>
  </ds:schemaRefs>
</ds:datastoreItem>
</file>

<file path=customXml/itemProps2.xml><?xml version="1.0" encoding="utf-8"?>
<ds:datastoreItem xmlns:ds="http://schemas.openxmlformats.org/officeDocument/2006/customXml" ds:itemID="{0130C0CD-F00F-4DD7-9CD1-C12F07F1504C}">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478d7480-6c91-4249-ba18-019eed9c590b"/>
    <ds:schemaRef ds:uri="http://www.w3.org/XML/1998/namespace"/>
    <ds:schemaRef ds:uri="http://purl.org/dc/dcmitype/"/>
  </ds:schemaRefs>
</ds:datastoreItem>
</file>

<file path=customXml/itemProps3.xml><?xml version="1.0" encoding="utf-8"?>
<ds:datastoreItem xmlns:ds="http://schemas.openxmlformats.org/officeDocument/2006/customXml" ds:itemID="{C2F44AF7-014C-444D-88B2-A6DFBC1D2D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8d7480-6c91-4249-ba18-019eed9c59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E2E129F-296F-461E-9509-CA4C558CA7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718</TotalTime>
  <Application>LibreOffice/5.3.2.2$Windows_x86 LibreOffice_project/6cd4f1ef626f15116896b1d8e1398b56da0d0ee1</Application>
  <Pages>88</Pages>
  <Words>32819</Words>
  <Characters>228153</Characters>
  <CharactersWithSpaces>258472</CharactersWithSpaces>
  <Paragraphs>2056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2019-06-03T05:20:00Z</dcterms:created>
  <dc:creator>Jan Jarmusz</dc:creator>
  <dc:description/>
  <dc:language>pl-PL</dc:language>
  <cp:lastModifiedBy/>
  <cp:lastPrinted>2017-12-21T13:42:00Z</cp:lastPrinted>
  <dcterms:modified xsi:type="dcterms:W3CDTF">2021-03-04T08:22:55Z</dcterms:modified>
  <cp:revision>168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ntentTypeId">
    <vt:lpwstr>0x0101001A4F5D91F18BE44DB9961738437DC35C</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