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C85A8" w14:textId="64B330D2" w:rsidR="007E04A7" w:rsidRPr="00230AF0" w:rsidRDefault="000A5657" w:rsidP="006D052D">
      <w:pPr>
        <w:jc w:val="right"/>
        <w:rPr>
          <w:rFonts w:ascii="Calibri" w:hAnsi="Calibri" w:cs="Calibri"/>
          <w:b/>
          <w:bCs/>
        </w:rPr>
      </w:pPr>
      <w:r w:rsidRPr="00230AF0">
        <w:rPr>
          <w:rFonts w:ascii="Calibri" w:hAnsi="Calibri" w:cs="Calibri"/>
          <w:b/>
          <w:bCs/>
        </w:rPr>
        <w:t>Załącznik nr 3 do SWZ</w:t>
      </w:r>
    </w:p>
    <w:p w14:paraId="7D2CDABA" w14:textId="68EC0B61" w:rsidR="00EB5DEA" w:rsidRPr="00230AF0" w:rsidRDefault="00EB5DEA" w:rsidP="006D052D">
      <w:pPr>
        <w:jc w:val="right"/>
        <w:rPr>
          <w:rFonts w:ascii="Calibri" w:hAnsi="Calibri" w:cs="Calibri"/>
          <w:b/>
          <w:bCs/>
        </w:rPr>
      </w:pPr>
      <w:r w:rsidRPr="00230AF0">
        <w:rPr>
          <w:rFonts w:ascii="Calibri" w:hAnsi="Calibri" w:cs="Calibri"/>
          <w:b/>
          <w:bCs/>
        </w:rPr>
        <w:t>Załącznik nr … do umowy</w:t>
      </w:r>
    </w:p>
    <w:p w14:paraId="3E12C8A3" w14:textId="77777777" w:rsidR="005303FF" w:rsidRPr="00230AF0" w:rsidRDefault="005303FF" w:rsidP="006D052D">
      <w:pPr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5287E896" w14:textId="77777777" w:rsidR="005303FF" w:rsidRPr="00230AF0" w:rsidRDefault="005303FF" w:rsidP="005303FF">
      <w:pPr>
        <w:pStyle w:val="Bezodstpw"/>
        <w:jc w:val="center"/>
        <w:rPr>
          <w:rFonts w:ascii="Calibri" w:hAnsi="Calibri" w:cs="Calibri"/>
          <w:b/>
        </w:rPr>
      </w:pPr>
      <w:r w:rsidRPr="00230AF0">
        <w:rPr>
          <w:rFonts w:ascii="Calibri" w:hAnsi="Calibri" w:cs="Calibri"/>
          <w:b/>
        </w:rPr>
        <w:t>OPIS PRZEDMIOTU ZAMÓWIENIA</w:t>
      </w:r>
    </w:p>
    <w:p w14:paraId="42F2B2F6" w14:textId="3ED7A84A" w:rsidR="005303FF" w:rsidRPr="00230AF0" w:rsidRDefault="005303FF" w:rsidP="005303FF">
      <w:pPr>
        <w:jc w:val="center"/>
        <w:rPr>
          <w:rFonts w:ascii="Calibri" w:hAnsi="Calibri" w:cs="Calibri"/>
          <w:b/>
          <w:smallCaps/>
          <w:sz w:val="20"/>
          <w:szCs w:val="20"/>
        </w:rPr>
      </w:pPr>
      <w:r w:rsidRPr="00230AF0">
        <w:rPr>
          <w:rFonts w:ascii="Calibri" w:hAnsi="Calibri" w:cs="Calibri"/>
          <w:b/>
          <w:smallCaps/>
          <w:sz w:val="20"/>
          <w:szCs w:val="20"/>
        </w:rPr>
        <w:t>Wymagania ogólne</w:t>
      </w:r>
      <w:r w:rsidR="00DB12E0" w:rsidRPr="00230AF0">
        <w:rPr>
          <w:rFonts w:ascii="Calibri" w:hAnsi="Calibri" w:cs="Calibri"/>
          <w:b/>
          <w:smallCaps/>
          <w:sz w:val="20"/>
          <w:szCs w:val="20"/>
        </w:rPr>
        <w:t xml:space="preserve"> </w:t>
      </w:r>
    </w:p>
    <w:p w14:paraId="73C8537E" w14:textId="77777777" w:rsidR="005303FF" w:rsidRPr="00230AF0" w:rsidRDefault="005303FF" w:rsidP="005303F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hAnsi="Calibri" w:cs="Calibri"/>
          <w:sz w:val="20"/>
          <w:szCs w:val="20"/>
        </w:rPr>
        <w:t xml:space="preserve">Dostarczony system bezpieczeństwa musi zapewniać wszystkie wymienione poniżej funkcje sieciowe i bezpieczeństwa niezależnie od dostawcy łącza. Dopuszcza </w:t>
      </w:r>
      <w:proofErr w:type="gramStart"/>
      <w:r w:rsidRPr="00230AF0">
        <w:rPr>
          <w:rFonts w:ascii="Calibri" w:hAnsi="Calibri" w:cs="Calibri"/>
          <w:sz w:val="20"/>
          <w:szCs w:val="20"/>
        </w:rPr>
        <w:t>się</w:t>
      </w:r>
      <w:proofErr w:type="gramEnd"/>
      <w:r w:rsidRPr="00230AF0">
        <w:rPr>
          <w:rFonts w:ascii="Calibri" w:hAnsi="Calibri" w:cs="Calibri"/>
          <w:sz w:val="20"/>
          <w:szCs w:val="20"/>
        </w:rPr>
        <w:t xml:space="preserve"> aby poszczególne elementy wchodzące w skład systemu bezpieczeństwa były zrealizowane w postaci osobnych, komercyjnych platform sprzętowych lub komercyjnych aplikacji instalowanych na platformach ogólnego przeznaczenia. W przypadku implementacji programowej Wykonawca musi zapewnić niezbędne platformy sprzętowe wraz z odpowiednio zabezpieczonym systemem operacyjnym.</w:t>
      </w:r>
    </w:p>
    <w:p w14:paraId="6737F797" w14:textId="77777777" w:rsidR="005303FF" w:rsidRPr="00230AF0" w:rsidRDefault="005303FF" w:rsidP="005303F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hAnsi="Calibri" w:cs="Calibri"/>
          <w:sz w:val="20"/>
          <w:szCs w:val="20"/>
        </w:rPr>
        <w:t xml:space="preserve">Element systemu realizujący funkcję Firewall musi dawać możliwość pracy w jednym z trzech trybów: Routera z funkcją NAT, transparentnym oraz monitorowania na porcie SPAN. </w:t>
      </w:r>
    </w:p>
    <w:p w14:paraId="69224E92" w14:textId="77777777" w:rsidR="005303FF" w:rsidRPr="00230AF0" w:rsidRDefault="005303FF" w:rsidP="005303F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hAnsi="Calibri" w:cs="Calibri"/>
          <w:sz w:val="20"/>
          <w:szCs w:val="20"/>
        </w:rPr>
        <w:t xml:space="preserve">W ramach dostarczonego systemu bezpieczeństwa musi być zapewniona możliwość budowy minimum 2 oddzielnych (fizycznych lub logicznych) instancji systemów w zakresie: Routingu, </w:t>
      </w:r>
      <w:proofErr w:type="spellStart"/>
      <w:r w:rsidRPr="00230AF0">
        <w:rPr>
          <w:rFonts w:ascii="Calibri" w:hAnsi="Calibri" w:cs="Calibri"/>
          <w:sz w:val="20"/>
          <w:szCs w:val="20"/>
        </w:rPr>
        <w:t>Firewall’a</w:t>
      </w:r>
      <w:proofErr w:type="spellEnd"/>
      <w:r w:rsidRPr="00230AF0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Pr="00230AF0">
        <w:rPr>
          <w:rFonts w:ascii="Calibri" w:hAnsi="Calibri" w:cs="Calibri"/>
          <w:sz w:val="20"/>
          <w:szCs w:val="20"/>
        </w:rPr>
        <w:t>IPSec</w:t>
      </w:r>
      <w:proofErr w:type="spellEnd"/>
      <w:r w:rsidRPr="00230AF0">
        <w:rPr>
          <w:rFonts w:ascii="Calibri" w:hAnsi="Calibri" w:cs="Calibri"/>
          <w:sz w:val="20"/>
          <w:szCs w:val="20"/>
        </w:rPr>
        <w:t xml:space="preserve"> VPN, Antywirus, IPS. Powinna istnieć możliwość dedykowania co najmniej 9 administratorów do poszczególnych instancji systemu.</w:t>
      </w:r>
    </w:p>
    <w:p w14:paraId="7BD9B656" w14:textId="77777777" w:rsidR="00BA7FEF" w:rsidRPr="00230AF0" w:rsidRDefault="005303FF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hAnsi="Calibri" w:cs="Calibri"/>
          <w:sz w:val="20"/>
          <w:szCs w:val="20"/>
        </w:rPr>
        <w:t xml:space="preserve">W ramach postępowania wymaganym jest dostarczenie licencji wsparcia </w:t>
      </w:r>
      <w:r w:rsidR="008403AF" w:rsidRPr="00230AF0">
        <w:rPr>
          <w:rFonts w:ascii="Calibri" w:hAnsi="Calibri" w:cs="Calibri"/>
          <w:sz w:val="20"/>
          <w:szCs w:val="20"/>
        </w:rPr>
        <w:t xml:space="preserve">dla </w:t>
      </w:r>
      <w:r w:rsidR="00F8266C" w:rsidRPr="00230AF0">
        <w:rPr>
          <w:rFonts w:ascii="Calibri" w:hAnsi="Calibri" w:cs="Calibri"/>
          <w:sz w:val="20"/>
          <w:szCs w:val="20"/>
        </w:rPr>
        <w:t>wszystkic</w:t>
      </w:r>
      <w:r w:rsidR="008403AF" w:rsidRPr="00230AF0">
        <w:rPr>
          <w:rFonts w:ascii="Calibri" w:hAnsi="Calibri" w:cs="Calibri"/>
          <w:sz w:val="20"/>
          <w:szCs w:val="20"/>
        </w:rPr>
        <w:t xml:space="preserve">h </w:t>
      </w:r>
      <w:r w:rsidR="00805B95" w:rsidRPr="00230AF0">
        <w:rPr>
          <w:rFonts w:ascii="Calibri" w:hAnsi="Calibri" w:cs="Calibri"/>
          <w:sz w:val="20"/>
          <w:szCs w:val="20"/>
        </w:rPr>
        <w:t>oferowanych</w:t>
      </w:r>
      <w:r w:rsidR="008403AF" w:rsidRPr="00230AF0">
        <w:rPr>
          <w:rFonts w:ascii="Calibri" w:hAnsi="Calibri" w:cs="Calibri"/>
          <w:sz w:val="20"/>
          <w:szCs w:val="20"/>
        </w:rPr>
        <w:t xml:space="preserve"> urządzeń.</w:t>
      </w:r>
    </w:p>
    <w:p w14:paraId="07564701" w14:textId="0EF83EFE" w:rsidR="00DB12E0" w:rsidRPr="00230AF0" w:rsidRDefault="00BA7FEF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hAnsi="Calibri" w:cs="Calibri"/>
          <w:sz w:val="20"/>
          <w:szCs w:val="20"/>
        </w:rPr>
        <w:t xml:space="preserve">W </w:t>
      </w:r>
      <w:r w:rsidR="00DB12E0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niniejszym dokumencie przedstawiono minimalne parametry urządzeń. W przypadku, gdy nie określono, że parametr określa maksymalną wartość jest to jego wartość minimalna. Wartości te należy zawsze rozumieć jako ograniczone z bezsporną korzyścią dla Zamawiającego.</w:t>
      </w:r>
    </w:p>
    <w:p w14:paraId="13EE93C2" w14:textId="04576981" w:rsidR="00DB12E0" w:rsidRPr="00230AF0" w:rsidRDefault="001E7FF7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Przedmiot zamówienia </w:t>
      </w:r>
      <w:r w:rsidR="00DB12E0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musi pochodzić z </w:t>
      </w:r>
      <w:r w:rsidR="00363830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oficjalnego</w:t>
      </w:r>
      <w:r w:rsidR="00DB12E0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kanału </w:t>
      </w:r>
      <w:r w:rsidR="00363830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dystrybucyjnego</w:t>
      </w:r>
      <w:r w:rsidR="00DB12E0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producenta</w:t>
      </w:r>
      <w:r w:rsidR="00146160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zaoferowanego rozwiązania</w:t>
      </w:r>
      <w:r w:rsidR="00DB12E0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. </w:t>
      </w:r>
    </w:p>
    <w:p w14:paraId="7BF9359C" w14:textId="60A420EB" w:rsidR="004C22FE" w:rsidRPr="00230AF0" w:rsidRDefault="00363830" w:rsidP="00363830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Przedmiot zamówienia musi być fabrycznie nowy</w:t>
      </w:r>
      <w:r w:rsidR="004C22FE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(wyprodukowany po 01 stycznia 2024 r.)</w:t>
      </w: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,</w:t>
      </w:r>
      <w:r w:rsidR="001E7FF7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kompletny, wolny od wszelkich wad i uszkodzeń,</w:t>
      </w: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nigdy wcześniej nie używany</w:t>
      </w:r>
      <w:r w:rsidR="001E7FF7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i nie będący przedmiotem praw osób trzecich,</w:t>
      </w: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dopuszczony do obrotu.</w:t>
      </w:r>
    </w:p>
    <w:p w14:paraId="5D464D96" w14:textId="2821A763" w:rsidR="001E7FF7" w:rsidRPr="00230AF0" w:rsidRDefault="004C22FE" w:rsidP="004C22FE">
      <w:pPr>
        <w:pStyle w:val="Akapitzlist"/>
        <w:spacing w:after="120" w:line="240" w:lineRule="auto"/>
        <w:contextualSpacing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230AF0">
        <w:rPr>
          <w:rFonts w:ascii="Calibri" w:eastAsia="Arial Narrow" w:hAnsi="Calibri" w:cs="Calibri"/>
          <w:b/>
          <w:bCs/>
          <w:kern w:val="0"/>
          <w:sz w:val="20"/>
          <w:szCs w:val="20"/>
          <w:lang w:eastAsia="ja-JP"/>
          <w14:ligatures w14:val="none"/>
        </w:rPr>
        <w:t>DODATKOWE WYMAGANIA:</w:t>
      </w:r>
    </w:p>
    <w:p w14:paraId="4976B1E4" w14:textId="17954F12" w:rsidR="00301114" w:rsidRPr="00230AF0" w:rsidRDefault="00301114" w:rsidP="00363830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hAnsi="Calibri" w:cs="Calibri"/>
          <w:sz w:val="20"/>
          <w:szCs w:val="20"/>
        </w:rPr>
        <w:t>Przedmiot zamówienia musi spełniać</w:t>
      </w:r>
      <w:r w:rsidRPr="00230AF0">
        <w:rPr>
          <w:rFonts w:eastAsia="Batang" w:cs="Calibri"/>
          <w:sz w:val="20"/>
          <w:szCs w:val="20"/>
        </w:rPr>
        <w:t xml:space="preserve"> wszystkie normy stawiane takim towarom przez prawo polskie.</w:t>
      </w:r>
    </w:p>
    <w:p w14:paraId="42A73B44" w14:textId="028528B1" w:rsidR="00DB12E0" w:rsidRPr="00230AF0" w:rsidRDefault="00363830" w:rsidP="00363830">
      <w:pPr>
        <w:pStyle w:val="Akapitzlist"/>
        <w:numPr>
          <w:ilvl w:val="0"/>
          <w:numId w:val="34"/>
        </w:numPr>
        <w:spacing w:after="12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Nie dopuszcza się urządzeń typu </w:t>
      </w:r>
      <w:proofErr w:type="spellStart"/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refurbished</w:t>
      </w:r>
      <w:proofErr w:type="spellEnd"/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(zwróconych do producenta i później odsprzedawanych ponownie przez producenta)</w:t>
      </w:r>
      <w:r w:rsidR="00474DCB"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.</w:t>
      </w:r>
    </w:p>
    <w:p w14:paraId="2499659D" w14:textId="77777777" w:rsidR="00DB12E0" w:rsidRPr="00230AF0" w:rsidRDefault="00DB12E0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Urządzenia muszą być oznakowane przez producentów w taki sposób, aby możliwa była identyfikacja zarówno produktu, producenta, jak i daty produkcji.</w:t>
      </w:r>
    </w:p>
    <w:p w14:paraId="319B9318" w14:textId="77777777" w:rsidR="00DB12E0" w:rsidRPr="00230AF0" w:rsidRDefault="00DB12E0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Do każdego urządzenia musi być dostarczony niezbędny sprzęt eksploatacyjny (przewody zasilające, przewody sygnałowe, szyny i elementy montażowe itp.) niezbędny do uruchomienia danego urządzenia w budowanym rozwiązaniu w miejscu dostawy wskazanym przez Zamawiającego. Sprzęt, o którym mowa powyżej jest integralną częścią oferty i przechodzi na własność Zamawiającego.</w:t>
      </w:r>
    </w:p>
    <w:p w14:paraId="3866DD61" w14:textId="77777777" w:rsidR="00DB12E0" w:rsidRPr="00230AF0" w:rsidRDefault="00DB12E0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lastRenderedPageBreak/>
        <w:t>Oferowany sprzęt musi posiadać oznakowanie CE.</w:t>
      </w:r>
    </w:p>
    <w:p w14:paraId="5D47AE06" w14:textId="77777777" w:rsidR="00DB12E0" w:rsidRPr="00230AF0" w:rsidRDefault="00DB12E0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Wszystkie dostarczane urządzenia na dzień złożenia oferty nie mogą być w fazie end-of-life (EOL) lub nie może być wskazana data wejścia urządzenia w EOL (brak wsparcia producenta lub wycofanie urządzenia z oficjalnej dystrybucji).</w:t>
      </w:r>
    </w:p>
    <w:p w14:paraId="21EC0994" w14:textId="77777777" w:rsidR="00DB12E0" w:rsidRPr="00230AF0" w:rsidRDefault="00DB12E0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Wszystkie zestawy komputerowe, laptopy, drukarki oraz sprzęt zasilany przez zasilacze pośrednie muszą współpracować z siecią energetyczną o parametrach: 230V±10%, 50Hz. </w:t>
      </w:r>
    </w:p>
    <w:p w14:paraId="3F157ED4" w14:textId="77777777" w:rsidR="00DB12E0" w:rsidRPr="00230AF0" w:rsidRDefault="00DB12E0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Zamawiający wymaga, aby wszystkie dostarczane urządzenia i pakiety oprogramowania były sprawdzone w praktyce rynkowej. Oznacza to, iż oprogramowanie systemowe (</w:t>
      </w:r>
      <w:proofErr w:type="spellStart"/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firmware</w:t>
      </w:r>
      <w:proofErr w:type="spellEnd"/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 xml:space="preserve"> urządzeń) realizujące wszystkie wymagane funkcje jak też samo urządzenie musiało być dostępne na rynku co najmniej 6 miesięcy przed terminem składania ofert.</w:t>
      </w:r>
    </w:p>
    <w:p w14:paraId="36AF6DFF" w14:textId="77777777" w:rsidR="00DB12E0" w:rsidRPr="00230AF0" w:rsidRDefault="00DB12E0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Urządzenie i powiązane z nim oprogramowanie systemowe musi być objęte pełnym serwisem producenta w chwili, i co najmniej w okresie 6 miesięcy przed złożeniem ofert. Niedopuszczalne jest proponowanie oprogramowanie np. w wersji Beta. Za datę jego dostępności Zamawiający przyjmuje publikację konkretnej oferowanej wersji oprogramowania (wersji z pełnym wsparciem) na stronie Producenta rozwiązania.</w:t>
      </w:r>
    </w:p>
    <w:p w14:paraId="084F2D30" w14:textId="442E0BFD" w:rsidR="00DB12E0" w:rsidRPr="00230AF0" w:rsidRDefault="00DB12E0" w:rsidP="00BA7FEF">
      <w:pPr>
        <w:pStyle w:val="Akapitzlist"/>
        <w:numPr>
          <w:ilvl w:val="0"/>
          <w:numId w:val="34"/>
        </w:numPr>
        <w:spacing w:after="120" w:line="240" w:lineRule="auto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30AF0">
        <w:rPr>
          <w:rFonts w:ascii="Calibri" w:eastAsia="Arial Narrow" w:hAnsi="Calibri" w:cs="Calibri"/>
          <w:kern w:val="0"/>
          <w:sz w:val="20"/>
          <w:szCs w:val="20"/>
          <w:lang w:eastAsia="ja-JP"/>
          <w14:ligatures w14:val="none"/>
        </w:rPr>
        <w:t>Zamawiający wymaga, aby zaoferowane urządzenia były dostępne i serwisowane przez Producenta oraz nie będą przez niego przewidziane do wycofania ze sprzedaży i wsparcia (ogłoszone tzw. dokumenty End-of-Sale lub End-of-Life lub równoważne) - na dzień składania oferty.</w:t>
      </w:r>
    </w:p>
    <w:p w14:paraId="4FC53E71" w14:textId="77777777" w:rsidR="005303FF" w:rsidRPr="00230AF0" w:rsidRDefault="005303FF" w:rsidP="005303FF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46"/>
        <w:gridCol w:w="13183"/>
      </w:tblGrid>
      <w:tr w:rsidR="00230AF0" w:rsidRPr="00230AF0" w14:paraId="30630464" w14:textId="57C2AAA7" w:rsidTr="00230AF0">
        <w:tc>
          <w:tcPr>
            <w:tcW w:w="846" w:type="dxa"/>
            <w:vAlign w:val="center"/>
          </w:tcPr>
          <w:p w14:paraId="327A47DE" w14:textId="590A6A39" w:rsidR="006203EA" w:rsidRPr="00230AF0" w:rsidRDefault="006203EA" w:rsidP="006D0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183" w:type="dxa"/>
            <w:vAlign w:val="center"/>
          </w:tcPr>
          <w:p w14:paraId="1823CC58" w14:textId="0722B065" w:rsidR="006203EA" w:rsidRPr="00230AF0" w:rsidRDefault="006203EA" w:rsidP="006D0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OPIS WYMAGANEGO PARAMETRU:</w:t>
            </w:r>
          </w:p>
        </w:tc>
      </w:tr>
      <w:tr w:rsidR="00230AF0" w:rsidRPr="00230AF0" w14:paraId="5C4FF635" w14:textId="0F8723DB" w:rsidTr="00230AF0">
        <w:tc>
          <w:tcPr>
            <w:tcW w:w="846" w:type="dxa"/>
            <w:vAlign w:val="center"/>
          </w:tcPr>
          <w:p w14:paraId="61AC418C" w14:textId="0AB59A88" w:rsidR="006203EA" w:rsidRPr="00230AF0" w:rsidRDefault="006203EA" w:rsidP="006D052D">
            <w:pPr>
              <w:ind w:left="36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183" w:type="dxa"/>
            <w:vAlign w:val="center"/>
          </w:tcPr>
          <w:p w14:paraId="285B942B" w14:textId="6519E4D9" w:rsidR="006203EA" w:rsidRPr="00230AF0" w:rsidRDefault="006203EA" w:rsidP="006D0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Wymagania ogólne dotyczące wszystkich elementów systemu</w:t>
            </w:r>
          </w:p>
        </w:tc>
      </w:tr>
      <w:tr w:rsidR="00230AF0" w:rsidRPr="00230AF0" w14:paraId="1E9E2494" w14:textId="4E91DF17" w:rsidTr="00230AF0">
        <w:tc>
          <w:tcPr>
            <w:tcW w:w="846" w:type="dxa"/>
          </w:tcPr>
          <w:p w14:paraId="02A53F20" w14:textId="77777777" w:rsidR="006203EA" w:rsidRPr="00230AF0" w:rsidRDefault="006203EA" w:rsidP="000B75E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0BD0086" w14:textId="77777777" w:rsidR="006203EA" w:rsidRPr="00230AF0" w:rsidRDefault="006203EA" w:rsidP="2FE0101C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Gwarancja i wsparcie: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8177931" w14:textId="07FDE1B8" w:rsidR="006203EA" w:rsidRPr="00230AF0" w:rsidRDefault="006203EA" w:rsidP="000B75E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Wszystkie urządzenia zostaną objęte serwisem gwarancyjnym producenta przez okres 36 miesięcy, polegającym na naprawie lub wymianie urządzenia w przypadku jego wadliwości; 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873695F" w14:textId="054C8DBB" w:rsidR="006203EA" w:rsidRPr="00230AF0" w:rsidRDefault="006203EA" w:rsidP="000B75EE">
            <w:pPr>
              <w:pStyle w:val="paragraph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 ramach tego serwisu producent zapewnia również dostęp do aktualizacji oprogramowania oraz wsparcie techniczne w trybie 24x7;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04A27328" w14:textId="1D0BB301" w:rsidTr="00230AF0">
        <w:trPr>
          <w:trHeight w:val="300"/>
        </w:trPr>
        <w:tc>
          <w:tcPr>
            <w:tcW w:w="846" w:type="dxa"/>
          </w:tcPr>
          <w:p w14:paraId="33EDFBB0" w14:textId="7904B22C" w:rsidR="006203EA" w:rsidRPr="00230AF0" w:rsidRDefault="006203EA" w:rsidP="000B75E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BDD5213" w14:textId="61C74215" w:rsidR="006203EA" w:rsidRPr="00230AF0" w:rsidRDefault="006203EA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Zasilanie – dwa redundantne zasilacze AC 240V</w:t>
            </w:r>
          </w:p>
        </w:tc>
      </w:tr>
      <w:tr w:rsidR="00230AF0" w:rsidRPr="00230AF0" w14:paraId="7140015B" w14:textId="57C8AE3B" w:rsidTr="00230AF0">
        <w:tc>
          <w:tcPr>
            <w:tcW w:w="846" w:type="dxa"/>
          </w:tcPr>
          <w:p w14:paraId="6728673F" w14:textId="77777777" w:rsidR="006203EA" w:rsidRPr="00230AF0" w:rsidRDefault="006203EA" w:rsidP="000B75E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40DD20D" w14:textId="5497CF47" w:rsidR="006203EA" w:rsidRPr="00230AF0" w:rsidRDefault="006203EA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Realizacja sprzętowa lub programowa</w:t>
            </w:r>
          </w:p>
        </w:tc>
      </w:tr>
      <w:tr w:rsidR="00230AF0" w:rsidRPr="00230AF0" w14:paraId="516462E6" w14:textId="11E352FE" w:rsidTr="00230AF0">
        <w:tc>
          <w:tcPr>
            <w:tcW w:w="846" w:type="dxa"/>
          </w:tcPr>
          <w:p w14:paraId="3F80E895" w14:textId="77777777" w:rsidR="006203EA" w:rsidRPr="00230AF0" w:rsidRDefault="006203EA" w:rsidP="000B75E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F6784F4" w14:textId="4313B063" w:rsidR="006203EA" w:rsidRPr="00230AF0" w:rsidRDefault="006203EA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Zarządzanie - Interfejs – GUI,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shell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&amp; API</w:t>
            </w:r>
          </w:p>
        </w:tc>
      </w:tr>
      <w:tr w:rsidR="00230AF0" w:rsidRPr="00230AF0" w14:paraId="6168D712" w14:textId="1307AB1F" w:rsidTr="00230AF0">
        <w:tc>
          <w:tcPr>
            <w:tcW w:w="846" w:type="dxa"/>
          </w:tcPr>
          <w:p w14:paraId="75108413" w14:textId="77777777" w:rsidR="006203EA" w:rsidRPr="00230AF0" w:rsidRDefault="006203EA" w:rsidP="000B75E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5A7CCCF" w14:textId="18A8CDD4" w:rsidR="006203EA" w:rsidRPr="00230AF0" w:rsidRDefault="006203EA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Dostarczone urządzenia umożliwiają ich montaż w szafie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rack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19”. Wraz z urządzeniami wykonawca dostarczy wszystkie niezbędne elementy montażowe.</w:t>
            </w:r>
          </w:p>
        </w:tc>
      </w:tr>
      <w:tr w:rsidR="00230AF0" w:rsidRPr="00230AF0" w14:paraId="0970608A" w14:textId="3625D8AA" w:rsidTr="00230AF0">
        <w:trPr>
          <w:trHeight w:val="300"/>
        </w:trPr>
        <w:tc>
          <w:tcPr>
            <w:tcW w:w="846" w:type="dxa"/>
          </w:tcPr>
          <w:p w14:paraId="77659407" w14:textId="14ECCAD6" w:rsidR="006203EA" w:rsidRPr="00230AF0" w:rsidRDefault="006203EA" w:rsidP="005C012E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23AF0283" w14:textId="2063DEBF" w:rsidR="006203EA" w:rsidRPr="00230AF0" w:rsidRDefault="006203EA" w:rsidP="24E69F49">
            <w:pPr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Udzielenie wsparcia przy wdrożeniu inżyniera w wymiarze 30 godzin przez okres roku od dostarczenia przedmiotu zamówienia</w:t>
            </w:r>
            <w:r w:rsidR="004C22FE"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="004C22FE" w:rsidRPr="00230AF0">
              <w:rPr>
                <w:rStyle w:val="normaltextrun"/>
                <w:rFonts w:ascii="Calibri" w:hAnsi="Calibri" w:cs="Calibri"/>
              </w:rPr>
              <w:t>(</w:t>
            </w:r>
            <w:r w:rsidR="004C22FE"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1 roboczogodzina = 60 minut)</w:t>
            </w:r>
          </w:p>
        </w:tc>
      </w:tr>
      <w:tr w:rsidR="00230AF0" w:rsidRPr="00230AF0" w14:paraId="04FBB303" w14:textId="2453D61C" w:rsidTr="00230AF0">
        <w:tc>
          <w:tcPr>
            <w:tcW w:w="846" w:type="dxa"/>
          </w:tcPr>
          <w:p w14:paraId="03B8B53D" w14:textId="1EECFB3C" w:rsidR="006203EA" w:rsidRPr="00230AF0" w:rsidRDefault="006203EA" w:rsidP="006D0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183" w:type="dxa"/>
          </w:tcPr>
          <w:p w14:paraId="600D9AE2" w14:textId="0803F624" w:rsidR="006203EA" w:rsidRPr="00230AF0" w:rsidRDefault="006203EA" w:rsidP="006D0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Zapora UTM:</w:t>
            </w:r>
          </w:p>
        </w:tc>
      </w:tr>
      <w:tr w:rsidR="00230AF0" w:rsidRPr="00230AF0" w14:paraId="01D020F3" w14:textId="0BD21289" w:rsidTr="00230AF0">
        <w:tc>
          <w:tcPr>
            <w:tcW w:w="846" w:type="dxa"/>
          </w:tcPr>
          <w:p w14:paraId="0383DB4B" w14:textId="77777777" w:rsidR="006203EA" w:rsidRPr="00230AF0" w:rsidRDefault="006203EA" w:rsidP="000B75E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4808736" w14:textId="65A2087D" w:rsidR="006203EA" w:rsidRPr="00230AF0" w:rsidRDefault="006203EA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realizujący funkcję firewall udostępnia możliwość pracy w jednym z trzech trybów: router z funkcją NAT, transparentnym i monitorowania na porcie SPAN</w:t>
            </w:r>
          </w:p>
        </w:tc>
      </w:tr>
      <w:tr w:rsidR="00230AF0" w:rsidRPr="00230AF0" w14:paraId="1B108BEF" w14:textId="30C90335" w:rsidTr="00230AF0">
        <w:tc>
          <w:tcPr>
            <w:tcW w:w="846" w:type="dxa"/>
          </w:tcPr>
          <w:p w14:paraId="0FA10F6C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30D94A9F" w14:textId="51F02450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wspiera protokoły IPv4 oraz IPv6 w zakresie: firewall, ochrony w warstwie aplikacji oraz protokołów routingu dynamicznego;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6E3F3028" w14:textId="79B6654B" w:rsidTr="00230AF0">
        <w:tc>
          <w:tcPr>
            <w:tcW w:w="846" w:type="dxa"/>
          </w:tcPr>
          <w:p w14:paraId="4002FFAC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E174858" w14:textId="6E0068D0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System dostarczony w formie klastra składającego się z dwóch urządzeń, umożliwiający tryb pracy Active-Active lub Active-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Passive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dla ról firewall,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IPsec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, kontrola aplikacji oraz IPS z funkcją synchronizacji sesji firewall; awaria jednego z urządzeń nie wywiera negatywnego wpływu na działanie klastra</w:t>
            </w:r>
          </w:p>
        </w:tc>
      </w:tr>
      <w:tr w:rsidR="00230AF0" w:rsidRPr="00230AF0" w14:paraId="075955B4" w14:textId="1E4234CD" w:rsidTr="00230AF0">
        <w:tc>
          <w:tcPr>
            <w:tcW w:w="846" w:type="dxa"/>
          </w:tcPr>
          <w:p w14:paraId="5561082E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0683BF94" w14:textId="47C909F4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System umożliwia wykrywanie uszkodzenia elementów sprzętowych i programowych systemów zabezpieczeń oraz łączy sieciowych oraz monitoring stanu realizowanych połączeń VPN</w:t>
            </w:r>
          </w:p>
        </w:tc>
      </w:tr>
      <w:tr w:rsidR="00230AF0" w:rsidRPr="00230AF0" w14:paraId="3E549B11" w14:textId="5DE3E4A8" w:rsidTr="00230AF0">
        <w:tc>
          <w:tcPr>
            <w:tcW w:w="846" w:type="dxa"/>
          </w:tcPr>
          <w:p w14:paraId="5FCB000E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09CDFC4C" w14:textId="0B01E37C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System realizujący funkcję firewall dysponuje minimum: 16 portami Gigabit Ethernet (RJ-45), 8 gniazdami SFP, 4 gniazdami SFP+ i 4 gniazdami SFP28 oraz umożliwia agregację połączeń (statyczną oraz w oparciu o protokół LACP) i tworzenie interfejsów redundantnych</w:t>
            </w:r>
          </w:p>
        </w:tc>
      </w:tr>
      <w:tr w:rsidR="00230AF0" w:rsidRPr="00230AF0" w14:paraId="65B12161" w14:textId="351AF586" w:rsidTr="00230AF0">
        <w:tc>
          <w:tcPr>
            <w:tcW w:w="846" w:type="dxa"/>
          </w:tcPr>
          <w:p w14:paraId="3F7A1556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991492D" w14:textId="40847151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System</w:t>
            </w:r>
            <w:r w:rsidR="00551FC2"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posiada wbudowany port konsoli szeregowej oraz gniazdo USB umożliwiające podłączenie modemu 3G/4G oraz instalacji oprogramowania z klucza USB</w:t>
            </w:r>
          </w:p>
        </w:tc>
      </w:tr>
      <w:tr w:rsidR="00230AF0" w:rsidRPr="00230AF0" w14:paraId="70C1DD33" w14:textId="3AA23394" w:rsidTr="00230AF0">
        <w:tc>
          <w:tcPr>
            <w:tcW w:w="846" w:type="dxa"/>
          </w:tcPr>
          <w:p w14:paraId="38B1D8E5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9DA8F8D" w14:textId="4957DCC7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</w:rPr>
              <w:t>W ramach systemu firewall istnieje możliwość zdefiniowania co najmniej 200 interfejsów wirtualnych – definiowanych jako VLAN-y w oparciu o standard 802.1Q</w:t>
            </w:r>
          </w:p>
        </w:tc>
      </w:tr>
      <w:tr w:rsidR="00230AF0" w:rsidRPr="00230AF0" w14:paraId="6C049C12" w14:textId="003EDE1B" w:rsidTr="00230AF0">
        <w:tc>
          <w:tcPr>
            <w:tcW w:w="846" w:type="dxa"/>
          </w:tcPr>
          <w:p w14:paraId="1D13C42A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3D8F30F7" w14:textId="77777777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Parametry wydajnościowe: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3E72868" w14:textId="77777777" w:rsidR="006203EA" w:rsidRPr="00230AF0" w:rsidRDefault="006203EA" w:rsidP="00D837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Obsługa nie mniej niż 16 milionów jednoczesnych połączeń oraz 720 tysięcy nowych połączeń na sekundę w zakresie usługi firewall;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897BB71" w14:textId="77777777" w:rsidR="006203EA" w:rsidRPr="00230AF0" w:rsidRDefault="006203EA" w:rsidP="00D837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Przepustowość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Statefull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Firewall nie mniejsza niż 163Gbps dla pakietów 512B;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45697E3" w14:textId="77777777" w:rsidR="006203EA" w:rsidRPr="00230AF0" w:rsidRDefault="006203EA" w:rsidP="00D837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Przepustowość Firewall przy włączonej funkcji Kontroli Aplikacji nie mniejsza niż 74Gbps;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62A1DDA" w14:textId="77777777" w:rsidR="006203EA" w:rsidRPr="00230AF0" w:rsidRDefault="006203EA" w:rsidP="00D837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Wydajność szyfrowania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IPSec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VPN nie mniej niż 55Gbps;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B20F9BB" w14:textId="77777777" w:rsidR="006203EA" w:rsidRPr="00230AF0" w:rsidRDefault="006203EA" w:rsidP="00D837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Wydajność skanowania ruchu w celu ochrony przed atakami (zarówno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client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side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jak i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server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side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w ramach modułu IPS) dla typowego ruchu z włączonymi aplikacjami nie mniej niż 26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Gbps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FD359CE" w14:textId="77777777" w:rsidR="006203EA" w:rsidRPr="00230AF0" w:rsidRDefault="006203EA" w:rsidP="00D837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Wydajność skanowania ruchu z włączonymi funkcjami: IPS, Application Control, Antywirus nie mniej niż 22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Gbps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A5939A1" w14:textId="39D582B9" w:rsidR="006203EA" w:rsidRPr="00230AF0" w:rsidRDefault="006203EA" w:rsidP="00D837BD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Wydajność systemu w zakresie inspekcji komunikacji szyfrowanej SSL dla ruchu http minimum 16Gbps;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222F1B05" w14:textId="287082B7" w:rsidTr="00230AF0">
        <w:tc>
          <w:tcPr>
            <w:tcW w:w="846" w:type="dxa"/>
          </w:tcPr>
          <w:p w14:paraId="3DE0A400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AB66ADB" w14:textId="4781AE68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</w:t>
            </w:r>
            <w:r w:rsidR="00551FC2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umożliwia realizację następujących funkcji bezpieczeństwa: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BCF5328" w14:textId="77777777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Kontrola dostępu – zapora ogniowa klasy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Statefull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Inspection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7CBF80E" w14:textId="77777777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Kontrola aplikacji;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7FF7651" w14:textId="77777777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Poufność transmisji danych – szyfrowane połączenia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IPSec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VPN oraz SSL VPN;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908BC2A" w14:textId="77777777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Ochrona przed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malware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– co najmniej dla protokołów SMTP, POP3, IMAP, HTTP/HTTPS oraz FTP;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41EA351" w14:textId="3A3F3859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Ochrona przed atakami –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Intrusion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Prevention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System;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1643D4A" w14:textId="0516C427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Kontrola dostępu do stron WWW;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A5EAE53" w14:textId="3B65E0DB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Kontrola zawartości poczty –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Antyspam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dla protokołów SMTP, POP3;</w:t>
            </w:r>
          </w:p>
          <w:p w14:paraId="068D39FD" w14:textId="77777777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Zarządzenia pasmem (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QoS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Traffic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shaping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);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D1ABCA3" w14:textId="77777777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Mechanizmy ochrony przed wyciekiem poufnej informacji (DLP);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3C7428F" w14:textId="77777777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Dwuskładnikowe uwierzytelnienie z wykorzystaniem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tokenów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(sprzętowych lub programowych); 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E007255" w14:textId="3841BE75" w:rsidR="006203EA" w:rsidRPr="00230AF0" w:rsidRDefault="006203EA" w:rsidP="00D837B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Analiza ruchu szyfrowanego z wykorzystaniem protokołów SSL i SSH;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0DEE2A40" w14:textId="3D2430E4" w:rsidTr="00230AF0">
        <w:tc>
          <w:tcPr>
            <w:tcW w:w="846" w:type="dxa"/>
          </w:tcPr>
          <w:p w14:paraId="537ECA25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290633CA" w14:textId="26BB71CD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Zapora ogniowa umożliwia: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B84C404" w14:textId="77777777" w:rsidR="006203EA" w:rsidRPr="00230AF0" w:rsidRDefault="006203EA" w:rsidP="00D837B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Tworzenie polityk uwzględniających adresy IP, użytkowników, protokoły, usługi sieciowe aplikacje lub ich zbiory, reakcje zabezpieczeń rejestrowanie zdarzeń;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425F3A4" w14:textId="77777777" w:rsidR="006203EA" w:rsidRPr="00230AF0" w:rsidRDefault="006203EA" w:rsidP="00D837B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Translację adresów NAT: źródłowego i docelowego, translację PAT oraz translację jeden do jeden oraz jeden do wielu;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BE9B174" w14:textId="77777777" w:rsidR="006203EA" w:rsidRPr="00230AF0" w:rsidRDefault="006203EA" w:rsidP="00D837B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Tworzenie wydzielonych stref bezpieczeństwa np.: DMZ, LAN, WAN;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21DD7D7" w14:textId="0417AA8D" w:rsidR="006203EA" w:rsidRPr="00230AF0" w:rsidRDefault="006203EA" w:rsidP="00D837BD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Integrację z rozwiązaniami SDN w celu dynamicznego pobierania informacji o zainstalowanych maszynach wirtualnych w celu wykorzystania ich przy budowaniu polityk kontroli dostępu dla: Amazon Web Services, Microsoft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Azure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, Google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Cloud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Platform,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OpenStack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i Vmware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vCenter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</w:p>
        </w:tc>
      </w:tr>
      <w:tr w:rsidR="00230AF0" w:rsidRPr="00230AF0" w14:paraId="7BF7E069" w14:textId="7C28B2C2" w:rsidTr="00230AF0">
        <w:tc>
          <w:tcPr>
            <w:tcW w:w="846" w:type="dxa"/>
          </w:tcPr>
          <w:p w14:paraId="1BABE508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5505602A" w14:textId="786D0CF8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</w:t>
            </w:r>
            <w:r w:rsidRPr="00230AF0">
              <w:rPr>
                <w:rStyle w:val="normaltextrun"/>
                <w:rFonts w:ascii="Calibri" w:eastAsiaTheme="majorEastAsia" w:hAnsi="Calibri" w:cs="Calibri"/>
                <w:strike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umożliwia konfigurację połączeń typu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IPSec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VPN i cechuje się funkcjami: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598F3D0" w14:textId="77777777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Wsparcie dla IKE v1 oraz v2;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85ACB91" w14:textId="77777777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lastRenderedPageBreak/>
              <w:t xml:space="preserve">Obsługa szyfrowania protokołem AES z kluczem 128 i 256 bitów w trybie pracy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Galois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/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Counter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Mode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(GCM);</w:t>
            </w:r>
          </w:p>
          <w:p w14:paraId="0BA86E1C" w14:textId="176DDE13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Obsługa protokołu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Diffie-Hellman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 grup 19 i 20;</w:t>
            </w:r>
          </w:p>
          <w:p w14:paraId="22997523" w14:textId="77777777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Wsparcie dla pracy w topologii Hub and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Spoke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oraz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Mesh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, w tym wsparcie dla dynamicznego zestawiania tuneli pomiędzy SPOKE w topologii HUB and SPOKE;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6E48177" w14:textId="77777777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Tworzenie połączeń typu Site-to-Site oraz Client-to-Site;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FB65D48" w14:textId="77777777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Monitorowanie stanu tuneli VPN i stałego utrzymywania ich aktywności;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6AB6D5B" w14:textId="77777777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Możliwość wyboru tunelu przez protokoły: dynamicznego routingu (np. OSPF) oraz routingu statycznego;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C3153C4" w14:textId="77777777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Obsługa mechanizmów: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IPSec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NAT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Traversal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, DPD,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Xauth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C7E14FC" w14:textId="136FDDB8" w:rsidR="006203EA" w:rsidRPr="00230AF0" w:rsidRDefault="006203EA" w:rsidP="00D837BD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Mechanizm „Split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tunneling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” dla połączeń Client-to-Site;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4407A5F7" w14:textId="0DC3ED99" w:rsidTr="00230AF0">
        <w:tc>
          <w:tcPr>
            <w:tcW w:w="846" w:type="dxa"/>
          </w:tcPr>
          <w:p w14:paraId="27D5C7D8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8E6BA8D" w14:textId="2494D6E3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</w:t>
            </w:r>
            <w:r w:rsidR="00551FC2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umożliwia konfigurację połączeń typu SSL VPN i cechuje się funkcjami: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EEDA9DA" w14:textId="77777777" w:rsidR="006203EA" w:rsidRPr="00230AF0" w:rsidRDefault="006203EA" w:rsidP="00D837B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Praca w trybie Portal, w którym dostęp do chronionych zasobów realizowany jest za pośrednictwem przeglądarki internetowej; system musi zapewniać stronę komunikacyjną działającą w oparciu o HTML 5.0;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6197D54" w14:textId="77777777" w:rsidR="006203EA" w:rsidRPr="00230AF0" w:rsidRDefault="006203EA" w:rsidP="00D837B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Praca w trybie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Tunnel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z możliwością włączenia funkcji Split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tunneling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przy zastosowaniu dedykowanego klienta;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F607F7C" w14:textId="0D7AC35B" w:rsidR="006203EA" w:rsidRPr="00230AF0" w:rsidRDefault="006203EA" w:rsidP="00D837BD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Producent rozwiązania musi dostarczać oprogramowanie klienckie VPN, które umożliwia realizację połączeń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IPSec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VPN lub SSL VPN;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6C1F2CF9" w14:textId="0ADF6A2A" w:rsidTr="00230AF0">
        <w:tc>
          <w:tcPr>
            <w:tcW w:w="846" w:type="dxa"/>
          </w:tcPr>
          <w:p w14:paraId="6A496373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CD348B8" w14:textId="7D047770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 zakresie routingu rozwiązanie zapewnia obsługę: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7DE89BB" w14:textId="77777777" w:rsidR="006203EA" w:rsidRPr="00230AF0" w:rsidRDefault="006203EA" w:rsidP="00D837B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Routingu statycznego;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B7D32D9" w14:textId="77777777" w:rsidR="006203EA" w:rsidRPr="00230AF0" w:rsidRDefault="006203EA" w:rsidP="00D837B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Policy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Based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routingu;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C7914C9" w14:textId="73BB2C8A" w:rsidR="006203EA" w:rsidRPr="00230AF0" w:rsidRDefault="006203EA" w:rsidP="00D837BD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Protokołów dynamicznego routingu w oparciu o protokoły: RIPv2, OSPF, BGP oraz PIM.;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35DC8D37" w14:textId="54E80D07" w:rsidTr="00230AF0">
        <w:tc>
          <w:tcPr>
            <w:tcW w:w="846" w:type="dxa"/>
          </w:tcPr>
          <w:p w14:paraId="187CA0A8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92AB361" w14:textId="2F66EDA3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 zakresie zarządzania pasmem zapora umożliwia: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5787CCC" w14:textId="77777777" w:rsidR="006203EA" w:rsidRPr="00230AF0" w:rsidRDefault="006203EA" w:rsidP="00D837BD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Określenie maksymalnej, gwarantowanej ilości pasma, oznaczenie DSCP oraz wskazania priorytetu ruchu;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B4DC5A5" w14:textId="77777777" w:rsidR="006203EA" w:rsidRPr="00230AF0" w:rsidRDefault="006203EA" w:rsidP="00D837BD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Określenie pasma dla poszczególnych aplikacji;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02C12DE" w14:textId="45BDBECE" w:rsidR="006203EA" w:rsidRPr="00230AF0" w:rsidRDefault="006203EA" w:rsidP="00D837BD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Zarządzanie pasmem dla wybranych kategorii URL;</w:t>
            </w:r>
          </w:p>
        </w:tc>
      </w:tr>
      <w:tr w:rsidR="00230AF0" w:rsidRPr="00230AF0" w14:paraId="102AC1B8" w14:textId="2D9BA9D6" w:rsidTr="00230AF0">
        <w:tc>
          <w:tcPr>
            <w:tcW w:w="846" w:type="dxa"/>
          </w:tcPr>
          <w:p w14:paraId="53CB0B67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0567F5B" w14:textId="1AB75A10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Rozwiązanie zapewnia ochronę przed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malware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7F22428" w14:textId="0706D51C" w:rsidR="006203EA" w:rsidRPr="00230AF0" w:rsidRDefault="006203EA" w:rsidP="00D837B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Silnik antywirusowy umożliwia skanowanie ruchu w obu kierunkach komunikacji dla protokołów działających na niestandardowych portach (np. FTP na porcie 2021);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ABE9C29" w14:textId="2C2A369D" w:rsidR="006203EA" w:rsidRPr="00230AF0" w:rsidRDefault="006203EA" w:rsidP="00D837B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umożliwia skanowanie archiwów, minimum ZIP oraz RAR;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CB87F66" w14:textId="6A7DFBA6" w:rsidR="006203EA" w:rsidRPr="00230AF0" w:rsidRDefault="006203EA" w:rsidP="00D837B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dysponuje sygnaturami do ochrony urządzeń mobilnych, minimum dla systemu operacyjnego Android;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4525081" w14:textId="4ACFE10E" w:rsidR="006203EA" w:rsidRPr="00230AF0" w:rsidRDefault="006203EA" w:rsidP="00D837B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System współpracuje z dostarczoną platformą typu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Sandbox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 wymagania dotyczące platformy zostały opisane w dalszej części dokumentu;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F815871" w14:textId="56C6F315" w:rsidR="006203EA" w:rsidRPr="00230AF0" w:rsidRDefault="006203EA" w:rsidP="00D837BD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umożliwia usuwanie aktywnej zawartości plików PDF oraz Microsoft Office bez konieczności blokowania transferu całych plików;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55F4D80D" w14:textId="75116FCB" w:rsidTr="00230AF0">
        <w:tc>
          <w:tcPr>
            <w:tcW w:w="846" w:type="dxa"/>
          </w:tcPr>
          <w:p w14:paraId="5DE89248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C8968B3" w14:textId="29684EB6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zapewnia ochronę przed atakami, w tym: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0AB38D2" w14:textId="21A06D0B" w:rsidR="006203EA" w:rsidRPr="00230AF0" w:rsidRDefault="006203EA" w:rsidP="00D837BD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Ochrona IPS opiera się co najmniej na analizie sygnaturowej oraz na analizie anomalii w protokołach sieciowych;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90F757F" w14:textId="2283F911" w:rsidR="006203EA" w:rsidRPr="00230AF0" w:rsidRDefault="006203EA" w:rsidP="00D837BD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chroni przed atakami na aplikacje pracujące na niestandardowych portach;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ECF2352" w14:textId="21F94ACB" w:rsidR="006203EA" w:rsidRPr="00230AF0" w:rsidRDefault="006203EA" w:rsidP="00D837BD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Baza sygnatur ataków zawiera minimum 5000 wpisów i jest aktualizowana automatycznie, zgodnie z harmonogramem definiowanym przez administratora;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7BB3B94" w14:textId="73B713A7" w:rsidR="006203EA" w:rsidRPr="00230AF0" w:rsidRDefault="006203EA" w:rsidP="00D837BD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Administrator systemu ma możliwość definiowania własnych wyjątków oraz własnych sygnatur;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75657CA" w14:textId="5179D990" w:rsidR="006203EA" w:rsidRPr="00230AF0" w:rsidRDefault="006203EA" w:rsidP="00D837BD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lastRenderedPageBreak/>
              <w:t xml:space="preserve">System zapewnia wykrywanie anomalii protokołów i ruchu sieciowego, realizując tym samym podstawową ochronę przed atakami typu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DoS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oraz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DDoS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740745A" w14:textId="77BC56AC" w:rsidR="006203EA" w:rsidRPr="00230AF0" w:rsidRDefault="006203EA" w:rsidP="00D837BD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Mechanizmy ochrony dla aplikacji Webowych na poziomie sygnaturowym (co najmniej ochrona przed: CSS, SQL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Injecton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, Trojany,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Exploity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, Roboty) oraz zapewnia możliwość kontrolowania długości nagłówka, ilości parametrów URL,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Cookies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E40C5E6" w14:textId="00C07370" w:rsidR="006203EA" w:rsidRPr="00230AF0" w:rsidRDefault="006203EA" w:rsidP="00D837BD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Wykrywanie i blokowanie komunikacji C&amp;C do sieci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botnet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</w:p>
        </w:tc>
      </w:tr>
      <w:tr w:rsidR="00230AF0" w:rsidRPr="00230AF0" w14:paraId="45D9A76B" w14:textId="04123DC2" w:rsidTr="00230AF0">
        <w:tc>
          <w:tcPr>
            <w:tcW w:w="846" w:type="dxa"/>
          </w:tcPr>
          <w:p w14:paraId="62F05397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3019BBD" w14:textId="1A1471F0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</w:t>
            </w:r>
            <w:r w:rsidR="00551FC2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zapewnia kontrolę aplikacji, realizowaną poprzez: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556080D" w14:textId="77777777" w:rsidR="006203EA" w:rsidRPr="00230AF0" w:rsidRDefault="006203EA" w:rsidP="00D837B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Kontrolę ruchu na podstawie głębokiej analizy pakietów, nie bazując jedynie na wartościach portów TCP/UDP;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C0B4DF5" w14:textId="766762EB" w:rsidR="006203EA" w:rsidRPr="00230AF0" w:rsidRDefault="006203EA" w:rsidP="00D837B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Baza Kontroli Aplikacji zawiera minimum 2000 sygnatur i jest aktualizowana automatycznie, zgodnie z harmonogramem definiowanym przez administratora;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75BD324" w14:textId="264DCE9B" w:rsidR="006203EA" w:rsidRPr="00230AF0" w:rsidRDefault="006203EA" w:rsidP="00D837B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Aplikacje chmurowe (co najmniej: Facebook, Google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Docs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, Dropbox) są kontrolowane pod względem wykonywanych czynności, np.: pobieranie, wysyłanie plików;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898B8A2" w14:textId="48B2E04C" w:rsidR="006203EA" w:rsidRPr="00230AF0" w:rsidRDefault="006203EA" w:rsidP="00D837B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Baza zawiera kategorie aplikacji szczególnie istotne z punktu widzenia bezpieczeństwa: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proxy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, P2P;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8C3AD3C" w14:textId="5B42B49A" w:rsidR="006203EA" w:rsidRPr="00230AF0" w:rsidRDefault="006203EA" w:rsidP="00D837BD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Administrator systemu ma możliwość definiowania wyjątków oraz własnych sygnatur;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6A1B7DD7" w14:textId="597272C0" w:rsidTr="00230AF0">
        <w:tc>
          <w:tcPr>
            <w:tcW w:w="846" w:type="dxa"/>
          </w:tcPr>
          <w:p w14:paraId="49F89ECB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04C7788E" w14:textId="742374AA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Rozwiązanie umożliwia kontrole WWW, w szczególności: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A28C093" w14:textId="778C2C9A" w:rsidR="006203EA" w:rsidRPr="00230AF0" w:rsidRDefault="006203EA" w:rsidP="00D837B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Moduł kontroli WWW korzysta z bazy zawierającej co najmniej 40 milionów adresów URL pogrupowanych w kategorie tematyczne;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7101732" w14:textId="4230CE0D" w:rsidR="006203EA" w:rsidRPr="00230AF0" w:rsidRDefault="006203EA" w:rsidP="00D837B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W ramach filtra www są dostępne kategorie istotne z punktu widzenia bezpieczeństwa, jak: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malware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(lub inne będące źródłem złośliwego oprogramowania),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phishing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, spam,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Dynamic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DNS,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proxy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D1E58A8" w14:textId="290F8D11" w:rsidR="006203EA" w:rsidRPr="00230AF0" w:rsidRDefault="006203EA" w:rsidP="00D837B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Filtr WWW dostarcza kategorię stron zabronionych prawem: Hazard;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C30922E" w14:textId="4F11182C" w:rsidR="006203EA" w:rsidRPr="00230AF0" w:rsidRDefault="006203EA" w:rsidP="00D837B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Administrator ma możliwość nadpisywania kategorii oraz tworzenia wyjątków – białe/czarne listy dla adresów URL;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253F13B" w14:textId="77777777" w:rsidR="006203EA" w:rsidRPr="00230AF0" w:rsidRDefault="006203EA" w:rsidP="00D837B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Funkcja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Safe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Search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– przeciwdziałająca pojawieniu się niechcianych treści w wynikach wyszukiwarek takich jak: </w:t>
            </w:r>
            <w:proofErr w:type="gram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Google,</w:t>
            </w:r>
            <w:proofErr w:type="gram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oraz Yahoo;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E410DBE" w14:textId="24C906A8" w:rsidR="006203EA" w:rsidRPr="00230AF0" w:rsidRDefault="006203EA" w:rsidP="00D837B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Administrator ma możliwość definiowania komunikatów zwracanych użytkownikowi dla różnych akcji podejmowanych przez moduł filtrowania;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1F0B34D" w14:textId="70B4723B" w:rsidR="006203EA" w:rsidRPr="00230AF0" w:rsidRDefault="006203EA" w:rsidP="00D837BD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W ramach systemu istnieje możliwość określenia, dla których kategorii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url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lub wskazanych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url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- system nie będzie dokonywał inspekcji szyfrowanej komunikacji;</w:t>
            </w:r>
          </w:p>
        </w:tc>
      </w:tr>
      <w:tr w:rsidR="00230AF0" w:rsidRPr="00230AF0" w14:paraId="6350652A" w14:textId="7000FF15" w:rsidTr="00230AF0">
        <w:tc>
          <w:tcPr>
            <w:tcW w:w="846" w:type="dxa"/>
          </w:tcPr>
          <w:p w14:paraId="3BB79E63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E4FC56C" w14:textId="0AF840C1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umożliwia weryfikację tożsamości w ramach sesji za pomocą: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2436F85" w14:textId="77777777" w:rsidR="006203EA" w:rsidRPr="00230AF0" w:rsidRDefault="006203EA" w:rsidP="00D837B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Haseł statycznych i definicji użytkowników przechowywanych w lokalnej bazie systemu;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5400409" w14:textId="77777777" w:rsidR="006203EA" w:rsidRPr="00230AF0" w:rsidRDefault="006203EA" w:rsidP="00D837B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Haseł statycznych i definicji użytkowników przechowywanych w bazach zgodnych z LDAP;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F940850" w14:textId="77777777" w:rsidR="006203EA" w:rsidRPr="00230AF0" w:rsidRDefault="006203EA" w:rsidP="00D837B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Haseł dynamicznych (RADIUS, RSA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SecurID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) w oparciu o zewnętrzne bazy danych;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327F1CD" w14:textId="51CE5FDC" w:rsidR="006203EA" w:rsidRPr="00230AF0" w:rsidRDefault="006203EA" w:rsidP="00D837B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Jest możliwość zastosowania w tym procesie uwierzytelniania </w:t>
            </w:r>
            <w:r w:rsidR="00B454D6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dwuskładnikowego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E440A6B" w14:textId="7DC4DDAC" w:rsidR="006203EA" w:rsidRPr="00230AF0" w:rsidRDefault="006203EA" w:rsidP="00D837B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Rozwiązanie umożliwia budowę architektury uwierzytelniania typu Single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Sign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On przy integracji ze środowiskiem Active Directory oraz zastosowanie innych mechanizmów: RADIUS lub API;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2BF01DCB" w14:textId="41C49A06" w:rsidTr="00230AF0">
        <w:tc>
          <w:tcPr>
            <w:tcW w:w="846" w:type="dxa"/>
          </w:tcPr>
          <w:p w14:paraId="1E45E23D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5312701" w14:textId="2471CC28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Zarządzaniem rozwiązaniem</w:t>
            </w:r>
            <w:r w:rsidR="00551FC2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odbywa się poprzez: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D9A436B" w14:textId="2EBBD474" w:rsidR="006203EA" w:rsidRPr="00230AF0" w:rsidRDefault="006203EA" w:rsidP="00D837BD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Elementy systemu bezpieczeństwa dające możliwość zarządzania lokalnego z wykorzystaniem protokołów: HTTPS oraz SSH, jak i</w:t>
            </w:r>
            <w:r w:rsidR="00551FC2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dające możliwość współpracy z dedykowanymi platformami centralnego zarządzania i monitorowania;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D7A1BF0" w14:textId="5D9B80C6" w:rsidR="006203EA" w:rsidRPr="00230AF0" w:rsidRDefault="006203EA" w:rsidP="00D837BD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Komunikacja systemów zabezpieczeń z platformami centralnego zarządzania jest realizowana z wykorzystaniem szyfrowanych protokołów;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BAE081A" w14:textId="71D1EC08" w:rsidR="006203EA" w:rsidRPr="00230AF0" w:rsidRDefault="006203EA" w:rsidP="00D837BD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Istnieje możliwość włączenia mechanizmów uwierzytelniania </w:t>
            </w:r>
            <w:r w:rsidR="00B454D6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dwuskładnikowego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dla dostępu administracyjnego;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54F547D" w14:textId="17ACD453" w:rsidR="006203EA" w:rsidRPr="00230AF0" w:rsidRDefault="006203EA" w:rsidP="00D837BD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lastRenderedPageBreak/>
              <w:t xml:space="preserve">System współpracuje z rozwiązaniami monitorowania poprzez protokoły SNMP w wersjach 2c, 3 oraz umożliwia przekazywanie statystyk ruchu za pomocą protokołów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netflow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lub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sflow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3AC15A8" w14:textId="5C5A38B6" w:rsidR="006203EA" w:rsidRPr="00230AF0" w:rsidRDefault="006203EA" w:rsidP="00D837BD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ma możliwość zarządzania przez systemy firm trzecich poprzez API, do którego producent udostępnia dokumentację;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A04F9CD" w14:textId="0C3E7FAD" w:rsidR="006203EA" w:rsidRPr="00230AF0" w:rsidRDefault="006203EA" w:rsidP="00D837BD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Element systemu pełniący funkcję Firewall posiada wbudowane narzędzia diagnostyczne, przynajmniej: ping,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traceroute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, podglądu pakietów, monitorowanie procesowania sesji oraz stanu sesji firewall;</w:t>
            </w:r>
          </w:p>
        </w:tc>
      </w:tr>
      <w:tr w:rsidR="00230AF0" w:rsidRPr="00230AF0" w14:paraId="4A3846E2" w14:textId="2695D2C5" w:rsidTr="00230AF0">
        <w:tc>
          <w:tcPr>
            <w:tcW w:w="846" w:type="dxa"/>
          </w:tcPr>
          <w:p w14:paraId="35B3B303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5D9E0196" w14:textId="54B4D65B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Rozwiązanie umożliwia logowanie i raportowanie zdarzeń poprzez: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6597921" w14:textId="77777777" w:rsidR="006203EA" w:rsidRPr="00230AF0" w:rsidRDefault="006203EA" w:rsidP="00D837B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Logowanie do dostarczonego w ramach postępowania systemu logowania i raportowania w postaci odpowiednio zabezpieczonej, komercyjnej platformy sprzętowej;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AADBEF4" w14:textId="5D6E77B9" w:rsidR="006203EA" w:rsidRPr="00230AF0" w:rsidRDefault="006203EA" w:rsidP="00D837B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 ramach logowania system pełniący funkcję Firewall zapewnia przekazywanie danych o zaakceptowanym ruchu, ruchu blokowanym, aktywności administratorów, zużyciu zasobów oraz stanie pracy systemu. Została zapewniona możliwość jednoczesnego wysyłania logów do wielu serwerów logowania;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82A3D69" w14:textId="71F3DA2F" w:rsidR="006203EA" w:rsidRPr="00230AF0" w:rsidRDefault="006203EA" w:rsidP="00D837B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Logowanie obejmuje zdarzenia dotyczące wszystkich modułów sieciowych i bezpieczeństwa oferowanego systemu;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49E751C1" w14:textId="33061F15" w:rsidR="006203EA" w:rsidRPr="00230AF0" w:rsidRDefault="006203EA" w:rsidP="00D837BD">
            <w:pPr>
              <w:pStyle w:val="paragraph"/>
              <w:numPr>
                <w:ilvl w:val="0"/>
                <w:numId w:val="18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Istnieje możliwość logowania do serwera SYSLOG;</w:t>
            </w:r>
          </w:p>
        </w:tc>
      </w:tr>
      <w:tr w:rsidR="00230AF0" w:rsidRPr="00230AF0" w14:paraId="0D7C3061" w14:textId="55643933" w:rsidTr="00230AF0">
        <w:tc>
          <w:tcPr>
            <w:tcW w:w="846" w:type="dxa"/>
          </w:tcPr>
          <w:p w14:paraId="6C0429E9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6C8B95E" w14:textId="0CE33296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W ramach postępowania zostaną dostarczone licencje upoważniające do korzystania z aktualnych baz funkcji ochronnych producenta i serwisów, obejmujące kontrolę aplikacji, IPS, antywirus (z uwzględnieniem sygnatur do ochrony urządzeń mobilnych - co najmniej dla systemu operacyjnego Android), analiza typu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sandbox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antyspam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230AF0" w:rsidRPr="00230AF0" w14:paraId="529CA567" w14:textId="0DEC647A" w:rsidTr="00230AF0">
        <w:tc>
          <w:tcPr>
            <w:tcW w:w="846" w:type="dxa"/>
          </w:tcPr>
          <w:p w14:paraId="7058BBFF" w14:textId="77777777" w:rsidR="006203EA" w:rsidRPr="00230AF0" w:rsidRDefault="006203EA" w:rsidP="00D837BD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7311FC6" w14:textId="7707633B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jest objęty serwisem gwarancyjnym producenta przez okres 36 miesięcy, polegającym na naprawie lub wymianie urządzenia w przypadku jego wadliwości. W ramach tego serwisu producent zapewnia również dostęp do aktualizacji oprogramowania oraz wsparcie techniczne w trybie 24x7;</w:t>
            </w:r>
          </w:p>
        </w:tc>
      </w:tr>
      <w:tr w:rsidR="00230AF0" w:rsidRPr="00230AF0" w14:paraId="11C22FBF" w14:textId="2161C829" w:rsidTr="00230AF0">
        <w:tc>
          <w:tcPr>
            <w:tcW w:w="846" w:type="dxa"/>
          </w:tcPr>
          <w:p w14:paraId="5E823C47" w14:textId="12F8B111" w:rsidR="006203EA" w:rsidRPr="00230AF0" w:rsidRDefault="006203EA" w:rsidP="006D0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3183" w:type="dxa"/>
          </w:tcPr>
          <w:p w14:paraId="454F6428" w14:textId="19B9BA05" w:rsidR="006203EA" w:rsidRPr="00230AF0" w:rsidRDefault="006203EA" w:rsidP="006D0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System logowania</w:t>
            </w:r>
          </w:p>
        </w:tc>
      </w:tr>
      <w:tr w:rsidR="00230AF0" w:rsidRPr="00230AF0" w14:paraId="7C596A94" w14:textId="5F4B81D3" w:rsidTr="00230AF0">
        <w:tc>
          <w:tcPr>
            <w:tcW w:w="846" w:type="dxa"/>
          </w:tcPr>
          <w:p w14:paraId="61AE645D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A4D238A" w14:textId="598EA445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System logowania, raportowania i korelacji, umożliwia centralizację procesu logowania zdarzeń sieciowych, systemowych oraz bezpieczeństwa w ramach infrastruktury zabezpieczeń</w:t>
            </w:r>
          </w:p>
        </w:tc>
      </w:tr>
      <w:tr w:rsidR="00230AF0" w:rsidRPr="00230AF0" w14:paraId="7E209E3B" w14:textId="646E6B01" w:rsidTr="00230AF0">
        <w:tc>
          <w:tcPr>
            <w:tcW w:w="846" w:type="dxa"/>
          </w:tcPr>
          <w:p w14:paraId="0D5A9CF1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8436FB0" w14:textId="29DADED4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Rozwiązanie zostanie dostarczone w postaci komercyjnej platformy sprzętowej lub programowej. W przypadku implementacji programowej dostawca zapewnia niezbędne platformy sprzętowe wraz z odpowiednio zabezpieczonym systemem operacyjnym</w:t>
            </w:r>
          </w:p>
        </w:tc>
      </w:tr>
      <w:tr w:rsidR="00230AF0" w:rsidRPr="00230AF0" w14:paraId="1748529B" w14:textId="125915BD" w:rsidTr="00230AF0">
        <w:tc>
          <w:tcPr>
            <w:tcW w:w="846" w:type="dxa"/>
          </w:tcPr>
          <w:p w14:paraId="446341D5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2EE160B9" w14:textId="4CA3327F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System jest w stanie przyjmować minimum 200GB logów dziennie</w:t>
            </w:r>
          </w:p>
        </w:tc>
      </w:tr>
      <w:tr w:rsidR="00230AF0" w:rsidRPr="00230AF0" w14:paraId="3349330A" w14:textId="6652C6C4" w:rsidTr="00230AF0">
        <w:tc>
          <w:tcPr>
            <w:tcW w:w="846" w:type="dxa"/>
          </w:tcPr>
          <w:p w14:paraId="4C95BD07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2781A2A4" w14:textId="2BD516EB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System jest w stanie przeanalizować minimum 4000 logów na sekundę</w:t>
            </w:r>
          </w:p>
        </w:tc>
      </w:tr>
      <w:tr w:rsidR="00230AF0" w:rsidRPr="00230AF0" w14:paraId="76830189" w14:textId="6D96052E" w:rsidTr="00230AF0">
        <w:tc>
          <w:tcPr>
            <w:tcW w:w="846" w:type="dxa"/>
          </w:tcPr>
          <w:p w14:paraId="1A37C8B9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91C1C9F" w14:textId="28DCF49D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System umożliwia gromadzenie logów z co najmniej 800 systemów/urządzeń</w:t>
            </w:r>
          </w:p>
        </w:tc>
      </w:tr>
      <w:tr w:rsidR="00230AF0" w:rsidRPr="00230AF0" w14:paraId="508FA78D" w14:textId="69D7051E" w:rsidTr="00230AF0">
        <w:tc>
          <w:tcPr>
            <w:tcW w:w="846" w:type="dxa"/>
          </w:tcPr>
          <w:p w14:paraId="1ADED5B0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1B89095" w14:textId="3FA0EA33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System umożliwia przeglądanie zbieranych logów w czasie rzeczywistym</w:t>
            </w:r>
          </w:p>
        </w:tc>
      </w:tr>
      <w:tr w:rsidR="00230AF0" w:rsidRPr="00230AF0" w14:paraId="79CB25C2" w14:textId="1C202EC0" w:rsidTr="00230AF0">
        <w:tc>
          <w:tcPr>
            <w:tcW w:w="846" w:type="dxa"/>
          </w:tcPr>
          <w:p w14:paraId="321BBD24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D33DDA6" w14:textId="1B458517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System umożliwia przeglądanie zgromadzonych logów z funkcją filtrowania</w:t>
            </w:r>
          </w:p>
        </w:tc>
      </w:tr>
      <w:tr w:rsidR="00230AF0" w:rsidRPr="00230AF0" w14:paraId="071A3AC4" w14:textId="4C398004" w:rsidTr="00230AF0">
        <w:tc>
          <w:tcPr>
            <w:tcW w:w="846" w:type="dxa"/>
          </w:tcPr>
          <w:p w14:paraId="01747872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C3D4F5B" w14:textId="7043D5EC" w:rsidR="006203EA" w:rsidRPr="00230AF0" w:rsidRDefault="006203EA" w:rsidP="00D837BD">
            <w:pPr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dostosowanie widoku wyświetlanych logów przez dodanie, usunięcie oraz zmianę kolejności kolumn zawierających elementy logowanych zdarzeń</w:t>
            </w:r>
          </w:p>
        </w:tc>
      </w:tr>
      <w:tr w:rsidR="00230AF0" w:rsidRPr="00230AF0" w14:paraId="41AD72F4" w14:textId="3A5C19CC" w:rsidTr="00230AF0">
        <w:tc>
          <w:tcPr>
            <w:tcW w:w="846" w:type="dxa"/>
          </w:tcPr>
          <w:p w14:paraId="165F6973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55D26FC" w14:textId="33BDD499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System musi prezentować informacje na temat ilości przestrzeni dyskowej wykorzystywanej na przechowywanie logów</w:t>
            </w:r>
          </w:p>
        </w:tc>
      </w:tr>
      <w:tr w:rsidR="00230AF0" w:rsidRPr="00230AF0" w14:paraId="366A5914" w14:textId="64D42DFB" w:rsidTr="00230AF0">
        <w:tc>
          <w:tcPr>
            <w:tcW w:w="846" w:type="dxa"/>
          </w:tcPr>
          <w:p w14:paraId="0E2A5104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335B3A2" w14:textId="310DBC8E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</w:t>
            </w:r>
            <w:r w:rsidR="005829F2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oferuje konfigurację oraz predefiniowane raporty graficzne lub tekstowe obrazujące stan pracy urządzenia UTM oraz ogólne informację dotyczące statystyk ruchu sieciowego oraz zdarzeń bezpieczeństwa na przestrzeni wskazanego wycinka czasu. Raporty obejmują: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F20616A" w14:textId="77777777" w:rsidR="006203EA" w:rsidRPr="00230AF0" w:rsidRDefault="006203EA" w:rsidP="00D837B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listę najczęściej wykrywanych ataków;</w:t>
            </w:r>
          </w:p>
          <w:p w14:paraId="5F9A3248" w14:textId="77777777" w:rsidR="006203EA" w:rsidRPr="00230AF0" w:rsidRDefault="006203EA" w:rsidP="00D837B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listę najbardziej aktywnych użytkowników lub innych źródeł ruchu sieciowego;</w:t>
            </w:r>
          </w:p>
          <w:p w14:paraId="79E40D4D" w14:textId="77777777" w:rsidR="006203EA" w:rsidRPr="00230AF0" w:rsidRDefault="006203EA" w:rsidP="00D837B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listę najczęściej wykorzystywanych aplikacji;</w:t>
            </w:r>
          </w:p>
          <w:p w14:paraId="6237AB22" w14:textId="77777777" w:rsidR="006203EA" w:rsidRPr="00230AF0" w:rsidRDefault="006203EA" w:rsidP="00D837B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lastRenderedPageBreak/>
              <w:t>listę najczęściej odwiedzanych stron www;</w:t>
            </w:r>
          </w:p>
          <w:p w14:paraId="05700BDA" w14:textId="77777777" w:rsidR="006203EA" w:rsidRPr="00230AF0" w:rsidRDefault="006203EA" w:rsidP="00D837B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listę krajów, do których nawiązywane są połączenia;</w:t>
            </w:r>
          </w:p>
          <w:p w14:paraId="45E37297" w14:textId="77777777" w:rsidR="006203EA" w:rsidRPr="00230AF0" w:rsidRDefault="006203EA" w:rsidP="00D837B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listę najczęściej wykorzystywanych polityk Firewall;</w:t>
            </w:r>
          </w:p>
          <w:p w14:paraId="3D0667E0" w14:textId="77777777" w:rsidR="006203EA" w:rsidRPr="00230AF0" w:rsidRDefault="006203EA" w:rsidP="00D837B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informację o realizowanych połączeniach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IPSec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oraz SSL VPN;</w:t>
            </w:r>
          </w:p>
          <w:p w14:paraId="0872C7DF" w14:textId="4F292A95" w:rsidR="006203EA" w:rsidRPr="00230AF0" w:rsidRDefault="006203EA" w:rsidP="00D837BD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listę najczęściej występujących zdarzeń systemowych.</w:t>
            </w:r>
          </w:p>
        </w:tc>
      </w:tr>
      <w:tr w:rsidR="00230AF0" w:rsidRPr="00230AF0" w14:paraId="63D50D16" w14:textId="5F1C2DFC" w:rsidTr="00230AF0">
        <w:tc>
          <w:tcPr>
            <w:tcW w:w="846" w:type="dxa"/>
          </w:tcPr>
          <w:p w14:paraId="046956A4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582D7B03" w14:textId="765DAF79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Rozwiązanie posiada możliwość przesyłania kopii logów do innych systemów logowania i przetwarzania danych za pomocą protokołu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Syslog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i/lub CEF (ang.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Common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Event Format). System w tym zakresie zapewnia mechanizm filtrowania przesyłanych logów;</w:t>
            </w:r>
          </w:p>
        </w:tc>
      </w:tr>
      <w:tr w:rsidR="00230AF0" w:rsidRPr="00230AF0" w14:paraId="7C56A5D8" w14:textId="100AA446" w:rsidTr="00230AF0">
        <w:tc>
          <w:tcPr>
            <w:tcW w:w="846" w:type="dxa"/>
          </w:tcPr>
          <w:p w14:paraId="6E95D5D4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0539253F" w14:textId="01806567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cykliczny eksport logów do zewnętrznego systemu w celu przechowywania długoterminowego. Eksport logów jest możliwy z wykorzystaniem protokołu SFTP i/lub SCP. System ma możliwość, kiedy i w jaki sposób ma następować eksport logów;</w:t>
            </w:r>
            <w:r w:rsidRPr="00230AF0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6FE4A7EC" w14:textId="34BD37D9" w:rsidTr="00230AF0">
        <w:tc>
          <w:tcPr>
            <w:tcW w:w="846" w:type="dxa"/>
          </w:tcPr>
          <w:p w14:paraId="35D07AC4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A029396" w14:textId="2AF627C8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zapewnia co najmniej możliwość komunikacji z innymi systemami przesyłającymi logi na portach UDP/514 oraz TCP/514;</w:t>
            </w:r>
            <w:r w:rsidRPr="00230AF0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1A522DE0" w14:textId="59764785" w:rsidTr="00230AF0">
        <w:tc>
          <w:tcPr>
            <w:tcW w:w="846" w:type="dxa"/>
          </w:tcPr>
          <w:p w14:paraId="44DC079D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0C5FD217" w14:textId="7DA62EFD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 zakresie raportowania system</w:t>
            </w:r>
            <w:r w:rsidR="005829F2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zapewnia: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31E99B57" w14:textId="5DFB8A41" w:rsidR="006203EA" w:rsidRPr="00230AF0" w:rsidRDefault="006203EA" w:rsidP="00D837B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generowanie raportów co najmniej w formatach: CSV, HTML, PDF;</w:t>
            </w:r>
          </w:p>
          <w:p w14:paraId="1AF0492B" w14:textId="77777777" w:rsidR="006203EA" w:rsidRPr="00230AF0" w:rsidRDefault="006203EA" w:rsidP="00D837B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predefiniowane zestawy raportów, w których administrator systemu może modyfikować parametry prezentowanych wyników;</w:t>
            </w:r>
          </w:p>
          <w:p w14:paraId="04AF2954" w14:textId="77777777" w:rsidR="006203EA" w:rsidRPr="00230AF0" w:rsidRDefault="006203EA" w:rsidP="00D837B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możliwość definiowania własnych raportów;</w:t>
            </w:r>
          </w:p>
          <w:p w14:paraId="7B371A17" w14:textId="77777777" w:rsidR="006203EA" w:rsidRPr="00230AF0" w:rsidRDefault="006203EA" w:rsidP="00D837B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możliwość spolszczenia raportów;</w:t>
            </w:r>
          </w:p>
          <w:p w14:paraId="4149325C" w14:textId="77777777" w:rsidR="006203EA" w:rsidRPr="00230AF0" w:rsidRDefault="006203EA" w:rsidP="00D837B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generowania raportów w sposób cykliczny lub na żądanie, z możliwością automatycznego przesyłania wyników na określony adres lub adresy email, oraz do automatycznego przesyłania raportu na zewnętrzy serwer za pomocą protokołów SFTP i SCP;</w:t>
            </w:r>
          </w:p>
          <w:p w14:paraId="481CF790" w14:textId="5CADF410" w:rsidR="006203EA" w:rsidRPr="00230AF0" w:rsidRDefault="006203EA" w:rsidP="00D837BD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możliwość automatycznego usuwania raportów po określonym czasie;</w:t>
            </w:r>
          </w:p>
        </w:tc>
      </w:tr>
      <w:tr w:rsidR="00230AF0" w:rsidRPr="00230AF0" w14:paraId="42512937" w14:textId="6016331F" w:rsidTr="00230AF0">
        <w:tc>
          <w:tcPr>
            <w:tcW w:w="846" w:type="dxa"/>
          </w:tcPr>
          <w:p w14:paraId="18DB3E24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8B81324" w14:textId="51ED483C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strike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W zakresie korelacji zdarzeń system zapewnia: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93E1EB5" w14:textId="20A6584E" w:rsidR="006203EA" w:rsidRPr="00230AF0" w:rsidRDefault="006203EA" w:rsidP="00D837BD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Korelowanie logów z określeniem urządzeń, dla których ten proces ma być realizowany; </w:t>
            </w:r>
          </w:p>
          <w:p w14:paraId="7A3743BD" w14:textId="77777777" w:rsidR="006203EA" w:rsidRPr="00230AF0" w:rsidRDefault="006203EA" w:rsidP="00D837BD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Możliwość tworzenia własnych reguł korelowania logów; </w:t>
            </w:r>
          </w:p>
          <w:p w14:paraId="3DF67B82" w14:textId="40203D98" w:rsidR="006203EA" w:rsidRPr="00230AF0" w:rsidRDefault="006203EA" w:rsidP="00D837BD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Możliwość konfiguracji powiadomień: email, SNMP i API w przypadku wystąpienia określonych zdarzeń sieciowych, systemowych oraz bezpieczeństwa. W treści powiadomienia jest możliwość przekazania informacji o tym jakie zdarzenie wywołało powiadomienie, np. Nazwa wykrytego zagrożenia;</w:t>
            </w:r>
          </w:p>
          <w:p w14:paraId="5E26F02A" w14:textId="45BE0CA3" w:rsidR="006203EA" w:rsidRPr="00230AF0" w:rsidRDefault="006203EA" w:rsidP="00D837BD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koreluje zdarzenia co najmniej dla następujących kategorii: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1FD942A" w14:textId="77777777" w:rsidR="006203EA" w:rsidRPr="00230AF0" w:rsidRDefault="006203EA" w:rsidP="00D837BD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Malware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/AV,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80B0D1C" w14:textId="77777777" w:rsidR="006203EA" w:rsidRPr="00230AF0" w:rsidRDefault="006203EA" w:rsidP="00D837BD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Aplikacje sieciowe,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8157031" w14:textId="77777777" w:rsidR="006203EA" w:rsidRPr="00230AF0" w:rsidRDefault="006203EA" w:rsidP="00D837BD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Email,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23C996A8" w14:textId="77777777" w:rsidR="006203EA" w:rsidRPr="00230AF0" w:rsidRDefault="006203EA" w:rsidP="00D837BD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IPS,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625A0D1" w14:textId="77777777" w:rsidR="006203EA" w:rsidRPr="00230AF0" w:rsidRDefault="006203EA" w:rsidP="00D837BD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Web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Filter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,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1949216B" w14:textId="77777777" w:rsidR="006203EA" w:rsidRPr="00230AF0" w:rsidRDefault="006203EA" w:rsidP="00D837BD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Traffic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(logi z ruchu sieciowego),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55981B42" w14:textId="77777777" w:rsidR="006203EA" w:rsidRPr="00230AF0" w:rsidRDefault="006203EA" w:rsidP="00D837BD">
            <w:pPr>
              <w:pStyle w:val="paragraph"/>
              <w:numPr>
                <w:ilvl w:val="1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Systemowe (m.in. utracone połączenie VPN, utracone połączenie sieciowe, zdarzenia związane z klastrem niezawodnościowym, zmiana w sieci SD-WAN);</w:t>
            </w:r>
          </w:p>
          <w:p w14:paraId="2DEB98C9" w14:textId="4A9C5313" w:rsidR="006203EA" w:rsidRPr="00230AF0" w:rsidRDefault="006203EA" w:rsidP="00D837BD">
            <w:pPr>
              <w:pStyle w:val="paragraph"/>
              <w:numPr>
                <w:ilvl w:val="0"/>
                <w:numId w:val="22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Możliwość automatycznego, zwrotnego powiadomienia systemu bezpieczeństwa NGFW o wystąpieniu wybranych zdarzeń korelacji na podstawie wskaźników kompromitacji (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IoC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);</w:t>
            </w:r>
          </w:p>
        </w:tc>
      </w:tr>
      <w:tr w:rsidR="00230AF0" w:rsidRPr="00230AF0" w14:paraId="1B311839" w14:textId="6B74C3F3" w:rsidTr="00230AF0">
        <w:tc>
          <w:tcPr>
            <w:tcW w:w="846" w:type="dxa"/>
          </w:tcPr>
          <w:p w14:paraId="54DB1B37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57CBF1A1" w14:textId="77777777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Zarządzanie systemem: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6BA5822A" w14:textId="4D5A4988" w:rsidR="006203EA" w:rsidRPr="00230AF0" w:rsidRDefault="006203EA" w:rsidP="00D837BD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lastRenderedPageBreak/>
              <w:t>System logowania i raportowania zapewnia możliwość zarządzania lokalnego z wykorzystaniem protokołów: HTTPS oraz SSH lub producent rozwiązania</w:t>
            </w:r>
            <w:r w:rsidR="00547559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dostarcza dedykowaną konsolę zarządzania, która komunikuje się z rozwiązaniem przy wykorzystaniu szyfrowanych protokołów; </w:t>
            </w:r>
          </w:p>
          <w:p w14:paraId="7918C570" w14:textId="49B17B5B" w:rsidR="006203EA" w:rsidRPr="00230AF0" w:rsidRDefault="006203EA" w:rsidP="00D837BD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Proces uwierzytelniania administratorów jest realizowany w oparciu o: lokalną bazę, Radius, LDAP, TACACS+, PKI;</w:t>
            </w:r>
          </w:p>
          <w:p w14:paraId="497C225F" w14:textId="02929374" w:rsidR="006203EA" w:rsidRPr="00230AF0" w:rsidRDefault="006203EA" w:rsidP="00D837BD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umożliwia definiowanie co najmniej 8 administratorów z możliwością określenia praw dostępu do wybranych modułów systemu logowania i raportowania;</w:t>
            </w:r>
          </w:p>
          <w:p w14:paraId="74AFE6AB" w14:textId="54C2BE4D" w:rsidR="006203EA" w:rsidRPr="00230AF0" w:rsidRDefault="006203EA" w:rsidP="00D837BD">
            <w:pPr>
              <w:pStyle w:val="paragraph"/>
              <w:numPr>
                <w:ilvl w:val="0"/>
                <w:numId w:val="23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ma możliwość podziału na wirtualne systemy logowania i raportowania (konteksty/domeny). Istnieje możliwość przypisywania administratorom praw dostępu do wybranych kontekstów. Dla każdego kontekstu jest możliwość niezależnego przydzielania zasobów dyskowych oraz określania maksymalnego czasu przechowywania logów;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497BB272" w14:textId="61927C15" w:rsidTr="00230AF0">
        <w:tc>
          <w:tcPr>
            <w:tcW w:w="846" w:type="dxa"/>
          </w:tcPr>
          <w:p w14:paraId="0FCC8F69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00CF75A2" w14:textId="07A5EF5A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dysponuje co najmniej: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0271443A" w14:textId="77777777" w:rsidR="006203EA" w:rsidRPr="00230AF0" w:rsidRDefault="006203EA" w:rsidP="00D837BD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>portami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 Gigabit Ethernet RJ-</w:t>
            </w:r>
            <w:proofErr w:type="gram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>45;</w:t>
            </w:r>
            <w:proofErr w:type="gramEnd"/>
          </w:p>
          <w:p w14:paraId="35A6579B" w14:textId="73932A92" w:rsidR="006203EA" w:rsidRPr="00230AF0" w:rsidRDefault="006203EA" w:rsidP="00D837BD">
            <w:pPr>
              <w:pStyle w:val="paragraph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  <w:lang w:val="en-US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>portami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lang w:val="en-US"/>
              </w:rPr>
              <w:t xml:space="preserve"> Gigabit Ethernet SFP;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230AF0" w:rsidRPr="00230AF0" w14:paraId="5CE48311" w14:textId="1654C0E3" w:rsidTr="00230AF0">
        <w:tc>
          <w:tcPr>
            <w:tcW w:w="846" w:type="dxa"/>
          </w:tcPr>
          <w:p w14:paraId="1BDD2044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3183" w:type="dxa"/>
          </w:tcPr>
          <w:p w14:paraId="0D2B9AF6" w14:textId="14F11005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Rozwiązanie dysponuje powierzchnią dyskową min. 16 TB;</w:t>
            </w:r>
            <w:r w:rsidRPr="00230AF0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4D027FB1" w14:textId="47B1C6CA" w:rsidTr="00230AF0">
        <w:tc>
          <w:tcPr>
            <w:tcW w:w="846" w:type="dxa"/>
          </w:tcPr>
          <w:p w14:paraId="2EC97A6E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026A8F27" w14:textId="33A33271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ma możliwość konfiguracji RAID, minimum 0, 1 lub 10, w celu zabezpieczenia danych w przypadku awarii dysku;</w:t>
            </w:r>
          </w:p>
        </w:tc>
      </w:tr>
      <w:tr w:rsidR="00230AF0" w:rsidRPr="00230AF0" w14:paraId="3D7B0A7B" w14:textId="218CB2DE" w:rsidTr="00230AF0">
        <w:tc>
          <w:tcPr>
            <w:tcW w:w="846" w:type="dxa"/>
          </w:tcPr>
          <w:p w14:paraId="19C8781C" w14:textId="77777777" w:rsidR="006203EA" w:rsidRPr="00230AF0" w:rsidRDefault="006203EA" w:rsidP="00D837BD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3AB499BF" w14:textId="6160E4BD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Gwarancja oraz wsparcie: System jest objęty serwisem gwarancyjnym producenta przez okres 36 miesięcy, polegającym na naprawie lub wymianie urządzenia w przypadku jego wadliwości. W ramach tego serwisu producent zapewnia dostęp do aktualizacji oprogramowania oraz wsparcie techniczne w trybie 24x7. </w:t>
            </w:r>
          </w:p>
        </w:tc>
      </w:tr>
      <w:tr w:rsidR="00230AF0" w:rsidRPr="00230AF0" w14:paraId="682DA773" w14:textId="5539977B" w:rsidTr="00230AF0">
        <w:tc>
          <w:tcPr>
            <w:tcW w:w="846" w:type="dxa"/>
          </w:tcPr>
          <w:p w14:paraId="79982897" w14:textId="747DA245" w:rsidR="006203EA" w:rsidRPr="00230AF0" w:rsidRDefault="006203EA" w:rsidP="006D052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0AF0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3183" w:type="dxa"/>
          </w:tcPr>
          <w:p w14:paraId="5D5A3199" w14:textId="57691856" w:rsidR="006203EA" w:rsidRPr="00230AF0" w:rsidRDefault="006203EA" w:rsidP="006D052D">
            <w:pPr>
              <w:jc w:val="center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 xml:space="preserve">Rozwiązanie typy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  <w:shd w:val="clear" w:color="auto" w:fill="FFFFFF"/>
              </w:rPr>
              <w:t>Sandbox</w:t>
            </w:r>
            <w:proofErr w:type="spellEnd"/>
          </w:p>
        </w:tc>
      </w:tr>
      <w:tr w:rsidR="00230AF0" w:rsidRPr="00230AF0" w14:paraId="6B6C0F39" w14:textId="351C781B" w:rsidTr="00230AF0">
        <w:tc>
          <w:tcPr>
            <w:tcW w:w="846" w:type="dxa"/>
          </w:tcPr>
          <w:p w14:paraId="25C11537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7B579E97" w14:textId="7AF7553D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Urządzenie wykorzystuje technologię piaskownicy (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sandbox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) do izolowania i analizy podejrzanych plików i aplikacji w wirtualnym środowisku, chroniąc tym samym sieć przed infekcjami i włamaniami;</w:t>
            </w:r>
          </w:p>
        </w:tc>
      </w:tr>
      <w:tr w:rsidR="00230AF0" w:rsidRPr="00230AF0" w14:paraId="179C0EA4" w14:textId="3283D79D" w:rsidTr="00230AF0">
        <w:tc>
          <w:tcPr>
            <w:tcW w:w="846" w:type="dxa"/>
          </w:tcPr>
          <w:p w14:paraId="41AB1CDE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5C7F3834" w14:textId="249613CB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składa się z jednego lub kilku elementów zapewniając opisany poniżej zestaw funkcji;</w:t>
            </w:r>
            <w:r w:rsidRPr="00230AF0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500B23B7" w14:textId="4703851D" w:rsidTr="00230AF0">
        <w:tc>
          <w:tcPr>
            <w:tcW w:w="846" w:type="dxa"/>
          </w:tcPr>
          <w:p w14:paraId="58EA64B2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3325E691" w14:textId="2AC3AF75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</w:t>
            </w:r>
            <w:r w:rsidR="00547559"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umożliwia skanowanie plików zarchiwizowanych (.7z</w:t>
            </w:r>
            <w:proofErr w:type="gram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ace</w:t>
            </w:r>
            <w:proofErr w:type="spellEnd"/>
            <w:proofErr w:type="gram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arj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.bz2,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gz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iso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.jar,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kgb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lzh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rar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swf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.tar,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tgz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upx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xz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.z, .zip), wykonywalnych (.exe,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dll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.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msi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), PDF, Microsoft Office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Document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Javascript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AdobeFlash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oraz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JavaArchive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(JAR);</w:t>
            </w:r>
          </w:p>
        </w:tc>
      </w:tr>
      <w:tr w:rsidR="00230AF0" w:rsidRPr="00230AF0" w14:paraId="70ED0B6B" w14:textId="1524FB41" w:rsidTr="00230AF0">
        <w:tc>
          <w:tcPr>
            <w:tcW w:w="846" w:type="dxa"/>
          </w:tcPr>
          <w:p w14:paraId="5665F18E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FF0B8C4" w14:textId="36957C34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analizę plików powyżej 200MB;</w:t>
            </w:r>
            <w:r w:rsidRPr="00230AF0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58D7897A" w14:textId="75F04605" w:rsidTr="00230AF0">
        <w:tc>
          <w:tcPr>
            <w:tcW w:w="846" w:type="dxa"/>
          </w:tcPr>
          <w:p w14:paraId="50DC0E5E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252007CA" w14:textId="30786177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skanowanie zasobów sieciowych SMB/NFS oraz kwarantanny podejrzanych plików;</w:t>
            </w:r>
          </w:p>
        </w:tc>
      </w:tr>
      <w:tr w:rsidR="00230AF0" w:rsidRPr="00230AF0" w14:paraId="67162E1A" w14:textId="3143032B" w:rsidTr="00230AF0">
        <w:tc>
          <w:tcPr>
            <w:tcW w:w="846" w:type="dxa"/>
          </w:tcPr>
          <w:p w14:paraId="5FC1F6E5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2F298669" w14:textId="33815973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przesyłanie do analizy plików oraz adresów URL;</w:t>
            </w:r>
            <w:r w:rsidRPr="00230AF0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5461F450" w14:textId="2F511A7C" w:rsidTr="00230AF0">
        <w:tc>
          <w:tcPr>
            <w:tcW w:w="846" w:type="dxa"/>
          </w:tcPr>
          <w:p w14:paraId="58F391FB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33431AA" w14:textId="38AE7E42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szczegółowe raportowanie charakterystyki badanego pliku oraz zachowania: modyfikacji plików w systemie, zachowania uruchomionych procesów, zmian w rejestrze, zachowania sieci. System musi posiadać funkcję generowania raportu z tego zachowania;</w:t>
            </w:r>
          </w:p>
        </w:tc>
      </w:tr>
      <w:tr w:rsidR="00230AF0" w:rsidRPr="00230AF0" w14:paraId="127D3EC2" w14:textId="0A0FD5B2" w:rsidTr="00230AF0">
        <w:tc>
          <w:tcPr>
            <w:tcW w:w="846" w:type="dxa"/>
          </w:tcPr>
          <w:p w14:paraId="4CE68BAF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389A49F" w14:textId="7048B60D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System pozwala na analizę min. 10 000 plików na godzinę przy włączonej funkcji </w:t>
            </w:r>
            <w:proofErr w:type="spellStart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prefilteringu</w:t>
            </w:r>
            <w:proofErr w:type="spellEnd"/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, skanowania statycznego oraz dynamicznego;</w:t>
            </w:r>
            <w:r w:rsidRPr="00230AF0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5A79EBE7" w14:textId="5374868F" w:rsidTr="00230AF0">
        <w:tc>
          <w:tcPr>
            <w:tcW w:w="846" w:type="dxa"/>
          </w:tcPr>
          <w:p w14:paraId="69DD4788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90E08F1" w14:textId="498785D9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jednoczesne uruchomienie 10 maszyn wirtualnych w celu analizy różnych próbek oraz analizy behawioralnej;</w:t>
            </w:r>
            <w:r w:rsidRPr="00230AF0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47490A6A" w14:textId="14C215FD" w:rsidTr="00230AF0">
        <w:tc>
          <w:tcPr>
            <w:tcW w:w="846" w:type="dxa"/>
          </w:tcPr>
          <w:p w14:paraId="125BDB68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8FCDA21" w14:textId="4906789E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wgrywanie własnych obrazów systemów operacyjnych;</w:t>
            </w:r>
          </w:p>
        </w:tc>
      </w:tr>
      <w:tr w:rsidR="00230AF0" w:rsidRPr="00230AF0" w14:paraId="10B872CF" w14:textId="423CDBCA" w:rsidTr="00230AF0">
        <w:tc>
          <w:tcPr>
            <w:tcW w:w="846" w:type="dxa"/>
          </w:tcPr>
          <w:p w14:paraId="582169F6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33BC3F74" w14:textId="10EAD465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 realizuje jednoczesną analizę próbek na obrazach/maszynach wirtualnych następujących systemów operacyjnych:</w:t>
            </w:r>
          </w:p>
          <w:p w14:paraId="5FA55344" w14:textId="77777777" w:rsidR="006203EA" w:rsidRPr="00230AF0" w:rsidRDefault="006203EA" w:rsidP="00D837B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Co najmniej na 4 maszynach wirtualnych z systemem operacyjnym Windows 10;</w:t>
            </w:r>
          </w:p>
          <w:p w14:paraId="14EAD9F6" w14:textId="6EE9DD1D" w:rsidR="006203EA" w:rsidRPr="00230AF0" w:rsidRDefault="006203EA" w:rsidP="00D837B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Co najmniej na 4 maszynach wirtualnych z systemem operacyjnym Windows 11;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04F22BE7" w14:textId="35C20784" w:rsidTr="00230AF0">
        <w:tc>
          <w:tcPr>
            <w:tcW w:w="846" w:type="dxa"/>
          </w:tcPr>
          <w:p w14:paraId="0F192AC5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538A8A8D" w14:textId="1C302798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realizuje jednoczesną analizę próbek będących dokumentami pakietu Microsoft Office na 4 dedykowanych maszynach wirtualnych, których rodzaje wymieniono w punkcie powyżej;</w:t>
            </w:r>
          </w:p>
        </w:tc>
      </w:tr>
      <w:tr w:rsidR="00230AF0" w:rsidRPr="00230AF0" w14:paraId="56D2550F" w14:textId="7B3A7BBE" w:rsidTr="00230AF0">
        <w:tc>
          <w:tcPr>
            <w:tcW w:w="846" w:type="dxa"/>
          </w:tcPr>
          <w:p w14:paraId="598AE6E0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0C814CA" w14:textId="239EA1C8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Wymagane jest dostarczenie niezbędnych licencji dla systemów Microsoft Windows oraz Microsoft Office wymienionych w punktach 11 oraz 12;</w:t>
            </w:r>
          </w:p>
        </w:tc>
      </w:tr>
      <w:tr w:rsidR="00230AF0" w:rsidRPr="00230AF0" w14:paraId="6A717D63" w14:textId="53630FFD" w:rsidTr="00230AF0">
        <w:tc>
          <w:tcPr>
            <w:tcW w:w="846" w:type="dxa"/>
          </w:tcPr>
          <w:p w14:paraId="5E160BD2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0ED05C4C" w14:textId="53486767" w:rsidR="006203EA" w:rsidRPr="00230AF0" w:rsidRDefault="006203EA" w:rsidP="00D837BD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230AF0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System umożliwia skanowanie plików na obrazach Android oraz Linux;</w:t>
            </w:r>
          </w:p>
        </w:tc>
      </w:tr>
      <w:tr w:rsidR="00230AF0" w:rsidRPr="00230AF0" w14:paraId="31482B9F" w14:textId="54153683" w:rsidTr="00230AF0">
        <w:trPr>
          <w:trHeight w:val="1324"/>
        </w:trPr>
        <w:tc>
          <w:tcPr>
            <w:tcW w:w="846" w:type="dxa"/>
          </w:tcPr>
          <w:p w14:paraId="1EE43E7F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56C2BC63" w14:textId="6AE8005F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System</w:t>
            </w:r>
            <w:r w:rsidR="00547559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umożliwia analizę w systemach Microsoft Windows: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  <w:p w14:paraId="79B34E81" w14:textId="77777777" w:rsidR="006203EA" w:rsidRPr="00230AF0" w:rsidRDefault="006203EA" w:rsidP="00D837B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sprawdzenie procesów i rejestru;</w:t>
            </w:r>
          </w:p>
          <w:p w14:paraId="3012FB60" w14:textId="77777777" w:rsidR="006203EA" w:rsidRPr="00230AF0" w:rsidRDefault="006203EA" w:rsidP="00D837B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sprawdzanie połączenie z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Botnet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 xml:space="preserve"> C&amp;C oraz złośliwymi URL;</w:t>
            </w:r>
          </w:p>
          <w:p w14:paraId="7D5A5FE2" w14:textId="77777777" w:rsidR="006203EA" w:rsidRPr="00230AF0" w:rsidRDefault="006203EA" w:rsidP="00D837B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sprawdzenie pakietów sieciowych przeprocesowanych przez maszynę wirtualną;</w:t>
            </w:r>
          </w:p>
          <w:p w14:paraId="353E4775" w14:textId="1CF2CB8F" w:rsidR="006203EA" w:rsidRPr="00230AF0" w:rsidRDefault="006203EA" w:rsidP="00D837BD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sprawdzenie działań przeprowadzony przez badane oprogramowania oraz zrzuty ekranu z badanej maszyny wirtualnej;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</w:rPr>
              <w:t> </w:t>
            </w:r>
          </w:p>
        </w:tc>
      </w:tr>
      <w:tr w:rsidR="00230AF0" w:rsidRPr="00230AF0" w14:paraId="28B16AF9" w14:textId="22F11B65" w:rsidTr="00230AF0">
        <w:tc>
          <w:tcPr>
            <w:tcW w:w="846" w:type="dxa"/>
          </w:tcPr>
          <w:p w14:paraId="62CA9A91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198A9A9" w14:textId="6BC36936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W ramach postępowania zostaną dostarczone licencje upoważniające do korzystania z aktualnych baz funkcji skanujących oraz analitycznych w okresie obowiązywania gwarancji;</w:t>
            </w:r>
          </w:p>
        </w:tc>
      </w:tr>
      <w:tr w:rsidR="00230AF0" w:rsidRPr="00230AF0" w14:paraId="609B73A6" w14:textId="301C3BA6" w:rsidTr="00230AF0">
        <w:tc>
          <w:tcPr>
            <w:tcW w:w="846" w:type="dxa"/>
          </w:tcPr>
          <w:p w14:paraId="7323CC85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3F6A0054" w14:textId="730D79C1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System pozwala na analizę w maszynach wirtualnych minimum 500 plików na godzinę;</w:t>
            </w:r>
          </w:p>
        </w:tc>
      </w:tr>
      <w:tr w:rsidR="00230AF0" w:rsidRPr="00230AF0" w14:paraId="5E3358A2" w14:textId="33C04641" w:rsidTr="00230AF0">
        <w:tc>
          <w:tcPr>
            <w:tcW w:w="846" w:type="dxa"/>
          </w:tcPr>
          <w:p w14:paraId="191C4E4D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DF4AA3A" w14:textId="7EC032B8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System umożliwia interakcję z badaną próbką przez dostęp do konsoli wirtualnej maszyny uruchomionej na potrzeby analizy. Funkcjonalność dostępna przy uruchamianiu skanowania próbki z poziomu interfejsu Webowego Interfejsu Systemu;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74879740" w14:textId="1914EAD6" w:rsidTr="00230AF0">
        <w:tc>
          <w:tcPr>
            <w:tcW w:w="846" w:type="dxa"/>
          </w:tcPr>
          <w:p w14:paraId="0C9900D5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4C1A945" w14:textId="0707B15F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Dostęp do analizowanych plików w celu dodatkowego badania: przykładowe pliki, logi z analizy (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tracer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 xml:space="preserve">), zapis pakietów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pcap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;</w:t>
            </w:r>
          </w:p>
        </w:tc>
      </w:tr>
      <w:tr w:rsidR="00230AF0" w:rsidRPr="00230AF0" w14:paraId="33D8D11A" w14:textId="5B0BDB40" w:rsidTr="00230AF0">
        <w:tc>
          <w:tcPr>
            <w:tcW w:w="846" w:type="dxa"/>
          </w:tcPr>
          <w:p w14:paraId="33860CC8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38A52DBF" w14:textId="4BA4D71C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System</w:t>
            </w:r>
            <w:r w:rsidR="00547559"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udostępnia interfejs API umożliwiający integracje np. z systemem SIEM lub zgłoszeniowym;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76E7411A" w14:textId="6C8D5AE6" w:rsidTr="00230AF0">
        <w:tc>
          <w:tcPr>
            <w:tcW w:w="846" w:type="dxa"/>
          </w:tcPr>
          <w:p w14:paraId="09FBF3B2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21C0A784" w14:textId="6463FCCD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System umożliwia dodanie sum kontrolnych plików do białej lub czarnej listy;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7324FBF0" w14:textId="4282D49B" w:rsidTr="00230AF0">
        <w:tc>
          <w:tcPr>
            <w:tcW w:w="846" w:type="dxa"/>
          </w:tcPr>
          <w:p w14:paraId="298633AD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1C7943A6" w14:textId="261E8FC1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 xml:space="preserve">System umożliwia jednokrotne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logownaie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 xml:space="preserve"> (Single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Sign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-On) przez SAML;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23F0C3D5" w14:textId="4B377470" w:rsidTr="00230AF0">
        <w:tc>
          <w:tcPr>
            <w:tcW w:w="846" w:type="dxa"/>
          </w:tcPr>
          <w:p w14:paraId="4370AFE3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5518653D" w14:textId="1CE0DB1F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System powinien ma możliwość integracji z regułami YARA;</w:t>
            </w:r>
          </w:p>
        </w:tc>
      </w:tr>
      <w:tr w:rsidR="00230AF0" w:rsidRPr="00230AF0" w14:paraId="74BE9FFE" w14:textId="6483ED35" w:rsidTr="00230AF0">
        <w:tc>
          <w:tcPr>
            <w:tcW w:w="846" w:type="dxa"/>
          </w:tcPr>
          <w:p w14:paraId="6477BEF8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0E60E47" w14:textId="698E2DE5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Urządzenie posiada 4 porty Gigabit Ethernet RJ-45 z obsługą agregacji w celi zwiększenia przepustowości i redundancji;</w:t>
            </w:r>
          </w:p>
        </w:tc>
      </w:tr>
      <w:tr w:rsidR="00230AF0" w:rsidRPr="00230AF0" w14:paraId="0D8709C0" w14:textId="2E50C73E" w:rsidTr="00230AF0">
        <w:tc>
          <w:tcPr>
            <w:tcW w:w="846" w:type="dxa"/>
          </w:tcPr>
          <w:p w14:paraId="67F53F17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6823DBB" w14:textId="5DDE0988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Urządzenie jest wyposażone w przynajmniej jeden dysk o pojemności minimum 960GB;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7795E217" w14:textId="3373845D" w:rsidTr="00230AF0">
        <w:tc>
          <w:tcPr>
            <w:tcW w:w="846" w:type="dxa"/>
          </w:tcPr>
          <w:p w14:paraId="46BD2A1A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62051224" w14:textId="50A244B5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 xml:space="preserve">Licencje upoważniające do korzystania z aktualnych baz funkcji skanujących oraz analitycznych (tzw.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threat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intelligence</w:t>
            </w:r>
            <w:proofErr w:type="spellEnd"/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) obejmują okres minimum 36 miesięcy;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230AF0" w:rsidRPr="00230AF0" w14:paraId="5A1DFB88" w14:textId="1907675A" w:rsidTr="00230AF0">
        <w:tc>
          <w:tcPr>
            <w:tcW w:w="846" w:type="dxa"/>
          </w:tcPr>
          <w:p w14:paraId="22F1C410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2FFB6352" w14:textId="699695F6" w:rsidR="006203EA" w:rsidRPr="00230AF0" w:rsidRDefault="006203EA" w:rsidP="00D837B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Bazy sygnatur wykorzystywanych przez funkcje skanujące są systematycznie aktualizowane;</w:t>
            </w:r>
          </w:p>
        </w:tc>
      </w:tr>
      <w:tr w:rsidR="00230AF0" w:rsidRPr="00230AF0" w14:paraId="037061E3" w14:textId="4C89448E" w:rsidTr="00230AF0">
        <w:tc>
          <w:tcPr>
            <w:tcW w:w="846" w:type="dxa"/>
          </w:tcPr>
          <w:p w14:paraId="438E8499" w14:textId="77777777" w:rsidR="006203EA" w:rsidRPr="00230AF0" w:rsidRDefault="006203EA" w:rsidP="00D837BD">
            <w:pPr>
              <w:pStyle w:val="Akapitzlist"/>
              <w:numPr>
                <w:ilvl w:val="0"/>
                <w:numId w:val="28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183" w:type="dxa"/>
          </w:tcPr>
          <w:p w14:paraId="4D81B101" w14:textId="1D48129E" w:rsidR="006203EA" w:rsidRPr="00230AF0" w:rsidRDefault="006203EA" w:rsidP="00D837BD">
            <w:pPr>
              <w:pStyle w:val="paragraph"/>
              <w:tabs>
                <w:tab w:val="left" w:pos="652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</w:pPr>
            <w:r w:rsidRPr="00230AF0">
              <w:rPr>
                <w:rStyle w:val="normaltextrun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W ramach postępowania zostaną dostarczone licencje niezbędne do uruchomienia wszystkich wymaganych maszyn wirtualnych;</w:t>
            </w:r>
            <w:r w:rsidRPr="00230AF0">
              <w:rPr>
                <w:rStyle w:val="eop"/>
                <w:rFonts w:ascii="Calibri" w:eastAsiaTheme="majorEastAsia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14:paraId="498A9E85" w14:textId="5407EA47" w:rsidR="000B75EE" w:rsidRPr="00230AF0" w:rsidRDefault="000B75EE">
      <w:pPr>
        <w:rPr>
          <w:rFonts w:ascii="Calibri" w:hAnsi="Calibri" w:cs="Calibri"/>
          <w:sz w:val="20"/>
          <w:szCs w:val="20"/>
        </w:rPr>
      </w:pPr>
    </w:p>
    <w:p w14:paraId="2A994DB3" w14:textId="36EFB6D4" w:rsidR="475DF3A9" w:rsidRPr="00230AF0" w:rsidRDefault="475DF3A9">
      <w:pPr>
        <w:rPr>
          <w:rFonts w:ascii="Calibri" w:hAnsi="Calibri" w:cs="Calibri"/>
          <w:sz w:val="20"/>
          <w:szCs w:val="20"/>
        </w:rPr>
      </w:pPr>
    </w:p>
    <w:p w14:paraId="5D0971D4" w14:textId="6D8F3A4B" w:rsidR="006D052D" w:rsidRPr="00230AF0" w:rsidRDefault="006D052D">
      <w:pPr>
        <w:rPr>
          <w:rFonts w:ascii="Calibri" w:hAnsi="Calibri" w:cs="Calibri"/>
          <w:sz w:val="20"/>
          <w:szCs w:val="20"/>
        </w:rPr>
      </w:pPr>
    </w:p>
    <w:sectPr w:rsidR="006D052D" w:rsidRPr="00230AF0" w:rsidSect="005303FF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5D26" w14:textId="77777777" w:rsidR="005E1235" w:rsidRDefault="005E1235" w:rsidP="005303FF">
      <w:pPr>
        <w:spacing w:after="0" w:line="240" w:lineRule="auto"/>
      </w:pPr>
      <w:r>
        <w:separator/>
      </w:r>
    </w:p>
  </w:endnote>
  <w:endnote w:type="continuationSeparator" w:id="0">
    <w:p w14:paraId="6ABCA6F2" w14:textId="77777777" w:rsidR="005E1235" w:rsidRDefault="005E1235" w:rsidP="0053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1A817" w14:textId="77777777" w:rsidR="005E1235" w:rsidRDefault="005E1235" w:rsidP="005303FF">
      <w:pPr>
        <w:spacing w:after="0" w:line="240" w:lineRule="auto"/>
      </w:pPr>
      <w:r>
        <w:separator/>
      </w:r>
    </w:p>
  </w:footnote>
  <w:footnote w:type="continuationSeparator" w:id="0">
    <w:p w14:paraId="76A2B4AF" w14:textId="77777777" w:rsidR="005E1235" w:rsidRDefault="005E1235" w:rsidP="00530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DB3E7" w14:textId="5FDC6BA2" w:rsidR="005303FF" w:rsidRPr="005303FF" w:rsidRDefault="005303FF">
    <w:pPr>
      <w:pStyle w:val="Nagwek"/>
      <w:rPr>
        <w:rFonts w:ascii="Calibri" w:hAnsi="Calibri" w:cs="Calibri"/>
        <w:b/>
        <w:bCs/>
      </w:rPr>
    </w:pPr>
    <w:r w:rsidRPr="005303FF">
      <w:rPr>
        <w:rFonts w:ascii="Calibri" w:hAnsi="Calibri" w:cs="Calibri"/>
        <w:b/>
        <w:bCs/>
      </w:rPr>
      <w:t>Postępowanie numer: GUM2024ZP0105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370"/>
    <w:multiLevelType w:val="multilevel"/>
    <w:tmpl w:val="00A625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2340F"/>
    <w:multiLevelType w:val="hybridMultilevel"/>
    <w:tmpl w:val="046047CA"/>
    <w:lvl w:ilvl="0" w:tplc="3A983C7E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7A9"/>
    <w:multiLevelType w:val="multilevel"/>
    <w:tmpl w:val="7BE6BAD8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116CD9"/>
    <w:multiLevelType w:val="hybridMultilevel"/>
    <w:tmpl w:val="C2049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D343F"/>
    <w:multiLevelType w:val="hybridMultilevel"/>
    <w:tmpl w:val="359CFBBA"/>
    <w:lvl w:ilvl="0" w:tplc="9F027C5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7038"/>
    <w:multiLevelType w:val="hybridMultilevel"/>
    <w:tmpl w:val="C2A4827A"/>
    <w:lvl w:ilvl="0" w:tplc="4ADC6778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0EA2"/>
    <w:multiLevelType w:val="hybridMultilevel"/>
    <w:tmpl w:val="CCDEE530"/>
    <w:lvl w:ilvl="0" w:tplc="215E85FE">
      <w:start w:val="1"/>
      <w:numFmt w:val="decimal"/>
      <w:lvlText w:val="%1."/>
      <w:lvlJc w:val="left"/>
      <w:pPr>
        <w:ind w:left="1080" w:hanging="360"/>
      </w:pPr>
    </w:lvl>
    <w:lvl w:ilvl="1" w:tplc="E71CAFC0">
      <w:start w:val="1"/>
      <w:numFmt w:val="lowerLetter"/>
      <w:lvlText w:val="%2."/>
      <w:lvlJc w:val="left"/>
      <w:pPr>
        <w:ind w:left="1800" w:hanging="360"/>
      </w:pPr>
    </w:lvl>
    <w:lvl w:ilvl="2" w:tplc="0D6097D0">
      <w:start w:val="1"/>
      <w:numFmt w:val="lowerRoman"/>
      <w:lvlText w:val="%3."/>
      <w:lvlJc w:val="right"/>
      <w:pPr>
        <w:ind w:left="2520" w:hanging="180"/>
      </w:pPr>
    </w:lvl>
    <w:lvl w:ilvl="3" w:tplc="79DA44B4">
      <w:start w:val="1"/>
      <w:numFmt w:val="decimal"/>
      <w:lvlText w:val="%4."/>
      <w:lvlJc w:val="left"/>
      <w:pPr>
        <w:ind w:left="3240" w:hanging="360"/>
      </w:pPr>
    </w:lvl>
    <w:lvl w:ilvl="4" w:tplc="3A7AB7F2">
      <w:start w:val="1"/>
      <w:numFmt w:val="lowerLetter"/>
      <w:lvlText w:val="%5."/>
      <w:lvlJc w:val="left"/>
      <w:pPr>
        <w:ind w:left="3960" w:hanging="360"/>
      </w:pPr>
    </w:lvl>
    <w:lvl w:ilvl="5" w:tplc="5448D39C">
      <w:start w:val="1"/>
      <w:numFmt w:val="lowerRoman"/>
      <w:lvlText w:val="%6."/>
      <w:lvlJc w:val="right"/>
      <w:pPr>
        <w:ind w:left="4680" w:hanging="180"/>
      </w:pPr>
    </w:lvl>
    <w:lvl w:ilvl="6" w:tplc="B3FA0BB6">
      <w:start w:val="1"/>
      <w:numFmt w:val="decimal"/>
      <w:lvlText w:val="%7."/>
      <w:lvlJc w:val="left"/>
      <w:pPr>
        <w:ind w:left="5400" w:hanging="360"/>
      </w:pPr>
    </w:lvl>
    <w:lvl w:ilvl="7" w:tplc="A79E0004">
      <w:start w:val="1"/>
      <w:numFmt w:val="lowerLetter"/>
      <w:lvlText w:val="%8."/>
      <w:lvlJc w:val="left"/>
      <w:pPr>
        <w:ind w:left="6120" w:hanging="360"/>
      </w:pPr>
    </w:lvl>
    <w:lvl w:ilvl="8" w:tplc="E1087CE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E5458"/>
    <w:multiLevelType w:val="hybridMultilevel"/>
    <w:tmpl w:val="6BE478C0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1368"/>
    <w:multiLevelType w:val="hybridMultilevel"/>
    <w:tmpl w:val="08308332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F2433"/>
    <w:multiLevelType w:val="hybridMultilevel"/>
    <w:tmpl w:val="C4DA929E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97A"/>
    <w:multiLevelType w:val="multilevel"/>
    <w:tmpl w:val="E36661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F1E68"/>
    <w:multiLevelType w:val="hybridMultilevel"/>
    <w:tmpl w:val="77FC9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26DA9"/>
    <w:multiLevelType w:val="hybridMultilevel"/>
    <w:tmpl w:val="20D2A144"/>
    <w:lvl w:ilvl="0" w:tplc="001CB194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6694F"/>
    <w:multiLevelType w:val="hybridMultilevel"/>
    <w:tmpl w:val="B6DE00A8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83367"/>
    <w:multiLevelType w:val="hybridMultilevel"/>
    <w:tmpl w:val="442E19AA"/>
    <w:lvl w:ilvl="0" w:tplc="0EECB4DE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663A7"/>
    <w:multiLevelType w:val="hybridMultilevel"/>
    <w:tmpl w:val="1E305FF8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E7136"/>
    <w:multiLevelType w:val="hybridMultilevel"/>
    <w:tmpl w:val="EDAEAE70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D3A68"/>
    <w:multiLevelType w:val="hybridMultilevel"/>
    <w:tmpl w:val="4BEAA77A"/>
    <w:lvl w:ilvl="0" w:tplc="B6A694CE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77691"/>
    <w:multiLevelType w:val="hybridMultilevel"/>
    <w:tmpl w:val="AA3682BA"/>
    <w:lvl w:ilvl="0" w:tplc="D0A613B0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C33A2"/>
    <w:multiLevelType w:val="hybridMultilevel"/>
    <w:tmpl w:val="0B202542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11BC"/>
    <w:multiLevelType w:val="hybridMultilevel"/>
    <w:tmpl w:val="B346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1041"/>
    <w:multiLevelType w:val="hybridMultilevel"/>
    <w:tmpl w:val="AB427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14BEB"/>
    <w:multiLevelType w:val="hybridMultilevel"/>
    <w:tmpl w:val="4E7412DA"/>
    <w:lvl w:ilvl="0" w:tplc="AA18D2CA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87348"/>
    <w:multiLevelType w:val="multilevel"/>
    <w:tmpl w:val="E444A6A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F1E1E"/>
    <w:multiLevelType w:val="hybridMultilevel"/>
    <w:tmpl w:val="82904576"/>
    <w:lvl w:ilvl="0" w:tplc="D7684CB8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ajorEastAsia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86304"/>
    <w:multiLevelType w:val="hybridMultilevel"/>
    <w:tmpl w:val="ED3835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0966"/>
    <w:multiLevelType w:val="hybridMultilevel"/>
    <w:tmpl w:val="ED3CD3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A7AD5"/>
    <w:multiLevelType w:val="hybridMultilevel"/>
    <w:tmpl w:val="12BC1076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65AD0"/>
    <w:multiLevelType w:val="hybridMultilevel"/>
    <w:tmpl w:val="D5C0A1B8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E2058"/>
    <w:multiLevelType w:val="hybridMultilevel"/>
    <w:tmpl w:val="FBEE9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59A3"/>
    <w:multiLevelType w:val="hybridMultilevel"/>
    <w:tmpl w:val="F4064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13C4E"/>
    <w:multiLevelType w:val="hybridMultilevel"/>
    <w:tmpl w:val="D588796A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9A9A3"/>
    <w:multiLevelType w:val="hybridMultilevel"/>
    <w:tmpl w:val="824ADED6"/>
    <w:lvl w:ilvl="0" w:tplc="3642E19E">
      <w:start w:val="1"/>
      <w:numFmt w:val="decimal"/>
      <w:lvlText w:val="%1."/>
      <w:lvlJc w:val="left"/>
      <w:pPr>
        <w:ind w:left="1080" w:hanging="360"/>
      </w:pPr>
    </w:lvl>
    <w:lvl w:ilvl="1" w:tplc="E7B0125C">
      <w:start w:val="1"/>
      <w:numFmt w:val="lowerLetter"/>
      <w:lvlText w:val="%2."/>
      <w:lvlJc w:val="left"/>
      <w:pPr>
        <w:ind w:left="1800" w:hanging="360"/>
      </w:pPr>
    </w:lvl>
    <w:lvl w:ilvl="2" w:tplc="BF387D46">
      <w:start w:val="1"/>
      <w:numFmt w:val="lowerRoman"/>
      <w:lvlText w:val="%3."/>
      <w:lvlJc w:val="right"/>
      <w:pPr>
        <w:ind w:left="2520" w:hanging="180"/>
      </w:pPr>
    </w:lvl>
    <w:lvl w:ilvl="3" w:tplc="670EF98C">
      <w:start w:val="1"/>
      <w:numFmt w:val="decimal"/>
      <w:lvlText w:val="%4."/>
      <w:lvlJc w:val="left"/>
      <w:pPr>
        <w:ind w:left="3240" w:hanging="360"/>
      </w:pPr>
    </w:lvl>
    <w:lvl w:ilvl="4" w:tplc="25F0B44C">
      <w:start w:val="1"/>
      <w:numFmt w:val="lowerLetter"/>
      <w:lvlText w:val="%5."/>
      <w:lvlJc w:val="left"/>
      <w:pPr>
        <w:ind w:left="3960" w:hanging="360"/>
      </w:pPr>
    </w:lvl>
    <w:lvl w:ilvl="5" w:tplc="513CCF50">
      <w:start w:val="1"/>
      <w:numFmt w:val="lowerRoman"/>
      <w:lvlText w:val="%6."/>
      <w:lvlJc w:val="right"/>
      <w:pPr>
        <w:ind w:left="4680" w:hanging="180"/>
      </w:pPr>
    </w:lvl>
    <w:lvl w:ilvl="6" w:tplc="DF322A7E">
      <w:start w:val="1"/>
      <w:numFmt w:val="decimal"/>
      <w:lvlText w:val="%7."/>
      <w:lvlJc w:val="left"/>
      <w:pPr>
        <w:ind w:left="5400" w:hanging="360"/>
      </w:pPr>
    </w:lvl>
    <w:lvl w:ilvl="7" w:tplc="6F128316">
      <w:start w:val="1"/>
      <w:numFmt w:val="lowerLetter"/>
      <w:lvlText w:val="%8."/>
      <w:lvlJc w:val="left"/>
      <w:pPr>
        <w:ind w:left="6120" w:hanging="360"/>
      </w:pPr>
    </w:lvl>
    <w:lvl w:ilvl="8" w:tplc="82FC63DE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735BFB"/>
    <w:multiLevelType w:val="hybridMultilevel"/>
    <w:tmpl w:val="56767258"/>
    <w:lvl w:ilvl="0" w:tplc="041C036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C260B"/>
    <w:multiLevelType w:val="hybridMultilevel"/>
    <w:tmpl w:val="496AD754"/>
    <w:lvl w:ilvl="0" w:tplc="DE760FEC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20632"/>
    <w:multiLevelType w:val="hybridMultilevel"/>
    <w:tmpl w:val="53684BBE"/>
    <w:lvl w:ilvl="0" w:tplc="98602C06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82A75"/>
    <w:multiLevelType w:val="multilevel"/>
    <w:tmpl w:val="E79834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22175B"/>
    <w:multiLevelType w:val="hybridMultilevel"/>
    <w:tmpl w:val="2758C756"/>
    <w:lvl w:ilvl="0" w:tplc="77683B3E">
      <w:start w:val="1"/>
      <w:numFmt w:val="low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6460">
    <w:abstractNumId w:val="32"/>
  </w:num>
  <w:num w:numId="2" w16cid:durableId="855264944">
    <w:abstractNumId w:val="6"/>
  </w:num>
  <w:num w:numId="3" w16cid:durableId="1639261329">
    <w:abstractNumId w:val="36"/>
  </w:num>
  <w:num w:numId="4" w16cid:durableId="1948389679">
    <w:abstractNumId w:val="3"/>
  </w:num>
  <w:num w:numId="5" w16cid:durableId="571278378">
    <w:abstractNumId w:val="35"/>
  </w:num>
  <w:num w:numId="6" w16cid:durableId="1180118437">
    <w:abstractNumId w:val="34"/>
  </w:num>
  <w:num w:numId="7" w16cid:durableId="658921530">
    <w:abstractNumId w:val="17"/>
  </w:num>
  <w:num w:numId="8" w16cid:durableId="1271161497">
    <w:abstractNumId w:val="14"/>
  </w:num>
  <w:num w:numId="9" w16cid:durableId="1725449078">
    <w:abstractNumId w:val="25"/>
  </w:num>
  <w:num w:numId="10" w16cid:durableId="1248659472">
    <w:abstractNumId w:val="1"/>
  </w:num>
  <w:num w:numId="11" w16cid:durableId="537357466">
    <w:abstractNumId w:val="37"/>
  </w:num>
  <w:num w:numId="12" w16cid:durableId="334579981">
    <w:abstractNumId w:val="22"/>
  </w:num>
  <w:num w:numId="13" w16cid:durableId="78842214">
    <w:abstractNumId w:val="18"/>
  </w:num>
  <w:num w:numId="14" w16cid:durableId="1713261032">
    <w:abstractNumId w:val="24"/>
  </w:num>
  <w:num w:numId="15" w16cid:durableId="323432217">
    <w:abstractNumId w:val="5"/>
  </w:num>
  <w:num w:numId="16" w16cid:durableId="764692452">
    <w:abstractNumId w:val="4"/>
  </w:num>
  <w:num w:numId="17" w16cid:durableId="1213540497">
    <w:abstractNumId w:val="12"/>
  </w:num>
  <w:num w:numId="18" w16cid:durableId="93288479">
    <w:abstractNumId w:val="28"/>
  </w:num>
  <w:num w:numId="19" w16cid:durableId="930820406">
    <w:abstractNumId w:val="21"/>
  </w:num>
  <w:num w:numId="20" w16cid:durableId="129177116">
    <w:abstractNumId w:val="7"/>
  </w:num>
  <w:num w:numId="21" w16cid:durableId="1703285427">
    <w:abstractNumId w:val="9"/>
  </w:num>
  <w:num w:numId="22" w16cid:durableId="77531390">
    <w:abstractNumId w:val="13"/>
  </w:num>
  <w:num w:numId="23" w16cid:durableId="416443054">
    <w:abstractNumId w:val="16"/>
  </w:num>
  <w:num w:numId="24" w16cid:durableId="2070574617">
    <w:abstractNumId w:val="27"/>
  </w:num>
  <w:num w:numId="25" w16cid:durableId="952789909">
    <w:abstractNumId w:val="30"/>
  </w:num>
  <w:num w:numId="26" w16cid:durableId="2008055753">
    <w:abstractNumId w:val="31"/>
  </w:num>
  <w:num w:numId="27" w16cid:durableId="2011521223">
    <w:abstractNumId w:val="33"/>
  </w:num>
  <w:num w:numId="28" w16cid:durableId="1320109440">
    <w:abstractNumId w:val="29"/>
  </w:num>
  <w:num w:numId="29" w16cid:durableId="605770600">
    <w:abstractNumId w:val="8"/>
  </w:num>
  <w:num w:numId="30" w16cid:durableId="1712727580">
    <w:abstractNumId w:val="15"/>
  </w:num>
  <w:num w:numId="31" w16cid:durableId="1115250464">
    <w:abstractNumId w:val="19"/>
  </w:num>
  <w:num w:numId="32" w16cid:durableId="1829323143">
    <w:abstractNumId w:val="11"/>
  </w:num>
  <w:num w:numId="33" w16cid:durableId="546262647">
    <w:abstractNumId w:val="26"/>
  </w:num>
  <w:num w:numId="34" w16cid:durableId="1021587520">
    <w:abstractNumId w:val="20"/>
  </w:num>
  <w:num w:numId="35" w16cid:durableId="1078791956">
    <w:abstractNumId w:val="10"/>
  </w:num>
  <w:num w:numId="36" w16cid:durableId="1430276955">
    <w:abstractNumId w:val="0"/>
  </w:num>
  <w:num w:numId="37" w16cid:durableId="1458182566">
    <w:abstractNumId w:val="23"/>
  </w:num>
  <w:num w:numId="38" w16cid:durableId="1677997946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57"/>
    <w:rsid w:val="00045AE3"/>
    <w:rsid w:val="000A5657"/>
    <w:rsid w:val="000B75EE"/>
    <w:rsid w:val="0011436E"/>
    <w:rsid w:val="00117E57"/>
    <w:rsid w:val="00142BB1"/>
    <w:rsid w:val="00146160"/>
    <w:rsid w:val="00157CD9"/>
    <w:rsid w:val="00184804"/>
    <w:rsid w:val="001C5193"/>
    <w:rsid w:val="001E7FF7"/>
    <w:rsid w:val="0021769C"/>
    <w:rsid w:val="00230AF0"/>
    <w:rsid w:val="00255487"/>
    <w:rsid w:val="00271B35"/>
    <w:rsid w:val="00282978"/>
    <w:rsid w:val="00291E67"/>
    <w:rsid w:val="00301114"/>
    <w:rsid w:val="00311D0C"/>
    <w:rsid w:val="00317C64"/>
    <w:rsid w:val="00320E2C"/>
    <w:rsid w:val="003561FC"/>
    <w:rsid w:val="00363830"/>
    <w:rsid w:val="00392EEB"/>
    <w:rsid w:val="003D7548"/>
    <w:rsid w:val="003E6829"/>
    <w:rsid w:val="00413E40"/>
    <w:rsid w:val="004478E7"/>
    <w:rsid w:val="004515D4"/>
    <w:rsid w:val="00474DCB"/>
    <w:rsid w:val="004A0373"/>
    <w:rsid w:val="004A0F29"/>
    <w:rsid w:val="004C22FE"/>
    <w:rsid w:val="00510566"/>
    <w:rsid w:val="00522EC0"/>
    <w:rsid w:val="005303FF"/>
    <w:rsid w:val="00547559"/>
    <w:rsid w:val="00551FC2"/>
    <w:rsid w:val="00567E6F"/>
    <w:rsid w:val="00576FBE"/>
    <w:rsid w:val="005829F2"/>
    <w:rsid w:val="005B1B68"/>
    <w:rsid w:val="005B6493"/>
    <w:rsid w:val="005C012E"/>
    <w:rsid w:val="005D084E"/>
    <w:rsid w:val="005E1235"/>
    <w:rsid w:val="005F0640"/>
    <w:rsid w:val="00601F63"/>
    <w:rsid w:val="00617D44"/>
    <w:rsid w:val="006203EA"/>
    <w:rsid w:val="00663CEB"/>
    <w:rsid w:val="00697A10"/>
    <w:rsid w:val="006C5949"/>
    <w:rsid w:val="006D052D"/>
    <w:rsid w:val="006E3B69"/>
    <w:rsid w:val="00705C4D"/>
    <w:rsid w:val="00745627"/>
    <w:rsid w:val="00745899"/>
    <w:rsid w:val="0075080F"/>
    <w:rsid w:val="00762042"/>
    <w:rsid w:val="00774BA5"/>
    <w:rsid w:val="00782258"/>
    <w:rsid w:val="007A7A79"/>
    <w:rsid w:val="007C6E2B"/>
    <w:rsid w:val="007E04A7"/>
    <w:rsid w:val="007E2AE9"/>
    <w:rsid w:val="007E6BCC"/>
    <w:rsid w:val="007F2F9B"/>
    <w:rsid w:val="00805B95"/>
    <w:rsid w:val="008376D6"/>
    <w:rsid w:val="008403AF"/>
    <w:rsid w:val="00860C41"/>
    <w:rsid w:val="008964B2"/>
    <w:rsid w:val="00912190"/>
    <w:rsid w:val="00914698"/>
    <w:rsid w:val="00920F29"/>
    <w:rsid w:val="00926988"/>
    <w:rsid w:val="009378EC"/>
    <w:rsid w:val="00984789"/>
    <w:rsid w:val="009A7301"/>
    <w:rsid w:val="009B5933"/>
    <w:rsid w:val="009E0DB1"/>
    <w:rsid w:val="00A2320B"/>
    <w:rsid w:val="00A27CE1"/>
    <w:rsid w:val="00A50F70"/>
    <w:rsid w:val="00A7204C"/>
    <w:rsid w:val="00A96F44"/>
    <w:rsid w:val="00AA1659"/>
    <w:rsid w:val="00AA1BDF"/>
    <w:rsid w:val="00AB46FF"/>
    <w:rsid w:val="00B37D1A"/>
    <w:rsid w:val="00B454D6"/>
    <w:rsid w:val="00B540EF"/>
    <w:rsid w:val="00B66365"/>
    <w:rsid w:val="00BA448A"/>
    <w:rsid w:val="00BA7FEF"/>
    <w:rsid w:val="00BD03A8"/>
    <w:rsid w:val="00BD2412"/>
    <w:rsid w:val="00BE3EC2"/>
    <w:rsid w:val="00BF3E85"/>
    <w:rsid w:val="00C219C0"/>
    <w:rsid w:val="00C40E36"/>
    <w:rsid w:val="00CB2BD4"/>
    <w:rsid w:val="00CE080F"/>
    <w:rsid w:val="00CF3B4E"/>
    <w:rsid w:val="00D02DD4"/>
    <w:rsid w:val="00D11630"/>
    <w:rsid w:val="00D26398"/>
    <w:rsid w:val="00D5499F"/>
    <w:rsid w:val="00D837BD"/>
    <w:rsid w:val="00DB12E0"/>
    <w:rsid w:val="00DB2CEF"/>
    <w:rsid w:val="00DC2A21"/>
    <w:rsid w:val="00DF7620"/>
    <w:rsid w:val="00E172EB"/>
    <w:rsid w:val="00E2766A"/>
    <w:rsid w:val="00E3353B"/>
    <w:rsid w:val="00E9610E"/>
    <w:rsid w:val="00EB5DEA"/>
    <w:rsid w:val="00EC620C"/>
    <w:rsid w:val="00EF1FFE"/>
    <w:rsid w:val="00F1025A"/>
    <w:rsid w:val="00F247DC"/>
    <w:rsid w:val="00F727A2"/>
    <w:rsid w:val="00F80979"/>
    <w:rsid w:val="00F8266C"/>
    <w:rsid w:val="00FA0C58"/>
    <w:rsid w:val="00FC2A59"/>
    <w:rsid w:val="00FE37EC"/>
    <w:rsid w:val="00FE6D32"/>
    <w:rsid w:val="07728D53"/>
    <w:rsid w:val="07A310A9"/>
    <w:rsid w:val="08735A56"/>
    <w:rsid w:val="0996FA7C"/>
    <w:rsid w:val="0B4E1756"/>
    <w:rsid w:val="0C279FDE"/>
    <w:rsid w:val="117B2FD0"/>
    <w:rsid w:val="1356F0E8"/>
    <w:rsid w:val="193C8373"/>
    <w:rsid w:val="1DE4A4FA"/>
    <w:rsid w:val="1F7BD48D"/>
    <w:rsid w:val="24E69F49"/>
    <w:rsid w:val="261FFD04"/>
    <w:rsid w:val="274B6FA1"/>
    <w:rsid w:val="2FE0101C"/>
    <w:rsid w:val="36DF4911"/>
    <w:rsid w:val="3A1B7C8C"/>
    <w:rsid w:val="3A949327"/>
    <w:rsid w:val="3DD8D7A4"/>
    <w:rsid w:val="406044A7"/>
    <w:rsid w:val="4551E4A2"/>
    <w:rsid w:val="471CEADA"/>
    <w:rsid w:val="475DF3A9"/>
    <w:rsid w:val="47879F67"/>
    <w:rsid w:val="4BDDA525"/>
    <w:rsid w:val="4C4EDE52"/>
    <w:rsid w:val="4F08F1F4"/>
    <w:rsid w:val="53725CBC"/>
    <w:rsid w:val="5380CA5A"/>
    <w:rsid w:val="5786F466"/>
    <w:rsid w:val="6BA26FAA"/>
    <w:rsid w:val="6BB23E35"/>
    <w:rsid w:val="71C065E4"/>
    <w:rsid w:val="75F2BCE3"/>
    <w:rsid w:val="7C2FDF07"/>
    <w:rsid w:val="7F1E28B2"/>
    <w:rsid w:val="7F1F0282"/>
    <w:rsid w:val="7F632001"/>
    <w:rsid w:val="7FEDA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9C043"/>
  <w15:chartTrackingRefBased/>
  <w15:docId w15:val="{6A873E48-1BFD-4B2C-A7A4-4BBF8F50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566"/>
  </w:style>
  <w:style w:type="paragraph" w:styleId="Nagwek1">
    <w:name w:val="heading 1"/>
    <w:basedOn w:val="Normalny"/>
    <w:next w:val="Normalny"/>
    <w:link w:val="Nagwek1Znak"/>
    <w:uiPriority w:val="9"/>
    <w:qFormat/>
    <w:rsid w:val="000A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5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5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5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5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5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5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5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5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5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56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56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56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56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56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56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5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56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56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56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5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56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565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A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A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0A5657"/>
  </w:style>
  <w:style w:type="character" w:customStyle="1" w:styleId="eop">
    <w:name w:val="eop"/>
    <w:basedOn w:val="Domylnaczcionkaakapitu"/>
    <w:rsid w:val="000A5657"/>
  </w:style>
  <w:style w:type="paragraph" w:styleId="Tekstdymka">
    <w:name w:val="Balloon Text"/>
    <w:basedOn w:val="Normalny"/>
    <w:link w:val="TekstdymkaZnak"/>
    <w:uiPriority w:val="99"/>
    <w:semiHidden/>
    <w:unhideWhenUsed/>
    <w:rsid w:val="001C5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1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3FF"/>
  </w:style>
  <w:style w:type="paragraph" w:styleId="Stopka">
    <w:name w:val="footer"/>
    <w:basedOn w:val="Normalny"/>
    <w:link w:val="StopkaZnak"/>
    <w:uiPriority w:val="99"/>
    <w:unhideWhenUsed/>
    <w:rsid w:val="0053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3FF"/>
  </w:style>
  <w:style w:type="paragraph" w:styleId="Bezodstpw">
    <w:name w:val="No Spacing"/>
    <w:uiPriority w:val="1"/>
    <w:qFormat/>
    <w:rsid w:val="005303FF"/>
    <w:pPr>
      <w:spacing w:after="0" w:line="240" w:lineRule="auto"/>
    </w:pPr>
    <w:rPr>
      <w:rFonts w:eastAsiaTheme="minorEastAsia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0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03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3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3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D1585096E3C4D9D06750F92DB28CC" ma:contentTypeVersion="13" ma:contentTypeDescription="Create a new document." ma:contentTypeScope="" ma:versionID="ec8fed548cd38dad1f1a9cf6f72bf538">
  <xsd:schema xmlns:xsd="http://www.w3.org/2001/XMLSchema" xmlns:xs="http://www.w3.org/2001/XMLSchema" xmlns:p="http://schemas.microsoft.com/office/2006/metadata/properties" xmlns:ns2="1b95180c-5c09-4073-8273-a4479151900f" xmlns:ns3="d23acebc-6023-45e0-9058-5832fb772c2f" targetNamespace="http://schemas.microsoft.com/office/2006/metadata/properties" ma:root="true" ma:fieldsID="8bfb5ee4f9e665a4ca0e88110616c969" ns2:_="" ns3:_="">
    <xsd:import namespace="1b95180c-5c09-4073-8273-a4479151900f"/>
    <xsd:import namespace="d23acebc-6023-45e0-9058-5832fb772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5180c-5c09-4073-8273-a44791519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99d33c3-8567-494d-a183-581039417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cebc-6023-45e0-9058-5832fb772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1e05db4-ec07-4053-b86c-cc5e01f08412}" ma:internalName="TaxCatchAll" ma:showField="CatchAllData" ma:web="d23acebc-6023-45e0-9058-5832fb772c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95180c-5c09-4073-8273-a4479151900f">
      <Terms xmlns="http://schemas.microsoft.com/office/infopath/2007/PartnerControls"/>
    </lcf76f155ced4ddcb4097134ff3c332f>
    <TaxCatchAll xmlns="d23acebc-6023-45e0-9058-5832fb772c2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3EE50-1923-439E-BBA6-5769C9A41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95180c-5c09-4073-8273-a4479151900f"/>
    <ds:schemaRef ds:uri="d23acebc-6023-45e0-9058-5832fb772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48DA87-3A19-4DC1-AEFB-C53562D050A7}">
  <ds:schemaRefs>
    <ds:schemaRef ds:uri="http://schemas.microsoft.com/office/2006/metadata/properties"/>
    <ds:schemaRef ds:uri="http://schemas.microsoft.com/office/infopath/2007/PartnerControls"/>
    <ds:schemaRef ds:uri="1b95180c-5c09-4073-8273-a4479151900f"/>
    <ds:schemaRef ds:uri="d23acebc-6023-45e0-9058-5832fb772c2f"/>
  </ds:schemaRefs>
</ds:datastoreItem>
</file>

<file path=customXml/itemProps3.xml><?xml version="1.0" encoding="utf-8"?>
<ds:datastoreItem xmlns:ds="http://schemas.openxmlformats.org/officeDocument/2006/customXml" ds:itemID="{752FC43D-2E97-4D83-BEB2-768F6360B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C05D14-3C66-4D8E-AD5F-784D4BE4F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9</Pages>
  <Words>3621</Words>
  <Characters>21729</Characters>
  <Application>Microsoft Office Word</Application>
  <DocSecurity>0</DocSecurity>
  <Lines>181</Lines>
  <Paragraphs>50</Paragraphs>
  <ScaleCrop>false</ScaleCrop>
  <Company/>
  <LinksUpToDate>false</LinksUpToDate>
  <CharactersWithSpaces>25300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Chwiećko</dc:creator>
  <cp:keywords/>
  <dc:description/>
  <cp:lastModifiedBy>Agnieszka Ossowska</cp:lastModifiedBy>
  <cp:revision>46</cp:revision>
  <cp:lastPrinted>2024-09-06T11:33:00Z</cp:lastPrinted>
  <dcterms:created xsi:type="dcterms:W3CDTF">2024-09-06T11:28:00Z</dcterms:created>
  <dcterms:modified xsi:type="dcterms:W3CDTF">2024-10-16T11:45:00Z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0x0101007ACD1585096E3C4D9D06750F92DB28CC</vt:lpwstr>
  </property>
  <property fmtid="{D5CDD505-2E9C-101B-9397-08002B2CF9AE}" pid="3" name="MediaServiceImageTags">
    <vt:lpwstr/>
  </property>
</Properties>
</file>