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52" w:rsidRPr="005D1F07" w:rsidRDefault="00FA5212" w:rsidP="00B52352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3</w:t>
      </w:r>
      <w:r w:rsidR="0090122E">
        <w:rPr>
          <w:rFonts w:ascii="Arial Narrow" w:hAnsi="Arial Narrow" w:cs="Calibri"/>
          <w:b/>
        </w:rPr>
        <w:t xml:space="preserve"> do S</w:t>
      </w:r>
      <w:r w:rsidR="00B52352" w:rsidRPr="005D1F07">
        <w:rPr>
          <w:rFonts w:ascii="Arial Narrow" w:hAnsi="Arial Narrow" w:cs="Calibri"/>
          <w:b/>
        </w:rPr>
        <w:t>WZ</w:t>
      </w:r>
    </w:p>
    <w:p w:rsidR="00B52352" w:rsidRDefault="00B52352" w:rsidP="00B52352">
      <w:pPr>
        <w:rPr>
          <w:rFonts w:ascii="Arial Narrow" w:hAnsi="Arial Narrow" w:cs="Calibri"/>
          <w:b/>
        </w:rPr>
      </w:pPr>
    </w:p>
    <w:p w:rsidR="00B52352" w:rsidRDefault="00B52352" w:rsidP="00B52352">
      <w:pPr>
        <w:jc w:val="center"/>
        <w:rPr>
          <w:rFonts w:ascii="Arial Narrow" w:hAnsi="Arial Narrow" w:cs="Calibri"/>
          <w:b/>
        </w:rPr>
      </w:pPr>
    </w:p>
    <w:p w:rsidR="00B52352" w:rsidRPr="00B52352" w:rsidRDefault="00B52352" w:rsidP="00B52352">
      <w:pPr>
        <w:jc w:val="center"/>
        <w:rPr>
          <w:rFonts w:ascii="Times New Roman" w:hAnsi="Times New Roman" w:cs="Times New Roman"/>
          <w:b/>
        </w:rPr>
      </w:pPr>
      <w:r w:rsidRPr="00B52352">
        <w:rPr>
          <w:rFonts w:ascii="Times New Roman" w:hAnsi="Times New Roman" w:cs="Times New Roman"/>
          <w:b/>
          <w:bCs/>
        </w:rPr>
        <w:t>Urządzenie umożliwiające przeprowadzanie ilościowej reakcji PCR w czasie rzeczywistym z użyciem barwników fluorescencyjnych</w:t>
      </w:r>
    </w:p>
    <w:p w:rsidR="00B52352" w:rsidRPr="00B52352" w:rsidRDefault="00B52352" w:rsidP="00B52352">
      <w:pPr>
        <w:jc w:val="center"/>
        <w:rPr>
          <w:rFonts w:ascii="Times New Roman" w:hAnsi="Times New Roman" w:cs="Times New Roman"/>
          <w:b/>
        </w:rPr>
      </w:pPr>
    </w:p>
    <w:p w:rsidR="00B52352" w:rsidRPr="002E4D99" w:rsidRDefault="00B52352" w:rsidP="00B52352">
      <w:pPr>
        <w:tabs>
          <w:tab w:val="righ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B52352" w:rsidRPr="002E4D99" w:rsidRDefault="00B52352" w:rsidP="00B52352">
      <w:pPr>
        <w:tabs>
          <w:tab w:val="lef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B52352" w:rsidRPr="002E4D99" w:rsidRDefault="00B52352" w:rsidP="00B52352">
      <w:pPr>
        <w:tabs>
          <w:tab w:val="lef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B52352" w:rsidRPr="002E4D99" w:rsidRDefault="00B52352" w:rsidP="00B52352">
      <w:pPr>
        <w:tabs>
          <w:tab w:val="left" w:leader="do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B52352" w:rsidRPr="002E4D99" w:rsidRDefault="00B52352" w:rsidP="00B52352">
      <w:pPr>
        <w:tabs>
          <w:tab w:val="left" w:leader="dot" w:pos="3686"/>
        </w:tabs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B52352" w:rsidRDefault="00B52352" w:rsidP="00B52352">
      <w:pPr>
        <w:rPr>
          <w:rFonts w:ascii="Arial Narrow" w:hAnsi="Arial Narrow" w:cs="Calibri"/>
          <w:b/>
        </w:rPr>
      </w:pPr>
    </w:p>
    <w:p w:rsidR="00B52352" w:rsidRDefault="00B52352" w:rsidP="00B52352">
      <w:pPr>
        <w:rPr>
          <w:rFonts w:ascii="Arial Narrow" w:hAnsi="Arial Narrow" w:cs="Calibri"/>
          <w:b/>
        </w:rPr>
      </w:pPr>
    </w:p>
    <w:p w:rsidR="00B52352" w:rsidRPr="005D1F07" w:rsidRDefault="00B52352" w:rsidP="00B52352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p w:rsidR="00917501" w:rsidRPr="00D05663" w:rsidRDefault="00917501" w:rsidP="002730B3">
      <w:pPr>
        <w:pStyle w:val="Nagwek1"/>
        <w:spacing w:before="185"/>
        <w:ind w:left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12"/>
        <w:gridCol w:w="4918"/>
      </w:tblGrid>
      <w:tr w:rsidR="00201175" w:rsidRPr="00D05663" w:rsidTr="00201175">
        <w:tc>
          <w:tcPr>
            <w:tcW w:w="5012" w:type="dxa"/>
          </w:tcPr>
          <w:p w:rsidR="00201175" w:rsidRPr="00D05663" w:rsidRDefault="00B52352" w:rsidP="00201175">
            <w:pPr>
              <w:tabs>
                <w:tab w:val="left" w:pos="643"/>
              </w:tabs>
              <w:spacing w:line="235" w:lineRule="auto"/>
              <w:ind w:right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parametrów wymaganych przez Zamawiającego:</w:t>
            </w:r>
          </w:p>
        </w:tc>
        <w:tc>
          <w:tcPr>
            <w:tcW w:w="4918" w:type="dxa"/>
          </w:tcPr>
          <w:p w:rsidR="00201175" w:rsidRPr="00B52352" w:rsidRDefault="00B52352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352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(proszę o uzupełnienie parametrów zaoferowanego urządzenia</w:t>
            </w:r>
            <w:r w:rsidR="009E7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spacing w:before="6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Jednoczesna amplifikacja 96</w:t>
            </w:r>
            <w:r w:rsidRPr="00D0566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prób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spacing w:before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Automatycznie 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wysuwana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wsuwana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kieszeń z</w:t>
            </w:r>
            <w:r w:rsidRPr="00D05663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blokiem.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Czytnik kodów kreskowych płytki amplifikacyjnej 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wbudowany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w aparat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spacing w:before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Zakres objętości mieszany reakcyjnej, w której można przeprowadzić reakcję</w:t>
            </w:r>
            <w:r w:rsidRPr="00D0566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PCR:</w:t>
            </w:r>
          </w:p>
          <w:p w:rsidR="00201175" w:rsidRPr="00D05663" w:rsidRDefault="00201175" w:rsidP="00201175">
            <w:pPr>
              <w:tabs>
                <w:tab w:val="left" w:pos="1540"/>
                <w:tab w:val="left" w:pos="1541"/>
              </w:tabs>
              <w:spacing w:before="68" w:line="234" w:lineRule="exac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10 – 100µl dla bloku 96</w:t>
            </w:r>
            <w:r w:rsidRPr="00D056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dołków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pStyle w:val="Tekstpodstawowy"/>
              <w:spacing w:before="1"/>
              <w:ind w:left="0" w:firstLine="0"/>
              <w:rPr>
                <w:rFonts w:ascii="Times New Roman" w:hAnsi="Times New Roman" w:cs="Times New Roman"/>
              </w:rPr>
            </w:pPr>
          </w:p>
          <w:p w:rsidR="00201175" w:rsidRPr="00D05663" w:rsidRDefault="00201175" w:rsidP="00201175">
            <w:pPr>
              <w:tabs>
                <w:tab w:val="left" w:pos="643"/>
              </w:tabs>
              <w:ind w:left="360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Urządzenie nie wymaga przeprowadzania żadnych okresowych kalibracji systemu optycznego związanych z wykorzystaniem różnych barwników</w:t>
            </w:r>
            <w:r w:rsidRPr="00D056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fluorescencyjnych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Urządzenie nie wymagające normalizacji z barwnikiem referencyjnym typu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Rox</w:t>
            </w:r>
            <w:proofErr w:type="spellEnd"/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Prędkość nagrzewania bloku do 4,4°C / </w:t>
            </w:r>
            <w:proofErr w:type="spellStart"/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sek</w:t>
            </w:r>
            <w:proofErr w:type="spellEnd"/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Prędkość nagrzewania bloku do 4,4°C / </w:t>
            </w:r>
            <w:proofErr w:type="spellStart"/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sek</w:t>
            </w:r>
            <w:proofErr w:type="spellEnd"/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Prędkość chłodzenia bloku do 2,2°C /</w:t>
            </w:r>
            <w:r w:rsidRPr="00D0566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sek</w:t>
            </w:r>
            <w:proofErr w:type="spellEnd"/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Materiał z jakiego wykonany jest 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powłoka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bloku:</w:t>
            </w:r>
            <w:r w:rsidRPr="00D0566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srebro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201175" w:rsidRPr="00D05663" w:rsidRDefault="00201175" w:rsidP="00201175">
            <w:pPr>
              <w:tabs>
                <w:tab w:val="left" w:pos="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Blok 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wyposażony</w:t>
            </w:r>
            <w:r w:rsidRPr="00D0566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w:</w:t>
            </w:r>
          </w:p>
          <w:p w:rsidR="00201175" w:rsidRPr="00D05663" w:rsidRDefault="00201175" w:rsidP="00201175">
            <w:pPr>
              <w:pStyle w:val="Akapitzlist"/>
              <w:numPr>
                <w:ilvl w:val="0"/>
                <w:numId w:val="4"/>
              </w:numPr>
              <w:tabs>
                <w:tab w:val="left" w:pos="1540"/>
                <w:tab w:val="left" w:pos="1541"/>
              </w:tabs>
              <w:spacing w:befor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podstawę</w:t>
            </w:r>
            <w:r w:rsidRPr="00D056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płytki</w:t>
            </w:r>
          </w:p>
          <w:p w:rsidR="00201175" w:rsidRPr="00D05663" w:rsidRDefault="00201175" w:rsidP="00201175">
            <w:pPr>
              <w:pStyle w:val="Akapitzlist"/>
              <w:numPr>
                <w:ilvl w:val="0"/>
                <w:numId w:val="4"/>
              </w:numPr>
              <w:tabs>
                <w:tab w:val="left" w:pos="1540"/>
                <w:tab w:val="left" w:pos="1541"/>
              </w:tabs>
              <w:spacing w:befor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elementy </w:t>
            </w:r>
            <w:proofErr w:type="spellStart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Peltiera</w:t>
            </w:r>
            <w:proofErr w:type="spellEnd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4BE8"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566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sztuk)</w:t>
            </w:r>
          </w:p>
          <w:p w:rsidR="00201175" w:rsidRPr="00D05663" w:rsidRDefault="00201175" w:rsidP="00201175">
            <w:pPr>
              <w:pStyle w:val="Akapitzlist"/>
              <w:numPr>
                <w:ilvl w:val="0"/>
                <w:numId w:val="4"/>
              </w:numPr>
              <w:tabs>
                <w:tab w:val="left" w:pos="1540"/>
                <w:tab w:val="left" w:pos="1541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Pr="00D0566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chłodzący</w:t>
            </w:r>
          </w:p>
          <w:p w:rsidR="00201175" w:rsidRPr="00D05663" w:rsidRDefault="00201175" w:rsidP="00201175">
            <w:pPr>
              <w:pStyle w:val="Akapitzlist"/>
              <w:numPr>
                <w:ilvl w:val="0"/>
                <w:numId w:val="4"/>
              </w:num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korektor cieplny zapewniający wydajne i równomierne przenikanie ciepła (wysoką homogenność bloku) – </w:t>
            </w:r>
            <w:r w:rsidRPr="00D05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warstwa</w:t>
            </w:r>
            <w:r w:rsidRPr="00D0566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Therma</w:t>
            </w:r>
            <w:proofErr w:type="spellEnd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-Base</w:t>
            </w: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F7347A" w:rsidRPr="00D05663" w:rsidRDefault="00F7347A" w:rsidP="00F7347A">
            <w:pPr>
              <w:tabs>
                <w:tab w:val="left" w:pos="643"/>
              </w:tabs>
              <w:spacing w:before="3" w:line="228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Zakres temperatur bloku: 37 -</w:t>
            </w:r>
            <w:r w:rsidRPr="00D056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95°C</w:t>
            </w:r>
          </w:p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75" w:rsidRPr="00D05663" w:rsidTr="00201175">
        <w:tc>
          <w:tcPr>
            <w:tcW w:w="5012" w:type="dxa"/>
          </w:tcPr>
          <w:p w:rsidR="00F7347A" w:rsidRPr="00D05663" w:rsidRDefault="00F7347A" w:rsidP="00F7347A">
            <w:pPr>
              <w:tabs>
                <w:tab w:val="left" w:pos="643"/>
              </w:tabs>
              <w:ind w:left="360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Homogenność termiczna bloku: ±0,4°C w ciągu 60 sekund od momentu osiągnięcia temperatury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docelowej (72°C)</w:t>
            </w:r>
          </w:p>
          <w:p w:rsidR="00201175" w:rsidRPr="00D05663" w:rsidRDefault="00201175" w:rsidP="00F7347A">
            <w:pPr>
              <w:tabs>
                <w:tab w:val="left" w:pos="1035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01175" w:rsidRPr="00D05663" w:rsidRDefault="00201175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47A" w:rsidRPr="00D05663" w:rsidTr="00201175">
        <w:tc>
          <w:tcPr>
            <w:tcW w:w="5012" w:type="dxa"/>
          </w:tcPr>
          <w:p w:rsidR="00F7347A" w:rsidRPr="00D05663" w:rsidRDefault="00F7347A" w:rsidP="00F7347A">
            <w:pPr>
              <w:tabs>
                <w:tab w:val="left" w:pos="643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Dokładność termiczna bloku:</w:t>
            </w:r>
          </w:p>
          <w:p w:rsidR="00F7347A" w:rsidRPr="00D05663" w:rsidRDefault="00F7347A" w:rsidP="00F7347A">
            <w:pPr>
              <w:ind w:left="198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±0,3°C w ciągu 10 sekund od momentu osiągnięcia temperatury docelowej (55°C -</w:t>
            </w:r>
            <w:r w:rsidRPr="00D0566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95°C)</w:t>
            </w:r>
          </w:p>
          <w:p w:rsidR="00F7347A" w:rsidRPr="00D05663" w:rsidRDefault="00F7347A" w:rsidP="00F7347A">
            <w:pPr>
              <w:ind w:left="1980"/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±0,2°C w ciągu 60 sekund od momentu osiągnięcia temperatury docelowej (55°C -</w:t>
            </w:r>
            <w:r w:rsidRPr="00D0566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95°C)</w:t>
            </w:r>
          </w:p>
          <w:p w:rsidR="00F7347A" w:rsidRPr="00D05663" w:rsidRDefault="00F7347A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F7347A" w:rsidRPr="00D05663" w:rsidRDefault="00F7347A" w:rsidP="00201175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System detekcyjny – kamera CCD wysokiej czułości, umożliwiająca jednoczesny odczyt wszystkich analizowanych prób.</w:t>
            </w:r>
          </w:p>
          <w:p w:rsidR="002730B3" w:rsidRPr="00D05663" w:rsidRDefault="002730B3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czas pomiaru fluorescencji wszystkich prób przez kamerę CCD w trybie dynamicznym lub manualnym,</w:t>
            </w:r>
            <w:r w:rsidR="000171B2"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 w zakresie 10 ms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 do 10 sek.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Min.5 kanałów wzbudzenia światła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Min.6 kanałów detekcji fluorescencji.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Element wzbudzający – lampa ksenonowa umożliwiająca jednoczesne wzbudzenie wszystkich prób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System otwarty, umożliwiający analizę kwasów nukleinowych przy pomocy różnych barwników i sond molekularnych:</w:t>
            </w:r>
          </w:p>
          <w:p w:rsidR="002730B3" w:rsidRPr="004461CC" w:rsidRDefault="002730B3" w:rsidP="004461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61CC">
              <w:rPr>
                <w:rFonts w:ascii="Times New Roman" w:hAnsi="Times New Roman" w:cs="Times New Roman"/>
                <w:sz w:val="20"/>
                <w:szCs w:val="20"/>
              </w:rPr>
              <w:t>SYBR Green I</w:t>
            </w:r>
          </w:p>
          <w:p w:rsidR="004461CC" w:rsidRDefault="002730B3" w:rsidP="004461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61CC">
              <w:rPr>
                <w:rFonts w:ascii="Times New Roman" w:hAnsi="Times New Roman" w:cs="Times New Roman"/>
                <w:sz w:val="20"/>
                <w:szCs w:val="20"/>
              </w:rPr>
              <w:t xml:space="preserve">Sonda hydrolizująca typu </w:t>
            </w: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</w:rPr>
              <w:t>TaqMan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  <w:p w:rsidR="004461CC" w:rsidRPr="004461CC" w:rsidRDefault="002730B3" w:rsidP="004461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Sonda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Hybrydyzująca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typu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HybProbe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®</w:t>
            </w:r>
          </w:p>
          <w:p w:rsidR="002730B3" w:rsidRPr="004461CC" w:rsidRDefault="002730B3" w:rsidP="004461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Sonda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Simple Probe®</w:t>
            </w:r>
          </w:p>
          <w:p w:rsidR="002730B3" w:rsidRPr="004461CC" w:rsidRDefault="002730B3" w:rsidP="004461C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Sonda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typu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UniversalProbe</w:t>
            </w:r>
            <w:proofErr w:type="spellEnd"/>
            <w:r w:rsidRPr="00446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Library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Oprogramowanie urządzenia umożliwia wykonanie:</w:t>
            </w:r>
          </w:p>
          <w:p w:rsidR="002730B3" w:rsidRPr="00D05663" w:rsidRDefault="002730B3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Pomiar ilości kopii DNA w badanej próbie</w:t>
            </w:r>
          </w:p>
          <w:p w:rsidR="002730B3" w:rsidRPr="00D05663" w:rsidRDefault="002730B3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Pomiar poziomu ekspresji genu badanego w stosunku do genu referencyjnego</w:t>
            </w:r>
          </w:p>
          <w:p w:rsidR="002730B3" w:rsidRPr="00D05663" w:rsidRDefault="000171B2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730B3"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nalizy </w:t>
            </w:r>
            <w:proofErr w:type="spellStart"/>
            <w:r w:rsidR="002730B3" w:rsidRPr="00D05663">
              <w:rPr>
                <w:rFonts w:ascii="Times New Roman" w:hAnsi="Times New Roman" w:cs="Times New Roman"/>
                <w:sz w:val="20"/>
                <w:szCs w:val="20"/>
              </w:rPr>
              <w:t>genotypowania</w:t>
            </w:r>
            <w:proofErr w:type="spellEnd"/>
            <w:r w:rsidR="002730B3"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 – analiza genotypu na podstawie temperatury        topnienia produktu</w:t>
            </w:r>
          </w:p>
          <w:p w:rsidR="002730B3" w:rsidRPr="00D05663" w:rsidRDefault="002730B3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Analizy end-point </w:t>
            </w:r>
            <w:proofErr w:type="spellStart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mutation</w:t>
            </w:r>
            <w:proofErr w:type="spellEnd"/>
          </w:p>
          <w:p w:rsidR="002730B3" w:rsidRPr="00D05663" w:rsidRDefault="002730B3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Porównania płytek z wynikami dla wszystkich dostępnych aplikacji z uzyskaniem wyniku w oprogramowaniu typu MS Excel</w:t>
            </w:r>
          </w:p>
          <w:p w:rsidR="000171B2" w:rsidRPr="00D05663" w:rsidRDefault="000171B2" w:rsidP="000171B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Możliwość obserwowania przeprowadzanej reakcji PCR na bieżąco podczas jej trwania (online)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Oprogramowanie aparatu i baza danych z opcją automatycznego zapisywania informacji o wszystkich zmianach w plikach z otrzymanymi wynikami dokonywanych przez użytkowników aparatu (tzw. „</w:t>
            </w:r>
            <w:proofErr w:type="spellStart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traceable</w:t>
            </w:r>
            <w:proofErr w:type="spellEnd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proofErr w:type="spellEnd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”) – zgodność z wymaganiami normy 21 CFR część 11 (bez funkcji podpisu elektronicznego).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Możliwość utworzenia pliku z podsumowaniem reakcji PCR (m.in. parametry reakcji PCR, wyniki, wykresy) w formacie .pdf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Producent aparatu posiada jednocześnie w swojej ofercie katalogowej zestawy odczynników (SYBR Green I, odczynnik </w:t>
            </w:r>
            <w:proofErr w:type="spellStart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interkalujący</w:t>
            </w:r>
            <w:proofErr w:type="spellEnd"/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 typu LC Green, sondy) dostosowane i zoptymalizowane do pracy na oferowanym aparacie.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Producent aparatu posiada w swojej ofercie katalogowej gotowe zestawy diagnostyczne do wykrywania mutacji genu BRAF, K-RAS, EGFR (CE-IVD)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wykonania gotowych testów diagnostycznych automatycznie analizuje krzywe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amplifikacji i interpretuje je podając wynik analizy (wykryto/nie wykryto)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Instrukcja obsługi w pełnej wersji w języku polskim oraz angielskim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certyfikat CE do diagnostyki medycznej in vitro (CE-IVD). Certyfikat CE-IVD dla aparatu obejmujący również oprogramowanie do wykonywania testów diagnostycznych.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Oprogramowanie umożliwiające wykonanie testów diagnostycznych (CE-IVD) oraz odrębne oprogramowanie badań naukowych.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917501">
        <w:trPr>
          <w:trHeight w:val="896"/>
        </w:trPr>
        <w:tc>
          <w:tcPr>
            <w:tcW w:w="5012" w:type="dxa"/>
          </w:tcPr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Oddzielne bazy danych (profile, wyniki, dane próbek) dla testów diagnostycznych i aplikacji naukowych</w:t>
            </w: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0C" w:rsidRPr="00D05663" w:rsidTr="00CE0CD6">
        <w:tc>
          <w:tcPr>
            <w:tcW w:w="9930" w:type="dxa"/>
            <w:gridSpan w:val="2"/>
          </w:tcPr>
          <w:p w:rsidR="00377F0C" w:rsidRPr="00D05663" w:rsidRDefault="00377F0C" w:rsidP="00273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7F0C" w:rsidRPr="00D05663" w:rsidRDefault="00377F0C" w:rsidP="00377F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b/>
                <w:sz w:val="20"/>
                <w:szCs w:val="20"/>
              </w:rPr>
              <w:t>Jednostka sterująca urządzeniem(proszę uzupełnić model i potwierdzić poniższe parametry):</w:t>
            </w:r>
          </w:p>
          <w:p w:rsidR="00377F0C" w:rsidRPr="00D05663" w:rsidRDefault="00377F0C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663" w:rsidRPr="00D05663" w:rsidTr="00201175">
        <w:tc>
          <w:tcPr>
            <w:tcW w:w="5012" w:type="dxa"/>
          </w:tcPr>
          <w:p w:rsidR="00D05663" w:rsidRPr="00D05663" w:rsidRDefault="00D05663" w:rsidP="00273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Monitor: 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>min. 19”</w:t>
            </w:r>
          </w:p>
        </w:tc>
        <w:tc>
          <w:tcPr>
            <w:tcW w:w="4918" w:type="dxa"/>
          </w:tcPr>
          <w:p w:rsidR="00D05663" w:rsidRPr="00D05663" w:rsidRDefault="00D0566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  <w:r w:rsidRPr="00D056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obsługujący min. (rdzenie/wątki): 6/6 o wydajności co najmniej 9,556 według rankingu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passmark-cpumarkt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dn. 2021-05-11 znajdującego się na stronie </w:t>
            </w:r>
            <w:hyperlink r:id="rId6" w:history="1">
              <w:r w:rsidRPr="00D05663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http://www.cpubenchmark.net/cpu_list.php</w:t>
              </w:r>
            </w:hyperlink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(załącznik A)</w:t>
            </w:r>
          </w:p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Pamięć operacyjna:</w:t>
            </w:r>
          </w:p>
          <w:p w:rsidR="00917501" w:rsidRPr="00B52352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16 GB (2x 8GB), DDR4 2666 MHz.</w:t>
            </w:r>
          </w:p>
          <w:p w:rsidR="00917501" w:rsidRPr="00B52352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30B3" w:rsidRPr="00B52352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730B3" w:rsidRPr="00B52352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B3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Dysk twardy: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HDD o pojemności minimum 500 GB 7200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rpm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3,5”, dodatkowy zainstalowany dysk 1TB 7200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rpm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2,5”.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30B3" w:rsidRPr="00D05663" w:rsidRDefault="002730B3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2730B3" w:rsidRPr="00D05663" w:rsidRDefault="002730B3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Napęd optyczny: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nagrywarka DVD+/-RW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DualLayer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wewnętrzny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Karta graficzna: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Zintegrowana.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Porty/złącza: 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przedzie obudowy: USB 3.1 Gen. - min. 2 szt.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Z tyłu/boku: VGA - min. 1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1.2 min. 1 szt., LAN 1GB,  słuchawkowe, mikrofonowe, USB 2.0 - min. 7 szt., serial port min. 3 szt.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Wyposażenie dodatkowe: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klawiatura i mysz tego samego producenta co komputer, kabel zasilający.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01" w:rsidRPr="00D05663" w:rsidRDefault="00917501" w:rsidP="0091750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Bezpieczeństwo: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Wbudowany układ szyfrowania TPM.</w:t>
            </w: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Oprogramowanie: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Zainstalowany system operacyjny (zgodnie z załącznikiem B) wraz z oryginalnym nośnikiem oraz oryginalną naklejką z kluczem produktu przyklejoną na obudowie lub kluczem wpisanym w biosie</w:t>
            </w: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Zasilacz: 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200 W</w:t>
            </w:r>
          </w:p>
          <w:p w:rsidR="00917501" w:rsidRPr="00D05663" w:rsidRDefault="00917501" w:rsidP="0091750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Obudowa: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 Desktop.</w:t>
            </w: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01" w:rsidRPr="00D05663" w:rsidTr="00201175">
        <w:tc>
          <w:tcPr>
            <w:tcW w:w="5012" w:type="dxa"/>
          </w:tcPr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Dodatkowe informacje:</w:t>
            </w: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Każdy komputer powinien być oznaczony niepowtarzalnym numerem seryjnym umieszczonym na obudowie, oraz musi być wpisany na stałe w BIOS.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Funkcja blokowania wejścia do BIOS oraz blokowania startu systemu operacyjnego, (gwarantujący utrzymanie zapisanego hasła nawet w przypadku odłączenia wszystkich źródeł zasilania i podtrzymania BIOS).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ustawienia portów USB w trybie -no BOOT-, czyli podczas startu komputer nie wykrywa urządzeń </w:t>
            </w:r>
            <w:proofErr w:type="spellStart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bootujących</w:t>
            </w:r>
            <w:proofErr w:type="spellEnd"/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typu USB, natomiast po uruchomieniu systemu operacyjnego porty USB są aktywne.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Gwarancja producenta realizowana przez autoryzowany serwis producenta zapewniająca dostarczenie sprawnego sprzętu zastępczego na następny dzień roboczy po zgłoszeniu awarii. Gwarancja musi oferować przez cały okres: usługi serwisowe świadczone w miejscu instalacji urządzenia oraz możliwość szybkiego zgłaszania usterek przez portal internetowy- dostępność wsparcia technicznego przez 24 godziny 7 dni w tygodniu przez cały rok (w języku polskim w dni robocze)- dostęp do portalu technicznego producenta, który umożliwi zamawianie części zamiennych i/lub wizyt technika serwisowego, mający na celu przyśpieszenie procesu diagnostyki i skrócenia czasu usunięcia usterki- w przypadku wystąpienia usterki wsparcie techniczne ma rozwiązywać problemy z fabrycznie zainstalowanym oprogramowaniem.</w:t>
            </w:r>
          </w:p>
          <w:p w:rsidR="00917501" w:rsidRPr="00D05663" w:rsidRDefault="00917501" w:rsidP="0091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01" w:rsidRPr="00D05663" w:rsidRDefault="00917501" w:rsidP="0027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</w:tcPr>
          <w:p w:rsidR="00917501" w:rsidRPr="00D05663" w:rsidRDefault="00917501" w:rsidP="002730B3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1175" w:rsidRDefault="00201175" w:rsidP="00201175">
      <w:pPr>
        <w:tabs>
          <w:tab w:val="left" w:pos="821"/>
        </w:tabs>
        <w:ind w:left="360" w:right="112"/>
        <w:jc w:val="both"/>
        <w:rPr>
          <w:sz w:val="20"/>
        </w:rPr>
      </w:pPr>
    </w:p>
    <w:p w:rsidR="00DC3605" w:rsidRDefault="00DC3605" w:rsidP="00201175">
      <w:pPr>
        <w:tabs>
          <w:tab w:val="left" w:pos="821"/>
        </w:tabs>
        <w:ind w:left="360" w:right="112"/>
        <w:jc w:val="both"/>
        <w:rPr>
          <w:sz w:val="20"/>
        </w:rPr>
      </w:pPr>
    </w:p>
    <w:p w:rsidR="00DC3605" w:rsidRDefault="00DC3605" w:rsidP="00201175">
      <w:pPr>
        <w:tabs>
          <w:tab w:val="left" w:pos="821"/>
        </w:tabs>
        <w:ind w:left="360" w:right="112"/>
        <w:jc w:val="both"/>
        <w:rPr>
          <w:sz w:val="20"/>
        </w:rPr>
      </w:pPr>
    </w:p>
    <w:p w:rsidR="00DC3605" w:rsidRDefault="00DC3605" w:rsidP="00201175">
      <w:pPr>
        <w:tabs>
          <w:tab w:val="left" w:pos="821"/>
        </w:tabs>
        <w:ind w:left="360" w:right="112"/>
        <w:jc w:val="both"/>
        <w:rPr>
          <w:sz w:val="20"/>
        </w:rPr>
      </w:pPr>
    </w:p>
    <w:p w:rsidR="00DC3605" w:rsidRDefault="00DC3605" w:rsidP="00DC3605">
      <w:pPr>
        <w:suppressAutoHyphens/>
        <w:spacing w:after="60"/>
        <w:ind w:left="6384" w:firstLine="96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C3605" w:rsidRDefault="00DC3605" w:rsidP="00DC3605">
      <w:pPr>
        <w:suppressAutoHyphens/>
        <w:spacing w:after="60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:rsidR="00DC3605" w:rsidRDefault="00DC3605" w:rsidP="00DC3605">
      <w:pPr>
        <w:suppressAutoHyphens/>
        <w:spacing w:after="60"/>
        <w:ind w:firstLine="5103"/>
        <w:jc w:val="center"/>
        <w:rPr>
          <w:rFonts w:ascii="Arial Narrow" w:eastAsiaTheme="minorHAnsi" w:hAnsi="Arial Narrow" w:cstheme="minorBidi"/>
        </w:rPr>
      </w:pPr>
      <w:r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DC3605" w:rsidRPr="00D05663" w:rsidRDefault="00DC3605" w:rsidP="00201175">
      <w:pPr>
        <w:tabs>
          <w:tab w:val="left" w:pos="821"/>
        </w:tabs>
        <w:ind w:left="360" w:right="112"/>
        <w:jc w:val="both"/>
        <w:rPr>
          <w:sz w:val="20"/>
        </w:rPr>
      </w:pPr>
    </w:p>
    <w:sectPr w:rsidR="00DC3605" w:rsidRPr="00D05663">
      <w:pgSz w:w="12240" w:h="15840"/>
      <w:pgMar w:top="140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ra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74B5"/>
    <w:multiLevelType w:val="hybridMultilevel"/>
    <w:tmpl w:val="344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2BA"/>
    <w:multiLevelType w:val="hybridMultilevel"/>
    <w:tmpl w:val="C7F6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4688"/>
    <w:multiLevelType w:val="hybridMultilevel"/>
    <w:tmpl w:val="F86C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C49E"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261B8"/>
    <w:multiLevelType w:val="hybridMultilevel"/>
    <w:tmpl w:val="36163D58"/>
    <w:lvl w:ilvl="0" w:tplc="CF3E0D3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2EC4793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32B00468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4B9AB268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D12056BE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5" w:tplc="4CEA0DCA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75A0ED7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C708FAF2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  <w:lvl w:ilvl="8" w:tplc="B2F037F4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F9D1167"/>
    <w:multiLevelType w:val="hybridMultilevel"/>
    <w:tmpl w:val="A642A924"/>
    <w:lvl w:ilvl="0" w:tplc="569637DC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2661F18">
      <w:numFmt w:val="bullet"/>
      <w:lvlText w:val="-"/>
      <w:lvlJc w:val="left"/>
      <w:pPr>
        <w:ind w:left="1541" w:hanging="360"/>
      </w:pPr>
      <w:rPr>
        <w:rFonts w:ascii="Sarai" w:eastAsia="Sarai" w:hAnsi="Sarai" w:cs="Sarai" w:hint="default"/>
        <w:w w:val="100"/>
        <w:sz w:val="20"/>
        <w:szCs w:val="20"/>
        <w:lang w:val="pl-PL" w:eastAsia="en-US" w:bidi="ar-SA"/>
      </w:rPr>
    </w:lvl>
    <w:lvl w:ilvl="2" w:tplc="6650A6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9521BE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48A43778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3D8CA9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60ABDB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9B1054E2">
      <w:numFmt w:val="bullet"/>
      <w:lvlText w:val="•"/>
      <w:lvlJc w:val="left"/>
      <w:pPr>
        <w:ind w:left="7380" w:hanging="360"/>
      </w:pPr>
      <w:rPr>
        <w:rFonts w:hint="default"/>
        <w:lang w:val="pl-PL" w:eastAsia="en-US" w:bidi="ar-SA"/>
      </w:rPr>
    </w:lvl>
    <w:lvl w:ilvl="8" w:tplc="F692D24E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WxtDQwN7Y0MTFU0lEKTi0uzszPAykwqQUASXryZSwAAAA="/>
  </w:docVars>
  <w:rsids>
    <w:rsidRoot w:val="00965D74"/>
    <w:rsid w:val="000171B2"/>
    <w:rsid w:val="000F35F7"/>
    <w:rsid w:val="00201175"/>
    <w:rsid w:val="002730B3"/>
    <w:rsid w:val="00377F0C"/>
    <w:rsid w:val="004461CC"/>
    <w:rsid w:val="00451BF0"/>
    <w:rsid w:val="006B4BE8"/>
    <w:rsid w:val="0090122E"/>
    <w:rsid w:val="00917501"/>
    <w:rsid w:val="00965D74"/>
    <w:rsid w:val="009E7B38"/>
    <w:rsid w:val="00B468B6"/>
    <w:rsid w:val="00B52352"/>
    <w:rsid w:val="00D05663"/>
    <w:rsid w:val="00DC3605"/>
    <w:rsid w:val="00F7347A"/>
    <w:rsid w:val="00F85896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1382"/>
  <w15:docId w15:val="{552B2D14-84F3-49C2-95BE-360E03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693" w:right="170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0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2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0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75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2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cpu_lis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7436-98E1-4B16-9435-3EE88134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Tyminski, Karol {DEEP~Warsaw Dia}</dc:creator>
  <cp:lastModifiedBy>Wojciech Cyż</cp:lastModifiedBy>
  <cp:revision>14</cp:revision>
  <cp:lastPrinted>2021-07-12T11:56:00Z</cp:lastPrinted>
  <dcterms:created xsi:type="dcterms:W3CDTF">2021-04-26T10:11:00Z</dcterms:created>
  <dcterms:modified xsi:type="dcterms:W3CDTF">2021-07-19T08:25:00Z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