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>USŁUG</w:t>
      </w:r>
    </w:p>
    <w:p>
      <w:pPr>
        <w:pStyle w:val="Normal"/>
        <w:spacing w:lineRule="atLeast" w:line="200" w:before="240" w:after="0"/>
        <w:ind w:end="-92"/>
        <w:rPr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b/>
        </w:rPr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276"/>
        <w:rPr/>
      </w:pPr>
      <w:r>
        <w:rPr>
          <w:rFonts w:cs="Times New Roman" w:ascii="Times New Roman" w:hAnsi="Times New Roman"/>
        </w:rPr>
        <w:br/>
      </w:r>
      <w:r>
        <w:rPr/>
        <w:t>_________________________________________________________________________________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oświadczamy, że spełniamy warunki dotyczące zdolności technicznej i zawodowej określone przez Zamawiającego w SWZ, tj. wykonaliśmy następujące </w:t>
      </w:r>
      <w:r>
        <w:rPr>
          <w:sz w:val="22"/>
          <w:szCs w:val="22"/>
        </w:rPr>
        <w:t>usługi</w:t>
      </w:r>
      <w:r>
        <w:rPr>
          <w:sz w:val="22"/>
          <w:szCs w:val="22"/>
        </w:rPr>
        <w:t xml:space="preserve"> porównywalne z dostawą stanowiącymi przedmiot zamówienia. </w:t>
      </w:r>
    </w:p>
    <w:p>
      <w:pPr>
        <w:pStyle w:val="BodyTex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588" w:type="dxa"/>
        <w:jc w:val="start"/>
        <w:tblInd w:w="-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736"/>
        <w:gridCol w:w="1754"/>
        <w:gridCol w:w="1532"/>
        <w:gridCol w:w="1364"/>
        <w:gridCol w:w="1565"/>
        <w:gridCol w:w="1274"/>
        <w:gridCol w:w="1362"/>
      </w:tblGrid>
      <w:tr>
        <w:trPr>
          <w:trHeight w:val="344" w:hRule="atLeast"/>
        </w:trPr>
        <w:tc>
          <w:tcPr>
            <w:tcW w:w="73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5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 xml:space="preserve">Podmiot, na rzecz którego wykonano </w:t>
            </w:r>
            <w:r>
              <w:rPr>
                <w:b/>
              </w:rPr>
              <w:t>usługi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>
            <w:pPr>
              <w:pStyle w:val="Normal"/>
              <w:widowControl w:val="false"/>
              <w:jc w:val="center"/>
              <w:rPr>
                <w:b/>
                <w:i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36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Czas realizacji</w:t>
            </w:r>
          </w:p>
        </w:tc>
      </w:tr>
      <w:tr>
        <w:trPr/>
        <w:tc>
          <w:tcPr>
            <w:tcW w:w="73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Verdana"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zakończenie (data)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3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5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7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7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5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 xml:space="preserve">Wykonawca jest zobowiązany dostarczyć dokument potwierdzający, że </w:t>
      </w:r>
      <w:r>
        <w:rPr>
          <w:color w:val="000000"/>
          <w:sz w:val="22"/>
        </w:rPr>
        <w:t>usługi</w:t>
      </w:r>
      <w:r>
        <w:rPr>
          <w:color w:val="000000"/>
          <w:sz w:val="22"/>
        </w:rPr>
        <w:t xml:space="preserve"> wymienione 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dostawy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jc w:val="both"/>
        <w:rPr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 xml:space="preserve">Przez przedmiot zamówienia Zamawiający rozumie określenie, czego dotyczyło dane zamówienie </w:t>
      </w:r>
      <w:r>
        <w:rPr>
          <w:b/>
          <w:bCs/>
          <w:color w:val="000000"/>
        </w:rPr>
        <w:t>(stosownie do wymagań wymienionych w SWZ</w:t>
      </w:r>
      <w:r>
        <w:rPr>
          <w:color w:val="000000"/>
        </w:rPr>
        <w:t>).</w:t>
      </w:r>
    </w:p>
    <w:p>
      <w:pPr>
        <w:pStyle w:val="BodyText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Symbol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Wingdings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end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3510" cy="16573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7620" tIns="7620" rIns="7620" bIns="76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.3pt;height:13.05pt;mso-wrap-distance-left:0pt;mso-wrap-distance-right:0pt;mso-wrap-distance-top:0pt;mso-wrap-distance-bottom:0pt;margin-top:0.05pt;mso-position-vertical-relative:text;margin-left:518.95pt;mso-position-horizontal-relative:page">
              <v:textbox inset="0.00833333333333333in,0.00833333333333333in,0.00833333333333333in,0.00833333333333333in"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end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jc w:val="end"/>
      <w:rPr>
        <w:sz w:val="24"/>
        <w:szCs w:val="24"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 xml:space="preserve">Załącznik nr </w:t>
    </w: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6</w:t>
    </w: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 xml:space="preserve"> do SWZ</w:t>
    </w:r>
  </w:p>
  <w:p>
    <w:pPr>
      <w:pStyle w:val="Header"/>
      <w:spacing w:before="170" w:after="170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20</w:t>
    </w:r>
    <w:r>
      <w:rPr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2024/2025</w:t>
    </w:r>
  </w:p>
  <w:p>
    <w:pPr>
      <w:pStyle w:val="NormalWeb"/>
      <w:suppressAutoHyphens w:val="true"/>
      <w:spacing w:before="280" w:after="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bidi="ar-SA" w:val="pl-PL" w:eastAsia="zh-CN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bidi="ar-SA" w:val="pl-PL" w:eastAsia="zh-C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start="357"/>
      <w:jc w:val="both"/>
    </w:pPr>
    <w:rPr>
      <w:rFonts w:ascii="Calibri" w:hAnsi="Calibri" w:eastAsia="Calibri" w:cs="Calibri"/>
      <w:color w:val="auto"/>
      <w:kern w:val="0"/>
      <w:sz w:val="22"/>
      <w:szCs w:val="22"/>
      <w:lang w:bidi="ar-SA" w:val="pl-PL" w:eastAsia="zh-CN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LibreOffice/7.6.2.1$Windows_X86_64 LibreOffice_project/56f7684011345957bbf33a7ee678afaf4d2ba333</Application>
  <AppVersion>15.0000</AppVersion>
  <Pages>1</Pages>
  <Words>169</Words>
  <Characters>1454</Characters>
  <CharactersWithSpaces>1596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2024-10-30T08:22:15Z</dcterms:modified>
  <cp:revision>24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