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B9B" w:rsidRDefault="00CE16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ZAKRES PRAC KONSERWACYJNYCH </w:t>
      </w:r>
    </w:p>
    <w:p w:rsidR="00330B9B" w:rsidRDefault="00CE166F">
      <w:pPr>
        <w:spacing w:after="0" w:line="240" w:lineRule="auto"/>
        <w:jc w:val="center"/>
      </w:pPr>
      <w:r>
        <w:rPr>
          <w:rFonts w:ascii="Times New Roman" w:hAnsi="Times New Roman" w:cs="Arial"/>
          <w:b/>
          <w:sz w:val="24"/>
          <w:szCs w:val="24"/>
        </w:rPr>
        <w:t>Konserwacja kotłów grzewczych , węzłów cieplnych ,kotłów pary, zmiękczaczy wody, systemów detekcji gazu ziemnego i urządzeń pomiarowych zainstalowanych w kompleksach wojskowych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zgłaszanie na bieżąco do Kierownika SOI awarii </w:t>
      </w:r>
      <w:r>
        <w:rPr>
          <w:rFonts w:ascii="Times New Roman" w:hAnsi="Times New Roman" w:cs="Arial"/>
          <w:sz w:val="24"/>
          <w:szCs w:val="24"/>
        </w:rPr>
        <w:t>związanych z pracą  urządzeń zamontowanych w kotłowni  lub węzłach cieplnych i sporządzenie protokołu awarii  z jej opisem oraz wnioskiem ,wyceną i metodą usunięcia awarii.</w:t>
      </w:r>
    </w:p>
    <w:p w:rsidR="00330B9B" w:rsidRDefault="00D679A9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Czas </w:t>
      </w:r>
      <w:r w:rsidR="00CE166F">
        <w:rPr>
          <w:rFonts w:ascii="Times New Roman" w:hAnsi="Times New Roman" w:cs="Arial"/>
          <w:sz w:val="24"/>
          <w:szCs w:val="24"/>
        </w:rPr>
        <w:t>przybyci</w:t>
      </w:r>
      <w:r>
        <w:rPr>
          <w:rFonts w:ascii="Times New Roman" w:hAnsi="Times New Roman" w:cs="Arial"/>
          <w:sz w:val="24"/>
          <w:szCs w:val="24"/>
        </w:rPr>
        <w:t>a</w:t>
      </w:r>
      <w:r w:rsidR="00CE166F">
        <w:rPr>
          <w:rFonts w:ascii="Times New Roman" w:hAnsi="Times New Roman" w:cs="Arial"/>
          <w:sz w:val="24"/>
          <w:szCs w:val="24"/>
        </w:rPr>
        <w:t xml:space="preserve"> do  zgłoszonej przez Kierownika SOI </w:t>
      </w:r>
      <w:r>
        <w:rPr>
          <w:rFonts w:ascii="Times New Roman" w:hAnsi="Times New Roman" w:cs="Arial"/>
          <w:sz w:val="24"/>
          <w:szCs w:val="24"/>
        </w:rPr>
        <w:t xml:space="preserve">awarii i naprawy został określony w umowie, 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sporządzenie „protokołu wykonania usługi konserwacyjnej” wraz z opisem wykonywanych czynności </w:t>
      </w:r>
      <w:r>
        <w:rPr>
          <w:rFonts w:ascii="Times New Roman" w:hAnsi="Times New Roman" w:cs="Arial"/>
          <w:b/>
          <w:sz w:val="24"/>
          <w:szCs w:val="24"/>
        </w:rPr>
        <w:t>w obecności przedstawiciela SOI</w:t>
      </w:r>
      <w:r>
        <w:rPr>
          <w:rFonts w:ascii="Times New Roman" w:hAnsi="Times New Roman" w:cs="Arial"/>
          <w:sz w:val="24"/>
          <w:szCs w:val="24"/>
        </w:rPr>
        <w:t xml:space="preserve"> 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prowadzenie zeszytu-książki serwisowej   z pracy kotłowni i węzłów ciepl</w:t>
      </w:r>
      <w:r>
        <w:rPr>
          <w:rFonts w:ascii="Times New Roman" w:hAnsi="Times New Roman" w:cs="Arial"/>
          <w:sz w:val="24"/>
          <w:szCs w:val="24"/>
        </w:rPr>
        <w:t>nych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kontrola cech legalizacji układów pomiarowych (ciepłomierze), w przypadku utraty ważności dokonać jego legalizacji  oraz odnotować w/w faktu w „protokole wykonania usługi  konserwacyjnej” (zgodnie z Rozporządzeniem Ministra Rozwoju i Finansów z dnia 1</w:t>
      </w:r>
      <w:r>
        <w:rPr>
          <w:rFonts w:ascii="Times New Roman" w:hAnsi="Times New Roman" w:cs="Arial"/>
          <w:sz w:val="24"/>
          <w:szCs w:val="24"/>
        </w:rPr>
        <w:t>3.04.2017r. w sprawie rodzaju przyrządów pomiarowych podlegających prawnej kontroli metrologicznej oraz zakresu tej kontroli DZ.U. 2017 poz.885)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opis  i ocena stanu technicznego przed rozpoczęcie sezonu i po jego zakończeniu   lub rozpoczęciu umowy i jej z</w:t>
      </w:r>
      <w:r>
        <w:rPr>
          <w:rFonts w:ascii="Times New Roman" w:hAnsi="Times New Roman" w:cs="Arial"/>
          <w:sz w:val="24"/>
          <w:szCs w:val="24"/>
        </w:rPr>
        <w:t>akończeniu oraz jednorazowo na wezwanie zamawiającego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wykonanie przeglądów elektrycznych instalacji i urządzeń (m. in. silników) zgodnie z Ustawą Prawo Budowlane /protokół z pomiarów i badań z wydaniem odpowiednich protokołów/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wykonanie przeglądu instalacj</w:t>
      </w:r>
      <w:r>
        <w:rPr>
          <w:rFonts w:ascii="Times New Roman" w:hAnsi="Times New Roman" w:cs="Arial"/>
          <w:sz w:val="24"/>
          <w:szCs w:val="24"/>
        </w:rPr>
        <w:t>i i urządzeń gazowych oraz systemów detekcji gazu  w budynku kotłowni raz w roku zakończonego protokołem zgodnie z przepisami Prawa Budowlanego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legalizacja liczników energii cieplnej lub wymiana w przypadku konieczności(materiał wykonawcy)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dokonanie odczyt</w:t>
      </w:r>
      <w:r>
        <w:rPr>
          <w:rFonts w:ascii="Times New Roman" w:hAnsi="Times New Roman" w:cs="Arial"/>
          <w:sz w:val="24"/>
          <w:szCs w:val="24"/>
        </w:rPr>
        <w:t>ów liczników energii cieplnej, wody podczas każdego przeglądu</w:t>
      </w:r>
    </w:p>
    <w:p w:rsidR="00330B9B" w:rsidRDefault="00CE166F">
      <w:pPr>
        <w:numPr>
          <w:ilvl w:val="0"/>
          <w:numId w:val="4"/>
        </w:num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działania zaworów odcinających , manometrów ,termometrów i zaworów bezpieczeństwa ( poprzez jego uruchomienie) zabezpieczających kocił i instalacje,</w:t>
      </w:r>
    </w:p>
    <w:p w:rsidR="00330B9B" w:rsidRDefault="00CE166F">
      <w:pPr>
        <w:pStyle w:val="Akapitzlist"/>
        <w:numPr>
          <w:ilvl w:val="0"/>
          <w:numId w:val="4"/>
        </w:numPr>
        <w:spacing w:after="0" w:line="240" w:lineRule="auto"/>
        <w:ind w:left="567" w:hanging="35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pomp/uruchomienie pom</w:t>
      </w:r>
      <w:r>
        <w:rPr>
          <w:rFonts w:ascii="Times New Roman" w:hAnsi="Times New Roman" w:cs="Arial"/>
          <w:sz w:val="24"/>
          <w:szCs w:val="24"/>
        </w:rPr>
        <w:t>p nie pracujących (rezerwowych)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567" w:hanging="35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i oczyszczenie jednorazowo po zakończaniu sezonu grzewczego filtroodmulaczy i filtrów siatkowych w kotłowni i węzłach cieplnych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567" w:hanging="35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 kontrola zasobników podgrzewaczy i wymienników c.w.u.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567" w:hanging="35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usuwanie wycieków na instalac</w:t>
      </w:r>
      <w:r>
        <w:rPr>
          <w:rFonts w:ascii="Times New Roman" w:hAnsi="Times New Roman" w:cs="Arial"/>
          <w:sz w:val="24"/>
          <w:szCs w:val="24"/>
        </w:rPr>
        <w:t>ji c.o. i c.w.u. w miejscu kotłowni lub węzła cieplnego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567" w:hanging="35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Kontrola, korygowanie i ustawianie parametrów pracy kotłów, węzłów cieplnych (automatyki sterującej) </w:t>
      </w:r>
    </w:p>
    <w:p w:rsidR="00330B9B" w:rsidRDefault="00CE166F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rPr>
          <w:rFonts w:ascii="Times New Roman" w:hAnsi="Times New Roman" w:cs="Arial"/>
          <w:b/>
          <w:sz w:val="24"/>
          <w:szCs w:val="24"/>
        </w:rPr>
        <w:t>Zakres prac konserwacyjnych 1 raz w miesiącu dla urządzeń kotłowni gazowych i olejowych:</w:t>
      </w:r>
    </w:p>
    <w:p w:rsidR="00330B9B" w:rsidRDefault="00CE166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- </w:t>
      </w:r>
      <w:r>
        <w:rPr>
          <w:rFonts w:ascii="Times New Roman" w:hAnsi="Times New Roman" w:cs="Arial"/>
          <w:sz w:val="24"/>
          <w:szCs w:val="24"/>
        </w:rPr>
        <w:t>kotłownie  i węzły cieplne całoroczne - 12 miesięcy w roku</w:t>
      </w:r>
    </w:p>
    <w:p w:rsidR="00330B9B" w:rsidRDefault="00CE166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kotłownie i węzły  cieplne sezonowe - 7 miesięcy w roku (z wyłączeniem miesięcy 06,</w:t>
      </w:r>
      <w:r>
        <w:rPr>
          <w:rFonts w:ascii="Times New Roman" w:hAnsi="Times New Roman" w:cs="Arial"/>
          <w:sz w:val="24"/>
          <w:szCs w:val="24"/>
        </w:rPr>
        <w:br/>
        <w:t xml:space="preserve">   07, 08, 09, 10)</w:t>
      </w:r>
    </w:p>
    <w:p w:rsidR="00330B9B" w:rsidRDefault="00CE166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Zakres prac dla kotłowni gazowej: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i inspekcja kotła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instalacji elektryc</w:t>
      </w:r>
      <w:r>
        <w:rPr>
          <w:rFonts w:ascii="Times New Roman" w:hAnsi="Times New Roman" w:cs="Arial"/>
          <w:sz w:val="24"/>
          <w:szCs w:val="24"/>
        </w:rPr>
        <w:t>znej i sterowniczej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ścieżki gazowej oraz automatów palnikowych wraz z czyszczeniem wykonanie regulacji palnika kotła gazowego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funkcjonalny automatyki sterowniczej, siłowników i pomp c.o. i c.w.u.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sprawności urządzeń alarmow</w:t>
      </w:r>
      <w:r>
        <w:rPr>
          <w:rFonts w:ascii="Times New Roman" w:hAnsi="Times New Roman" w:cs="Arial"/>
          <w:sz w:val="24"/>
          <w:szCs w:val="24"/>
        </w:rPr>
        <w:t>ych – próby świetlne i akustyczne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>czyszczenie palnika: elektrody jonizacyjnej, elektrod, fotokomórki, płytki spiętrzającej wentylatora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czyszczenie filtrów paliwa i wymiany w razie potrzeby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kontrola automatyki pogodowej, korekty nastaw aparatury sterownicze</w:t>
      </w:r>
      <w:r>
        <w:rPr>
          <w:rFonts w:ascii="Times New Roman" w:hAnsi="Times New Roman" w:cs="Arial"/>
          <w:sz w:val="24"/>
          <w:szCs w:val="24"/>
        </w:rPr>
        <w:t>j na bieżąco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analiza spalin kotła gazowego i olejowego- wydruk z analizatora dołączyć do  „protokołu odbioru usług serwisowo-konserwacyjnych”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konserwacja bieżąca kotła zgodnie z DTR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i uzupełnienie ciśnienia powietrza w naczyniach przeponowych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</w:t>
      </w:r>
      <w:r>
        <w:rPr>
          <w:rFonts w:ascii="Times New Roman" w:hAnsi="Times New Roman" w:cs="Arial"/>
          <w:sz w:val="24"/>
          <w:szCs w:val="24"/>
        </w:rPr>
        <w:t>ontrola  pracy urządzenia zmiękczającego wodę kotłową – sprawdzenie prawidłowości nastaw pracy głowicy oraz uzupełnienie solanki (tabletek soli) wykonanie analizy twardości wody (materiał wykonawcy) z odnotowaniem w książce kontroli stacji zmiękczania wody</w:t>
      </w:r>
      <w:r>
        <w:rPr>
          <w:rFonts w:ascii="Times New Roman" w:hAnsi="Times New Roman" w:cs="Arial"/>
          <w:sz w:val="24"/>
          <w:szCs w:val="24"/>
        </w:rPr>
        <w:t xml:space="preserve">           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kontrola ciągu nawiewu i wywiewu wentylacji kotłowni z lokalizacją nieszczelności (w razie potrzeby wymiana uszczelek)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uzupełnienie wody w zładzie do poziomu określonego według instrukcji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sygnalizacji stanów pracy kotła z wymianą lampe</w:t>
      </w:r>
      <w:r>
        <w:rPr>
          <w:rFonts w:ascii="Times New Roman" w:hAnsi="Times New Roman" w:cs="Arial"/>
          <w:sz w:val="24"/>
          <w:szCs w:val="24"/>
        </w:rPr>
        <w:t>k sygnalizacyjnych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przegląd, wymiana wyeksploatowanych lub noszących znamiona wyeksploatowania się podzespołów pieca: cewek, styczników, łożysk w silnikach ,czujników temperatury urządzeń regulacyjnych, czujek jonizacyjnych, optycznych i innych, elektrod.</w:t>
      </w:r>
    </w:p>
    <w:p w:rsidR="00330B9B" w:rsidRDefault="00CE166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uczestnictwo w przeglądach, kontrolach prowadzonych przez organy zewnętrzne oraz WDT urządzeń i instalacji objętych konserwacją(zamawiający 7 dni przed kontrolą zawiadomi Wykonawcę )</w:t>
      </w:r>
    </w:p>
    <w:p w:rsidR="00330B9B" w:rsidRDefault="00CE166F">
      <w:pPr>
        <w:pStyle w:val="Akapitzlist"/>
        <w:numPr>
          <w:ilvl w:val="0"/>
          <w:numId w:val="6"/>
        </w:numPr>
        <w:spacing w:after="0" w:line="240" w:lineRule="auto"/>
        <w:ind w:left="426" w:hanging="426"/>
      </w:pPr>
      <w:r>
        <w:rPr>
          <w:rFonts w:ascii="Times New Roman" w:hAnsi="Times New Roman" w:cs="Arial"/>
          <w:b/>
          <w:sz w:val="24"/>
          <w:szCs w:val="24"/>
        </w:rPr>
        <w:t xml:space="preserve">Zakres prac konserwacyjnych 1 raz w miesiącu dla urządzeń kotłowni </w:t>
      </w:r>
      <w:r>
        <w:rPr>
          <w:rFonts w:ascii="Times New Roman" w:hAnsi="Times New Roman" w:cs="Arial"/>
          <w:b/>
          <w:sz w:val="24"/>
          <w:szCs w:val="24"/>
        </w:rPr>
        <w:t>elektrycznych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i inspekcja kotła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instalacji elektrycznej i sterowniczej oraz wyłącznika różnico prądowego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kontroli przepływu wody, manometrów, zaworów odcinających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 filtrów siatkowych i wymianę wg potrzeb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kontrola zaworów bezpieczeństwa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i uzupełnienie ciśnienia powietrza w naczyniach przeponowych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uzupełnienie wody w zładzie do poziomu określonego według instrukcji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usuwanie wycieków na instalacji c.o. i c.w.u. w miejscu kotłowni lub węzła cieplne</w:t>
      </w:r>
      <w:r>
        <w:rPr>
          <w:rFonts w:ascii="Times New Roman" w:hAnsi="Times New Roman" w:cs="Arial"/>
          <w:sz w:val="24"/>
          <w:szCs w:val="24"/>
        </w:rPr>
        <w:t>go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odnotowanie wyników prac  konserwacyjnych w książce pracy kotłowni ( w przypadku braku książkę zakłada i dostarcza Wykonawca) 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sygnalizacji stanów pracy kotła z wymianą lampek sygnalizacyjnych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przegląd, wymiana wyeksploatowanych lub noszących z</w:t>
      </w:r>
      <w:r>
        <w:rPr>
          <w:rFonts w:ascii="Times New Roman" w:hAnsi="Times New Roman" w:cs="Arial"/>
          <w:sz w:val="24"/>
          <w:szCs w:val="24"/>
        </w:rPr>
        <w:t xml:space="preserve">namiona wyeksploatowania się podzespołów: cewek, styczników, czujnika temperatury wody w zasobniku, termostatu zasobnika C.W.U., </w:t>
      </w:r>
    </w:p>
    <w:p w:rsidR="00330B9B" w:rsidRDefault="00CE166F">
      <w:pPr>
        <w:pStyle w:val="Akapitzlist"/>
        <w:numPr>
          <w:ilvl w:val="0"/>
          <w:numId w:val="5"/>
        </w:numPr>
        <w:tabs>
          <w:tab w:val="left" w:pos="851"/>
        </w:tabs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usuwanie wycieków na instalacji c.o. i c.w.u. w miejscu kotłowni</w:t>
      </w:r>
    </w:p>
    <w:p w:rsidR="00330B9B" w:rsidRDefault="00CE166F">
      <w:pPr>
        <w:pStyle w:val="Akapitzlist"/>
        <w:numPr>
          <w:ilvl w:val="0"/>
          <w:numId w:val="6"/>
        </w:numPr>
        <w:spacing w:after="0" w:line="240" w:lineRule="auto"/>
        <w:ind w:left="426" w:hanging="426"/>
      </w:pPr>
      <w:r>
        <w:rPr>
          <w:rFonts w:ascii="Times New Roman" w:hAnsi="Times New Roman" w:cs="Arial"/>
          <w:b/>
          <w:sz w:val="24"/>
          <w:szCs w:val="24"/>
        </w:rPr>
        <w:t xml:space="preserve">Zakres prac konserwacyjnych 1 x w ciągu roku 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czyszczenie (od</w:t>
      </w:r>
      <w:r>
        <w:rPr>
          <w:rFonts w:ascii="Times New Roman" w:hAnsi="Times New Roman" w:cs="Arial"/>
          <w:sz w:val="24"/>
          <w:szCs w:val="24"/>
        </w:rPr>
        <w:t>muleni i płukanie) kotła 1x w sezonie po sezonie grzewczym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wymiana filtrów paliwa  1x po sezonie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wymiana wkładu sznurowego filtra wody fi 20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wykonanie przeglądów palników gazowych po sezonie grzewczym (ustawienie palników zgodnie z DTR, wykonanie regulacji</w:t>
      </w:r>
      <w:r>
        <w:rPr>
          <w:rFonts w:ascii="Times New Roman" w:hAnsi="Times New Roman" w:cs="Arial"/>
          <w:sz w:val="24"/>
          <w:szCs w:val="24"/>
        </w:rPr>
        <w:t>, wymiana dysz, wymiana łożysk)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sygnalizacji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>sprawdzić i ewentualnie wymienić uszczelki armatury kotła</w:t>
      </w:r>
    </w:p>
    <w:p w:rsidR="00330B9B" w:rsidRDefault="00CE166F">
      <w:pPr>
        <w:pStyle w:val="Akapitzlist"/>
        <w:numPr>
          <w:ilvl w:val="0"/>
          <w:numId w:val="2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czyszczenie kanałów wentylacji nawiewnej (mat. Wykonawcy)</w:t>
      </w:r>
    </w:p>
    <w:p w:rsidR="00330B9B" w:rsidRDefault="00CE166F">
      <w:pPr>
        <w:pStyle w:val="Akapitzlist"/>
        <w:numPr>
          <w:ilvl w:val="0"/>
          <w:numId w:val="6"/>
        </w:numPr>
        <w:spacing w:after="0" w:line="240" w:lineRule="auto"/>
        <w:ind w:left="426" w:hanging="426"/>
      </w:pPr>
      <w:r>
        <w:rPr>
          <w:rFonts w:ascii="Times New Roman" w:hAnsi="Times New Roman" w:cs="Arial"/>
          <w:b/>
          <w:sz w:val="24"/>
          <w:szCs w:val="24"/>
        </w:rPr>
        <w:t>Zakres prac konserwacyjnych dla węzłów c.o. i c.w.u.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przegląd funkcjonowania automatyk</w:t>
      </w:r>
      <w:r>
        <w:rPr>
          <w:rFonts w:ascii="Times New Roman" w:hAnsi="Times New Roman" w:cs="Arial"/>
          <w:sz w:val="24"/>
          <w:szCs w:val="24"/>
        </w:rPr>
        <w:t>i sterowniczej i pomiarowej, siłowników ,pomp wymiana czujników temperatury zgodnie z potrzebą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działania zaworów odcinających, manometrów ,termometrów, zaworów bezpieczeństwa oraz dokonanie konserwacji przez oczyszczenie, smarowanie uszczelnień</w:t>
      </w:r>
      <w:r>
        <w:rPr>
          <w:rFonts w:ascii="Times New Roman" w:hAnsi="Times New Roman" w:cs="Arial"/>
          <w:sz w:val="24"/>
          <w:szCs w:val="24"/>
        </w:rPr>
        <w:t xml:space="preserve"> lub ich wymianę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i uzupełnienie powietrza w naczyniu przeponowym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sprawdzenie filtroodmulacza ,filtrów siatkowych oraz ich czyszczenie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kontrola zasobnika, podgrzewacza, mieszaczy i wymienników c.w.u. i c.o.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sprawdzenie i konserwacja pomp c.o. i </w:t>
      </w:r>
      <w:r>
        <w:rPr>
          <w:rFonts w:ascii="Times New Roman" w:hAnsi="Times New Roman" w:cs="Arial"/>
          <w:sz w:val="24"/>
          <w:szCs w:val="24"/>
        </w:rPr>
        <w:t>c.w.u. pracujących oraz rezerwowych oraz dokonanie konserwacji przez oczyszczenie, smarowanie uszczelnień</w:t>
      </w:r>
    </w:p>
    <w:p w:rsidR="00330B9B" w:rsidRDefault="00CE166F">
      <w:pPr>
        <w:pStyle w:val="Akapitzlist"/>
        <w:numPr>
          <w:ilvl w:val="0"/>
          <w:numId w:val="3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kontrola automatyki pogodowej wraz z korektą nastaw armatury sterowniczej na bieżąco, wymiana czujników temperatury zgodnie z potrzebami</w:t>
      </w:r>
    </w:p>
    <w:p w:rsidR="00330B9B" w:rsidRPr="00D679A9" w:rsidRDefault="00CE166F" w:rsidP="00D679A9">
      <w:pPr>
        <w:pStyle w:val="Akapitzlist"/>
        <w:numPr>
          <w:ilvl w:val="0"/>
          <w:numId w:val="3"/>
        </w:numPr>
        <w:spacing w:after="0" w:line="240" w:lineRule="auto"/>
        <w:ind w:left="851" w:hanging="284"/>
      </w:pPr>
      <w:r>
        <w:rPr>
          <w:rFonts w:ascii="Times New Roman" w:hAnsi="Times New Roman" w:cs="Arial"/>
          <w:sz w:val="24"/>
          <w:szCs w:val="24"/>
        </w:rPr>
        <w:t xml:space="preserve">uzupełnienie </w:t>
      </w:r>
      <w:r>
        <w:rPr>
          <w:rFonts w:ascii="Times New Roman" w:hAnsi="Times New Roman" w:cs="Arial"/>
          <w:sz w:val="24"/>
          <w:szCs w:val="24"/>
        </w:rPr>
        <w:t>wody w zładzie do poziomu określonego w instrukcji węzła</w:t>
      </w:r>
      <w:bookmarkStart w:id="0" w:name="_GoBack"/>
      <w:bookmarkEnd w:id="0"/>
    </w:p>
    <w:p w:rsidR="00330B9B" w:rsidRDefault="00CE166F">
      <w:pPr>
        <w:spacing w:after="0" w:line="240" w:lineRule="auto"/>
        <w:jc w:val="both"/>
      </w:pPr>
      <w:r>
        <w:rPr>
          <w:rFonts w:ascii="Times New Roman" w:hAnsi="Times New Roman" w:cs="Arial"/>
          <w:b/>
          <w:sz w:val="24"/>
          <w:szCs w:val="24"/>
          <w:u w:val="single"/>
        </w:rPr>
        <w:t>U</w:t>
      </w:r>
      <w:r>
        <w:rPr>
          <w:rFonts w:ascii="Times New Roman" w:hAnsi="Times New Roman" w:cs="Arial"/>
          <w:b/>
          <w:sz w:val="24"/>
          <w:szCs w:val="24"/>
          <w:u w:val="single"/>
        </w:rPr>
        <w:t>WAGA:</w:t>
      </w:r>
      <w:r>
        <w:rPr>
          <w:rFonts w:ascii="Times New Roman" w:hAnsi="Times New Roman" w:cs="Arial"/>
          <w:sz w:val="24"/>
          <w:szCs w:val="24"/>
          <w:u w:val="single"/>
        </w:rPr>
        <w:t xml:space="preserve"> materiały eksploatacyjne niezbędnie do wykonania czynności konserwacyjnych takie jak: krótkie przewody elektryczne, gumowe złączki, zaciski elektryczne, kleje, smary, sitka, paski, szczeliwo, dysze</w:t>
      </w:r>
      <w:r>
        <w:rPr>
          <w:rFonts w:ascii="Times New Roman" w:hAnsi="Times New Roman" w:cs="Arial"/>
          <w:sz w:val="24"/>
          <w:szCs w:val="24"/>
          <w:u w:val="single"/>
        </w:rPr>
        <w:t>, elektrody, solanka, sól tabletkowa, bezpieczniki, szkła do poziomowskazów, filtry, cewki, styczniki, diody, żarówki, podkładki, uszczelniacze, zawory termopary, łożyska ,czujnik temperatury, czujniki jonizacyjne, optyczne i inne, elektrodyzabezpiecza wyk</w:t>
      </w:r>
      <w:r>
        <w:rPr>
          <w:rFonts w:ascii="Times New Roman" w:hAnsi="Times New Roman" w:cs="Arial"/>
          <w:sz w:val="24"/>
          <w:szCs w:val="24"/>
          <w:u w:val="single"/>
        </w:rPr>
        <w:t>onawca. Koszt dokonania legalizacji urządzeń pomiarowych Wykonawca wliczy w koszty umowy.</w:t>
      </w:r>
    </w:p>
    <w:p w:rsidR="00330B9B" w:rsidRDefault="00CE166F">
      <w:pPr>
        <w:spacing w:after="0" w:line="240" w:lineRule="auto"/>
        <w:jc w:val="both"/>
      </w:pPr>
      <w:r>
        <w:rPr>
          <w:rFonts w:ascii="Times New Roman" w:hAnsi="Times New Roman" w:cs="Arial"/>
          <w:sz w:val="24"/>
          <w:szCs w:val="24"/>
          <w:u w:val="single"/>
        </w:rPr>
        <w:t xml:space="preserve"> </w:t>
      </w:r>
      <w:r>
        <w:rPr>
          <w:rFonts w:ascii="Times New Roman" w:hAnsi="Times New Roman" w:cs="Arial"/>
          <w:b/>
          <w:sz w:val="24"/>
          <w:szCs w:val="24"/>
          <w:u w:val="single"/>
        </w:rPr>
        <w:t xml:space="preserve">UWAGA : </w:t>
      </w:r>
      <w:r>
        <w:rPr>
          <w:rFonts w:ascii="Times New Roman" w:hAnsi="Times New Roman" w:cs="Arial"/>
          <w:sz w:val="24"/>
          <w:szCs w:val="24"/>
          <w:u w:val="single"/>
        </w:rPr>
        <w:t>Wykonawca z usługi konserwacyjnej sporządza protokół wg załączonego wzoru wypisując wszystkie wymienione czynności z przeprowadzonej konserwacji i o możliwoś</w:t>
      </w:r>
      <w:r>
        <w:rPr>
          <w:rFonts w:ascii="Times New Roman" w:hAnsi="Times New Roman" w:cs="Arial"/>
          <w:sz w:val="24"/>
          <w:szCs w:val="24"/>
          <w:u w:val="single"/>
        </w:rPr>
        <w:t>ci eksploatowania  urządzenia, zapisy zawarte w protokołach winny być odzwierciedlone w założonych przez Wykonawcę książkach konserwacji pracy kotłowi i węzłów cieplnych (oddzielna książka dla każdej kotłowi i węzła cieplnego),  książki powinny znajdować s</w:t>
      </w:r>
      <w:r>
        <w:rPr>
          <w:rFonts w:ascii="Times New Roman" w:hAnsi="Times New Roman" w:cs="Arial"/>
          <w:sz w:val="24"/>
          <w:szCs w:val="24"/>
          <w:u w:val="single"/>
        </w:rPr>
        <w:t>ię w pomieszczeniach węzłów i kotłowi.</w:t>
      </w:r>
    </w:p>
    <w:p w:rsidR="00330B9B" w:rsidRDefault="00330B9B">
      <w:pPr>
        <w:spacing w:after="0" w:line="240" w:lineRule="auto"/>
      </w:pPr>
    </w:p>
    <w:sectPr w:rsidR="00330B9B">
      <w:pgSz w:w="11906" w:h="16838"/>
      <w:pgMar w:top="1417" w:right="1417" w:bottom="1417" w:left="1417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66F" w:rsidRDefault="00CE166F" w:rsidP="00D679A9">
      <w:pPr>
        <w:spacing w:after="0" w:line="240" w:lineRule="auto"/>
      </w:pPr>
      <w:r>
        <w:separator/>
      </w:r>
    </w:p>
  </w:endnote>
  <w:endnote w:type="continuationSeparator" w:id="0">
    <w:p w:rsidR="00CE166F" w:rsidRDefault="00CE166F" w:rsidP="00D67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66F" w:rsidRDefault="00CE166F" w:rsidP="00D679A9">
      <w:pPr>
        <w:spacing w:after="0" w:line="240" w:lineRule="auto"/>
      </w:pPr>
      <w:r>
        <w:separator/>
      </w:r>
    </w:p>
  </w:footnote>
  <w:footnote w:type="continuationSeparator" w:id="0">
    <w:p w:rsidR="00CE166F" w:rsidRDefault="00CE166F" w:rsidP="00D67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C7F1F"/>
    <w:multiLevelType w:val="multilevel"/>
    <w:tmpl w:val="2A84634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20883115"/>
    <w:multiLevelType w:val="multilevel"/>
    <w:tmpl w:val="5612895A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BC17E3"/>
    <w:multiLevelType w:val="multilevel"/>
    <w:tmpl w:val="334C782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DE1BC9"/>
    <w:multiLevelType w:val="multilevel"/>
    <w:tmpl w:val="615EE88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2130CED"/>
    <w:multiLevelType w:val="multilevel"/>
    <w:tmpl w:val="0CF6A9BC"/>
    <w:lvl w:ilvl="0">
      <w:start w:val="1"/>
      <w:numFmt w:val="upperRoman"/>
      <w:lvlText w:val="%1."/>
      <w:lvlJc w:val="left"/>
      <w:pPr>
        <w:ind w:left="1080" w:hanging="72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765D7"/>
    <w:multiLevelType w:val="multilevel"/>
    <w:tmpl w:val="61C8C330"/>
    <w:lvl w:ilvl="0">
      <w:start w:val="1"/>
      <w:numFmt w:val="bullet"/>
      <w:lvlText w:val=""/>
      <w:lvlJc w:val="left"/>
      <w:pPr>
        <w:ind w:left="1833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93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69F7F89"/>
    <w:multiLevelType w:val="multilevel"/>
    <w:tmpl w:val="16F072AA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B6B0711"/>
    <w:multiLevelType w:val="multilevel"/>
    <w:tmpl w:val="7EF60F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B9B"/>
    <w:rsid w:val="00330B9B"/>
    <w:rsid w:val="00CE166F"/>
    <w:rsid w:val="00D6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1C71E"/>
  <w15:docId w15:val="{AB26E6D8-D6C8-4B59-BE99-425A1915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5785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ascii="Arial" w:hAnsi="Arial"/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7F0C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79F0"/>
    <w:rPr>
      <w:rFonts w:ascii="Segoe UI" w:hAnsi="Segoe UI" w:cs="Segoe UI"/>
      <w:sz w:val="18"/>
      <w:szCs w:val="18"/>
    </w:rPr>
  </w:style>
  <w:style w:type="character" w:customStyle="1" w:styleId="ListLabel34">
    <w:name w:val="ListLabel 34"/>
    <w:qFormat/>
    <w:rPr>
      <w:rFonts w:ascii="Arial" w:hAnsi="Arial" w:cs="Symbol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ascii="Arial" w:hAnsi="Arial" w:cs="Symbol"/>
      <w:sz w:val="24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="Arial" w:hAnsi="Arial" w:cs="Symbol"/>
      <w:sz w:val="24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Arial" w:hAnsi="Arial" w:cs="Symbol"/>
      <w:sz w:val="24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ascii="Arial" w:hAnsi="Arial" w:cs="Symbol"/>
      <w:sz w:val="24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ascii="Arial" w:hAnsi="Arial"/>
      <w:b/>
      <w:sz w:val="24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ascii="Arial" w:hAnsi="Arial" w:cs="Symbol"/>
      <w:sz w:val="24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ascii="Arial" w:hAnsi="Arial" w:cs="Symbol"/>
      <w:sz w:val="24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ascii="Arial" w:hAnsi="Arial" w:cs="Symbol"/>
      <w:sz w:val="24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ascii="Arial" w:hAnsi="Arial" w:cs="Symbol"/>
      <w:sz w:val="24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ascii="Arial" w:hAnsi="Arial" w:cs="Symbol"/>
      <w:sz w:val="24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ascii="Arial" w:hAnsi="Arial"/>
      <w:b/>
      <w:sz w:val="24"/>
    </w:rPr>
  </w:style>
  <w:style w:type="character" w:customStyle="1" w:styleId="ListLabel156">
    <w:name w:val="ListLabel 156"/>
    <w:qFormat/>
    <w:rPr>
      <w:rFonts w:ascii="Arial" w:hAnsi="Arial"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ascii="Arial" w:hAnsi="Arial" w:cs="Symbol"/>
      <w:sz w:val="24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ascii="Arial" w:hAnsi="Arial" w:cs="Symbol"/>
      <w:sz w:val="24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ascii="Arial" w:hAnsi="Arial" w:cs="Symbol"/>
      <w:sz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ascii="Arial" w:hAnsi="Arial" w:cs="Symbol"/>
      <w:sz w:val="24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ascii="Arial" w:hAnsi="Arial" w:cs="Symbol"/>
      <w:sz w:val="24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ascii="Arial" w:hAnsi="Arial"/>
      <w:b/>
      <w:sz w:val="24"/>
    </w:rPr>
  </w:style>
  <w:style w:type="character" w:customStyle="1" w:styleId="ListLabel211">
    <w:name w:val="ListLabel 211"/>
    <w:qFormat/>
    <w:rPr>
      <w:rFonts w:ascii="Times New Roman" w:hAnsi="Times New Roman" w:cs="Symbol"/>
      <w:sz w:val="24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ascii="Arial" w:hAnsi="Arial" w:cs="Symbol"/>
      <w:sz w:val="24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ascii="Arial" w:hAnsi="Arial" w:cs="Symbol"/>
      <w:sz w:val="24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ascii="Arial" w:hAnsi="Arial" w:cs="Symbol"/>
      <w:sz w:val="24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ascii="Arial" w:hAnsi="Arial" w:cs="Symbol"/>
      <w:sz w:val="24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ascii="Arial" w:hAnsi="Arial" w:cs="Symbol"/>
      <w:sz w:val="24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ascii="Arial" w:hAnsi="Arial"/>
      <w:b/>
      <w:sz w:val="24"/>
    </w:rPr>
  </w:style>
  <w:style w:type="character" w:customStyle="1" w:styleId="ListLabel266">
    <w:name w:val="ListLabel 266"/>
    <w:qFormat/>
    <w:rPr>
      <w:rFonts w:ascii="Times New Roman" w:hAnsi="Times New Roman" w:cs="Symbol"/>
      <w:sz w:val="24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ascii="Arial" w:hAnsi="Arial" w:cs="Symbol"/>
      <w:sz w:val="24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ascii="Arial" w:hAnsi="Arial" w:cs="Symbol"/>
      <w:sz w:val="24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rFonts w:cs="Symbol"/>
    </w:rPr>
  </w:style>
  <w:style w:type="character" w:customStyle="1" w:styleId="ListLabel288">
    <w:name w:val="ListLabel 288"/>
    <w:qFormat/>
    <w:rPr>
      <w:rFonts w:cs="Courier New"/>
    </w:rPr>
  </w:style>
  <w:style w:type="character" w:customStyle="1" w:styleId="ListLabel289">
    <w:name w:val="ListLabel 289"/>
    <w:qFormat/>
    <w:rPr>
      <w:rFonts w:cs="Wingdings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ascii="Arial" w:hAnsi="Arial" w:cs="Symbol"/>
      <w:sz w:val="24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Arial" w:hAnsi="Arial" w:cs="Symbol"/>
      <w:sz w:val="24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Arial" w:hAnsi="Arial" w:cs="Symbol"/>
      <w:sz w:val="24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Arial" w:hAnsi="Arial"/>
      <w:b/>
      <w:sz w:val="24"/>
    </w:rPr>
  </w:style>
  <w:style w:type="character" w:customStyle="1" w:styleId="ListLabel321">
    <w:name w:val="ListLabel 321"/>
    <w:qFormat/>
    <w:rPr>
      <w:rFonts w:ascii="Times New Roman" w:hAnsi="Times New Roman" w:cs="Symbol"/>
      <w:sz w:val="24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30">
    <w:name w:val="ListLabel 330"/>
    <w:qFormat/>
    <w:rPr>
      <w:rFonts w:ascii="Arial" w:hAnsi="Arial" w:cs="Symbol"/>
      <w:sz w:val="24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Courier New"/>
    </w:rPr>
  </w:style>
  <w:style w:type="character" w:customStyle="1" w:styleId="ListLabel335">
    <w:name w:val="ListLabel 335"/>
    <w:qFormat/>
    <w:rPr>
      <w:rFonts w:cs="Wingdings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ascii="Arial" w:hAnsi="Arial" w:cs="Symbol"/>
      <w:sz w:val="24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ascii="Arial" w:hAnsi="Arial" w:cs="Symbol"/>
      <w:b/>
      <w:sz w:val="24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cs="Wingdings"/>
    </w:rPr>
  </w:style>
  <w:style w:type="character" w:customStyle="1" w:styleId="ListLabel357">
    <w:name w:val="ListLabel 357"/>
    <w:qFormat/>
    <w:rPr>
      <w:rFonts w:ascii="Arial" w:hAnsi="Arial" w:cs="Symbol"/>
      <w:sz w:val="24"/>
    </w:rPr>
  </w:style>
  <w:style w:type="character" w:customStyle="1" w:styleId="ListLabel358">
    <w:name w:val="ListLabel 358"/>
    <w:qFormat/>
    <w:rPr>
      <w:rFonts w:cs="Courier New"/>
    </w:rPr>
  </w:style>
  <w:style w:type="character" w:customStyle="1" w:styleId="ListLabel359">
    <w:name w:val="ListLabel 359"/>
    <w:qFormat/>
    <w:rPr>
      <w:rFonts w:cs="Wingdings"/>
    </w:rPr>
  </w:style>
  <w:style w:type="character" w:customStyle="1" w:styleId="ListLabel360">
    <w:name w:val="ListLabel 360"/>
    <w:qFormat/>
    <w:rPr>
      <w:rFonts w:cs="Symbol"/>
    </w:rPr>
  </w:style>
  <w:style w:type="character" w:customStyle="1" w:styleId="ListLabel361">
    <w:name w:val="ListLabel 361"/>
    <w:qFormat/>
    <w:rPr>
      <w:rFonts w:cs="Courier New"/>
    </w:rPr>
  </w:style>
  <w:style w:type="character" w:customStyle="1" w:styleId="ListLabel362">
    <w:name w:val="ListLabel 362"/>
    <w:qFormat/>
    <w:rPr>
      <w:rFonts w:cs="Wingdings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ascii="Arial" w:hAnsi="Arial" w:cs="Symbol"/>
      <w:sz w:val="24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b/>
      <w:sz w:val="24"/>
    </w:rPr>
  </w:style>
  <w:style w:type="character" w:customStyle="1" w:styleId="ListLabel376">
    <w:name w:val="ListLabel 376"/>
    <w:qFormat/>
    <w:rPr>
      <w:rFonts w:cs="OpenSymbol"/>
      <w:b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1578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97F0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79F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726ACC-D9BF-4052-A6DB-14C7287F5F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Zianowicz</dc:creator>
  <dc:description/>
  <cp:lastModifiedBy>Kawiński Waldemar</cp:lastModifiedBy>
  <cp:revision>24</cp:revision>
  <cp:lastPrinted>2024-12-12T13:55:00Z</cp:lastPrinted>
  <dcterms:created xsi:type="dcterms:W3CDTF">2019-12-09T06:50:00Z</dcterms:created>
  <dcterms:modified xsi:type="dcterms:W3CDTF">2024-12-12T13:55:00Z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85cd55a8-8fd3-4294-99b6-f75ec3c11fa2</vt:lpwstr>
  </property>
  <property fmtid="{D5CDD505-2E9C-101B-9397-08002B2CF9AE}" pid="15" name="bjPortionMark">
    <vt:lpwstr>[]</vt:lpwstr>
  </property>
</Properties>
</file>