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8D" w:rsidRDefault="00B91F8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Specyfikacja techniczna wykonania i odbioru usługi </w:t>
      </w:r>
    </w:p>
    <w:p w:rsidR="0015398D" w:rsidRDefault="0015398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98D" w:rsidRDefault="00B91F8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Konserwacja i naprawa awaryjna kotłów grzewczych, węzłów cieplnych, kotłów pary, zmiękczaczy wody, systemów detekcji gazu ziemnego i urządzeń pomiarowych zainstalowanych w kompleksach wojskowych</w:t>
      </w:r>
    </w:p>
    <w:p w:rsidR="0015398D" w:rsidRDefault="00B91F88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i zakres stosowania specyfikacji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Przedmiot specyfikacji:</w:t>
      </w:r>
    </w:p>
    <w:p w:rsidR="0015398D" w:rsidRDefault="00B91F88">
      <w:pPr>
        <w:spacing w:after="0" w:line="360" w:lineRule="auto"/>
        <w:ind w:left="567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Przedmiotem niniejszej szczegółowej specyfikacji technicznej są wymagania dotyczące realizacji  usługi konserwacyjnej i napraw: 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kotłów grzewczych gazowych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kotłów grzewczych olejowych 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kotłów grzewczych elektrycznych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węzłów cieplnych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kotłów parowych – wytwornicy pary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zmiękczaczy wody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systemów detekcyjnych gazów związanych z gazem ziemnym</w:t>
      </w:r>
    </w:p>
    <w:p w:rsidR="0015398D" w:rsidRDefault="00B91F88">
      <w:pPr>
        <w:numPr>
          <w:ilvl w:val="0"/>
          <w:numId w:val="1"/>
        </w:numPr>
        <w:spacing w:after="0" w:line="36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urządzeń pomiarowych</w:t>
      </w:r>
    </w:p>
    <w:p w:rsidR="0015398D" w:rsidRDefault="00B91F88">
      <w:pPr>
        <w:spacing w:after="0" w:line="360" w:lineRule="auto"/>
        <w:ind w:left="426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zakresem prac konserwacyjnych urządzeń kotłowni gazowych i olejowych oraz węzłów cieplnych .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Zakres stosowania specyfikacji.</w:t>
      </w:r>
    </w:p>
    <w:p w:rsidR="0015398D" w:rsidRDefault="00B91F8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Niniejsza specyfikacja będzie stosowana jako dokument przetargowy przy zleceniu i realizacji robót wymienionych w pkt.1.1.</w:t>
      </w:r>
    </w:p>
    <w:p w:rsidR="0015398D" w:rsidRDefault="00B91F8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Ustalenia zawarte w niniejszej specyfikacji obejmują wszystkie czynności umożliwiające i mające na celu wykonanie wszystkich robót wymienionych w pkt.1.1 związane z dostawą materiałów, wykonawstwem i wykończeniem robót wykonywanych na miejscu.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Zakres prac  objętych specyfikacją.</w:t>
      </w:r>
    </w:p>
    <w:p w:rsidR="0015398D" w:rsidRDefault="00B91F88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ramach usługi konserwacyjnej  przewiduje się wykonanie czynności określonej w załącznikach: „Wykaz i lokalizacja kotłów grzewczych i węzłów”,  „Zakres prac do wykonania”, „Protokół wykonania usługi konserwacyjnej” „harmonogram wykonania” 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Określenia podstawowe;</w:t>
      </w:r>
    </w:p>
    <w:p w:rsidR="0015398D" w:rsidRDefault="00B91F88">
      <w:pPr>
        <w:pStyle w:val="Akapitzlist"/>
        <w:numPr>
          <w:ilvl w:val="2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Określenia podstawowe użyte w niniejszej specyfikacji technicznej są zgodne z obowiązującymi Polskimi Normami i Specyfikacją Techniczną 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Ogólne wymagania dotyczące usługi.</w:t>
      </w:r>
    </w:p>
    <w:p w:rsidR="0015398D" w:rsidRDefault="00B91F88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Wykonawca odpowiedzialny jest za:</w:t>
      </w:r>
    </w:p>
    <w:p w:rsidR="0015398D" w:rsidRDefault="00B91F88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prowadzenie prac  zgodnie z umową i ścisłe przestrzeganie harmonogramu prac,</w:t>
      </w:r>
    </w:p>
    <w:p w:rsidR="0015398D" w:rsidRDefault="00B91F88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jakości zastosowanych materiałów</w:t>
      </w:r>
    </w:p>
    <w:p w:rsidR="0015398D" w:rsidRDefault="00B91F88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zgodności z wymaganiami ST i poleceniami zarządzającego realizację umowy</w:t>
      </w:r>
    </w:p>
    <w:p w:rsidR="0015398D" w:rsidRDefault="00B91F88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powinien zapewnić całość robocizny ,sprzętu, narzędzi ,transportu i dostaw niezbędnych do wykonania usługi objętych umową zgodnie z warunkami zamówienia</w:t>
      </w:r>
    </w:p>
    <w:p w:rsidR="0015398D" w:rsidRDefault="00B91F88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Wprowadzenie jakichkolwiek odstępstw od tych dokumentów wymaga akceptacji zamawiającego realizację umowy.</w:t>
      </w:r>
    </w:p>
    <w:p w:rsidR="0015398D" w:rsidRDefault="00B91F88">
      <w:pPr>
        <w:pStyle w:val="Akapitzlist"/>
        <w:numPr>
          <w:ilvl w:val="1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Dokumentacja, którą należy przedstawić w trakcie realizacji usługi.</w:t>
      </w:r>
    </w:p>
    <w:p w:rsidR="0015398D" w:rsidRDefault="00B91F88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Dokumentacja przedstawiona przez wykonawcę w trakcie usługi musi być zgodna z zasadami podanymi w ST.</w:t>
      </w:r>
    </w:p>
    <w:p w:rsidR="0015398D" w:rsidRDefault="00B91F88">
      <w:pPr>
        <w:pStyle w:val="Akapitzlist"/>
        <w:numPr>
          <w:ilvl w:val="2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Protokół wykonania usługi konserwacyjnej urządzeń</w:t>
      </w:r>
    </w:p>
    <w:p w:rsidR="0015398D" w:rsidRDefault="00B91F88">
      <w:pPr>
        <w:spacing w:after="0" w:line="36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W protokołach powinien być opisany zakres prac ujętych w zakresie prac konserwacyjnych”</w:t>
      </w:r>
    </w:p>
    <w:p w:rsidR="0015398D" w:rsidRDefault="00B91F88">
      <w:pPr>
        <w:pStyle w:val="Akapitzlist"/>
        <w:numPr>
          <w:ilvl w:val="2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wymagane ustawą o wyrobach budowlanych potwierdzające dopuszczenie do obrotu w budownictwie.</w:t>
      </w:r>
    </w:p>
    <w:p w:rsidR="0015398D" w:rsidRDefault="00B91F88">
      <w:pPr>
        <w:pStyle w:val="Akapitzlist"/>
        <w:numPr>
          <w:ilvl w:val="2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Zalecenia i instrukcje dostarczone przez producentów wyszczególnione w dalszej części ST.</w:t>
      </w:r>
    </w:p>
    <w:p w:rsidR="0015398D" w:rsidRDefault="00B91F88">
      <w:pPr>
        <w:pStyle w:val="Akapitzlist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Informacje o terenie.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Usługa  konserwacyjna urządzeń kotłów grzewczych i węzłów cieplnych odbywa się w kompleksach wojskowych na terenie;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Szczecina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Szczecin-Podjuchy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Stargardu 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Bielkowa gm. Kobylanka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Glewice gm. Goleniów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Choszczno</w:t>
      </w:r>
    </w:p>
    <w:p w:rsidR="0015398D" w:rsidRDefault="00B91F88">
      <w:pPr>
        <w:numPr>
          <w:ilvl w:val="0"/>
          <w:numId w:val="3"/>
        </w:numPr>
        <w:spacing w:after="0" w:line="360" w:lineRule="auto"/>
        <w:ind w:left="99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Stradzewo gm. Choszczno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Dojazd  bez przeszkód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Zaplecze : wykonawca z uwagi na zakres prac nie będzie  korzystał z zaplecza- pomieszczeń w ramach wykonywanej umowy, zakłada się również możliwość </w:t>
      </w:r>
      <w:r>
        <w:rPr>
          <w:rFonts w:ascii="Times New Roman" w:hAnsi="Times New Roman"/>
          <w:sz w:val="24"/>
          <w:szCs w:val="24"/>
        </w:rPr>
        <w:lastRenderedPageBreak/>
        <w:t>korzystania z zaplecza- pomieszczenia, korzystania z mediów po uzgodnieniu z zamawiającym.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trakcie wykonania robót wykonawca jest odpowiedzialny za:</w:t>
      </w:r>
    </w:p>
    <w:p w:rsidR="0015398D" w:rsidRDefault="00B91F88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ochronę mienia zamawiającego</w:t>
      </w:r>
    </w:p>
    <w:p w:rsidR="0015398D" w:rsidRDefault="00B91F88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przestrzeganie przepisów bhp i p.poż w okresie wykonywania konserwacji.</w:t>
      </w:r>
    </w:p>
    <w:p w:rsidR="0015398D" w:rsidRDefault="00B91F88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Pracownicy będą posiadać aktualne szkolenie bhp i p.poż. które zostaną udostępnione zamawiającemu na żądanie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dostarczy zamawiającemu następujące dokumenty:</w:t>
      </w:r>
    </w:p>
    <w:p w:rsidR="0015398D" w:rsidRDefault="00B91F88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osób funkcyjnych o przyjęciu obowiązków zgodnie z umową</w:t>
      </w:r>
    </w:p>
    <w:p w:rsidR="0015398D" w:rsidRDefault="00B91F88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przedstawi listę osób i sprzętu dokonującego obsługę konserwacyjną</w:t>
      </w:r>
    </w:p>
    <w:p w:rsidR="0015398D" w:rsidRDefault="00B91F88">
      <w:pPr>
        <w:pStyle w:val="Akapitzlist"/>
        <w:numPr>
          <w:ilvl w:val="2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</w:t>
      </w:r>
      <w:r w:rsidR="005B06E6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 przekaże do konserwacji  urządzenia kotłowni zgodnie z umową.</w:t>
      </w:r>
    </w:p>
    <w:p w:rsidR="0015398D" w:rsidRDefault="00B91F8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Materiały.</w:t>
      </w:r>
    </w:p>
    <w:p w:rsidR="0015398D" w:rsidRDefault="00B91F88">
      <w:pPr>
        <w:pStyle w:val="Akapitzlist"/>
        <w:numPr>
          <w:ilvl w:val="1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Ogólne wymagania dotyczące materiałów.</w:t>
      </w:r>
    </w:p>
    <w:p w:rsidR="0015398D" w:rsidRDefault="00B91F88">
      <w:pPr>
        <w:pStyle w:val="Akapitzlist"/>
        <w:numPr>
          <w:ilvl w:val="2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materiały i urządzenia instalowane w trakcie wykonania konserwacji urządzeń kotłów grzewczych i węzłów cieplnych powinny być dopuszczone do obrotu na rynku polskim.</w:t>
      </w:r>
    </w:p>
    <w:p w:rsidR="0015398D" w:rsidRDefault="00B91F88">
      <w:pPr>
        <w:pStyle w:val="Akapitzlist"/>
        <w:numPr>
          <w:ilvl w:val="2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materiałów, dla których w ST wymagane są atesty, każda partia dostarczona  do usunięcia usterki musi posiadać atest określający w sposób jednoznaczny jej cechy .</w:t>
      </w:r>
    </w:p>
    <w:p w:rsidR="0015398D" w:rsidRDefault="00B91F88">
      <w:pPr>
        <w:pStyle w:val="Akapitzlist"/>
        <w:numPr>
          <w:ilvl w:val="2"/>
          <w:numId w:val="10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zapewnić, żeby materiały i urządzenia tymczasowe składowane w miejscu były zabezpieczone przed uszkodzeniami.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Sprzęt.</w:t>
      </w:r>
    </w:p>
    <w:p w:rsidR="0015398D" w:rsidRDefault="00B91F88">
      <w:pPr>
        <w:pStyle w:val="Akapitzlist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do używania sprzętu bezpiecznego, który nie spowoduje niekorzystnego wpływu na jakość robót i środowisko.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Transport.</w:t>
      </w:r>
    </w:p>
    <w:p w:rsidR="0015398D" w:rsidRDefault="00B91F8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Środki transportu powszednie stosowane przy wykonywaniu robót będących przedmiotem zamówienia.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usługi.</w:t>
      </w:r>
    </w:p>
    <w:p w:rsidR="0015398D" w:rsidRDefault="00B91F88">
      <w:pPr>
        <w:pStyle w:val="Akapitzlist"/>
        <w:numPr>
          <w:ilvl w:val="1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Ogólne zasady wykonania usługi,</w:t>
      </w:r>
    </w:p>
    <w:p w:rsidR="0015398D" w:rsidRDefault="00B91F88">
      <w:pPr>
        <w:pStyle w:val="Akapitzlist"/>
        <w:numPr>
          <w:ilvl w:val="2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Całość prac wykonać zgodnie z dokumentacją techniczną.</w:t>
      </w:r>
    </w:p>
    <w:p w:rsidR="0015398D" w:rsidRDefault="00B91F88">
      <w:pPr>
        <w:pStyle w:val="Akapitzlist"/>
        <w:numPr>
          <w:ilvl w:val="2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Całość prac wykonać zgodnie:</w:t>
      </w:r>
    </w:p>
    <w:p w:rsidR="0015398D" w:rsidRDefault="00B91F88">
      <w:pPr>
        <w:numPr>
          <w:ilvl w:val="0"/>
          <w:numId w:val="5"/>
        </w:numPr>
        <w:spacing w:after="0" w:line="360" w:lineRule="auto"/>
        <w:ind w:left="78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dokumentacją ruchową –DTR </w:t>
      </w:r>
    </w:p>
    <w:p w:rsidR="0015398D" w:rsidRDefault="00B91F88">
      <w:pPr>
        <w:numPr>
          <w:ilvl w:val="0"/>
          <w:numId w:val="5"/>
        </w:numPr>
        <w:spacing w:after="0" w:line="360" w:lineRule="auto"/>
        <w:ind w:left="78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Obwieszczenie Marszałka Sejmu Rzeczypospolitej Polskiej z dnia 2 października 2013 r. w sprawie ogłoszenia jednolitego tekstu ustawy – Prawo budowlane</w:t>
      </w:r>
    </w:p>
    <w:p w:rsidR="0015398D" w:rsidRDefault="00B91F88">
      <w:pPr>
        <w:numPr>
          <w:ilvl w:val="0"/>
          <w:numId w:val="5"/>
        </w:numPr>
        <w:spacing w:after="0" w:line="360" w:lineRule="auto"/>
        <w:ind w:left="78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Rozporządzenie Ministra Gospodarki, Pracy i Polityki Społecznej z dnia 28 kwietnia 2003 r. w sprawie szczegółowych zasad stwierdzania posiadania kwalifikacji przez osoby zajmujące się eksploatacją urządzeń, instalacji i sieci</w:t>
      </w:r>
    </w:p>
    <w:p w:rsidR="0015398D" w:rsidRDefault="00B91F88">
      <w:pPr>
        <w:numPr>
          <w:ilvl w:val="0"/>
          <w:numId w:val="5"/>
        </w:numPr>
        <w:spacing w:after="0" w:line="360" w:lineRule="auto"/>
        <w:ind w:left="78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Innych przepisów branżowych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jakości robót.</w:t>
      </w:r>
    </w:p>
    <w:p w:rsidR="0015398D" w:rsidRDefault="00B91F88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odpowiedzialny jest za pełną kontrolę jakości pracy  i materiałów.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Odbiór usługi.</w:t>
      </w:r>
    </w:p>
    <w:p w:rsidR="0015398D" w:rsidRDefault="00B91F88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Załącznikiem do protokołu odbioru są aprobaty i deklaracje zgodności na  zużyte do konserwacji materiały, protokoły z przeglądu sieci gazowych i instalacji oraz inne dokumenty wymagane przepisami.</w:t>
      </w:r>
    </w:p>
    <w:p w:rsidR="0015398D" w:rsidRDefault="00B91F8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Przepisy związane z wykonaniem  usługi</w:t>
      </w:r>
    </w:p>
    <w:p w:rsidR="0015398D" w:rsidRDefault="00B91F88">
      <w:pPr>
        <w:spacing w:after="0" w:line="36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jest zobowiązany znać i przestrzegać  wszystkie przepisy wydane przez władze państwowe i lokalne oraz inne regulacje prawne i wytyczne związane z prowadzonymi robotami .      </w:t>
      </w:r>
    </w:p>
    <w:p w:rsidR="0015398D" w:rsidRDefault="0015398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5398D" w:rsidRDefault="00B91F88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Sporządził :</w:t>
      </w:r>
    </w:p>
    <w:p w:rsidR="0015398D" w:rsidRDefault="00B91F88">
      <w:pPr>
        <w:spacing w:after="0" w:line="360" w:lineRule="auto"/>
        <w:contextualSpacing/>
        <w:jc w:val="both"/>
      </w:pPr>
      <w:r>
        <w:rPr>
          <w:rFonts w:ascii="Times New Roman" w:hAnsi="Times New Roman"/>
          <w:sz w:val="24"/>
          <w:szCs w:val="24"/>
        </w:rPr>
        <w:t>Waldemar Kawiński</w:t>
      </w:r>
    </w:p>
    <w:sectPr w:rsidR="0015398D">
      <w:pgSz w:w="11906" w:h="16838"/>
      <w:pgMar w:top="1417" w:right="1417" w:bottom="1417" w:left="1417" w:header="720" w:footer="72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272" w:rsidRDefault="00FF1272" w:rsidP="005B06E6">
      <w:pPr>
        <w:spacing w:after="0" w:line="240" w:lineRule="auto"/>
      </w:pPr>
      <w:r>
        <w:separator/>
      </w:r>
    </w:p>
  </w:endnote>
  <w:endnote w:type="continuationSeparator" w:id="0">
    <w:p w:rsidR="00FF1272" w:rsidRDefault="00FF1272" w:rsidP="005B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272" w:rsidRDefault="00FF1272" w:rsidP="005B06E6">
      <w:pPr>
        <w:spacing w:after="0" w:line="240" w:lineRule="auto"/>
      </w:pPr>
      <w:r>
        <w:separator/>
      </w:r>
    </w:p>
  </w:footnote>
  <w:footnote w:type="continuationSeparator" w:id="0">
    <w:p w:rsidR="00FF1272" w:rsidRDefault="00FF1272" w:rsidP="005B0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05CF0"/>
    <w:multiLevelType w:val="multilevel"/>
    <w:tmpl w:val="7B3C21D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7"/>
      <w:numFmt w:val="decimal"/>
      <w:lvlText w:val="%1.%2."/>
      <w:lvlJc w:val="left"/>
      <w:pPr>
        <w:ind w:left="810" w:hanging="54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53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430" w:hanging="1080"/>
      </w:pPr>
    </w:lvl>
    <w:lvl w:ilvl="6">
      <w:start w:val="1"/>
      <w:numFmt w:val="decimal"/>
      <w:lvlText w:val="%1.%2.%3.%4.%5.%6.%7."/>
      <w:lvlJc w:val="left"/>
      <w:pPr>
        <w:ind w:left="3060" w:hanging="1440"/>
      </w:pPr>
    </w:lvl>
    <w:lvl w:ilvl="7">
      <w:start w:val="1"/>
      <w:numFmt w:val="decimal"/>
      <w:lvlText w:val="%1.%2.%3.%4.%5.%6.%7.%8."/>
      <w:lvlJc w:val="left"/>
      <w:pPr>
        <w:ind w:left="3330" w:hanging="1440"/>
      </w:pPr>
    </w:lvl>
    <w:lvl w:ilvl="8">
      <w:start w:val="1"/>
      <w:numFmt w:val="decimal"/>
      <w:lvlText w:val="%1.%2.%3.%4.%5.%6.%7.%8.%9."/>
      <w:lvlJc w:val="left"/>
      <w:pPr>
        <w:ind w:left="3960" w:hanging="1800"/>
      </w:pPr>
    </w:lvl>
  </w:abstractNum>
  <w:abstractNum w:abstractNumId="1" w15:restartNumberingAfterBreak="0">
    <w:nsid w:val="15767918"/>
    <w:multiLevelType w:val="multilevel"/>
    <w:tmpl w:val="C2E44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1D1274E6"/>
    <w:multiLevelType w:val="multilevel"/>
    <w:tmpl w:val="CF768D56"/>
    <w:lvl w:ilvl="0">
      <w:start w:val="1"/>
      <w:numFmt w:val="bullet"/>
      <w:lvlText w:val=""/>
      <w:lvlJc w:val="left"/>
      <w:pPr>
        <w:ind w:left="155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1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6928C1"/>
    <w:multiLevelType w:val="multilevel"/>
    <w:tmpl w:val="475E78DE"/>
    <w:lvl w:ilvl="0">
      <w:start w:val="1"/>
      <w:numFmt w:val="bullet"/>
      <w:lvlText w:val=""/>
      <w:lvlJc w:val="left"/>
      <w:pPr>
        <w:ind w:left="191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965C42"/>
    <w:multiLevelType w:val="multilevel"/>
    <w:tmpl w:val="58C27F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35406E"/>
    <w:multiLevelType w:val="multilevel"/>
    <w:tmpl w:val="E8800F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40D3C"/>
    <w:multiLevelType w:val="multilevel"/>
    <w:tmpl w:val="C144F2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FE51CD7"/>
    <w:multiLevelType w:val="multilevel"/>
    <w:tmpl w:val="40CC476A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900" w:hanging="54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74C14F46"/>
    <w:multiLevelType w:val="multilevel"/>
    <w:tmpl w:val="0898EB9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0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9" w15:restartNumberingAfterBreak="0">
    <w:nsid w:val="7A6840BE"/>
    <w:multiLevelType w:val="multilevel"/>
    <w:tmpl w:val="14FC899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D06303A"/>
    <w:multiLevelType w:val="multilevel"/>
    <w:tmpl w:val="DA02359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98D"/>
    <w:rsid w:val="0015398D"/>
    <w:rsid w:val="005B06E6"/>
    <w:rsid w:val="00AC03BF"/>
    <w:rsid w:val="00B91F88"/>
    <w:rsid w:val="00FF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E2390"/>
  <w15:docId w15:val="{95589A94-91E5-495D-A35E-646CF9F5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675E"/>
    <w:pPr>
      <w:spacing w:after="200" w:line="276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62406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319A6"/>
    <w:rPr>
      <w:rFonts w:cs="Times New Roman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 w:cs="Symbol"/>
      <w:sz w:val="24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Times New Roman" w:hAnsi="Times New Roman" w:cs="Symbol"/>
      <w:sz w:val="24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Times New Roman" w:hAnsi="Times New Roman" w:cs="Symbol"/>
      <w:sz w:val="24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Times New Roman" w:hAnsi="Times New Roman" w:cs="Symbol"/>
      <w:sz w:val="24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Times New Roman" w:hAnsi="Times New Roman" w:cs="Symbol"/>
      <w:sz w:val="24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ascii="Times New Roman" w:hAnsi="Times New Roman" w:cs="Symbol"/>
      <w:sz w:val="24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ascii="Times New Roman" w:hAnsi="Times New Roman"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ascii="Times New Roman" w:hAnsi="Times New Roman" w:cs="Symbol"/>
      <w:sz w:val="24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ascii="Times New Roman" w:hAnsi="Times New Roman" w:cs="Symbol"/>
      <w:sz w:val="24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ascii="Times New Roman" w:hAnsi="Times New Roman" w:cs="Symbol"/>
      <w:sz w:val="24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ascii="Times New Roman" w:hAnsi="Times New Roman" w:cs="Symbol"/>
      <w:sz w:val="24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ascii="Times New Roman" w:hAnsi="Times New Roman" w:cs="Symbol"/>
      <w:sz w:val="24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ascii="Times New Roman" w:hAnsi="Times New Roman" w:cs="Symbol"/>
      <w:sz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  <w:sz w:val="24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ascii="Times New Roman" w:hAnsi="Times New Roman" w:cs="Symbol"/>
      <w:sz w:val="24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ascii="Times New Roman" w:hAnsi="Times New Roman" w:cs="Symbol"/>
      <w:sz w:val="24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Times New Roman" w:hAnsi="Times New Roman" w:cs="Symbol"/>
      <w:sz w:val="24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ascii="Times New Roman" w:hAnsi="Times New Roman" w:cs="Symbol"/>
      <w:sz w:val="24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ascii="Times New Roman" w:hAnsi="Times New Roman" w:cs="Symbol"/>
      <w:sz w:val="24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6240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319A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31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5E85A7-B942-49A0-9F66-B24F7143B9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Zianowicz</dc:creator>
  <dc:description/>
  <cp:lastModifiedBy>Kawiński Waldemar</cp:lastModifiedBy>
  <cp:revision>16</cp:revision>
  <cp:lastPrinted>2024-12-12T13:53:00Z</cp:lastPrinted>
  <dcterms:created xsi:type="dcterms:W3CDTF">2019-12-09T06:39:00Z</dcterms:created>
  <dcterms:modified xsi:type="dcterms:W3CDTF">2024-12-12T13:53:00Z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Resort Obrony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ccf66a9b-c078-4804-82b9-3f7250552fb5</vt:lpwstr>
  </property>
  <property fmtid="{D5CDD505-2E9C-101B-9397-08002B2CF9AE}" pid="15" name="bjPortionMark">
    <vt:lpwstr>[]</vt:lpwstr>
  </property>
</Properties>
</file>