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54A8BFE7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621E10">
        <w:rPr>
          <w:rFonts w:ascii="Arial" w:hAnsi="Arial" w:cs="Arial"/>
          <w:b w:val="0"/>
          <w:i/>
          <w:sz w:val="20"/>
          <w:szCs w:val="20"/>
        </w:rPr>
        <w:t>38.2024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6330D074" w14:textId="04FB4DDD" w:rsidR="00621E10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621E10" w:rsidRPr="00621E10">
        <w:rPr>
          <w:rFonts w:ascii="Arial" w:hAnsi="Arial" w:cs="Arial"/>
          <w:b/>
          <w:i/>
          <w:sz w:val="22"/>
          <w:szCs w:val="22"/>
        </w:rPr>
        <w:t>Zimowe utrzymanie dróg na terenie Gminy Kart</w:t>
      </w:r>
      <w:r w:rsidR="00621E10">
        <w:rPr>
          <w:rFonts w:ascii="Arial" w:hAnsi="Arial" w:cs="Arial"/>
          <w:b/>
          <w:i/>
          <w:sz w:val="22"/>
          <w:szCs w:val="22"/>
        </w:rPr>
        <w:t>uzy w sezonie zimowym 2024-2025</w:t>
      </w:r>
    </w:p>
    <w:p w14:paraId="60685C49" w14:textId="62B9E587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  <w:bookmarkStart w:id="1" w:name="_GoBack"/>
      <w:bookmarkEnd w:id="1"/>
    </w:p>
    <w:p w14:paraId="224777FE" w14:textId="65690A57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5925A767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8B59AA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6E263292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8B59AA">
        <w:rPr>
          <w:rFonts w:ascii="Arial" w:hAnsi="Arial" w:cs="Arial"/>
          <w:sz w:val="22"/>
          <w:szCs w:val="22"/>
        </w:rPr>
        <w:t>Działu V S</w:t>
      </w:r>
      <w:r w:rsidRPr="001E0686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9BE9495" w14:textId="77777777" w:rsidR="00E04A6A" w:rsidRDefault="00E04A6A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B87C6DE" w14:textId="77777777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1E00E" w14:textId="77777777" w:rsidR="005B1AB9" w:rsidRDefault="005B1AB9">
      <w:r>
        <w:separator/>
      </w:r>
    </w:p>
  </w:endnote>
  <w:endnote w:type="continuationSeparator" w:id="0">
    <w:p w14:paraId="5F10865D" w14:textId="77777777" w:rsidR="005B1AB9" w:rsidRDefault="005B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B7BAA" w14:textId="77777777" w:rsidR="005B1AB9" w:rsidRDefault="005B1AB9">
      <w:r>
        <w:separator/>
      </w:r>
    </w:p>
  </w:footnote>
  <w:footnote w:type="continuationSeparator" w:id="0">
    <w:p w14:paraId="157830C7" w14:textId="77777777" w:rsidR="005B1AB9" w:rsidRDefault="005B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3DFE112F" w:rsidR="00BC3ECE" w:rsidRDefault="00B4589C" w:rsidP="00621E1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621E1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38.2024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1F0D7D"/>
    <w:rsid w:val="0021196E"/>
    <w:rsid w:val="00263438"/>
    <w:rsid w:val="002E6109"/>
    <w:rsid w:val="003D7B74"/>
    <w:rsid w:val="00444B75"/>
    <w:rsid w:val="004A0F1C"/>
    <w:rsid w:val="004C7F3B"/>
    <w:rsid w:val="004F1EC8"/>
    <w:rsid w:val="00527ED1"/>
    <w:rsid w:val="0055100E"/>
    <w:rsid w:val="005B04E6"/>
    <w:rsid w:val="005B1AB9"/>
    <w:rsid w:val="005B4270"/>
    <w:rsid w:val="00614DE4"/>
    <w:rsid w:val="00621E10"/>
    <w:rsid w:val="0065128F"/>
    <w:rsid w:val="006F6CC7"/>
    <w:rsid w:val="00731C0B"/>
    <w:rsid w:val="0073531F"/>
    <w:rsid w:val="007D5790"/>
    <w:rsid w:val="00802113"/>
    <w:rsid w:val="008372C3"/>
    <w:rsid w:val="008B59AA"/>
    <w:rsid w:val="008F16BC"/>
    <w:rsid w:val="00916E5D"/>
    <w:rsid w:val="009246E7"/>
    <w:rsid w:val="009757AD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3ECE"/>
    <w:rsid w:val="00CB4A1D"/>
    <w:rsid w:val="00CC4135"/>
    <w:rsid w:val="00D531F9"/>
    <w:rsid w:val="00D76C68"/>
    <w:rsid w:val="00D81667"/>
    <w:rsid w:val="00E04A6A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FDAB-9CB7-4BC3-8AB3-0F6AECC7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42</cp:revision>
  <cp:lastPrinted>2022-03-02T14:24:00Z</cp:lastPrinted>
  <dcterms:created xsi:type="dcterms:W3CDTF">2020-12-17T17:45:00Z</dcterms:created>
  <dcterms:modified xsi:type="dcterms:W3CDTF">2024-11-12T07:46:00Z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