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CC" w:rsidRDefault="002E1A55">
      <w:pPr>
        <w:pStyle w:val="TytuS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D-04.03.01.</w:t>
      </w:r>
      <w:r>
        <w:rPr>
          <w:rFonts w:ascii="Tahoma" w:hAnsi="Tahoma" w:cs="Tahoma"/>
          <w:sz w:val="20"/>
          <w:szCs w:val="20"/>
        </w:rPr>
        <w:tab/>
        <w:t>oczyszczenie i skropienie warstw konstrukcyjnych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WSTĘP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E31CCC" w:rsidRDefault="002E1A55">
      <w:pPr>
        <w:rPr>
          <w:rFonts w:ascii="Tahoma" w:hAnsi="Tahoma" w:cs="Tahoma"/>
          <w:bCs w:val="0"/>
          <w:iCs w:val="0"/>
          <w:sz w:val="20"/>
          <w:szCs w:val="20"/>
        </w:rPr>
      </w:pPr>
      <w:r>
        <w:rPr>
          <w:rFonts w:ascii="Tahoma" w:hAnsi="Tahoma" w:cs="Tahoma"/>
          <w:spacing w:val="-2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pacing w:val="-5"/>
          <w:sz w:val="20"/>
          <w:szCs w:val="20"/>
        </w:rPr>
        <w:t>ze</w:t>
      </w:r>
      <w:r>
        <w:rPr>
          <w:rFonts w:ascii="Tahoma" w:hAnsi="Tahoma" w:cs="Tahoma"/>
          <w:spacing w:val="-1"/>
          <w:sz w:val="20"/>
          <w:szCs w:val="20"/>
        </w:rPr>
        <w:t>d</w:t>
      </w:r>
      <w:r>
        <w:rPr>
          <w:rFonts w:ascii="Tahoma" w:hAnsi="Tahoma" w:cs="Tahoma"/>
          <w:spacing w:val="7"/>
          <w:sz w:val="20"/>
          <w:szCs w:val="20"/>
        </w:rPr>
        <w:t>m</w:t>
      </w:r>
      <w:r>
        <w:rPr>
          <w:rFonts w:ascii="Tahoma" w:hAnsi="Tahoma" w:cs="Tahoma"/>
          <w:spacing w:val="-2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3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niniejszej Specyfikacji Technicznej Wykonania i Odbioru Robót Budowlanych są</w:t>
      </w:r>
      <w:r>
        <w:rPr>
          <w:rFonts w:ascii="Tahoma" w:hAnsi="Tahoma" w:cs="Tahoma"/>
          <w:spacing w:val="26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-1"/>
          <w:sz w:val="20"/>
          <w:szCs w:val="20"/>
        </w:rPr>
        <w:t>ag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30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sz w:val="20"/>
          <w:szCs w:val="20"/>
        </w:rPr>
        <w:t>do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-5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ce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yk</w:t>
      </w:r>
      <w:r>
        <w:rPr>
          <w:rFonts w:ascii="Tahoma" w:hAnsi="Tahoma" w:cs="Tahoma"/>
          <w:spacing w:val="-1"/>
          <w:sz w:val="20"/>
          <w:szCs w:val="20"/>
        </w:rPr>
        <w:t>ona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pacing w:val="29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pacing w:val="-1"/>
          <w:sz w:val="20"/>
          <w:szCs w:val="20"/>
        </w:rPr>
        <w:t>od</w:t>
      </w:r>
      <w:r>
        <w:rPr>
          <w:rFonts w:ascii="Tahoma" w:hAnsi="Tahoma" w:cs="Tahoma"/>
          <w:spacing w:val="-5"/>
          <w:sz w:val="20"/>
          <w:szCs w:val="20"/>
        </w:rPr>
        <w:t>b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pacing w:val="27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R</w:t>
      </w:r>
      <w:r>
        <w:rPr>
          <w:rFonts w:ascii="Tahoma" w:hAnsi="Tahoma" w:cs="Tahoma"/>
          <w:spacing w:val="-1"/>
          <w:sz w:val="20"/>
          <w:szCs w:val="20"/>
        </w:rPr>
        <w:t>ob</w:t>
      </w:r>
      <w:r>
        <w:rPr>
          <w:rFonts w:ascii="Tahoma" w:hAnsi="Tahoma" w:cs="Tahoma"/>
          <w:spacing w:val="-5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pacing w:val="32"/>
          <w:sz w:val="20"/>
          <w:szCs w:val="20"/>
        </w:rPr>
        <w:t xml:space="preserve"> </w:t>
      </w:r>
      <w:r>
        <w:rPr>
          <w:rFonts w:ascii="Tahoma" w:hAnsi="Tahoma" w:cs="Tahoma"/>
          <w:spacing w:val="-1"/>
          <w:w w:val="101"/>
          <w:sz w:val="20"/>
          <w:szCs w:val="20"/>
        </w:rPr>
        <w:t>b</w:t>
      </w:r>
      <w:r>
        <w:rPr>
          <w:rFonts w:ascii="Tahoma" w:hAnsi="Tahoma" w:cs="Tahoma"/>
          <w:spacing w:val="-5"/>
          <w:w w:val="101"/>
          <w:sz w:val="20"/>
          <w:szCs w:val="20"/>
        </w:rPr>
        <w:t>u</w:t>
      </w:r>
      <w:r>
        <w:rPr>
          <w:rFonts w:ascii="Tahoma" w:hAnsi="Tahoma" w:cs="Tahoma"/>
          <w:spacing w:val="-1"/>
          <w:w w:val="101"/>
          <w:sz w:val="20"/>
          <w:szCs w:val="20"/>
        </w:rPr>
        <w:t>do</w:t>
      </w:r>
      <w:r>
        <w:rPr>
          <w:rFonts w:ascii="Tahoma" w:hAnsi="Tahoma" w:cs="Tahoma"/>
          <w:spacing w:val="-2"/>
          <w:w w:val="101"/>
          <w:sz w:val="20"/>
          <w:szCs w:val="20"/>
        </w:rPr>
        <w:t>w</w:t>
      </w:r>
      <w:r>
        <w:rPr>
          <w:rFonts w:ascii="Tahoma" w:hAnsi="Tahoma" w:cs="Tahoma"/>
          <w:spacing w:val="3"/>
          <w:w w:val="101"/>
          <w:sz w:val="20"/>
          <w:szCs w:val="20"/>
        </w:rPr>
        <w:t>l</w:t>
      </w:r>
      <w:r>
        <w:rPr>
          <w:rFonts w:ascii="Tahoma" w:hAnsi="Tahoma" w:cs="Tahoma"/>
          <w:spacing w:val="-5"/>
          <w:w w:val="101"/>
          <w:sz w:val="20"/>
          <w:szCs w:val="20"/>
        </w:rPr>
        <w:t>a</w:t>
      </w:r>
      <w:r>
        <w:rPr>
          <w:rFonts w:ascii="Tahoma" w:hAnsi="Tahoma" w:cs="Tahoma"/>
          <w:spacing w:val="-1"/>
          <w:w w:val="101"/>
          <w:sz w:val="20"/>
          <w:szCs w:val="20"/>
        </w:rPr>
        <w:t>n</w:t>
      </w:r>
      <w:r>
        <w:rPr>
          <w:rFonts w:ascii="Tahoma" w:hAnsi="Tahoma" w:cs="Tahoma"/>
          <w:w w:val="101"/>
          <w:sz w:val="20"/>
          <w:szCs w:val="20"/>
        </w:rPr>
        <w:t xml:space="preserve">ych 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"/>
          <w:sz w:val="20"/>
          <w:szCs w:val="20"/>
        </w:rPr>
        <w:t>ą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z w:val="20"/>
          <w:szCs w:val="20"/>
        </w:rPr>
        <w:t>ych</w:t>
      </w:r>
      <w:r>
        <w:rPr>
          <w:rFonts w:ascii="Tahoma" w:hAnsi="Tahoma" w:cs="Tahoma"/>
          <w:spacing w:val="12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 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ys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5"/>
          <w:sz w:val="20"/>
          <w:szCs w:val="20"/>
        </w:rPr>
        <w:t>c</w:t>
      </w:r>
      <w:r>
        <w:rPr>
          <w:rFonts w:ascii="Tahoma" w:hAnsi="Tahoma" w:cs="Tahoma"/>
          <w:spacing w:val="-5"/>
          <w:sz w:val="20"/>
          <w:szCs w:val="20"/>
        </w:rPr>
        <w:t>z</w:t>
      </w:r>
      <w:r>
        <w:rPr>
          <w:rFonts w:ascii="Tahoma" w:hAnsi="Tahoma" w:cs="Tahoma"/>
          <w:spacing w:val="-1"/>
          <w:sz w:val="20"/>
          <w:szCs w:val="20"/>
        </w:rPr>
        <w:t>an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17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pacing w:val="7"/>
          <w:sz w:val="20"/>
          <w:szCs w:val="20"/>
        </w:rPr>
        <w:t xml:space="preserve"> 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kr</w:t>
      </w:r>
      <w:r>
        <w:rPr>
          <w:rFonts w:ascii="Tahoma" w:hAnsi="Tahoma" w:cs="Tahoma"/>
          <w:spacing w:val="-1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p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5"/>
          <w:sz w:val="20"/>
          <w:szCs w:val="20"/>
        </w:rPr>
        <w:t>e</w:t>
      </w:r>
      <w:r>
        <w:rPr>
          <w:rFonts w:ascii="Tahoma" w:hAnsi="Tahoma" w:cs="Tahoma"/>
          <w:spacing w:val="-1"/>
          <w:sz w:val="20"/>
          <w:szCs w:val="20"/>
        </w:rPr>
        <w:t>n</w:t>
      </w:r>
      <w:r>
        <w:rPr>
          <w:rFonts w:ascii="Tahoma" w:hAnsi="Tahoma" w:cs="Tahoma"/>
          <w:spacing w:val="3"/>
          <w:sz w:val="20"/>
          <w:szCs w:val="20"/>
        </w:rPr>
        <w:t>i</w:t>
      </w:r>
      <w:r>
        <w:rPr>
          <w:rFonts w:ascii="Tahoma" w:hAnsi="Tahoma" w:cs="Tahoma"/>
          <w:spacing w:val="-10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pacing w:val="20"/>
          <w:sz w:val="20"/>
          <w:szCs w:val="20"/>
        </w:rPr>
        <w:t xml:space="preserve"> </w:t>
      </w:r>
      <w:r>
        <w:rPr>
          <w:rFonts w:ascii="Tahoma" w:hAnsi="Tahoma" w:cs="Tahoma"/>
          <w:spacing w:val="-2"/>
          <w:sz w:val="20"/>
          <w:szCs w:val="20"/>
        </w:rPr>
        <w:t>w</w:t>
      </w:r>
      <w:r>
        <w:rPr>
          <w:rFonts w:ascii="Tahoma" w:hAnsi="Tahoma" w:cs="Tahoma"/>
          <w:spacing w:val="-5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rstw</w:t>
      </w:r>
      <w:r>
        <w:rPr>
          <w:rFonts w:ascii="Tahoma" w:hAnsi="Tahoma" w:cs="Tahoma"/>
          <w:spacing w:val="3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</w:t>
      </w:r>
      <w:r>
        <w:rPr>
          <w:rFonts w:ascii="Tahoma" w:hAnsi="Tahoma" w:cs="Tahoma"/>
          <w:spacing w:val="-1"/>
          <w:sz w:val="20"/>
          <w:szCs w:val="20"/>
        </w:rPr>
        <w:t>on</w:t>
      </w:r>
      <w:r>
        <w:rPr>
          <w:rFonts w:ascii="Tahoma" w:hAnsi="Tahoma" w:cs="Tahoma"/>
          <w:spacing w:val="-5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>tr</w:t>
      </w:r>
      <w:r>
        <w:rPr>
          <w:rFonts w:ascii="Tahoma" w:hAnsi="Tahoma" w:cs="Tahoma"/>
          <w:spacing w:val="-5"/>
          <w:sz w:val="20"/>
          <w:szCs w:val="20"/>
        </w:rPr>
        <w:t>uk</w:t>
      </w:r>
      <w:r>
        <w:rPr>
          <w:rFonts w:ascii="Tahoma" w:hAnsi="Tahoma" w:cs="Tahoma"/>
          <w:sz w:val="20"/>
          <w:szCs w:val="20"/>
        </w:rPr>
        <w:t>cy</w:t>
      </w:r>
      <w:r>
        <w:rPr>
          <w:rFonts w:ascii="Tahoma" w:hAnsi="Tahoma" w:cs="Tahoma"/>
          <w:spacing w:val="3"/>
          <w:sz w:val="20"/>
          <w:szCs w:val="20"/>
        </w:rPr>
        <w:t>j</w:t>
      </w:r>
      <w:r>
        <w:rPr>
          <w:rFonts w:ascii="Tahoma" w:hAnsi="Tahoma" w:cs="Tahoma"/>
          <w:spacing w:val="-5"/>
          <w:sz w:val="20"/>
          <w:szCs w:val="20"/>
        </w:rPr>
        <w:t>n</w:t>
      </w:r>
      <w:r>
        <w:rPr>
          <w:rFonts w:ascii="Tahoma" w:hAnsi="Tahoma" w:cs="Tahoma"/>
          <w:sz w:val="20"/>
          <w:szCs w:val="20"/>
        </w:rPr>
        <w:t>yc</w:t>
      </w:r>
      <w:r>
        <w:rPr>
          <w:rFonts w:ascii="Tahoma" w:hAnsi="Tahoma" w:cs="Tahoma"/>
          <w:spacing w:val="-5"/>
          <w:sz w:val="20"/>
          <w:szCs w:val="20"/>
        </w:rPr>
        <w:t>h</w:t>
      </w:r>
      <w:r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pacing w:val="18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 </w:t>
      </w:r>
      <w:r>
        <w:rPr>
          <w:rFonts w:ascii="Tahoma" w:hAnsi="Tahoma" w:cs="Tahoma"/>
          <w:bCs w:val="0"/>
          <w:iCs w:val="0"/>
          <w:sz w:val="20"/>
          <w:szCs w:val="20"/>
        </w:rPr>
        <w:t xml:space="preserve">związku z zamierzeniem budowlanym pn.: </w:t>
      </w:r>
      <w:r w:rsidR="003F6611" w:rsidRPr="003F6611">
        <w:rPr>
          <w:rFonts w:ascii="Tahoma" w:hAnsi="Tahoma" w:cs="Tahoma"/>
          <w:sz w:val="20"/>
        </w:rPr>
        <w:t>Rozbudowa drogi gminnej nr 119007E w m. Branica</w:t>
      </w:r>
      <w:r>
        <w:rPr>
          <w:rFonts w:ascii="Tahoma" w:hAnsi="Tahoma" w:cs="Tahoma"/>
          <w:bCs w:val="0"/>
          <w:iCs w:val="0"/>
          <w:sz w:val="20"/>
          <w:szCs w:val="20"/>
        </w:rPr>
        <w:t>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stosowania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dokument przetargowy i kontraktowy przy zlecaniu i realizacji robót wymienionych w p. 1.1.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Zakres Robót objętych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dotyczą zasad prowadzenia robót obejmujących wszystkie czynności umożliwiające i mające na celu wykonanie oczyszczenia i skropienia warstw konstrukcyjnych.</w:t>
      </w:r>
    </w:p>
    <w:p w:rsidR="00E31CCC" w:rsidRDefault="002E1A55">
      <w:pPr>
        <w:rPr>
          <w:rFonts w:ascii="Tahoma" w:hAnsi="Tahoma" w:cs="Tahoma"/>
          <w:strike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Oczyszczenie i skropienie warstw konstrukcyjnych należy wykonać przed ułożeniem każdej następnej warstwy nawierzchni . Rodzaj emulsji należy zastosować w zależności od rodzaju warstwy która będzie skrapiana.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warstwie podbudowy z mieszanki niezwiązanej stabilizowanej mechanicznie,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nowych warstwach bitumicznych (podbudowa oraz wiążąca z AC).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Określenia podstawowe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i definicje użyte w niniejszej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są zgodne z obowiązującymi odpowiednimi polskimi normami i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wymagania dotyczące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DM.00.00.00. „Wymagania ogólne” p.1.5.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MATERIAŁY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0" w:name="_Toc407086118"/>
      <w:r>
        <w:rPr>
          <w:rFonts w:ascii="Tahoma" w:hAnsi="Tahoma" w:cs="Tahoma"/>
          <w:sz w:val="20"/>
          <w:szCs w:val="20"/>
        </w:rPr>
        <w:t>Ogólne wymagania dotyczące materiałów</w:t>
      </w:r>
      <w:bookmarkEnd w:id="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materiałów, ich pozyskiwania i składowania,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p.2.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łączenia warstw asfaltowych zaleca się stosowanie emulsji asfaltowych kationowych wyprodukowanych wyłącznie z asfaltu D70/100, D50/70 lub twardszego. 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" w:name="_Toc407085671"/>
      <w:bookmarkStart w:id="2" w:name="_Toc407085528"/>
      <w:bookmarkStart w:id="3" w:name="_Toc407085385"/>
      <w:bookmarkStart w:id="4" w:name="_Toc407084266"/>
      <w:bookmarkStart w:id="5" w:name="_Toc407083432"/>
      <w:bookmarkStart w:id="6" w:name="_Toc407081776"/>
      <w:bookmarkStart w:id="7" w:name="_Toc407081633"/>
      <w:bookmarkStart w:id="8" w:name="_Toc407069668"/>
      <w:bookmarkStart w:id="9" w:name="_Toc407086119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ahoma" w:hAnsi="Tahoma" w:cs="Tahoma"/>
          <w:sz w:val="20"/>
          <w:szCs w:val="20"/>
        </w:rPr>
        <w:t>Rodzaje materiałów do wykonania skropienia</w:t>
      </w:r>
      <w:bookmarkEnd w:id="9"/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warstwy podbudowy z mieszanki niezwiązanej i związanej cementem, powinna być stosowana kationowa emulsja asfaltowa niemodyfikowana o oznaczeniu C60 B10 ZM/R, zgodna z normą PN-EN 13808:2013-10/Ap1, o właściwościach jak niżej.</w:t>
      </w:r>
    </w:p>
    <w:p w:rsidR="00E31CCC" w:rsidRDefault="002E1A55">
      <w:pPr>
        <w:spacing w:before="120" w:after="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1. Wymagania dla kationowej emulsji asfaltowej C60 B10 ZM/R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510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Stabilność podczas mieszania z cementem, 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2 (10)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Przyczepność do kruszywa referencyjnego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13614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75 (2)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Badanie na kruszywie bazaltowym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asfaltowych wykonanych z asfaltów niemodyfikowanych, należy użyć emulsję asfaltową kationową przeznaczoną do złączania warstw konstrukcji nawierzchni (ZM), zgodnie z PN-EN 13808:2013-10/Ap1, o oznaczeniu C60 B3 ZM o właściwościach jak niżej 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2. Wymagania dla kationowej emulsji asfaltowej C60 B3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43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b w:val="0"/>
          <w:iCs w:val="0"/>
          <w:sz w:val="20"/>
          <w:szCs w:val="20"/>
        </w:rPr>
      </w:pPr>
      <w:r>
        <w:rPr>
          <w:rFonts w:ascii="Tahoma" w:hAnsi="Tahoma" w:cs="Tahoma"/>
          <w:b w:val="0"/>
          <w:iCs w:val="0"/>
          <w:sz w:val="20"/>
          <w:szCs w:val="20"/>
        </w:rPr>
        <w:t>Do skropienia warstw konstrukcyjnych bitumicznych wykonanych z asfaltów modyfikowanych należy użyć emulsję asfaltową modyfikowaną polimerami przeznaczoną do złączania warstw konstrukcji nawierzchni (ZM) zgodnie z PN-EN 13808:2013-10/Ap1, o oznaczeniu C60 BP3 ZM o właściwościach jak niżej lub inne emulsje wymienione w normie PN-EN 13808:2013-10/Ap1 zgodnie z zalecanym zastosowaniem (Tablica NA.2).</w:t>
      </w:r>
    </w:p>
    <w:p w:rsidR="00E31CCC" w:rsidRDefault="002E1A55">
      <w:pPr>
        <w:spacing w:before="120"/>
        <w:jc w:val="center"/>
        <w:rPr>
          <w:rFonts w:ascii="Tahoma" w:hAnsi="Tahoma" w:cs="Tahoma"/>
          <w:sz w:val="20"/>
          <w:szCs w:val="20"/>
          <w:vertAlign w:val="superscript"/>
        </w:rPr>
      </w:pPr>
      <w:r>
        <w:rPr>
          <w:rFonts w:ascii="Tahoma" w:hAnsi="Tahoma" w:cs="Tahoma"/>
          <w:sz w:val="20"/>
          <w:szCs w:val="20"/>
        </w:rPr>
        <w:t>Tabela 3. Wymagania dla kationowej emulsji asfaltowej C60 BP3 ZM</w:t>
      </w:r>
    </w:p>
    <w:tbl>
      <w:tblPr>
        <w:tblW w:w="9487" w:type="dxa"/>
        <w:jc w:val="center"/>
        <w:tblCellMar>
          <w:left w:w="70" w:type="dxa"/>
          <w:right w:w="70" w:type="dxa"/>
        </w:tblCellMar>
        <w:tblLook w:val="00B7"/>
      </w:tblPr>
      <w:tblGrid>
        <w:gridCol w:w="504"/>
        <w:gridCol w:w="5001"/>
        <w:gridCol w:w="1871"/>
        <w:gridCol w:w="2111"/>
      </w:tblGrid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Badane właściwości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badania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Wymaganie (klasa)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Zawartość lepiszcza,%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 ÷ 62 (6)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Indeks rozpadu, g/100g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13075-1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 ÷ 155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Pozostałość na sicie 0,5 mm,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wypływu dla Ø 2 mm w 40 °C, s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12846-1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÷ 70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Trwałość podczas magazynowania – pozostałość na sicie (7 dni magazynowania – sito 0,5 mm), % (m/m)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0,2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E31CCC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Asfalt odzyskany i stabilizowany</w:t>
            </w:r>
          </w:p>
        </w:tc>
        <w:tc>
          <w:tcPr>
            <w:tcW w:w="3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PN-EN 13074-1 i PN-EN 13074-2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Penetracja w 25 °C asfaltu odzyskanego, 0,1 mm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≤ 100 (3)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Temperatura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asfaltu odzyskanego, °C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1427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46 (5)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Energia kohezji, J/cm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13589 i PN-EN 13703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DV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(1)</w:t>
            </w:r>
          </w:p>
        </w:tc>
      </w:tr>
      <w:tr w:rsidR="00E31CCC">
        <w:trPr>
          <w:cantSplit/>
          <w:trHeight w:val="284"/>
          <w:jc w:val="center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Nawrót sprężysty w 25 °C, %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13398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≥ 50 (5)</w:t>
            </w:r>
          </w:p>
        </w:tc>
      </w:tr>
      <w:tr w:rsidR="00E31CCC">
        <w:trPr>
          <w:jc w:val="center"/>
        </w:trPr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1)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Podano jedynie właściwości wymagane, pozostałe wartości bez wymagań (NR – No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Requirement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  <w:p w:rsidR="00E31CCC" w:rsidRDefault="002E1A55">
            <w:pPr>
              <w:pStyle w:val="Tabela"/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2)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  DV –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Declared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Value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(wartość deklarowana)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Zużycie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Zalecaną ilość skropienia lepiszczem podłoża warstw asfaltowych podano w poniższej tabeli. Decydującym kryterium jest uzyskanie wymaganej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warstw. Kontrolę ilości lepiszcza do skropienia należy wykonać według PN-EN 12272-1.</w:t>
      </w: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4. Zalecaną ilość emulsji asfaltowej do skropienia podłoża</w:t>
      </w:r>
    </w:p>
    <w:tbl>
      <w:tblPr>
        <w:tblW w:w="9286" w:type="dxa"/>
        <w:tblLook w:val="04A0"/>
      </w:tblPr>
      <w:tblGrid>
        <w:gridCol w:w="1869"/>
        <w:gridCol w:w="1863"/>
        <w:gridCol w:w="1861"/>
        <w:gridCol w:w="1845"/>
        <w:gridCol w:w="1848"/>
      </w:tblGrid>
      <w:tr w:rsidR="00E31CCC">
        <w:tc>
          <w:tcPr>
            <w:tcW w:w="3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Podłoże pod układaną warstwę asfaltową</w:t>
            </w:r>
          </w:p>
        </w:tc>
        <w:tc>
          <w:tcPr>
            <w:tcW w:w="5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Układana warstwa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rodzaj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cecha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podbudowa asfaltowa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ścieralna z SMA lub z AC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kategorii ruchu KR1÷7 – rodzaj emulsji: C60 B10 ZM/R 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niezwiązanej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0,5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z mieszanki związanej cementem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KR3÷7 – rodzaj emulsji: C60 BP3 ZM *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)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E31CCC">
        <w:trPr>
          <w:trHeight w:val="28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kategorii ruchu KR1÷2 – rodzaj emulsji: C60 B3 ZM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podbudowy asfaltowej lub stara nawierzchnia asfaltowa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 podbudowa lub stara nawierzchni szczelna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Warstwa wiążąca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nowo wykonana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0,2 ÷ 0,4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frezowana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rPr>
          <w:trHeight w:val="284"/>
        </w:trPr>
        <w:tc>
          <w:tcPr>
            <w:tcW w:w="1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E31CCC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porowata lub w złym stanie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0,3 ÷ 0,5</w:t>
            </w:r>
          </w:p>
        </w:tc>
      </w:tr>
      <w:tr w:rsidR="00E31CCC"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*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  <w:vertAlign w:val="superscript"/>
              </w:rPr>
              <w:t xml:space="preserve">)   </w:t>
            </w: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do złączenia dwóch warstw asfaltowych, gdy obydwie te warstwy wykonane są z zastosowaniem asfaltów niemodyfikowanych dopuszcza się zastosowanie emulsji C60 B3 ZM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Uwaga: w celu określenia ilości pozostałego lepiszcza asfaltowego, należy ilość emulsji asfaltowej podaną w tabeli pomnożyć przez 0,6.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Objaśnienia: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bCs w:val="0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x ” - nie dotyczy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iCs w:val="0"/>
                <w:sz w:val="20"/>
                <w:szCs w:val="20"/>
              </w:rPr>
              <w:t>„ - ” - rozwiązanie nie występuje</w:t>
            </w:r>
          </w:p>
        </w:tc>
      </w:tr>
    </w:tbl>
    <w:p w:rsidR="00E31CCC" w:rsidRDefault="00E31CCC">
      <w:pPr>
        <w:rPr>
          <w:rFonts w:ascii="Tahoma" w:hAnsi="Tahoma" w:cs="Tahoma"/>
          <w:sz w:val="20"/>
          <w:szCs w:val="20"/>
        </w:rPr>
      </w:pP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ustalaniu ilości emulsji do skropienia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 należy brać pod uwagę zalecenia Producenta </w:t>
      </w:r>
      <w:proofErr w:type="spellStart"/>
      <w:r>
        <w:rPr>
          <w:rFonts w:ascii="Tahoma" w:hAnsi="Tahoma" w:cs="Tahoma"/>
          <w:sz w:val="20"/>
          <w:szCs w:val="20"/>
        </w:rPr>
        <w:t>geosyntetyku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Optymalną ilość emulsji asfaltowej do skropienia należy ustalić na odcinku próbnym układania mieszanki mineralno-asfaltowej, w zależności od rodzaju warstwy, stanu jej powierzchni oraz zawartości asfaltu w emulsji. Ilość lepiszcza powinna być dobrana w taki sposób, aby zapewniała </w:t>
      </w:r>
      <w:r>
        <w:rPr>
          <w:rFonts w:ascii="Tahoma" w:hAnsi="Tahoma" w:cs="Tahoma"/>
          <w:sz w:val="20"/>
          <w:szCs w:val="20"/>
        </w:rPr>
        <w:lastRenderedPageBreak/>
        <w:t>całkowite pokrycie emulsją skrapianej powierzchni a jednocześnie nie powodowała spływu emulsji po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Ocenę należy dokonać na podstawie wytrzymałości na ścinanie, wymagania wg tabeli 5. W uzasadnionych przypadkach (brak </w:t>
      </w:r>
      <w:proofErr w:type="spellStart"/>
      <w:r>
        <w:rPr>
          <w:rFonts w:ascii="Tahoma" w:hAnsi="Tahoma" w:cs="Tahoma"/>
          <w:sz w:val="20"/>
          <w:szCs w:val="20"/>
        </w:rPr>
        <w:t>szczepności</w:t>
      </w:r>
      <w:proofErr w:type="spellEnd"/>
      <w:r>
        <w:rPr>
          <w:rFonts w:ascii="Tahoma" w:hAnsi="Tahoma" w:cs="Tahoma"/>
          <w:sz w:val="20"/>
          <w:szCs w:val="20"/>
        </w:rPr>
        <w:t>), zakresy dozowania podane w tabeli 4 mogą zostać rozszerzone.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Warunki przechowywania emulsji nie mogą powodować utraty jej cech i obniżenia jakości. Przechowywanie i transport emulsji powinien być zgodny z zaleceniami producenta.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Ochrona wykonanego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warstwy ochronnej emulsji przez dodatkowe skropienie z użyciem mleczka wapiennego należy stosować dla dróg o kategorii ruchu KR 4÷7. Skropienie mleczkiem wapiennym wykonuje się dopiero wtedy, gdy nastąpi rozpad emulsji i odparuje woda.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Stężenie roztworu roboczego mleczka wapiennego należy przygotować tak, by w 100 g próbki zawartość wodorotlenku wapnia wyrażona w gramach, a otrzymana przez wysuszenie próbki w suszarce w temp. 110 ± 5°C do stałej masy (jednak nie dłużej niż 5 godz.) była: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16,0% i nie większa niż 28,0% - do skropienia podbudowy z mieszanki niezwiązanej lub związanej hydraulicznie,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mniejsza niż 9,0 % i nie większa niż 16,0% - do skropienia warstw mineralno-asfaltowych.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Dozowana na nawierzchnię dawka roztworu mleczka wapiennego powinna zawierać się w przedziale 250 g/m2 ± 20g.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Dalsze prace budowlane na zabezpieczonej nawierzchni można prowadzić po odparowaniu wody z zaaplikowanego roztworu mleczka wapiennego - ocena wizualna (powstanie suchego filmu wodorotlenku wapnia na powierzchni).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 względu na osiadanie wodorotlenku wapnia na dnie zbiornika skrapiarki lub opryskiwacza,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SPRZĘT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0" w:name="_Toc407086124"/>
      <w:r>
        <w:rPr>
          <w:rFonts w:ascii="Tahoma" w:hAnsi="Tahoma" w:cs="Tahoma"/>
          <w:sz w:val="20"/>
          <w:szCs w:val="20"/>
        </w:rPr>
        <w:t>Ogólne wymagania dotyczące sprzętu</w:t>
      </w:r>
      <w:bookmarkEnd w:id="10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p.3.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Używany sprzęt powinien być ponadto zgodny z ofertą Wykonawcy i PZJ oraz uzyskać akceptację Zamawiającego.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1" w:name="_Toc407085677"/>
      <w:bookmarkStart w:id="12" w:name="_Toc407085534"/>
      <w:bookmarkStart w:id="13" w:name="_Toc407085391"/>
      <w:bookmarkStart w:id="14" w:name="_Toc407084272"/>
      <w:bookmarkStart w:id="15" w:name="_Toc407083438"/>
      <w:bookmarkStart w:id="16" w:name="_Toc407081782"/>
      <w:bookmarkStart w:id="17" w:name="_Toc407081639"/>
      <w:bookmarkStart w:id="18" w:name="_Toc407069674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Tahoma" w:hAnsi="Tahoma" w:cs="Tahoma"/>
          <w:sz w:val="20"/>
          <w:szCs w:val="20"/>
        </w:rPr>
        <w:t>Sprzęt do oczyszczenia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Style w:val="StylPierwszywiersz05cmZnak"/>
          <w:rFonts w:ascii="Tahoma" w:hAnsi="Tahoma" w:cs="Tahoma"/>
          <w:sz w:val="20"/>
          <w:szCs w:val="20"/>
        </w:rPr>
        <w:t>Do oczyszczania warstw nawierzchni należy stosować szczotki mechaniczne. Zaleca się</w:t>
      </w:r>
      <w:r>
        <w:rPr>
          <w:rFonts w:ascii="Tahoma" w:hAnsi="Tahoma" w:cs="Tahoma"/>
          <w:sz w:val="20"/>
          <w:szCs w:val="20"/>
        </w:rPr>
        <w:t xml:space="preserve"> użycie urządzeń </w:t>
      </w:r>
      <w:proofErr w:type="spellStart"/>
      <w:r>
        <w:rPr>
          <w:rFonts w:ascii="Tahoma" w:hAnsi="Tahoma" w:cs="Tahoma"/>
          <w:sz w:val="20"/>
          <w:szCs w:val="20"/>
        </w:rPr>
        <w:t>dwuszczotkowych</w:t>
      </w:r>
      <w:proofErr w:type="spellEnd"/>
      <w:r>
        <w:rPr>
          <w:rFonts w:ascii="Tahoma" w:hAnsi="Tahoma" w:cs="Tahoma"/>
          <w:sz w:val="20"/>
          <w:szCs w:val="20"/>
        </w:rPr>
        <w:t xml:space="preserve">. Pierwsza ze szczotek powinna być wykonana z 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pomocniczy: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sprężarki,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lance do odpylania,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wodą,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szczotki ręczne.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Sprzęt do skrapiania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robót jest zobowiązany do użycia tylko takiej skrapiarki, która zapewni rozłożenie na jezdni przewidzianej ilości lepiszcza równomiernie, zarówno w kierunku podłużnym jak i poprzecznym. Dla zapewnienia równomiernego rozłożenia przewidzianej ilości lepiszcza na nawierzchni, skrapiarka powinna być wyposażona w urządzenia pomiarowo-kontrolne oraz mechanizmy regulacyjne, pozwalające na sprawdzenie i regulowanie parametrów takich jak: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temperatury rozkładanego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ciśnienia lepiszcza w kolektorze,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obrotów pompy dozującej lepiszcze,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 poruszania się skrapiarki (dokładny pomiar i wskazanie w zakresie zwykle od 3 ÷ 6 km/h),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wysokości i długości kolektora do rozkładania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ilości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 na lepiszcze skrapiarki powinien być izolowany termicznie, tak aby było możliwe zachowanie stałej temperatury lepiszcza. Kolektor skrapiarki powinien być wyposażony w dysze szczelinowe oraz posiadać regulację wysokości swego położenia nad powierzchnią jezdni, dla zapewnienia równomiernego pokrycia nawierzchni lepiszczem z dwóch lub trzech dysz. Nie dopuszcza się stosowania skrapiarek, których kolektor jest wyposażony w dysze stożkowe. Zależności pomiędzy wydatkiem lepiszcza a nastawami regulowanych parametrów takich jak: ciśnienie, obroty pompy prędkość jazdy skrapiarki i temperatura lepiszcza powinny być  zawarte w aktualnych wynikach cechowania skrapiarki.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posiadać aktualne świadectwo cechowania skrapiarki zawierające zależności pomiędzy wydatkiem lepiszcza a następującymi parametrami: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ciśnieniem lepiszcza,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obrotami pompy,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prędkością jazdy skrapiarki,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temperaturą lepiszcza.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Skrapiarka powinna zapewnić rozkładanie lepiszcza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 od ilości ustalonej wg p.2. zarówno w kierunku podłużnym jak i poprzecznym.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TRANSPORT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19" w:name="_Toc407086128"/>
      <w:r>
        <w:rPr>
          <w:rFonts w:ascii="Tahoma" w:hAnsi="Tahoma" w:cs="Tahoma"/>
          <w:sz w:val="20"/>
          <w:szCs w:val="20"/>
        </w:rPr>
        <w:t>Ogólne wymagania dotyczące transportu</w:t>
      </w:r>
      <w:bookmarkEnd w:id="1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p.4.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0" w:name="_Toc407085681"/>
      <w:bookmarkStart w:id="21" w:name="_Toc407085538"/>
      <w:bookmarkStart w:id="22" w:name="_Toc407085395"/>
      <w:bookmarkStart w:id="23" w:name="_Toc407084276"/>
      <w:bookmarkStart w:id="24" w:name="_Toc407083442"/>
      <w:bookmarkStart w:id="25" w:name="_Toc407081786"/>
      <w:bookmarkStart w:id="26" w:name="_Toc407081643"/>
      <w:bookmarkStart w:id="27" w:name="_Toc407069678"/>
      <w:bookmarkStart w:id="28" w:name="_Toc40708612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ahoma" w:hAnsi="Tahoma" w:cs="Tahoma"/>
          <w:sz w:val="20"/>
          <w:szCs w:val="20"/>
        </w:rPr>
        <w:t>Transport lepiszczy</w:t>
      </w:r>
      <w:bookmarkEnd w:id="2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lepiszczy powinien odbywać się w cysternach samochodowych. Dopuszcza się stosowanie beczek lub innych pojemników stalowych. Cysterny przeznaczone do przewozu lepiszczy powinny być przedzielone przegrodami, dzielącymi je na komory o pojemności nie większej niż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, a każda przegroda powinna mieć wykroje umożliwiające przepływ lepiszcza. Cysterny, pojemniki i zbiorniki przeznaczone do transportu lub składowania lepiszcza powinny być czyste i nie powinny zawierać resztek innych lepiszczy. 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zanieczyszczeń pozostałych po oczyszczeniu nawierzchni odbywa się środkami zaproponowanymi przez Wykonawcę, w sposób nie powodujący ponownego zabrudzenia jezdni.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WYKONANIE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29" w:name="_Toc407086131"/>
      <w:r>
        <w:rPr>
          <w:rFonts w:ascii="Tahoma" w:hAnsi="Tahoma" w:cs="Tahoma"/>
          <w:sz w:val="20"/>
          <w:szCs w:val="20"/>
        </w:rPr>
        <w:t>Ogólne zasady wykonania robót</w:t>
      </w:r>
      <w:bookmarkEnd w:id="29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p.5.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0" w:name="_Toc407085684"/>
      <w:bookmarkStart w:id="31" w:name="_Toc407085541"/>
      <w:bookmarkStart w:id="32" w:name="_Toc407085398"/>
      <w:bookmarkStart w:id="33" w:name="_Toc407084279"/>
      <w:bookmarkStart w:id="34" w:name="_Toc407083445"/>
      <w:bookmarkStart w:id="35" w:name="_Toc407081789"/>
      <w:bookmarkStart w:id="36" w:name="_Toc407081646"/>
      <w:bookmarkStart w:id="37" w:name="_Toc407069681"/>
      <w:bookmarkEnd w:id="30"/>
      <w:bookmarkEnd w:id="31"/>
      <w:bookmarkEnd w:id="32"/>
      <w:bookmarkEnd w:id="33"/>
      <w:bookmarkEnd w:id="34"/>
      <w:bookmarkEnd w:id="35"/>
      <w:bookmarkEnd w:id="36"/>
      <w:bookmarkEnd w:id="37"/>
      <w:r>
        <w:rPr>
          <w:rFonts w:ascii="Tahoma" w:hAnsi="Tahoma" w:cs="Tahoma"/>
          <w:sz w:val="20"/>
          <w:szCs w:val="20"/>
        </w:rPr>
        <w:t>Oczyszczenie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warstw nawierzchni polega na usunięciu luźnego materiału, brudu, błota i kurzu przez oczyszczenie mechaniczne. Po oczyszczeniu warstwy za pomocą sprzętu mechanicznego, zaleca się odpylić ją za pomocą sprężonego powietrza. Odpylana powierzchnia musi być sucha.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Dobór właściwej ilości skropienia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celu dobrania optymalnej ilości lepiszcza, zapewniającej wymaganą </w:t>
      </w:r>
      <w:proofErr w:type="spellStart"/>
      <w:r>
        <w:rPr>
          <w:rFonts w:ascii="Tahoma" w:hAnsi="Tahoma" w:cs="Tahoma"/>
          <w:sz w:val="20"/>
          <w:szCs w:val="20"/>
        </w:rPr>
        <w:t>sczepność</w:t>
      </w:r>
      <w:proofErr w:type="spellEnd"/>
      <w:r>
        <w:rPr>
          <w:rFonts w:ascii="Tahoma" w:hAnsi="Tahoma" w:cs="Tahoma"/>
          <w:sz w:val="20"/>
          <w:szCs w:val="20"/>
        </w:rPr>
        <w:t xml:space="preserve"> warstw bitumicznych (ścieralnej z wiążącą, wiążącej z podbudową z AC oraz pomiędzy </w:t>
      </w:r>
      <w:proofErr w:type="spellStart"/>
      <w:r>
        <w:rPr>
          <w:rFonts w:ascii="Tahoma" w:hAnsi="Tahoma" w:cs="Tahoma"/>
          <w:sz w:val="20"/>
          <w:szCs w:val="20"/>
        </w:rPr>
        <w:t>geosiatką</w:t>
      </w:r>
      <w:proofErr w:type="spellEnd"/>
      <w:r>
        <w:rPr>
          <w:rFonts w:ascii="Tahoma" w:hAnsi="Tahoma" w:cs="Tahoma"/>
          <w:sz w:val="20"/>
          <w:szCs w:val="20"/>
        </w:rPr>
        <w:t xml:space="preserve"> i sąsiednimi warstwami), jednorazowo przed przystąpieniem do Robót, Wykonawca wykona odcinek próbny, w miejscu i o długości uzgodnionej z Zamawiającym, na którym określi niezbędną ilość skropienia na warstwie z podbudowy z AC, wiążącej i pod </w:t>
      </w:r>
      <w:proofErr w:type="spellStart"/>
      <w:r>
        <w:rPr>
          <w:rFonts w:ascii="Tahoma" w:hAnsi="Tahoma" w:cs="Tahoma"/>
          <w:sz w:val="20"/>
          <w:szCs w:val="20"/>
        </w:rPr>
        <w:t>geosiatkę</w:t>
      </w:r>
      <w:proofErr w:type="spellEnd"/>
      <w:r>
        <w:rPr>
          <w:rFonts w:ascii="Tahoma" w:hAnsi="Tahoma" w:cs="Tahoma"/>
          <w:sz w:val="20"/>
          <w:szCs w:val="20"/>
        </w:rPr>
        <w:t xml:space="preserve">, potrzebną do przeniesienia wymaganych naprężeń ścinających pomiędzy warstwami bitumicznymi. Poszczególne warstwy z MMA i SMA powinny </w:t>
      </w:r>
      <w:r>
        <w:rPr>
          <w:rFonts w:ascii="Tahoma" w:hAnsi="Tahoma" w:cs="Tahoma"/>
          <w:sz w:val="20"/>
          <w:szCs w:val="20"/>
        </w:rPr>
        <w:lastRenderedPageBreak/>
        <w:t>odpowiadać właściwym mieszankom przeznaczonym na te warstwy, a na połowie odcinka powinna zostać sfrezowana w sposób i sprzętem, który zostanie zastosowany do frezowania połączeń odcinków początkowych i końcowych nawierzchni..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 nawierzchni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przed skropieniem powinna być sucha i oczyszczona. Jeżeli oczyszczona warstwa została zawilgocona, to skropienie lepiszczem może nastąpić dopiero po wyschnięciu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warstwy może rozpocząć się po akceptacji przez Zamawiającego jej oczyszczenia.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Warstwa nawierzchni powinna być skrapiana lepiszczem przy użyciu skrapiarek a w miejscach trudno dostępnych ręcznie (za pomocą węża z dyszą rozpryskową).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Temperatura emulsji asfaltowej podczas </w:t>
      </w:r>
      <w:proofErr w:type="spellStart"/>
      <w:r>
        <w:rPr>
          <w:rFonts w:ascii="Tahoma" w:hAnsi="Tahoma" w:cs="Tahoma"/>
          <w:sz w:val="20"/>
          <w:szCs w:val="20"/>
        </w:rPr>
        <w:t>skrapiamia</w:t>
      </w:r>
      <w:proofErr w:type="spellEnd"/>
      <w:r>
        <w:rPr>
          <w:rFonts w:ascii="Tahoma" w:hAnsi="Tahoma" w:cs="Tahoma"/>
          <w:sz w:val="20"/>
          <w:szCs w:val="20"/>
        </w:rPr>
        <w:t xml:space="preserve"> powinna mieścić się w przedziale od 50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 xml:space="preserve">C (niemodyfikowane) oraz od 60 ÷ 85 </w:t>
      </w:r>
      <w:r>
        <w:rPr>
          <w:rFonts w:ascii="Symbol" w:eastAsia="Symbol" w:hAnsi="Symbol" w:cs="Symbol"/>
          <w:sz w:val="20"/>
          <w:szCs w:val="20"/>
        </w:rPr>
        <w:t></w:t>
      </w:r>
      <w:r>
        <w:rPr>
          <w:rFonts w:ascii="Tahoma" w:hAnsi="Tahoma" w:cs="Tahoma"/>
          <w:sz w:val="20"/>
          <w:szCs w:val="20"/>
        </w:rPr>
        <w:t>C (modyfikowane) lub zgodnie z zaleceniami producenta.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razie potrzeby emulsję należy ogrzać do temperatury zapewniającej wymaganą lepkość. Skropienie powinno być równomierne a ilość rozkładanego lepiszcza po odparowaniu wody powinna być równa ilości założonej w pkt.2. z 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>10 %.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Skropiona emulsją asfaltową warstwa powinna być pozostawiona bez jakiegokolwiek ruchu na okres niezbędny do całkowitego rozpadu emulsji i odparowania wody z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 powinno być wykonane z wyprzedzeniem w czasie przewidzianym na odparowanie wody; orientacyjny czas wyprzedzenia wynosi co najmniej: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24h – dla skropienia na podbudowie z kruszywa i z mieszanki związanej cementem,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 h – w pozostałych przypadkach.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ten może zostać odpowiednio skrócony po uzgodnieniu z Zamawiającego.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ułożeniem warstwy z mieszanki mineralno-bitumicznej Wykonawca powinien zabezpieczyć skropioną warstwę nawierzchni przed uszkodzeniem dopuszczając tylko niezbędny ruch budowlany.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Jakiekolwiek uszkodzenia powierzchni powinny być przez Wykonawcę naprawione.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KONTROLA JAKOŚCI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8" w:name="_Toc407086135"/>
      <w:r>
        <w:rPr>
          <w:rFonts w:ascii="Tahoma" w:hAnsi="Tahoma" w:cs="Tahoma"/>
          <w:sz w:val="20"/>
          <w:szCs w:val="20"/>
        </w:rPr>
        <w:t>Ogólne zasady kontroli jakości robót</w:t>
      </w:r>
      <w:bookmarkEnd w:id="3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p.6.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bookmarkStart w:id="39" w:name="_Toc407085688"/>
      <w:bookmarkStart w:id="40" w:name="_Toc407085545"/>
      <w:bookmarkStart w:id="41" w:name="_Toc407085402"/>
      <w:bookmarkStart w:id="42" w:name="_Toc407084283"/>
      <w:bookmarkStart w:id="43" w:name="_Toc407083449"/>
      <w:bookmarkStart w:id="44" w:name="_Toc407081793"/>
      <w:bookmarkStart w:id="45" w:name="_Toc407081650"/>
      <w:bookmarkStart w:id="46" w:name="_Toc407069685"/>
      <w:bookmarkStart w:id="47" w:name="_Toc407086136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Tahoma" w:hAnsi="Tahoma" w:cs="Tahoma"/>
          <w:sz w:val="20"/>
          <w:szCs w:val="20"/>
        </w:rPr>
        <w:t>Badania przed przystąpieniem do robót</w:t>
      </w:r>
      <w:bookmarkEnd w:id="47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Robót Wykonawca powinien przedstawić Zamawiającemu odpowiednie dokumenty dopuszczające Wyrób do stosowania w robotach budowlanych oraz potwierdzające wymagane parametry. Następnie Wykonawca powinien przeprowadzić sprawdzenie poprawnego wykonania oczyszczenia powierzchni przewidzianej do skropienia, a następnie dokonać próbnego skropienia warstwy w celu określenia optymalnych parametrów pracy skrapiarki oraz dobrania i sprawdzenia wymaganej ilości lepiszcza w zależności od rodzaju i stanu warstwy przewidzianej do skropienia.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w czasie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kationowych emulsji asfaltowych należy przeprowadza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według normy przywołanych w PN-EN 13808:2013-10/Ap1.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Adhezj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należy oznacza</w:t>
      </w:r>
      <w:r>
        <w:rPr>
          <w:rFonts w:ascii="Tahoma" w:eastAsia="TimesNewRoman" w:hAnsi="Tahoma" w:cs="Tahoma"/>
          <w:sz w:val="20"/>
          <w:szCs w:val="20"/>
        </w:rPr>
        <w:t>ć</w:t>
      </w:r>
      <w:r>
        <w:rPr>
          <w:rFonts w:ascii="Tahoma" w:hAnsi="Tahoma" w:cs="Tahoma"/>
          <w:sz w:val="20"/>
          <w:szCs w:val="20"/>
        </w:rPr>
        <w:t>, co najmniej jeden raz dla każdej partii produkcyjnej emulsji.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Próbki emulsji i asfaltów do bada</w:t>
      </w:r>
      <w:r>
        <w:rPr>
          <w:rFonts w:ascii="Tahoma" w:eastAsia="TimesNewRoman" w:hAnsi="Tahoma" w:cs="Tahoma"/>
          <w:sz w:val="20"/>
          <w:szCs w:val="20"/>
        </w:rPr>
        <w:t xml:space="preserve">ń </w:t>
      </w:r>
      <w:r>
        <w:rPr>
          <w:rFonts w:ascii="Tahoma" w:hAnsi="Tahoma" w:cs="Tahoma"/>
          <w:sz w:val="20"/>
          <w:szCs w:val="20"/>
        </w:rPr>
        <w:t>laboratoryjnych powinny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pobierane według PN-EN 58.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 próbek analitycznych powinno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wykonane według PN-EN 12594.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Wymagania dla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Wytrzymałość na ścinanie wszystkich połączeń jest warunkiem uzyskania odpowiedniej sztywności konstrukcji, a tym samym trwałości konstrukcji. Jest warunkiem, który jest zakładany do obliczenia grubości warstw na etapie wymiarowania nawierzchni i musi być spełniony.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Wymagane minimalne wartości wytrzymałości na ścinanie połączenia między warstwami asfaltowymi nawierzchni podano w tabeli 5.</w:t>
      </w:r>
    </w:p>
    <w:p w:rsidR="00E31CCC" w:rsidRDefault="002E1A55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Tabela 5. Wymagana wytrzymałość na ścinanie połączenia pomiędzy warstwami asfaltowymi nawierzchni</w:t>
      </w:r>
    </w:p>
    <w:tbl>
      <w:tblPr>
        <w:tblW w:w="7852" w:type="dxa"/>
        <w:jc w:val="center"/>
        <w:tblLook w:val="04A0"/>
      </w:tblPr>
      <w:tblGrid>
        <w:gridCol w:w="2713"/>
        <w:gridCol w:w="5139"/>
      </w:tblGrid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między warstwami</w:t>
            </w:r>
          </w:p>
          <w:p w:rsidR="00E31CCC" w:rsidRDefault="00E31C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Wymagana minimalna wytrzymałość na ścinanie, 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próbkach Ф 150 mm (Ф 100 mm)</w:t>
            </w:r>
          </w:p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[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ścieralna - wiążąca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wiążąca – podbudowa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0,7</w:t>
            </w:r>
          </w:p>
        </w:tc>
      </w:tr>
      <w:tr w:rsidR="00E31CCC">
        <w:trPr>
          <w:jc w:val="center"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podbudowa - podbudowa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0,6</w:t>
            </w:r>
          </w:p>
        </w:tc>
      </w:tr>
      <w:tr w:rsidR="00E31CCC">
        <w:trPr>
          <w:jc w:val="center"/>
        </w:trPr>
        <w:tc>
          <w:tcPr>
            <w:tcW w:w="7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a)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Nie dotyczy asfaltowych warstw kompaktowych</w:t>
            </w:r>
          </w:p>
          <w:p w:rsidR="00E31CCC" w:rsidRDefault="002E1A55">
            <w:pPr>
              <w:tabs>
                <w:tab w:val="left" w:pos="397"/>
                <w:tab w:val="left" w:pos="567"/>
                <w:tab w:val="left" w:pos="737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t>b)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Jeśli podbudowa składa się z kilku warstw asfaltowych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Metodyka badania wytrzymałości na ścinanie zgodnie z „Instrukcją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2014”, z zastosowaniem próbek Ф 100 mm lub Ф 150mm”. Badaniem referencyjnym jest badanie na </w:t>
      </w:r>
      <w:proofErr w:type="spellStart"/>
      <w:r>
        <w:rPr>
          <w:rFonts w:ascii="Tahoma" w:hAnsi="Tahoma" w:cs="Tahoma"/>
          <w:sz w:val="20"/>
          <w:szCs w:val="20"/>
        </w:rPr>
        <w:t>probkach</w:t>
      </w:r>
      <w:proofErr w:type="spellEnd"/>
      <w:r>
        <w:rPr>
          <w:rFonts w:ascii="Tahoma" w:hAnsi="Tahoma" w:cs="Tahoma"/>
          <w:sz w:val="20"/>
          <w:szCs w:val="20"/>
        </w:rPr>
        <w:t xml:space="preserve"> Ф 150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Badanie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jako badanie kontrolne, powinno być wykonywane w nawierzchniach dróg KR 4÷7. Częstość wykonywanych badań powinna wynosić nie rzadziej niż jeden punkt na 15 000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wykonanej nawierzchni.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odniesieniu do dróg KR1÷3 badania kontrolne połączenia </w:t>
      </w:r>
      <w:proofErr w:type="spellStart"/>
      <w:r>
        <w:rPr>
          <w:rFonts w:ascii="Tahoma" w:hAnsi="Tahoma" w:cs="Tahoma"/>
          <w:sz w:val="20"/>
          <w:szCs w:val="20"/>
        </w:rPr>
        <w:t>międzywarstwowego</w:t>
      </w:r>
      <w:proofErr w:type="spellEnd"/>
      <w:r>
        <w:rPr>
          <w:rFonts w:ascii="Tahoma" w:hAnsi="Tahoma" w:cs="Tahoma"/>
          <w:sz w:val="20"/>
          <w:szCs w:val="20"/>
        </w:rPr>
        <w:t xml:space="preserve"> nie są obligatoryjne, jednak należy je wykonywać w przypadkach budzących wątpliwości co do jakości wykonanych robot.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Badania lepiszczy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Ocena lepiszcza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dokonywana w oparciu o deklaracje zgodności producenta. W wypadkach w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tpliwych Zamawiający zaleci wykonanie dodatkowych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3"/>
        <w:numPr>
          <w:ilvl w:val="2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jednorodno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skropienia i zu</w:t>
      </w:r>
      <w:r>
        <w:rPr>
          <w:rFonts w:ascii="Tahoma" w:eastAsia="TimesNewRoman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ycia lepiszcza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Jednorodno</w:t>
      </w:r>
      <w:r>
        <w:rPr>
          <w:rFonts w:ascii="Tahoma" w:eastAsia="TimesNewRoman" w:hAnsi="Tahoma" w:cs="Tahoma"/>
          <w:sz w:val="20"/>
          <w:szCs w:val="20"/>
        </w:rPr>
        <w:t xml:space="preserve">ść </w:t>
      </w:r>
      <w:r>
        <w:rPr>
          <w:rFonts w:ascii="Tahoma" w:hAnsi="Tahoma" w:cs="Tahoma"/>
          <w:sz w:val="20"/>
          <w:szCs w:val="20"/>
        </w:rPr>
        <w:t>skropienia powinna by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sprawdzana wizualnie. Raz na miesi</w:t>
      </w:r>
      <w:r>
        <w:rPr>
          <w:rFonts w:ascii="Tahoma" w:eastAsia="TimesNewRoman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>c dla każdej skrapiarki należy przeprowadzi</w:t>
      </w:r>
      <w:r>
        <w:rPr>
          <w:rFonts w:ascii="Tahoma" w:eastAsia="TimesNewRoman" w:hAnsi="Tahoma" w:cs="Tahoma"/>
          <w:sz w:val="20"/>
          <w:szCs w:val="20"/>
        </w:rPr>
        <w:t xml:space="preserve">ć </w:t>
      </w:r>
      <w:r>
        <w:rPr>
          <w:rFonts w:ascii="Tahoma" w:hAnsi="Tahoma" w:cs="Tahoma"/>
          <w:sz w:val="20"/>
          <w:szCs w:val="20"/>
        </w:rPr>
        <w:t>kontrol</w:t>
      </w:r>
      <w:r>
        <w:rPr>
          <w:rFonts w:ascii="Tahoma" w:eastAsia="TimesNewRoman" w:hAnsi="Tahoma" w:cs="Tahoma"/>
          <w:sz w:val="20"/>
          <w:szCs w:val="20"/>
        </w:rPr>
        <w:t xml:space="preserve">ę </w:t>
      </w:r>
      <w:r>
        <w:rPr>
          <w:rFonts w:ascii="Tahoma" w:hAnsi="Tahoma" w:cs="Tahoma"/>
          <w:sz w:val="20"/>
          <w:szCs w:val="20"/>
        </w:rPr>
        <w:t>ilo</w:t>
      </w:r>
      <w:r>
        <w:rPr>
          <w:rFonts w:ascii="Tahoma" w:eastAsia="TimesNewRoman" w:hAnsi="Tahoma" w:cs="Tahoma"/>
          <w:sz w:val="20"/>
          <w:szCs w:val="20"/>
        </w:rPr>
        <w:t>ś</w:t>
      </w:r>
      <w:r>
        <w:rPr>
          <w:rFonts w:ascii="Tahoma" w:hAnsi="Tahoma" w:cs="Tahoma"/>
          <w:sz w:val="20"/>
          <w:szCs w:val="20"/>
        </w:rPr>
        <w:t>ci rozkładanego lepiszcza według normy PN-EN 12272-1 „Powierzchniowe utrwalenia. Metody bada</w:t>
      </w:r>
      <w:r>
        <w:rPr>
          <w:rFonts w:ascii="Tahoma" w:eastAsia="TimesNewRoman" w:hAnsi="Tahoma" w:cs="Tahoma"/>
          <w:sz w:val="20"/>
          <w:szCs w:val="20"/>
        </w:rPr>
        <w:t>ń</w:t>
      </w:r>
      <w:r>
        <w:rPr>
          <w:rFonts w:ascii="Tahoma" w:hAnsi="Tahoma" w:cs="Tahoma"/>
          <w:sz w:val="20"/>
          <w:szCs w:val="20"/>
        </w:rPr>
        <w:t>. Cz</w:t>
      </w:r>
      <w:r>
        <w:rPr>
          <w:rFonts w:ascii="Tahoma" w:eastAsia="TimesNewRoman" w:hAnsi="Tahoma" w:cs="Tahoma"/>
          <w:sz w:val="20"/>
          <w:szCs w:val="20"/>
        </w:rPr>
        <w:t xml:space="preserve">ęść </w:t>
      </w:r>
      <w:r>
        <w:rPr>
          <w:rFonts w:ascii="Tahoma" w:hAnsi="Tahoma" w:cs="Tahoma"/>
          <w:sz w:val="20"/>
          <w:szCs w:val="20"/>
        </w:rPr>
        <w:t>1: Dozowanie i poprzeczny rozkład lepiszcza i kruszywa”.</w:t>
      </w:r>
    </w:p>
    <w:p w:rsidR="00E31CCC" w:rsidRDefault="002E1A55">
      <w:pPr>
        <w:pStyle w:val="Heading1"/>
        <w:keepNext w:val="0"/>
        <w:numPr>
          <w:ilvl w:val="0"/>
          <w:numId w:val="2"/>
        </w:numPr>
        <w:spacing w:before="6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OBMIAR ROBÓT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Ogólne zasady obmiaru Robót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 xml:space="preserve">Ogólne zasady obmiaru Robót podano w </w:t>
      </w:r>
      <w:proofErr w:type="spellStart"/>
      <w:r>
        <w:rPr>
          <w:b w:val="0"/>
        </w:rPr>
        <w:t>STWiORB</w:t>
      </w:r>
      <w:proofErr w:type="spellEnd"/>
      <w:r>
        <w:rPr>
          <w:b w:val="0"/>
        </w:rPr>
        <w:t xml:space="preserve"> D-00.00.00 "Wymagania ogólne" pkt.7.</w:t>
      </w:r>
    </w:p>
    <w:p w:rsidR="00E31CCC" w:rsidRDefault="002E1A55">
      <w:pPr>
        <w:pStyle w:val="Heading2"/>
        <w:keepNext w:val="0"/>
        <w:numPr>
          <w:ilvl w:val="1"/>
          <w:numId w:val="2"/>
        </w:numPr>
      </w:pPr>
      <w:r>
        <w:t>Jednostka obmiarowa</w:t>
      </w:r>
    </w:p>
    <w:p w:rsidR="00E31CCC" w:rsidRDefault="002E1A55">
      <w:pPr>
        <w:pStyle w:val="Heading2"/>
        <w:keepNext w:val="0"/>
        <w:numPr>
          <w:ilvl w:val="0"/>
          <w:numId w:val="0"/>
        </w:numPr>
        <w:ind w:left="709"/>
        <w:rPr>
          <w:b w:val="0"/>
        </w:rPr>
      </w:pPr>
      <w:r>
        <w:rPr>
          <w:b w:val="0"/>
        </w:rPr>
        <w:t>Obmiar oczyszczonej i skropionej powierzchni warstwy powinien być dokonany w metrach kwadratowych [m2].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bookmarkStart w:id="48" w:name="_Toc407085692"/>
      <w:bookmarkStart w:id="49" w:name="_Toc407085549"/>
      <w:bookmarkStart w:id="50" w:name="_Toc407085406"/>
      <w:bookmarkStart w:id="51" w:name="_Toc407084287"/>
      <w:bookmarkStart w:id="52" w:name="_Toc407083453"/>
      <w:bookmarkStart w:id="53" w:name="_Toc407081797"/>
      <w:bookmarkStart w:id="54" w:name="_Toc407081654"/>
      <w:bookmarkStart w:id="55" w:name="_Toc407069689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Tahoma" w:hAnsi="Tahoma" w:cs="Tahoma"/>
          <w:sz w:val="20"/>
        </w:rPr>
        <w:t>ODBIÓR ROBÓT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Ogólne zasady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DM.00.00.00 „Wymagania ogólne” p.8.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odbioru robót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Odbiór oczyszczonej i skropionej powierzchni jest dokonywany na zasadach odbioru Robót zanikających i ulegających zakryciu. Odbiorowi podlegają: 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oczyszczenie pod skropienie</w:t>
      </w:r>
    </w:p>
    <w:p w:rsidR="00E31CCC" w:rsidRDefault="002E1A55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skropienie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Roboty uznaje się za wykonane zgodnie z Dokumentacją Projektową i wymaganiami Zamawiającego, jeżeli wszystkie pomiary i badania z zachowaniem tolerancji wg p.6 dały wyniki pozytywne.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odbioru Wykonawca przedstawia wszystkie wyniki badań z bieżącej kontroli asfaltu i emulsji, ilości rozłożonego lepiszcza oraz deklaracje zgodności producenta lub oznakowanie wyrobu znakiem CE. Odbioru dokonuje Zamawiający na podstawie wyników badań Wykonawcy i oględzin warstwy.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stwierdzenia usterek Zamawiający ustali zakres wykonania Robót poprawkowych. Roboty poprawkowe Wykonawca wykona na własny koszt w terminie ustalonym z Zamawiającym.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Robót zgodnie z aktualnymi dokumentami, wytycznymi na czas budowy.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PODSTAWA PŁATNOŚCI</w:t>
      </w:r>
    </w:p>
    <w:p w:rsidR="00E31CCC" w:rsidRDefault="00E31CCC"/>
    <w:p w:rsidR="00E31CCC" w:rsidRDefault="002E1A55">
      <w:pPr>
        <w:pStyle w:val="Heading2"/>
        <w:numPr>
          <w:ilvl w:val="1"/>
          <w:numId w:val="2"/>
        </w:numPr>
        <w:spacing w:before="0"/>
        <w:rPr>
          <w:rFonts w:ascii="Tahoma" w:hAnsi="Tahoma" w:cs="Tahoma"/>
        </w:rPr>
      </w:pPr>
      <w:bookmarkStart w:id="56" w:name="_Toc407085696"/>
      <w:bookmarkStart w:id="57" w:name="_Toc407085553"/>
      <w:bookmarkStart w:id="58" w:name="_Toc407085410"/>
      <w:bookmarkStart w:id="59" w:name="_Toc407084291"/>
      <w:bookmarkStart w:id="60" w:name="_Toc407083457"/>
      <w:bookmarkStart w:id="61" w:name="_Toc407081801"/>
      <w:bookmarkStart w:id="62" w:name="_Toc407081658"/>
      <w:bookmarkStart w:id="63" w:name="_Toc407069693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Tahoma" w:hAnsi="Tahoma" w:cs="Tahoma"/>
        </w:rPr>
        <w:t>Ogólne ustalenia dotyczące podstawy płatności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</w:rPr>
      </w:pPr>
      <w:bookmarkStart w:id="64" w:name="_Toc407086034"/>
      <w:bookmarkStart w:id="65" w:name="_Toc407085586"/>
      <w:bookmarkStart w:id="66" w:name="_Toc407085443"/>
      <w:bookmarkStart w:id="67" w:name="_Toc407085300"/>
      <w:bookmarkStart w:id="68" w:name="_Toc407084181"/>
      <w:bookmarkStart w:id="69" w:name="_Toc407083347"/>
      <w:bookmarkStart w:id="70" w:name="_Toc407081548"/>
      <w:bookmarkStart w:id="71" w:name="_Toc407069583"/>
      <w:bookmarkStart w:id="72" w:name="_Toc406984375"/>
      <w:bookmarkStart w:id="73" w:name="_Toc406984184"/>
      <w:bookmarkStart w:id="74" w:name="_Toc406984037"/>
      <w:bookmarkStart w:id="75" w:name="_Toc406915344"/>
      <w:bookmarkStart w:id="76" w:name="_Toc406914766"/>
      <w:bookmarkStart w:id="77" w:name="_Toc406914112"/>
      <w:bookmarkStart w:id="78" w:name="_Toc406913867"/>
      <w:r>
        <w:rPr>
          <w:rFonts w:ascii="Tahoma" w:hAnsi="Tahoma" w:cs="Tahoma"/>
        </w:rPr>
        <w:t>Cena jednostki obmiarowej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oczyszczenia i skropienia warstw konstrukcyjnych obejmuje: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i utrzymanie oznakowania robót,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mechaniczne oczyszczenie każdej niżej położonej warstwy konstrukcyjnej nawierzchni z ewentualnym polewaniem wodą lub użyciem sprężonego powietrza, w zależności od potrzeb,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ręczne odspojenie stwardniałych zanieczyszczeń,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zakup i transport materiałów,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 lepiszcza i napełnienie nim skrapiarek oraz podgrzanie do wymaganej temperatury,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skropienie warstwy lepiszczem w ilości określonej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E31CCC" w:rsidRDefault="002E1A55">
      <w:pPr>
        <w:numPr>
          <w:ilvl w:val="0"/>
          <w:numId w:val="4"/>
        </w:numPr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przeprowadzenie pomiarów i badań laboratoryjnych wymaganych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E31CCC" w:rsidRDefault="002E1A55">
      <w:pPr>
        <w:pStyle w:val="Heading1"/>
        <w:numPr>
          <w:ilvl w:val="0"/>
          <w:numId w:val="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PRZEPISY ZWIĄZANE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Normy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braku datowania danej normy przywołanie dotyczy najnowszego jej wydania. W pozostałych przypadkach dotyczy wskazanego datowania.</w:t>
      </w:r>
    </w:p>
    <w:tbl>
      <w:tblPr>
        <w:tblW w:w="9426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771"/>
        <w:gridCol w:w="7655"/>
      </w:tblGrid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iCs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13808</w:t>
            </w:r>
            <w:r>
              <w:rPr>
                <w:rFonts w:ascii="Tahoma" w:hAnsi="Tahoma" w:cs="Tahoma"/>
                <w:iCs w:val="0"/>
                <w:sz w:val="20"/>
                <w:szCs w:val="20"/>
              </w:rPr>
              <w:t>:</w:t>
            </w:r>
          </w:p>
          <w:p w:rsidR="00E31CCC" w:rsidRDefault="002E1A55">
            <w:pPr>
              <w:spacing w:befor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 w:val="0"/>
                <w:sz w:val="20"/>
                <w:szCs w:val="20"/>
              </w:rPr>
              <w:t>2013-10/Ap1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asfaltowe. Zasady klasyfikacji kationowych emulsji asfaltowych.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12272-1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Powierzchniowe utrwalenia. Metody bada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>ń</w:t>
            </w:r>
            <w:r>
              <w:rPr>
                <w:rFonts w:ascii="Tahoma" w:hAnsi="Tahoma" w:cs="Tahoma"/>
                <w:sz w:val="20"/>
                <w:szCs w:val="20"/>
              </w:rPr>
              <w:t>. Cz</w:t>
            </w:r>
            <w:r>
              <w:rPr>
                <w:rFonts w:ascii="Tahoma" w:eastAsia="TimesNewRoman" w:hAnsi="Tahoma" w:cs="Tahoma"/>
                <w:sz w:val="20"/>
                <w:szCs w:val="20"/>
              </w:rPr>
              <w:t xml:space="preserve">ęść </w:t>
            </w:r>
            <w:r>
              <w:rPr>
                <w:rFonts w:ascii="Tahoma" w:hAnsi="Tahoma" w:cs="Tahoma"/>
                <w:sz w:val="20"/>
                <w:szCs w:val="20"/>
              </w:rPr>
              <w:t>1: Dozowanie i poprzeczny rozkład lepiszcza i kruszywa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58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Pobieranie próbek lepiszczy asfaltowych</w:t>
            </w:r>
          </w:p>
        </w:tc>
      </w:tr>
      <w:tr w:rsidR="00E31CCC">
        <w:trPr>
          <w:cantSplit/>
        </w:trPr>
        <w:tc>
          <w:tcPr>
            <w:tcW w:w="1771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PN-EN 12594</w:t>
            </w:r>
          </w:p>
        </w:tc>
        <w:tc>
          <w:tcPr>
            <w:tcW w:w="7654" w:type="dxa"/>
          </w:tcPr>
          <w:p w:rsidR="00E31CCC" w:rsidRDefault="002E1A5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Asfalty i lepiszcza asfaltowe -- Przygotowanie próbek do badań</w:t>
            </w:r>
          </w:p>
        </w:tc>
      </w:tr>
    </w:tbl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WT-2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Polskie Normy powołane w PN-EN 13808</w:t>
      </w:r>
      <w:r>
        <w:rPr>
          <w:rFonts w:ascii="Tahoma" w:hAnsi="Tahoma" w:cs="Tahoma"/>
          <w:iCs w:val="0"/>
          <w:sz w:val="20"/>
          <w:szCs w:val="20"/>
        </w:rPr>
        <w:t>:2013-10/Ap1</w:t>
      </w:r>
    </w:p>
    <w:p w:rsidR="00E31CCC" w:rsidRDefault="002E1A55">
      <w:pPr>
        <w:pStyle w:val="Heading2"/>
        <w:numPr>
          <w:ilvl w:val="1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Inne dokumenty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2014 Nawierzchnie asfaltowe na drogach krajowych, część I.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WT-2 „Nawierzchnie asfaltowe na drogach krajowych” WT-2 część II 2016. Wykonanie warstw nawierzchni asfaltowych. Wymagania techniczne - Załącznik do zarządzenia Nr 7 Generalnego Dyrektora Dróg Krajowych i Autostrad z dnia 09.05.2016 r.</w:t>
      </w:r>
    </w:p>
    <w:p w:rsidR="00E31CCC" w:rsidRDefault="002E1A5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„Instrukcja laboratoryjnego badania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międzywarstwowej</w:t>
      </w:r>
      <w:proofErr w:type="spellEnd"/>
      <w:r>
        <w:rPr>
          <w:rFonts w:ascii="Tahoma" w:hAnsi="Tahoma" w:cs="Tahoma"/>
          <w:sz w:val="20"/>
          <w:szCs w:val="20"/>
        </w:rPr>
        <w:t xml:space="preserve"> warstw asfaltowych wg metody </w:t>
      </w:r>
      <w:proofErr w:type="spellStart"/>
      <w:r>
        <w:rPr>
          <w:rFonts w:ascii="Tahoma" w:hAnsi="Tahoma" w:cs="Tahoma"/>
          <w:sz w:val="20"/>
          <w:szCs w:val="20"/>
        </w:rPr>
        <w:t>Leutnera</w:t>
      </w:r>
      <w:proofErr w:type="spellEnd"/>
      <w:r>
        <w:rPr>
          <w:rFonts w:ascii="Tahoma" w:hAnsi="Tahoma" w:cs="Tahoma"/>
          <w:sz w:val="20"/>
          <w:szCs w:val="20"/>
        </w:rPr>
        <w:t xml:space="preserve"> i wymagania techniczne </w:t>
      </w:r>
      <w:proofErr w:type="spellStart"/>
      <w:r>
        <w:rPr>
          <w:rFonts w:ascii="Tahoma" w:hAnsi="Tahoma" w:cs="Tahoma"/>
          <w:sz w:val="20"/>
          <w:szCs w:val="20"/>
        </w:rPr>
        <w:t>sczepności</w:t>
      </w:r>
      <w:proofErr w:type="spellEnd"/>
      <w:r>
        <w:rPr>
          <w:rFonts w:ascii="Tahoma" w:hAnsi="Tahoma" w:cs="Tahoma"/>
          <w:sz w:val="20"/>
          <w:szCs w:val="20"/>
        </w:rPr>
        <w:t xml:space="preserve">. 2014” - </w:t>
      </w:r>
      <w:proofErr w:type="spellStart"/>
      <w:r>
        <w:rPr>
          <w:rFonts w:ascii="Tahoma" w:hAnsi="Tahoma" w:cs="Tahoma"/>
          <w:sz w:val="20"/>
          <w:szCs w:val="20"/>
        </w:rPr>
        <w:t>GDDKiA</w:t>
      </w:r>
      <w:proofErr w:type="spellEnd"/>
      <w:r>
        <w:rPr>
          <w:rFonts w:ascii="Tahoma" w:hAnsi="Tahoma" w:cs="Tahoma"/>
          <w:sz w:val="20"/>
          <w:szCs w:val="20"/>
        </w:rPr>
        <w:t>, Politechnika Gdańska, Gdańsk 2014.</w:t>
      </w:r>
    </w:p>
    <w:sectPr w:rsidR="00E31CCC" w:rsidSect="00E31CCC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F92" w:rsidRDefault="00D90F92" w:rsidP="00E31CCC">
      <w:pPr>
        <w:spacing w:before="0"/>
      </w:pPr>
      <w:r>
        <w:separator/>
      </w:r>
    </w:p>
  </w:endnote>
  <w:endnote w:type="continuationSeparator" w:id="0">
    <w:p w:rsidR="00D90F92" w:rsidRDefault="00D90F92" w:rsidP="00E31CC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CCC" w:rsidRDefault="007D0FED">
    <w:pPr>
      <w:pStyle w:val="Footer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 w:rsidR="002E1A55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3F6611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E31CCC" w:rsidRDefault="00E31C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F92" w:rsidRDefault="00D90F92" w:rsidP="00E31CCC">
      <w:pPr>
        <w:spacing w:before="0"/>
      </w:pPr>
      <w:r>
        <w:separator/>
      </w:r>
    </w:p>
  </w:footnote>
  <w:footnote w:type="continuationSeparator" w:id="0">
    <w:p w:rsidR="00D90F92" w:rsidRDefault="00D90F92" w:rsidP="00E31CC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12F"/>
    <w:multiLevelType w:val="multilevel"/>
    <w:tmpl w:val="2550F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9B03A3"/>
    <w:multiLevelType w:val="multilevel"/>
    <w:tmpl w:val="8CA0545E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21795C48"/>
    <w:multiLevelType w:val="multilevel"/>
    <w:tmpl w:val="22765390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0" w:firstLine="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18"/>
        <w:szCs w:val="18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0" w:firstLine="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0"/>
        <w:szCs w:val="18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680"/>
        </w:tabs>
        <w:ind w:left="0" w:firstLine="0"/>
      </w:pPr>
      <w:rPr>
        <w:b w:val="0"/>
        <w:i w:val="0"/>
        <w:sz w:val="20"/>
        <w:szCs w:val="18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0" w:firstLine="0"/>
      </w:pPr>
      <w:rPr>
        <w:b/>
        <w:i w:val="0"/>
        <w:sz w:val="18"/>
        <w:szCs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DD35DFE"/>
    <w:multiLevelType w:val="multilevel"/>
    <w:tmpl w:val="554EEEB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CCC"/>
    <w:rsid w:val="00020CE3"/>
    <w:rsid w:val="00040E10"/>
    <w:rsid w:val="000D7774"/>
    <w:rsid w:val="00115B26"/>
    <w:rsid w:val="001469F1"/>
    <w:rsid w:val="0015785B"/>
    <w:rsid w:val="001D0257"/>
    <w:rsid w:val="001F636E"/>
    <w:rsid w:val="002A6B03"/>
    <w:rsid w:val="002E1A55"/>
    <w:rsid w:val="002E1E74"/>
    <w:rsid w:val="0032608B"/>
    <w:rsid w:val="003551E9"/>
    <w:rsid w:val="00366798"/>
    <w:rsid w:val="0039191B"/>
    <w:rsid w:val="003C78B1"/>
    <w:rsid w:val="003F6611"/>
    <w:rsid w:val="00451B45"/>
    <w:rsid w:val="0045487F"/>
    <w:rsid w:val="00481FB6"/>
    <w:rsid w:val="005F5556"/>
    <w:rsid w:val="006577DC"/>
    <w:rsid w:val="006704A5"/>
    <w:rsid w:val="00697E18"/>
    <w:rsid w:val="006E72EF"/>
    <w:rsid w:val="00727344"/>
    <w:rsid w:val="00742B9E"/>
    <w:rsid w:val="00750871"/>
    <w:rsid w:val="00754672"/>
    <w:rsid w:val="007774E7"/>
    <w:rsid w:val="00796288"/>
    <w:rsid w:val="007B756F"/>
    <w:rsid w:val="007C441E"/>
    <w:rsid w:val="007D0FED"/>
    <w:rsid w:val="007F4B7A"/>
    <w:rsid w:val="007F72C4"/>
    <w:rsid w:val="00843EA7"/>
    <w:rsid w:val="0085558B"/>
    <w:rsid w:val="008700CE"/>
    <w:rsid w:val="008B504F"/>
    <w:rsid w:val="008C4FC8"/>
    <w:rsid w:val="009869D6"/>
    <w:rsid w:val="00990F32"/>
    <w:rsid w:val="009D7416"/>
    <w:rsid w:val="00A00177"/>
    <w:rsid w:val="00AC68B9"/>
    <w:rsid w:val="00B03664"/>
    <w:rsid w:val="00B46DA7"/>
    <w:rsid w:val="00B96D73"/>
    <w:rsid w:val="00BA115D"/>
    <w:rsid w:val="00BC3D69"/>
    <w:rsid w:val="00BE7721"/>
    <w:rsid w:val="00C121B9"/>
    <w:rsid w:val="00C6648D"/>
    <w:rsid w:val="00CB6D17"/>
    <w:rsid w:val="00CF20D8"/>
    <w:rsid w:val="00D90F92"/>
    <w:rsid w:val="00E006DD"/>
    <w:rsid w:val="00E31CCC"/>
    <w:rsid w:val="00E320EC"/>
    <w:rsid w:val="00E83C28"/>
    <w:rsid w:val="00E91546"/>
    <w:rsid w:val="00EB740D"/>
    <w:rsid w:val="00EC517F"/>
    <w:rsid w:val="00EE4A3F"/>
    <w:rsid w:val="00F01029"/>
    <w:rsid w:val="00F1587B"/>
    <w:rsid w:val="00F23D2E"/>
    <w:rsid w:val="00F75DC3"/>
    <w:rsid w:val="00FB2D04"/>
    <w:rsid w:val="00FB6D98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D96"/>
    <w:pPr>
      <w:spacing w:before="60"/>
      <w:jc w:val="both"/>
    </w:pPr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1"/>
    <w:qFormat/>
    <w:rsid w:val="00526D96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"/>
      <w:szCs w:val="20"/>
    </w:rPr>
  </w:style>
  <w:style w:type="paragraph" w:customStyle="1" w:styleId="Heading2">
    <w:name w:val="Heading 2"/>
    <w:basedOn w:val="Normalny"/>
    <w:next w:val="Normalny"/>
    <w:link w:val="Nagwek2Znak1"/>
    <w:qFormat/>
    <w:rsid w:val="00526D96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"/>
    </w:rPr>
  </w:style>
  <w:style w:type="paragraph" w:customStyle="1" w:styleId="Heading3">
    <w:name w:val="Heading 3"/>
    <w:basedOn w:val="Normalny"/>
    <w:next w:val="Normalny"/>
    <w:link w:val="Nagwek3Znak1"/>
    <w:qFormat/>
    <w:rsid w:val="00526D96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customStyle="1" w:styleId="Heading4">
    <w:name w:val="Heading 4"/>
    <w:basedOn w:val="Normalny"/>
    <w:next w:val="Normalny"/>
    <w:link w:val="Nagwek4Znak"/>
    <w:qFormat/>
    <w:rsid w:val="00526D96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526D96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"/>
    <w:semiHidden/>
    <w:qFormat/>
    <w:rsid w:val="00526D96"/>
    <w:rPr>
      <w:rFonts w:asciiTheme="majorHAnsi" w:eastAsiaTheme="majorEastAsia" w:hAnsiTheme="majorHAnsi" w:cstheme="majorBidi"/>
      <w:b/>
      <w:iCs/>
      <w:color w:val="4F81BD" w:themeColor="accent1"/>
      <w:sz w:val="18"/>
      <w:szCs w:val="24"/>
      <w:lang w:eastAsia="pl-PL"/>
    </w:rPr>
  </w:style>
  <w:style w:type="character" w:customStyle="1" w:styleId="Nagwek4Znak">
    <w:name w:val="Nagłówek 4 Znak"/>
    <w:basedOn w:val="Domylnaczcionkaakapitu"/>
    <w:link w:val="Heading4"/>
    <w:qFormat/>
    <w:rsid w:val="00526D96"/>
    <w:rPr>
      <w:rFonts w:ascii="Arial" w:eastAsia="Times New Roman" w:hAnsi="Arial" w:cs="Times New Roman"/>
      <w:bCs/>
      <w:iCs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26D96"/>
    <w:rPr>
      <w:rFonts w:ascii="Arial" w:eastAsia="Times New Roman" w:hAnsi="Arial" w:cs="Arial"/>
      <w:bCs/>
      <w:iCs/>
      <w:sz w:val="14"/>
      <w:szCs w:val="24"/>
      <w:lang w:eastAsia="pl-PL"/>
    </w:rPr>
  </w:style>
  <w:style w:type="character" w:customStyle="1" w:styleId="normalny3Znak">
    <w:name w:val="normalny 3 Znak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TabelaZnak">
    <w:name w:val="Tabela Znak"/>
    <w:link w:val="Tabela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StylPierwszywiersz05cmZnak">
    <w:name w:val="Styl Pierwszy wiersz:  05 cm Znak"/>
    <w:link w:val="StylPierwszywiersz05cm"/>
    <w:qFormat/>
    <w:rsid w:val="00526D96"/>
    <w:rPr>
      <w:rFonts w:ascii="Arial" w:eastAsia="Times New Roman" w:hAnsi="Arial" w:cs="Arial"/>
      <w:bCs/>
      <w:iCs/>
      <w:sz w:val="18"/>
      <w:szCs w:val="24"/>
      <w:lang w:eastAsia="pl-PL"/>
    </w:rPr>
  </w:style>
  <w:style w:type="character" w:customStyle="1" w:styleId="Nagwek3Znak1">
    <w:name w:val="Nagłówek 3 Znak1"/>
    <w:link w:val="Heading3"/>
    <w:qFormat/>
    <w:rsid w:val="00526D96"/>
    <w:rPr>
      <w:rFonts w:ascii="Arial" w:eastAsia="Times New Roman" w:hAnsi="Arial" w:cs="Arial"/>
      <w:b/>
      <w:iCs/>
      <w:sz w:val="18"/>
      <w:szCs w:val="26"/>
      <w:lang w:eastAsia="pl-PL"/>
    </w:rPr>
  </w:style>
  <w:style w:type="character" w:customStyle="1" w:styleId="Nagwek2Znak1">
    <w:name w:val="Nagłówek 2 Znak1"/>
    <w:link w:val="Heading2"/>
    <w:qFormat/>
    <w:rsid w:val="00526D96"/>
    <w:rPr>
      <w:rFonts w:ascii="Arial" w:eastAsia="Times New Roman" w:hAnsi="Arial" w:cs="Arial"/>
      <w:b/>
      <w:kern w:val="2"/>
      <w:sz w:val="18"/>
      <w:szCs w:val="24"/>
      <w:lang w:eastAsia="pl-PL"/>
    </w:rPr>
  </w:style>
  <w:style w:type="character" w:customStyle="1" w:styleId="Nagwek1Znak1">
    <w:name w:val="Nagłówek 1 Znak1"/>
    <w:link w:val="Heading1"/>
    <w:qFormat/>
    <w:rsid w:val="00526D96"/>
    <w:rPr>
      <w:rFonts w:ascii="Arial" w:eastAsia="Times New Roman" w:hAnsi="Arial" w:cs="Arial"/>
      <w:b/>
      <w:iCs/>
      <w:caps/>
      <w:kern w:val="2"/>
      <w:sz w:val="1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31CC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31CCC"/>
    <w:pPr>
      <w:spacing w:before="0" w:after="140" w:line="276" w:lineRule="auto"/>
    </w:pPr>
  </w:style>
  <w:style w:type="paragraph" w:styleId="Lista">
    <w:name w:val="List"/>
    <w:basedOn w:val="Tekstpodstawowy"/>
    <w:rsid w:val="00E31CCC"/>
  </w:style>
  <w:style w:type="paragraph" w:customStyle="1" w:styleId="Caption">
    <w:name w:val="Caption"/>
    <w:basedOn w:val="Normalny"/>
    <w:qFormat/>
    <w:rsid w:val="00E31CCC"/>
    <w:pPr>
      <w:suppressLineNumbers/>
      <w:spacing w:before="120" w:after="120"/>
    </w:pPr>
    <w:rPr>
      <w:i/>
      <w:sz w:val="24"/>
    </w:rPr>
  </w:style>
  <w:style w:type="paragraph" w:customStyle="1" w:styleId="Indeks">
    <w:name w:val="Indeks"/>
    <w:basedOn w:val="Normalny"/>
    <w:qFormat/>
    <w:rsid w:val="00E31CCC"/>
    <w:pPr>
      <w:suppressLineNumbers/>
    </w:pPr>
  </w:style>
  <w:style w:type="paragraph" w:customStyle="1" w:styleId="Gwkaistopka">
    <w:name w:val="Główka i stopka"/>
    <w:basedOn w:val="Normalny"/>
    <w:qFormat/>
    <w:rsid w:val="00E31CCC"/>
  </w:style>
  <w:style w:type="paragraph" w:customStyle="1" w:styleId="Header">
    <w:name w:val="Header"/>
    <w:basedOn w:val="Normalny"/>
    <w:link w:val="NagwekZnak"/>
    <w:rsid w:val="00526D9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526D96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qFormat/>
    <w:rsid w:val="00526D96"/>
  </w:style>
  <w:style w:type="paragraph" w:customStyle="1" w:styleId="Tabela">
    <w:name w:val="Tabela"/>
    <w:basedOn w:val="Normalny"/>
    <w:link w:val="TabelaZnak"/>
    <w:qFormat/>
    <w:rsid w:val="00526D96"/>
    <w:pPr>
      <w:spacing w:before="0"/>
      <w:jc w:val="center"/>
    </w:pPr>
  </w:style>
  <w:style w:type="paragraph" w:customStyle="1" w:styleId="TytuSST">
    <w:name w:val="Tytuł SST"/>
    <w:basedOn w:val="Normalny"/>
    <w:qFormat/>
    <w:rsid w:val="00526D96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qFormat/>
    <w:rsid w:val="00526D96"/>
    <w:pPr>
      <w:tabs>
        <w:tab w:val="left" w:pos="737"/>
      </w:tabs>
      <w:ind w:firstLine="567"/>
    </w:pPr>
  </w:style>
  <w:style w:type="paragraph" w:styleId="Akapitzlist">
    <w:name w:val="List Paragraph"/>
    <w:basedOn w:val="Normalny"/>
    <w:uiPriority w:val="34"/>
    <w:qFormat/>
    <w:rsid w:val="00A70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3300</Words>
  <Characters>19803</Characters>
  <Application>Microsoft Office Word</Application>
  <DocSecurity>0</DocSecurity>
  <Lines>165</Lines>
  <Paragraphs>46</Paragraphs>
  <ScaleCrop>false</ScaleCrop>
  <Company>HP</Company>
  <LinksUpToDate>false</LinksUpToDate>
  <CharactersWithSpaces>23057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2023-08-06T18:25:00Z</dcterms:created>
  <dcterms:modified xsi:type="dcterms:W3CDTF">2023-08-06T18:25:00Z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