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09" w:rsidRDefault="00472B80">
      <w:pPr>
        <w:pStyle w:val="SST2"/>
        <w:rPr>
          <w:rFonts w:ascii="Tahoma" w:hAnsi="Tahoma" w:cs="Tahoma"/>
          <w:sz w:val="20"/>
        </w:rPr>
      </w:pPr>
      <w:bookmarkStart w:id="0" w:name="_Toc467161100"/>
      <w:bookmarkStart w:id="1" w:name="_Toc411855712"/>
      <w:bookmarkStart w:id="2" w:name="_Toc411855575"/>
      <w:bookmarkStart w:id="3" w:name="_Toc411852344"/>
      <w:bookmarkStart w:id="4" w:name="_Toc411852199"/>
      <w:bookmarkStart w:id="5" w:name="_Toc411852131"/>
      <w:bookmarkStart w:id="6" w:name="_Toc411851965"/>
      <w:bookmarkStart w:id="7" w:name="_Toc411851937"/>
      <w:bookmarkStart w:id="8" w:name="_Toc411851093"/>
      <w:bookmarkStart w:id="9" w:name="_Toc377220865"/>
      <w:r>
        <w:rPr>
          <w:rFonts w:ascii="Tahoma" w:hAnsi="Tahoma" w:cs="Tahoma"/>
          <w:sz w:val="20"/>
        </w:rPr>
        <w:t>D–02.01.01. WYKONANIE WYKOPÓW W GRUNTACH NIESKALISTYC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ahoma" w:hAnsi="Tahoma" w:cs="Tahoma"/>
          <w:sz w:val="20"/>
        </w:rPr>
        <w:t>H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0" w:name="_Toc419000099"/>
      <w:bookmarkStart w:id="11" w:name="_Toc418998854"/>
      <w:bookmarkStart w:id="12" w:name="_Toc418998498"/>
      <w:bookmarkStart w:id="13" w:name="_Toc418997088"/>
      <w:bookmarkStart w:id="14" w:name="_Toc418996701"/>
      <w:bookmarkStart w:id="15" w:name="_Toc418996332"/>
      <w:bookmarkStart w:id="16" w:name="_Toc418994925"/>
      <w:bookmarkStart w:id="17" w:name="_Toc407161213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ahoma" w:hAnsi="Tahoma" w:cs="Tahoma"/>
          <w:szCs w:val="20"/>
        </w:rPr>
        <w:t>1. WSTĘP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18" w:name="_Toc407161214"/>
      <w:r>
        <w:rPr>
          <w:rFonts w:ascii="Tahoma" w:hAnsi="Tahoma" w:cs="Tahoma"/>
        </w:rPr>
        <w:t xml:space="preserve">1.1. Przedmiot </w:t>
      </w:r>
      <w:proofErr w:type="spellStart"/>
      <w:r>
        <w:rPr>
          <w:rFonts w:ascii="Tahoma" w:hAnsi="Tahoma" w:cs="Tahoma"/>
        </w:rPr>
        <w:t>STWiORB</w:t>
      </w:r>
      <w:bookmarkEnd w:id="18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bookmarkStart w:id="19" w:name="_Toc407161215"/>
      <w:r>
        <w:rPr>
          <w:rFonts w:ascii="Tahoma" w:hAnsi="Tahoma" w:cs="Tahoma"/>
          <w:sz w:val="20"/>
          <w:szCs w:val="20"/>
        </w:rPr>
        <w:t>w związku z zamierz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niem budowlanym pn.: </w:t>
      </w:r>
      <w:r w:rsidR="00E64806" w:rsidRPr="00E64806">
        <w:rPr>
          <w:rFonts w:ascii="Tahoma" w:hAnsi="Tahoma" w:cs="Tahoma"/>
          <w:sz w:val="20"/>
          <w:szCs w:val="20"/>
        </w:rPr>
        <w:t>Rozbudowa drogi gminnej nr 119007E w m. Branica</w:t>
      </w:r>
      <w:r>
        <w:rPr>
          <w:rFonts w:ascii="Tahoma" w:hAnsi="Tahoma" w:cs="Tahoma"/>
          <w:sz w:val="20"/>
          <w:szCs w:val="20"/>
        </w:rPr>
        <w:t>.</w:t>
      </w:r>
      <w:bookmarkStart w:id="20" w:name="_Hlk511220879"/>
      <w:bookmarkStart w:id="21" w:name="_GoBack"/>
      <w:bookmarkEnd w:id="20"/>
      <w:bookmarkEnd w:id="21"/>
    </w:p>
    <w:p w:rsidR="00656109" w:rsidRDefault="0065610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bookmarkEnd w:id="19"/>
      <w:proofErr w:type="spellEnd"/>
    </w:p>
    <w:p w:rsidR="00656109" w:rsidRDefault="00472B80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Szczegółowa specyfikacja techniczna powinna być stosowana jako dokument przetargowy i kontraktowy przy zlecaniu i realizacji robót wymienionych w p. 1.1.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2" w:name="_Toc407161216"/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bookmarkEnd w:id="22"/>
      <w:proofErr w:type="spellEnd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Ustalenia zawarte w niniejszej specyfikacji dotyczą zasad prowadzenia robót ziemnych i obejmują wykonanie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3" w:name="_Toc407161217"/>
      <w:r>
        <w:rPr>
          <w:rFonts w:ascii="Tahoma" w:hAnsi="Tahoma" w:cs="Tahoma"/>
        </w:rPr>
        <w:t>1.4. Określenia podstawowe</w:t>
      </w:r>
      <w:bookmarkEnd w:id="2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Podstawowe określenia zostały podane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24" w:name="_Toc407161218"/>
      <w:r>
        <w:rPr>
          <w:rFonts w:ascii="Tahoma" w:hAnsi="Tahoma" w:cs="Tahoma"/>
        </w:rPr>
        <w:t>1.5. Ogólne wymagania dotyczące robót</w:t>
      </w:r>
      <w:bookmarkEnd w:id="24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5" w:name="_2._materiały_(grunty)_1"/>
      <w:bookmarkEnd w:id="25"/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6" w:name="_Toc407161219"/>
      <w:bookmarkStart w:id="27" w:name="_Toc418994926"/>
      <w:bookmarkStart w:id="28" w:name="_Toc418996333"/>
      <w:bookmarkStart w:id="29" w:name="_Toc418996702"/>
      <w:bookmarkStart w:id="30" w:name="_Toc418997089"/>
      <w:bookmarkStart w:id="31" w:name="_Toc418998499"/>
      <w:bookmarkStart w:id="32" w:name="_Toc418998855"/>
      <w:bookmarkStart w:id="33" w:name="_Toc419000100"/>
      <w:r>
        <w:rPr>
          <w:rFonts w:ascii="Tahoma" w:hAnsi="Tahoma" w:cs="Tahoma"/>
          <w:szCs w:val="20"/>
        </w:rPr>
        <w:t>2. MATERIAŁY (Grunty)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występujący w podłożu wykopu jest gruntem rodzimym, który będzie stanowił podłoże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wierzchni. Zgodnie z Katalogiem typowych konstrukcji nawierzchni podatnych i półsztywnych powinien charakteryzować się grupą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  <w:vertAlign w:val="subscript"/>
        </w:rPr>
        <w:t xml:space="preserve"> </w:t>
      </w:r>
      <w:r>
        <w:rPr>
          <w:rFonts w:ascii="Tahoma" w:hAnsi="Tahoma" w:cs="Tahoma"/>
          <w:sz w:val="20"/>
          <w:szCs w:val="20"/>
        </w:rPr>
        <w:t>Gdy podłoże nawierzchni zaklasyfikowano do innej grupy n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śności, należy podłoże doprowadzić do grupy nośności G</w:t>
      </w:r>
      <w:r>
        <w:rPr>
          <w:rFonts w:ascii="Tahoma" w:hAnsi="Tahoma" w:cs="Tahoma"/>
          <w:sz w:val="20"/>
          <w:szCs w:val="20"/>
          <w:vertAlign w:val="subscript"/>
        </w:rPr>
        <w:t>1</w:t>
      </w:r>
      <w:r>
        <w:rPr>
          <w:rFonts w:ascii="Tahoma" w:hAnsi="Tahoma" w:cs="Tahoma"/>
          <w:sz w:val="20"/>
          <w:szCs w:val="20"/>
        </w:rPr>
        <w:t xml:space="preserve"> zgodnie z dokumentacja projektową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34" w:name="_Toc407161220"/>
      <w:bookmarkStart w:id="35" w:name="_Toc418994927"/>
      <w:bookmarkStart w:id="36" w:name="_Toc418996334"/>
      <w:bookmarkStart w:id="37" w:name="_Toc418996703"/>
      <w:bookmarkStart w:id="38" w:name="_Toc418997090"/>
      <w:bookmarkStart w:id="39" w:name="_Toc418998500"/>
      <w:bookmarkStart w:id="40" w:name="_Toc418998856"/>
      <w:bookmarkStart w:id="41" w:name="_Toc419000101"/>
      <w:r>
        <w:rPr>
          <w:rFonts w:ascii="Tahoma" w:hAnsi="Tahoma" w:cs="Tahoma"/>
          <w:szCs w:val="20"/>
        </w:rPr>
        <w:t xml:space="preserve">3.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ascii="Tahoma" w:hAnsi="Tahoma" w:cs="Tahoma"/>
          <w:szCs w:val="20"/>
        </w:rPr>
        <w:t>SPRZĘT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sprzętu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> 3.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42" w:name="_Toc407161221"/>
      <w:bookmarkStart w:id="43" w:name="_Toc418994928"/>
      <w:bookmarkStart w:id="44" w:name="_Toc418996335"/>
      <w:bookmarkStart w:id="45" w:name="_Toc418996704"/>
      <w:bookmarkStart w:id="46" w:name="_Toc418997091"/>
      <w:bookmarkStart w:id="47" w:name="_Toc418998501"/>
      <w:bookmarkStart w:id="48" w:name="_Toc418998857"/>
      <w:bookmarkStart w:id="49" w:name="_Toc419000102"/>
      <w:r>
        <w:rPr>
          <w:rFonts w:ascii="Tahoma" w:hAnsi="Tahoma" w:cs="Tahoma"/>
          <w:szCs w:val="20"/>
        </w:rPr>
        <w:t xml:space="preserve">4. 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Tahoma" w:hAnsi="Tahoma" w:cs="Tahoma"/>
          <w:szCs w:val="20"/>
        </w:rPr>
        <w:t>TRANSPORT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i ustalenia dotyczące transportu określono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50" w:name="_Toc407161222"/>
      <w:bookmarkStart w:id="51" w:name="_Toc418994929"/>
      <w:bookmarkStart w:id="52" w:name="_Toc418996336"/>
      <w:bookmarkStart w:id="53" w:name="_Toc418996705"/>
      <w:bookmarkStart w:id="54" w:name="_Toc418997092"/>
      <w:bookmarkStart w:id="55" w:name="_Toc418998502"/>
      <w:bookmarkStart w:id="56" w:name="_Toc418998858"/>
      <w:bookmarkStart w:id="57" w:name="_Toc419000103"/>
      <w:r>
        <w:rPr>
          <w:rFonts w:ascii="Tahoma" w:hAnsi="Tahoma" w:cs="Tahoma"/>
          <w:szCs w:val="20"/>
        </w:rPr>
        <w:t xml:space="preserve">5.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ahoma" w:hAnsi="Tahoma" w:cs="Tahoma"/>
          <w:szCs w:val="20"/>
        </w:rPr>
        <w:t>WYKONANIE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8" w:name="_Toc407161223"/>
      <w:r>
        <w:rPr>
          <w:rFonts w:ascii="Tahoma" w:hAnsi="Tahoma" w:cs="Tahoma"/>
        </w:rPr>
        <w:t>5.1. Zasady prowadzenia robót</w:t>
      </w:r>
      <w:bookmarkEnd w:id="5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prowadzenia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 Sposób wykonania skarp wykopu powinien gwarantować ich stateczność w całym okresie prowadzenia robót, a naprawa uszk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dzeń, wynikających z nieprawidłowego ukształtowania skarp wykopu, ich podcięcia lub innych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stępstw od dokumentacji projektowej obciąża Wykonawcę. Wykonawca powinien wykonywać wykopy w taki sposób, aby grunty o różnym stopniu przydatności do budowy nasypów były odspajane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dzielnie, w sposób uniemożliwiający ich wymieszanie. Odstępstwo od powyższego wymagania, uz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sadnione skomplikowanym układem warstw geotechnicznych, wymaga zgody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Zamawiającego</w:t>
      </w:r>
      <w:r>
        <w:rPr>
          <w:rFonts w:ascii="Tahoma" w:hAnsi="Tahoma" w:cs="Tahoma"/>
          <w:sz w:val="20"/>
          <w:szCs w:val="20"/>
        </w:rPr>
        <w:t>. Odsp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jone grunty przydatne do wykonania nasypów powinny być bezpośrednio wbudowane w nasyp lub przewiezione na odkład. O ile </w:t>
      </w:r>
      <w:r>
        <w:rPr>
          <w:rFonts w:ascii="Tahoma" w:eastAsia="Tahoma" w:hAnsi="Tahoma" w:cs="Tahoma"/>
          <w:sz w:val="20"/>
          <w:szCs w:val="20"/>
          <w:lang w:eastAsia="ar-SA"/>
        </w:rPr>
        <w:t>Zamawiający</w:t>
      </w:r>
      <w:r>
        <w:rPr>
          <w:rFonts w:ascii="Tahoma" w:hAnsi="Tahoma" w:cs="Tahoma"/>
          <w:sz w:val="20"/>
          <w:szCs w:val="20"/>
        </w:rPr>
        <w:t xml:space="preserve"> dopuści czasowe składowanie odspojonych  gruntów, n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leży je odpowiednio zabezpieczyć przed nadmiernym zawilgoceniem.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59" w:name="_Toc407161224"/>
      <w:r>
        <w:rPr>
          <w:rFonts w:ascii="Tahoma" w:hAnsi="Tahoma" w:cs="Tahoma"/>
        </w:rPr>
        <w:t>5.2. Wymagania dotyczące zagęszczenia</w:t>
      </w:r>
      <w:bookmarkEnd w:id="59"/>
      <w:r>
        <w:rPr>
          <w:rFonts w:ascii="Tahoma" w:hAnsi="Tahoma" w:cs="Tahoma"/>
        </w:rPr>
        <w:t xml:space="preserve"> i nośności gruntu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Zagęszczenie gruntu w wykopach i miejscach zerowych robót ziemnych powinno spełniać wymagania, dotyczące minimalnej wartości wskaźnika zagęszczenia (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), podanego w Tablicy 1.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Tablica 1. Minimalne wartości wskaźnika zagęszczenia w wykopach i miejscach zerowych robót zie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nych</w:t>
      </w:r>
    </w:p>
    <w:tbl>
      <w:tblPr>
        <w:tblW w:w="914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5202"/>
        <w:gridCol w:w="1964"/>
        <w:gridCol w:w="1974"/>
      </w:tblGrid>
      <w:tr w:rsidR="00656109">
        <w:tc>
          <w:tcPr>
            <w:tcW w:w="5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Strefa korpusu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>
              <w:rPr>
                <w:rFonts w:ascii="Tahoma" w:hAnsi="Tahoma" w:cs="Tahoma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dla:</w:t>
            </w:r>
          </w:p>
        </w:tc>
      </w:tr>
      <w:tr w:rsidR="00656109">
        <w:trPr>
          <w:trHeight w:val="397"/>
        </w:trPr>
        <w:tc>
          <w:tcPr>
            <w:tcW w:w="5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65610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KR3-KR6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KR1-KR2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Górna warstwa o grubości 20 cm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1,00</w:t>
            </w:r>
          </w:p>
        </w:tc>
      </w:tr>
      <w:tr w:rsidR="00656109"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 głębokości od 20 do 50 cm od powierzchni robót ziemnych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1,00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109" w:rsidRDefault="00472B80">
            <w:pPr>
              <w:tabs>
                <w:tab w:val="left" w:pos="1859"/>
                <w:tab w:val="center" w:pos="206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0,97</w:t>
            </w:r>
          </w:p>
        </w:tc>
      </w:tr>
    </w:tbl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 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Jeżeli grunty rodzime w wykopach i miejscach zerowych nie spełniają wymaganego wskaźnika zagęs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 xml:space="preserve">czenia, to przed ułożeniem konstrukcji nawierzchni należy je dogęścić do wartości </w:t>
      </w:r>
      <w:proofErr w:type="spellStart"/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  <w:vertAlign w:val="subscript"/>
        </w:rPr>
        <w:t>s</w:t>
      </w:r>
      <w:proofErr w:type="spellEnd"/>
      <w:r>
        <w:rPr>
          <w:rFonts w:ascii="Tahoma" w:hAnsi="Tahoma" w:cs="Tahoma"/>
          <w:sz w:val="20"/>
          <w:szCs w:val="20"/>
        </w:rPr>
        <w:t>, podanych w Tablicy 1. Jeżeli wartości wskaźnika zagęszczenia określone w Tablicy 1 nie mogą być osiągnięte przez bezpośrednie zagęszczanie gruntów rodzimych, to należy podjąć środki w celu ulepszenia gruntu podłoża, umożliwiającego uzyskanie wymaganych wartości wskaźnika zagęszczenia. Możliwe do zast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sowania środki, proponuje Wykonawca i przedstawia do akceptacji </w:t>
      </w:r>
      <w:r>
        <w:rPr>
          <w:rFonts w:ascii="Tahoma" w:eastAsia="Tahoma" w:hAnsi="Tahoma" w:cs="Tahoma"/>
          <w:sz w:val="20"/>
          <w:szCs w:val="20"/>
          <w:lang w:eastAsia="ar-SA"/>
        </w:rPr>
        <w:t>Zamawiającemu</w:t>
      </w:r>
      <w:r>
        <w:rPr>
          <w:rFonts w:ascii="Tahoma" w:hAnsi="Tahoma" w:cs="Tahoma"/>
          <w:sz w:val="20"/>
          <w:szCs w:val="20"/>
        </w:rPr>
        <w:t>. Dodatkowo mo</w:t>
      </w:r>
      <w:r>
        <w:rPr>
          <w:rFonts w:ascii="Tahoma" w:hAnsi="Tahoma" w:cs="Tahoma"/>
          <w:sz w:val="20"/>
          <w:szCs w:val="20"/>
        </w:rPr>
        <w:t>ż</w:t>
      </w:r>
      <w:r>
        <w:rPr>
          <w:rFonts w:ascii="Tahoma" w:hAnsi="Tahoma" w:cs="Tahoma"/>
          <w:sz w:val="20"/>
          <w:szCs w:val="20"/>
        </w:rPr>
        <w:t>na sprawdzić nośność warstwy gruntu na powierzchni robót ziemnych na podstawie pomiaru wtórnego modułu odkształcenia E</w:t>
      </w:r>
      <w:r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zgodnie z PN-02205:1998 rysunek 4.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0" w:name="_Toc407161225"/>
      <w:r>
        <w:rPr>
          <w:rFonts w:ascii="Tahoma" w:hAnsi="Tahoma" w:cs="Tahoma"/>
        </w:rPr>
        <w:t>5.3. Ruch budowlany</w:t>
      </w:r>
      <w:bookmarkEnd w:id="6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należy dopuszczać ruchu budowlanego po dnie wykopu o ile grubość warstwy gruntu (nadkładu) powyżej rzędnych robót ziemnych jest mniejsza niż 0,3 m. Z chwilą przystąpienia do ostatecznego profilowania dna wykopu dopuszcza się po nim jedynie ruch maszyn wykonujących tę czynność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dowlaną. Może odbywać się jedynie sporadyczny ruch pojazdów, które nie spowodują uszkodzeń 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wierzchni korpusu. Naprawa uszkodzeń powierzchni robót ziemnych, wynikających z niedotrzymania podanych powyżej warunków obciąża Wykonawcę robót ziemnych.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61" w:name="_Toc407161226"/>
      <w:bookmarkStart w:id="62" w:name="_Toc418994930"/>
      <w:bookmarkStart w:id="63" w:name="_Toc418996337"/>
      <w:bookmarkStart w:id="64" w:name="_Toc418996706"/>
      <w:bookmarkStart w:id="65" w:name="_Toc418997093"/>
      <w:bookmarkStart w:id="66" w:name="_Toc418998503"/>
      <w:bookmarkStart w:id="67" w:name="_Toc418998859"/>
      <w:bookmarkStart w:id="68" w:name="_Toc419000104"/>
      <w:r>
        <w:rPr>
          <w:rFonts w:ascii="Tahoma" w:hAnsi="Tahoma" w:cs="Tahoma"/>
          <w:szCs w:val="20"/>
        </w:rPr>
        <w:t xml:space="preserve">6.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r>
        <w:rPr>
          <w:rFonts w:ascii="Tahoma" w:hAnsi="Tahoma" w:cs="Tahoma"/>
          <w:szCs w:val="20"/>
        </w:rPr>
        <w:t>KONTROLA JAKOŚCI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69" w:name="_Toc407161227"/>
      <w:r>
        <w:rPr>
          <w:rFonts w:ascii="Tahoma" w:hAnsi="Tahoma" w:cs="Tahoma"/>
        </w:rPr>
        <w:t>6.1. Ogólne zasady kontroli jakości robót</w:t>
      </w:r>
      <w:bookmarkEnd w:id="6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0" w:name="_Toc407161228"/>
      <w:r>
        <w:rPr>
          <w:rFonts w:ascii="Tahoma" w:hAnsi="Tahoma" w:cs="Tahoma"/>
        </w:rPr>
        <w:t>6.2. Kontrola wykonania wykopów</w:t>
      </w:r>
      <w:bookmarkEnd w:id="7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Kontrola wykonania wykopów polega na sprawdzeniu zgodności z wymaganiami określonymi w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mentacji projektowej 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>. W czasie kontroli szczególną uwagę należy zwrócić na: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sposób odspajania gruntów nie pogarszający ich właściwości,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stateczności skarp,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wykopów w czasie wykonywania robót i po ich zakończeniu,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dokładność wykonania wykopów (usytuowanie i wykończenie),</w:t>
      </w:r>
    </w:p>
    <w:p w:rsidR="00656109" w:rsidRDefault="00472B8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górnej strefy korpusu w wykopie według wymagań określonych w </w:t>
      </w:r>
      <w:proofErr w:type="spellStart"/>
      <w:r>
        <w:rPr>
          <w:rFonts w:ascii="Tahoma" w:hAnsi="Tahoma" w:cs="Tahoma"/>
          <w:sz w:val="20"/>
          <w:szCs w:val="20"/>
        </w:rPr>
        <w:t>pkcie</w:t>
      </w:r>
      <w:proofErr w:type="spellEnd"/>
      <w:r>
        <w:rPr>
          <w:rFonts w:ascii="Tahoma" w:hAnsi="Tahoma" w:cs="Tahoma"/>
          <w:sz w:val="20"/>
          <w:szCs w:val="20"/>
        </w:rPr>
        <w:t> 5.2.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71" w:name="_Toc407161229"/>
      <w:bookmarkStart w:id="72" w:name="_Toc418994931"/>
      <w:bookmarkStart w:id="73" w:name="_Toc418996338"/>
      <w:bookmarkStart w:id="74" w:name="_Toc418996707"/>
      <w:bookmarkStart w:id="75" w:name="_Toc418997094"/>
      <w:bookmarkStart w:id="76" w:name="_Toc418998504"/>
      <w:bookmarkStart w:id="77" w:name="_Toc418998860"/>
      <w:bookmarkStart w:id="78" w:name="_Toc419000105"/>
      <w:r>
        <w:rPr>
          <w:rFonts w:ascii="Tahoma" w:hAnsi="Tahoma" w:cs="Tahoma"/>
          <w:szCs w:val="20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>
        <w:rPr>
          <w:rFonts w:ascii="Tahoma" w:hAnsi="Tahoma" w:cs="Tahoma"/>
          <w:szCs w:val="20"/>
        </w:rPr>
        <w:t>OBMIAR ROBÓT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79" w:name="_Toc407161230"/>
      <w:r>
        <w:rPr>
          <w:rFonts w:ascii="Tahoma" w:hAnsi="Tahoma" w:cs="Tahoma"/>
        </w:rPr>
        <w:t>7.1. Ogólne zasady obmiaru robót</w:t>
      </w:r>
      <w:bookmarkEnd w:id="79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80" w:name="_Toc407161231"/>
      <w:r>
        <w:rPr>
          <w:rFonts w:ascii="Tahoma" w:hAnsi="Tahoma" w:cs="Tahoma"/>
        </w:rPr>
        <w:t>7.2. Jednostka obmiarowa</w:t>
      </w:r>
      <w:bookmarkEnd w:id="80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jest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(metr sześcienny) wykonanego wykopu.</w:t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1" w:name="_Toc407161232"/>
      <w:bookmarkStart w:id="82" w:name="_Toc418994932"/>
      <w:bookmarkStart w:id="83" w:name="_Toc418996339"/>
      <w:bookmarkStart w:id="84" w:name="_Toc418996708"/>
      <w:bookmarkStart w:id="85" w:name="_Toc418997095"/>
      <w:bookmarkStart w:id="86" w:name="_Toc418998505"/>
      <w:bookmarkStart w:id="87" w:name="_Toc418998861"/>
      <w:bookmarkStart w:id="88" w:name="_Toc419000106"/>
      <w:r>
        <w:rPr>
          <w:rFonts w:ascii="Tahoma" w:hAnsi="Tahoma" w:cs="Tahoma"/>
          <w:szCs w:val="20"/>
        </w:rPr>
        <w:t xml:space="preserve">8. 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rPr>
          <w:rFonts w:ascii="Tahoma" w:hAnsi="Tahoma" w:cs="Tahoma"/>
          <w:szCs w:val="20"/>
        </w:rPr>
        <w:t>ODBIÓR ROBÓT</w:t>
      </w:r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656109" w:rsidRDefault="00656109">
      <w:pPr>
        <w:jc w:val="both"/>
        <w:rPr>
          <w:rFonts w:ascii="Tahoma" w:hAnsi="Tahoma" w:cs="Tahoma"/>
          <w:sz w:val="20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89" w:name="_Toc407161233"/>
      <w:bookmarkStart w:id="90" w:name="_Toc418994933"/>
      <w:bookmarkStart w:id="91" w:name="_Toc418996340"/>
      <w:bookmarkStart w:id="92" w:name="_Toc418996709"/>
      <w:bookmarkStart w:id="93" w:name="_Toc418997096"/>
      <w:bookmarkStart w:id="94" w:name="_Toc418998506"/>
      <w:bookmarkStart w:id="95" w:name="_Toc418998862"/>
      <w:bookmarkStart w:id="96" w:name="_Toc419000107"/>
      <w:r>
        <w:rPr>
          <w:rFonts w:ascii="Tahoma" w:hAnsi="Tahoma" w:cs="Tahoma"/>
          <w:szCs w:val="20"/>
        </w:rPr>
        <w:t xml:space="preserve">9.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ahoma" w:hAnsi="Tahoma" w:cs="Tahoma"/>
          <w:szCs w:val="20"/>
        </w:rPr>
        <w:t>PODSTAWA PŁATNOŚCI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7" w:name="_Toc407161234"/>
      <w:r>
        <w:rPr>
          <w:rFonts w:ascii="Tahoma" w:hAnsi="Tahoma" w:cs="Tahoma"/>
        </w:rPr>
        <w:t>9.1. Ogólne ustalenia dotyczące podstawy płatności</w:t>
      </w:r>
      <w:bookmarkEnd w:id="97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656109" w:rsidRDefault="00656109">
      <w:pPr>
        <w:pStyle w:val="Heading2"/>
        <w:spacing w:before="0" w:after="0"/>
        <w:rPr>
          <w:rFonts w:ascii="Tahoma" w:hAnsi="Tahoma" w:cs="Tahoma"/>
        </w:rPr>
      </w:pPr>
    </w:p>
    <w:p w:rsidR="00656109" w:rsidRDefault="00472B80">
      <w:pPr>
        <w:pStyle w:val="Heading2"/>
        <w:spacing w:before="0" w:after="0"/>
        <w:rPr>
          <w:rFonts w:ascii="Tahoma" w:hAnsi="Tahoma" w:cs="Tahoma"/>
        </w:rPr>
      </w:pPr>
      <w:bookmarkStart w:id="98" w:name="_Toc407161235"/>
      <w:r>
        <w:rPr>
          <w:rFonts w:ascii="Tahoma" w:hAnsi="Tahoma" w:cs="Tahoma"/>
        </w:rPr>
        <w:t>9.2. Cena jednostki obmiarowej</w:t>
      </w:r>
      <w:bookmarkEnd w:id="98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Cena wykonania 1 m</w:t>
      </w:r>
      <w:r>
        <w:rPr>
          <w:rFonts w:ascii="Tahoma" w:hAnsi="Tahoma" w:cs="Tahoma"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wykopów w gruntach </w:t>
      </w:r>
      <w:proofErr w:type="spellStart"/>
      <w:r>
        <w:rPr>
          <w:rFonts w:ascii="Tahoma" w:hAnsi="Tahoma" w:cs="Tahoma"/>
          <w:sz w:val="20"/>
          <w:szCs w:val="20"/>
        </w:rPr>
        <w:t>nieskalistych</w:t>
      </w:r>
      <w:proofErr w:type="spellEnd"/>
      <w:r>
        <w:rPr>
          <w:rFonts w:ascii="Tahoma" w:hAnsi="Tahoma" w:cs="Tahoma"/>
          <w:sz w:val="20"/>
          <w:szCs w:val="20"/>
        </w:rPr>
        <w:t xml:space="preserve"> obejmuje: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prace pomiarowe i roboty przygotowawcze,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robót,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wykonanie wykopu z transportem urobku na nasyp lub odkład, obejmujące: odspojenie, przemieszczenie, załadunek, przewiezienie i wyładunek,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odwodnienie wykopu na czas jego wykonywania,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profilowanie dna wykopu, skarp,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zagęszczenie powierzchni wykopu,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przeprowadzenie pomiarów i badań laboratoryjnych, wymaganych w specyfikacji technicznej,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rozplantowanie urobku na odkładzie, 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wykonanie, a następnie rozebranie dróg dojazdowych,</w:t>
      </w:r>
    </w:p>
    <w:p w:rsidR="00656109" w:rsidRDefault="00472B8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rekultywację terenu.</w:t>
      </w:r>
      <w:r>
        <w:rPr>
          <w:rFonts w:ascii="Tahoma" w:hAnsi="Tahoma" w:cs="Tahoma"/>
          <w:sz w:val="20"/>
          <w:szCs w:val="20"/>
        </w:rPr>
        <w:tab/>
      </w:r>
    </w:p>
    <w:p w:rsidR="00656109" w:rsidRDefault="0065610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</w:p>
    <w:p w:rsidR="00656109" w:rsidRDefault="00472B80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99" w:name="_Toc407161236"/>
      <w:bookmarkStart w:id="100" w:name="_Toc418994934"/>
      <w:bookmarkStart w:id="101" w:name="_Toc418996341"/>
      <w:bookmarkStart w:id="102" w:name="_Toc418996710"/>
      <w:bookmarkStart w:id="103" w:name="_Toc418997097"/>
      <w:bookmarkStart w:id="104" w:name="_Toc418998507"/>
      <w:bookmarkStart w:id="105" w:name="_Toc418998863"/>
      <w:bookmarkStart w:id="106" w:name="_Toc419000108"/>
      <w:r>
        <w:rPr>
          <w:rFonts w:ascii="Tahoma" w:hAnsi="Tahoma" w:cs="Tahoma"/>
          <w:szCs w:val="20"/>
        </w:rPr>
        <w:t>10. PRZEPISY ZWIĄZANE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656109" w:rsidRDefault="00472B80">
      <w:pPr>
        <w:jc w:val="both"/>
        <w:rPr>
          <w:rFonts w:ascii="Tahoma" w:hAnsi="Tahoma" w:cs="Tahoma"/>
          <w:sz w:val="20"/>
          <w:szCs w:val="20"/>
        </w:rPr>
      </w:pPr>
      <w:bookmarkStart w:id="107" w:name="_Toc377220866"/>
      <w:r>
        <w:rPr>
          <w:rFonts w:ascii="Tahoma" w:hAnsi="Tahoma" w:cs="Tahoma"/>
          <w:sz w:val="20"/>
          <w:szCs w:val="20"/>
        </w:rPr>
        <w:t xml:space="preserve">Spis przepisów związanych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10.</w:t>
      </w:r>
      <w:bookmarkEnd w:id="107"/>
    </w:p>
    <w:sectPr w:rsidR="00656109" w:rsidSect="00656109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D75" w:rsidRDefault="00027D75" w:rsidP="00656109">
      <w:r>
        <w:separator/>
      </w:r>
    </w:p>
  </w:endnote>
  <w:endnote w:type="continuationSeparator" w:id="0">
    <w:p w:rsidR="00027D75" w:rsidRDefault="00027D75" w:rsidP="00656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498186"/>
      <w:docPartObj>
        <w:docPartGallery w:val="Page Numbers (Bottom of Page)"/>
        <w:docPartUnique/>
      </w:docPartObj>
    </w:sdtPr>
    <w:sdtContent>
      <w:p w:rsidR="00656109" w:rsidRDefault="00316CDE">
        <w:pPr>
          <w:pStyle w:val="Footer"/>
          <w:jc w:val="right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472B80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E64806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56109" w:rsidRDefault="006561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D75" w:rsidRDefault="00027D75" w:rsidP="00656109">
      <w:r>
        <w:separator/>
      </w:r>
    </w:p>
  </w:footnote>
  <w:footnote w:type="continuationSeparator" w:id="0">
    <w:p w:rsidR="00027D75" w:rsidRDefault="00027D75" w:rsidP="00656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78C6"/>
    <w:multiLevelType w:val="multilevel"/>
    <w:tmpl w:val="1ED420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2CF60DA"/>
    <w:multiLevelType w:val="multilevel"/>
    <w:tmpl w:val="87C04D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42F7C4A"/>
    <w:multiLevelType w:val="multilevel"/>
    <w:tmpl w:val="8D187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109"/>
    <w:rsid w:val="00027D75"/>
    <w:rsid w:val="0009289D"/>
    <w:rsid w:val="00167013"/>
    <w:rsid w:val="001C6B5C"/>
    <w:rsid w:val="002016DA"/>
    <w:rsid w:val="0023069A"/>
    <w:rsid w:val="00233A72"/>
    <w:rsid w:val="00316CDE"/>
    <w:rsid w:val="0034048A"/>
    <w:rsid w:val="003465E5"/>
    <w:rsid w:val="00383F45"/>
    <w:rsid w:val="00397950"/>
    <w:rsid w:val="003E22C9"/>
    <w:rsid w:val="003F249B"/>
    <w:rsid w:val="00401D60"/>
    <w:rsid w:val="004203EA"/>
    <w:rsid w:val="00472B80"/>
    <w:rsid w:val="004D0BCF"/>
    <w:rsid w:val="004D71FA"/>
    <w:rsid w:val="004D7D6F"/>
    <w:rsid w:val="00567B64"/>
    <w:rsid w:val="005C1566"/>
    <w:rsid w:val="00646473"/>
    <w:rsid w:val="00651A35"/>
    <w:rsid w:val="00656109"/>
    <w:rsid w:val="0069553B"/>
    <w:rsid w:val="006D27CB"/>
    <w:rsid w:val="00710057"/>
    <w:rsid w:val="007670BF"/>
    <w:rsid w:val="007C57A9"/>
    <w:rsid w:val="007E2427"/>
    <w:rsid w:val="008650D4"/>
    <w:rsid w:val="00894618"/>
    <w:rsid w:val="008B478D"/>
    <w:rsid w:val="008E77C7"/>
    <w:rsid w:val="008F1C80"/>
    <w:rsid w:val="009018FD"/>
    <w:rsid w:val="009634E8"/>
    <w:rsid w:val="00982B7A"/>
    <w:rsid w:val="00AD5AF0"/>
    <w:rsid w:val="00B30B0C"/>
    <w:rsid w:val="00B34437"/>
    <w:rsid w:val="00B5694B"/>
    <w:rsid w:val="00C839C9"/>
    <w:rsid w:val="00C904A4"/>
    <w:rsid w:val="00CA19BA"/>
    <w:rsid w:val="00D36CBD"/>
    <w:rsid w:val="00D85ADE"/>
    <w:rsid w:val="00D97B33"/>
    <w:rsid w:val="00E25306"/>
    <w:rsid w:val="00E532D5"/>
    <w:rsid w:val="00E64806"/>
    <w:rsid w:val="00EB7B65"/>
    <w:rsid w:val="00EE43BC"/>
    <w:rsid w:val="00F72736"/>
    <w:rsid w:val="00F93B0A"/>
    <w:rsid w:val="00FB3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BE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AB2BE9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uiPriority w:val="9"/>
    <w:qFormat/>
    <w:rsid w:val="00AB2BE9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AB2BE9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AB2BE9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AB2BE9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B2B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owytekstZnak">
    <w:name w:val="Standardowy.tekst Znak"/>
    <w:qFormat/>
    <w:rsid w:val="0065610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656109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656109"/>
    <w:rPr>
      <w:rFonts w:ascii="Times New Roman" w:eastAsia="Times New Roman" w:hAnsi="Times New Roman"/>
    </w:rPr>
  </w:style>
  <w:style w:type="character" w:customStyle="1" w:styleId="Nagwek2Znak0">
    <w:name w:val="!Nagłówek 2 Znak"/>
    <w:qFormat/>
    <w:rsid w:val="00656109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656109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6561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56109"/>
    <w:pPr>
      <w:spacing w:after="140" w:line="276" w:lineRule="auto"/>
    </w:pPr>
  </w:style>
  <w:style w:type="paragraph" w:styleId="Lista">
    <w:name w:val="List"/>
    <w:basedOn w:val="Tekstpodstawowy"/>
    <w:rsid w:val="00656109"/>
    <w:rPr>
      <w:rFonts w:cs="Arial"/>
    </w:rPr>
  </w:style>
  <w:style w:type="paragraph" w:customStyle="1" w:styleId="Caption">
    <w:name w:val="Caption"/>
    <w:basedOn w:val="Normalny"/>
    <w:qFormat/>
    <w:rsid w:val="006561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56109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AB2BE9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656109"/>
  </w:style>
  <w:style w:type="paragraph" w:customStyle="1" w:styleId="Header">
    <w:name w:val="Header"/>
    <w:basedOn w:val="Normalny"/>
    <w:link w:val="NagwekZnak"/>
    <w:rsid w:val="00AB2B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AB2BE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qFormat/>
    <w:rsid w:val="00656109"/>
    <w:pPr>
      <w:spacing w:before="120" w:after="120"/>
      <w:jc w:val="both"/>
    </w:pPr>
    <w:rPr>
      <w:rFonts w:ascii="Bookman Old Style" w:eastAsia="Bookman Old Style" w:hAnsi="Bookman Old Style"/>
      <w:szCs w:val="20"/>
      <w:lang w:eastAsia="ar-SA"/>
    </w:rPr>
  </w:style>
  <w:style w:type="paragraph" w:customStyle="1" w:styleId="Standardowytekst">
    <w:name w:val="Standardowy.tekst"/>
    <w:qFormat/>
    <w:rsid w:val="00656109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656109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656109"/>
    <w:pPr>
      <w:ind w:left="720"/>
      <w:contextualSpacing/>
    </w:pPr>
  </w:style>
  <w:style w:type="paragraph" w:customStyle="1" w:styleId="Nagwek2">
    <w:name w:val="!Nagłówek 2"/>
    <w:basedOn w:val="Normalny"/>
    <w:qFormat/>
    <w:rsid w:val="00656109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5184</Characters>
  <Application>Microsoft Office Word</Application>
  <DocSecurity>0</DocSecurity>
  <Lines>43</Lines>
  <Paragraphs>12</Paragraphs>
  <ScaleCrop>false</ScaleCrop>
  <Company>HP</Company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2023-08-06T18:23:00Z</dcterms:created>
  <dcterms:modified xsi:type="dcterms:W3CDTF">2023-08-06T18:23:00Z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