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D-01.03.05 REGULACJE WYSOKOŚCIOWE URZĄDZEŃ PODZIEMNYCH</w:t>
      </w:r>
      <w:bookmarkStart w:id="0" w:name="_Hlk534885250"/>
      <w:bookmarkStart w:id="1" w:name="_Hlk520970117"/>
      <w:bookmarkEnd w:id="0"/>
      <w:bookmarkEnd w:id="1"/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1. WSTĘP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947D0E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w związku z zamierzeniem budowlanym pn.: </w:t>
      </w:r>
      <w:r w:rsidR="00F1471A" w:rsidRPr="00F1471A">
        <w:rPr>
          <w:rFonts w:ascii="Tahoma" w:hAnsi="Tahoma" w:cs="Tahoma"/>
          <w:sz w:val="20"/>
          <w:szCs w:val="20"/>
        </w:rPr>
        <w:t>Rozbudowa drogi gminnej nr 119007E w m. Branica</w:t>
      </w:r>
      <w:r w:rsidRPr="00947D0E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947D0E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b/>
          <w:sz w:val="20"/>
          <w:szCs w:val="20"/>
        </w:rPr>
        <w:t xml:space="preserve">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Szczegółowa specyfikacja techniczna stosowana jest, jako dokument przetargowy i kontraktowy przy zlecaniu i realizacji robót wymienionych w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1.1.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947D0E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:rsidR="00B065CD" w:rsidRPr="00947D0E" w:rsidRDefault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Ustalenia zawarte w niniejszej SST dotyczą zasad wykonania i odbioru robót związanych z regulacją wysokościową urządzeń podziemnych w zakresie:</w:t>
      </w:r>
    </w:p>
    <w:p w:rsidR="00B065CD" w:rsidRPr="00947D0E" w:rsidRDefault="00152D0A" w:rsidP="00C435B7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regulacji pionow</w:t>
      </w:r>
      <w:r w:rsidR="005F3493" w:rsidRPr="00947D0E">
        <w:rPr>
          <w:rFonts w:ascii="Tahoma" w:hAnsi="Tahoma" w:cs="Tahoma"/>
          <w:sz w:val="20"/>
          <w:szCs w:val="20"/>
        </w:rPr>
        <w:t>ej</w:t>
      </w:r>
      <w:r w:rsidR="00991862" w:rsidRPr="00947D0E">
        <w:rPr>
          <w:rFonts w:ascii="Tahoma" w:hAnsi="Tahoma" w:cs="Tahoma"/>
          <w:sz w:val="20"/>
          <w:szCs w:val="20"/>
        </w:rPr>
        <w:t xml:space="preserve"> skrzynek zaworów wodociągowych,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1.4. Określenia podstawowe 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947D0E">
        <w:rPr>
          <w:rFonts w:ascii="Tahoma" w:hAnsi="Tahoma" w:cs="Tahoma"/>
          <w:sz w:val="20"/>
          <w:szCs w:val="20"/>
        </w:rPr>
        <w:t>nieprzełazowych</w:t>
      </w:r>
      <w:proofErr w:type="spellEnd"/>
      <w:r w:rsidRPr="00947D0E">
        <w:rPr>
          <w:rFonts w:ascii="Tahoma" w:hAnsi="Tahoma" w:cs="Tahoma"/>
          <w:sz w:val="20"/>
          <w:szCs w:val="20"/>
        </w:rPr>
        <w:t>, ich konserwacji i przewietrzania.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947D0E">
        <w:rPr>
          <w:rFonts w:ascii="Tahoma" w:hAnsi="Tahoma" w:cs="Tahoma"/>
          <w:sz w:val="20"/>
          <w:szCs w:val="20"/>
        </w:rPr>
        <w:t>przykanalik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1.4.12. Pozostałe określenia podstawowe są zgodne z obowiązującymi, odpowiednimi polskimi normami i z definicjami podanymi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1.4.</w:t>
      </w:r>
    </w:p>
    <w:p w:rsidR="00152D0A" w:rsidRPr="00947D0E" w:rsidRDefault="00152D0A" w:rsidP="00152D0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1.5.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2. MATERIAŁY</w:t>
      </w:r>
      <w:r w:rsidRPr="00947D0E">
        <w:rPr>
          <w:rFonts w:ascii="Tahoma" w:hAnsi="Tahoma" w:cs="Tahoma"/>
          <w:sz w:val="20"/>
          <w:szCs w:val="20"/>
        </w:rPr>
        <w:t xml:space="preserve">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2.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lastRenderedPageBreak/>
        <w:t>Do regulacji wysokościowej urządzeń podziemnych należy użyć:</w:t>
      </w:r>
    </w:p>
    <w:p w:rsidR="00B065CD" w:rsidRPr="00947D0E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:rsidR="00B065CD" w:rsidRPr="00947D0E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2.2. Materiały:</w:t>
      </w:r>
    </w:p>
    <w:p w:rsidR="00152D0A" w:rsidRPr="00947D0E" w:rsidRDefault="00152D0A" w:rsidP="00152D0A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2.2.1. Beton</w:t>
      </w:r>
    </w:p>
    <w:p w:rsidR="00152D0A" w:rsidRPr="00947D0E" w:rsidRDefault="00152D0A" w:rsidP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Beton powinien odpowiadać wymaganiom PN-EN 206. Należy stosować betony o klasie wskazanej w dokumentacji projektowej lub w niniejszej specyfikacji.</w:t>
      </w:r>
    </w:p>
    <w:p w:rsidR="00152D0A" w:rsidRPr="00947D0E" w:rsidRDefault="00152D0A" w:rsidP="00152D0A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2.2.2. Deski</w:t>
      </w:r>
    </w:p>
    <w:p w:rsidR="00152D0A" w:rsidRPr="00947D0E" w:rsidRDefault="00152D0A" w:rsidP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:rsidR="00152D0A" w:rsidRPr="00947D0E" w:rsidRDefault="00152D0A" w:rsidP="00152D0A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2.2.3. Pierścienie wyrównujące.</w:t>
      </w:r>
    </w:p>
    <w:p w:rsidR="00152D0A" w:rsidRPr="00947D0E" w:rsidRDefault="00152D0A" w:rsidP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Pierścienie wyrównujące z betonu klasy co najmniej C 30/37.</w:t>
      </w:r>
    </w:p>
    <w:p w:rsidR="00152D0A" w:rsidRPr="00947D0E" w:rsidRDefault="00152D0A" w:rsidP="00152D0A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2.2.4. Cegły.</w:t>
      </w:r>
    </w:p>
    <w:p w:rsidR="00152D0A" w:rsidRPr="00947D0E" w:rsidRDefault="00152D0A" w:rsidP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Cegła kanalizacyjna pełna kl. 20 120x250x65 </w:t>
      </w:r>
      <w:proofErr w:type="spellStart"/>
      <w:r w:rsidRPr="00947D0E">
        <w:rPr>
          <w:rFonts w:ascii="Tahoma" w:hAnsi="Tahoma" w:cs="Tahoma"/>
          <w:sz w:val="20"/>
          <w:szCs w:val="20"/>
        </w:rPr>
        <w:t>mm</w:t>
      </w:r>
      <w:proofErr w:type="spellEnd"/>
      <w:r w:rsidRPr="00947D0E">
        <w:rPr>
          <w:rFonts w:ascii="Tahoma" w:hAnsi="Tahoma" w:cs="Tahoma"/>
          <w:sz w:val="20"/>
          <w:szCs w:val="20"/>
        </w:rPr>
        <w:t>.</w:t>
      </w:r>
    </w:p>
    <w:p w:rsidR="00152D0A" w:rsidRPr="00947D0E" w:rsidRDefault="00152D0A" w:rsidP="00152D0A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2.2.5. Zaprawy cementowe.</w:t>
      </w:r>
    </w:p>
    <w:p w:rsidR="00152D0A" w:rsidRPr="00947D0E" w:rsidRDefault="00152D0A" w:rsidP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Zaprawy cementowe M10 a jeśli warunki realizacyjne tego wymagają zaprawy szybkowiążące.</w:t>
      </w:r>
    </w:p>
    <w:p w:rsidR="00152D0A" w:rsidRPr="00947D0E" w:rsidRDefault="00152D0A" w:rsidP="00152D0A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2.2.6. Woda.</w:t>
      </w:r>
    </w:p>
    <w:p w:rsidR="00152D0A" w:rsidRPr="00947D0E" w:rsidRDefault="00152D0A" w:rsidP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Woda do betonu i zapraw powinna spełniać wymagania normy PN-EN 1008.</w:t>
      </w:r>
    </w:p>
    <w:p w:rsidR="00152D0A" w:rsidRPr="00947D0E" w:rsidRDefault="00152D0A" w:rsidP="00152D0A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2.2.7. Kruszywa do podsypki, </w:t>
      </w:r>
      <w:proofErr w:type="spellStart"/>
      <w:r w:rsidRPr="00947D0E">
        <w:rPr>
          <w:rFonts w:ascii="Tahoma" w:hAnsi="Tahoma" w:cs="Tahoma"/>
          <w:b/>
          <w:sz w:val="20"/>
          <w:szCs w:val="20"/>
        </w:rPr>
        <w:t>obsypki</w:t>
      </w:r>
      <w:proofErr w:type="spellEnd"/>
      <w:r w:rsidRPr="00947D0E">
        <w:rPr>
          <w:rFonts w:ascii="Tahoma" w:hAnsi="Tahoma" w:cs="Tahoma"/>
          <w:b/>
          <w:sz w:val="20"/>
          <w:szCs w:val="20"/>
        </w:rPr>
        <w:t xml:space="preserve"> i zasypki.</w:t>
      </w:r>
    </w:p>
    <w:p w:rsidR="00152D0A" w:rsidRPr="00947D0E" w:rsidRDefault="00152D0A" w:rsidP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Podsypka i </w:t>
      </w:r>
      <w:proofErr w:type="spellStart"/>
      <w:r w:rsidRPr="00947D0E">
        <w:rPr>
          <w:rFonts w:ascii="Tahoma" w:hAnsi="Tahoma" w:cs="Tahoma"/>
          <w:sz w:val="20"/>
          <w:szCs w:val="20"/>
        </w:rPr>
        <w:t>obsypka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może być wykonana z piasku lub żwiru. Użyty materiał powinny odpowiadać wymaganiom PN-EN 13242.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3. SPRZĘT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3.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:rsidR="00B065CD" w:rsidRPr="00947D0E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:rsidR="00B065CD" w:rsidRPr="00947D0E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piła tarczowa ,</w:t>
      </w:r>
    </w:p>
    <w:p w:rsidR="00B065CD" w:rsidRPr="00947D0E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młot pneumatyczny ,</w:t>
      </w:r>
    </w:p>
    <w:p w:rsidR="00B065CD" w:rsidRPr="00947D0E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beczkowóz,</w:t>
      </w:r>
    </w:p>
    <w:p w:rsidR="00B065CD" w:rsidRPr="00947D0E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sprzęt pomocniczy (szczotka, łopata, szablon itp.),</w:t>
      </w:r>
    </w:p>
    <w:p w:rsidR="00B065CD" w:rsidRPr="00947D0E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żurawi samochodowych,</w:t>
      </w:r>
    </w:p>
    <w:p w:rsidR="00B065CD" w:rsidRPr="00947D0E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samochód dostawczy. </w:t>
      </w:r>
    </w:p>
    <w:p w:rsidR="00B065CD" w:rsidRPr="00947D0E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4. TRANSPORT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4.</w:t>
      </w:r>
    </w:p>
    <w:p w:rsidR="00B065CD" w:rsidRPr="00947D0E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947D0E">
        <w:rPr>
          <w:rFonts w:ascii="Tahoma" w:hAnsi="Tahoma" w:cs="Tahoma"/>
          <w:b/>
        </w:rPr>
        <w:lastRenderedPageBreak/>
        <w:t>4.2. Transport materiałów</w:t>
      </w:r>
    </w:p>
    <w:p w:rsidR="00152D0A" w:rsidRPr="00947D0E" w:rsidRDefault="00152D0A" w:rsidP="00152D0A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947D0E">
        <w:rPr>
          <w:rFonts w:ascii="Tahoma" w:hAnsi="Tahoma" w:cs="Tahoma"/>
          <w:spacing w:val="-3"/>
          <w:sz w:val="20"/>
          <w:szCs w:val="20"/>
        </w:rPr>
        <w:t>Wykonawca zobowiązany jest do stosowania takich środków transportu, które pozwolą uniknąć uszkodzeń i odkształceń przewożonych materiałów. Materiały na budowę powinny być przewożone zgodnie z przepisami ruchu drogowego oraz BHP.</w:t>
      </w:r>
    </w:p>
    <w:p w:rsidR="00152D0A" w:rsidRPr="00947D0E" w:rsidRDefault="00152D0A" w:rsidP="00152D0A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947D0E">
        <w:rPr>
          <w:rFonts w:ascii="Tahoma" w:hAnsi="Tahoma" w:cs="Tahoma"/>
          <w:spacing w:val="-3"/>
          <w:sz w:val="20"/>
          <w:szCs w:val="20"/>
        </w:rPr>
        <w:t>Materiały sypkie i drobne przedmioty można przewozić dowolnymi środkami transportu, w warunkach zabezpieczających je przed zanieczyszczeniem, zmieszaniem z innymi materiałami i nadmiernym zawilgoceniem.</w:t>
      </w:r>
    </w:p>
    <w:p w:rsidR="00152D0A" w:rsidRPr="00947D0E" w:rsidRDefault="00152D0A" w:rsidP="00152D0A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947D0E">
        <w:rPr>
          <w:rFonts w:ascii="Tahoma" w:hAnsi="Tahoma" w:cs="Tahoma"/>
          <w:spacing w:val="-3"/>
          <w:sz w:val="20"/>
          <w:szCs w:val="20"/>
        </w:rPr>
        <w:t>Transport armatury powinien odbywać się krytymi środkami transportu, zgodnie z obowiązującymi przepisami transportowymi. Armatura transportowana luzem powinna być zabezpieczona przed przemieszczaniem i uszkodzeniami mechanicznymi. Armatura drobna (≤ DN25) powinna być pakowana w skrzynie lub pojemniki.</w:t>
      </w:r>
    </w:p>
    <w:p w:rsidR="00152D0A" w:rsidRPr="00947D0E" w:rsidRDefault="00152D0A" w:rsidP="00152D0A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947D0E">
        <w:rPr>
          <w:rFonts w:ascii="Tahoma" w:hAnsi="Tahoma" w:cs="Tahoma"/>
          <w:spacing w:val="-3"/>
          <w:sz w:val="20"/>
          <w:szCs w:val="20"/>
        </w:rPr>
        <w:t>Włazy kanałowe, skrzynki uliczne, obudowy, pokrywy itp. mogą być transportowane dowolnymi środkami transportu w sposób zapewniający zabezpieczenie przed przemieszczeniem i uszkodzeniem.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5. WYKONANIE ROBÓT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5.1. Ogólne zasady wykonania robót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5.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5.2. Regulacja wysokościowa</w:t>
      </w:r>
      <w:r w:rsidR="00152D0A" w:rsidRPr="00947D0E">
        <w:rPr>
          <w:rFonts w:ascii="Tahoma" w:hAnsi="Tahoma" w:cs="Tahoma"/>
          <w:b/>
          <w:sz w:val="20"/>
          <w:szCs w:val="20"/>
        </w:rPr>
        <w:t xml:space="preserve"> skrzynek zaworów wodociągowych</w:t>
      </w:r>
    </w:p>
    <w:p w:rsidR="00152D0A" w:rsidRPr="00947D0E" w:rsidRDefault="00152D0A" w:rsidP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Wykonanie robót obejmuje:</w:t>
      </w:r>
    </w:p>
    <w:p w:rsidR="00152D0A" w:rsidRPr="00947D0E" w:rsidRDefault="00152D0A" w:rsidP="00152D0A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rozebranie nawierzchni wokół skrzynki ulicznej. Roboty rozbiórkowe prowadzić zgodnie z zasadami określonymi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D-01.02.04,</w:t>
      </w:r>
    </w:p>
    <w:p w:rsidR="00152D0A" w:rsidRPr="00947D0E" w:rsidRDefault="00152D0A" w:rsidP="00152D0A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usunięcie skrzynki ulicznej,</w:t>
      </w:r>
    </w:p>
    <w:p w:rsidR="00152D0A" w:rsidRPr="00947D0E" w:rsidRDefault="00152D0A" w:rsidP="00152D0A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robót,,</w:t>
      </w:r>
    </w:p>
    <w:p w:rsidR="00152D0A" w:rsidRPr="00947D0E" w:rsidRDefault="00152D0A" w:rsidP="00152D0A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regulacja - poziomowanie skrzynki ulicznej przy użyciu betonu klasy C12/15,</w:t>
      </w:r>
    </w:p>
    <w:p w:rsidR="00152D0A" w:rsidRPr="00947D0E" w:rsidRDefault="00152D0A" w:rsidP="00152D0A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osadzenie skrzynki ulicznej na przygotowanym podłożu,</w:t>
      </w:r>
    </w:p>
    <w:p w:rsidR="00152D0A" w:rsidRPr="00947D0E" w:rsidRDefault="00152D0A" w:rsidP="00152D0A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 zależności od umiejscowienia skrzynki ulicznej:</w:t>
      </w:r>
    </w:p>
    <w:p w:rsidR="00152D0A" w:rsidRPr="00947D0E" w:rsidRDefault="00152D0A" w:rsidP="00152D0A">
      <w:pPr>
        <w:pStyle w:val="Akapitzlist"/>
        <w:numPr>
          <w:ilvl w:val="1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ułożenie warstw konstrukcyjnych nawierzchni zgodnie z ST</w:t>
      </w:r>
    </w:p>
    <w:p w:rsidR="00152D0A" w:rsidRPr="00947D0E" w:rsidRDefault="00152D0A" w:rsidP="00152D0A">
      <w:pPr>
        <w:pStyle w:val="Akapitzlist"/>
        <w:numPr>
          <w:ilvl w:val="1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obsypanie ziemią urodzajną (humusem).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5.3. Regulacja</w:t>
      </w:r>
      <w:r w:rsidR="001560DC">
        <w:rPr>
          <w:rFonts w:ascii="Tahoma" w:hAnsi="Tahoma" w:cs="Tahoma"/>
          <w:b/>
          <w:sz w:val="20"/>
          <w:szCs w:val="20"/>
        </w:rPr>
        <w:t xml:space="preserve"> wysokościowa włazów kanałowych</w:t>
      </w:r>
      <w:r w:rsidR="004023AE">
        <w:rPr>
          <w:rFonts w:ascii="Tahoma" w:hAnsi="Tahoma" w:cs="Tahoma"/>
          <w:b/>
          <w:sz w:val="20"/>
          <w:szCs w:val="20"/>
        </w:rPr>
        <w:t xml:space="preserve"> i kratek ściekowych</w:t>
      </w:r>
    </w:p>
    <w:p w:rsidR="00152D0A" w:rsidRPr="00947D0E" w:rsidRDefault="00152D0A" w:rsidP="00152D0A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Wykonanie robót obejmuje:</w:t>
      </w:r>
    </w:p>
    <w:p w:rsidR="00152D0A" w:rsidRPr="00947D0E" w:rsidRDefault="00152D0A" w:rsidP="00152D0A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zdjęcie przykrycia studzienki</w:t>
      </w:r>
      <w:r w:rsidR="00441A21" w:rsidRPr="00947D0E">
        <w:rPr>
          <w:rFonts w:ascii="Tahoma" w:hAnsi="Tahoma" w:cs="Tahoma"/>
          <w:sz w:val="20"/>
          <w:szCs w:val="20"/>
        </w:rPr>
        <w:t xml:space="preserve"> (właz kratka)</w:t>
      </w:r>
      <w:r w:rsidRPr="00947D0E">
        <w:rPr>
          <w:rFonts w:ascii="Tahoma" w:hAnsi="Tahoma" w:cs="Tahoma"/>
          <w:sz w:val="20"/>
          <w:szCs w:val="20"/>
        </w:rPr>
        <w:t>,</w:t>
      </w:r>
    </w:p>
    <w:p w:rsidR="00152D0A" w:rsidRPr="00947D0E" w:rsidRDefault="00152D0A" w:rsidP="00152D0A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rozebranie nawierzchni wokół studzienki,</w:t>
      </w:r>
    </w:p>
    <w:p w:rsidR="00152D0A" w:rsidRPr="00947D0E" w:rsidRDefault="00152D0A" w:rsidP="00152D0A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rozebranie górnej części studzienki (np. części żeliwnych, pierścieni regulacyjnych, cegły itp.),</w:t>
      </w:r>
    </w:p>
    <w:p w:rsidR="00152D0A" w:rsidRPr="00947D0E" w:rsidRDefault="00152D0A" w:rsidP="00152D0A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152D0A" w:rsidRPr="00947D0E" w:rsidRDefault="00152D0A" w:rsidP="00152D0A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Roboty rozbiórkowe prowadzić zgodnie z zasadami określonymi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D-01.02.04,</w:t>
      </w:r>
    </w:p>
    <w:p w:rsidR="00152D0A" w:rsidRPr="00947D0E" w:rsidRDefault="00152D0A" w:rsidP="00152D0A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sprawdzenie stanu konstrukcji studzienki i oczyszczenie górnej części studzienki (np. nasady wpustu, komina włazowego) z ew. uzupełnieniem ubytków,</w:t>
      </w:r>
    </w:p>
    <w:p w:rsidR="00152D0A" w:rsidRPr="00947D0E" w:rsidRDefault="00152D0A" w:rsidP="00152D0A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 przypadku niewielkiej regulacji - poziomowanie górnej części komina włazowego, nasady wpustu itp. przy użyciu zaprawy cementowej lub pierścieni wyrównujących, a w przypadku uszkodzeń większych - wykonanie deskowania oraz ułożenie i zagęszczenie mieszanki betonowej klasy co najmniej (C20/25), według wymiarów dostosowanych do rodzaju uszkodzenia i poziomu powierzchni (jezdni, chodnika, pasa dzielącego itp.), a także rozebranie deskowania,</w:t>
      </w:r>
    </w:p>
    <w:p w:rsidR="00152D0A" w:rsidRPr="00947D0E" w:rsidRDefault="00152D0A" w:rsidP="00152D0A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lastRenderedPageBreak/>
        <w:t>osadzenie przykrycia studzienki z wykorzystaniem istniejących materiałów oraz ew. wyrównaniem zaprawą cementową.</w:t>
      </w:r>
    </w:p>
    <w:p w:rsidR="00152D0A" w:rsidRPr="00947D0E" w:rsidRDefault="00152D0A" w:rsidP="00152D0A">
      <w:pPr>
        <w:ind w:left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 przypadku znacznych regulacji studzienki, - wyrównanie górnej części komina, nadbudowanie studzienek kanalizacyjnych cegłą kanalizacyjną na żądaną wysokość, a następnie osadzenie przykrycia studzienki.</w:t>
      </w:r>
    </w:p>
    <w:p w:rsidR="00EE11B8" w:rsidRPr="00947D0E" w:rsidRDefault="00EE11B8" w:rsidP="00EE11B8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5.4. Regulacja pionowa studzienek teletechnicznych</w:t>
      </w:r>
    </w:p>
    <w:p w:rsidR="00441A21" w:rsidRPr="00947D0E" w:rsidRDefault="00441A21" w:rsidP="00441A21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Regulacja wysokościowa studzienek telefonicznych obejmuje:</w:t>
      </w:r>
    </w:p>
    <w:p w:rsidR="00441A21" w:rsidRPr="00947D0E" w:rsidRDefault="00441A21" w:rsidP="00441A21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zdjęcie pokrywy / pokryw studzienki teletechnicznej,</w:t>
      </w:r>
    </w:p>
    <w:p w:rsidR="00441A21" w:rsidRPr="00947D0E" w:rsidRDefault="00441A21" w:rsidP="00441A21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rozebranie nawierzchni wokół studzienki:</w:t>
      </w:r>
    </w:p>
    <w:p w:rsidR="00441A21" w:rsidRPr="00947D0E" w:rsidRDefault="00441A21" w:rsidP="00441A2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ręczne (dłutami, haczykami z drutu, młotkami brukarskimi, ew. drągami stalowymi itp. - w przypadku nawierzchni typu kostkowego),</w:t>
      </w:r>
    </w:p>
    <w:p w:rsidR="00441A21" w:rsidRPr="00947D0E" w:rsidRDefault="00441A21" w:rsidP="00441A2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mechaniczne (w przypadku nawierzchni typu monolitycznego, np. nawierzchni asfaltowej, betonowej) -z pionowym wycięciem krawędzi uszkodzenia piłą tarczową i rozebraniem konstrukcji jezdni przy pomocy młotów pneumatycznych, drągów stalowych itp.,</w:t>
      </w:r>
    </w:p>
    <w:p w:rsidR="00441A21" w:rsidRPr="00947D0E" w:rsidRDefault="00441A21" w:rsidP="00441A21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demontaż ramy pokrywy studzienki teletechnicznej,</w:t>
      </w:r>
    </w:p>
    <w:p w:rsidR="00441A21" w:rsidRPr="00947D0E" w:rsidRDefault="00441A21" w:rsidP="00441A21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:rsidR="00441A21" w:rsidRPr="00947D0E" w:rsidRDefault="00441A21" w:rsidP="00441A21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sprawdzenie stanu konstrukcji studzienki, oraz oczyszczenie górnej części studzienki z ew. uzupełnieniem ubytków,</w:t>
      </w:r>
    </w:p>
    <w:p w:rsidR="00441A21" w:rsidRPr="00947D0E" w:rsidRDefault="00441A21" w:rsidP="00441A21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 przypadku niewielkiej regulacji - poziomowanie ramy przy użyciu zaprawy cementowej, a w przypadku większych regulacji - wykonanie deskowania oraz ułożenie i zagęszczenie mieszanki betonowej klasy co najmniej (C12/15), według wymiarów dostosowanych do rodzaju studni i poziomu powierzchni (jezdni, chodnika, pasa dzielącego itp.), a także rozebranie deskowania,</w:t>
      </w:r>
    </w:p>
    <w:p w:rsidR="00441A21" w:rsidRPr="00947D0E" w:rsidRDefault="00441A21" w:rsidP="00441A21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osadzenie ramy i montaż pokrywy / pokryw z wykorzystaniem istniejących lub nowych materiałów.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6.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:rsidR="00441A21" w:rsidRPr="00947D0E" w:rsidRDefault="00441A21" w:rsidP="00441A21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Przed przystąpieniem do robót Wykonawca powinien:</w:t>
      </w:r>
    </w:p>
    <w:p w:rsidR="00441A21" w:rsidRPr="00947D0E" w:rsidRDefault="00441A21" w:rsidP="00441A21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441A21" w:rsidRPr="00947D0E" w:rsidRDefault="00441A21" w:rsidP="00441A21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sprawdzić cechy zewnętrzne gotowych materiałów z tworzyw i prefabrykowanych.</w:t>
      </w:r>
    </w:p>
    <w:p w:rsidR="00441A21" w:rsidRPr="00947D0E" w:rsidRDefault="00441A21" w:rsidP="00441A21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Wszystkie dokumenty oraz wyniki badań Wykonawca przedstawia Zamawiającemu do akceptacji.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w poziomie nawierzchni z dokładnością do ± 2 </w:t>
      </w:r>
      <w:proofErr w:type="spellStart"/>
      <w:r w:rsidRPr="00947D0E">
        <w:rPr>
          <w:rFonts w:ascii="Tahoma" w:hAnsi="Tahoma" w:cs="Tahoma"/>
          <w:sz w:val="20"/>
          <w:szCs w:val="20"/>
        </w:rPr>
        <w:t>mm</w:t>
      </w:r>
      <w:proofErr w:type="spellEnd"/>
      <w:r w:rsidRPr="00947D0E">
        <w:rPr>
          <w:rFonts w:ascii="Tahoma" w:hAnsi="Tahoma" w:cs="Tahoma"/>
          <w:sz w:val="20"/>
          <w:szCs w:val="20"/>
        </w:rPr>
        <w:t>. Kratki ściekowe należy obsadzić około 0,5 cm poniżej poziomu nawierzchni.</w:t>
      </w:r>
    </w:p>
    <w:p w:rsidR="00441A21" w:rsidRPr="00947D0E" w:rsidRDefault="00441A21" w:rsidP="00441A21">
      <w:pPr>
        <w:spacing w:before="16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lastRenderedPageBreak/>
        <w:t>6.4. Badania wykonanych robót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Po zakończeniu robót należy sprawdzić wizualnie:</w:t>
      </w:r>
    </w:p>
    <w:p w:rsidR="00441A21" w:rsidRPr="00947D0E" w:rsidRDefault="00441A21" w:rsidP="00441A2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wygląd zewnętrzny regulacji pionowej w zakresie wyglądu, kształtu, wymiarów, desenia nawierzchni typu kostkowego,</w:t>
      </w:r>
    </w:p>
    <w:p w:rsidR="00441A21" w:rsidRPr="00947D0E" w:rsidRDefault="00441A21" w:rsidP="00441A21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poprawność profilu podłużnego i poprzecznego, nawiązującego do otaczającej nawierzchni i umożliwiającego spływ powierzchniowy wód.</w:t>
      </w:r>
    </w:p>
    <w:p w:rsidR="00441A21" w:rsidRPr="00947D0E" w:rsidRDefault="00441A21">
      <w:pPr>
        <w:jc w:val="both"/>
        <w:rPr>
          <w:rFonts w:ascii="Tahoma" w:hAnsi="Tahoma" w:cs="Tahoma"/>
          <w:b/>
          <w:sz w:val="20"/>
          <w:szCs w:val="20"/>
        </w:rPr>
      </w:pP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7. OBMIAR ROBÓT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7.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Jednostką obmiarową jest szt. (sztuka) wyregulowanego urządzenia podziemnego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8. ODBIÓR ROBÓT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8. 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Regulację urządzeń podziemnych uważa się za wykonaną zgodnie z dokumentacją projektową jeżeli wszystkie wyniki badań i pomiary okazały się zgodne z wymaganiami określonymi w punkcie 2, 5, 6 niniejszej SST.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 przypadku stwierdzenia wad Zamawiający ustali zakres robót poprawkowych lub poleci rozbiórkę wykonanej regulacji i ponowne jej wykonanie według zasad określonych w niniejszej SST.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Roboty poprawkowe lub rozbiórkowe i ponowne ich wykonanie Wykonawca wykona na własny koszt w terminie uzgodnionym z Zamawiającym. </w:t>
      </w:r>
    </w:p>
    <w:p w:rsidR="00B065CD" w:rsidRPr="00947D0E" w:rsidRDefault="00B065C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03D78" w:rsidRPr="00947D0E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:rsidR="00B065CD" w:rsidRPr="00947D0E" w:rsidRDefault="00991862">
      <w:pPr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947D0E">
        <w:rPr>
          <w:rFonts w:ascii="Tahoma" w:hAnsi="Tahoma" w:cs="Tahoma"/>
          <w:sz w:val="20"/>
          <w:szCs w:val="20"/>
        </w:rPr>
        <w:t>STWiORB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D-00.00.00 “Wymagania ogólne” </w:t>
      </w:r>
      <w:proofErr w:type="spellStart"/>
      <w:r w:rsidRPr="00947D0E">
        <w:rPr>
          <w:rFonts w:ascii="Tahoma" w:hAnsi="Tahoma" w:cs="Tahoma"/>
          <w:sz w:val="20"/>
          <w:szCs w:val="20"/>
        </w:rPr>
        <w:t>pkt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9. </w:t>
      </w:r>
    </w:p>
    <w:p w:rsidR="00B065CD" w:rsidRPr="00947D0E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Cena wykonania regulacji 1 szt. urządzeń podziemnych obejmuje: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prace pomiarowe i roboty przygotowawcze,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oznakowanie robót,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roboty rozbiórkowe,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roboty ziemne,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dostarczenie materiałów i sprzętu,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wykonanie regulacji pionowej lub ewentualna przebudowa hydrantu,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odtworzenie nawierzchni wraz z podbudowa i zasypkami,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odwiezienie nieprzydatnych materiałów rozbiórkowych na składowisko,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:rsidR="00441A21" w:rsidRPr="00947D0E" w:rsidRDefault="00441A21" w:rsidP="00441A2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odwiezienie sprzętu.</w:t>
      </w:r>
    </w:p>
    <w:p w:rsidR="00B065CD" w:rsidRPr="00947D0E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947D0E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:rsidR="00B065CD" w:rsidRPr="00947D0E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B065CD" w:rsidRPr="00947D0E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47D0E">
        <w:rPr>
          <w:rFonts w:ascii="Tahoma" w:hAnsi="Tahoma" w:cs="Tahoma"/>
          <w:b/>
          <w:sz w:val="20"/>
          <w:szCs w:val="20"/>
        </w:rPr>
        <w:t>10.1. Normy.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lastRenderedPageBreak/>
        <w:t>PN-EN 206:2014-04 Beton Część 1: Wymagania, właściwości, produkcja i zgodność.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12620 Kruszywa do betonu.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:rsidR="00B065CD" w:rsidRPr="00947D0E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PN-EN 1008:2004 Woda </w:t>
      </w:r>
      <w:proofErr w:type="spellStart"/>
      <w:r w:rsidRPr="00947D0E">
        <w:rPr>
          <w:rFonts w:ascii="Tahoma" w:hAnsi="Tahoma" w:cs="Tahoma"/>
          <w:sz w:val="20"/>
          <w:szCs w:val="20"/>
        </w:rPr>
        <w:t>zarobowa</w:t>
      </w:r>
      <w:proofErr w:type="spellEnd"/>
      <w:r w:rsidRPr="00947D0E">
        <w:rPr>
          <w:rFonts w:ascii="Tahoma" w:hAnsi="Tahoma" w:cs="Tahoma"/>
          <w:sz w:val="20"/>
          <w:szCs w:val="20"/>
        </w:rPr>
        <w:t xml:space="preserve"> do betonu.</w:t>
      </w:r>
    </w:p>
    <w:p w:rsidR="00303D78" w:rsidRPr="00947D0E" w:rsidRDefault="00303D7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 xml:space="preserve">PN-EN 14339:2009 Hydranty przeciwpożarowe podziemne </w:t>
      </w:r>
    </w:p>
    <w:p w:rsidR="00441A21" w:rsidRPr="00947D0E" w:rsidRDefault="00441A21" w:rsidP="00441A21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13.</w:t>
      </w:r>
      <w:r w:rsidRPr="00947D0E">
        <w:rPr>
          <w:rFonts w:ascii="Tahoma" w:hAnsi="Tahoma" w:cs="Tahoma"/>
          <w:sz w:val="20"/>
          <w:szCs w:val="20"/>
        </w:rPr>
        <w:tab/>
        <w:t>ZN-96/TP S.A.-023 Studnie kablowe. Wymagania i badania.</w:t>
      </w:r>
    </w:p>
    <w:p w:rsidR="00303D78" w:rsidRPr="00947D0E" w:rsidRDefault="00441A21" w:rsidP="00441A21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14.</w:t>
      </w:r>
      <w:r w:rsidRPr="00947D0E">
        <w:rPr>
          <w:rFonts w:ascii="Tahoma" w:hAnsi="Tahoma" w:cs="Tahoma"/>
          <w:sz w:val="20"/>
          <w:szCs w:val="20"/>
        </w:rPr>
        <w:tab/>
        <w:t>ZN-96/TP S.A.-041 Zabezpieczenie pokryw studni kablowych, dodatkowe (wewnętrzne).</w:t>
      </w:r>
    </w:p>
    <w:p w:rsidR="00441A21" w:rsidRPr="00947D0E" w:rsidRDefault="00441A21" w:rsidP="00441A21">
      <w:pPr>
        <w:pStyle w:val="Nagwek2"/>
        <w:spacing w:before="240"/>
        <w:rPr>
          <w:rFonts w:ascii="Tahoma" w:hAnsi="Tahoma" w:cs="Tahoma"/>
        </w:rPr>
      </w:pPr>
      <w:r w:rsidRPr="00947D0E">
        <w:rPr>
          <w:rFonts w:ascii="Tahoma" w:hAnsi="Tahoma" w:cs="Tahoma"/>
          <w:lang w:val="de-DE"/>
        </w:rPr>
        <w:t xml:space="preserve">10.2. </w:t>
      </w:r>
      <w:r w:rsidRPr="00947D0E">
        <w:rPr>
          <w:rFonts w:ascii="Tahoma" w:hAnsi="Tahoma" w:cs="Tahoma"/>
        </w:rPr>
        <w:t>Przepisy związane i inne dokumenty</w:t>
      </w:r>
    </w:p>
    <w:p w:rsidR="00441A21" w:rsidRPr="00947D0E" w:rsidRDefault="00441A21" w:rsidP="00441A21">
      <w:pPr>
        <w:pStyle w:val="Akapitzlist"/>
        <w:numPr>
          <w:ilvl w:val="3"/>
          <w:numId w:val="16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D-00.00.00 Wymagania ogólne.</w:t>
      </w:r>
    </w:p>
    <w:p w:rsidR="00441A21" w:rsidRPr="00947D0E" w:rsidRDefault="00441A21" w:rsidP="00441A21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:rsidR="00441A21" w:rsidRPr="00947D0E" w:rsidRDefault="00441A21" w:rsidP="00441A21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441A21" w:rsidRPr="00947D0E" w:rsidRDefault="00441A21" w:rsidP="00441A21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947D0E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p w:rsidR="00441A21" w:rsidRPr="00947D0E" w:rsidRDefault="00441A21" w:rsidP="00441A21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441A21" w:rsidRPr="00947D0E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A91" w:rsidRDefault="00697A91" w:rsidP="00B065CD">
      <w:pPr>
        <w:spacing w:after="0" w:line="240" w:lineRule="auto"/>
      </w:pPr>
      <w:r>
        <w:separator/>
      </w:r>
    </w:p>
  </w:endnote>
  <w:endnote w:type="continuationSeparator" w:id="0">
    <w:p w:rsidR="00697A91" w:rsidRDefault="00697A91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689103"/>
      <w:docPartObj>
        <w:docPartGallery w:val="Page Numbers (Bottom of Page)"/>
        <w:docPartUnique/>
      </w:docPartObj>
    </w:sdtPr>
    <w:sdtContent>
      <w:p w:rsidR="00B065CD" w:rsidRDefault="006A1CC4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 w:rsidR="00991862"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F1471A">
          <w:rPr>
            <w:rFonts w:ascii="Tahoma" w:hAnsi="Tahoma" w:cs="Tahoma"/>
            <w:noProof/>
            <w:sz w:val="20"/>
            <w:szCs w:val="20"/>
          </w:rPr>
          <w:t>1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065CD" w:rsidRDefault="00B0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A91" w:rsidRDefault="00697A91" w:rsidP="00B065CD">
      <w:pPr>
        <w:spacing w:after="0" w:line="240" w:lineRule="auto"/>
      </w:pPr>
      <w:r>
        <w:separator/>
      </w:r>
    </w:p>
  </w:footnote>
  <w:footnote w:type="continuationSeparator" w:id="0">
    <w:p w:rsidR="00697A91" w:rsidRDefault="00697A91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7F28"/>
    <w:multiLevelType w:val="hybridMultilevel"/>
    <w:tmpl w:val="634E0E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08E89F0">
      <w:start w:val="1"/>
      <w:numFmt w:val="upperRoman"/>
      <w:lvlText w:val="%2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EC5E3D"/>
    <w:multiLevelType w:val="hybridMultilevel"/>
    <w:tmpl w:val="634E0E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08E89F0">
      <w:start w:val="1"/>
      <w:numFmt w:val="upperRoman"/>
      <w:lvlText w:val="%2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5"/>
  </w:num>
  <w:num w:numId="5">
    <w:abstractNumId w:val="15"/>
  </w:num>
  <w:num w:numId="6">
    <w:abstractNumId w:val="1"/>
  </w:num>
  <w:num w:numId="7">
    <w:abstractNumId w:val="2"/>
  </w:num>
  <w:num w:numId="8">
    <w:abstractNumId w:val="3"/>
  </w:num>
  <w:num w:numId="9">
    <w:abstractNumId w:val="9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  <w:num w:numId="14">
    <w:abstractNumId w:val="14"/>
  </w:num>
  <w:num w:numId="15">
    <w:abstractNumId w:val="12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5CD"/>
    <w:rsid w:val="000040BC"/>
    <w:rsid w:val="0005757B"/>
    <w:rsid w:val="000F215E"/>
    <w:rsid w:val="00152D0A"/>
    <w:rsid w:val="001560DC"/>
    <w:rsid w:val="001C71C0"/>
    <w:rsid w:val="00303D78"/>
    <w:rsid w:val="00317138"/>
    <w:rsid w:val="003F7AB2"/>
    <w:rsid w:val="004023AE"/>
    <w:rsid w:val="004318B3"/>
    <w:rsid w:val="00441A21"/>
    <w:rsid w:val="00447247"/>
    <w:rsid w:val="0053497E"/>
    <w:rsid w:val="005B6ED8"/>
    <w:rsid w:val="005C58FD"/>
    <w:rsid w:val="005D3FE1"/>
    <w:rsid w:val="005F3493"/>
    <w:rsid w:val="00661530"/>
    <w:rsid w:val="00677566"/>
    <w:rsid w:val="006851B2"/>
    <w:rsid w:val="00697A91"/>
    <w:rsid w:val="006A1CC4"/>
    <w:rsid w:val="006B35BA"/>
    <w:rsid w:val="00747391"/>
    <w:rsid w:val="007930B2"/>
    <w:rsid w:val="007B4678"/>
    <w:rsid w:val="008F0593"/>
    <w:rsid w:val="00941576"/>
    <w:rsid w:val="00947D0E"/>
    <w:rsid w:val="00991862"/>
    <w:rsid w:val="00A46ADF"/>
    <w:rsid w:val="00A85E69"/>
    <w:rsid w:val="00AA362A"/>
    <w:rsid w:val="00AC2DB2"/>
    <w:rsid w:val="00B065CD"/>
    <w:rsid w:val="00B23DE2"/>
    <w:rsid w:val="00BA1BE3"/>
    <w:rsid w:val="00BB2895"/>
    <w:rsid w:val="00C1302D"/>
    <w:rsid w:val="00C435B7"/>
    <w:rsid w:val="00CD5379"/>
    <w:rsid w:val="00D23918"/>
    <w:rsid w:val="00DA1A37"/>
    <w:rsid w:val="00DB3776"/>
    <w:rsid w:val="00E64632"/>
    <w:rsid w:val="00EC18D6"/>
    <w:rsid w:val="00EE11B8"/>
    <w:rsid w:val="00F1471A"/>
    <w:rsid w:val="00F469F2"/>
    <w:rsid w:val="00F8690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441A21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433D"/>
  </w:style>
  <w:style w:type="character" w:customStyle="1" w:styleId="StopkaZnak">
    <w:name w:val="Stopka Znak"/>
    <w:basedOn w:val="Domylnaczcionkaakapitu"/>
    <w:link w:val="Footer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Caption">
    <w:name w:val="Caption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Header">
    <w:name w:val="Header"/>
    <w:basedOn w:val="Normalny"/>
    <w:link w:val="Nagwek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441A21"/>
    <w:rPr>
      <w:rFonts w:ascii="Book Antiqua" w:eastAsia="Times New Roman" w:hAnsi="Book Antiqua" w:cs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2140</Words>
  <Characters>12841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2023-08-06T18:30:00Z</dcterms:created>
  <dcterms:modified xsi:type="dcterms:W3CDTF">2023-08-06T18:30:00Z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