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2" w:rsidRDefault="00C12DEC">
      <w:pPr>
        <w:pStyle w:val="SST2"/>
        <w:rPr>
          <w:rFonts w:ascii="Tahoma" w:hAnsi="Tahoma" w:cs="Tahoma"/>
          <w:sz w:val="20"/>
        </w:rPr>
      </w:pPr>
      <w:bookmarkStart w:id="0" w:name="_Toc467161108"/>
      <w:bookmarkStart w:id="1" w:name="_Toc422245710"/>
      <w:bookmarkStart w:id="2" w:name="_Toc411855715"/>
      <w:bookmarkStart w:id="3" w:name="_Toc411855578"/>
      <w:bookmarkStart w:id="4" w:name="_Toc411852347"/>
      <w:bookmarkStart w:id="5" w:name="_Toc411852202"/>
      <w:bookmarkStart w:id="6" w:name="_Toc377220868"/>
      <w:r>
        <w:rPr>
          <w:rFonts w:ascii="Tahoma" w:hAnsi="Tahoma" w:cs="Tahoma"/>
          <w:sz w:val="20"/>
        </w:rPr>
        <w:t>D–04.01.01. KORYTO WRAZ Z PROFILOWANIEM I ZAGĘSZCZANIEM PODŁOŻ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ahoma" w:hAnsi="Tahoma" w:cs="Tahoma"/>
          <w:sz w:val="20"/>
        </w:rPr>
        <w:t>A</w:t>
      </w:r>
    </w:p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" w:name="_Toc407086006"/>
      <w:bookmarkStart w:id="8" w:name="_Toc407085558"/>
      <w:bookmarkStart w:id="9" w:name="_Toc407085415"/>
      <w:bookmarkStart w:id="10" w:name="_Toc407085272"/>
      <w:bookmarkStart w:id="11" w:name="_Toc407084153"/>
      <w:bookmarkStart w:id="12" w:name="_Toc407083319"/>
      <w:bookmarkStart w:id="13" w:name="_Toc407081520"/>
      <w:bookmarkStart w:id="14" w:name="_Toc407069555"/>
      <w:bookmarkStart w:id="15" w:name="_Toc406984347"/>
      <w:bookmarkStart w:id="16" w:name="_Toc406984156"/>
      <w:bookmarkStart w:id="17" w:name="_Toc406984009"/>
      <w:bookmarkStart w:id="18" w:name="_Toc406915316"/>
      <w:bookmarkStart w:id="19" w:name="_Toc406914738"/>
      <w:bookmarkStart w:id="20" w:name="_Toc406914080"/>
      <w:bookmarkStart w:id="21" w:name="_Toc406913835"/>
      <w:bookmarkStart w:id="22" w:name="_Toc405780134"/>
      <w:bookmarkStart w:id="23" w:name="_Toc405704473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) są wymagania dotyczące wykonania i odbioru robót związanych z wykonywaniem koryta wraz z profil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waniem i zagęszczaniem podłoża gruntowego w związku z zamierzeniem budowlanym pn.: </w:t>
      </w:r>
      <w:r w:rsidR="00A82E3B" w:rsidRPr="00A82E3B">
        <w:rPr>
          <w:rFonts w:ascii="Tahoma" w:hAnsi="Tahoma" w:cs="Tahoma"/>
          <w:sz w:val="20"/>
          <w:szCs w:val="20"/>
        </w:rPr>
        <w:t>Rozbud</w:t>
      </w:r>
      <w:r w:rsidR="00A82E3B" w:rsidRPr="00A82E3B">
        <w:rPr>
          <w:rFonts w:ascii="Tahoma" w:hAnsi="Tahoma" w:cs="Tahoma"/>
          <w:sz w:val="20"/>
          <w:szCs w:val="20"/>
        </w:rPr>
        <w:t>o</w:t>
      </w:r>
      <w:r w:rsidR="00A82E3B" w:rsidRPr="00A82E3B">
        <w:rPr>
          <w:rFonts w:ascii="Tahoma" w:hAnsi="Tahoma" w:cs="Tahoma"/>
          <w:sz w:val="20"/>
          <w:szCs w:val="20"/>
        </w:rPr>
        <w:t>wa drogi gminnej nr 119007E w m. Branica</w:t>
      </w:r>
      <w:r>
        <w:rPr>
          <w:rFonts w:ascii="Tahoma" w:hAnsi="Tahoma" w:cs="Tahoma"/>
          <w:sz w:val="20"/>
          <w:szCs w:val="20"/>
        </w:rPr>
        <w:t>.</w:t>
      </w:r>
      <w:bookmarkStart w:id="24" w:name="_GoBack"/>
      <w:bookmarkEnd w:id="24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" w:name="_Toc407086007"/>
      <w:bookmarkStart w:id="26" w:name="_Toc407085559"/>
      <w:bookmarkStart w:id="27" w:name="_Toc407085416"/>
      <w:bookmarkStart w:id="28" w:name="_Toc407085273"/>
      <w:bookmarkStart w:id="29" w:name="_Toc407084154"/>
      <w:bookmarkStart w:id="30" w:name="_Toc407083320"/>
      <w:bookmarkStart w:id="31" w:name="_Toc407081521"/>
      <w:bookmarkStart w:id="32" w:name="_Toc407069556"/>
      <w:bookmarkStart w:id="33" w:name="_Toc406984348"/>
      <w:bookmarkStart w:id="34" w:name="_Toc406984157"/>
      <w:bookmarkStart w:id="35" w:name="_Toc406984010"/>
      <w:bookmarkStart w:id="36" w:name="_Toc406915317"/>
      <w:bookmarkStart w:id="37" w:name="_Toc406914739"/>
      <w:bookmarkStart w:id="38" w:name="_Toc406914081"/>
      <w:bookmarkStart w:id="39" w:name="_Toc406913836"/>
      <w:bookmarkStart w:id="40" w:name="_Toc405780135"/>
      <w:bookmarkStart w:id="41" w:name="_Toc405704474"/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proofErr w:type="spellEnd"/>
    </w:p>
    <w:p w:rsidR="00C32362" w:rsidRDefault="00C12DEC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2" w:name="_Toc407086008"/>
      <w:bookmarkStart w:id="43" w:name="_Toc407085560"/>
      <w:bookmarkStart w:id="44" w:name="_Toc407085417"/>
      <w:bookmarkStart w:id="45" w:name="_Toc407085274"/>
      <w:bookmarkStart w:id="46" w:name="_Toc407084155"/>
      <w:bookmarkStart w:id="47" w:name="_Toc407083321"/>
      <w:bookmarkStart w:id="48" w:name="_Toc407081522"/>
      <w:bookmarkStart w:id="49" w:name="_Toc407069557"/>
      <w:bookmarkStart w:id="50" w:name="_Toc406984349"/>
      <w:bookmarkStart w:id="51" w:name="_Toc406984158"/>
      <w:bookmarkStart w:id="52" w:name="_Toc406984011"/>
      <w:bookmarkStart w:id="53" w:name="_Toc406915318"/>
      <w:bookmarkStart w:id="54" w:name="_Toc406914740"/>
      <w:bookmarkStart w:id="55" w:name="_Toc406914082"/>
      <w:bookmarkStart w:id="56" w:name="_Toc406913837"/>
      <w:bookmarkStart w:id="57" w:name="_Toc405780136"/>
      <w:bookmarkStart w:id="58" w:name="_Toc405704475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proofErr w:type="spellEnd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 wykonaniem koryta przeznaczonego do ułożenia konstrukcji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59" w:name="_Toc407086009"/>
      <w:bookmarkStart w:id="60" w:name="_Toc407085561"/>
      <w:bookmarkStart w:id="61" w:name="_Toc407085418"/>
      <w:bookmarkStart w:id="62" w:name="_Toc407085275"/>
      <w:bookmarkStart w:id="63" w:name="_Toc407084156"/>
      <w:bookmarkStart w:id="64" w:name="_Toc407083322"/>
      <w:bookmarkStart w:id="65" w:name="_Toc407081523"/>
      <w:bookmarkStart w:id="66" w:name="_Toc407069558"/>
      <w:bookmarkStart w:id="67" w:name="_Toc406984350"/>
      <w:bookmarkStart w:id="68" w:name="_Toc406984159"/>
      <w:bookmarkStart w:id="69" w:name="_Toc406984012"/>
      <w:bookmarkStart w:id="70" w:name="_Toc406915319"/>
      <w:bookmarkStart w:id="71" w:name="_Toc406914741"/>
      <w:bookmarkStart w:id="72" w:name="_Toc406914083"/>
      <w:bookmarkStart w:id="73" w:name="_Toc406913838"/>
      <w:bookmarkStart w:id="74" w:name="_Toc405780137"/>
      <w:bookmarkStart w:id="75" w:name="_Toc405704476"/>
      <w:r>
        <w:rPr>
          <w:rFonts w:ascii="Tahoma" w:hAnsi="Tahoma" w:cs="Tahoma"/>
        </w:rPr>
        <w:t>1.4. Określenia podstawowe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Określenia podstawowe są zgodne z obowiązującymi, odpowiednimi polskimi normami i 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76" w:name="_Toc407086010"/>
      <w:bookmarkStart w:id="77" w:name="_Toc407085562"/>
      <w:bookmarkStart w:id="78" w:name="_Toc407085419"/>
      <w:bookmarkStart w:id="79" w:name="_Toc407085276"/>
      <w:bookmarkStart w:id="80" w:name="_Toc407084157"/>
      <w:bookmarkStart w:id="81" w:name="_Toc407083323"/>
      <w:bookmarkStart w:id="82" w:name="_Toc407081524"/>
      <w:bookmarkStart w:id="83" w:name="_Toc407069559"/>
      <w:bookmarkStart w:id="84" w:name="_Toc406984351"/>
      <w:bookmarkStart w:id="85" w:name="_Toc406984160"/>
      <w:bookmarkStart w:id="86" w:name="_Toc406984013"/>
      <w:bookmarkStart w:id="87" w:name="_Toc406915320"/>
      <w:bookmarkStart w:id="88" w:name="_Toc406914742"/>
      <w:bookmarkStart w:id="89" w:name="_Toc406914084"/>
      <w:bookmarkStart w:id="90" w:name="_Toc406913839"/>
      <w:bookmarkStart w:id="91" w:name="_Toc405780138"/>
      <w:bookmarkStart w:id="92" w:name="_Toc405704477"/>
      <w:r>
        <w:rPr>
          <w:rFonts w:ascii="Tahoma" w:hAnsi="Tahoma" w:cs="Tahoma"/>
        </w:rPr>
        <w:t>1.5. 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3" w:name="_Toc407086011"/>
      <w:bookmarkStart w:id="94" w:name="_Toc407085563"/>
      <w:bookmarkStart w:id="95" w:name="_Toc407085420"/>
      <w:bookmarkStart w:id="96" w:name="_Toc407085277"/>
      <w:bookmarkStart w:id="97" w:name="_Toc407084158"/>
      <w:bookmarkStart w:id="98" w:name="_Toc407083324"/>
      <w:bookmarkStart w:id="99" w:name="_Toc407081525"/>
      <w:bookmarkStart w:id="100" w:name="_Toc407069560"/>
      <w:bookmarkStart w:id="101" w:name="_Toc406984352"/>
      <w:bookmarkStart w:id="102" w:name="_Toc406984161"/>
      <w:bookmarkStart w:id="103" w:name="_Toc406984014"/>
      <w:bookmarkStart w:id="104" w:name="_Toc406915321"/>
      <w:bookmarkStart w:id="105" w:name="_Toc406914743"/>
      <w:bookmarkStart w:id="106" w:name="_Toc406914085"/>
      <w:bookmarkStart w:id="107" w:name="_Toc406913840"/>
      <w:r>
        <w:rPr>
          <w:rFonts w:ascii="Tahoma" w:hAnsi="Tahoma" w:cs="Tahoma"/>
          <w:szCs w:val="20"/>
        </w:rPr>
        <w:t>2. MATERIAŁY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8" w:name="_Toc407086012"/>
      <w:bookmarkStart w:id="109" w:name="_Toc407085564"/>
      <w:bookmarkStart w:id="110" w:name="_Toc407085421"/>
      <w:bookmarkStart w:id="111" w:name="_Toc407085278"/>
      <w:bookmarkStart w:id="112" w:name="_Toc407084159"/>
      <w:bookmarkStart w:id="113" w:name="_Toc407083325"/>
      <w:bookmarkStart w:id="114" w:name="_Toc407081526"/>
      <w:bookmarkStart w:id="115" w:name="_Toc407069561"/>
      <w:bookmarkStart w:id="116" w:name="_Toc406984353"/>
      <w:bookmarkStart w:id="117" w:name="_Toc406984162"/>
      <w:bookmarkStart w:id="118" w:name="_Toc406984015"/>
      <w:bookmarkStart w:id="119" w:name="_Toc406915322"/>
      <w:bookmarkStart w:id="120" w:name="_Toc406914744"/>
      <w:bookmarkStart w:id="121" w:name="_Toc406914086"/>
      <w:bookmarkStart w:id="122" w:name="_Toc406913841"/>
      <w:r>
        <w:rPr>
          <w:rFonts w:ascii="Tahoma" w:hAnsi="Tahoma" w:cs="Tahoma"/>
          <w:szCs w:val="20"/>
        </w:rPr>
        <w:t>3. SPRZĘT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23" w:name="_Toc407086013"/>
      <w:bookmarkStart w:id="124" w:name="_Toc407085565"/>
      <w:bookmarkStart w:id="125" w:name="_Toc407085422"/>
      <w:bookmarkStart w:id="126" w:name="_Toc407085279"/>
      <w:bookmarkStart w:id="127" w:name="_Toc407084160"/>
      <w:bookmarkStart w:id="128" w:name="_Toc407083326"/>
      <w:bookmarkStart w:id="129" w:name="_Toc407081527"/>
      <w:bookmarkStart w:id="130" w:name="_Toc407069562"/>
      <w:bookmarkStart w:id="131" w:name="_Toc406984354"/>
      <w:bookmarkStart w:id="132" w:name="_Toc406984163"/>
      <w:bookmarkStart w:id="133" w:name="_Toc406984016"/>
      <w:bookmarkStart w:id="134" w:name="_Toc406915323"/>
      <w:bookmarkStart w:id="135" w:name="_Toc406914745"/>
      <w:bookmarkStart w:id="136" w:name="_Toc406914087"/>
      <w:bookmarkStart w:id="137" w:name="_Toc406913842"/>
      <w:r>
        <w:rPr>
          <w:rFonts w:ascii="Tahoma" w:hAnsi="Tahoma" w:cs="Tahoma"/>
        </w:rPr>
        <w:t>3.1. Ogólne wymagania dotyczące sprzętu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38" w:name="_Toc407086014"/>
      <w:bookmarkStart w:id="139" w:name="_Toc407085566"/>
      <w:bookmarkStart w:id="140" w:name="_Toc407085423"/>
      <w:bookmarkStart w:id="141" w:name="_Toc407085280"/>
      <w:bookmarkStart w:id="142" w:name="_Toc407084161"/>
      <w:bookmarkStart w:id="143" w:name="_Toc407083327"/>
      <w:bookmarkStart w:id="144" w:name="_Toc407081528"/>
      <w:bookmarkStart w:id="145" w:name="_Toc407069563"/>
      <w:bookmarkStart w:id="146" w:name="_Toc406984355"/>
      <w:bookmarkStart w:id="147" w:name="_Toc406984164"/>
      <w:bookmarkStart w:id="148" w:name="_Toc406984017"/>
      <w:bookmarkStart w:id="149" w:name="_Toc406915324"/>
      <w:bookmarkStart w:id="150" w:name="_Toc406914746"/>
      <w:bookmarkStart w:id="151" w:name="_Toc406914088"/>
      <w:bookmarkStart w:id="152" w:name="_Toc406913843"/>
      <w:r>
        <w:rPr>
          <w:rFonts w:ascii="Tahoma" w:hAnsi="Tahoma" w:cs="Tahoma"/>
        </w:rPr>
        <w:t>3.2. Sprzęt do wykonania robót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przystępujący do wykonania koryta i profilowania podłoża powinien wykazać się możliw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ścią korzystania z następującego sprzętu: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równiarek lub spycharek uniwersalnych z ukośnie ustawianym lemieszem;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może dopuścić wykonanie koryta i profilowanie podłoża z zastosowaniem spycharki z lemieszem ustawionym prostopadle do kierunku pracy maszyny,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koparek z czerpakami profilowymi (przy wykonywaniu wąskich koryt),</w:t>
      </w:r>
    </w:p>
    <w:p w:rsidR="00C32362" w:rsidRDefault="00C12DEC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walców statycznych, wibracyjnych lub płyt wibracyjnych.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Stosowany sprzęt nie może spowodować niekorzystnego wpływu na właściwości gruntu podłoża.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53" w:name="_Toc407086015"/>
      <w:bookmarkStart w:id="154" w:name="_Toc407085567"/>
      <w:bookmarkStart w:id="155" w:name="_Toc407085424"/>
      <w:bookmarkStart w:id="156" w:name="_Toc407085281"/>
      <w:bookmarkStart w:id="157" w:name="_Toc407084162"/>
      <w:bookmarkStart w:id="158" w:name="_Toc407083328"/>
      <w:bookmarkStart w:id="159" w:name="_Toc407081529"/>
      <w:bookmarkStart w:id="160" w:name="_Toc407069564"/>
      <w:bookmarkStart w:id="161" w:name="_Toc406984356"/>
      <w:bookmarkStart w:id="162" w:name="_Toc406984165"/>
      <w:bookmarkStart w:id="163" w:name="_Toc406984018"/>
      <w:bookmarkStart w:id="164" w:name="_Toc406915325"/>
      <w:bookmarkStart w:id="165" w:name="_Toc406914747"/>
      <w:bookmarkStart w:id="166" w:name="_Toc406914089"/>
      <w:bookmarkStart w:id="167" w:name="_Toc406913844"/>
      <w:r>
        <w:rPr>
          <w:rFonts w:ascii="Tahoma" w:hAnsi="Tahoma" w:cs="Tahoma"/>
          <w:szCs w:val="20"/>
        </w:rPr>
        <w:t>4. TRANSPOR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>
        <w:rPr>
          <w:rFonts w:ascii="Tahoma" w:hAnsi="Tahoma" w:cs="Tahoma"/>
          <w:szCs w:val="20"/>
        </w:rPr>
        <w:t>T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68" w:name="_Toc407086016"/>
      <w:bookmarkStart w:id="169" w:name="_Toc407085568"/>
      <w:bookmarkStart w:id="170" w:name="_Toc407085425"/>
      <w:bookmarkStart w:id="171" w:name="_Toc407085282"/>
      <w:bookmarkStart w:id="172" w:name="_Toc407084163"/>
      <w:bookmarkStart w:id="173" w:name="_Toc407083329"/>
      <w:bookmarkStart w:id="174" w:name="_Toc407081530"/>
      <w:bookmarkStart w:id="175" w:name="_Toc407069565"/>
      <w:bookmarkStart w:id="176" w:name="_Toc406984357"/>
      <w:bookmarkStart w:id="177" w:name="_Toc406984166"/>
      <w:bookmarkStart w:id="178" w:name="_Toc406984019"/>
      <w:bookmarkStart w:id="179" w:name="_Toc406915326"/>
      <w:bookmarkStart w:id="180" w:name="_Toc406914748"/>
      <w:bookmarkStart w:id="181" w:name="_Toc406914090"/>
      <w:bookmarkStart w:id="182" w:name="_Toc406913845"/>
      <w:r>
        <w:rPr>
          <w:rFonts w:ascii="Tahoma" w:hAnsi="Tahoma" w:cs="Tahoma"/>
        </w:rPr>
        <w:t>4.1. Ogólne wymagania dotyczące transportu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183" w:name="_Toc406914091"/>
      <w:bookmarkStart w:id="184" w:name="_Toc406913846"/>
      <w:bookmarkStart w:id="185" w:name="_Toc406822326"/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  <w:bookmarkEnd w:id="183"/>
      <w:bookmarkEnd w:id="184"/>
      <w:bookmarkEnd w:id="185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186" w:name="_Toc407086017"/>
      <w:bookmarkStart w:id="187" w:name="_Toc407085569"/>
      <w:bookmarkStart w:id="188" w:name="_Toc407085426"/>
      <w:bookmarkStart w:id="189" w:name="_Toc407085283"/>
      <w:bookmarkStart w:id="190" w:name="_Toc407084164"/>
      <w:bookmarkStart w:id="191" w:name="_Toc407083330"/>
      <w:bookmarkStart w:id="192" w:name="_Toc407081531"/>
      <w:bookmarkStart w:id="193" w:name="_Toc407069566"/>
      <w:bookmarkStart w:id="194" w:name="_Toc406984358"/>
      <w:bookmarkStart w:id="195" w:name="_Toc406984167"/>
      <w:bookmarkStart w:id="196" w:name="_Toc406984020"/>
      <w:bookmarkStart w:id="197" w:name="_Toc406915327"/>
      <w:bookmarkStart w:id="198" w:name="_Toc406914749"/>
      <w:bookmarkStart w:id="199" w:name="_Toc406914092"/>
      <w:bookmarkStart w:id="200" w:name="_Toc406913847"/>
      <w:r>
        <w:rPr>
          <w:rFonts w:ascii="Tahoma" w:hAnsi="Tahoma" w:cs="Tahoma"/>
        </w:rPr>
        <w:t>4.2. Transport materiałów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01" w:name="_Toc406914093"/>
      <w:bookmarkStart w:id="202" w:name="_Toc406913848"/>
      <w:bookmarkStart w:id="203" w:name="_Toc406822328"/>
      <w:r>
        <w:rPr>
          <w:rFonts w:ascii="Tahoma" w:hAnsi="Tahoma" w:cs="Tahoma"/>
          <w:sz w:val="20"/>
          <w:szCs w:val="20"/>
        </w:rPr>
        <w:t xml:space="preserve">Wymagania dotyczące transportu materiałów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D-04.02.01, D-04.02.02,D-04.03.01</w:t>
      </w:r>
      <w:bookmarkEnd w:id="201"/>
      <w:bookmarkEnd w:id="202"/>
      <w:bookmarkEnd w:id="203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4" w:name="_Toc407086018"/>
      <w:bookmarkStart w:id="205" w:name="_Toc407085570"/>
      <w:bookmarkStart w:id="206" w:name="_Toc407085427"/>
      <w:bookmarkStart w:id="207" w:name="_Toc407085284"/>
      <w:bookmarkStart w:id="208" w:name="_Toc407084165"/>
      <w:bookmarkStart w:id="209" w:name="_Toc407083331"/>
      <w:bookmarkStart w:id="210" w:name="_Toc407081532"/>
      <w:bookmarkStart w:id="211" w:name="_Toc407069567"/>
      <w:bookmarkStart w:id="212" w:name="_Toc406984359"/>
      <w:bookmarkStart w:id="213" w:name="_Toc406984168"/>
      <w:bookmarkStart w:id="214" w:name="_Toc406984021"/>
      <w:bookmarkStart w:id="215" w:name="_Toc406915328"/>
      <w:bookmarkStart w:id="216" w:name="_Toc406914750"/>
      <w:bookmarkStart w:id="217" w:name="_Toc406914094"/>
      <w:bookmarkStart w:id="218" w:name="_Toc406913849"/>
      <w:r>
        <w:rPr>
          <w:rFonts w:ascii="Tahoma" w:hAnsi="Tahoma" w:cs="Tahoma"/>
          <w:szCs w:val="20"/>
        </w:rPr>
        <w:t>5. WYKONANIE ROBÓT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19" w:name="_Toc407086019"/>
      <w:bookmarkStart w:id="220" w:name="_Toc407085571"/>
      <w:bookmarkStart w:id="221" w:name="_Toc407085428"/>
      <w:bookmarkStart w:id="222" w:name="_Toc407085285"/>
      <w:bookmarkStart w:id="223" w:name="_Toc407084166"/>
      <w:bookmarkStart w:id="224" w:name="_Toc407083332"/>
      <w:bookmarkStart w:id="225" w:name="_Toc407081533"/>
      <w:bookmarkStart w:id="226" w:name="_Toc407069568"/>
      <w:bookmarkStart w:id="227" w:name="_Toc406984360"/>
      <w:bookmarkStart w:id="228" w:name="_Toc406984169"/>
      <w:bookmarkStart w:id="229" w:name="_Toc406984022"/>
      <w:bookmarkStart w:id="230" w:name="_Toc406915329"/>
      <w:bookmarkStart w:id="231" w:name="_Toc406914751"/>
      <w:bookmarkStart w:id="232" w:name="_Toc406914095"/>
      <w:bookmarkStart w:id="233" w:name="_Toc406913850"/>
      <w:r>
        <w:rPr>
          <w:rFonts w:ascii="Tahoma" w:hAnsi="Tahoma" w:cs="Tahoma"/>
        </w:rPr>
        <w:t>5.1. Ogólne zasady wykonania robót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bookmarkStart w:id="234" w:name="_Toc406914096"/>
      <w:bookmarkStart w:id="235" w:name="_Toc406913851"/>
      <w:bookmarkStart w:id="236" w:name="_Toc406822331"/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  <w:bookmarkEnd w:id="234"/>
      <w:bookmarkEnd w:id="235"/>
      <w:bookmarkEnd w:id="236"/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37" w:name="_Toc407086020"/>
      <w:bookmarkStart w:id="238" w:name="_Toc407085572"/>
      <w:bookmarkStart w:id="239" w:name="_Toc407085429"/>
      <w:bookmarkStart w:id="240" w:name="_Toc407085286"/>
      <w:bookmarkStart w:id="241" w:name="_Toc407084167"/>
      <w:bookmarkStart w:id="242" w:name="_Toc407083333"/>
      <w:bookmarkStart w:id="243" w:name="_Toc407081534"/>
      <w:bookmarkStart w:id="244" w:name="_Toc407069569"/>
      <w:bookmarkStart w:id="245" w:name="_Toc406984361"/>
      <w:bookmarkStart w:id="246" w:name="_Toc406984170"/>
      <w:bookmarkStart w:id="247" w:name="_Toc406984023"/>
      <w:bookmarkStart w:id="248" w:name="_Toc406915330"/>
      <w:bookmarkStart w:id="249" w:name="_Toc406914752"/>
      <w:bookmarkStart w:id="250" w:name="_Toc406914097"/>
      <w:bookmarkStart w:id="251" w:name="_Toc406913852"/>
      <w:r>
        <w:rPr>
          <w:rFonts w:ascii="Tahoma" w:hAnsi="Tahoma" w:cs="Tahoma"/>
        </w:rPr>
        <w:lastRenderedPageBreak/>
        <w:t>5.2. Warunki przystąpienia do robót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powinien przystąpić do wykonania koryta oraz profilowania i zagęszczenia podłoża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przed rozpoczęciem robót związanych z wykonaniem warstw nawierzchni. Wcześniejsze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stąpienie do wykonania koryta oraz profilowania i zagęszczania podłoża, jest możliwe wyłącznie za zgodą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w korzystnych warunkach atmosferycznych. W wykonanym korycie oraz po wyprofilowanym i zagęszczonym podłożu nie może odbywać się ruch budowlany, niezwiązany bezp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średnio z wykonaniem pierwszej warstwy nawierzchni.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52" w:name="_Toc407086021"/>
      <w:bookmarkStart w:id="253" w:name="_Toc407085573"/>
      <w:bookmarkStart w:id="254" w:name="_Toc407085430"/>
      <w:bookmarkStart w:id="255" w:name="_Toc407085287"/>
      <w:bookmarkStart w:id="256" w:name="_Toc407084168"/>
      <w:bookmarkStart w:id="257" w:name="_Toc407083334"/>
      <w:bookmarkStart w:id="258" w:name="_Toc407081535"/>
      <w:bookmarkStart w:id="259" w:name="_Toc407069570"/>
      <w:bookmarkStart w:id="260" w:name="_Toc406984362"/>
      <w:bookmarkStart w:id="261" w:name="_Toc406984171"/>
      <w:bookmarkStart w:id="262" w:name="_Toc406984024"/>
      <w:bookmarkStart w:id="263" w:name="_Toc406915331"/>
      <w:bookmarkStart w:id="264" w:name="_Toc406914753"/>
      <w:bookmarkStart w:id="265" w:name="_Toc406914098"/>
      <w:bookmarkStart w:id="266" w:name="_Toc406913853"/>
      <w:r>
        <w:rPr>
          <w:rFonts w:ascii="Tahoma" w:hAnsi="Tahoma" w:cs="Tahoma"/>
        </w:rPr>
        <w:t>5.3. Wykonanie koryta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Paliki lub szpilki do prawidłowego ukształtowania koryta w planie i profilu powinny być wcześniej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gotowane. Paliki lub szpilki należy ustawiać w osi drogi i w rzędach równoległych do osi drogi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Rozmieszczenie palików lub szpilek powinno umo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liwiać naciągnięcie sznurków lub linek do wytyczenia robót w odstępach nie większych niż co 10 m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trów. Rodzaj sprzętu, a w szczególności jego moc należy dostosować do rodzaju gruntu, w którym prowadzone są roboty i do trudności jego odspojenia. Koryto można wykonywać ręcznie, gdy jego szerokość nie pozwala na zastosowanie maszyn, na przykład na poszerzeniach lub w przypadku robót o małym zakresie. Sposób wykonania musi być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Grunt odspoj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 w czasie wykonywania koryta powinien być wykorzystany zgodnie z ustaleniami dokumentacji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, tj. wbudowany w nasyp lub odwieziony na odkład w miejsce wskazane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 xml:space="preserve">. Profilowanie i zagęszczenie podłoża należy wykonać zgodnie z zasadami określonymi w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5.4.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67" w:name="_Toc407086022"/>
      <w:bookmarkStart w:id="268" w:name="_Toc407085574"/>
      <w:bookmarkStart w:id="269" w:name="_Toc407085431"/>
      <w:bookmarkStart w:id="270" w:name="_Toc407085288"/>
      <w:bookmarkStart w:id="271" w:name="_Toc407084169"/>
      <w:bookmarkStart w:id="272" w:name="_Toc407083335"/>
      <w:bookmarkStart w:id="273" w:name="_Toc407081536"/>
      <w:bookmarkStart w:id="274" w:name="_Toc407069571"/>
      <w:bookmarkStart w:id="275" w:name="_Toc406984363"/>
      <w:bookmarkStart w:id="276" w:name="_Toc406984172"/>
      <w:bookmarkStart w:id="277" w:name="_Toc406984025"/>
      <w:bookmarkStart w:id="278" w:name="_Toc406915332"/>
      <w:bookmarkStart w:id="279" w:name="_Toc406914754"/>
      <w:bookmarkStart w:id="280" w:name="_Toc406914099"/>
      <w:bookmarkStart w:id="281" w:name="_Toc406913854"/>
      <w:r>
        <w:rPr>
          <w:rFonts w:ascii="Tahoma" w:hAnsi="Tahoma" w:cs="Tahoma"/>
        </w:rPr>
        <w:t>5.4. Profilowanie i zagęszczanie podłoża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 przystąpieniem do profilowania podłoże powinno być oczyszczone ze wszelkich zanieczyszczeń. Po oczyszczeniu powierzchni podłoża należy sprawdzić, czy istniejące rzędne terenu umożliwiają uz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skanie po profilowaniu zaprojektowanych rzędnych podłoża. Zaleca się, aby rzędne terenu przed prof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lowaniem były o co najmniej 5 cm wyższe niż projektowane rzędne podłoża. Jeżeli powyższy warunek nie jest spełniony i występują zaniżenia poziomu w podłożu przewidzianym do profilowania,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nawca powinien spulchnić podłoże na głębokość zaakceptowaną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, dowieźć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datkowy grunt spełniający wymagania obowiązujące dla górnej strefy korpusu, w ilości koniecznej do uzyskania wymaganych rzędnych wysokościowych i zagęścić warstwę do uzyskania wartości wskaźn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ka zagęszczenia, określonych w Tablicy 1. Do profilowania podłoża należy stosować równiarki. Ścięty grunt powinien być wykorzystany w robotach ziemnych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</w:t>
      </w:r>
      <w:r>
        <w:rPr>
          <w:rFonts w:ascii="Tahoma" w:eastAsia="Tahoma" w:hAnsi="Tahoma" w:cs="Tahoma"/>
          <w:sz w:val="20"/>
          <w:szCs w:val="20"/>
          <w:lang w:eastAsia="ar-SA"/>
        </w:rPr>
        <w:t>a</w:t>
      </w:r>
      <w:r>
        <w:rPr>
          <w:rFonts w:ascii="Tahoma" w:eastAsia="Tahoma" w:hAnsi="Tahoma" w:cs="Tahoma"/>
          <w:sz w:val="20"/>
          <w:szCs w:val="20"/>
          <w:lang w:eastAsia="ar-SA"/>
        </w:rPr>
        <w:t>mawiającego</w:t>
      </w:r>
      <w:r>
        <w:rPr>
          <w:rFonts w:ascii="Tahoma" w:hAnsi="Tahoma" w:cs="Tahoma"/>
          <w:sz w:val="20"/>
          <w:szCs w:val="20"/>
        </w:rPr>
        <w:t>. Bezpośrednio po profilowaniu podłoża należy przystąpić do jego zagęszczania.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czanie podłoża należy kontynuować do osiągnięcia wskaźnika zagęszczenia nie mniejszego od pod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nego w Tablicy 1. Wskaźnik zagęszczenia należy określać zgodnie z BN-77/8931-12.</w:t>
      </w:r>
      <w:bookmarkStart w:id="282" w:name="_Hlk511635817"/>
      <w:bookmarkEnd w:id="282"/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podłoża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tbl>
      <w:tblPr>
        <w:tblW w:w="9146" w:type="dxa"/>
        <w:jc w:val="center"/>
        <w:tblCellMar>
          <w:left w:w="70" w:type="dxa"/>
          <w:right w:w="70" w:type="dxa"/>
        </w:tblCellMar>
        <w:tblLook w:val="0000"/>
      </w:tblPr>
      <w:tblGrid>
        <w:gridCol w:w="5287"/>
        <w:gridCol w:w="1980"/>
        <w:gridCol w:w="1879"/>
      </w:tblGrid>
      <w:tr w:rsidR="00C32362">
        <w:trPr>
          <w:jc w:val="center"/>
        </w:trPr>
        <w:tc>
          <w:tcPr>
            <w:tcW w:w="5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Strefa korpusu</w:t>
            </w:r>
          </w:p>
        </w:tc>
        <w:tc>
          <w:tcPr>
            <w:tcW w:w="3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C32362">
        <w:trPr>
          <w:trHeight w:val="396"/>
          <w:jc w:val="center"/>
        </w:trPr>
        <w:tc>
          <w:tcPr>
            <w:tcW w:w="5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3236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KR1-KR2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</w:tr>
      <w:tr w:rsidR="00C32362">
        <w:trPr>
          <w:jc w:val="center"/>
        </w:trPr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0,97</w:t>
            </w:r>
          </w:p>
        </w:tc>
      </w:tr>
    </w:tbl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C32362" w:rsidRDefault="00C12DEC">
      <w:pPr>
        <w:pStyle w:val="tekstost"/>
        <w:rPr>
          <w:rFonts w:ascii="Tahoma" w:hAnsi="Tahoma" w:cs="Tahoma"/>
        </w:rPr>
      </w:pPr>
      <w:r>
        <w:rPr>
          <w:rFonts w:ascii="Tahoma" w:hAnsi="Tahoma" w:cs="Tahoma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</w:t>
      </w:r>
      <w:r>
        <w:rPr>
          <w:rFonts w:ascii="Tahoma" w:hAnsi="Tahoma" w:cs="Tahoma"/>
        </w:rPr>
        <w:t>r</w:t>
      </w:r>
      <w:r>
        <w:rPr>
          <w:rFonts w:ascii="Tahoma" w:hAnsi="Tahoma" w:cs="Tahoma"/>
        </w:rPr>
        <w:t>wotnego modułu odkształcenia nie powinien przekraczać 2,2. Wilgotność gruntu podłoża podczas zagęszczania powinna być równa wilgotności optymalnej z tolerancją od -20% do +10%.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283" w:name="_Toc407086023"/>
      <w:bookmarkStart w:id="284" w:name="_Toc407085575"/>
      <w:bookmarkStart w:id="285" w:name="_Toc407085432"/>
      <w:bookmarkStart w:id="286" w:name="_Toc407085289"/>
      <w:bookmarkStart w:id="287" w:name="_Toc407084170"/>
      <w:bookmarkStart w:id="288" w:name="_Toc407083336"/>
      <w:bookmarkStart w:id="289" w:name="_Toc407081537"/>
      <w:bookmarkStart w:id="290" w:name="_Toc407069572"/>
      <w:bookmarkStart w:id="291" w:name="_Toc406984364"/>
      <w:bookmarkStart w:id="292" w:name="_Toc406984173"/>
      <w:bookmarkStart w:id="293" w:name="_Toc406984026"/>
      <w:bookmarkStart w:id="294" w:name="_Toc406915333"/>
      <w:bookmarkStart w:id="295" w:name="_Toc406914755"/>
      <w:bookmarkStart w:id="296" w:name="_Toc406914100"/>
      <w:bookmarkStart w:id="297" w:name="_Toc406913855"/>
      <w:r>
        <w:rPr>
          <w:rFonts w:ascii="Tahoma" w:hAnsi="Tahoma" w:cs="Tahoma"/>
        </w:rPr>
        <w:t>5.5. Utrzymanie koryta oraz wyprofilowanego i zagęszczonego podłoża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Podłoże (koryto) po wyprofilowaniu i zagęszczeniu powinno być utrzymywane w dobrym stanie. Jeżeli po wykonaniu robót związanych z profilowaniem i zagęszczeniem podłoża nastąpi przerwa w robotach i Wykonawca nie przystąpi natychmiast do układania warstw nawierzchni, to powinien on zabezpi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czyć podłoże przed nadmiernym zawilgoceniem, na przykład przez rozłożenie folii lub w inny sposób zaakceptowany przez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Jeżeli wyprofilowane i zagęszczone podłoże uległo nadmiern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mu zawilgoceniu, to do układania kolejnej warstwy można przystąpić dopiero po jego naturalnym osuszeniu. Po osuszeniu podłoża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oceni jego stan i ewentualnie zaleci wykonanie ni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lastRenderedPageBreak/>
        <w:t>zbędnych napraw. Jeżeli zawilgocenie nastąpiło wskutek zaniedbania Wykonawcy, to naprawę wykona on na własny koszt.</w:t>
      </w:r>
    </w:p>
    <w:p w:rsidR="00C32362" w:rsidRDefault="00C32362">
      <w:pPr>
        <w:jc w:val="both"/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98" w:name="_Toc407086024"/>
      <w:bookmarkStart w:id="299" w:name="_Toc407085576"/>
      <w:bookmarkStart w:id="300" w:name="_Toc407085433"/>
      <w:bookmarkStart w:id="301" w:name="_Toc407085290"/>
      <w:bookmarkStart w:id="302" w:name="_Toc407084171"/>
      <w:bookmarkStart w:id="303" w:name="_Toc407083337"/>
      <w:bookmarkStart w:id="304" w:name="_Toc407081538"/>
      <w:bookmarkStart w:id="305" w:name="_Toc407069573"/>
      <w:bookmarkStart w:id="306" w:name="_Toc406984365"/>
      <w:bookmarkStart w:id="307" w:name="_Toc406984174"/>
      <w:bookmarkStart w:id="308" w:name="_Toc406984027"/>
      <w:bookmarkStart w:id="309" w:name="_Toc406915334"/>
      <w:bookmarkStart w:id="310" w:name="_Toc406914756"/>
      <w:bookmarkStart w:id="311" w:name="_Toc406914101"/>
      <w:bookmarkStart w:id="312" w:name="_Toc406913856"/>
      <w:r>
        <w:rPr>
          <w:rFonts w:ascii="Tahoma" w:hAnsi="Tahoma" w:cs="Tahoma"/>
          <w:szCs w:val="20"/>
        </w:rPr>
        <w:t>6. KONTROLA JAKOŚCI ROBÓT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13" w:name="_Toc407086025"/>
      <w:bookmarkStart w:id="314" w:name="_Toc407085577"/>
      <w:bookmarkStart w:id="315" w:name="_Toc407085434"/>
      <w:bookmarkStart w:id="316" w:name="_Toc407085291"/>
      <w:bookmarkStart w:id="317" w:name="_Toc407084172"/>
      <w:bookmarkStart w:id="318" w:name="_Toc407083338"/>
      <w:bookmarkStart w:id="319" w:name="_Toc407081539"/>
      <w:bookmarkStart w:id="320" w:name="_Toc407069574"/>
      <w:bookmarkStart w:id="321" w:name="_Toc406984366"/>
      <w:bookmarkStart w:id="322" w:name="_Toc406984175"/>
      <w:bookmarkStart w:id="323" w:name="_Toc406984028"/>
      <w:bookmarkStart w:id="324" w:name="_Toc406915335"/>
      <w:bookmarkStart w:id="325" w:name="_Toc406914757"/>
      <w:bookmarkStart w:id="326" w:name="_Toc406914102"/>
      <w:bookmarkStart w:id="327" w:name="_Toc406913857"/>
      <w:r>
        <w:rPr>
          <w:rFonts w:ascii="Tahoma" w:hAnsi="Tahoma" w:cs="Tahoma"/>
        </w:rPr>
        <w:t>6.1. Ogólne zasady kontroli jakości robót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28" w:name="_Toc407086026"/>
      <w:bookmarkStart w:id="329" w:name="_Toc407085578"/>
      <w:bookmarkStart w:id="330" w:name="_Toc407085435"/>
      <w:bookmarkStart w:id="331" w:name="_Toc407085292"/>
      <w:bookmarkStart w:id="332" w:name="_Toc407084173"/>
      <w:bookmarkStart w:id="333" w:name="_Toc407083339"/>
      <w:bookmarkStart w:id="334" w:name="_Toc407081540"/>
      <w:bookmarkStart w:id="335" w:name="_Toc407069575"/>
      <w:bookmarkStart w:id="336" w:name="_Toc406984367"/>
      <w:bookmarkStart w:id="337" w:name="_Toc406984176"/>
      <w:bookmarkStart w:id="338" w:name="_Toc406984029"/>
      <w:bookmarkStart w:id="339" w:name="_Toc406915336"/>
      <w:bookmarkStart w:id="340" w:name="_Toc406914758"/>
      <w:bookmarkStart w:id="341" w:name="_Toc406914103"/>
      <w:bookmarkStart w:id="342" w:name="_Toc406913858"/>
      <w:r>
        <w:rPr>
          <w:rFonts w:ascii="Tahoma" w:hAnsi="Tahoma" w:cs="Tahoma"/>
        </w:rPr>
        <w:t>6.2. Badania w czasie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Częstotliwość oraz zakres badań i pomiarów</w:t>
      </w:r>
    </w:p>
    <w:p w:rsidR="00C32362" w:rsidRDefault="00C12DEC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Częstotliwość oraz zakres badań i pomiarów dotyczących cech geometrycznych i zagęszczenia koryta i wyprofilowanego podłoża podaje Tablica 2.</w:t>
      </w:r>
    </w:p>
    <w:p w:rsidR="00C32362" w:rsidRDefault="00C12DEC">
      <w:pPr>
        <w:ind w:left="1134" w:hanging="1134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2. Częstotliwość oraz zakres badań i pomiarów wykonanego koryta i wyprofilowanego podłoża</w:t>
      </w:r>
    </w:p>
    <w:tbl>
      <w:tblPr>
        <w:tblW w:w="9194" w:type="dxa"/>
        <w:jc w:val="center"/>
        <w:tblCellMar>
          <w:left w:w="70" w:type="dxa"/>
          <w:right w:w="70" w:type="dxa"/>
        </w:tblCellMar>
        <w:tblLook w:val="0000"/>
      </w:tblPr>
      <w:tblGrid>
        <w:gridCol w:w="567"/>
        <w:gridCol w:w="3281"/>
        <w:gridCol w:w="5346"/>
      </w:tblGrid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Wyszczególnienie badań i p</w:t>
            </w: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miarów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Minimalna częstotliwość badań i pomiarów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Szerokość koryta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podłużna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20 m na każdym pasie ruchu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Równość poprzeczna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Spadki poprzeczne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razy na 1 km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Rzędne wysokościowe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Ukształtowanie osi w planie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 25 m w osi jezdni i na jej krawędziach dla autostrad i dróg ekspresowych, co 100 m dla pozostałych dróg</w:t>
            </w:r>
          </w:p>
        </w:tc>
      </w:tr>
      <w:tr w:rsidR="00C32362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Zagęszczenie, wilgotność gruntu podłoża</w:t>
            </w:r>
          </w:p>
        </w:tc>
        <w:tc>
          <w:tcPr>
            <w:tcW w:w="5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2 punktach na dziennej działce roboczej,</w:t>
            </w:r>
          </w:p>
          <w:p w:rsidR="00C32362" w:rsidRDefault="00C12D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lecz nie rzadziej niż raz na 600 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C32362">
        <w:trPr>
          <w:trHeight w:val="207"/>
          <w:jc w:val="center"/>
        </w:trPr>
        <w:tc>
          <w:tcPr>
            <w:tcW w:w="9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362" w:rsidRDefault="00C12D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343" w:name="_Toc406914104"/>
            <w:bookmarkStart w:id="344" w:name="_Toc406913859"/>
            <w:bookmarkStart w:id="345" w:name="_Toc406822339"/>
            <w:r>
              <w:rPr>
                <w:rFonts w:ascii="Tahoma" w:hAnsi="Tahoma" w:cs="Tahoma"/>
                <w:sz w:val="20"/>
                <w:szCs w:val="20"/>
              </w:rPr>
              <w:t>*) Dodatkowe pomiary spadków poprzecznych i ukształtowania osi w planie należy wykonać w pun</w:t>
            </w:r>
            <w:r>
              <w:rPr>
                <w:rFonts w:ascii="Tahoma" w:hAnsi="Tahoma" w:cs="Tahoma"/>
                <w:sz w:val="20"/>
                <w:szCs w:val="20"/>
              </w:rPr>
              <w:t>k</w:t>
            </w:r>
            <w:r>
              <w:rPr>
                <w:rFonts w:ascii="Tahoma" w:hAnsi="Tahoma" w:cs="Tahoma"/>
                <w:sz w:val="20"/>
                <w:szCs w:val="20"/>
              </w:rPr>
              <w:t>tach głównych łuków poziomych</w:t>
            </w:r>
            <w:bookmarkEnd w:id="343"/>
            <w:bookmarkEnd w:id="344"/>
            <w:bookmarkEnd w:id="345"/>
          </w:p>
        </w:tc>
      </w:tr>
    </w:tbl>
    <w:p w:rsidR="00C32362" w:rsidRDefault="00C32362">
      <w:pPr>
        <w:jc w:val="both"/>
        <w:rPr>
          <w:rFonts w:ascii="Tahoma" w:hAnsi="Tahoma" w:cs="Tahoma"/>
          <w:b/>
          <w:sz w:val="20"/>
          <w:szCs w:val="20"/>
        </w:rPr>
      </w:pP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Szerokość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Szerokość koryta i profilowanego podłoża nie może różnić się od szerokości projektowanej o więcej niż +10 cm i -5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Równość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Nierówności podłużne koryta i profilowanego podłoża należy mierzyć 4-metrową łatą zgodnie z normą BN-68/8931-04. Nierówności poprzeczne należy mierzyć 4-metrową łatą. Nierówności nie mogą przekraczać 20 </w:t>
      </w:r>
      <w:proofErr w:type="spellStart"/>
      <w:r>
        <w:rPr>
          <w:rFonts w:ascii="Tahoma" w:hAnsi="Tahoma" w:cs="Tahoma"/>
          <w:sz w:val="20"/>
          <w:szCs w:val="20"/>
        </w:rPr>
        <w:t>mm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Spadki poprzeczne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Spadki poprzeczne koryta i profilowanego podłoża powinny być zgodne z dokumentacją pr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jektową z tolerancją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0,5%.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Rzędne wysokościowe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Różnice pomiędzy rzędnymi wysokościowymi koryta lub wyprofilowanego podłoża i rzędnymi projektowanymi nie powinny przekraczać +1 cm, -2 </w:t>
      </w:r>
      <w:proofErr w:type="spellStart"/>
      <w:r>
        <w:rPr>
          <w:rFonts w:ascii="Tahoma" w:hAnsi="Tahoma" w:cs="Tahoma"/>
          <w:sz w:val="20"/>
          <w:szCs w:val="20"/>
        </w:rPr>
        <w:t>cm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Ukształtowanie osi w planie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Oś w planie nie może być przesunięta w stosunku do osi projektowanej o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3 cm dla autostrad i dróg ekspresowych lub więcej niż </w:t>
      </w:r>
      <w:r>
        <w:rPr>
          <w:rFonts w:ascii="Symbol" w:eastAsia="Symbol" w:hAnsi="Symbol" w:cs="Symbol"/>
          <w:sz w:val="20"/>
          <w:szCs w:val="20"/>
        </w:rPr>
        <w:t></w:t>
      </w:r>
      <w:r>
        <w:rPr>
          <w:rFonts w:ascii="Tahoma" w:hAnsi="Tahoma" w:cs="Tahoma"/>
          <w:sz w:val="20"/>
          <w:szCs w:val="20"/>
        </w:rPr>
        <w:t xml:space="preserve"> 5 cm dla pozostałych dróg.</w:t>
      </w:r>
    </w:p>
    <w:p w:rsidR="00C32362" w:rsidRDefault="00C12DEC">
      <w:pPr>
        <w:numPr>
          <w:ilvl w:val="0"/>
          <w:numId w:val="2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Zagęszczenie koryta (profilowanego podłoża)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Wskaźnik zagęszczenia koryta i wyprofilowanego podłoża określony wg BN-77/8931-12 nie powinien być mniejszy od podanego w Tablicy 1. Jeśli jako kryterium dobrego zagęszczenia stosuje się porównanie wartości modułów odkształcenia, to wartość stosunku wtórnego do pierwotnego modułu odkształcenia, określonych zgodnie z normą BN-64/8931-02 nie powinna być większa od 2,2. Wilgo</w:t>
      </w:r>
      <w:r>
        <w:rPr>
          <w:rFonts w:ascii="Tahoma" w:hAnsi="Tahoma" w:cs="Tahoma"/>
          <w:sz w:val="20"/>
          <w:szCs w:val="20"/>
        </w:rPr>
        <w:t>t</w:t>
      </w:r>
      <w:r>
        <w:rPr>
          <w:rFonts w:ascii="Tahoma" w:hAnsi="Tahoma" w:cs="Tahoma"/>
          <w:sz w:val="20"/>
          <w:szCs w:val="20"/>
        </w:rPr>
        <w:t>ność w czasie zagęszczania należy badać według PN-B-06714-17. Wilgotność gruntu podłoża powinna być równa wilgotności optymalnej z tolerancją od -20% do + 10%.</w:t>
      </w:r>
    </w:p>
    <w:p w:rsidR="00C32362" w:rsidRDefault="00C32362">
      <w:pPr>
        <w:pStyle w:val="Heading2"/>
        <w:spacing w:before="0" w:after="0"/>
        <w:ind w:left="426" w:hanging="426"/>
        <w:rPr>
          <w:rFonts w:ascii="Tahoma" w:hAnsi="Tahoma" w:cs="Tahoma"/>
        </w:rPr>
      </w:pPr>
      <w:bookmarkStart w:id="346" w:name="_Toc407086027"/>
      <w:bookmarkStart w:id="347" w:name="_Toc407085579"/>
      <w:bookmarkStart w:id="348" w:name="_Toc407085436"/>
      <w:bookmarkStart w:id="349" w:name="_Toc407085293"/>
      <w:bookmarkStart w:id="350" w:name="_Toc407084174"/>
      <w:bookmarkStart w:id="351" w:name="_Toc407083340"/>
      <w:bookmarkStart w:id="352" w:name="_Toc407081541"/>
      <w:bookmarkStart w:id="353" w:name="_Toc407069576"/>
      <w:bookmarkStart w:id="354" w:name="_Toc406984368"/>
      <w:bookmarkStart w:id="355" w:name="_Toc406984177"/>
      <w:bookmarkStart w:id="356" w:name="_Toc406984030"/>
    </w:p>
    <w:p w:rsidR="00C32362" w:rsidRDefault="00C12DEC">
      <w:pPr>
        <w:pStyle w:val="Heading2"/>
        <w:spacing w:before="0" w:after="0"/>
        <w:ind w:left="426" w:hanging="426"/>
        <w:rPr>
          <w:rFonts w:ascii="Tahoma" w:hAnsi="Tahoma" w:cs="Tahoma"/>
          <w:b w:val="0"/>
        </w:rPr>
      </w:pPr>
      <w:bookmarkStart w:id="357" w:name="_Toc406915337"/>
      <w:bookmarkStart w:id="358" w:name="_Toc406914862"/>
      <w:bookmarkStart w:id="359" w:name="_Toc406914759"/>
      <w:bookmarkStart w:id="360" w:name="_Toc406914105"/>
      <w:bookmarkStart w:id="361" w:name="_Toc406913860"/>
      <w:r>
        <w:rPr>
          <w:rFonts w:ascii="Tahoma" w:hAnsi="Tahoma" w:cs="Tahoma"/>
        </w:rPr>
        <w:t>6.3. Zasady postępowania z wadliwie wykonanymi odcinkami koryta (profilowanego</w:t>
      </w:r>
      <w:bookmarkEnd w:id="357"/>
      <w:bookmarkEnd w:id="358"/>
      <w:bookmarkEnd w:id="359"/>
      <w:bookmarkEnd w:id="360"/>
      <w:bookmarkEnd w:id="361"/>
      <w:r>
        <w:rPr>
          <w:rFonts w:ascii="Tahoma" w:hAnsi="Tahoma" w:cs="Tahoma"/>
        </w:rPr>
        <w:t xml:space="preserve"> po</w:t>
      </w:r>
      <w:r>
        <w:rPr>
          <w:rFonts w:ascii="Tahoma" w:hAnsi="Tahoma" w:cs="Tahoma"/>
        </w:rPr>
        <w:t>d</w:t>
      </w:r>
      <w:r>
        <w:rPr>
          <w:rFonts w:ascii="Tahoma" w:hAnsi="Tahoma" w:cs="Tahoma"/>
        </w:rPr>
        <w:t>łoża)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Wszystkie powierzchnie, które wykazują większe odchylenia cech geometrycznych od określonych w punkcie 6.2 powinny być naprawione przez spulchnienie do głębokości co najmniej 10 cm, wyró</w:t>
      </w:r>
      <w:r>
        <w:rPr>
          <w:rFonts w:ascii="Tahoma" w:hAnsi="Tahoma" w:cs="Tahoma"/>
          <w:sz w:val="20"/>
          <w:szCs w:val="20"/>
        </w:rPr>
        <w:t>w</w:t>
      </w:r>
      <w:r>
        <w:rPr>
          <w:rFonts w:ascii="Tahoma" w:hAnsi="Tahoma" w:cs="Tahoma"/>
          <w:sz w:val="20"/>
          <w:szCs w:val="20"/>
        </w:rPr>
        <w:t>nanie i powtórne zagęszczenie. Dodanie nowego materiału bez spulchnienia wykonanej warstwy jest niedopuszczalne.</w:t>
      </w:r>
      <w:bookmarkStart w:id="362" w:name="_Toc407086028"/>
      <w:bookmarkStart w:id="363" w:name="_Toc407085580"/>
      <w:bookmarkStart w:id="364" w:name="_Toc407085437"/>
      <w:bookmarkStart w:id="365" w:name="_Toc407085294"/>
      <w:bookmarkStart w:id="366" w:name="_Toc407084175"/>
      <w:bookmarkStart w:id="367" w:name="_Toc407083341"/>
      <w:bookmarkStart w:id="368" w:name="_Toc407081542"/>
      <w:bookmarkStart w:id="369" w:name="_Toc407069577"/>
      <w:bookmarkStart w:id="370" w:name="_Toc406984369"/>
      <w:bookmarkStart w:id="371" w:name="_Toc406984178"/>
      <w:bookmarkStart w:id="372" w:name="_Toc406984031"/>
      <w:bookmarkStart w:id="373" w:name="_Toc406915338"/>
      <w:bookmarkStart w:id="374" w:name="_Toc406914760"/>
      <w:bookmarkStart w:id="375" w:name="_Toc406914106"/>
      <w:bookmarkStart w:id="376" w:name="_Toc406913861"/>
    </w:p>
    <w:p w:rsidR="00C32362" w:rsidRDefault="00C32362">
      <w:pPr>
        <w:rPr>
          <w:rFonts w:ascii="Tahoma" w:hAnsi="Tahoma" w:cs="Tahoma"/>
          <w:sz w:val="20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 OBMIAR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377" w:name="_Toc407086029"/>
      <w:bookmarkStart w:id="378" w:name="_Toc407085581"/>
      <w:bookmarkStart w:id="379" w:name="_Toc407085438"/>
      <w:bookmarkStart w:id="380" w:name="_Toc407085295"/>
      <w:bookmarkStart w:id="381" w:name="_Toc407084176"/>
      <w:bookmarkStart w:id="382" w:name="_Toc407083342"/>
      <w:bookmarkStart w:id="383" w:name="_Toc407081543"/>
      <w:bookmarkStart w:id="384" w:name="_Toc407069578"/>
      <w:bookmarkStart w:id="385" w:name="_Toc406984370"/>
      <w:bookmarkStart w:id="386" w:name="_Toc406984179"/>
      <w:bookmarkStart w:id="387" w:name="_Toc406984032"/>
      <w:bookmarkStart w:id="388" w:name="_Toc406915339"/>
      <w:bookmarkStart w:id="389" w:name="_Toc406914761"/>
      <w:bookmarkStart w:id="390" w:name="_Toc406914107"/>
      <w:bookmarkStart w:id="391" w:name="_Toc406913862"/>
      <w:r>
        <w:rPr>
          <w:rFonts w:ascii="Tahoma" w:hAnsi="Tahoma" w:cs="Tahoma"/>
        </w:rPr>
        <w:t>7.1. Ogólne zasady obmiaru robót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392" w:name="_Toc407086030"/>
      <w:bookmarkStart w:id="393" w:name="_Toc407085582"/>
      <w:bookmarkStart w:id="394" w:name="_Toc407085439"/>
      <w:bookmarkStart w:id="395" w:name="_Toc407085296"/>
      <w:bookmarkStart w:id="396" w:name="_Toc407084177"/>
      <w:bookmarkStart w:id="397" w:name="_Toc407083343"/>
      <w:bookmarkStart w:id="398" w:name="_Toc407081544"/>
      <w:bookmarkStart w:id="399" w:name="_Toc407069579"/>
      <w:bookmarkStart w:id="400" w:name="_Toc406984371"/>
      <w:bookmarkStart w:id="401" w:name="_Toc406984180"/>
      <w:bookmarkStart w:id="402" w:name="_Toc406984033"/>
      <w:bookmarkStart w:id="403" w:name="_Toc406915340"/>
      <w:bookmarkStart w:id="404" w:name="_Toc406914762"/>
      <w:bookmarkStart w:id="405" w:name="_Toc406914108"/>
      <w:bookmarkStart w:id="406" w:name="_Toc406913863"/>
      <w:r>
        <w:rPr>
          <w:rFonts w:ascii="Tahoma" w:hAnsi="Tahoma" w:cs="Tahoma"/>
        </w:rPr>
        <w:t>7.2. Jednostka obmiarowa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(metr kwadratowy) wykonanego i odebranego koryta.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07" w:name="_Toc407086031"/>
      <w:bookmarkStart w:id="408" w:name="_Toc407085583"/>
      <w:bookmarkStart w:id="409" w:name="_Toc407085440"/>
      <w:bookmarkStart w:id="410" w:name="_Toc407085297"/>
      <w:bookmarkStart w:id="411" w:name="_Toc407084178"/>
      <w:bookmarkStart w:id="412" w:name="_Toc407083344"/>
      <w:bookmarkStart w:id="413" w:name="_Toc407081545"/>
      <w:bookmarkStart w:id="414" w:name="_Toc407069580"/>
      <w:bookmarkStart w:id="415" w:name="_Toc406984372"/>
      <w:bookmarkStart w:id="416" w:name="_Toc406984181"/>
      <w:bookmarkStart w:id="417" w:name="_Toc406984034"/>
      <w:bookmarkStart w:id="418" w:name="_Toc406915341"/>
      <w:bookmarkStart w:id="419" w:name="_Toc406914763"/>
      <w:bookmarkStart w:id="420" w:name="_Toc406914109"/>
      <w:bookmarkStart w:id="421" w:name="_Toc406913864"/>
      <w:r>
        <w:rPr>
          <w:rFonts w:ascii="Tahoma" w:hAnsi="Tahoma" w:cs="Tahoma"/>
          <w:szCs w:val="20"/>
        </w:rPr>
        <w:t>8. ODBIÓR ROBÓT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 Roboty uznaje się za wykonane zgodnie z dokumentacja projektową,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i wymaganiami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</w:t>
      </w:r>
      <w:r>
        <w:rPr>
          <w:rFonts w:ascii="Tahoma" w:eastAsia="Tahoma" w:hAnsi="Tahoma" w:cs="Tahoma"/>
          <w:sz w:val="20"/>
          <w:szCs w:val="20"/>
          <w:lang w:eastAsia="ar-SA"/>
        </w:rPr>
        <w:t>e</w:t>
      </w:r>
      <w:r>
        <w:rPr>
          <w:rFonts w:ascii="Tahoma" w:eastAsia="Tahoma" w:hAnsi="Tahoma" w:cs="Tahoma"/>
          <w:sz w:val="20"/>
          <w:szCs w:val="20"/>
          <w:lang w:eastAsia="ar-SA"/>
        </w:rPr>
        <w:t>go</w:t>
      </w:r>
      <w:r>
        <w:rPr>
          <w:rFonts w:ascii="Tahoma" w:hAnsi="Tahoma" w:cs="Tahoma"/>
          <w:sz w:val="20"/>
          <w:szCs w:val="20"/>
        </w:rPr>
        <w:t>, jeżeli wszystkie pomiary i badania z zachowaniem tolerancji wg punktu 6 dały wyniki pozytywne.</w:t>
      </w:r>
    </w:p>
    <w:p w:rsidR="00C32362" w:rsidRDefault="00C32362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2" w:name="_Toc407086032"/>
      <w:bookmarkStart w:id="423" w:name="_Toc407085584"/>
      <w:bookmarkStart w:id="424" w:name="_Toc407085441"/>
      <w:bookmarkStart w:id="425" w:name="_Toc407085298"/>
      <w:bookmarkStart w:id="426" w:name="_Toc407084179"/>
      <w:bookmarkStart w:id="427" w:name="_Toc407083345"/>
      <w:bookmarkStart w:id="428" w:name="_Toc407081546"/>
      <w:bookmarkStart w:id="429" w:name="_Toc407069581"/>
      <w:bookmarkStart w:id="430" w:name="_Toc406984373"/>
      <w:bookmarkStart w:id="431" w:name="_Toc406984182"/>
      <w:bookmarkStart w:id="432" w:name="_Toc406984035"/>
      <w:bookmarkStart w:id="433" w:name="_Toc406915342"/>
      <w:bookmarkStart w:id="434" w:name="_Toc406914764"/>
      <w:bookmarkStart w:id="435" w:name="_Toc406914110"/>
      <w:bookmarkStart w:id="436" w:name="_Toc406913865"/>
      <w:r>
        <w:rPr>
          <w:rFonts w:ascii="Tahoma" w:hAnsi="Tahoma" w:cs="Tahoma"/>
          <w:szCs w:val="20"/>
        </w:rPr>
        <w:t>9. PODSTAWA PŁATNOŚCI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37" w:name="_Toc407086033"/>
      <w:bookmarkStart w:id="438" w:name="_Toc407085585"/>
      <w:bookmarkStart w:id="439" w:name="_Toc407085442"/>
      <w:bookmarkStart w:id="440" w:name="_Toc407085299"/>
      <w:bookmarkStart w:id="441" w:name="_Toc407084180"/>
      <w:bookmarkStart w:id="442" w:name="_Toc407083346"/>
      <w:bookmarkStart w:id="443" w:name="_Toc407081547"/>
      <w:bookmarkStart w:id="444" w:name="_Toc407069582"/>
      <w:bookmarkStart w:id="445" w:name="_Toc406984374"/>
      <w:bookmarkStart w:id="446" w:name="_Toc406984183"/>
      <w:bookmarkStart w:id="447" w:name="_Toc406984036"/>
      <w:bookmarkStart w:id="448" w:name="_Toc406915343"/>
      <w:bookmarkStart w:id="449" w:name="_Toc406914765"/>
      <w:bookmarkStart w:id="450" w:name="_Toc406914111"/>
      <w:bookmarkStart w:id="451" w:name="_Toc406913866"/>
      <w:r>
        <w:rPr>
          <w:rFonts w:ascii="Tahoma" w:hAnsi="Tahoma" w:cs="Tahoma"/>
        </w:rPr>
        <w:t>9.1. Ogólne ustalenia dotyczące podstawy płatności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C32362" w:rsidRDefault="00C12DEC">
      <w:pPr>
        <w:pStyle w:val="Heading2"/>
        <w:spacing w:after="0"/>
        <w:rPr>
          <w:rFonts w:ascii="Tahoma" w:hAnsi="Tahoma" w:cs="Tahoma"/>
        </w:rPr>
      </w:pPr>
      <w:bookmarkStart w:id="452" w:name="_Toc407086034"/>
      <w:bookmarkStart w:id="453" w:name="_Toc407085586"/>
      <w:bookmarkStart w:id="454" w:name="_Toc407085443"/>
      <w:bookmarkStart w:id="455" w:name="_Toc407085300"/>
      <w:bookmarkStart w:id="456" w:name="_Toc407084181"/>
      <w:bookmarkStart w:id="457" w:name="_Toc407083347"/>
      <w:bookmarkStart w:id="458" w:name="_Toc407081548"/>
      <w:bookmarkStart w:id="459" w:name="_Toc407069583"/>
      <w:bookmarkStart w:id="460" w:name="_Toc406984375"/>
      <w:bookmarkStart w:id="461" w:name="_Toc406984184"/>
      <w:bookmarkStart w:id="462" w:name="_Toc406984037"/>
      <w:bookmarkStart w:id="463" w:name="_Toc406915344"/>
      <w:bookmarkStart w:id="464" w:name="_Toc406914766"/>
      <w:bookmarkStart w:id="465" w:name="_Toc406914112"/>
      <w:bookmarkStart w:id="466" w:name="_Toc406913867"/>
      <w:r>
        <w:rPr>
          <w:rFonts w:ascii="Tahoma" w:hAnsi="Tahoma" w:cs="Tahoma"/>
        </w:rPr>
        <w:t>9.2. Cena jednostki obmiarowej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koryta obejmuje: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odspojenie gruntu z przerzutem na pobocze i rozplantowaniem,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załadunek nadmiaru odspojonego gruntu na środki transportowe i odwiezienie na odkład lub nasyp,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profilowanie dna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utrzymanie koryta lub podłoża,</w:t>
      </w:r>
    </w:p>
    <w:p w:rsidR="00C32362" w:rsidRDefault="00C12DEC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technicznej.</w:t>
      </w:r>
    </w:p>
    <w:p w:rsidR="00C32362" w:rsidRDefault="00C12DE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C32362" w:rsidRDefault="00C12DEC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67" w:name="_Toc407086035"/>
      <w:bookmarkStart w:id="468" w:name="_Toc407085587"/>
      <w:bookmarkStart w:id="469" w:name="_Toc407085444"/>
      <w:bookmarkStart w:id="470" w:name="_Toc407085301"/>
      <w:bookmarkStart w:id="471" w:name="_Toc407084182"/>
      <w:bookmarkStart w:id="472" w:name="_Toc407083348"/>
      <w:bookmarkStart w:id="473" w:name="_Toc407081549"/>
      <w:bookmarkStart w:id="474" w:name="_Toc407069584"/>
      <w:bookmarkStart w:id="475" w:name="_Toc406984376"/>
      <w:bookmarkStart w:id="476" w:name="_Toc406984185"/>
      <w:bookmarkStart w:id="477" w:name="_Toc406984038"/>
      <w:bookmarkStart w:id="478" w:name="_Toc406915345"/>
      <w:bookmarkStart w:id="479" w:name="_Toc406914767"/>
      <w:bookmarkStart w:id="480" w:name="_Toc406914113"/>
      <w:bookmarkStart w:id="481" w:name="_Toc406913868"/>
      <w:r>
        <w:rPr>
          <w:rFonts w:ascii="Tahoma" w:hAnsi="Tahoma" w:cs="Tahoma"/>
          <w:szCs w:val="20"/>
        </w:rPr>
        <w:t>10. PRZEPISY ZWIĄZANE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C32362" w:rsidRDefault="00C32362">
      <w:pPr>
        <w:pStyle w:val="Heading2"/>
        <w:spacing w:before="0" w:after="0"/>
        <w:rPr>
          <w:rFonts w:ascii="Tahoma" w:hAnsi="Tahoma" w:cs="Tahoma"/>
        </w:rPr>
      </w:pPr>
    </w:p>
    <w:p w:rsidR="00C32362" w:rsidRDefault="00C12DEC">
      <w:pPr>
        <w:pStyle w:val="Heading2"/>
        <w:spacing w:before="0" w:after="0"/>
        <w:rPr>
          <w:rFonts w:ascii="Tahoma" w:hAnsi="Tahoma" w:cs="Tahoma"/>
        </w:rPr>
      </w:pPr>
      <w:bookmarkStart w:id="482" w:name="_Toc407086036"/>
      <w:bookmarkStart w:id="483" w:name="_Toc407085588"/>
      <w:bookmarkStart w:id="484" w:name="_Toc407085445"/>
      <w:bookmarkStart w:id="485" w:name="_Toc407085302"/>
      <w:bookmarkStart w:id="486" w:name="_Toc407084183"/>
      <w:bookmarkStart w:id="487" w:name="_Toc407083349"/>
      <w:bookmarkStart w:id="488" w:name="_Toc407081550"/>
      <w:bookmarkStart w:id="489" w:name="_Toc407069585"/>
      <w:bookmarkStart w:id="490" w:name="_Toc406984377"/>
      <w:bookmarkStart w:id="491" w:name="_Toc406984186"/>
      <w:bookmarkStart w:id="492" w:name="_Toc406984039"/>
      <w:bookmarkStart w:id="493" w:name="_Toc406915346"/>
      <w:bookmarkStart w:id="494" w:name="_Toc406914768"/>
      <w:bookmarkStart w:id="495" w:name="_Toc406914114"/>
      <w:bookmarkStart w:id="496" w:name="_Toc406913869"/>
      <w:r>
        <w:rPr>
          <w:rFonts w:ascii="Tahoma" w:hAnsi="Tahoma" w:cs="Tahoma"/>
        </w:rPr>
        <w:t>Normy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tbl>
      <w:tblPr>
        <w:tblW w:w="99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25"/>
        <w:gridCol w:w="1701"/>
        <w:gridCol w:w="7774"/>
      </w:tblGrid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PN-B-04481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Grunty budowlane. Badania próbek gruntu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PN-/B-06714-17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Kruszywa mineralne. Badania. Oznaczanie wilgotności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BN-64/8931-02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Drogi samochodowe. Oznaczanie modułu odkształcenia nawierzchni podatnych i podłoża przez obciążenie płytą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BN-68/8931-04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Drogi samochodowe. Pomiar równości nawierzchni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planografem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i łatą</w:t>
            </w:r>
          </w:p>
        </w:tc>
      </w:tr>
      <w:tr w:rsidR="00C32362">
        <w:tc>
          <w:tcPr>
            <w:tcW w:w="425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BN-77/8931-12</w:t>
            </w:r>
          </w:p>
        </w:tc>
        <w:tc>
          <w:tcPr>
            <w:tcW w:w="7774" w:type="dxa"/>
          </w:tcPr>
          <w:p w:rsidR="00C32362" w:rsidRDefault="00C12D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Oznaczanie wskaźnika zagęszczenia gruntu</w:t>
            </w:r>
          </w:p>
        </w:tc>
      </w:tr>
    </w:tbl>
    <w:p w:rsidR="00C32362" w:rsidRDefault="00C32362">
      <w:pPr>
        <w:rPr>
          <w:rFonts w:ascii="Tahoma" w:hAnsi="Tahoma" w:cs="Tahoma"/>
          <w:b/>
          <w:sz w:val="20"/>
          <w:szCs w:val="20"/>
        </w:rPr>
      </w:pPr>
    </w:p>
    <w:sectPr w:rsidR="00C32362" w:rsidSect="00C32362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2A1" w:rsidRDefault="003D62A1" w:rsidP="00C32362">
      <w:r>
        <w:separator/>
      </w:r>
    </w:p>
  </w:endnote>
  <w:endnote w:type="continuationSeparator" w:id="0">
    <w:p w:rsidR="003D62A1" w:rsidRDefault="003D62A1" w:rsidP="00C32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849718"/>
      <w:docPartObj>
        <w:docPartGallery w:val="Page Numbers (Bottom of Page)"/>
        <w:docPartUnique/>
      </w:docPartObj>
    </w:sdtPr>
    <w:sdtContent>
      <w:p w:rsidR="00C32362" w:rsidRDefault="00867A44">
        <w:pPr>
          <w:pStyle w:val="Footer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12DEC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82E3B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362" w:rsidRDefault="00C32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2A1" w:rsidRDefault="003D62A1" w:rsidP="00C32362">
      <w:r>
        <w:separator/>
      </w:r>
    </w:p>
  </w:footnote>
  <w:footnote w:type="continuationSeparator" w:id="0">
    <w:p w:rsidR="003D62A1" w:rsidRDefault="003D62A1" w:rsidP="00C32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87443"/>
    <w:multiLevelType w:val="multilevel"/>
    <w:tmpl w:val="F818762A"/>
    <w:lvl w:ilvl="0">
      <w:start w:val="1"/>
      <w:numFmt w:val="decimal"/>
      <w:lvlText w:val="6.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2BE"/>
    <w:multiLevelType w:val="multilevel"/>
    <w:tmpl w:val="C4E07D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36638E7"/>
    <w:multiLevelType w:val="multilevel"/>
    <w:tmpl w:val="85C2CD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6C42B80"/>
    <w:multiLevelType w:val="multilevel"/>
    <w:tmpl w:val="D4CACE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362"/>
    <w:rsid w:val="00024FF7"/>
    <w:rsid w:val="00101B39"/>
    <w:rsid w:val="0012345B"/>
    <w:rsid w:val="00182CA1"/>
    <w:rsid w:val="00183384"/>
    <w:rsid w:val="001B531D"/>
    <w:rsid w:val="001C75BC"/>
    <w:rsid w:val="0026382D"/>
    <w:rsid w:val="00280D5D"/>
    <w:rsid w:val="002822EB"/>
    <w:rsid w:val="00286EA4"/>
    <w:rsid w:val="00311240"/>
    <w:rsid w:val="00344DE4"/>
    <w:rsid w:val="00383D80"/>
    <w:rsid w:val="003853BC"/>
    <w:rsid w:val="00394760"/>
    <w:rsid w:val="003A2F22"/>
    <w:rsid w:val="003D62A1"/>
    <w:rsid w:val="003F49AD"/>
    <w:rsid w:val="00403F76"/>
    <w:rsid w:val="0041727D"/>
    <w:rsid w:val="00430126"/>
    <w:rsid w:val="00430E3C"/>
    <w:rsid w:val="00466553"/>
    <w:rsid w:val="00482E9F"/>
    <w:rsid w:val="004901E3"/>
    <w:rsid w:val="004C460E"/>
    <w:rsid w:val="00606377"/>
    <w:rsid w:val="006C2119"/>
    <w:rsid w:val="00704B8F"/>
    <w:rsid w:val="0071557C"/>
    <w:rsid w:val="00750E32"/>
    <w:rsid w:val="00751181"/>
    <w:rsid w:val="00801408"/>
    <w:rsid w:val="00811370"/>
    <w:rsid w:val="0086067F"/>
    <w:rsid w:val="00864382"/>
    <w:rsid w:val="00867A44"/>
    <w:rsid w:val="0090423D"/>
    <w:rsid w:val="00911E15"/>
    <w:rsid w:val="00942928"/>
    <w:rsid w:val="00987184"/>
    <w:rsid w:val="009C4F25"/>
    <w:rsid w:val="00A035C4"/>
    <w:rsid w:val="00A17972"/>
    <w:rsid w:val="00A274B8"/>
    <w:rsid w:val="00A82E3B"/>
    <w:rsid w:val="00AC4488"/>
    <w:rsid w:val="00AD79CA"/>
    <w:rsid w:val="00B11E53"/>
    <w:rsid w:val="00B173F5"/>
    <w:rsid w:val="00B94FD7"/>
    <w:rsid w:val="00B96A23"/>
    <w:rsid w:val="00BC0583"/>
    <w:rsid w:val="00C12DEC"/>
    <w:rsid w:val="00C32362"/>
    <w:rsid w:val="00C63FA1"/>
    <w:rsid w:val="00C67A2E"/>
    <w:rsid w:val="00D12E57"/>
    <w:rsid w:val="00D1774B"/>
    <w:rsid w:val="00D34F03"/>
    <w:rsid w:val="00D43D91"/>
    <w:rsid w:val="00D73FD9"/>
    <w:rsid w:val="00D803BD"/>
    <w:rsid w:val="00DF46D6"/>
    <w:rsid w:val="00E42357"/>
    <w:rsid w:val="00EA06D6"/>
    <w:rsid w:val="00F22373"/>
    <w:rsid w:val="00F91F88"/>
    <w:rsid w:val="00FA5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C0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C926C0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C926C0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paragraph" w:customStyle="1" w:styleId="Heading5">
    <w:name w:val="Heading 5"/>
    <w:basedOn w:val="Normalny"/>
    <w:next w:val="Normalny"/>
    <w:link w:val="Nagwek5Znak"/>
    <w:qFormat/>
    <w:rsid w:val="00C926C0"/>
    <w:pPr>
      <w:keepNext/>
      <w:keepLines/>
      <w:spacing w:after="120"/>
      <w:jc w:val="both"/>
      <w:outlineLvl w:val="4"/>
    </w:pPr>
    <w:rPr>
      <w:rFonts w:ascii="Book Antiqua" w:hAnsi="Book Antiqua" w:cs="Arial"/>
      <w:b/>
      <w:bCs/>
      <w:smallCaps/>
      <w:sz w:val="28"/>
      <w:szCs w:val="18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C926C0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C926C0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Heading5"/>
    <w:qFormat/>
    <w:rsid w:val="00C926C0"/>
    <w:rPr>
      <w:rFonts w:ascii="Book Antiqua" w:eastAsia="Times New Roman" w:hAnsi="Book Antiqua" w:cs="Arial"/>
      <w:b/>
      <w:bCs/>
      <w:smallCaps/>
      <w:sz w:val="28"/>
      <w:szCs w:val="18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2Znak0">
    <w:name w:val="!Nagłówek 2 Znak"/>
    <w:qFormat/>
    <w:rsid w:val="00C926C0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C926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C3236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C32362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C32362"/>
    <w:rPr>
      <w:rFonts w:ascii="Times New Roman" w:eastAsia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C323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32362"/>
    <w:pPr>
      <w:spacing w:after="140" w:line="276" w:lineRule="auto"/>
    </w:pPr>
  </w:style>
  <w:style w:type="paragraph" w:styleId="Lista">
    <w:name w:val="List"/>
    <w:basedOn w:val="Tekstpodstawowy"/>
    <w:rsid w:val="00C32362"/>
    <w:rPr>
      <w:rFonts w:cs="Arial"/>
    </w:rPr>
  </w:style>
  <w:style w:type="paragraph" w:customStyle="1" w:styleId="Caption">
    <w:name w:val="Caption"/>
    <w:basedOn w:val="Normalny"/>
    <w:qFormat/>
    <w:rsid w:val="00C3236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32362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C926C0"/>
    <w:rPr>
      <w:rFonts w:ascii="Book Antiqua" w:hAnsi="Book Antiqua"/>
      <w:b/>
      <w:szCs w:val="20"/>
    </w:rPr>
  </w:style>
  <w:style w:type="paragraph" w:customStyle="1" w:styleId="Nagwek2">
    <w:name w:val="!Nagłówek 2"/>
    <w:basedOn w:val="Normalny"/>
    <w:next w:val="Normalny"/>
    <w:qFormat/>
    <w:rsid w:val="00C926C0"/>
    <w:rPr>
      <w:rFonts w:ascii="Book Antiqua" w:hAnsi="Book Antiqua"/>
      <w:b/>
      <w:szCs w:val="20"/>
    </w:rPr>
  </w:style>
  <w:style w:type="paragraph" w:customStyle="1" w:styleId="tekstost">
    <w:name w:val="tekst ost"/>
    <w:basedOn w:val="Normalny"/>
    <w:qFormat/>
    <w:rsid w:val="00C926C0"/>
    <w:pPr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32362"/>
  </w:style>
  <w:style w:type="paragraph" w:customStyle="1" w:styleId="Header">
    <w:name w:val="Header"/>
    <w:basedOn w:val="Normalny"/>
    <w:link w:val="Nagwek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C926C0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C32362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C32362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C32362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C323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1642</Words>
  <Characters>9852</Characters>
  <Application>Microsoft Office Word</Application>
  <DocSecurity>0</DocSecurity>
  <Lines>82</Lines>
  <Paragraphs>22</Paragraphs>
  <ScaleCrop>false</ScaleCrop>
  <Company>HP</Company>
  <LinksUpToDate>false</LinksUpToDate>
  <CharactersWithSpaces>11472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2023-08-06T18:24:00Z</dcterms:created>
  <dcterms:modified xsi:type="dcterms:W3CDTF">2023-08-06T18:24:00Z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