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9D3B" w14:textId="0A9C5558" w:rsidR="0049396C" w:rsidRPr="001B6039" w:rsidRDefault="00094A21" w:rsidP="00094A21">
      <w:pPr>
        <w:spacing w:line="360" w:lineRule="auto"/>
        <w:rPr>
          <w:rFonts w:ascii="Bookman Old Style" w:hAnsi="Bookman Old Style"/>
        </w:rPr>
      </w:pPr>
      <w:r>
        <w:rPr>
          <w:rFonts w:ascii="Bookman Old Style" w:hAnsi="Bookman Old Style"/>
        </w:rPr>
        <w:t xml:space="preserve">WRiZP.272.2.1.2024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C672E" w:rsidRPr="001B6039">
        <w:rPr>
          <w:rFonts w:ascii="Bookman Old Style" w:hAnsi="Bookman Old Style"/>
        </w:rPr>
        <w:t xml:space="preserve">Załącznik nr </w:t>
      </w:r>
      <w:r>
        <w:rPr>
          <w:rFonts w:ascii="Bookman Old Style" w:hAnsi="Bookman Old Style"/>
        </w:rPr>
        <w:t>3</w:t>
      </w:r>
      <w:r w:rsidR="000C672E" w:rsidRPr="001B6039">
        <w:rPr>
          <w:rFonts w:ascii="Bookman Old Style" w:hAnsi="Bookman Old Style"/>
        </w:rPr>
        <w:t xml:space="preserve"> do </w:t>
      </w:r>
      <w:r>
        <w:rPr>
          <w:rFonts w:ascii="Bookman Old Style" w:hAnsi="Bookman Old Style"/>
        </w:rPr>
        <w:t>Zapytania ofertowego</w:t>
      </w:r>
    </w:p>
    <w:p w14:paraId="50EE19A8" w14:textId="77777777" w:rsidR="001B6039" w:rsidRDefault="001B6039" w:rsidP="001B6039">
      <w:pPr>
        <w:spacing w:line="360" w:lineRule="auto"/>
        <w:jc w:val="both"/>
        <w:rPr>
          <w:rFonts w:ascii="Bookman Old Style" w:hAnsi="Bookman Old Style"/>
        </w:rPr>
      </w:pPr>
    </w:p>
    <w:p w14:paraId="7E44710F" w14:textId="77777777" w:rsidR="00100456" w:rsidRDefault="00100456" w:rsidP="001B6039">
      <w:pPr>
        <w:spacing w:line="360" w:lineRule="auto"/>
        <w:jc w:val="both"/>
        <w:rPr>
          <w:rFonts w:ascii="Bookman Old Style" w:hAnsi="Bookman Old Style"/>
        </w:rPr>
      </w:pPr>
    </w:p>
    <w:p w14:paraId="2C561E73" w14:textId="77777777" w:rsidR="00100456" w:rsidRDefault="00100456" w:rsidP="001B6039">
      <w:pPr>
        <w:spacing w:line="360" w:lineRule="auto"/>
        <w:jc w:val="both"/>
        <w:rPr>
          <w:rFonts w:ascii="Bookman Old Style" w:hAnsi="Bookman Old Style"/>
        </w:rPr>
      </w:pPr>
    </w:p>
    <w:p w14:paraId="2E557F5F" w14:textId="40CB43A0" w:rsidR="0049396C" w:rsidRPr="001B6039" w:rsidRDefault="0049396C" w:rsidP="001B6039">
      <w:pPr>
        <w:spacing w:line="360" w:lineRule="auto"/>
        <w:jc w:val="center"/>
        <w:rPr>
          <w:rFonts w:ascii="Bookman Old Style" w:hAnsi="Bookman Old Style"/>
          <w:sz w:val="28"/>
          <w:szCs w:val="28"/>
        </w:rPr>
      </w:pPr>
      <w:r w:rsidRPr="001B6039">
        <w:rPr>
          <w:rFonts w:ascii="Bookman Old Style" w:hAnsi="Bookman Old Style"/>
          <w:sz w:val="28"/>
          <w:szCs w:val="28"/>
        </w:rPr>
        <w:t>WYDZIAŁ GEODEZJI, KARTOGRAFII, KATASTRU</w:t>
      </w:r>
      <w:r w:rsidRPr="001B6039">
        <w:rPr>
          <w:rFonts w:ascii="Bookman Old Style" w:hAnsi="Bookman Old Style"/>
          <w:sz w:val="28"/>
          <w:szCs w:val="28"/>
        </w:rPr>
        <w:br/>
        <w:t>I GOSPODARKI NIERUCHOMOŚCIAMI</w:t>
      </w:r>
      <w:r w:rsidRPr="001B6039">
        <w:rPr>
          <w:rFonts w:ascii="Bookman Old Style" w:hAnsi="Bookman Old Style"/>
          <w:sz w:val="28"/>
          <w:szCs w:val="28"/>
        </w:rPr>
        <w:br/>
        <w:t>STAROSTWO POWIATOWE W ŚWIECIU</w:t>
      </w:r>
    </w:p>
    <w:p w14:paraId="2DBADB43" w14:textId="77777777" w:rsidR="001B6039" w:rsidRDefault="001B6039" w:rsidP="001B6039">
      <w:pPr>
        <w:spacing w:line="360" w:lineRule="auto"/>
        <w:jc w:val="both"/>
        <w:rPr>
          <w:rFonts w:ascii="Bookman Old Style" w:hAnsi="Bookman Old Style"/>
        </w:rPr>
      </w:pPr>
      <w:bookmarkStart w:id="0" w:name="bookmark0"/>
    </w:p>
    <w:p w14:paraId="17CFA6D4" w14:textId="77777777" w:rsidR="001B6039" w:rsidRDefault="001B6039" w:rsidP="001B6039">
      <w:pPr>
        <w:spacing w:line="360" w:lineRule="auto"/>
        <w:jc w:val="both"/>
        <w:rPr>
          <w:rFonts w:ascii="Bookman Old Style" w:hAnsi="Bookman Old Style"/>
        </w:rPr>
      </w:pPr>
    </w:p>
    <w:p w14:paraId="6CB76C91" w14:textId="77777777" w:rsidR="001B6039" w:rsidRDefault="001B6039" w:rsidP="001B6039">
      <w:pPr>
        <w:spacing w:line="360" w:lineRule="auto"/>
        <w:jc w:val="center"/>
        <w:rPr>
          <w:rFonts w:ascii="Bookman Old Style" w:hAnsi="Bookman Old Style"/>
        </w:rPr>
      </w:pPr>
    </w:p>
    <w:p w14:paraId="210429FE" w14:textId="143FC00D" w:rsidR="0049396C" w:rsidRPr="001B6039" w:rsidRDefault="0049396C" w:rsidP="001B6039">
      <w:pPr>
        <w:spacing w:line="360" w:lineRule="auto"/>
        <w:jc w:val="center"/>
        <w:rPr>
          <w:rFonts w:ascii="Bookman Old Style" w:hAnsi="Bookman Old Style"/>
          <w:sz w:val="40"/>
          <w:szCs w:val="40"/>
        </w:rPr>
      </w:pPr>
      <w:r w:rsidRPr="001B6039">
        <w:rPr>
          <w:rFonts w:ascii="Bookman Old Style" w:hAnsi="Bookman Old Style"/>
          <w:sz w:val="40"/>
          <w:szCs w:val="40"/>
        </w:rPr>
        <w:t xml:space="preserve">Opis </w:t>
      </w:r>
      <w:bookmarkEnd w:id="0"/>
      <w:r w:rsidRPr="001B6039">
        <w:rPr>
          <w:rFonts w:ascii="Bookman Old Style" w:hAnsi="Bookman Old Style"/>
          <w:sz w:val="40"/>
          <w:szCs w:val="40"/>
        </w:rPr>
        <w:t>Przedmiotu Zamówienia</w:t>
      </w:r>
    </w:p>
    <w:p w14:paraId="37CBBDE1" w14:textId="77777777" w:rsidR="0049396C" w:rsidRPr="001B6039" w:rsidRDefault="0049396C" w:rsidP="001B6039">
      <w:pPr>
        <w:spacing w:line="360" w:lineRule="auto"/>
        <w:jc w:val="center"/>
        <w:rPr>
          <w:rFonts w:ascii="Bookman Old Style" w:hAnsi="Bookman Old Style"/>
          <w:sz w:val="28"/>
          <w:szCs w:val="28"/>
        </w:rPr>
      </w:pPr>
      <w:r w:rsidRPr="001B6039">
        <w:rPr>
          <w:rFonts w:ascii="Bookman Old Style" w:hAnsi="Bookman Old Style"/>
          <w:sz w:val="28"/>
          <w:szCs w:val="28"/>
        </w:rPr>
        <w:t>Konwersja zbiorów danych BDOT500, GESUT i EGIB w bazie danych PZGIK powiatu świeckiego, województwo kujawsko – pomorskie.</w:t>
      </w:r>
    </w:p>
    <w:p w14:paraId="1E403AF4" w14:textId="77777777" w:rsidR="0049396C" w:rsidRPr="001B6039" w:rsidRDefault="0049396C" w:rsidP="001B6039">
      <w:pPr>
        <w:spacing w:line="360" w:lineRule="auto"/>
        <w:jc w:val="both"/>
        <w:rPr>
          <w:rFonts w:ascii="Bookman Old Style" w:hAnsi="Bookman Old Style"/>
        </w:rPr>
      </w:pPr>
    </w:p>
    <w:p w14:paraId="0816EB43" w14:textId="77777777" w:rsidR="0096093C" w:rsidRPr="001B6039" w:rsidRDefault="0096093C" w:rsidP="001B6039">
      <w:pPr>
        <w:spacing w:line="360" w:lineRule="auto"/>
        <w:jc w:val="both"/>
        <w:rPr>
          <w:rFonts w:ascii="Bookman Old Style" w:hAnsi="Bookman Old Style"/>
        </w:rPr>
      </w:pPr>
    </w:p>
    <w:p w14:paraId="4E08727C" w14:textId="77777777" w:rsidR="0096093C" w:rsidRPr="001B6039" w:rsidRDefault="0096093C" w:rsidP="001B6039">
      <w:pPr>
        <w:spacing w:line="360" w:lineRule="auto"/>
        <w:jc w:val="both"/>
        <w:rPr>
          <w:rFonts w:ascii="Bookman Old Style" w:hAnsi="Bookman Old Style"/>
        </w:rPr>
      </w:pPr>
    </w:p>
    <w:p w14:paraId="351CCCE6" w14:textId="77777777" w:rsidR="0096093C" w:rsidRPr="001B6039" w:rsidRDefault="0096093C" w:rsidP="001B6039">
      <w:pPr>
        <w:spacing w:line="360" w:lineRule="auto"/>
        <w:jc w:val="both"/>
        <w:rPr>
          <w:rFonts w:ascii="Bookman Old Style" w:hAnsi="Bookman Old Style"/>
        </w:rPr>
      </w:pPr>
    </w:p>
    <w:p w14:paraId="2CED62D5" w14:textId="77777777" w:rsidR="0096093C" w:rsidRPr="001B6039" w:rsidRDefault="0096093C" w:rsidP="001B6039">
      <w:pPr>
        <w:spacing w:line="360" w:lineRule="auto"/>
        <w:jc w:val="both"/>
        <w:rPr>
          <w:rFonts w:ascii="Bookman Old Style" w:hAnsi="Bookman Old Style"/>
        </w:rPr>
      </w:pPr>
    </w:p>
    <w:p w14:paraId="724C2A73" w14:textId="77777777" w:rsidR="0096093C" w:rsidRPr="001B6039" w:rsidRDefault="0096093C" w:rsidP="001B6039">
      <w:pPr>
        <w:spacing w:line="360" w:lineRule="auto"/>
        <w:jc w:val="both"/>
        <w:rPr>
          <w:rFonts w:ascii="Bookman Old Style" w:hAnsi="Bookman Old Style"/>
        </w:rPr>
      </w:pPr>
    </w:p>
    <w:p w14:paraId="2439874E" w14:textId="40C45620" w:rsidR="0096093C" w:rsidRPr="001B6039" w:rsidRDefault="0049396C" w:rsidP="001B6039">
      <w:pPr>
        <w:spacing w:line="360" w:lineRule="auto"/>
        <w:jc w:val="both"/>
        <w:rPr>
          <w:rFonts w:ascii="Bookman Old Style" w:hAnsi="Bookman Old Style"/>
        </w:rPr>
      </w:pPr>
      <w:r w:rsidRPr="001B6039">
        <w:rPr>
          <w:rFonts w:ascii="Bookman Old Style" w:hAnsi="Bookman Old Style"/>
        </w:rPr>
        <w:tab/>
      </w:r>
    </w:p>
    <w:p w14:paraId="2A16FF96" w14:textId="77777777" w:rsidR="0049396C" w:rsidRPr="001B6039" w:rsidRDefault="0049396C" w:rsidP="001B6039">
      <w:pPr>
        <w:spacing w:line="360" w:lineRule="auto"/>
        <w:jc w:val="both"/>
        <w:rPr>
          <w:rFonts w:ascii="Bookman Old Style" w:hAnsi="Bookman Old Style"/>
        </w:rPr>
      </w:pPr>
    </w:p>
    <w:p w14:paraId="7B50F9B7" w14:textId="77777777" w:rsidR="0049396C" w:rsidRPr="001B6039" w:rsidRDefault="0049396C" w:rsidP="001B6039">
      <w:pPr>
        <w:spacing w:line="360" w:lineRule="auto"/>
        <w:jc w:val="both"/>
        <w:rPr>
          <w:rFonts w:ascii="Bookman Old Style" w:hAnsi="Bookman Old Style"/>
        </w:rPr>
      </w:pPr>
    </w:p>
    <w:p w14:paraId="56EB4EEA" w14:textId="77777777" w:rsidR="0049396C" w:rsidRPr="001B6039" w:rsidRDefault="0049396C" w:rsidP="001B6039">
      <w:pPr>
        <w:spacing w:line="360" w:lineRule="auto"/>
        <w:jc w:val="both"/>
        <w:rPr>
          <w:rFonts w:ascii="Bookman Old Style" w:hAnsi="Bookman Old Style"/>
        </w:rPr>
      </w:pPr>
    </w:p>
    <w:p w14:paraId="259F9332" w14:textId="77777777" w:rsidR="0049396C" w:rsidRPr="001B6039" w:rsidRDefault="0049396C" w:rsidP="001B6039">
      <w:pPr>
        <w:spacing w:line="360" w:lineRule="auto"/>
        <w:jc w:val="both"/>
        <w:rPr>
          <w:rFonts w:ascii="Bookman Old Style" w:hAnsi="Bookman Old Style"/>
        </w:rPr>
      </w:pPr>
    </w:p>
    <w:p w14:paraId="0F9496A1" w14:textId="77777777" w:rsidR="001B6039" w:rsidRDefault="001B6039" w:rsidP="001B6039">
      <w:pPr>
        <w:spacing w:line="360" w:lineRule="auto"/>
        <w:jc w:val="center"/>
        <w:rPr>
          <w:rFonts w:ascii="Bookman Old Style" w:hAnsi="Bookman Old Style"/>
        </w:rPr>
      </w:pPr>
    </w:p>
    <w:p w14:paraId="43AA73A8" w14:textId="77777777" w:rsidR="001B6039" w:rsidRDefault="001B6039" w:rsidP="001B6039">
      <w:pPr>
        <w:spacing w:line="360" w:lineRule="auto"/>
        <w:jc w:val="both"/>
        <w:rPr>
          <w:rFonts w:ascii="Bookman Old Style" w:hAnsi="Bookman Old Style"/>
        </w:rPr>
      </w:pPr>
    </w:p>
    <w:p w14:paraId="48035607" w14:textId="77777777" w:rsidR="001B6039" w:rsidRPr="001B6039" w:rsidRDefault="001B6039" w:rsidP="001B6039">
      <w:pPr>
        <w:spacing w:line="360" w:lineRule="auto"/>
        <w:jc w:val="both"/>
        <w:rPr>
          <w:rFonts w:ascii="Bookman Old Style" w:hAnsi="Bookman Old Style"/>
          <w:b/>
          <w:bCs/>
        </w:rPr>
      </w:pPr>
      <w:bookmarkStart w:id="1" w:name="_Toc496083158"/>
      <w:bookmarkStart w:id="2" w:name="_Toc153528723"/>
      <w:r w:rsidRPr="001B6039">
        <w:rPr>
          <w:rFonts w:ascii="Bookman Old Style" w:hAnsi="Bookman Old Style"/>
          <w:b/>
          <w:bCs/>
        </w:rPr>
        <w:lastRenderedPageBreak/>
        <w:t>Rozdział 1</w:t>
      </w:r>
    </w:p>
    <w:p w14:paraId="4B35AADF" w14:textId="759B3836" w:rsidR="00734C23" w:rsidRPr="001B6039" w:rsidRDefault="00734C23" w:rsidP="001B6039">
      <w:pPr>
        <w:spacing w:line="360" w:lineRule="auto"/>
        <w:jc w:val="both"/>
        <w:rPr>
          <w:rFonts w:ascii="Bookman Old Style" w:hAnsi="Bookman Old Style"/>
          <w:b/>
          <w:bCs/>
          <w:u w:val="single"/>
        </w:rPr>
      </w:pPr>
      <w:r w:rsidRPr="001B6039">
        <w:rPr>
          <w:rFonts w:ascii="Bookman Old Style" w:hAnsi="Bookman Old Style"/>
          <w:b/>
          <w:bCs/>
          <w:u w:val="single"/>
        </w:rPr>
        <w:t>Słownik pojęć i skrótów</w:t>
      </w:r>
      <w:bookmarkEnd w:id="1"/>
      <w:bookmarkEnd w:id="2"/>
      <w:r w:rsidR="002D0877">
        <w:rPr>
          <w:rFonts w:ascii="Bookman Old Style" w:hAnsi="Bookman Old Style"/>
          <w:b/>
          <w:bCs/>
          <w:u w:val="single"/>
        </w:rPr>
        <w:t>.</w:t>
      </w:r>
    </w:p>
    <w:tbl>
      <w:tblPr>
        <w:tblW w:w="9957" w:type="dxa"/>
        <w:tblInd w:w="-142" w:type="dxa"/>
        <w:tblLayout w:type="fixed"/>
        <w:tblLook w:val="0000" w:firstRow="0" w:lastRow="0" w:firstColumn="0" w:lastColumn="0" w:noHBand="0" w:noVBand="0"/>
      </w:tblPr>
      <w:tblGrid>
        <w:gridCol w:w="2122"/>
        <w:gridCol w:w="283"/>
        <w:gridCol w:w="7552"/>
      </w:tblGrid>
      <w:tr w:rsidR="004242E7" w:rsidRPr="001B6039" w14:paraId="688F489A" w14:textId="77777777" w:rsidTr="003531C7">
        <w:tc>
          <w:tcPr>
            <w:tcW w:w="2122" w:type="dxa"/>
            <w:shd w:val="clear" w:color="auto" w:fill="auto"/>
          </w:tcPr>
          <w:p w14:paraId="64E90AD2"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BDOT500</w:t>
            </w:r>
          </w:p>
        </w:tc>
        <w:tc>
          <w:tcPr>
            <w:tcW w:w="283" w:type="dxa"/>
            <w:shd w:val="clear" w:color="auto" w:fill="auto"/>
          </w:tcPr>
          <w:p w14:paraId="5B510403"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4E13CC3E" w14:textId="7DDCCABD" w:rsidR="00734C23" w:rsidRPr="001B6039" w:rsidRDefault="00734C23" w:rsidP="001B6039">
            <w:pPr>
              <w:spacing w:line="360" w:lineRule="auto"/>
              <w:jc w:val="both"/>
              <w:rPr>
                <w:rFonts w:ascii="Bookman Old Style" w:hAnsi="Bookman Old Style"/>
              </w:rPr>
            </w:pPr>
            <w:r w:rsidRPr="001B6039">
              <w:rPr>
                <w:rFonts w:ascii="Bookman Old Style" w:hAnsi="Bookman Old Style"/>
              </w:rPr>
              <w:t xml:space="preserve">Zbiór danych bazy danych obiektów topograficznych o szczegółowości zapewniającej tworzenie standardowych opracowań kartograficznych w skalach 1:500-1:5000, o której mowa w art. 4 ust. </w:t>
            </w:r>
            <w:r w:rsidR="009A790E" w:rsidRPr="001B6039">
              <w:rPr>
                <w:rFonts w:ascii="Bookman Old Style" w:hAnsi="Bookman Old Style"/>
              </w:rPr>
              <w:t xml:space="preserve">1a pkt 12 </w:t>
            </w:r>
            <w:r w:rsidRPr="001B6039">
              <w:rPr>
                <w:rFonts w:ascii="Bookman Old Style" w:hAnsi="Bookman Old Style"/>
              </w:rPr>
              <w:t>Ustawy z dnia 17 maja 1989 r. Prawo geodezyjne i</w:t>
            </w:r>
            <w:r w:rsidR="000E6BB6" w:rsidRPr="001B6039">
              <w:rPr>
                <w:rFonts w:ascii="Bookman Old Style" w:hAnsi="Bookman Old Style"/>
              </w:rPr>
              <w:t xml:space="preserve"> </w:t>
            </w:r>
            <w:r w:rsidRPr="001B6039">
              <w:rPr>
                <w:rFonts w:ascii="Bookman Old Style" w:hAnsi="Bookman Old Style"/>
              </w:rPr>
              <w:t>kartograficzne.</w:t>
            </w:r>
          </w:p>
        </w:tc>
      </w:tr>
      <w:tr w:rsidR="004242E7" w:rsidRPr="001B6039" w14:paraId="6B69D036" w14:textId="77777777" w:rsidTr="003531C7">
        <w:tc>
          <w:tcPr>
            <w:tcW w:w="2122" w:type="dxa"/>
            <w:shd w:val="clear" w:color="auto" w:fill="auto"/>
          </w:tcPr>
          <w:p w14:paraId="5BE1333B" w14:textId="77777777" w:rsidR="00734C23" w:rsidRPr="001B6039" w:rsidRDefault="00734C23" w:rsidP="001B6039">
            <w:pPr>
              <w:spacing w:line="360" w:lineRule="auto"/>
              <w:jc w:val="both"/>
              <w:rPr>
                <w:rFonts w:ascii="Bookman Old Style" w:hAnsi="Bookman Old Style"/>
              </w:rPr>
            </w:pPr>
            <w:proofErr w:type="spellStart"/>
            <w:r w:rsidRPr="001B6039">
              <w:rPr>
                <w:rFonts w:ascii="Bookman Old Style" w:hAnsi="Bookman Old Style"/>
              </w:rPr>
              <w:t>BDPZGiK</w:t>
            </w:r>
            <w:proofErr w:type="spellEnd"/>
          </w:p>
        </w:tc>
        <w:tc>
          <w:tcPr>
            <w:tcW w:w="283" w:type="dxa"/>
            <w:shd w:val="clear" w:color="auto" w:fill="auto"/>
          </w:tcPr>
          <w:p w14:paraId="69773EDD"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1EB39BB9" w14:textId="5B86A922" w:rsidR="00734C23" w:rsidRPr="001B6039" w:rsidRDefault="00734C23" w:rsidP="001B6039">
            <w:pPr>
              <w:spacing w:line="360" w:lineRule="auto"/>
              <w:jc w:val="both"/>
              <w:rPr>
                <w:rFonts w:ascii="Bookman Old Style" w:hAnsi="Bookman Old Style"/>
              </w:rPr>
            </w:pPr>
            <w:r w:rsidRPr="001B6039">
              <w:rPr>
                <w:rFonts w:ascii="Bookman Old Style" w:hAnsi="Bookman Old Style"/>
              </w:rPr>
              <w:t xml:space="preserve">Baza danych </w:t>
            </w:r>
            <w:r w:rsidR="00A751BF" w:rsidRPr="001B6039">
              <w:rPr>
                <w:rFonts w:ascii="Bookman Old Style" w:hAnsi="Bookman Old Style"/>
              </w:rPr>
              <w:t>Państwowego Zasobu Geodezyjnego i Kartograficznego, baza danych Oracle systemu EWID 2007</w:t>
            </w:r>
            <w:r w:rsidRPr="001B6039">
              <w:rPr>
                <w:rFonts w:ascii="Bookman Old Style" w:hAnsi="Bookman Old Style"/>
              </w:rPr>
              <w:t>; służąc</w:t>
            </w:r>
            <w:r w:rsidR="00A751BF" w:rsidRPr="001B6039">
              <w:rPr>
                <w:rFonts w:ascii="Bookman Old Style" w:hAnsi="Bookman Old Style"/>
              </w:rPr>
              <w:t>a</w:t>
            </w:r>
            <w:r w:rsidRPr="001B6039">
              <w:rPr>
                <w:rFonts w:ascii="Bookman Old Style" w:hAnsi="Bookman Old Style"/>
              </w:rPr>
              <w:t xml:space="preserve"> do przechowywania danych i</w:t>
            </w:r>
            <w:r w:rsidR="006A4711" w:rsidRPr="001B6039">
              <w:rPr>
                <w:rFonts w:ascii="Bookman Old Style" w:hAnsi="Bookman Old Style"/>
              </w:rPr>
              <w:t> </w:t>
            </w:r>
            <w:r w:rsidRPr="001B6039">
              <w:rPr>
                <w:rFonts w:ascii="Bookman Old Style" w:hAnsi="Bookman Old Style"/>
              </w:rPr>
              <w:t xml:space="preserve">dokumentów </w:t>
            </w:r>
            <w:proofErr w:type="spellStart"/>
            <w:r w:rsidRPr="001B6039">
              <w:rPr>
                <w:rFonts w:ascii="Bookman Old Style" w:hAnsi="Bookman Old Style"/>
              </w:rPr>
              <w:t>PZGiK</w:t>
            </w:r>
            <w:proofErr w:type="spellEnd"/>
            <w:r w:rsidRPr="001B6039">
              <w:rPr>
                <w:rFonts w:ascii="Bookman Old Style" w:hAnsi="Bookman Old Style"/>
              </w:rPr>
              <w:t xml:space="preserve">, tworzące uporządkowany, </w:t>
            </w:r>
            <w:proofErr w:type="spellStart"/>
            <w:r w:rsidRPr="001B6039">
              <w:rPr>
                <w:rFonts w:ascii="Bookman Old Style" w:hAnsi="Bookman Old Style"/>
              </w:rPr>
              <w:t>interopera</w:t>
            </w:r>
            <w:r w:rsidRPr="001B6039">
              <w:rPr>
                <w:rFonts w:ascii="Bookman Old Style" w:hAnsi="Bookman Old Style"/>
              </w:rPr>
              <w:softHyphen/>
              <w:t>cyjny</w:t>
            </w:r>
            <w:proofErr w:type="spellEnd"/>
            <w:r w:rsidRPr="001B6039">
              <w:rPr>
                <w:rFonts w:ascii="Bookman Old Style" w:hAnsi="Bookman Old Style"/>
              </w:rPr>
              <w:t xml:space="preserve"> i</w:t>
            </w:r>
            <w:r w:rsidR="000E6BB6" w:rsidRPr="001B6039">
              <w:rPr>
                <w:rFonts w:ascii="Bookman Old Style" w:hAnsi="Bookman Old Style"/>
              </w:rPr>
              <w:t xml:space="preserve"> </w:t>
            </w:r>
            <w:r w:rsidRPr="001B6039">
              <w:rPr>
                <w:rFonts w:ascii="Bookman Old Style" w:hAnsi="Bookman Old Style"/>
              </w:rPr>
              <w:t xml:space="preserve">całościowy układ zbiorów danych: </w:t>
            </w:r>
            <w:proofErr w:type="spellStart"/>
            <w:r w:rsidRPr="001B6039">
              <w:rPr>
                <w:rFonts w:ascii="Bookman Old Style" w:hAnsi="Bookman Old Style"/>
              </w:rPr>
              <w:t>EGiB</w:t>
            </w:r>
            <w:proofErr w:type="spellEnd"/>
            <w:r w:rsidRPr="001B6039">
              <w:rPr>
                <w:rFonts w:ascii="Bookman Old Style" w:hAnsi="Bookman Old Style"/>
              </w:rPr>
              <w:t xml:space="preserve">, BDOT500, GESUT, </w:t>
            </w:r>
            <w:proofErr w:type="spellStart"/>
            <w:r w:rsidRPr="001B6039">
              <w:rPr>
                <w:rFonts w:ascii="Bookman Old Style" w:hAnsi="Bookman Old Style"/>
              </w:rPr>
              <w:t>EMUiA</w:t>
            </w:r>
            <w:proofErr w:type="spellEnd"/>
            <w:r w:rsidRPr="001B6039">
              <w:rPr>
                <w:rFonts w:ascii="Bookman Old Style" w:hAnsi="Bookman Old Style"/>
              </w:rPr>
              <w:t xml:space="preserve">, BDSOG, PRG, PRNG, PRPOG oraz innych zbiorów danych koniecznych do obsługi klientów ośrodka dokumentacji geodezyjnej </w:t>
            </w:r>
            <w:r w:rsidR="00B403B2" w:rsidRPr="001B6039">
              <w:rPr>
                <w:rFonts w:ascii="Bookman Old Style" w:hAnsi="Bookman Old Style"/>
              </w:rPr>
              <w:br/>
            </w:r>
            <w:r w:rsidRPr="001B6039">
              <w:rPr>
                <w:rFonts w:ascii="Bookman Old Style" w:hAnsi="Bookman Old Style"/>
              </w:rPr>
              <w:t>i</w:t>
            </w:r>
            <w:r w:rsidR="00D11EAC" w:rsidRPr="001B6039">
              <w:rPr>
                <w:rFonts w:ascii="Bookman Old Style" w:hAnsi="Bookman Old Style"/>
              </w:rPr>
              <w:t xml:space="preserve"> </w:t>
            </w:r>
            <w:r w:rsidRPr="001B6039">
              <w:rPr>
                <w:rFonts w:ascii="Bookman Old Style" w:hAnsi="Bookman Old Style"/>
              </w:rPr>
              <w:t>kartograficznej.</w:t>
            </w:r>
          </w:p>
        </w:tc>
      </w:tr>
      <w:tr w:rsidR="0046053D" w:rsidRPr="001B6039" w14:paraId="054A2A8B" w14:textId="77777777" w:rsidTr="003531C7">
        <w:tc>
          <w:tcPr>
            <w:tcW w:w="2122" w:type="dxa"/>
            <w:shd w:val="clear" w:color="auto" w:fill="auto"/>
          </w:tcPr>
          <w:p w14:paraId="08D316FC" w14:textId="1C15F8D4" w:rsidR="0046053D" w:rsidRPr="001B6039" w:rsidRDefault="0046053D" w:rsidP="001B6039">
            <w:pPr>
              <w:spacing w:line="360" w:lineRule="auto"/>
              <w:jc w:val="both"/>
              <w:rPr>
                <w:rFonts w:ascii="Bookman Old Style" w:hAnsi="Bookman Old Style"/>
              </w:rPr>
            </w:pPr>
            <w:r w:rsidRPr="001B6039">
              <w:rPr>
                <w:rFonts w:ascii="Bookman Old Style" w:hAnsi="Bookman Old Style"/>
              </w:rPr>
              <w:t>Dostosowanie danych</w:t>
            </w:r>
          </w:p>
        </w:tc>
        <w:tc>
          <w:tcPr>
            <w:tcW w:w="283" w:type="dxa"/>
            <w:shd w:val="clear" w:color="auto" w:fill="auto"/>
          </w:tcPr>
          <w:p w14:paraId="252577CC" w14:textId="158F18B0" w:rsidR="0046053D" w:rsidRPr="001B6039" w:rsidRDefault="0046053D"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29719411" w14:textId="42E0AB70" w:rsidR="0046053D" w:rsidRPr="001B6039" w:rsidRDefault="0046053D" w:rsidP="001B6039">
            <w:pPr>
              <w:spacing w:line="360" w:lineRule="auto"/>
              <w:jc w:val="both"/>
              <w:rPr>
                <w:rFonts w:ascii="Bookman Old Style" w:hAnsi="Bookman Old Style"/>
              </w:rPr>
            </w:pPr>
            <w:r w:rsidRPr="001B6039">
              <w:rPr>
                <w:rFonts w:ascii="Bookman Old Style" w:hAnsi="Bookman Old Style"/>
              </w:rPr>
              <w:t>Działanie polegające na przekształceniu obiektów niepoprawnych do stanu poprawnego. Przez obiekty niepoprawne rozumie się także obiekty funkcjonujące w schemacie aplikacyjnym K1/G7 lub bez schematu.</w:t>
            </w:r>
          </w:p>
        </w:tc>
      </w:tr>
      <w:tr w:rsidR="004242E7" w:rsidRPr="001B6039" w14:paraId="3976BA4B" w14:textId="77777777" w:rsidTr="003531C7">
        <w:tc>
          <w:tcPr>
            <w:tcW w:w="2122" w:type="dxa"/>
            <w:shd w:val="clear" w:color="auto" w:fill="auto"/>
          </w:tcPr>
          <w:p w14:paraId="7178D674"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DR</w:t>
            </w:r>
          </w:p>
        </w:tc>
        <w:tc>
          <w:tcPr>
            <w:tcW w:w="283" w:type="dxa"/>
            <w:shd w:val="clear" w:color="auto" w:fill="auto"/>
          </w:tcPr>
          <w:p w14:paraId="43C81687"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6E151294"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Dziennik robót, przy czym należy przez to rozumieć każdą jego formę, w tym formę elektroniczną to jest EDR.</w:t>
            </w:r>
          </w:p>
        </w:tc>
      </w:tr>
      <w:tr w:rsidR="004242E7" w:rsidRPr="001B6039" w14:paraId="5D57FD02" w14:textId="77777777" w:rsidTr="003531C7">
        <w:tc>
          <w:tcPr>
            <w:tcW w:w="2122" w:type="dxa"/>
            <w:shd w:val="clear" w:color="auto" w:fill="auto"/>
          </w:tcPr>
          <w:p w14:paraId="1AD592E9"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EDR</w:t>
            </w:r>
          </w:p>
        </w:tc>
        <w:tc>
          <w:tcPr>
            <w:tcW w:w="283" w:type="dxa"/>
            <w:shd w:val="clear" w:color="auto" w:fill="auto"/>
          </w:tcPr>
          <w:p w14:paraId="0E71A8F3"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396B1D83"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Elektroniczny Dziennik Robót.</w:t>
            </w:r>
          </w:p>
        </w:tc>
      </w:tr>
      <w:tr w:rsidR="00CD152B" w:rsidRPr="001B6039" w14:paraId="35A7B325" w14:textId="77777777" w:rsidTr="003531C7">
        <w:tc>
          <w:tcPr>
            <w:tcW w:w="2122" w:type="dxa"/>
            <w:shd w:val="clear" w:color="auto" w:fill="auto"/>
          </w:tcPr>
          <w:p w14:paraId="2CCCE8BA" w14:textId="7017D1EC" w:rsidR="00CD152B" w:rsidRPr="001B6039" w:rsidRDefault="00CD152B" w:rsidP="001B6039">
            <w:pPr>
              <w:spacing w:line="360" w:lineRule="auto"/>
              <w:jc w:val="both"/>
              <w:rPr>
                <w:rFonts w:ascii="Bookman Old Style" w:hAnsi="Bookman Old Style"/>
              </w:rPr>
            </w:pPr>
            <w:r w:rsidRPr="001B6039">
              <w:rPr>
                <w:rFonts w:ascii="Bookman Old Style" w:hAnsi="Bookman Old Style"/>
              </w:rPr>
              <w:t xml:space="preserve">Elementy </w:t>
            </w:r>
            <w:r w:rsidR="0093122F" w:rsidRPr="001B6039">
              <w:rPr>
                <w:rFonts w:ascii="Bookman Old Style" w:hAnsi="Bookman Old Style"/>
              </w:rPr>
              <w:t>stowarzy</w:t>
            </w:r>
            <w:r w:rsidRPr="001B6039">
              <w:rPr>
                <w:rFonts w:ascii="Bookman Old Style" w:hAnsi="Bookman Old Style"/>
              </w:rPr>
              <w:t>szone budynku</w:t>
            </w:r>
          </w:p>
        </w:tc>
        <w:tc>
          <w:tcPr>
            <w:tcW w:w="283" w:type="dxa"/>
            <w:shd w:val="clear" w:color="auto" w:fill="auto"/>
          </w:tcPr>
          <w:p w14:paraId="4C08FEC9" w14:textId="67826709" w:rsidR="00CD152B" w:rsidRPr="001B6039" w:rsidRDefault="00CD152B"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10234F59" w14:textId="10B7BE1B" w:rsidR="00CD152B" w:rsidRPr="001B6039" w:rsidRDefault="00CD152B" w:rsidP="001B6039">
            <w:pPr>
              <w:spacing w:line="360" w:lineRule="auto"/>
              <w:jc w:val="both"/>
              <w:rPr>
                <w:rFonts w:ascii="Bookman Old Style" w:hAnsi="Bookman Old Style"/>
              </w:rPr>
            </w:pPr>
            <w:r w:rsidRPr="001B6039">
              <w:rPr>
                <w:rFonts w:ascii="Bookman Old Style" w:hAnsi="Bookman Old Style"/>
              </w:rPr>
              <w:t xml:space="preserve">Elementy mapy stanowiące znaczeniowo zbiór danych </w:t>
            </w:r>
            <w:proofErr w:type="spellStart"/>
            <w:r w:rsidRPr="001B6039">
              <w:rPr>
                <w:rFonts w:ascii="Bookman Old Style" w:hAnsi="Bookman Old Style"/>
              </w:rPr>
              <w:t>EGiB</w:t>
            </w:r>
            <w:proofErr w:type="spellEnd"/>
            <w:r w:rsidRPr="001B6039">
              <w:rPr>
                <w:rFonts w:ascii="Bookman Old Style" w:hAnsi="Bookman Old Style"/>
              </w:rPr>
              <w:t>, powiązane z budynkiem ewidencyjnym, nie związane z konstrukcją budynku, takie jak: schody, tarasy, rampy itd.</w:t>
            </w:r>
          </w:p>
        </w:tc>
      </w:tr>
      <w:tr w:rsidR="004242E7" w:rsidRPr="001B6039" w14:paraId="4384E4F9" w14:textId="77777777" w:rsidTr="003531C7">
        <w:tc>
          <w:tcPr>
            <w:tcW w:w="2122" w:type="dxa"/>
            <w:shd w:val="clear" w:color="auto" w:fill="auto"/>
          </w:tcPr>
          <w:p w14:paraId="13922E70"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 xml:space="preserve">GESUT </w:t>
            </w:r>
          </w:p>
        </w:tc>
        <w:tc>
          <w:tcPr>
            <w:tcW w:w="283" w:type="dxa"/>
            <w:shd w:val="clear" w:color="auto" w:fill="auto"/>
          </w:tcPr>
          <w:p w14:paraId="6A0C4A10"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74823DAC" w14:textId="4C75A4B9" w:rsidR="00734C23" w:rsidRPr="001B6039" w:rsidRDefault="00734C23" w:rsidP="001B6039">
            <w:pPr>
              <w:spacing w:line="360" w:lineRule="auto"/>
              <w:jc w:val="both"/>
              <w:rPr>
                <w:rFonts w:ascii="Bookman Old Style" w:hAnsi="Bookman Old Style"/>
              </w:rPr>
            </w:pPr>
            <w:r w:rsidRPr="001B6039">
              <w:rPr>
                <w:rFonts w:ascii="Bookman Old Style" w:hAnsi="Bookman Old Style"/>
              </w:rPr>
              <w:t>Zbiór danych bazy danych geodezyjnej ewidencji sieci uzbrojenia terenu, o</w:t>
            </w:r>
            <w:r w:rsidR="006A4711" w:rsidRPr="001B6039">
              <w:rPr>
                <w:rFonts w:ascii="Bookman Old Style" w:hAnsi="Bookman Old Style"/>
              </w:rPr>
              <w:t> </w:t>
            </w:r>
            <w:r w:rsidRPr="001B6039">
              <w:rPr>
                <w:rFonts w:ascii="Bookman Old Style" w:hAnsi="Bookman Old Style"/>
              </w:rPr>
              <w:t>której mowa w art. 4 ust. 1a pkt 3 Ustawy z dnia 17 maja 1989</w:t>
            </w:r>
            <w:r w:rsidR="000E6BB6" w:rsidRPr="001B6039">
              <w:rPr>
                <w:rFonts w:ascii="Bookman Old Style" w:hAnsi="Bookman Old Style"/>
              </w:rPr>
              <w:t xml:space="preserve"> </w:t>
            </w:r>
            <w:r w:rsidRPr="001B6039">
              <w:rPr>
                <w:rFonts w:ascii="Bookman Old Style" w:hAnsi="Bookman Old Style"/>
              </w:rPr>
              <w:t>r. Prawo geodezyjne i kartograficzne.</w:t>
            </w:r>
          </w:p>
        </w:tc>
      </w:tr>
      <w:tr w:rsidR="00D4709C" w:rsidRPr="001B6039" w14:paraId="7A1BD443" w14:textId="77777777" w:rsidTr="003531C7">
        <w:tc>
          <w:tcPr>
            <w:tcW w:w="2122" w:type="dxa"/>
            <w:shd w:val="clear" w:color="auto" w:fill="auto"/>
          </w:tcPr>
          <w:p w14:paraId="0502D4C0" w14:textId="3B0CCF56" w:rsidR="00D4709C" w:rsidRPr="001B6039" w:rsidRDefault="00D4709C" w:rsidP="001B6039">
            <w:pPr>
              <w:spacing w:line="360" w:lineRule="auto"/>
              <w:jc w:val="both"/>
              <w:rPr>
                <w:rFonts w:ascii="Bookman Old Style" w:hAnsi="Bookman Old Style"/>
              </w:rPr>
            </w:pPr>
            <w:r w:rsidRPr="001B6039">
              <w:rPr>
                <w:rFonts w:ascii="Bookman Old Style" w:hAnsi="Bookman Old Style"/>
              </w:rPr>
              <w:t>Konwersja danych</w:t>
            </w:r>
          </w:p>
        </w:tc>
        <w:tc>
          <w:tcPr>
            <w:tcW w:w="283" w:type="dxa"/>
            <w:shd w:val="clear" w:color="auto" w:fill="auto"/>
          </w:tcPr>
          <w:p w14:paraId="58A88E75" w14:textId="757AFC24" w:rsidR="00D4709C" w:rsidRPr="001B6039" w:rsidRDefault="00D4709C"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556E0DFF" w14:textId="35A35F00" w:rsidR="00D4709C" w:rsidRPr="001B6039" w:rsidRDefault="00D4709C" w:rsidP="001B6039">
            <w:pPr>
              <w:spacing w:line="360" w:lineRule="auto"/>
              <w:jc w:val="both"/>
              <w:rPr>
                <w:rFonts w:ascii="Bookman Old Style" w:hAnsi="Bookman Old Style"/>
              </w:rPr>
            </w:pPr>
            <w:r w:rsidRPr="001B6039">
              <w:rPr>
                <w:rFonts w:ascii="Bookman Old Style" w:hAnsi="Bookman Old Style"/>
              </w:rPr>
              <w:t>Działania polegające na przekształcaniu poprawnych obiektów z jednego schematu aplikacyjnego (modelu pojęciowego) do innego schematu.</w:t>
            </w:r>
          </w:p>
        </w:tc>
      </w:tr>
      <w:tr w:rsidR="006E5696" w:rsidRPr="001B6039" w14:paraId="46D1E101" w14:textId="77777777" w:rsidTr="003531C7">
        <w:tc>
          <w:tcPr>
            <w:tcW w:w="2122" w:type="dxa"/>
            <w:shd w:val="clear" w:color="auto" w:fill="auto"/>
          </w:tcPr>
          <w:p w14:paraId="34BF4D63" w14:textId="0060D2F2" w:rsidR="006E5696" w:rsidRPr="001B6039" w:rsidRDefault="006E5696" w:rsidP="001B6039">
            <w:pPr>
              <w:spacing w:line="360" w:lineRule="auto"/>
              <w:jc w:val="both"/>
              <w:rPr>
                <w:rFonts w:ascii="Bookman Old Style" w:hAnsi="Bookman Old Style"/>
              </w:rPr>
            </w:pPr>
            <w:r w:rsidRPr="001B6039">
              <w:rPr>
                <w:rFonts w:ascii="Bookman Old Style" w:hAnsi="Bookman Old Style"/>
              </w:rPr>
              <w:t>Operacje hurtowe</w:t>
            </w:r>
          </w:p>
        </w:tc>
        <w:tc>
          <w:tcPr>
            <w:tcW w:w="283" w:type="dxa"/>
            <w:shd w:val="clear" w:color="auto" w:fill="auto"/>
          </w:tcPr>
          <w:p w14:paraId="2A08A1B0" w14:textId="1D893089" w:rsidR="006E5696" w:rsidRPr="001B6039" w:rsidRDefault="006E5696"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282FA4CC" w14:textId="67E68E1A" w:rsidR="006E5696" w:rsidRPr="001B6039" w:rsidRDefault="006E5696" w:rsidP="001B6039">
            <w:pPr>
              <w:spacing w:line="360" w:lineRule="auto"/>
              <w:jc w:val="both"/>
              <w:rPr>
                <w:rFonts w:ascii="Bookman Old Style" w:hAnsi="Bookman Old Style"/>
              </w:rPr>
            </w:pPr>
            <w:r w:rsidRPr="001B6039">
              <w:rPr>
                <w:rFonts w:ascii="Bookman Old Style" w:hAnsi="Bookman Old Style"/>
              </w:rPr>
              <w:t xml:space="preserve">Inaczej operacje o charakterze hurtowym lub automatycznym. Operacje modyfikujące obiekty lub ich atrybuty, które można </w:t>
            </w:r>
            <w:r w:rsidRPr="001B6039">
              <w:rPr>
                <w:rFonts w:ascii="Bookman Old Style" w:hAnsi="Bookman Old Style"/>
              </w:rPr>
              <w:lastRenderedPageBreak/>
              <w:t>wykonać jednocześnie dla dwóch lub więcej obiektów, wykorzystując do tego skrypt, regułę lub zasadę nie wymagającą żadnej operacji manualnej względem każdego obiektu. Do operacji hurtowych należą m.in. nadawanie wartości atrybutów obiektów wynikających wprost z innych wartości lub obiektów powiązanych do obiektów modyfikowanych w relacji 1 do 1, nadawanie warstw obiektów w PMD nowym na podstawie Tablic konwersji, w przypadku kiedy występuje jednoznaczne przypisanie obiektu z PMD starego do obiektu z PMD nowego lub kiedy wynika to z ustalonych Tablic konwersji, przenoszenie wartości atrybutów obiektu z PMD starego do obiektu z PMD nowego, kiedy te obiekty jak i ich atrybuty zgodnie z Tablicami konwersji pozostają w relacji 1 do 1, przenoszenie obiektów do archiwum, kiedy możliwe jest jednoznaczne określenie zbioru obiektów. Do operacji hurtowych nie wlicza się operacji, do których można zastosować algorytmy uczące się (np. sieci neuronowe).</w:t>
            </w:r>
          </w:p>
        </w:tc>
      </w:tr>
      <w:tr w:rsidR="006E5696" w:rsidRPr="001B6039" w14:paraId="435F0FF9" w14:textId="77777777" w:rsidTr="003531C7">
        <w:tc>
          <w:tcPr>
            <w:tcW w:w="2122" w:type="dxa"/>
            <w:shd w:val="clear" w:color="auto" w:fill="auto"/>
          </w:tcPr>
          <w:p w14:paraId="7E2595B0" w14:textId="2D98B561" w:rsidR="006E5696" w:rsidRPr="001B6039" w:rsidRDefault="006E5696" w:rsidP="001B6039">
            <w:pPr>
              <w:spacing w:line="360" w:lineRule="auto"/>
              <w:jc w:val="both"/>
              <w:rPr>
                <w:rFonts w:ascii="Bookman Old Style" w:hAnsi="Bookman Old Style"/>
              </w:rPr>
            </w:pPr>
            <w:r w:rsidRPr="001B6039">
              <w:rPr>
                <w:rFonts w:ascii="Bookman Old Style" w:hAnsi="Bookman Old Style"/>
              </w:rPr>
              <w:lastRenderedPageBreak/>
              <w:t>Operacje manualne</w:t>
            </w:r>
          </w:p>
        </w:tc>
        <w:tc>
          <w:tcPr>
            <w:tcW w:w="283" w:type="dxa"/>
            <w:shd w:val="clear" w:color="auto" w:fill="auto"/>
          </w:tcPr>
          <w:p w14:paraId="02EC6C9D" w14:textId="56730C19" w:rsidR="006E5696" w:rsidRPr="001B6039" w:rsidRDefault="006E5696"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430F7743" w14:textId="49E58868" w:rsidR="006E5696" w:rsidRPr="001B6039" w:rsidRDefault="006E5696" w:rsidP="001B6039">
            <w:pPr>
              <w:spacing w:line="360" w:lineRule="auto"/>
              <w:jc w:val="both"/>
              <w:rPr>
                <w:rFonts w:ascii="Bookman Old Style" w:hAnsi="Bookman Old Style"/>
              </w:rPr>
            </w:pPr>
            <w:r w:rsidRPr="001B6039">
              <w:rPr>
                <w:rFonts w:ascii="Bookman Old Style" w:hAnsi="Bookman Old Style"/>
              </w:rPr>
              <w:t>Inaczej operacje o charakterze manualnym</w:t>
            </w:r>
            <w:r w:rsidR="00B9429E" w:rsidRPr="001B6039">
              <w:rPr>
                <w:rFonts w:ascii="Bookman Old Style" w:hAnsi="Bookman Old Style"/>
              </w:rPr>
              <w:t xml:space="preserve"> lub ręcznym</w:t>
            </w:r>
            <w:r w:rsidRPr="001B6039">
              <w:rPr>
                <w:rFonts w:ascii="Bookman Old Style" w:hAnsi="Bookman Old Style"/>
              </w:rPr>
              <w:t>. Operacje modyfikujące obiekty lub ich atrybuty, które ze względów technologicznych lub ze względu na poziom skomplikowania operator musi wykonać odrębnie względem każdego obiektu, np. za pomocą interfejsu graficznego mapy albo formatek do uzupełniania atrybutów. Do operacji manualnych należą m.in. zamykanie niezamkniętych obszarów, wprowadzanie wartości atrybutów z innych źródeł danych, poprawa topologii obiektów niepoprawnych</w:t>
            </w:r>
            <w:r w:rsidR="00B9429E" w:rsidRPr="001B6039">
              <w:rPr>
                <w:rFonts w:ascii="Bookman Old Style" w:hAnsi="Bookman Old Style"/>
              </w:rPr>
              <w:t>, zmiana typu graficznego obiektu z „jeża” na „obszar”</w:t>
            </w:r>
            <w:r w:rsidRPr="001B6039">
              <w:rPr>
                <w:rFonts w:ascii="Bookman Old Style" w:hAnsi="Bookman Old Style"/>
              </w:rPr>
              <w:t>.</w:t>
            </w:r>
          </w:p>
        </w:tc>
      </w:tr>
      <w:tr w:rsidR="004242E7" w:rsidRPr="001B6039" w14:paraId="1AB12B20" w14:textId="77777777" w:rsidTr="003531C7">
        <w:tc>
          <w:tcPr>
            <w:tcW w:w="2122" w:type="dxa"/>
            <w:shd w:val="clear" w:color="auto" w:fill="auto"/>
          </w:tcPr>
          <w:p w14:paraId="25FC933F" w14:textId="21382BC0" w:rsidR="00562D79" w:rsidRPr="001B6039" w:rsidRDefault="00562D79" w:rsidP="001B6039">
            <w:pPr>
              <w:spacing w:line="360" w:lineRule="auto"/>
              <w:jc w:val="both"/>
              <w:rPr>
                <w:rFonts w:ascii="Bookman Old Style" w:hAnsi="Bookman Old Style"/>
              </w:rPr>
            </w:pPr>
            <w:r w:rsidRPr="001B6039">
              <w:rPr>
                <w:rFonts w:ascii="Bookman Old Style" w:hAnsi="Bookman Old Style"/>
              </w:rPr>
              <w:t>PMD aktualny</w:t>
            </w:r>
          </w:p>
        </w:tc>
        <w:tc>
          <w:tcPr>
            <w:tcW w:w="283" w:type="dxa"/>
            <w:shd w:val="clear" w:color="auto" w:fill="auto"/>
          </w:tcPr>
          <w:p w14:paraId="65A9A330" w14:textId="02F31BD4" w:rsidR="00562D79" w:rsidRPr="001B6039" w:rsidRDefault="00562D79"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37E65755" w14:textId="1AA779C6" w:rsidR="00562D79" w:rsidRPr="001B6039" w:rsidRDefault="00562D79" w:rsidP="001B6039">
            <w:pPr>
              <w:spacing w:line="360" w:lineRule="auto"/>
              <w:jc w:val="both"/>
              <w:rPr>
                <w:rFonts w:ascii="Bookman Old Style" w:hAnsi="Bookman Old Style"/>
              </w:rPr>
            </w:pPr>
            <w:r w:rsidRPr="001B6039">
              <w:rPr>
                <w:rFonts w:ascii="Bookman Old Style" w:hAnsi="Bookman Old Style"/>
              </w:rPr>
              <w:t>Inaczej PMD 2021, pojęciowy model danych BDOT500 i GESUT funkcjonujący na podstawie stosownych rozporządzeń opublikowanych w roku 2021, zgodny ze schematami aplikacyjnymi XSD opublikowanymi na Portalu Interoperacyjności.</w:t>
            </w:r>
          </w:p>
        </w:tc>
      </w:tr>
      <w:tr w:rsidR="004242E7" w:rsidRPr="001B6039" w14:paraId="4A353D20" w14:textId="77777777" w:rsidTr="003531C7">
        <w:tc>
          <w:tcPr>
            <w:tcW w:w="2122" w:type="dxa"/>
            <w:shd w:val="clear" w:color="auto" w:fill="auto"/>
          </w:tcPr>
          <w:p w14:paraId="37D16A42" w14:textId="6B2D030B" w:rsidR="00562D79" w:rsidRPr="001B6039" w:rsidRDefault="00562D79" w:rsidP="001B6039">
            <w:pPr>
              <w:spacing w:line="360" w:lineRule="auto"/>
              <w:jc w:val="both"/>
              <w:rPr>
                <w:rFonts w:ascii="Bookman Old Style" w:hAnsi="Bookman Old Style"/>
              </w:rPr>
            </w:pPr>
            <w:r w:rsidRPr="001B6039">
              <w:rPr>
                <w:rFonts w:ascii="Bookman Old Style" w:hAnsi="Bookman Old Style"/>
              </w:rPr>
              <w:t>PMD stary</w:t>
            </w:r>
          </w:p>
        </w:tc>
        <w:tc>
          <w:tcPr>
            <w:tcW w:w="283" w:type="dxa"/>
            <w:shd w:val="clear" w:color="auto" w:fill="auto"/>
          </w:tcPr>
          <w:p w14:paraId="77E63CF7" w14:textId="38DAA021" w:rsidR="00562D79" w:rsidRPr="001B6039" w:rsidRDefault="00562D79"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56BDCB83" w14:textId="0615BE57" w:rsidR="00562D79" w:rsidRPr="001B6039" w:rsidRDefault="00562D79" w:rsidP="001B6039">
            <w:pPr>
              <w:spacing w:line="360" w:lineRule="auto"/>
              <w:jc w:val="both"/>
              <w:rPr>
                <w:rFonts w:ascii="Bookman Old Style" w:hAnsi="Bookman Old Style"/>
              </w:rPr>
            </w:pPr>
            <w:r w:rsidRPr="001B6039">
              <w:rPr>
                <w:rFonts w:ascii="Bookman Old Style" w:hAnsi="Bookman Old Style"/>
              </w:rPr>
              <w:t>Inaczej PMD 2015, pojęciowy model danych BDOT500 i GESUT funkcjonujący na podstawie stosownych rozporządzeń opublikowanych w roku 2015</w:t>
            </w:r>
            <w:r w:rsidR="00816A54" w:rsidRPr="001B6039">
              <w:rPr>
                <w:rFonts w:ascii="Bookman Old Style" w:hAnsi="Bookman Old Style"/>
              </w:rPr>
              <w:t xml:space="preserve"> i 2013</w:t>
            </w:r>
            <w:r w:rsidRPr="001B6039">
              <w:rPr>
                <w:rFonts w:ascii="Bookman Old Style" w:hAnsi="Bookman Old Style"/>
              </w:rPr>
              <w:t>.</w:t>
            </w:r>
          </w:p>
        </w:tc>
      </w:tr>
      <w:tr w:rsidR="004242E7" w:rsidRPr="001B6039" w14:paraId="799DA837" w14:textId="77777777" w:rsidTr="003531C7">
        <w:tc>
          <w:tcPr>
            <w:tcW w:w="2122" w:type="dxa"/>
            <w:shd w:val="clear" w:color="auto" w:fill="auto"/>
          </w:tcPr>
          <w:p w14:paraId="20B2E6DE" w14:textId="77777777" w:rsidR="00734C23" w:rsidRPr="001B6039" w:rsidRDefault="00734C23" w:rsidP="001B6039">
            <w:pPr>
              <w:spacing w:line="360" w:lineRule="auto"/>
              <w:jc w:val="both"/>
              <w:rPr>
                <w:rFonts w:ascii="Bookman Old Style" w:hAnsi="Bookman Old Style"/>
              </w:rPr>
            </w:pPr>
            <w:proofErr w:type="spellStart"/>
            <w:r w:rsidRPr="001B6039">
              <w:rPr>
                <w:rFonts w:ascii="Bookman Old Style" w:hAnsi="Bookman Old Style"/>
              </w:rPr>
              <w:t>PZGiK</w:t>
            </w:r>
            <w:proofErr w:type="spellEnd"/>
          </w:p>
        </w:tc>
        <w:tc>
          <w:tcPr>
            <w:tcW w:w="283" w:type="dxa"/>
            <w:shd w:val="clear" w:color="auto" w:fill="auto"/>
          </w:tcPr>
          <w:p w14:paraId="0A4F85FA"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27D38B8F"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Państwowy Zasób Geodezyjny i Kartograficzny.</w:t>
            </w:r>
          </w:p>
        </w:tc>
      </w:tr>
      <w:tr w:rsidR="004242E7" w:rsidRPr="001B6039" w14:paraId="266DC33A" w14:textId="77777777" w:rsidTr="003531C7">
        <w:tc>
          <w:tcPr>
            <w:tcW w:w="2122" w:type="dxa"/>
            <w:shd w:val="clear" w:color="auto" w:fill="auto"/>
          </w:tcPr>
          <w:p w14:paraId="02BFFC5D" w14:textId="763952E7" w:rsidR="00562D79" w:rsidRPr="001B6039" w:rsidRDefault="00562D79" w:rsidP="001B6039">
            <w:pPr>
              <w:spacing w:line="360" w:lineRule="auto"/>
              <w:jc w:val="both"/>
              <w:rPr>
                <w:rFonts w:ascii="Bookman Old Style" w:hAnsi="Bookman Old Style"/>
              </w:rPr>
            </w:pPr>
            <w:r w:rsidRPr="001B6039">
              <w:rPr>
                <w:rFonts w:ascii="Bookman Old Style" w:hAnsi="Bookman Old Style"/>
              </w:rPr>
              <w:t>Raporty końcowe</w:t>
            </w:r>
          </w:p>
        </w:tc>
        <w:tc>
          <w:tcPr>
            <w:tcW w:w="283" w:type="dxa"/>
            <w:shd w:val="clear" w:color="auto" w:fill="auto"/>
          </w:tcPr>
          <w:p w14:paraId="1A414092" w14:textId="102E57F0" w:rsidR="00562D79" w:rsidRPr="001B6039" w:rsidRDefault="00562D79"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5456F124" w14:textId="51D2D749" w:rsidR="00562D79" w:rsidRPr="001B6039" w:rsidRDefault="00562D79" w:rsidP="001B6039">
            <w:pPr>
              <w:spacing w:line="360" w:lineRule="auto"/>
              <w:jc w:val="both"/>
              <w:rPr>
                <w:rFonts w:ascii="Bookman Old Style" w:hAnsi="Bookman Old Style"/>
              </w:rPr>
            </w:pPr>
            <w:r w:rsidRPr="001B6039">
              <w:rPr>
                <w:rFonts w:ascii="Bookman Old Style" w:hAnsi="Bookman Old Style"/>
              </w:rPr>
              <w:t xml:space="preserve">Raporty podsumowujące konwersję wykonaną na </w:t>
            </w:r>
            <w:proofErr w:type="spellStart"/>
            <w:r w:rsidRPr="001B6039">
              <w:rPr>
                <w:rFonts w:ascii="Bookman Old Style" w:hAnsi="Bookman Old Style"/>
              </w:rPr>
              <w:t>BDPZGiK</w:t>
            </w:r>
            <w:proofErr w:type="spellEnd"/>
            <w:r w:rsidRPr="001B6039">
              <w:rPr>
                <w:rFonts w:ascii="Bookman Old Style" w:hAnsi="Bookman Old Style"/>
              </w:rPr>
              <w:t xml:space="preserve"> oraz na Bazie roboczej, zawierające pogrupowane według </w:t>
            </w:r>
            <w:r w:rsidR="00062A4B" w:rsidRPr="001B6039">
              <w:rPr>
                <w:rFonts w:ascii="Bookman Old Style" w:hAnsi="Bookman Old Style"/>
              </w:rPr>
              <w:t>warstw</w:t>
            </w:r>
            <w:r w:rsidRPr="001B6039">
              <w:rPr>
                <w:rFonts w:ascii="Bookman Old Style" w:hAnsi="Bookman Old Style"/>
              </w:rPr>
              <w:t xml:space="preserve">: </w:t>
            </w:r>
            <w:r w:rsidR="00062A4B" w:rsidRPr="001B6039">
              <w:rPr>
                <w:rFonts w:ascii="Bookman Old Style" w:hAnsi="Bookman Old Style"/>
              </w:rPr>
              <w:t xml:space="preserve">liczby obiektów wraz z określeniem jakiej bazy danych oraz jakiego </w:t>
            </w:r>
            <w:r w:rsidR="00062A4B" w:rsidRPr="001B6039">
              <w:rPr>
                <w:rFonts w:ascii="Bookman Old Style" w:hAnsi="Bookman Old Style"/>
              </w:rPr>
              <w:lastRenderedPageBreak/>
              <w:t xml:space="preserve">schematu danych dotyczą, jak również inne zestawienia obrazujące stan po konwersji </w:t>
            </w:r>
            <w:proofErr w:type="spellStart"/>
            <w:r w:rsidR="00062A4B" w:rsidRPr="001B6039">
              <w:rPr>
                <w:rFonts w:ascii="Bookman Old Style" w:hAnsi="Bookman Old Style"/>
              </w:rPr>
              <w:t>BDPZGiK</w:t>
            </w:r>
            <w:proofErr w:type="spellEnd"/>
            <w:r w:rsidR="00062A4B" w:rsidRPr="001B6039">
              <w:rPr>
                <w:rFonts w:ascii="Bookman Old Style" w:hAnsi="Bookman Old Style"/>
              </w:rPr>
              <w:t>.</w:t>
            </w:r>
          </w:p>
        </w:tc>
      </w:tr>
      <w:tr w:rsidR="004242E7" w:rsidRPr="001B6039" w14:paraId="4B947987" w14:textId="77777777" w:rsidTr="003531C7">
        <w:tc>
          <w:tcPr>
            <w:tcW w:w="2122" w:type="dxa"/>
            <w:shd w:val="clear" w:color="auto" w:fill="auto"/>
          </w:tcPr>
          <w:p w14:paraId="2A2D5BE5" w14:textId="2A9ED9B6" w:rsidR="00562D79" w:rsidRPr="001B6039" w:rsidRDefault="00562D79" w:rsidP="001B6039">
            <w:pPr>
              <w:spacing w:line="360" w:lineRule="auto"/>
              <w:jc w:val="both"/>
              <w:rPr>
                <w:rFonts w:ascii="Bookman Old Style" w:hAnsi="Bookman Old Style"/>
              </w:rPr>
            </w:pPr>
            <w:r w:rsidRPr="001B6039">
              <w:rPr>
                <w:rFonts w:ascii="Bookman Old Style" w:hAnsi="Bookman Old Style"/>
              </w:rPr>
              <w:lastRenderedPageBreak/>
              <w:t>Raporty wstępne</w:t>
            </w:r>
          </w:p>
        </w:tc>
        <w:tc>
          <w:tcPr>
            <w:tcW w:w="283" w:type="dxa"/>
            <w:shd w:val="clear" w:color="auto" w:fill="auto"/>
          </w:tcPr>
          <w:p w14:paraId="292B3709" w14:textId="2B12D9AF" w:rsidR="00562D79" w:rsidRPr="001B6039" w:rsidRDefault="00562D79"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79EB1BBF" w14:textId="0B1A75C3" w:rsidR="00562D79" w:rsidRPr="001B6039" w:rsidRDefault="00562D79" w:rsidP="001B6039">
            <w:pPr>
              <w:spacing w:line="360" w:lineRule="auto"/>
              <w:jc w:val="both"/>
              <w:rPr>
                <w:rFonts w:ascii="Bookman Old Style" w:hAnsi="Bookman Old Style"/>
              </w:rPr>
            </w:pPr>
            <w:r w:rsidRPr="001B6039">
              <w:rPr>
                <w:rFonts w:ascii="Bookman Old Style" w:hAnsi="Bookman Old Style"/>
              </w:rPr>
              <w:t xml:space="preserve">Raporty określające </w:t>
            </w:r>
            <w:r w:rsidR="00225332" w:rsidRPr="001B6039">
              <w:rPr>
                <w:rFonts w:ascii="Bookman Old Style" w:hAnsi="Bookman Old Style"/>
              </w:rPr>
              <w:t xml:space="preserve">informacje ilościowe dotyczące pierwotnych danych będących przedmiotem konwersji, w tym w szczególności zawierające pogrupowane wg warstw: liczby obiektów wraz z określeniem jakiej bazy danych oraz jakiego schematu danych dotyczą, jak również inne zestawienia obrazujące stan wyjściowy </w:t>
            </w:r>
            <w:proofErr w:type="spellStart"/>
            <w:r w:rsidR="00225332" w:rsidRPr="001B6039">
              <w:rPr>
                <w:rFonts w:ascii="Bookman Old Style" w:hAnsi="Bookman Old Style"/>
              </w:rPr>
              <w:t>BDPZGiK</w:t>
            </w:r>
            <w:proofErr w:type="spellEnd"/>
            <w:r w:rsidR="00225332" w:rsidRPr="001B6039">
              <w:rPr>
                <w:rFonts w:ascii="Bookman Old Style" w:hAnsi="Bookman Old Style"/>
              </w:rPr>
              <w:t>.</w:t>
            </w:r>
          </w:p>
        </w:tc>
      </w:tr>
      <w:tr w:rsidR="004242E7" w:rsidRPr="001B6039" w14:paraId="3E547C42" w14:textId="77777777" w:rsidTr="003531C7">
        <w:tc>
          <w:tcPr>
            <w:tcW w:w="2122" w:type="dxa"/>
            <w:shd w:val="clear" w:color="auto" w:fill="auto"/>
          </w:tcPr>
          <w:p w14:paraId="5D535497" w14:textId="35EADB3E" w:rsidR="00734C23" w:rsidRPr="001B6039" w:rsidRDefault="00734C23" w:rsidP="001B6039">
            <w:pPr>
              <w:spacing w:line="360" w:lineRule="auto"/>
              <w:jc w:val="both"/>
              <w:rPr>
                <w:rFonts w:ascii="Bookman Old Style" w:hAnsi="Bookman Old Style"/>
              </w:rPr>
            </w:pPr>
            <w:proofErr w:type="spellStart"/>
            <w:r w:rsidRPr="001B6039">
              <w:rPr>
                <w:rFonts w:ascii="Bookman Old Style" w:hAnsi="Bookman Old Style"/>
              </w:rPr>
              <w:t>Rozp</w:t>
            </w:r>
            <w:proofErr w:type="spellEnd"/>
            <w:r w:rsidRPr="001B6039">
              <w:rPr>
                <w:rFonts w:ascii="Bookman Old Style" w:hAnsi="Bookman Old Style"/>
              </w:rPr>
              <w:t xml:space="preserve">. </w:t>
            </w:r>
            <w:r w:rsidR="00CD7C6D" w:rsidRPr="001B6039">
              <w:rPr>
                <w:rFonts w:ascii="Bookman Old Style" w:hAnsi="Bookman Old Style"/>
              </w:rPr>
              <w:t>BDOT500</w:t>
            </w:r>
          </w:p>
        </w:tc>
        <w:tc>
          <w:tcPr>
            <w:tcW w:w="283" w:type="dxa"/>
            <w:shd w:val="clear" w:color="auto" w:fill="auto"/>
          </w:tcPr>
          <w:p w14:paraId="60E101B1"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330ABF2A" w14:textId="4E149515" w:rsidR="00734C23" w:rsidRPr="001B6039" w:rsidRDefault="00CD7C6D" w:rsidP="001B6039">
            <w:pPr>
              <w:spacing w:line="360" w:lineRule="auto"/>
              <w:jc w:val="both"/>
              <w:rPr>
                <w:rFonts w:ascii="Bookman Old Style" w:hAnsi="Bookman Old Style"/>
              </w:rPr>
            </w:pPr>
            <w:r w:rsidRPr="001B6039">
              <w:rPr>
                <w:rFonts w:ascii="Bookman Old Style" w:hAnsi="Bookman Old Style"/>
              </w:rPr>
              <w:t xml:space="preserve">Rozporządzenie Ministra Rozwoju, Pracy i Technologii w sprawie bazy danych obiektów topograficznych oraz mapy zasadniczej z dnia </w:t>
            </w:r>
            <w:r w:rsidR="001D4C55" w:rsidRPr="001B6039">
              <w:rPr>
                <w:rFonts w:ascii="Bookman Old Style" w:hAnsi="Bookman Old Style"/>
              </w:rPr>
              <w:t xml:space="preserve">23 </w:t>
            </w:r>
            <w:r w:rsidRPr="001B6039">
              <w:rPr>
                <w:rFonts w:ascii="Bookman Old Style" w:hAnsi="Bookman Old Style"/>
              </w:rPr>
              <w:t>lipca 2021 r.</w:t>
            </w:r>
          </w:p>
        </w:tc>
      </w:tr>
      <w:tr w:rsidR="004242E7" w:rsidRPr="001B6039" w14:paraId="56748DCE" w14:textId="77777777" w:rsidTr="003531C7">
        <w:tc>
          <w:tcPr>
            <w:tcW w:w="2122" w:type="dxa"/>
            <w:shd w:val="clear" w:color="auto" w:fill="auto"/>
          </w:tcPr>
          <w:p w14:paraId="4A2FCD30" w14:textId="2AE2DB05" w:rsidR="00734C23" w:rsidRPr="001B6039" w:rsidRDefault="00CD7C6D" w:rsidP="001B6039">
            <w:pPr>
              <w:spacing w:line="360" w:lineRule="auto"/>
              <w:jc w:val="both"/>
              <w:rPr>
                <w:rFonts w:ascii="Bookman Old Style" w:hAnsi="Bookman Old Style"/>
              </w:rPr>
            </w:pPr>
            <w:proofErr w:type="spellStart"/>
            <w:r w:rsidRPr="001B6039">
              <w:rPr>
                <w:rFonts w:ascii="Bookman Old Style" w:hAnsi="Bookman Old Style"/>
              </w:rPr>
              <w:t>Rozp</w:t>
            </w:r>
            <w:proofErr w:type="spellEnd"/>
            <w:r w:rsidRPr="001B6039">
              <w:rPr>
                <w:rFonts w:ascii="Bookman Old Style" w:hAnsi="Bookman Old Style"/>
              </w:rPr>
              <w:t>. GESUT</w:t>
            </w:r>
          </w:p>
        </w:tc>
        <w:tc>
          <w:tcPr>
            <w:tcW w:w="283" w:type="dxa"/>
            <w:shd w:val="clear" w:color="auto" w:fill="auto"/>
          </w:tcPr>
          <w:p w14:paraId="26DF82C8"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67A8EC0D" w14:textId="1E0D08FE" w:rsidR="00734C23" w:rsidRPr="001B6039" w:rsidRDefault="00CD7C6D" w:rsidP="001B6039">
            <w:pPr>
              <w:spacing w:line="360" w:lineRule="auto"/>
              <w:jc w:val="both"/>
              <w:rPr>
                <w:rFonts w:ascii="Bookman Old Style" w:hAnsi="Bookman Old Style"/>
              </w:rPr>
            </w:pPr>
            <w:r w:rsidRPr="001B6039">
              <w:rPr>
                <w:rFonts w:ascii="Bookman Old Style" w:hAnsi="Bookman Old Style"/>
              </w:rPr>
              <w:t xml:space="preserve">Rozporządzenie Ministra Rozwoju, Pracy i Technologii w sprawie geodezyjnej ewidencji sieci uzbrojenia terenu z dnia </w:t>
            </w:r>
            <w:r w:rsidR="001D4C55" w:rsidRPr="001B6039">
              <w:rPr>
                <w:rFonts w:ascii="Bookman Old Style" w:hAnsi="Bookman Old Style"/>
              </w:rPr>
              <w:t xml:space="preserve">23 </w:t>
            </w:r>
            <w:r w:rsidRPr="001B6039">
              <w:rPr>
                <w:rFonts w:ascii="Bookman Old Style" w:hAnsi="Bookman Old Style"/>
              </w:rPr>
              <w:t>lipca 2021 r.</w:t>
            </w:r>
          </w:p>
        </w:tc>
      </w:tr>
      <w:tr w:rsidR="004242E7" w:rsidRPr="001B6039" w14:paraId="4264A017" w14:textId="77777777" w:rsidTr="003531C7">
        <w:tc>
          <w:tcPr>
            <w:tcW w:w="2122" w:type="dxa"/>
            <w:shd w:val="clear" w:color="auto" w:fill="auto"/>
          </w:tcPr>
          <w:p w14:paraId="507104EE" w14:textId="383F0D6B" w:rsidR="00734C23" w:rsidRPr="001B6039" w:rsidRDefault="00F511D5" w:rsidP="001B6039">
            <w:pPr>
              <w:spacing w:line="360" w:lineRule="auto"/>
              <w:jc w:val="both"/>
              <w:rPr>
                <w:rFonts w:ascii="Bookman Old Style" w:hAnsi="Bookman Old Style"/>
              </w:rPr>
            </w:pPr>
            <w:r w:rsidRPr="001B6039">
              <w:rPr>
                <w:rFonts w:ascii="Bookman Old Style" w:hAnsi="Bookman Old Style"/>
              </w:rPr>
              <w:t>Starosta</w:t>
            </w:r>
          </w:p>
        </w:tc>
        <w:tc>
          <w:tcPr>
            <w:tcW w:w="283" w:type="dxa"/>
            <w:shd w:val="clear" w:color="auto" w:fill="auto"/>
          </w:tcPr>
          <w:p w14:paraId="1AD70A49"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46B2549B" w14:textId="5DF6F990" w:rsidR="00734C23" w:rsidRPr="001B6039" w:rsidRDefault="00F511D5" w:rsidP="001B6039">
            <w:pPr>
              <w:spacing w:line="360" w:lineRule="auto"/>
              <w:jc w:val="both"/>
              <w:rPr>
                <w:rFonts w:ascii="Bookman Old Style" w:hAnsi="Bookman Old Style"/>
              </w:rPr>
            </w:pPr>
            <w:r w:rsidRPr="001B6039">
              <w:rPr>
                <w:rFonts w:ascii="Bookman Old Style" w:hAnsi="Bookman Old Style"/>
              </w:rPr>
              <w:t xml:space="preserve">Starosta powiatu </w:t>
            </w:r>
            <w:r w:rsidR="00F72E0A" w:rsidRPr="001B6039">
              <w:rPr>
                <w:rFonts w:ascii="Bookman Old Style" w:hAnsi="Bookman Old Style"/>
              </w:rPr>
              <w:t>świeckiego</w:t>
            </w:r>
            <w:r w:rsidR="00565ECF" w:rsidRPr="001B6039">
              <w:rPr>
                <w:rFonts w:ascii="Bookman Old Style" w:hAnsi="Bookman Old Style"/>
              </w:rPr>
              <w:t>.</w:t>
            </w:r>
          </w:p>
        </w:tc>
      </w:tr>
      <w:tr w:rsidR="004242E7" w:rsidRPr="001B6039" w14:paraId="3404FCD6" w14:textId="77777777" w:rsidTr="003531C7">
        <w:tc>
          <w:tcPr>
            <w:tcW w:w="2122" w:type="dxa"/>
            <w:shd w:val="clear" w:color="auto" w:fill="auto"/>
          </w:tcPr>
          <w:p w14:paraId="295E6DC5" w14:textId="71C1E82F" w:rsidR="00734C23" w:rsidRPr="001B6039" w:rsidRDefault="00E73047" w:rsidP="001B6039">
            <w:pPr>
              <w:spacing w:line="360" w:lineRule="auto"/>
              <w:jc w:val="both"/>
              <w:rPr>
                <w:rFonts w:ascii="Bookman Old Style" w:hAnsi="Bookman Old Style"/>
              </w:rPr>
            </w:pPr>
            <w:r w:rsidRPr="001B6039">
              <w:rPr>
                <w:rFonts w:ascii="Bookman Old Style" w:hAnsi="Bookman Old Style"/>
              </w:rPr>
              <w:t xml:space="preserve">System </w:t>
            </w:r>
            <w:proofErr w:type="spellStart"/>
            <w:r w:rsidRPr="001B6039">
              <w:rPr>
                <w:rFonts w:ascii="Bookman Old Style" w:hAnsi="Bookman Old Style"/>
              </w:rPr>
              <w:t>PZGiK</w:t>
            </w:r>
            <w:proofErr w:type="spellEnd"/>
          </w:p>
        </w:tc>
        <w:tc>
          <w:tcPr>
            <w:tcW w:w="283" w:type="dxa"/>
            <w:shd w:val="clear" w:color="auto" w:fill="auto"/>
          </w:tcPr>
          <w:p w14:paraId="26A5E91F"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45ED19D6" w14:textId="3EDA57E8" w:rsidR="00734C23" w:rsidRPr="001B6039" w:rsidRDefault="00734C23" w:rsidP="001B6039">
            <w:pPr>
              <w:spacing w:line="360" w:lineRule="auto"/>
              <w:jc w:val="both"/>
              <w:rPr>
                <w:rFonts w:ascii="Bookman Old Style" w:hAnsi="Bookman Old Style"/>
              </w:rPr>
            </w:pPr>
            <w:r w:rsidRPr="001B6039">
              <w:rPr>
                <w:rFonts w:ascii="Bookman Old Style" w:hAnsi="Bookman Old Style"/>
              </w:rPr>
              <w:t xml:space="preserve">System informatyczny służący do zarządzania danymi i dokumentami </w:t>
            </w:r>
            <w:proofErr w:type="spellStart"/>
            <w:r w:rsidRPr="001B6039">
              <w:rPr>
                <w:rFonts w:ascii="Bookman Old Style" w:hAnsi="Bookman Old Style"/>
              </w:rPr>
              <w:t>PZGiK</w:t>
            </w:r>
            <w:proofErr w:type="spellEnd"/>
            <w:r w:rsidRPr="001B6039">
              <w:rPr>
                <w:rFonts w:ascii="Bookman Old Style" w:hAnsi="Bookman Old Style"/>
              </w:rPr>
              <w:t>, gromadzący i udostępniający zasoby danych przestrzennych oraz powiązane z</w:t>
            </w:r>
            <w:r w:rsidR="006A4711" w:rsidRPr="001B6039">
              <w:rPr>
                <w:rFonts w:ascii="Bookman Old Style" w:hAnsi="Bookman Old Style"/>
              </w:rPr>
              <w:t> </w:t>
            </w:r>
            <w:r w:rsidRPr="001B6039">
              <w:rPr>
                <w:rFonts w:ascii="Bookman Old Style" w:hAnsi="Bookman Old Style"/>
              </w:rPr>
              <w:t>nimi dane opisowe, wraz z możliwością przeprowa</w:t>
            </w:r>
            <w:r w:rsidRPr="001B6039">
              <w:rPr>
                <w:rFonts w:ascii="Bookman Old Style" w:hAnsi="Bookman Old Style"/>
              </w:rPr>
              <w:softHyphen/>
              <w:t>dzania analiz, raportów i</w:t>
            </w:r>
            <w:r w:rsidR="006A4711" w:rsidRPr="001B6039">
              <w:rPr>
                <w:rFonts w:ascii="Bookman Old Style" w:hAnsi="Bookman Old Style"/>
              </w:rPr>
              <w:t> </w:t>
            </w:r>
            <w:r w:rsidRPr="001B6039">
              <w:rPr>
                <w:rFonts w:ascii="Bookman Old Style" w:hAnsi="Bookman Old Style"/>
              </w:rPr>
              <w:t>pobierania danych, a także udostępniania</w:t>
            </w:r>
            <w:r w:rsidR="006A4711" w:rsidRPr="001B6039">
              <w:rPr>
                <w:rFonts w:ascii="Bookman Old Style" w:hAnsi="Bookman Old Style"/>
              </w:rPr>
              <w:t xml:space="preserve"> </w:t>
            </w:r>
            <w:r w:rsidRPr="001B6039">
              <w:rPr>
                <w:rFonts w:ascii="Bookman Old Style" w:hAnsi="Bookman Old Style"/>
              </w:rPr>
              <w:t>e-usług informacji przestrzennej. W</w:t>
            </w:r>
            <w:r w:rsidR="006A4711" w:rsidRPr="001B6039">
              <w:rPr>
                <w:rFonts w:ascii="Bookman Old Style" w:hAnsi="Bookman Old Style"/>
              </w:rPr>
              <w:t> </w:t>
            </w:r>
            <w:r w:rsidRPr="001B6039">
              <w:rPr>
                <w:rFonts w:ascii="Bookman Old Style" w:hAnsi="Bookman Old Style"/>
              </w:rPr>
              <w:t>skład systemu wchodzą między innymi baza lub bazy danych (</w:t>
            </w:r>
            <w:proofErr w:type="spellStart"/>
            <w:r w:rsidRPr="001B6039">
              <w:rPr>
                <w:rFonts w:ascii="Bookman Old Style" w:hAnsi="Bookman Old Style"/>
              </w:rPr>
              <w:t>BDPZGiK</w:t>
            </w:r>
            <w:proofErr w:type="spellEnd"/>
            <w:r w:rsidRPr="001B6039">
              <w:rPr>
                <w:rFonts w:ascii="Bookman Old Style" w:hAnsi="Bookman Old Style"/>
              </w:rPr>
              <w:t xml:space="preserve">) oraz desktopowe i sieciowe interfejsy aplikacyjne. </w:t>
            </w:r>
            <w:r w:rsidR="00C41443" w:rsidRPr="001B6039">
              <w:rPr>
                <w:rFonts w:ascii="Bookman Old Style" w:hAnsi="Bookman Old Style"/>
              </w:rPr>
              <w:t xml:space="preserve">W </w:t>
            </w:r>
            <w:r w:rsidR="00E73047" w:rsidRPr="001B6039">
              <w:rPr>
                <w:rFonts w:ascii="Bookman Old Style" w:hAnsi="Bookman Old Style"/>
              </w:rPr>
              <w:t xml:space="preserve">Urzędzie </w:t>
            </w:r>
            <w:r w:rsidRPr="001B6039">
              <w:rPr>
                <w:rFonts w:ascii="Bookman Old Style" w:hAnsi="Bookman Old Style"/>
              </w:rPr>
              <w:t>funkcjonuje system EWID2007.</w:t>
            </w:r>
          </w:p>
        </w:tc>
      </w:tr>
      <w:tr w:rsidR="004242E7" w:rsidRPr="001B6039" w14:paraId="6BDD9FED" w14:textId="77777777" w:rsidTr="003531C7">
        <w:tc>
          <w:tcPr>
            <w:tcW w:w="2122" w:type="dxa"/>
            <w:shd w:val="clear" w:color="auto" w:fill="auto"/>
          </w:tcPr>
          <w:p w14:paraId="265D6CF8" w14:textId="31D732D3" w:rsidR="00562D79" w:rsidRPr="001B6039" w:rsidRDefault="00562D79" w:rsidP="001B6039">
            <w:pPr>
              <w:spacing w:line="360" w:lineRule="auto"/>
              <w:jc w:val="both"/>
              <w:rPr>
                <w:rFonts w:ascii="Bookman Old Style" w:hAnsi="Bookman Old Style"/>
              </w:rPr>
            </w:pPr>
            <w:r w:rsidRPr="001B6039">
              <w:rPr>
                <w:rFonts w:ascii="Bookman Old Style" w:hAnsi="Bookman Old Style"/>
              </w:rPr>
              <w:t>Tablice konwersji</w:t>
            </w:r>
          </w:p>
        </w:tc>
        <w:tc>
          <w:tcPr>
            <w:tcW w:w="283" w:type="dxa"/>
            <w:shd w:val="clear" w:color="auto" w:fill="auto"/>
          </w:tcPr>
          <w:p w14:paraId="692A397D" w14:textId="26626979" w:rsidR="00562D79" w:rsidRPr="001B6039" w:rsidRDefault="00562D79"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13EC509F" w14:textId="7C24AA70" w:rsidR="00562D79" w:rsidRPr="001B6039" w:rsidRDefault="00562D79" w:rsidP="001B6039">
            <w:pPr>
              <w:spacing w:line="360" w:lineRule="auto"/>
              <w:jc w:val="both"/>
              <w:rPr>
                <w:rFonts w:ascii="Bookman Old Style" w:hAnsi="Bookman Old Style"/>
              </w:rPr>
            </w:pPr>
            <w:r w:rsidRPr="001B6039">
              <w:rPr>
                <w:rFonts w:ascii="Bookman Old Style" w:hAnsi="Bookman Old Style"/>
              </w:rPr>
              <w:t xml:space="preserve">Inaczej tablice przekształcenia. Tablice w postaci arkuszy kalkulacyjnych, które dostarczy Wykonawca oraz uzgodni </w:t>
            </w:r>
            <w:r w:rsidR="00B403B2" w:rsidRPr="001B6039">
              <w:rPr>
                <w:rFonts w:ascii="Bookman Old Style" w:hAnsi="Bookman Old Style"/>
              </w:rPr>
              <w:br/>
            </w:r>
            <w:r w:rsidRPr="001B6039">
              <w:rPr>
                <w:rFonts w:ascii="Bookman Old Style" w:hAnsi="Bookman Old Style"/>
              </w:rPr>
              <w:t>z Zamawiającym odrębnie dla każdego rodzaju zbioru danych BDOT500 i GESUT</w:t>
            </w:r>
            <w:r w:rsidR="00D66570" w:rsidRPr="001B6039">
              <w:rPr>
                <w:rFonts w:ascii="Bookman Old Style" w:hAnsi="Bookman Old Style"/>
              </w:rPr>
              <w:t>,</w:t>
            </w:r>
            <w:r w:rsidR="00205DEA" w:rsidRPr="001B6039">
              <w:rPr>
                <w:rFonts w:ascii="Bookman Old Style" w:hAnsi="Bookman Old Style"/>
              </w:rPr>
              <w:t xml:space="preserve"> zawierające </w:t>
            </w:r>
            <w:r w:rsidRPr="001B6039">
              <w:rPr>
                <w:rFonts w:ascii="Bookman Old Style" w:hAnsi="Bookman Old Style"/>
              </w:rPr>
              <w:t>obiekty PMD starego oraz</w:t>
            </w:r>
            <w:r w:rsidR="00D7669B" w:rsidRPr="001B6039">
              <w:rPr>
                <w:rFonts w:ascii="Bookman Old Style" w:hAnsi="Bookman Old Style"/>
              </w:rPr>
              <w:t>,</w:t>
            </w:r>
            <w:r w:rsidRPr="001B6039">
              <w:rPr>
                <w:rFonts w:ascii="Bookman Old Style" w:hAnsi="Bookman Old Style"/>
              </w:rPr>
              <w:t xml:space="preserve"> jeżeli dotyczy, odpowiadające im obiekty PMD aktualnego</w:t>
            </w:r>
            <w:r w:rsidR="00205DEA" w:rsidRPr="001B6039">
              <w:rPr>
                <w:rFonts w:ascii="Bookman Old Style" w:hAnsi="Bookman Old Style"/>
              </w:rPr>
              <w:t xml:space="preserve"> wraz z opisem sposobu i zakresu konwersji/przekształcenia</w:t>
            </w:r>
            <w:r w:rsidRPr="001B6039">
              <w:rPr>
                <w:rFonts w:ascii="Bookman Old Style" w:hAnsi="Bookman Old Style"/>
              </w:rPr>
              <w:t>.</w:t>
            </w:r>
          </w:p>
        </w:tc>
      </w:tr>
      <w:tr w:rsidR="004242E7" w:rsidRPr="001B6039" w14:paraId="6E5023FA" w14:textId="77777777" w:rsidTr="003531C7">
        <w:tc>
          <w:tcPr>
            <w:tcW w:w="2122" w:type="dxa"/>
            <w:shd w:val="clear" w:color="auto" w:fill="auto"/>
          </w:tcPr>
          <w:p w14:paraId="2F2125A9"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Urząd</w:t>
            </w:r>
          </w:p>
        </w:tc>
        <w:tc>
          <w:tcPr>
            <w:tcW w:w="283" w:type="dxa"/>
            <w:shd w:val="clear" w:color="auto" w:fill="auto"/>
          </w:tcPr>
          <w:p w14:paraId="25AE94A5"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35894606" w14:textId="530976AF" w:rsidR="00734C23" w:rsidRPr="001B6039" w:rsidRDefault="00094A21" w:rsidP="001B6039">
            <w:pPr>
              <w:spacing w:line="360" w:lineRule="auto"/>
              <w:jc w:val="both"/>
              <w:rPr>
                <w:rFonts w:ascii="Bookman Old Style" w:hAnsi="Bookman Old Style"/>
              </w:rPr>
            </w:pPr>
            <w:r>
              <w:rPr>
                <w:rFonts w:ascii="Bookman Old Style" w:hAnsi="Bookman Old Style"/>
              </w:rPr>
              <w:t>S</w:t>
            </w:r>
            <w:r w:rsidR="008E61F2" w:rsidRPr="001B6039">
              <w:rPr>
                <w:rFonts w:ascii="Bookman Old Style" w:hAnsi="Bookman Old Style"/>
              </w:rPr>
              <w:t>tarostw</w:t>
            </w:r>
            <w:r>
              <w:rPr>
                <w:rFonts w:ascii="Bookman Old Style" w:hAnsi="Bookman Old Style"/>
              </w:rPr>
              <w:t>o</w:t>
            </w:r>
            <w:r w:rsidR="008E61F2" w:rsidRPr="001B6039">
              <w:rPr>
                <w:rFonts w:ascii="Bookman Old Style" w:hAnsi="Bookman Old Style"/>
              </w:rPr>
              <w:t xml:space="preserve"> Powiatowe w </w:t>
            </w:r>
            <w:r w:rsidR="00D90520" w:rsidRPr="001B6039">
              <w:rPr>
                <w:rFonts w:ascii="Bookman Old Style" w:hAnsi="Bookman Old Style"/>
              </w:rPr>
              <w:t>Świeciu</w:t>
            </w:r>
            <w:r w:rsidR="00565ECF" w:rsidRPr="001B6039">
              <w:rPr>
                <w:rFonts w:ascii="Bookman Old Style" w:hAnsi="Bookman Old Style"/>
              </w:rPr>
              <w:t>.</w:t>
            </w:r>
          </w:p>
        </w:tc>
      </w:tr>
      <w:tr w:rsidR="004242E7" w:rsidRPr="001B6039" w14:paraId="353D2856" w14:textId="77777777" w:rsidTr="003531C7">
        <w:tc>
          <w:tcPr>
            <w:tcW w:w="2122" w:type="dxa"/>
            <w:shd w:val="clear" w:color="auto" w:fill="auto"/>
          </w:tcPr>
          <w:p w14:paraId="138118D2"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 xml:space="preserve">Ustawa </w:t>
            </w:r>
            <w:proofErr w:type="spellStart"/>
            <w:r w:rsidRPr="001B6039">
              <w:rPr>
                <w:rFonts w:ascii="Bookman Old Style" w:hAnsi="Bookman Old Style"/>
              </w:rPr>
              <w:t>PGiK</w:t>
            </w:r>
            <w:proofErr w:type="spellEnd"/>
            <w:r w:rsidRPr="001B6039">
              <w:rPr>
                <w:rFonts w:ascii="Bookman Old Style" w:hAnsi="Bookman Old Style"/>
              </w:rPr>
              <w:t xml:space="preserve"> </w:t>
            </w:r>
          </w:p>
        </w:tc>
        <w:tc>
          <w:tcPr>
            <w:tcW w:w="283" w:type="dxa"/>
            <w:shd w:val="clear" w:color="auto" w:fill="auto"/>
          </w:tcPr>
          <w:p w14:paraId="5AA1F273"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11DF0E88" w14:textId="742EBB9A" w:rsidR="00734C23" w:rsidRPr="001B6039" w:rsidRDefault="00734C23" w:rsidP="001B6039">
            <w:pPr>
              <w:spacing w:line="360" w:lineRule="auto"/>
              <w:jc w:val="both"/>
              <w:rPr>
                <w:rFonts w:ascii="Bookman Old Style" w:hAnsi="Bookman Old Style"/>
              </w:rPr>
            </w:pPr>
            <w:r w:rsidRPr="001B6039">
              <w:rPr>
                <w:rFonts w:ascii="Bookman Old Style" w:hAnsi="Bookman Old Style"/>
              </w:rPr>
              <w:t>Ustawa Prawo geodezyjne i kartograficzne z dnia 17 maja 1989</w:t>
            </w:r>
            <w:r w:rsidR="00FF0C4D" w:rsidRPr="001B6039">
              <w:rPr>
                <w:rFonts w:ascii="Bookman Old Style" w:hAnsi="Bookman Old Style"/>
              </w:rPr>
              <w:t xml:space="preserve"> </w:t>
            </w:r>
            <w:r w:rsidRPr="001B6039">
              <w:rPr>
                <w:rFonts w:ascii="Bookman Old Style" w:hAnsi="Bookman Old Style"/>
              </w:rPr>
              <w:t>r.</w:t>
            </w:r>
          </w:p>
        </w:tc>
      </w:tr>
      <w:tr w:rsidR="00926726" w:rsidRPr="001B6039" w14:paraId="198B55A2" w14:textId="77777777" w:rsidTr="003531C7">
        <w:tc>
          <w:tcPr>
            <w:tcW w:w="2122" w:type="dxa"/>
            <w:shd w:val="clear" w:color="auto" w:fill="auto"/>
          </w:tcPr>
          <w:p w14:paraId="19B11450" w14:textId="18B05AB7" w:rsidR="00926726" w:rsidRPr="001B6039" w:rsidRDefault="00926726" w:rsidP="001B6039">
            <w:pPr>
              <w:spacing w:line="360" w:lineRule="auto"/>
              <w:jc w:val="both"/>
              <w:rPr>
                <w:rFonts w:ascii="Bookman Old Style" w:hAnsi="Bookman Old Style"/>
              </w:rPr>
            </w:pPr>
            <w:r w:rsidRPr="001B6039">
              <w:rPr>
                <w:rFonts w:ascii="Bookman Old Style" w:hAnsi="Bookman Old Style"/>
              </w:rPr>
              <w:t>WMZ</w:t>
            </w:r>
          </w:p>
        </w:tc>
        <w:tc>
          <w:tcPr>
            <w:tcW w:w="283" w:type="dxa"/>
            <w:shd w:val="clear" w:color="auto" w:fill="auto"/>
          </w:tcPr>
          <w:p w14:paraId="3964F2E4" w14:textId="4094D687" w:rsidR="00926726" w:rsidRPr="001B6039" w:rsidRDefault="00926726"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70C6E6A6" w14:textId="4184C255" w:rsidR="00926726" w:rsidRPr="001B6039" w:rsidRDefault="00926726" w:rsidP="001B6039">
            <w:pPr>
              <w:spacing w:line="360" w:lineRule="auto"/>
              <w:jc w:val="both"/>
              <w:rPr>
                <w:rFonts w:ascii="Bookman Old Style" w:hAnsi="Bookman Old Style"/>
              </w:rPr>
            </w:pPr>
            <w:r w:rsidRPr="001B6039">
              <w:rPr>
                <w:rFonts w:ascii="Bookman Old Style" w:hAnsi="Bookman Old Style"/>
              </w:rPr>
              <w:t xml:space="preserve">Wektorowa mapa zasadnicza w </w:t>
            </w:r>
            <w:proofErr w:type="spellStart"/>
            <w:r w:rsidRPr="001B6039">
              <w:rPr>
                <w:rFonts w:ascii="Bookman Old Style" w:hAnsi="Bookman Old Style"/>
              </w:rPr>
              <w:t>BDPZGiK</w:t>
            </w:r>
            <w:proofErr w:type="spellEnd"/>
            <w:r w:rsidRPr="001B6039">
              <w:rPr>
                <w:rFonts w:ascii="Bookman Old Style" w:hAnsi="Bookman Old Style"/>
              </w:rPr>
              <w:t xml:space="preserve">, na którą składają się obiekty zbiorów danych BDOT500, GESUT, </w:t>
            </w:r>
            <w:proofErr w:type="spellStart"/>
            <w:r w:rsidRPr="001B6039">
              <w:rPr>
                <w:rFonts w:ascii="Bookman Old Style" w:hAnsi="Bookman Old Style"/>
              </w:rPr>
              <w:t>EGiB</w:t>
            </w:r>
            <w:proofErr w:type="spellEnd"/>
            <w:r w:rsidRPr="001B6039">
              <w:rPr>
                <w:rFonts w:ascii="Bookman Old Style" w:hAnsi="Bookman Old Style"/>
              </w:rPr>
              <w:t xml:space="preserve"> i innych, prowadzone </w:t>
            </w:r>
            <w:r w:rsidR="00463D27" w:rsidRPr="001B6039">
              <w:rPr>
                <w:rFonts w:ascii="Bookman Old Style" w:hAnsi="Bookman Old Style"/>
              </w:rPr>
              <w:br/>
            </w:r>
            <w:r w:rsidRPr="001B6039">
              <w:rPr>
                <w:rFonts w:ascii="Bookman Old Style" w:hAnsi="Bookman Old Style"/>
              </w:rPr>
              <w:lastRenderedPageBreak/>
              <w:t>w aktualnym, bądź nieobowiązujących pojęciowych modelach danych, w tym np. K1/G7.</w:t>
            </w:r>
          </w:p>
        </w:tc>
      </w:tr>
      <w:tr w:rsidR="004242E7" w:rsidRPr="001B6039" w14:paraId="4F68A4A9" w14:textId="77777777" w:rsidTr="003531C7">
        <w:tc>
          <w:tcPr>
            <w:tcW w:w="2122" w:type="dxa"/>
            <w:shd w:val="clear" w:color="auto" w:fill="auto"/>
          </w:tcPr>
          <w:p w14:paraId="0641362D"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lastRenderedPageBreak/>
              <w:t>WT</w:t>
            </w:r>
          </w:p>
        </w:tc>
        <w:tc>
          <w:tcPr>
            <w:tcW w:w="283" w:type="dxa"/>
            <w:shd w:val="clear" w:color="auto" w:fill="auto"/>
          </w:tcPr>
          <w:p w14:paraId="0EC8020A"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2A02FB1F"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Niniejsze warunki techniczne.</w:t>
            </w:r>
          </w:p>
        </w:tc>
      </w:tr>
      <w:tr w:rsidR="004242E7" w:rsidRPr="001B6039" w14:paraId="0FEFC74E" w14:textId="77777777" w:rsidTr="003531C7">
        <w:tc>
          <w:tcPr>
            <w:tcW w:w="2122" w:type="dxa"/>
            <w:shd w:val="clear" w:color="auto" w:fill="auto"/>
          </w:tcPr>
          <w:p w14:paraId="7C81BD69"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Wykonawca</w:t>
            </w:r>
          </w:p>
        </w:tc>
        <w:tc>
          <w:tcPr>
            <w:tcW w:w="283" w:type="dxa"/>
            <w:shd w:val="clear" w:color="auto" w:fill="auto"/>
          </w:tcPr>
          <w:p w14:paraId="184C5311"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431B78A2"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Podmiot realizujący prace objęte WT.</w:t>
            </w:r>
          </w:p>
        </w:tc>
      </w:tr>
      <w:tr w:rsidR="004242E7" w:rsidRPr="001B6039" w14:paraId="297D5B28" w14:textId="77777777" w:rsidTr="003531C7">
        <w:tc>
          <w:tcPr>
            <w:tcW w:w="2122" w:type="dxa"/>
            <w:shd w:val="clear" w:color="auto" w:fill="auto"/>
          </w:tcPr>
          <w:p w14:paraId="7CBDB6C0"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Zamawiający</w:t>
            </w:r>
          </w:p>
        </w:tc>
        <w:tc>
          <w:tcPr>
            <w:tcW w:w="283" w:type="dxa"/>
            <w:shd w:val="clear" w:color="auto" w:fill="auto"/>
          </w:tcPr>
          <w:p w14:paraId="1518E587"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772A3698"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Podmiot zlecający prace geodezyjno-kartograficzne objęte WT.</w:t>
            </w:r>
          </w:p>
        </w:tc>
      </w:tr>
      <w:tr w:rsidR="004242E7" w:rsidRPr="001B6039" w14:paraId="7187EEB8" w14:textId="77777777" w:rsidTr="003531C7">
        <w:tc>
          <w:tcPr>
            <w:tcW w:w="2122" w:type="dxa"/>
            <w:shd w:val="clear" w:color="auto" w:fill="auto"/>
          </w:tcPr>
          <w:p w14:paraId="491EE3C6"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Zamówienie</w:t>
            </w:r>
          </w:p>
        </w:tc>
        <w:tc>
          <w:tcPr>
            <w:tcW w:w="283" w:type="dxa"/>
            <w:shd w:val="clear" w:color="auto" w:fill="auto"/>
          </w:tcPr>
          <w:p w14:paraId="4114FF64"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5D967EB6"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Ogół prac przewidzianych w WT oraz uregulowanych w umowie.</w:t>
            </w:r>
          </w:p>
        </w:tc>
      </w:tr>
      <w:tr w:rsidR="00734C23" w:rsidRPr="001B6039" w14:paraId="24B576C8" w14:textId="77777777" w:rsidTr="003531C7">
        <w:tc>
          <w:tcPr>
            <w:tcW w:w="2122" w:type="dxa"/>
            <w:shd w:val="clear" w:color="auto" w:fill="auto"/>
          </w:tcPr>
          <w:p w14:paraId="06DE0A8C"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Zbiór danych</w:t>
            </w:r>
          </w:p>
        </w:tc>
        <w:tc>
          <w:tcPr>
            <w:tcW w:w="283" w:type="dxa"/>
            <w:shd w:val="clear" w:color="auto" w:fill="auto"/>
          </w:tcPr>
          <w:p w14:paraId="0F476086" w14:textId="77777777" w:rsidR="00734C23" w:rsidRPr="001B6039" w:rsidRDefault="00734C23" w:rsidP="001B6039">
            <w:pPr>
              <w:spacing w:line="360" w:lineRule="auto"/>
              <w:jc w:val="both"/>
              <w:rPr>
                <w:rFonts w:ascii="Bookman Old Style" w:hAnsi="Bookman Old Style"/>
              </w:rPr>
            </w:pPr>
            <w:r w:rsidRPr="001B6039">
              <w:rPr>
                <w:rFonts w:ascii="Bookman Old Style" w:hAnsi="Bookman Old Style"/>
              </w:rPr>
              <w:t>-</w:t>
            </w:r>
          </w:p>
        </w:tc>
        <w:tc>
          <w:tcPr>
            <w:tcW w:w="7552" w:type="dxa"/>
            <w:shd w:val="clear" w:color="auto" w:fill="auto"/>
          </w:tcPr>
          <w:p w14:paraId="404EA8FB" w14:textId="37AB47FA" w:rsidR="00734C23" w:rsidRPr="001B6039" w:rsidRDefault="00734C23" w:rsidP="001B6039">
            <w:pPr>
              <w:spacing w:line="360" w:lineRule="auto"/>
              <w:jc w:val="both"/>
              <w:rPr>
                <w:rFonts w:ascii="Bookman Old Style" w:hAnsi="Bookman Old Style"/>
              </w:rPr>
            </w:pPr>
            <w:r w:rsidRPr="001B6039">
              <w:rPr>
                <w:rFonts w:ascii="Bookman Old Style" w:hAnsi="Bookman Old Style"/>
              </w:rPr>
              <w:t>Zbiór danych przestrzennych zgodny z definicją zawartą w Ustawie z</w:t>
            </w:r>
            <w:r w:rsidR="00A115B5" w:rsidRPr="001B6039">
              <w:rPr>
                <w:rFonts w:ascii="Bookman Old Style" w:hAnsi="Bookman Old Style"/>
              </w:rPr>
              <w:t> </w:t>
            </w:r>
            <w:r w:rsidRPr="001B6039">
              <w:rPr>
                <w:rFonts w:ascii="Bookman Old Style" w:hAnsi="Bookman Old Style"/>
              </w:rPr>
              <w:t>dnia 4</w:t>
            </w:r>
            <w:r w:rsidR="00D11EAC" w:rsidRPr="001B6039">
              <w:rPr>
                <w:rFonts w:ascii="Bookman Old Style" w:hAnsi="Bookman Old Style"/>
              </w:rPr>
              <w:t> </w:t>
            </w:r>
            <w:r w:rsidRPr="001B6039">
              <w:rPr>
                <w:rFonts w:ascii="Bookman Old Style" w:hAnsi="Bookman Old Style"/>
              </w:rPr>
              <w:t>marca 2010</w:t>
            </w:r>
            <w:r w:rsidR="00A275BA" w:rsidRPr="001B6039">
              <w:rPr>
                <w:rFonts w:ascii="Bookman Old Style" w:hAnsi="Bookman Old Style"/>
              </w:rPr>
              <w:t xml:space="preserve"> </w:t>
            </w:r>
            <w:r w:rsidRPr="001B6039">
              <w:rPr>
                <w:rFonts w:ascii="Bookman Old Style" w:hAnsi="Bookman Old Style"/>
              </w:rPr>
              <w:t>r. o infrastrukturze informacji przestrzennej art.</w:t>
            </w:r>
            <w:r w:rsidR="00A115B5" w:rsidRPr="001B6039">
              <w:rPr>
                <w:rFonts w:ascii="Bookman Old Style" w:hAnsi="Bookman Old Style"/>
              </w:rPr>
              <w:t xml:space="preserve"> </w:t>
            </w:r>
            <w:r w:rsidRPr="001B6039">
              <w:rPr>
                <w:rFonts w:ascii="Bookman Old Style" w:hAnsi="Bookman Old Style"/>
              </w:rPr>
              <w:t>3 pkt 11</w:t>
            </w:r>
            <w:r w:rsidR="00A57BF7" w:rsidRPr="001B6039">
              <w:rPr>
                <w:rFonts w:ascii="Bookman Old Style" w:hAnsi="Bookman Old Style"/>
              </w:rPr>
              <w:t>, czyli</w:t>
            </w:r>
            <w:r w:rsidRPr="001B6039">
              <w:rPr>
                <w:rFonts w:ascii="Bookman Old Style" w:hAnsi="Bookman Old Style"/>
              </w:rPr>
              <w:t xml:space="preserve"> rozpoznawalny ze względu na wspólne cechy zestaw danych </w:t>
            </w:r>
            <w:r w:rsidR="00A115B5" w:rsidRPr="001B6039">
              <w:rPr>
                <w:rFonts w:ascii="Bookman Old Style" w:hAnsi="Bookman Old Style"/>
              </w:rPr>
              <w:t>nie przestrzennych</w:t>
            </w:r>
            <w:r w:rsidRPr="001B6039">
              <w:rPr>
                <w:rFonts w:ascii="Bookman Old Style" w:hAnsi="Bookman Old Style"/>
              </w:rPr>
              <w:t>.</w:t>
            </w:r>
          </w:p>
        </w:tc>
      </w:tr>
    </w:tbl>
    <w:p w14:paraId="2384F048" w14:textId="7FB903A7" w:rsidR="006A4711" w:rsidRPr="001B6039" w:rsidRDefault="006A4711" w:rsidP="001B6039">
      <w:pPr>
        <w:spacing w:line="360" w:lineRule="auto"/>
        <w:jc w:val="both"/>
        <w:rPr>
          <w:rFonts w:ascii="Bookman Old Style" w:hAnsi="Bookman Old Style"/>
        </w:rPr>
      </w:pPr>
    </w:p>
    <w:p w14:paraId="2871F3D4" w14:textId="4703C7C2" w:rsidR="003531C7" w:rsidRPr="001B6039" w:rsidRDefault="003531C7" w:rsidP="003531C7">
      <w:pPr>
        <w:spacing w:line="360" w:lineRule="auto"/>
        <w:jc w:val="both"/>
        <w:rPr>
          <w:rFonts w:ascii="Bookman Old Style" w:hAnsi="Bookman Old Style"/>
          <w:b/>
          <w:bCs/>
        </w:rPr>
      </w:pPr>
      <w:bookmarkStart w:id="3" w:name="_Toc496083161"/>
      <w:bookmarkStart w:id="4" w:name="_Toc153528725"/>
      <w:bookmarkStart w:id="5" w:name="_Toc153528724"/>
      <w:r w:rsidRPr="001B6039">
        <w:rPr>
          <w:rFonts w:ascii="Bookman Old Style" w:hAnsi="Bookman Old Style"/>
          <w:b/>
          <w:bCs/>
        </w:rPr>
        <w:t xml:space="preserve">Rozdział </w:t>
      </w:r>
      <w:r>
        <w:rPr>
          <w:rFonts w:ascii="Bookman Old Style" w:hAnsi="Bookman Old Style"/>
          <w:b/>
          <w:bCs/>
        </w:rPr>
        <w:t>2</w:t>
      </w:r>
    </w:p>
    <w:p w14:paraId="1C20B44E" w14:textId="2401D6D4" w:rsidR="0049396C" w:rsidRPr="003531C7" w:rsidRDefault="0049396C" w:rsidP="001B6039">
      <w:pPr>
        <w:spacing w:line="360" w:lineRule="auto"/>
        <w:jc w:val="both"/>
        <w:rPr>
          <w:rFonts w:ascii="Bookman Old Style" w:hAnsi="Bookman Old Style"/>
          <w:b/>
          <w:bCs/>
          <w:u w:val="single"/>
        </w:rPr>
      </w:pPr>
      <w:r w:rsidRPr="003531C7">
        <w:rPr>
          <w:rFonts w:ascii="Bookman Old Style" w:hAnsi="Bookman Old Style"/>
          <w:b/>
          <w:bCs/>
          <w:u w:val="single"/>
        </w:rPr>
        <w:t>Obowiązujące przepisy prawne</w:t>
      </w:r>
      <w:bookmarkEnd w:id="3"/>
      <w:bookmarkEnd w:id="4"/>
      <w:r w:rsidR="002D0877">
        <w:rPr>
          <w:rFonts w:ascii="Bookman Old Style" w:hAnsi="Bookman Old Style"/>
          <w:b/>
          <w:bCs/>
          <w:u w:val="single"/>
        </w:rPr>
        <w:t>.</w:t>
      </w:r>
    </w:p>
    <w:p w14:paraId="2DB1C856" w14:textId="77777777" w:rsidR="0049396C" w:rsidRPr="001B6039" w:rsidRDefault="0049396C" w:rsidP="001B6039">
      <w:pPr>
        <w:spacing w:line="360" w:lineRule="auto"/>
        <w:jc w:val="both"/>
        <w:rPr>
          <w:rFonts w:ascii="Bookman Old Style" w:hAnsi="Bookman Old Style"/>
        </w:rPr>
      </w:pPr>
      <w:bookmarkStart w:id="6" w:name="_Hlk510802191"/>
      <w:r w:rsidRPr="001B6039">
        <w:rPr>
          <w:rFonts w:ascii="Bookman Old Style" w:hAnsi="Bookman Old Style"/>
        </w:rPr>
        <w:t>Ustawy i rozporządzenia:</w:t>
      </w:r>
    </w:p>
    <w:p w14:paraId="185F6755" w14:textId="77777777" w:rsidR="0049396C" w:rsidRPr="003531C7" w:rsidRDefault="0049396C" w:rsidP="003531C7">
      <w:pPr>
        <w:pStyle w:val="Akapitzlist"/>
        <w:numPr>
          <w:ilvl w:val="0"/>
          <w:numId w:val="24"/>
        </w:numPr>
        <w:spacing w:line="360" w:lineRule="auto"/>
        <w:jc w:val="both"/>
        <w:rPr>
          <w:rFonts w:ascii="Bookman Old Style" w:hAnsi="Bookman Old Style"/>
        </w:rPr>
      </w:pPr>
      <w:r w:rsidRPr="003531C7">
        <w:rPr>
          <w:rFonts w:ascii="Bookman Old Style" w:hAnsi="Bookman Old Style"/>
        </w:rPr>
        <w:t>Ustawa z dnia 17 lutego 2005 r. o informatyzacji działalności podmiotów realizujących zadania publiczne.</w:t>
      </w:r>
    </w:p>
    <w:p w14:paraId="1F0BE46C" w14:textId="77777777" w:rsidR="0049396C" w:rsidRPr="003531C7" w:rsidRDefault="0049396C" w:rsidP="003531C7">
      <w:pPr>
        <w:pStyle w:val="Akapitzlist"/>
        <w:numPr>
          <w:ilvl w:val="0"/>
          <w:numId w:val="24"/>
        </w:numPr>
        <w:spacing w:line="360" w:lineRule="auto"/>
        <w:jc w:val="both"/>
        <w:rPr>
          <w:rFonts w:ascii="Bookman Old Style" w:hAnsi="Bookman Old Style"/>
        </w:rPr>
      </w:pPr>
      <w:r w:rsidRPr="003531C7">
        <w:rPr>
          <w:rFonts w:ascii="Bookman Old Style" w:hAnsi="Bookman Old Style"/>
        </w:rPr>
        <w:t>Ustawa Prawo geodezyjne i kartograficzne z dnia 17 maja 1989 r.</w:t>
      </w:r>
    </w:p>
    <w:p w14:paraId="2646D415" w14:textId="77777777" w:rsidR="0049396C" w:rsidRPr="003531C7" w:rsidRDefault="0049396C" w:rsidP="003531C7">
      <w:pPr>
        <w:pStyle w:val="Akapitzlist"/>
        <w:numPr>
          <w:ilvl w:val="0"/>
          <w:numId w:val="24"/>
        </w:numPr>
        <w:spacing w:line="360" w:lineRule="auto"/>
        <w:jc w:val="both"/>
        <w:rPr>
          <w:rFonts w:ascii="Bookman Old Style" w:hAnsi="Bookman Old Style"/>
        </w:rPr>
      </w:pPr>
      <w:r w:rsidRPr="003531C7">
        <w:rPr>
          <w:rFonts w:ascii="Bookman Old Style" w:hAnsi="Bookman Old Style"/>
        </w:rPr>
        <w:t>Ustawa o infrastrukturze informacji przestrzennej z dnia 4 marca 2010 r.</w:t>
      </w:r>
    </w:p>
    <w:p w14:paraId="06430319" w14:textId="77777777" w:rsidR="0049396C" w:rsidRPr="003531C7" w:rsidRDefault="0049396C" w:rsidP="003531C7">
      <w:pPr>
        <w:pStyle w:val="Akapitzlist"/>
        <w:numPr>
          <w:ilvl w:val="0"/>
          <w:numId w:val="24"/>
        </w:numPr>
        <w:spacing w:line="360" w:lineRule="auto"/>
        <w:jc w:val="both"/>
        <w:rPr>
          <w:rFonts w:ascii="Bookman Old Style" w:hAnsi="Bookman Old Style"/>
        </w:rPr>
      </w:pPr>
      <w:r w:rsidRPr="003531C7">
        <w:rPr>
          <w:rFonts w:ascii="Bookman Old Style" w:hAnsi="Bookman Old Style"/>
        </w:rPr>
        <w:t>Ustawa z dnia 10 maja 2018 r. o ochronie danych osobowych.</w:t>
      </w:r>
    </w:p>
    <w:p w14:paraId="53DA84E9" w14:textId="77777777" w:rsidR="0049396C" w:rsidRPr="003531C7" w:rsidRDefault="0049396C" w:rsidP="003531C7">
      <w:pPr>
        <w:pStyle w:val="Akapitzlist"/>
        <w:numPr>
          <w:ilvl w:val="0"/>
          <w:numId w:val="24"/>
        </w:numPr>
        <w:spacing w:line="360" w:lineRule="auto"/>
        <w:jc w:val="both"/>
        <w:rPr>
          <w:rFonts w:ascii="Bookman Old Style" w:hAnsi="Bookman Old Style"/>
        </w:rPr>
      </w:pPr>
      <w:r w:rsidRPr="003531C7">
        <w:rPr>
          <w:rFonts w:ascii="Bookman Old Style" w:hAnsi="Bookman Old Style"/>
        </w:rPr>
        <w:t>Rozporządzenie Rady Ministrów z dnia 12 kwietnia 2012 r. w sprawie Krajowych Ram Interoperacyjności, minimalnych wymagań dla rejestrów publicznych i wymiany informacji w postaci elektronicznej oraz minimalnych wymagań dla systemów teleinformatycznych.</w:t>
      </w:r>
    </w:p>
    <w:p w14:paraId="0129CCA5" w14:textId="77777777" w:rsidR="0049396C" w:rsidRPr="003531C7" w:rsidRDefault="0049396C" w:rsidP="003531C7">
      <w:pPr>
        <w:pStyle w:val="Akapitzlist"/>
        <w:numPr>
          <w:ilvl w:val="0"/>
          <w:numId w:val="24"/>
        </w:numPr>
        <w:spacing w:line="360" w:lineRule="auto"/>
        <w:jc w:val="both"/>
        <w:rPr>
          <w:rFonts w:ascii="Bookman Old Style" w:hAnsi="Bookman Old Style"/>
        </w:rPr>
      </w:pPr>
      <w:r w:rsidRPr="003531C7">
        <w:rPr>
          <w:rFonts w:ascii="Bookman Old Style" w:hAnsi="Bookman Old Style"/>
        </w:rPr>
        <w:t>Rozporządzenie Ministra Rozwoju z dnia 18 sierpnia 2020 r. w sprawie standardów technicznych wykonywania geodezyjnych pomiarów sytuacyjnych i wysokościowych oraz opracowywania i przekazywania wyników tych pomiarów do państwowego zasobu geodezyjnego i kartograficznego.</w:t>
      </w:r>
    </w:p>
    <w:p w14:paraId="3B9C7BEE" w14:textId="77777777" w:rsidR="0049396C" w:rsidRPr="003531C7" w:rsidRDefault="0049396C" w:rsidP="003531C7">
      <w:pPr>
        <w:pStyle w:val="Akapitzlist"/>
        <w:numPr>
          <w:ilvl w:val="0"/>
          <w:numId w:val="24"/>
        </w:numPr>
        <w:spacing w:line="360" w:lineRule="auto"/>
        <w:jc w:val="both"/>
        <w:rPr>
          <w:rFonts w:ascii="Bookman Old Style" w:hAnsi="Bookman Old Style"/>
        </w:rPr>
      </w:pPr>
      <w:r w:rsidRPr="003531C7">
        <w:rPr>
          <w:rFonts w:ascii="Bookman Old Style" w:hAnsi="Bookman Old Style"/>
        </w:rPr>
        <w:t>Rozporządzenie Ministra Rozwoju, Pracy i Technologii z dnia 2 kwietnia 2021 r. w sprawie organizacji i trybu prowadzenia państwowego zasobu geodezyjnego i kartograficznego.</w:t>
      </w:r>
    </w:p>
    <w:p w14:paraId="7D4B36D2" w14:textId="77777777" w:rsidR="0049396C" w:rsidRPr="003531C7" w:rsidRDefault="0049396C" w:rsidP="003531C7">
      <w:pPr>
        <w:pStyle w:val="Akapitzlist"/>
        <w:numPr>
          <w:ilvl w:val="0"/>
          <w:numId w:val="24"/>
        </w:numPr>
        <w:spacing w:line="360" w:lineRule="auto"/>
        <w:jc w:val="both"/>
        <w:rPr>
          <w:rFonts w:ascii="Bookman Old Style" w:hAnsi="Bookman Old Style"/>
        </w:rPr>
      </w:pPr>
      <w:r w:rsidRPr="003531C7">
        <w:rPr>
          <w:rFonts w:ascii="Bookman Old Style" w:hAnsi="Bookman Old Style"/>
        </w:rPr>
        <w:t>Rozporządzenie Ministra Rozwoju, Pracy i Technologii z dnia 23 lipca 2021 r. w sprawie bazy danych obiektów topograficznych oraz mapy zasadniczej.</w:t>
      </w:r>
    </w:p>
    <w:p w14:paraId="49830808" w14:textId="77777777" w:rsidR="0049396C" w:rsidRPr="003531C7" w:rsidRDefault="0049396C" w:rsidP="003531C7">
      <w:pPr>
        <w:pStyle w:val="Akapitzlist"/>
        <w:numPr>
          <w:ilvl w:val="0"/>
          <w:numId w:val="24"/>
        </w:numPr>
        <w:spacing w:line="360" w:lineRule="auto"/>
        <w:jc w:val="both"/>
        <w:rPr>
          <w:rFonts w:ascii="Bookman Old Style" w:hAnsi="Bookman Old Style"/>
        </w:rPr>
      </w:pPr>
      <w:r w:rsidRPr="003531C7">
        <w:rPr>
          <w:rFonts w:ascii="Bookman Old Style" w:hAnsi="Bookman Old Style"/>
        </w:rPr>
        <w:lastRenderedPageBreak/>
        <w:t>Rozporządzenie Ministra Rozwoju, Pracy i Technologii z dnia 23 lipca 2021 r. w sprawie geodezyjnej ewidencji sieci uzbrojenia terenu.</w:t>
      </w:r>
    </w:p>
    <w:p w14:paraId="42D7EA8E" w14:textId="77777777" w:rsidR="0049396C" w:rsidRPr="003531C7" w:rsidRDefault="0049396C" w:rsidP="003531C7">
      <w:pPr>
        <w:pStyle w:val="Akapitzlist"/>
        <w:numPr>
          <w:ilvl w:val="0"/>
          <w:numId w:val="24"/>
        </w:numPr>
        <w:spacing w:line="360" w:lineRule="auto"/>
        <w:jc w:val="both"/>
        <w:rPr>
          <w:rFonts w:ascii="Bookman Old Style" w:hAnsi="Bookman Old Style"/>
        </w:rPr>
      </w:pPr>
      <w:r w:rsidRPr="003531C7">
        <w:rPr>
          <w:rFonts w:ascii="Bookman Old Style" w:hAnsi="Bookman Old Style"/>
        </w:rPr>
        <w:t>Rozporządzenie Ministra Rozwoju, Pracy i Technologii z dnia 27 lipca 2021 r. w sprawie ewidencji gruntów i budynków.</w:t>
      </w:r>
    </w:p>
    <w:p w14:paraId="704E26A5" w14:textId="77777777" w:rsidR="0049396C" w:rsidRPr="003531C7" w:rsidRDefault="0049396C" w:rsidP="003531C7">
      <w:pPr>
        <w:pStyle w:val="Akapitzlist"/>
        <w:numPr>
          <w:ilvl w:val="0"/>
          <w:numId w:val="24"/>
        </w:numPr>
        <w:spacing w:line="360" w:lineRule="auto"/>
        <w:jc w:val="both"/>
        <w:rPr>
          <w:rFonts w:ascii="Bookman Old Style" w:hAnsi="Bookman Old Style"/>
        </w:rPr>
      </w:pPr>
      <w:r w:rsidRPr="003531C7">
        <w:rPr>
          <w:rFonts w:ascii="Bookman Old Style" w:hAnsi="Bookman Old Style"/>
        </w:rPr>
        <w:t>Rozporządzenie Ministra Spraw Wewnętrznych i Administracji z dnia 20 października 2010 r. w sprawie ewidencji zbiorów i usług danych przestrzennych objętych infrastrukturą informacji przestrzennej.</w:t>
      </w:r>
    </w:p>
    <w:p w14:paraId="012D78B6" w14:textId="77777777" w:rsidR="0049396C" w:rsidRPr="003531C7" w:rsidRDefault="0049396C" w:rsidP="003531C7">
      <w:pPr>
        <w:pStyle w:val="Akapitzlist"/>
        <w:numPr>
          <w:ilvl w:val="0"/>
          <w:numId w:val="24"/>
        </w:numPr>
        <w:spacing w:line="360" w:lineRule="auto"/>
        <w:jc w:val="both"/>
        <w:rPr>
          <w:rFonts w:ascii="Bookman Old Style" w:hAnsi="Bookman Old Style"/>
        </w:rPr>
      </w:pPr>
      <w:r w:rsidRPr="003531C7">
        <w:rPr>
          <w:rFonts w:ascii="Bookman Old Style" w:hAnsi="Bookman Old Style"/>
        </w:rPr>
        <w:t>Rozporządzenie Parlamentu Europejskiego i Rady (UE) 2016/679 z dnia 27 kwietnia 2016 r. w sprawie ochrony osób fizycznych w związku z przetwarzaniem danych osobowych i w sprawie swobodnego przepływu takich danych oraz uchylenia dyrektywy 95/46/WE.</w:t>
      </w:r>
    </w:p>
    <w:p w14:paraId="487C9FD4" w14:textId="0D6BF724" w:rsidR="0049396C" w:rsidRPr="001B6039" w:rsidRDefault="0049396C" w:rsidP="001B6039">
      <w:pPr>
        <w:spacing w:line="360" w:lineRule="auto"/>
        <w:jc w:val="both"/>
        <w:rPr>
          <w:rFonts w:ascii="Bookman Old Style" w:hAnsi="Bookman Old Style"/>
        </w:rPr>
      </w:pPr>
      <w:r w:rsidRPr="001B6039">
        <w:rPr>
          <w:rFonts w:ascii="Bookman Old Style" w:hAnsi="Bookman Old Style"/>
        </w:rPr>
        <w:t xml:space="preserve">Przy wykonaniu przedmiotu zamówienia zarówno zamawiający jak i wykonawca, zobowiązani są do przestrzegania prawa określonego ww. przepisami. Ponadto wiążące będą przepisy aktów prawnych, które wejdą w życie w okresie realizacji zamówienia, nie później jednak niż 60 dni przed umownym terminem zakończenia realizacji </w:t>
      </w:r>
      <w:r w:rsidR="00100456">
        <w:rPr>
          <w:rFonts w:ascii="Bookman Old Style" w:hAnsi="Bookman Old Style"/>
        </w:rPr>
        <w:t>przedmiotu zamówienia</w:t>
      </w:r>
      <w:r w:rsidRPr="001B6039">
        <w:rPr>
          <w:rFonts w:ascii="Bookman Old Style" w:hAnsi="Bookman Old Style"/>
        </w:rPr>
        <w:t>.</w:t>
      </w:r>
    </w:p>
    <w:p w14:paraId="700C6D51" w14:textId="77777777" w:rsidR="0049396C" w:rsidRPr="001B6039" w:rsidRDefault="0049396C" w:rsidP="001B6039">
      <w:pPr>
        <w:spacing w:line="360" w:lineRule="auto"/>
        <w:jc w:val="both"/>
        <w:rPr>
          <w:rFonts w:ascii="Bookman Old Style" w:hAnsi="Bookman Old Style"/>
        </w:rPr>
      </w:pPr>
      <w:r w:rsidRPr="001B6039">
        <w:rPr>
          <w:rFonts w:ascii="Bookman Old Style" w:hAnsi="Bookman Old Style"/>
        </w:rPr>
        <w:t>W kwestiach niesprzecznych z przepisami prawnymi wymienionymi powyżej należy stosować poniższe wytyczne i instrukcje techniczne:</w:t>
      </w:r>
    </w:p>
    <w:p w14:paraId="27CAB7E9" w14:textId="77777777" w:rsidR="0049396C" w:rsidRPr="003531C7" w:rsidRDefault="0049396C" w:rsidP="003531C7">
      <w:pPr>
        <w:pStyle w:val="Akapitzlist"/>
        <w:numPr>
          <w:ilvl w:val="0"/>
          <w:numId w:val="25"/>
        </w:numPr>
        <w:spacing w:line="360" w:lineRule="auto"/>
        <w:jc w:val="both"/>
        <w:rPr>
          <w:rFonts w:ascii="Bookman Old Style" w:hAnsi="Bookman Old Style"/>
        </w:rPr>
      </w:pPr>
      <w:r w:rsidRPr="003531C7">
        <w:rPr>
          <w:rFonts w:ascii="Bookman Old Style" w:hAnsi="Bookman Old Style"/>
        </w:rPr>
        <w:t>Instrukcja techniczna O-4 „Zasady prowadzenia państwowego zasobu geodezyjnego i kartograficznego”;</w:t>
      </w:r>
    </w:p>
    <w:p w14:paraId="26FE264F" w14:textId="77777777" w:rsidR="0049396C" w:rsidRPr="003531C7" w:rsidRDefault="0049396C" w:rsidP="003531C7">
      <w:pPr>
        <w:pStyle w:val="Akapitzlist"/>
        <w:numPr>
          <w:ilvl w:val="0"/>
          <w:numId w:val="25"/>
        </w:numPr>
        <w:spacing w:line="360" w:lineRule="auto"/>
        <w:jc w:val="both"/>
        <w:rPr>
          <w:rFonts w:ascii="Bookman Old Style" w:hAnsi="Bookman Old Style"/>
        </w:rPr>
      </w:pPr>
      <w:r w:rsidRPr="003531C7">
        <w:rPr>
          <w:rFonts w:ascii="Bookman Old Style" w:hAnsi="Bookman Old Style"/>
        </w:rPr>
        <w:t>Instrukcja techniczna O-3 „Zasady kompletowania dokumentacji geodezyjnej i kartograficznej”;</w:t>
      </w:r>
    </w:p>
    <w:p w14:paraId="7F10752B" w14:textId="77777777" w:rsidR="0049396C" w:rsidRPr="003531C7" w:rsidRDefault="0049396C" w:rsidP="003531C7">
      <w:pPr>
        <w:pStyle w:val="Akapitzlist"/>
        <w:numPr>
          <w:ilvl w:val="0"/>
          <w:numId w:val="25"/>
        </w:numPr>
        <w:spacing w:line="360" w:lineRule="auto"/>
        <w:jc w:val="both"/>
        <w:rPr>
          <w:rFonts w:ascii="Bookman Old Style" w:hAnsi="Bookman Old Style"/>
        </w:rPr>
      </w:pPr>
      <w:r w:rsidRPr="003531C7">
        <w:rPr>
          <w:rFonts w:ascii="Bookman Old Style" w:hAnsi="Bookman Old Style"/>
        </w:rPr>
        <w:t>Instrukcja techniczna G-7 „Geodezyjna ewidencja sieci uzbrojenia terenu”;</w:t>
      </w:r>
    </w:p>
    <w:p w14:paraId="356BF5F9" w14:textId="77777777" w:rsidR="0049396C" w:rsidRPr="003531C7" w:rsidRDefault="0049396C" w:rsidP="003531C7">
      <w:pPr>
        <w:pStyle w:val="Akapitzlist"/>
        <w:numPr>
          <w:ilvl w:val="0"/>
          <w:numId w:val="25"/>
        </w:numPr>
        <w:spacing w:line="360" w:lineRule="auto"/>
        <w:jc w:val="both"/>
        <w:rPr>
          <w:rFonts w:ascii="Bookman Old Style" w:hAnsi="Bookman Old Style"/>
        </w:rPr>
      </w:pPr>
      <w:r w:rsidRPr="003531C7">
        <w:rPr>
          <w:rFonts w:ascii="Bookman Old Style" w:hAnsi="Bookman Old Style"/>
        </w:rPr>
        <w:t>Instrukcja techniczna K-1 „Mapa zasadnicza”.</w:t>
      </w:r>
    </w:p>
    <w:p w14:paraId="5E4F1D37" w14:textId="3BBEB300" w:rsidR="0049396C" w:rsidRPr="001B6039" w:rsidRDefault="0049396C" w:rsidP="001B6039">
      <w:pPr>
        <w:spacing w:line="360" w:lineRule="auto"/>
        <w:jc w:val="both"/>
        <w:rPr>
          <w:rFonts w:ascii="Bookman Old Style" w:hAnsi="Bookman Old Style"/>
        </w:rPr>
      </w:pPr>
      <w:r w:rsidRPr="001B6039">
        <w:rPr>
          <w:rFonts w:ascii="Bookman Old Style" w:hAnsi="Bookman Old Style"/>
        </w:rPr>
        <w:t>Niewyszczególnienie w WT jakichkolwiek obowiązujących aktów prawnych, które w części lub całości regulują prace opisane w WT nie zwalnia wykonawcy od ich stosowania.</w:t>
      </w:r>
      <w:bookmarkEnd w:id="6"/>
    </w:p>
    <w:p w14:paraId="4D54264D" w14:textId="77777777" w:rsidR="0049396C" w:rsidRPr="001B6039" w:rsidRDefault="0049396C" w:rsidP="001B6039">
      <w:pPr>
        <w:spacing w:line="360" w:lineRule="auto"/>
        <w:jc w:val="both"/>
        <w:rPr>
          <w:rFonts w:ascii="Bookman Old Style" w:hAnsi="Bookman Old Style"/>
          <w:lang w:eastAsia="zh-CN"/>
        </w:rPr>
      </w:pPr>
    </w:p>
    <w:p w14:paraId="74E372C2" w14:textId="75F9E67A" w:rsidR="003531C7" w:rsidRPr="001B6039" w:rsidRDefault="003531C7" w:rsidP="003531C7">
      <w:pPr>
        <w:spacing w:line="360" w:lineRule="auto"/>
        <w:jc w:val="both"/>
        <w:rPr>
          <w:rFonts w:ascii="Bookman Old Style" w:hAnsi="Bookman Old Style"/>
          <w:b/>
          <w:bCs/>
        </w:rPr>
      </w:pPr>
      <w:r w:rsidRPr="001B6039">
        <w:rPr>
          <w:rFonts w:ascii="Bookman Old Style" w:hAnsi="Bookman Old Style"/>
          <w:b/>
          <w:bCs/>
        </w:rPr>
        <w:t xml:space="preserve">Rozdział </w:t>
      </w:r>
      <w:r>
        <w:rPr>
          <w:rFonts w:ascii="Bookman Old Style" w:hAnsi="Bookman Old Style"/>
          <w:b/>
          <w:bCs/>
        </w:rPr>
        <w:t>3</w:t>
      </w:r>
    </w:p>
    <w:bookmarkEnd w:id="5"/>
    <w:p w14:paraId="1121344C" w14:textId="70989928" w:rsidR="006A4711" w:rsidRPr="003531C7" w:rsidRDefault="0049396C" w:rsidP="001B6039">
      <w:pPr>
        <w:spacing w:line="360" w:lineRule="auto"/>
        <w:jc w:val="both"/>
        <w:rPr>
          <w:rFonts w:ascii="Bookman Old Style" w:hAnsi="Bookman Old Style"/>
          <w:b/>
          <w:bCs/>
          <w:u w:val="single"/>
        </w:rPr>
      </w:pPr>
      <w:r w:rsidRPr="003531C7">
        <w:rPr>
          <w:rFonts w:ascii="Bookman Old Style" w:hAnsi="Bookman Old Style"/>
          <w:b/>
          <w:bCs/>
          <w:u w:val="single"/>
        </w:rPr>
        <w:t>Przedmiot zamówienia.</w:t>
      </w:r>
    </w:p>
    <w:p w14:paraId="41DFFADC" w14:textId="3535D171" w:rsidR="006A4711" w:rsidRPr="001B6039" w:rsidRDefault="0049396C" w:rsidP="001B6039">
      <w:pPr>
        <w:spacing w:line="360" w:lineRule="auto"/>
        <w:jc w:val="both"/>
        <w:rPr>
          <w:rFonts w:ascii="Bookman Old Style" w:hAnsi="Bookman Old Style"/>
        </w:rPr>
      </w:pPr>
      <w:r w:rsidRPr="001B6039">
        <w:rPr>
          <w:rFonts w:ascii="Bookman Old Style" w:hAnsi="Bookman Old Style"/>
        </w:rPr>
        <w:t xml:space="preserve">1. </w:t>
      </w:r>
      <w:r w:rsidR="006A4711" w:rsidRPr="001B6039">
        <w:rPr>
          <w:rFonts w:ascii="Bookman Old Style" w:hAnsi="Bookman Old Style"/>
        </w:rPr>
        <w:t>Przedmiotem Zamówienia w ujęciu ogólnym jest:</w:t>
      </w:r>
    </w:p>
    <w:p w14:paraId="1B3D3E30" w14:textId="18AF540B" w:rsidR="00864417" w:rsidRPr="003531C7" w:rsidRDefault="00562D79" w:rsidP="003531C7">
      <w:pPr>
        <w:pStyle w:val="Akapitzlist"/>
        <w:numPr>
          <w:ilvl w:val="0"/>
          <w:numId w:val="26"/>
        </w:numPr>
        <w:spacing w:line="360" w:lineRule="auto"/>
        <w:jc w:val="both"/>
        <w:rPr>
          <w:rFonts w:ascii="Bookman Old Style" w:hAnsi="Bookman Old Style"/>
        </w:rPr>
      </w:pPr>
      <w:r w:rsidRPr="003531C7">
        <w:rPr>
          <w:rFonts w:ascii="Bookman Old Style" w:hAnsi="Bookman Old Style"/>
        </w:rPr>
        <w:t xml:space="preserve">Analiza aktualnego stanu danych w </w:t>
      </w:r>
      <w:proofErr w:type="spellStart"/>
      <w:r w:rsidRPr="003531C7">
        <w:rPr>
          <w:rFonts w:ascii="Bookman Old Style" w:hAnsi="Bookman Old Style"/>
        </w:rPr>
        <w:t>BDPZGiK</w:t>
      </w:r>
      <w:proofErr w:type="spellEnd"/>
      <w:r w:rsidRPr="003531C7">
        <w:rPr>
          <w:rFonts w:ascii="Bookman Old Style" w:hAnsi="Bookman Old Style"/>
        </w:rPr>
        <w:t>, opracowanie raportów wstępnych.</w:t>
      </w:r>
    </w:p>
    <w:p w14:paraId="2F5A017E" w14:textId="44297B6B" w:rsidR="00580121" w:rsidRPr="003531C7" w:rsidRDefault="00E7508E" w:rsidP="003531C7">
      <w:pPr>
        <w:pStyle w:val="Akapitzlist"/>
        <w:numPr>
          <w:ilvl w:val="0"/>
          <w:numId w:val="26"/>
        </w:numPr>
        <w:spacing w:line="360" w:lineRule="auto"/>
        <w:jc w:val="both"/>
        <w:rPr>
          <w:rFonts w:ascii="Bookman Old Style" w:hAnsi="Bookman Old Style"/>
        </w:rPr>
      </w:pPr>
      <w:r w:rsidRPr="003531C7">
        <w:rPr>
          <w:rFonts w:ascii="Bookman Old Style" w:hAnsi="Bookman Old Style"/>
        </w:rPr>
        <w:t>Ustalenia w zakresie d</w:t>
      </w:r>
      <w:r w:rsidR="00580121" w:rsidRPr="003531C7">
        <w:rPr>
          <w:rFonts w:ascii="Bookman Old Style" w:hAnsi="Bookman Old Style"/>
        </w:rPr>
        <w:t>ostosowani</w:t>
      </w:r>
      <w:r w:rsidR="0049396C" w:rsidRPr="003531C7">
        <w:rPr>
          <w:rFonts w:ascii="Bookman Old Style" w:hAnsi="Bookman Old Style"/>
        </w:rPr>
        <w:t>a</w:t>
      </w:r>
      <w:r w:rsidR="00580121" w:rsidRPr="003531C7">
        <w:rPr>
          <w:rFonts w:ascii="Bookman Old Style" w:hAnsi="Bookman Old Style"/>
        </w:rPr>
        <w:t xml:space="preserve"> danych.</w:t>
      </w:r>
    </w:p>
    <w:p w14:paraId="1937F06E" w14:textId="0EFD8813" w:rsidR="00562D79" w:rsidRPr="003531C7" w:rsidRDefault="00562D79" w:rsidP="003531C7">
      <w:pPr>
        <w:pStyle w:val="Akapitzlist"/>
        <w:numPr>
          <w:ilvl w:val="0"/>
          <w:numId w:val="26"/>
        </w:numPr>
        <w:spacing w:line="360" w:lineRule="auto"/>
        <w:jc w:val="both"/>
        <w:rPr>
          <w:rFonts w:ascii="Bookman Old Style" w:hAnsi="Bookman Old Style"/>
        </w:rPr>
      </w:pPr>
      <w:r w:rsidRPr="003531C7">
        <w:rPr>
          <w:rFonts w:ascii="Bookman Old Style" w:hAnsi="Bookman Old Style"/>
        </w:rPr>
        <w:t>Przedstawienie Tablic konwersji Zamawiającemu celem analizy i uzgodnienia.</w:t>
      </w:r>
    </w:p>
    <w:p w14:paraId="108D0999" w14:textId="4753D46B" w:rsidR="00562D79" w:rsidRPr="003531C7" w:rsidRDefault="00ED37A5" w:rsidP="003531C7">
      <w:pPr>
        <w:pStyle w:val="Akapitzlist"/>
        <w:numPr>
          <w:ilvl w:val="0"/>
          <w:numId w:val="26"/>
        </w:numPr>
        <w:spacing w:line="360" w:lineRule="auto"/>
        <w:jc w:val="both"/>
        <w:rPr>
          <w:rFonts w:ascii="Bookman Old Style" w:hAnsi="Bookman Old Style"/>
        </w:rPr>
      </w:pPr>
      <w:r w:rsidRPr="003531C7">
        <w:rPr>
          <w:rFonts w:ascii="Bookman Old Style" w:hAnsi="Bookman Old Style"/>
        </w:rPr>
        <w:t>Dostosowanie i k</w:t>
      </w:r>
      <w:r w:rsidR="00562D79" w:rsidRPr="003531C7">
        <w:rPr>
          <w:rFonts w:ascii="Bookman Old Style" w:hAnsi="Bookman Old Style"/>
        </w:rPr>
        <w:t xml:space="preserve">onwersja </w:t>
      </w:r>
      <w:proofErr w:type="spellStart"/>
      <w:r w:rsidR="00562D79" w:rsidRPr="003531C7">
        <w:rPr>
          <w:rFonts w:ascii="Bookman Old Style" w:hAnsi="Bookman Old Style"/>
        </w:rPr>
        <w:t>BDPZGiK</w:t>
      </w:r>
      <w:proofErr w:type="spellEnd"/>
      <w:r w:rsidR="00E92F58" w:rsidRPr="003531C7">
        <w:rPr>
          <w:rFonts w:ascii="Bookman Old Style" w:hAnsi="Bookman Old Style"/>
        </w:rPr>
        <w:t xml:space="preserve"> oraz wykonanie koniecznych prac manualnych</w:t>
      </w:r>
      <w:r w:rsidR="00562D79" w:rsidRPr="003531C7">
        <w:rPr>
          <w:rFonts w:ascii="Bookman Old Style" w:hAnsi="Bookman Old Style"/>
        </w:rPr>
        <w:t>.</w:t>
      </w:r>
    </w:p>
    <w:p w14:paraId="4C8D5A1B" w14:textId="5EC7590C" w:rsidR="00C06207" w:rsidRPr="003531C7" w:rsidRDefault="00C06207" w:rsidP="003531C7">
      <w:pPr>
        <w:pStyle w:val="Akapitzlist"/>
        <w:numPr>
          <w:ilvl w:val="0"/>
          <w:numId w:val="26"/>
        </w:numPr>
        <w:spacing w:line="360" w:lineRule="auto"/>
        <w:jc w:val="both"/>
        <w:rPr>
          <w:rFonts w:ascii="Bookman Old Style" w:hAnsi="Bookman Old Style"/>
        </w:rPr>
      </w:pPr>
      <w:r w:rsidRPr="003531C7">
        <w:rPr>
          <w:rFonts w:ascii="Bookman Old Style" w:hAnsi="Bookman Old Style"/>
        </w:rPr>
        <w:t>Sporządzenie stosownej dokumentacji prac.</w:t>
      </w:r>
    </w:p>
    <w:p w14:paraId="0C28E4D3" w14:textId="4E2BCAED" w:rsidR="00626D10" w:rsidRPr="003531C7" w:rsidRDefault="00626D10" w:rsidP="0058004F">
      <w:pPr>
        <w:pStyle w:val="Akapitzlist"/>
        <w:numPr>
          <w:ilvl w:val="0"/>
          <w:numId w:val="28"/>
        </w:numPr>
        <w:spacing w:line="360" w:lineRule="auto"/>
        <w:ind w:left="284"/>
        <w:jc w:val="both"/>
        <w:rPr>
          <w:rFonts w:ascii="Bookman Old Style" w:hAnsi="Bookman Old Style"/>
        </w:rPr>
      </w:pPr>
      <w:r w:rsidRPr="003531C7">
        <w:rPr>
          <w:rFonts w:ascii="Bookman Old Style" w:hAnsi="Bookman Old Style"/>
        </w:rPr>
        <w:lastRenderedPageBreak/>
        <w:t xml:space="preserve">Wykonawca jest zobowiązany do opracowania i przedstawienia Zamawiającemu do uzgodnienia harmonogramu działań </w:t>
      </w:r>
      <w:r w:rsidR="005C02CC" w:rsidRPr="003531C7">
        <w:rPr>
          <w:rFonts w:ascii="Bookman Old Style" w:hAnsi="Bookman Old Style"/>
        </w:rPr>
        <w:t xml:space="preserve">wymaganych i </w:t>
      </w:r>
      <w:r w:rsidRPr="003531C7">
        <w:rPr>
          <w:rFonts w:ascii="Bookman Old Style" w:hAnsi="Bookman Old Style"/>
        </w:rPr>
        <w:t xml:space="preserve">opisanych w ust. </w:t>
      </w:r>
      <w:r w:rsidR="001C4484" w:rsidRPr="003531C7">
        <w:rPr>
          <w:rFonts w:ascii="Bookman Old Style" w:hAnsi="Bookman Old Style"/>
        </w:rPr>
        <w:t>1</w:t>
      </w:r>
      <w:r w:rsidRPr="003531C7">
        <w:rPr>
          <w:rFonts w:ascii="Bookman Old Style" w:hAnsi="Bookman Old Style"/>
        </w:rPr>
        <w:t xml:space="preserve">, z podaniem terminów każdego z działań, do 14 dni od daty podpisania </w:t>
      </w:r>
      <w:r w:rsidR="0041126C" w:rsidRPr="003531C7">
        <w:rPr>
          <w:rFonts w:ascii="Bookman Old Style" w:hAnsi="Bookman Old Style"/>
        </w:rPr>
        <w:t>u</w:t>
      </w:r>
      <w:r w:rsidRPr="003531C7">
        <w:rPr>
          <w:rFonts w:ascii="Bookman Old Style" w:hAnsi="Bookman Old Style"/>
        </w:rPr>
        <w:t>mowy.</w:t>
      </w:r>
    </w:p>
    <w:p w14:paraId="19C63766" w14:textId="7D672798" w:rsidR="00B45D91" w:rsidRPr="003531C7" w:rsidRDefault="006A4711" w:rsidP="0058004F">
      <w:pPr>
        <w:pStyle w:val="Akapitzlist"/>
        <w:numPr>
          <w:ilvl w:val="0"/>
          <w:numId w:val="28"/>
        </w:numPr>
        <w:spacing w:line="360" w:lineRule="auto"/>
        <w:ind w:left="284"/>
        <w:jc w:val="both"/>
        <w:rPr>
          <w:rFonts w:ascii="Bookman Old Style" w:hAnsi="Bookman Old Style"/>
        </w:rPr>
      </w:pPr>
      <w:proofErr w:type="spellStart"/>
      <w:r w:rsidRPr="003531C7">
        <w:rPr>
          <w:rFonts w:ascii="Bookman Old Style" w:hAnsi="Bookman Old Style"/>
        </w:rPr>
        <w:t>BDPZGiK</w:t>
      </w:r>
      <w:proofErr w:type="spellEnd"/>
      <w:r w:rsidRPr="003531C7">
        <w:rPr>
          <w:rFonts w:ascii="Bookman Old Style" w:hAnsi="Bookman Old Style"/>
        </w:rPr>
        <w:t xml:space="preserve"> prowadzona przez zamawiającego stanowi bazę produkcyjną wykorzystywaną do</w:t>
      </w:r>
      <w:r w:rsidR="00A45796" w:rsidRPr="003531C7">
        <w:rPr>
          <w:rFonts w:ascii="Bookman Old Style" w:hAnsi="Bookman Old Style"/>
        </w:rPr>
        <w:t xml:space="preserve"> </w:t>
      </w:r>
      <w:r w:rsidRPr="003531C7">
        <w:rPr>
          <w:rFonts w:ascii="Bookman Old Style" w:hAnsi="Bookman Old Style"/>
        </w:rPr>
        <w:t xml:space="preserve">realizacji bieżących zadań </w:t>
      </w:r>
      <w:r w:rsidR="005C02CC" w:rsidRPr="003531C7">
        <w:rPr>
          <w:rFonts w:ascii="Bookman Old Style" w:hAnsi="Bookman Old Style"/>
        </w:rPr>
        <w:t>Urzędu</w:t>
      </w:r>
      <w:r w:rsidRPr="003531C7">
        <w:rPr>
          <w:rFonts w:ascii="Bookman Old Style" w:hAnsi="Bookman Old Style"/>
        </w:rPr>
        <w:t xml:space="preserve">. Wykonawca zobowiązany jest do zaplanowania takiego przebiegu realizacji prac objętych WT, który zapewni ciągłość realizacji zadań </w:t>
      </w:r>
      <w:r w:rsidR="005C02CC" w:rsidRPr="003531C7">
        <w:rPr>
          <w:rFonts w:ascii="Bookman Old Style" w:hAnsi="Bookman Old Style"/>
        </w:rPr>
        <w:t>Urzędu</w:t>
      </w:r>
      <w:r w:rsidRPr="003531C7">
        <w:rPr>
          <w:rFonts w:ascii="Bookman Old Style" w:hAnsi="Bookman Old Style"/>
        </w:rPr>
        <w:t xml:space="preserve"> bez naruszania organizacji </w:t>
      </w:r>
      <w:r w:rsidR="005C02CC" w:rsidRPr="003531C7">
        <w:rPr>
          <w:rFonts w:ascii="Bookman Old Style" w:hAnsi="Bookman Old Style"/>
        </w:rPr>
        <w:t xml:space="preserve">jego </w:t>
      </w:r>
      <w:r w:rsidR="000B2D7B" w:rsidRPr="003531C7">
        <w:rPr>
          <w:rFonts w:ascii="Bookman Old Style" w:hAnsi="Bookman Old Style"/>
        </w:rPr>
        <w:t>pracy</w:t>
      </w:r>
      <w:r w:rsidRPr="003531C7">
        <w:rPr>
          <w:rFonts w:ascii="Bookman Old Style" w:hAnsi="Bookman Old Style"/>
        </w:rPr>
        <w:t>.</w:t>
      </w:r>
      <w:r w:rsidR="00B45D91" w:rsidRPr="003531C7">
        <w:rPr>
          <w:rFonts w:ascii="Bookman Old Style" w:hAnsi="Bookman Old Style"/>
        </w:rPr>
        <w:t xml:space="preserve"> Konwersja </w:t>
      </w:r>
      <w:proofErr w:type="spellStart"/>
      <w:r w:rsidR="00B45D91" w:rsidRPr="003531C7">
        <w:rPr>
          <w:rFonts w:ascii="Bookman Old Style" w:hAnsi="Bookman Old Style"/>
        </w:rPr>
        <w:t>BDPZGiK</w:t>
      </w:r>
      <w:proofErr w:type="spellEnd"/>
      <w:r w:rsidR="00B45D91" w:rsidRPr="003531C7">
        <w:rPr>
          <w:rFonts w:ascii="Bookman Old Style" w:hAnsi="Bookman Old Style"/>
        </w:rPr>
        <w:t xml:space="preserve"> nie może trwać dłużej niż </w:t>
      </w:r>
      <w:r w:rsidR="00180820" w:rsidRPr="003531C7">
        <w:rPr>
          <w:rFonts w:ascii="Bookman Old Style" w:hAnsi="Bookman Old Style"/>
        </w:rPr>
        <w:t>2</w:t>
      </w:r>
      <w:r w:rsidR="00B45D91" w:rsidRPr="003531C7">
        <w:rPr>
          <w:rFonts w:ascii="Bookman Old Style" w:hAnsi="Bookman Old Style"/>
        </w:rPr>
        <w:t xml:space="preserve"> d</w:t>
      </w:r>
      <w:r w:rsidR="00180820" w:rsidRPr="003531C7">
        <w:rPr>
          <w:rFonts w:ascii="Bookman Old Style" w:hAnsi="Bookman Old Style"/>
        </w:rPr>
        <w:t>ni</w:t>
      </w:r>
      <w:r w:rsidR="00B45D91" w:rsidRPr="003531C7">
        <w:rPr>
          <w:rFonts w:ascii="Bookman Old Style" w:hAnsi="Bookman Old Style"/>
        </w:rPr>
        <w:t xml:space="preserve"> robocz</w:t>
      </w:r>
      <w:r w:rsidR="00180820" w:rsidRPr="003531C7">
        <w:rPr>
          <w:rFonts w:ascii="Bookman Old Style" w:hAnsi="Bookman Old Style"/>
        </w:rPr>
        <w:t>e</w:t>
      </w:r>
      <w:r w:rsidR="0041126C" w:rsidRPr="003531C7">
        <w:rPr>
          <w:rFonts w:ascii="Bookman Old Style" w:hAnsi="Bookman Old Style"/>
        </w:rPr>
        <w:t xml:space="preserve"> a w szczególności </w:t>
      </w:r>
      <w:proofErr w:type="spellStart"/>
      <w:r w:rsidR="0041126C" w:rsidRPr="003531C7">
        <w:rPr>
          <w:rFonts w:ascii="Bookman Old Style" w:hAnsi="Bookman Old Style"/>
        </w:rPr>
        <w:t>BDPZGiK</w:t>
      </w:r>
      <w:proofErr w:type="spellEnd"/>
      <w:r w:rsidR="0041126C" w:rsidRPr="003531C7">
        <w:rPr>
          <w:rFonts w:ascii="Bookman Old Style" w:hAnsi="Bookman Old Style"/>
        </w:rPr>
        <w:t xml:space="preserve"> nie może być blokowana na okres dłuższy niż 2 dni robocze</w:t>
      </w:r>
      <w:r w:rsidR="00B45D91" w:rsidRPr="003531C7">
        <w:rPr>
          <w:rFonts w:ascii="Bookman Old Style" w:hAnsi="Bookman Old Style"/>
        </w:rPr>
        <w:t>. Konwersję można przeprowadzić w ustalone z Zamawiającym dni wolne od pracy.</w:t>
      </w:r>
    </w:p>
    <w:p w14:paraId="0F9F6951" w14:textId="1E181CA0" w:rsidR="006A4711" w:rsidRPr="003531C7" w:rsidRDefault="006A4711" w:rsidP="0058004F">
      <w:pPr>
        <w:pStyle w:val="Akapitzlist"/>
        <w:numPr>
          <w:ilvl w:val="0"/>
          <w:numId w:val="28"/>
        </w:numPr>
        <w:spacing w:line="360" w:lineRule="auto"/>
        <w:ind w:left="284"/>
        <w:jc w:val="both"/>
        <w:rPr>
          <w:rFonts w:ascii="Bookman Old Style" w:hAnsi="Bookman Old Style"/>
        </w:rPr>
      </w:pPr>
      <w:r w:rsidRPr="003531C7">
        <w:rPr>
          <w:rFonts w:ascii="Bookman Old Style" w:hAnsi="Bookman Old Style"/>
        </w:rPr>
        <w:t xml:space="preserve">Wykonawca jest zobowiązany do przekazywania opracowanych materiałów, raportów częściowych i końcowych, inaczej półproduktów, do kontroli doraźnej, w dowolnym momencie trwania prac na wniosek </w:t>
      </w:r>
      <w:r w:rsidR="00FA5A36" w:rsidRPr="003531C7">
        <w:rPr>
          <w:rFonts w:ascii="Bookman Old Style" w:hAnsi="Bookman Old Style"/>
        </w:rPr>
        <w:t>Z</w:t>
      </w:r>
      <w:r w:rsidRPr="003531C7">
        <w:rPr>
          <w:rFonts w:ascii="Bookman Old Style" w:hAnsi="Bookman Old Style"/>
        </w:rPr>
        <w:t xml:space="preserve">amawiającego oraz do stosowania się do zaleceń </w:t>
      </w:r>
      <w:r w:rsidR="00FA5A36" w:rsidRPr="003531C7">
        <w:rPr>
          <w:rFonts w:ascii="Bookman Old Style" w:hAnsi="Bookman Old Style"/>
        </w:rPr>
        <w:t>Z</w:t>
      </w:r>
      <w:r w:rsidRPr="003531C7">
        <w:rPr>
          <w:rFonts w:ascii="Bookman Old Style" w:hAnsi="Bookman Old Style"/>
        </w:rPr>
        <w:t>amawiającego. W</w:t>
      </w:r>
      <w:r w:rsidR="008051B0" w:rsidRPr="003531C7">
        <w:rPr>
          <w:rFonts w:ascii="Bookman Old Style" w:hAnsi="Bookman Old Style"/>
        </w:rPr>
        <w:t> </w:t>
      </w:r>
      <w:r w:rsidRPr="003531C7">
        <w:rPr>
          <w:rFonts w:ascii="Bookman Old Style" w:hAnsi="Bookman Old Style"/>
        </w:rPr>
        <w:t xml:space="preserve">trakcie realizacji prac objętych WT </w:t>
      </w:r>
      <w:r w:rsidR="00FA5A36" w:rsidRPr="003531C7">
        <w:rPr>
          <w:rFonts w:ascii="Bookman Old Style" w:hAnsi="Bookman Old Style"/>
        </w:rPr>
        <w:t>Z</w:t>
      </w:r>
      <w:r w:rsidRPr="003531C7">
        <w:rPr>
          <w:rFonts w:ascii="Bookman Old Style" w:hAnsi="Bookman Old Style"/>
        </w:rPr>
        <w:t>amawiający dopuszcza uzgadnianie w trybie roboczym z</w:t>
      </w:r>
      <w:r w:rsidR="00A45796" w:rsidRPr="003531C7">
        <w:rPr>
          <w:rFonts w:ascii="Bookman Old Style" w:hAnsi="Bookman Old Style"/>
        </w:rPr>
        <w:t xml:space="preserve"> </w:t>
      </w:r>
      <w:r w:rsidR="00FA5A36" w:rsidRPr="003531C7">
        <w:rPr>
          <w:rFonts w:ascii="Bookman Old Style" w:hAnsi="Bookman Old Style"/>
        </w:rPr>
        <w:t>W</w:t>
      </w:r>
      <w:r w:rsidRPr="003531C7">
        <w:rPr>
          <w:rFonts w:ascii="Bookman Old Style" w:hAnsi="Bookman Old Style"/>
        </w:rPr>
        <w:t>ykonawcą szczegółów technicznych dotyczących realizacji prac, przy czym szczegóły te muszą zostać opisane i uzgodnione w</w:t>
      </w:r>
      <w:r w:rsidR="00A45796" w:rsidRPr="003531C7">
        <w:rPr>
          <w:rFonts w:ascii="Bookman Old Style" w:hAnsi="Bookman Old Style"/>
        </w:rPr>
        <w:t xml:space="preserve"> </w:t>
      </w:r>
      <w:r w:rsidRPr="003531C7">
        <w:rPr>
          <w:rFonts w:ascii="Bookman Old Style" w:hAnsi="Bookman Old Style"/>
        </w:rPr>
        <w:t>D</w:t>
      </w:r>
      <w:r w:rsidR="00C06207" w:rsidRPr="003531C7">
        <w:rPr>
          <w:rFonts w:ascii="Bookman Old Style" w:hAnsi="Bookman Old Style"/>
        </w:rPr>
        <w:t>zienniku Robót</w:t>
      </w:r>
      <w:r w:rsidRPr="003531C7">
        <w:rPr>
          <w:rFonts w:ascii="Bookman Old Style" w:hAnsi="Bookman Old Style"/>
        </w:rPr>
        <w:t xml:space="preserve"> </w:t>
      </w:r>
      <w:r w:rsidR="000B2D7B" w:rsidRPr="003531C7">
        <w:rPr>
          <w:rFonts w:ascii="Bookman Old Style" w:hAnsi="Bookman Old Style"/>
        </w:rPr>
        <w:t>do 3 dni od</w:t>
      </w:r>
      <w:r w:rsidR="00A45796" w:rsidRPr="003531C7">
        <w:rPr>
          <w:rFonts w:ascii="Bookman Old Style" w:hAnsi="Bookman Old Style"/>
        </w:rPr>
        <w:t xml:space="preserve"> </w:t>
      </w:r>
      <w:r w:rsidR="000B2D7B" w:rsidRPr="003531C7">
        <w:rPr>
          <w:rFonts w:ascii="Bookman Old Style" w:hAnsi="Bookman Old Style"/>
        </w:rPr>
        <w:t>poczynienia uzgodnienia roboczego</w:t>
      </w:r>
      <w:r w:rsidRPr="003531C7">
        <w:rPr>
          <w:rFonts w:ascii="Bookman Old Style" w:hAnsi="Bookman Old Style"/>
        </w:rPr>
        <w:t>. Dotyczy to</w:t>
      </w:r>
      <w:r w:rsidR="00A45796" w:rsidRPr="003531C7">
        <w:rPr>
          <w:rFonts w:ascii="Bookman Old Style" w:hAnsi="Bookman Old Style"/>
        </w:rPr>
        <w:t xml:space="preserve"> </w:t>
      </w:r>
      <w:r w:rsidRPr="003531C7">
        <w:rPr>
          <w:rFonts w:ascii="Bookman Old Style" w:hAnsi="Bookman Old Style"/>
        </w:rPr>
        <w:t>w</w:t>
      </w:r>
      <w:r w:rsidR="00A45796" w:rsidRPr="003531C7">
        <w:rPr>
          <w:rFonts w:ascii="Bookman Old Style" w:hAnsi="Bookman Old Style"/>
        </w:rPr>
        <w:t xml:space="preserve"> </w:t>
      </w:r>
      <w:r w:rsidRPr="003531C7">
        <w:rPr>
          <w:rFonts w:ascii="Bookman Old Style" w:hAnsi="Bookman Old Style"/>
        </w:rPr>
        <w:t xml:space="preserve">szczególności wszelkich wątpliwości i zapytań ze strony </w:t>
      </w:r>
      <w:r w:rsidR="00FA5A36" w:rsidRPr="003531C7">
        <w:rPr>
          <w:rFonts w:ascii="Bookman Old Style" w:hAnsi="Bookman Old Style"/>
        </w:rPr>
        <w:t>W</w:t>
      </w:r>
      <w:r w:rsidRPr="003531C7">
        <w:rPr>
          <w:rFonts w:ascii="Bookman Old Style" w:hAnsi="Bookman Old Style"/>
        </w:rPr>
        <w:t>ykonawcy</w:t>
      </w:r>
      <w:r w:rsidR="00011A23" w:rsidRPr="003531C7">
        <w:rPr>
          <w:rFonts w:ascii="Bookman Old Style" w:hAnsi="Bookman Old Style"/>
        </w:rPr>
        <w:t>, jak również</w:t>
      </w:r>
      <w:r w:rsidRPr="003531C7">
        <w:rPr>
          <w:rFonts w:ascii="Bookman Old Style" w:hAnsi="Bookman Old Style"/>
        </w:rPr>
        <w:t xml:space="preserve"> wystą</w:t>
      </w:r>
      <w:r w:rsidRPr="003531C7">
        <w:rPr>
          <w:rFonts w:ascii="Bookman Old Style" w:hAnsi="Bookman Old Style"/>
        </w:rPr>
        <w:softHyphen/>
        <w:t>pienia sytuacji nieprzewidzianych w</w:t>
      </w:r>
      <w:r w:rsidR="00A45796" w:rsidRPr="003531C7">
        <w:rPr>
          <w:rFonts w:ascii="Bookman Old Style" w:hAnsi="Bookman Old Style"/>
        </w:rPr>
        <w:t xml:space="preserve"> </w:t>
      </w:r>
      <w:r w:rsidRPr="003531C7">
        <w:rPr>
          <w:rFonts w:ascii="Bookman Old Style" w:hAnsi="Bookman Old Style"/>
        </w:rPr>
        <w:t>obowiązujących przepisach prawnych i</w:t>
      </w:r>
      <w:r w:rsidR="008051B0" w:rsidRPr="003531C7">
        <w:rPr>
          <w:rFonts w:ascii="Bookman Old Style" w:hAnsi="Bookman Old Style"/>
        </w:rPr>
        <w:t> </w:t>
      </w:r>
      <w:r w:rsidR="00FA5A36" w:rsidRPr="003531C7">
        <w:rPr>
          <w:rFonts w:ascii="Bookman Old Style" w:hAnsi="Bookman Old Style"/>
        </w:rPr>
        <w:t xml:space="preserve">niniejszych </w:t>
      </w:r>
      <w:r w:rsidRPr="003531C7">
        <w:rPr>
          <w:rFonts w:ascii="Bookman Old Style" w:hAnsi="Bookman Old Style"/>
        </w:rPr>
        <w:t>WT.</w:t>
      </w:r>
    </w:p>
    <w:p w14:paraId="7197F5C1" w14:textId="3DE7B713" w:rsidR="006A4711" w:rsidRPr="003531C7" w:rsidRDefault="006A4711" w:rsidP="0058004F">
      <w:pPr>
        <w:pStyle w:val="Akapitzlist"/>
        <w:numPr>
          <w:ilvl w:val="0"/>
          <w:numId w:val="28"/>
        </w:numPr>
        <w:spacing w:line="360" w:lineRule="auto"/>
        <w:ind w:left="284"/>
        <w:jc w:val="both"/>
        <w:rPr>
          <w:rFonts w:ascii="Bookman Old Style" w:hAnsi="Bookman Old Style"/>
        </w:rPr>
      </w:pPr>
      <w:r w:rsidRPr="003531C7">
        <w:rPr>
          <w:rFonts w:ascii="Bookman Old Style" w:hAnsi="Bookman Old Style"/>
        </w:rPr>
        <w:t xml:space="preserve">Zamawiający zastrzega sobie prawo do powołania niezależnego podmiotu pełniącego rolę inspektora prac, który w imieniu </w:t>
      </w:r>
      <w:r w:rsidR="00000E11" w:rsidRPr="003531C7">
        <w:rPr>
          <w:rFonts w:ascii="Bookman Old Style" w:hAnsi="Bookman Old Style"/>
        </w:rPr>
        <w:t>Z</w:t>
      </w:r>
      <w:r w:rsidRPr="003531C7">
        <w:rPr>
          <w:rFonts w:ascii="Bookman Old Style" w:hAnsi="Bookman Old Style"/>
        </w:rPr>
        <w:t>amawiającego będzie dokonywał kontroli wyników prac wykonawcy, sprawował nadzór na</w:t>
      </w:r>
      <w:r w:rsidR="00505CF5" w:rsidRPr="003531C7">
        <w:rPr>
          <w:rFonts w:ascii="Bookman Old Style" w:hAnsi="Bookman Old Style"/>
        </w:rPr>
        <w:t>d</w:t>
      </w:r>
      <w:r w:rsidRPr="003531C7">
        <w:rPr>
          <w:rFonts w:ascii="Bookman Old Style" w:hAnsi="Bookman Old Style"/>
        </w:rPr>
        <w:t xml:space="preserve"> wykonaniem prac, dokona </w:t>
      </w:r>
      <w:r w:rsidR="005C02CC" w:rsidRPr="003531C7">
        <w:rPr>
          <w:rFonts w:ascii="Bookman Old Style" w:hAnsi="Bookman Old Style"/>
        </w:rPr>
        <w:t>kontroli danych</w:t>
      </w:r>
      <w:r w:rsidRPr="003531C7">
        <w:rPr>
          <w:rFonts w:ascii="Bookman Old Style" w:hAnsi="Bookman Old Style"/>
        </w:rPr>
        <w:t xml:space="preserve"> jak </w:t>
      </w:r>
      <w:r w:rsidR="00011A23" w:rsidRPr="003531C7">
        <w:rPr>
          <w:rFonts w:ascii="Bookman Old Style" w:hAnsi="Bookman Old Style"/>
        </w:rPr>
        <w:t xml:space="preserve">również </w:t>
      </w:r>
      <w:r w:rsidRPr="003531C7">
        <w:rPr>
          <w:rFonts w:ascii="Bookman Old Style" w:hAnsi="Bookman Old Style"/>
        </w:rPr>
        <w:t xml:space="preserve">będzie brał czynny udział </w:t>
      </w:r>
      <w:r w:rsidR="00011A23" w:rsidRPr="003531C7">
        <w:rPr>
          <w:rFonts w:ascii="Bookman Old Style" w:hAnsi="Bookman Old Style"/>
        </w:rPr>
        <w:t xml:space="preserve">w </w:t>
      </w:r>
      <w:r w:rsidRPr="003531C7">
        <w:rPr>
          <w:rFonts w:ascii="Bookman Old Style" w:hAnsi="Bookman Old Style"/>
        </w:rPr>
        <w:t>odbiorze prac. O fakcie powołania inspektora wykonawca zostanie poinformowany niezwłocznie.</w:t>
      </w:r>
    </w:p>
    <w:p w14:paraId="582DFC29" w14:textId="2432FDE5" w:rsidR="00B45D91" w:rsidRPr="003531C7" w:rsidRDefault="00B45D91" w:rsidP="0058004F">
      <w:pPr>
        <w:pStyle w:val="Akapitzlist"/>
        <w:numPr>
          <w:ilvl w:val="0"/>
          <w:numId w:val="28"/>
        </w:numPr>
        <w:spacing w:line="360" w:lineRule="auto"/>
        <w:ind w:left="284"/>
        <w:jc w:val="both"/>
        <w:rPr>
          <w:rFonts w:ascii="Bookman Old Style" w:hAnsi="Bookman Old Style"/>
        </w:rPr>
      </w:pPr>
      <w:r w:rsidRPr="003531C7">
        <w:rPr>
          <w:rFonts w:ascii="Bookman Old Style" w:hAnsi="Bookman Old Style"/>
        </w:rPr>
        <w:t>Zamawiający po podpisaniu umowy wskaże Wykonawcy numer identyfikatora pracy, pod którym zostanie zapisana historia obiektów.</w:t>
      </w:r>
    </w:p>
    <w:p w14:paraId="6DBBE931" w14:textId="74875CEB" w:rsidR="006A4711" w:rsidRPr="003531C7" w:rsidRDefault="006A4711" w:rsidP="0058004F">
      <w:pPr>
        <w:pStyle w:val="Akapitzlist"/>
        <w:numPr>
          <w:ilvl w:val="0"/>
          <w:numId w:val="28"/>
        </w:numPr>
        <w:spacing w:line="360" w:lineRule="auto"/>
        <w:ind w:left="284"/>
        <w:jc w:val="both"/>
        <w:rPr>
          <w:rFonts w:ascii="Bookman Old Style" w:hAnsi="Bookman Old Style"/>
        </w:rPr>
      </w:pPr>
      <w:r w:rsidRPr="003531C7">
        <w:rPr>
          <w:rFonts w:ascii="Bookman Old Style" w:hAnsi="Bookman Old Style"/>
        </w:rPr>
        <w:t xml:space="preserve">Zamawiający udostępni wykonawcy komplet danych i materiałów służących wykonaniu przedmiotu zamówienia w uzgodnionych terminach. W przypadku, gdy do wykonania przedmiotu zamówienia niezbędne będą materiały z </w:t>
      </w:r>
      <w:r w:rsidR="004B0267" w:rsidRPr="003531C7">
        <w:rPr>
          <w:rFonts w:ascii="Bookman Old Style" w:hAnsi="Bookman Old Style"/>
        </w:rPr>
        <w:t xml:space="preserve">wojewódzkiej lub </w:t>
      </w:r>
      <w:r w:rsidRPr="003531C7">
        <w:rPr>
          <w:rFonts w:ascii="Bookman Old Style" w:hAnsi="Bookman Old Style"/>
        </w:rPr>
        <w:t xml:space="preserve">centralnej części </w:t>
      </w:r>
      <w:proofErr w:type="spellStart"/>
      <w:r w:rsidRPr="003531C7">
        <w:rPr>
          <w:rFonts w:ascii="Bookman Old Style" w:hAnsi="Bookman Old Style"/>
        </w:rPr>
        <w:t>PZGiK</w:t>
      </w:r>
      <w:proofErr w:type="spellEnd"/>
      <w:r w:rsidRPr="003531C7">
        <w:rPr>
          <w:rFonts w:ascii="Bookman Old Style" w:hAnsi="Bookman Old Style"/>
        </w:rPr>
        <w:t xml:space="preserve">, zamawiający pozyska te materiały na podstawie art. 5 ust. 3 </w:t>
      </w:r>
      <w:r w:rsidR="001667AC" w:rsidRPr="003531C7">
        <w:rPr>
          <w:rFonts w:ascii="Bookman Old Style" w:hAnsi="Bookman Old Style"/>
        </w:rPr>
        <w:t>u</w:t>
      </w:r>
      <w:r w:rsidRPr="003531C7">
        <w:rPr>
          <w:rFonts w:ascii="Bookman Old Style" w:hAnsi="Bookman Old Style"/>
        </w:rPr>
        <w:t xml:space="preserve">stawy </w:t>
      </w:r>
      <w:proofErr w:type="spellStart"/>
      <w:r w:rsidRPr="003531C7">
        <w:rPr>
          <w:rFonts w:ascii="Bookman Old Style" w:hAnsi="Bookman Old Style"/>
        </w:rPr>
        <w:t>PGiK</w:t>
      </w:r>
      <w:proofErr w:type="spellEnd"/>
      <w:r w:rsidRPr="003531C7">
        <w:rPr>
          <w:rFonts w:ascii="Bookman Old Style" w:hAnsi="Bookman Old Style"/>
        </w:rPr>
        <w:t xml:space="preserve"> lub</w:t>
      </w:r>
      <w:r w:rsidR="000F4BA9" w:rsidRPr="003531C7">
        <w:rPr>
          <w:rFonts w:ascii="Bookman Old Style" w:hAnsi="Bookman Old Style"/>
        </w:rPr>
        <w:t xml:space="preserve"> </w:t>
      </w:r>
      <w:r w:rsidRPr="003531C7">
        <w:rPr>
          <w:rFonts w:ascii="Bookman Old Style" w:hAnsi="Bookman Old Style"/>
        </w:rPr>
        <w:t>na</w:t>
      </w:r>
      <w:r w:rsidR="000F4BA9" w:rsidRPr="003531C7">
        <w:rPr>
          <w:rFonts w:ascii="Bookman Old Style" w:hAnsi="Bookman Old Style"/>
        </w:rPr>
        <w:t xml:space="preserve"> </w:t>
      </w:r>
      <w:r w:rsidRPr="003531C7">
        <w:rPr>
          <w:rFonts w:ascii="Bookman Old Style" w:hAnsi="Bookman Old Style"/>
        </w:rPr>
        <w:t>podstawie art. 15 ustawy z dnia 17 lutego 2005 r. o informatyzacji działalności podmiotów realizujących zadania publiczne, a następnie udostępni je nieodpłatnie wykonawcy. Materiały niezbędne do</w:t>
      </w:r>
      <w:r w:rsidR="000F4BA9" w:rsidRPr="003531C7">
        <w:rPr>
          <w:rFonts w:ascii="Bookman Old Style" w:hAnsi="Bookman Old Style"/>
        </w:rPr>
        <w:t xml:space="preserve"> </w:t>
      </w:r>
      <w:r w:rsidRPr="003531C7">
        <w:rPr>
          <w:rFonts w:ascii="Bookman Old Style" w:hAnsi="Bookman Old Style"/>
        </w:rPr>
        <w:t xml:space="preserve">wykonania przedmiotu zamówienia będą wydane </w:t>
      </w:r>
      <w:r w:rsidR="004232BF" w:rsidRPr="003531C7">
        <w:rPr>
          <w:rFonts w:ascii="Bookman Old Style" w:hAnsi="Bookman Old Style"/>
        </w:rPr>
        <w:t>W</w:t>
      </w:r>
      <w:r w:rsidRPr="003531C7">
        <w:rPr>
          <w:rFonts w:ascii="Bookman Old Style" w:hAnsi="Bookman Old Style"/>
        </w:rPr>
        <w:t>ykonawcy po podpisaniu umowy.</w:t>
      </w:r>
    </w:p>
    <w:p w14:paraId="230CCCE1" w14:textId="0950BB2D" w:rsidR="00562D79" w:rsidRPr="003531C7" w:rsidRDefault="006A4711" w:rsidP="0058004F">
      <w:pPr>
        <w:pStyle w:val="Akapitzlist"/>
        <w:numPr>
          <w:ilvl w:val="0"/>
          <w:numId w:val="28"/>
        </w:numPr>
        <w:spacing w:line="360" w:lineRule="auto"/>
        <w:ind w:left="284"/>
        <w:jc w:val="both"/>
        <w:rPr>
          <w:rFonts w:ascii="Bookman Old Style" w:hAnsi="Bookman Old Style"/>
        </w:rPr>
      </w:pPr>
      <w:r w:rsidRPr="003531C7">
        <w:rPr>
          <w:rFonts w:ascii="Bookman Old Style" w:hAnsi="Bookman Old Style"/>
        </w:rPr>
        <w:t xml:space="preserve">Prace służące </w:t>
      </w:r>
      <w:r w:rsidR="00562D79" w:rsidRPr="003531C7">
        <w:rPr>
          <w:rFonts w:ascii="Bookman Old Style" w:hAnsi="Bookman Old Style"/>
        </w:rPr>
        <w:t xml:space="preserve">wprowadzeniu stosownych zmian </w:t>
      </w:r>
      <w:r w:rsidRPr="003531C7">
        <w:rPr>
          <w:rFonts w:ascii="Bookman Old Style" w:hAnsi="Bookman Old Style"/>
        </w:rPr>
        <w:t xml:space="preserve">w </w:t>
      </w:r>
      <w:proofErr w:type="spellStart"/>
      <w:r w:rsidRPr="003531C7">
        <w:rPr>
          <w:rFonts w:ascii="Bookman Old Style" w:hAnsi="Bookman Old Style"/>
        </w:rPr>
        <w:t>BDPZGiK</w:t>
      </w:r>
      <w:proofErr w:type="spellEnd"/>
      <w:r w:rsidRPr="003531C7">
        <w:rPr>
          <w:rFonts w:ascii="Bookman Old Style" w:hAnsi="Bookman Old Style"/>
        </w:rPr>
        <w:t xml:space="preserve"> leżą w całości po stronie wykonawcy. Prace te mogą zostać wykonane za pośrednictwem narzędzi i</w:t>
      </w:r>
      <w:r w:rsidR="00057F54" w:rsidRPr="003531C7">
        <w:rPr>
          <w:rFonts w:ascii="Bookman Old Style" w:hAnsi="Bookman Old Style"/>
        </w:rPr>
        <w:t> </w:t>
      </w:r>
      <w:r w:rsidRPr="003531C7">
        <w:rPr>
          <w:rFonts w:ascii="Bookman Old Style" w:hAnsi="Bookman Old Style"/>
        </w:rPr>
        <w:t xml:space="preserve">mechanizmów dostępowych, które wykonawca pozyska we własnym zakresie. Zamawiający może </w:t>
      </w:r>
      <w:r w:rsidRPr="003531C7">
        <w:rPr>
          <w:rFonts w:ascii="Bookman Old Style" w:hAnsi="Bookman Old Style"/>
        </w:rPr>
        <w:lastRenderedPageBreak/>
        <w:t xml:space="preserve">udostępnić wykonawcy </w:t>
      </w:r>
      <w:r w:rsidR="00C87FEE" w:rsidRPr="003531C7">
        <w:rPr>
          <w:rFonts w:ascii="Bookman Old Style" w:hAnsi="Bookman Old Style"/>
        </w:rPr>
        <w:t>dwa</w:t>
      </w:r>
      <w:r w:rsidRPr="003531C7">
        <w:rPr>
          <w:rFonts w:ascii="Bookman Old Style" w:hAnsi="Bookman Old Style"/>
        </w:rPr>
        <w:t xml:space="preserve"> stanowisk</w:t>
      </w:r>
      <w:r w:rsidR="00C87FEE" w:rsidRPr="003531C7">
        <w:rPr>
          <w:rFonts w:ascii="Bookman Old Style" w:hAnsi="Bookman Old Style"/>
        </w:rPr>
        <w:t>a</w:t>
      </w:r>
      <w:r w:rsidRPr="003531C7">
        <w:rPr>
          <w:rFonts w:ascii="Bookman Old Style" w:hAnsi="Bookman Old Style"/>
        </w:rPr>
        <w:t xml:space="preserve"> z interfejsem desktopowym</w:t>
      </w:r>
      <w:r w:rsidR="00A3088D" w:rsidRPr="003531C7">
        <w:rPr>
          <w:rFonts w:ascii="Bookman Old Style" w:hAnsi="Bookman Old Style"/>
        </w:rPr>
        <w:t xml:space="preserve"> </w:t>
      </w:r>
      <w:proofErr w:type="spellStart"/>
      <w:r w:rsidR="00A3088D" w:rsidRPr="003531C7">
        <w:rPr>
          <w:rFonts w:ascii="Bookman Old Style" w:hAnsi="Bookman Old Style"/>
        </w:rPr>
        <w:t>TurboEWID</w:t>
      </w:r>
      <w:proofErr w:type="spellEnd"/>
      <w:r w:rsidRPr="003531C7">
        <w:rPr>
          <w:rFonts w:ascii="Bookman Old Style" w:hAnsi="Bookman Old Style"/>
        </w:rPr>
        <w:t xml:space="preserve"> </w:t>
      </w:r>
      <w:r w:rsidR="00562D79" w:rsidRPr="003531C7">
        <w:rPr>
          <w:rFonts w:ascii="Bookman Old Style" w:hAnsi="Bookman Old Style"/>
        </w:rPr>
        <w:t xml:space="preserve">do </w:t>
      </w:r>
      <w:proofErr w:type="spellStart"/>
      <w:r w:rsidR="00562D79" w:rsidRPr="003531C7">
        <w:rPr>
          <w:rFonts w:ascii="Bookman Old Style" w:hAnsi="Bookman Old Style"/>
        </w:rPr>
        <w:t>BDPZGiK</w:t>
      </w:r>
      <w:proofErr w:type="spellEnd"/>
      <w:r w:rsidRPr="003531C7">
        <w:rPr>
          <w:rFonts w:ascii="Bookman Old Style" w:hAnsi="Bookman Old Style"/>
        </w:rPr>
        <w:t xml:space="preserve"> w</w:t>
      </w:r>
      <w:r w:rsidR="008051B0" w:rsidRPr="003531C7">
        <w:rPr>
          <w:rFonts w:ascii="Bookman Old Style" w:hAnsi="Bookman Old Style"/>
        </w:rPr>
        <w:t> </w:t>
      </w:r>
      <w:r w:rsidRPr="003531C7">
        <w:rPr>
          <w:rFonts w:ascii="Bookman Old Style" w:hAnsi="Bookman Old Style"/>
        </w:rPr>
        <w:t xml:space="preserve">siedzibie </w:t>
      </w:r>
      <w:r w:rsidR="005C02CC" w:rsidRPr="003531C7">
        <w:rPr>
          <w:rFonts w:ascii="Bookman Old Style" w:hAnsi="Bookman Old Style"/>
        </w:rPr>
        <w:t>Urzędu</w:t>
      </w:r>
      <w:r w:rsidRPr="003531C7">
        <w:rPr>
          <w:rFonts w:ascii="Bookman Old Style" w:hAnsi="Bookman Old Style"/>
        </w:rPr>
        <w:t>.</w:t>
      </w:r>
    </w:p>
    <w:p w14:paraId="73D30B0B" w14:textId="15FFA9F4" w:rsidR="00A3088D" w:rsidRPr="003531C7" w:rsidRDefault="00562D79" w:rsidP="0058004F">
      <w:pPr>
        <w:pStyle w:val="Akapitzlist"/>
        <w:numPr>
          <w:ilvl w:val="0"/>
          <w:numId w:val="28"/>
        </w:numPr>
        <w:spacing w:line="360" w:lineRule="auto"/>
        <w:ind w:left="284"/>
        <w:jc w:val="both"/>
        <w:rPr>
          <w:rFonts w:ascii="Bookman Old Style" w:hAnsi="Bookman Old Style"/>
        </w:rPr>
      </w:pPr>
      <w:r w:rsidRPr="003531C7">
        <w:rPr>
          <w:rFonts w:ascii="Bookman Old Style" w:hAnsi="Bookman Old Style"/>
        </w:rPr>
        <w:t>Konwersję danych</w:t>
      </w:r>
      <w:r w:rsidR="00EE2040" w:rsidRPr="003531C7">
        <w:rPr>
          <w:rFonts w:ascii="Bookman Old Style" w:hAnsi="Bookman Old Style"/>
        </w:rPr>
        <w:t xml:space="preserve"> należy wykonać wprost na obiektach bazy danych </w:t>
      </w:r>
      <w:r w:rsidR="00642E5D" w:rsidRPr="003531C7">
        <w:rPr>
          <w:rFonts w:ascii="Bookman Old Style" w:hAnsi="Bookman Old Style"/>
        </w:rPr>
        <w:t>wraz z zachowaniem pełnej historii danych</w:t>
      </w:r>
      <w:r w:rsidR="00402C3C" w:rsidRPr="003531C7">
        <w:rPr>
          <w:rFonts w:ascii="Bookman Old Style" w:hAnsi="Bookman Old Style"/>
        </w:rPr>
        <w:t>,</w:t>
      </w:r>
      <w:r w:rsidR="00642E5D" w:rsidRPr="003531C7">
        <w:rPr>
          <w:rFonts w:ascii="Bookman Old Style" w:hAnsi="Bookman Old Style"/>
        </w:rPr>
        <w:t xml:space="preserve"> odnoszącej się </w:t>
      </w:r>
      <w:r w:rsidR="00E7274D" w:rsidRPr="003531C7">
        <w:rPr>
          <w:rFonts w:ascii="Bookman Old Style" w:hAnsi="Bookman Old Style"/>
        </w:rPr>
        <w:t xml:space="preserve">zarówno </w:t>
      </w:r>
      <w:r w:rsidR="00642E5D" w:rsidRPr="003531C7">
        <w:rPr>
          <w:rFonts w:ascii="Bookman Old Style" w:hAnsi="Bookman Old Style"/>
        </w:rPr>
        <w:t>do stanów</w:t>
      </w:r>
      <w:r w:rsidR="00402C3C" w:rsidRPr="003531C7">
        <w:rPr>
          <w:rFonts w:ascii="Bookman Old Style" w:hAnsi="Bookman Old Style"/>
        </w:rPr>
        <w:t>,</w:t>
      </w:r>
      <w:r w:rsidR="00642E5D" w:rsidRPr="003531C7">
        <w:rPr>
          <w:rFonts w:ascii="Bookman Old Style" w:hAnsi="Bookman Old Style"/>
        </w:rPr>
        <w:t xml:space="preserve"> </w:t>
      </w:r>
      <w:r w:rsidR="00E7274D" w:rsidRPr="003531C7">
        <w:rPr>
          <w:rFonts w:ascii="Bookman Old Style" w:hAnsi="Bookman Old Style"/>
        </w:rPr>
        <w:t xml:space="preserve">jak </w:t>
      </w:r>
      <w:r w:rsidR="00A3088D" w:rsidRPr="003531C7">
        <w:rPr>
          <w:rFonts w:ascii="Bookman Old Style" w:hAnsi="Bookman Old Style"/>
        </w:rPr>
        <w:t xml:space="preserve">i relacji </w:t>
      </w:r>
      <w:r w:rsidR="00E7274D" w:rsidRPr="003531C7">
        <w:rPr>
          <w:rFonts w:ascii="Bookman Old Style" w:hAnsi="Bookman Old Style"/>
        </w:rPr>
        <w:t xml:space="preserve">obiektów </w:t>
      </w:r>
      <w:r w:rsidR="00402C3C" w:rsidRPr="003531C7">
        <w:rPr>
          <w:rFonts w:ascii="Bookman Old Style" w:hAnsi="Bookman Old Style"/>
        </w:rPr>
        <w:t>w</w:t>
      </w:r>
      <w:r w:rsidR="008051B0" w:rsidRPr="003531C7">
        <w:rPr>
          <w:rFonts w:ascii="Bookman Old Style" w:hAnsi="Bookman Old Style"/>
        </w:rPr>
        <w:t> </w:t>
      </w:r>
      <w:r w:rsidR="00E7274D" w:rsidRPr="003531C7">
        <w:rPr>
          <w:rFonts w:ascii="Bookman Old Style" w:hAnsi="Bookman Old Style"/>
        </w:rPr>
        <w:t>poszczególnych stanach obiektów</w:t>
      </w:r>
      <w:r w:rsidR="00842F7A" w:rsidRPr="003531C7">
        <w:rPr>
          <w:rFonts w:ascii="Bookman Old Style" w:hAnsi="Bookman Old Style"/>
        </w:rPr>
        <w:t>.</w:t>
      </w:r>
      <w:r w:rsidR="00A3088D" w:rsidRPr="003531C7">
        <w:rPr>
          <w:rFonts w:ascii="Bookman Old Style" w:hAnsi="Bookman Old Style"/>
        </w:rPr>
        <w:t xml:space="preserve"> W szczególności przez prawidłowo zachowaną historię obiektów rozumie się spełnienie jednocześnie i łącznie następujących warunków/możliwości:</w:t>
      </w:r>
    </w:p>
    <w:p w14:paraId="025BA534" w14:textId="3197E854" w:rsidR="00A3088D" w:rsidRPr="003531C7" w:rsidRDefault="00A3088D" w:rsidP="002D0877">
      <w:pPr>
        <w:pStyle w:val="Akapitzlist"/>
        <w:numPr>
          <w:ilvl w:val="0"/>
          <w:numId w:val="29"/>
        </w:numPr>
        <w:spacing w:line="360" w:lineRule="auto"/>
        <w:jc w:val="both"/>
        <w:rPr>
          <w:rFonts w:ascii="Bookman Old Style" w:hAnsi="Bookman Old Style"/>
        </w:rPr>
      </w:pPr>
      <w:r w:rsidRPr="003531C7">
        <w:rPr>
          <w:rFonts w:ascii="Bookman Old Style" w:hAnsi="Bookman Old Style"/>
        </w:rPr>
        <w:t xml:space="preserve">możliwość przeglądania historycznej kontekstowej kontynuacji stanu każdego obiektu, dostępnej w dedykowanych Kartotekach interfejsu desktopowego </w:t>
      </w:r>
      <w:proofErr w:type="spellStart"/>
      <w:r w:rsidR="00CA5A25" w:rsidRPr="003531C7">
        <w:rPr>
          <w:rFonts w:ascii="Bookman Old Style" w:hAnsi="Bookman Old Style"/>
        </w:rPr>
        <w:t>TurboEWID</w:t>
      </w:r>
      <w:proofErr w:type="spellEnd"/>
      <w:r w:rsidR="00CA5A25" w:rsidRPr="003531C7">
        <w:rPr>
          <w:rFonts w:ascii="Bookman Old Style" w:hAnsi="Bookman Old Style"/>
        </w:rPr>
        <w:t xml:space="preserve"> </w:t>
      </w:r>
      <w:r w:rsidRPr="003531C7">
        <w:rPr>
          <w:rFonts w:ascii="Bookman Old Style" w:hAnsi="Bookman Old Style"/>
        </w:rPr>
        <w:t>poprzez wygenerowanie stanu poprzedniego obiektu</w:t>
      </w:r>
      <w:r w:rsidR="00931991" w:rsidRPr="003531C7">
        <w:rPr>
          <w:rFonts w:ascii="Bookman Old Style" w:hAnsi="Bookman Old Style"/>
        </w:rPr>
        <w:t>,</w:t>
      </w:r>
      <w:r w:rsidRPr="003531C7">
        <w:rPr>
          <w:rFonts w:ascii="Bookman Old Style" w:hAnsi="Bookman Old Style"/>
        </w:rPr>
        <w:t xml:space="preserve"> wskazując </w:t>
      </w:r>
      <w:r w:rsidR="00CA5A25" w:rsidRPr="003531C7">
        <w:rPr>
          <w:rFonts w:ascii="Bookman Old Style" w:hAnsi="Bookman Old Style"/>
        </w:rPr>
        <w:t xml:space="preserve">na stan aktualny </w:t>
      </w:r>
      <w:r w:rsidRPr="003531C7">
        <w:rPr>
          <w:rFonts w:ascii="Bookman Old Style" w:hAnsi="Bookman Old Style"/>
        </w:rPr>
        <w:t>obiekt</w:t>
      </w:r>
      <w:r w:rsidR="00CA5A25" w:rsidRPr="003531C7">
        <w:rPr>
          <w:rFonts w:ascii="Bookman Old Style" w:hAnsi="Bookman Old Style"/>
        </w:rPr>
        <w:t>u</w:t>
      </w:r>
      <w:r w:rsidRPr="003531C7">
        <w:rPr>
          <w:rFonts w:ascii="Bookman Old Style" w:hAnsi="Bookman Old Style"/>
        </w:rPr>
        <w:t>;</w:t>
      </w:r>
    </w:p>
    <w:p w14:paraId="5CEDF536" w14:textId="3E92AE4D" w:rsidR="006A4711" w:rsidRPr="003531C7" w:rsidRDefault="00A3088D" w:rsidP="002D0877">
      <w:pPr>
        <w:pStyle w:val="Akapitzlist"/>
        <w:numPr>
          <w:ilvl w:val="0"/>
          <w:numId w:val="29"/>
        </w:numPr>
        <w:spacing w:line="360" w:lineRule="auto"/>
        <w:jc w:val="both"/>
        <w:rPr>
          <w:rFonts w:ascii="Bookman Old Style" w:hAnsi="Bookman Old Style"/>
        </w:rPr>
      </w:pPr>
      <w:r w:rsidRPr="003531C7">
        <w:rPr>
          <w:rFonts w:ascii="Bookman Old Style" w:hAnsi="Bookman Old Style"/>
        </w:rPr>
        <w:t xml:space="preserve">możliwość wygenerowania stanu </w:t>
      </w:r>
      <w:r w:rsidR="00931991" w:rsidRPr="003531C7">
        <w:rPr>
          <w:rFonts w:ascii="Bookman Old Style" w:hAnsi="Bookman Old Style"/>
        </w:rPr>
        <w:t>„</w:t>
      </w:r>
      <w:r w:rsidRPr="003531C7">
        <w:rPr>
          <w:rFonts w:ascii="Bookman Old Style" w:hAnsi="Bookman Old Style"/>
        </w:rPr>
        <w:t>na dzień</w:t>
      </w:r>
      <w:r w:rsidR="00931991" w:rsidRPr="003531C7">
        <w:rPr>
          <w:rFonts w:ascii="Bookman Old Style" w:hAnsi="Bookman Old Style"/>
        </w:rPr>
        <w:t>”</w:t>
      </w:r>
      <w:r w:rsidRPr="003531C7">
        <w:rPr>
          <w:rFonts w:ascii="Bookman Old Style" w:hAnsi="Bookman Old Style"/>
        </w:rPr>
        <w:t xml:space="preserve"> obiektów za pomocą Generatora obiektów przestrzennych</w:t>
      </w:r>
      <w:r w:rsidR="00931991" w:rsidRPr="003531C7">
        <w:rPr>
          <w:rFonts w:ascii="Bookman Old Style" w:hAnsi="Bookman Old Style"/>
        </w:rPr>
        <w:t>,</w:t>
      </w:r>
      <w:r w:rsidR="00E7274D" w:rsidRPr="003531C7">
        <w:rPr>
          <w:rFonts w:ascii="Bookman Old Style" w:hAnsi="Bookman Old Style"/>
        </w:rPr>
        <w:t xml:space="preserve"> dostępnego w interfejsie desktopowym </w:t>
      </w:r>
      <w:proofErr w:type="spellStart"/>
      <w:r w:rsidR="00CA5A25" w:rsidRPr="003531C7">
        <w:rPr>
          <w:rFonts w:ascii="Bookman Old Style" w:hAnsi="Bookman Old Style"/>
        </w:rPr>
        <w:t>TurboEWID</w:t>
      </w:r>
      <w:proofErr w:type="spellEnd"/>
      <w:r w:rsidR="00CA5A25" w:rsidRPr="003531C7">
        <w:rPr>
          <w:rFonts w:ascii="Bookman Old Style" w:hAnsi="Bookman Old Style"/>
        </w:rPr>
        <w:t xml:space="preserve"> </w:t>
      </w:r>
      <w:r w:rsidR="00E7274D" w:rsidRPr="003531C7">
        <w:rPr>
          <w:rFonts w:ascii="Bookman Old Style" w:hAnsi="Bookman Old Style"/>
        </w:rPr>
        <w:t xml:space="preserve">systemu </w:t>
      </w:r>
      <w:proofErr w:type="spellStart"/>
      <w:r w:rsidR="00E7274D" w:rsidRPr="003531C7">
        <w:rPr>
          <w:rFonts w:ascii="Bookman Old Style" w:hAnsi="Bookman Old Style"/>
        </w:rPr>
        <w:t>PZGiK</w:t>
      </w:r>
      <w:proofErr w:type="spellEnd"/>
      <w:r w:rsidRPr="003531C7">
        <w:rPr>
          <w:rFonts w:ascii="Bookman Old Style" w:hAnsi="Bookman Old Style"/>
        </w:rPr>
        <w:t>.</w:t>
      </w:r>
    </w:p>
    <w:p w14:paraId="2FE4EE90" w14:textId="2F60363C" w:rsidR="006A4711" w:rsidRPr="003531C7" w:rsidRDefault="006A4711" w:rsidP="0058004F">
      <w:pPr>
        <w:pStyle w:val="Akapitzlist"/>
        <w:numPr>
          <w:ilvl w:val="0"/>
          <w:numId w:val="28"/>
        </w:numPr>
        <w:spacing w:line="360" w:lineRule="auto"/>
        <w:ind w:left="284"/>
        <w:jc w:val="both"/>
        <w:rPr>
          <w:rFonts w:ascii="Bookman Old Style" w:hAnsi="Bookman Old Style"/>
        </w:rPr>
      </w:pPr>
      <w:r w:rsidRPr="003531C7">
        <w:rPr>
          <w:rFonts w:ascii="Bookman Old Style" w:hAnsi="Bookman Old Style"/>
        </w:rPr>
        <w:t xml:space="preserve">Zamawiający zastrzega sobie prawo do dokonywania bieżących aktualizacji </w:t>
      </w:r>
      <w:r w:rsidR="00CD1BCE" w:rsidRPr="003531C7">
        <w:rPr>
          <w:rFonts w:ascii="Bookman Old Style" w:hAnsi="Bookman Old Style"/>
        </w:rPr>
        <w:t xml:space="preserve">systemu </w:t>
      </w:r>
      <w:proofErr w:type="spellStart"/>
      <w:r w:rsidR="00CD1BCE" w:rsidRPr="003531C7">
        <w:rPr>
          <w:rFonts w:ascii="Bookman Old Style" w:hAnsi="Bookman Old Style"/>
        </w:rPr>
        <w:t>PZGiK</w:t>
      </w:r>
      <w:proofErr w:type="spellEnd"/>
      <w:r w:rsidRPr="003531C7">
        <w:rPr>
          <w:rFonts w:ascii="Bookman Old Style" w:hAnsi="Bookman Old Style"/>
        </w:rPr>
        <w:t>, o</w:t>
      </w:r>
      <w:r w:rsidR="00057F54" w:rsidRPr="003531C7">
        <w:rPr>
          <w:rFonts w:ascii="Bookman Old Style" w:hAnsi="Bookman Old Style"/>
        </w:rPr>
        <w:t> </w:t>
      </w:r>
      <w:r w:rsidRPr="003531C7">
        <w:rPr>
          <w:rFonts w:ascii="Bookman Old Style" w:hAnsi="Bookman Old Style"/>
        </w:rPr>
        <w:t>czym zobowiązuje się powiadamiać niezwłocznie wykonawcę, przy czym aktualizacje mające wpływ na formaty i sposoby wymiany danych będących przedmiotem zamówienia</w:t>
      </w:r>
      <w:r w:rsidR="002F51A5" w:rsidRPr="003531C7">
        <w:rPr>
          <w:rFonts w:ascii="Bookman Old Style" w:hAnsi="Bookman Old Style"/>
        </w:rPr>
        <w:t xml:space="preserve"> oraz strukturę bazy danych</w:t>
      </w:r>
      <w:r w:rsidR="00CA5A25" w:rsidRPr="003531C7">
        <w:rPr>
          <w:rFonts w:ascii="Bookman Old Style" w:hAnsi="Bookman Old Style"/>
        </w:rPr>
        <w:t>,</w:t>
      </w:r>
      <w:r w:rsidR="002F51A5" w:rsidRPr="003531C7">
        <w:rPr>
          <w:rFonts w:ascii="Bookman Old Style" w:hAnsi="Bookman Old Style"/>
        </w:rPr>
        <w:t xml:space="preserve"> w związku z realizacją </w:t>
      </w:r>
      <w:r w:rsidR="00CA5A25" w:rsidRPr="003531C7">
        <w:rPr>
          <w:rFonts w:ascii="Bookman Old Style" w:hAnsi="Bookman Old Style"/>
        </w:rPr>
        <w:t>konwersji</w:t>
      </w:r>
      <w:r w:rsidR="002F51A5" w:rsidRPr="003531C7">
        <w:rPr>
          <w:rFonts w:ascii="Bookman Old Style" w:hAnsi="Bookman Old Style"/>
        </w:rPr>
        <w:t>,</w:t>
      </w:r>
      <w:r w:rsidRPr="003531C7">
        <w:rPr>
          <w:rFonts w:ascii="Bookman Old Style" w:hAnsi="Bookman Old Style"/>
        </w:rPr>
        <w:t xml:space="preserve"> będą wprowadzane do </w:t>
      </w:r>
      <w:r w:rsidR="00CD1BCE" w:rsidRPr="003531C7">
        <w:rPr>
          <w:rFonts w:ascii="Bookman Old Style" w:hAnsi="Bookman Old Style"/>
        </w:rPr>
        <w:t xml:space="preserve">systemu </w:t>
      </w:r>
      <w:proofErr w:type="spellStart"/>
      <w:r w:rsidR="00CD1BCE" w:rsidRPr="003531C7">
        <w:rPr>
          <w:rFonts w:ascii="Bookman Old Style" w:hAnsi="Bookman Old Style"/>
        </w:rPr>
        <w:t>PZGiK</w:t>
      </w:r>
      <w:proofErr w:type="spellEnd"/>
      <w:r w:rsidR="00CD1BCE" w:rsidRPr="003531C7">
        <w:rPr>
          <w:rFonts w:ascii="Bookman Old Style" w:hAnsi="Bookman Old Style"/>
        </w:rPr>
        <w:t xml:space="preserve"> </w:t>
      </w:r>
      <w:r w:rsidRPr="003531C7">
        <w:rPr>
          <w:rFonts w:ascii="Bookman Old Style" w:hAnsi="Bookman Old Style"/>
        </w:rPr>
        <w:t xml:space="preserve">nie później niż na 30 dni przed umownym terminem </w:t>
      </w:r>
      <w:r w:rsidR="00D80DF3" w:rsidRPr="003531C7">
        <w:rPr>
          <w:rFonts w:ascii="Bookman Old Style" w:hAnsi="Bookman Old Style"/>
        </w:rPr>
        <w:t>zakończenia prac</w:t>
      </w:r>
      <w:r w:rsidRPr="003531C7">
        <w:rPr>
          <w:rFonts w:ascii="Bookman Old Style" w:hAnsi="Bookman Old Style"/>
        </w:rPr>
        <w:t>.</w:t>
      </w:r>
    </w:p>
    <w:p w14:paraId="7A414577" w14:textId="606AD8B0" w:rsidR="00207A1C" w:rsidRPr="003531C7" w:rsidRDefault="00207A1C" w:rsidP="0058004F">
      <w:pPr>
        <w:pStyle w:val="Akapitzlist"/>
        <w:numPr>
          <w:ilvl w:val="0"/>
          <w:numId w:val="28"/>
        </w:numPr>
        <w:spacing w:line="360" w:lineRule="auto"/>
        <w:ind w:left="284"/>
        <w:jc w:val="both"/>
        <w:rPr>
          <w:rFonts w:ascii="Bookman Old Style" w:hAnsi="Bookman Old Style"/>
        </w:rPr>
      </w:pPr>
      <w:r w:rsidRPr="003531C7">
        <w:rPr>
          <w:rFonts w:ascii="Bookman Old Style" w:hAnsi="Bookman Old Style"/>
        </w:rPr>
        <w:t>Realizacja przedmiotu zamówienia będzie odbywać się w infrastrukturze informatycznej Zamawiającego. Wykonawca jest zobowiązany do zachowania zasad bezpieczeństwa informatycznego na takim poziomie, by nie dopuścić do jakichkolwiek zdarzeń niebezpiecznych a także wystąpienia podatności do nastąpienia takich zdarzeń. Powyższe nie ogranicza się jedynie do stosowania reguł narzuconych przez Zamawiającego w infrastrukturze informatycznej Zamawiającego ale także do stosowania odpowiednich reguł w infrastrukturze informatycznej Wykonawcy. W szczególności Wykonawca powinien:</w:t>
      </w:r>
    </w:p>
    <w:p w14:paraId="2CFCC717" w14:textId="503F3672" w:rsidR="00207A1C" w:rsidRPr="002D0877" w:rsidRDefault="00207A1C" w:rsidP="002D0877">
      <w:pPr>
        <w:pStyle w:val="Akapitzlist"/>
        <w:numPr>
          <w:ilvl w:val="0"/>
          <w:numId w:val="30"/>
        </w:numPr>
        <w:spacing w:line="360" w:lineRule="auto"/>
        <w:jc w:val="both"/>
        <w:rPr>
          <w:rFonts w:ascii="Bookman Old Style" w:hAnsi="Bookman Old Style"/>
        </w:rPr>
      </w:pPr>
      <w:r w:rsidRPr="002D0877">
        <w:rPr>
          <w:rFonts w:ascii="Bookman Old Style" w:hAnsi="Bookman Old Style"/>
        </w:rPr>
        <w:t xml:space="preserve">Posiadać i stosować udokumentowaną politykę dotyczącą zachowania bezpieczeństwa danych i informacji, która określa zobowiązania i odpowiedzialności pracowników </w:t>
      </w:r>
      <w:r w:rsidR="0085326F" w:rsidRPr="002D0877">
        <w:rPr>
          <w:rFonts w:ascii="Bookman Old Style" w:hAnsi="Bookman Old Style"/>
        </w:rPr>
        <w:br/>
      </w:r>
      <w:r w:rsidRPr="002D0877">
        <w:rPr>
          <w:rFonts w:ascii="Bookman Old Style" w:hAnsi="Bookman Old Style"/>
        </w:rPr>
        <w:t>i współpracowników</w:t>
      </w:r>
      <w:r w:rsidR="00257D06" w:rsidRPr="002D0877">
        <w:rPr>
          <w:rFonts w:ascii="Bookman Old Style" w:hAnsi="Bookman Old Style"/>
        </w:rPr>
        <w:t xml:space="preserve"> Wykonawcy</w:t>
      </w:r>
      <w:r w:rsidRPr="002D0877">
        <w:rPr>
          <w:rFonts w:ascii="Bookman Old Style" w:hAnsi="Bookman Old Style"/>
        </w:rPr>
        <w:t>. Zamawiający zastrzega sobie wgląd do tejże polityki w</w:t>
      </w:r>
      <w:r w:rsidR="004F45E8" w:rsidRPr="002D0877">
        <w:rPr>
          <w:rFonts w:ascii="Bookman Old Style" w:hAnsi="Bookman Old Style"/>
        </w:rPr>
        <w:t> </w:t>
      </w:r>
      <w:r w:rsidRPr="002D0877">
        <w:rPr>
          <w:rFonts w:ascii="Bookman Old Style" w:hAnsi="Bookman Old Style"/>
        </w:rPr>
        <w:t>trakcie realizacji prac.</w:t>
      </w:r>
    </w:p>
    <w:p w14:paraId="786E7A92" w14:textId="77777777" w:rsidR="00207A1C" w:rsidRPr="002D0877" w:rsidRDefault="00207A1C" w:rsidP="002D0877">
      <w:pPr>
        <w:pStyle w:val="Akapitzlist"/>
        <w:numPr>
          <w:ilvl w:val="0"/>
          <w:numId w:val="30"/>
        </w:numPr>
        <w:spacing w:line="360" w:lineRule="auto"/>
        <w:jc w:val="both"/>
        <w:rPr>
          <w:rFonts w:ascii="Bookman Old Style" w:hAnsi="Bookman Old Style"/>
        </w:rPr>
      </w:pPr>
      <w:r w:rsidRPr="002D0877">
        <w:rPr>
          <w:rFonts w:ascii="Bookman Old Style" w:hAnsi="Bookman Old Style"/>
        </w:rPr>
        <w:t>Przeprowadzać regularne, nie rzadziej niż 2 razy do roku, oceny ryzyka, służące do identyfikacji potencjalnych zagrożeń i ryzyka związanego z przetwarzaniem danych.</w:t>
      </w:r>
    </w:p>
    <w:p w14:paraId="41611C3D" w14:textId="77777777" w:rsidR="00207A1C" w:rsidRPr="002D0877" w:rsidRDefault="00207A1C" w:rsidP="002D0877">
      <w:pPr>
        <w:pStyle w:val="Akapitzlist"/>
        <w:numPr>
          <w:ilvl w:val="0"/>
          <w:numId w:val="30"/>
        </w:numPr>
        <w:spacing w:line="360" w:lineRule="auto"/>
        <w:jc w:val="both"/>
        <w:rPr>
          <w:rFonts w:ascii="Bookman Old Style" w:hAnsi="Bookman Old Style"/>
        </w:rPr>
      </w:pPr>
      <w:r w:rsidRPr="002D0877">
        <w:rPr>
          <w:rFonts w:ascii="Bookman Old Style" w:hAnsi="Bookman Old Style"/>
        </w:rPr>
        <w:t>Przypisać pracownikom i współpracownikom odpowiednie uprawnienia dostępu do danych, zgodnie z zasadą najmniejszych uprawnień. Dostęp do poufnych informacji powinien być udzielany tylko tym pracownikom i współpracownikom, którzy są uprawnieni do ich przetwarzania zgodnie z posiadaną dokumentacją i zobowiązaniami Wykonawcy.</w:t>
      </w:r>
    </w:p>
    <w:p w14:paraId="45852AE6" w14:textId="77777777" w:rsidR="00207A1C" w:rsidRPr="002D0877" w:rsidRDefault="00207A1C" w:rsidP="002D0877">
      <w:pPr>
        <w:pStyle w:val="Akapitzlist"/>
        <w:numPr>
          <w:ilvl w:val="0"/>
          <w:numId w:val="30"/>
        </w:numPr>
        <w:spacing w:line="360" w:lineRule="auto"/>
        <w:jc w:val="both"/>
        <w:rPr>
          <w:rFonts w:ascii="Bookman Old Style" w:hAnsi="Bookman Old Style"/>
        </w:rPr>
      </w:pPr>
      <w:r w:rsidRPr="002D0877">
        <w:rPr>
          <w:rFonts w:ascii="Bookman Old Style" w:hAnsi="Bookman Old Style"/>
        </w:rPr>
        <w:lastRenderedPageBreak/>
        <w:t>Posiadać środki kontroli dostępu, takie jak autoryzacja, uwierzytelnianie i monitorowanie, aby zapewnić odpowiedni poziom ochrony danych.</w:t>
      </w:r>
    </w:p>
    <w:p w14:paraId="20CB921F" w14:textId="7A77BBB4" w:rsidR="00207A1C" w:rsidRPr="002D0877" w:rsidRDefault="00207A1C" w:rsidP="002D0877">
      <w:pPr>
        <w:pStyle w:val="Akapitzlist"/>
        <w:numPr>
          <w:ilvl w:val="0"/>
          <w:numId w:val="30"/>
        </w:numPr>
        <w:spacing w:line="360" w:lineRule="auto"/>
        <w:jc w:val="both"/>
        <w:rPr>
          <w:rFonts w:ascii="Bookman Old Style" w:hAnsi="Bookman Old Style"/>
        </w:rPr>
      </w:pPr>
      <w:r w:rsidRPr="002D0877">
        <w:rPr>
          <w:rFonts w:ascii="Bookman Old Style" w:hAnsi="Bookman Old Style"/>
        </w:rPr>
        <w:t>Zapewnić odpowiednie szkolenia i rozwój kompetencji pracowników i współpracowników, którzy będą przetwarzać dane, aby zwiększyć ich świadomość w zakresie bezpieczeństwa informacji oraz przeciwdziałania zagrożeniom. Wiedza i umiejętności pracowników i współpracowników powinny być stale aktualizowane w celu zapewnienia skutecznej ochrony danych.</w:t>
      </w:r>
    </w:p>
    <w:p w14:paraId="3CB17D90" w14:textId="77777777" w:rsidR="00207A1C" w:rsidRPr="002D0877" w:rsidRDefault="00207A1C" w:rsidP="002D0877">
      <w:pPr>
        <w:pStyle w:val="Akapitzlist"/>
        <w:numPr>
          <w:ilvl w:val="0"/>
          <w:numId w:val="30"/>
        </w:numPr>
        <w:spacing w:line="360" w:lineRule="auto"/>
        <w:jc w:val="both"/>
        <w:rPr>
          <w:rFonts w:ascii="Bookman Old Style" w:hAnsi="Bookman Old Style"/>
        </w:rPr>
      </w:pPr>
      <w:r w:rsidRPr="002D0877">
        <w:rPr>
          <w:rFonts w:ascii="Bookman Old Style" w:hAnsi="Bookman Old Style"/>
        </w:rPr>
        <w:t>Posiadać i stosować procedury i mechanizmy reagowania na incydenty związane z bezpieczeństwem informacji, w tym proces raportowania, śledzenia i rozwiązywania incydentów.</w:t>
      </w:r>
    </w:p>
    <w:p w14:paraId="002AD00A" w14:textId="77777777" w:rsidR="00207A1C" w:rsidRPr="002D0877" w:rsidRDefault="00207A1C" w:rsidP="002D0877">
      <w:pPr>
        <w:pStyle w:val="Akapitzlist"/>
        <w:numPr>
          <w:ilvl w:val="0"/>
          <w:numId w:val="30"/>
        </w:numPr>
        <w:spacing w:line="360" w:lineRule="auto"/>
        <w:jc w:val="both"/>
        <w:rPr>
          <w:rFonts w:ascii="Bookman Old Style" w:hAnsi="Bookman Old Style"/>
        </w:rPr>
      </w:pPr>
      <w:r w:rsidRPr="002D0877">
        <w:rPr>
          <w:rFonts w:ascii="Bookman Old Style" w:hAnsi="Bookman Old Style"/>
        </w:rPr>
        <w:t>Regularnie monitorować i audytować swoje środowisko przetwarzania danych w celu identyfikacji ewentualnych słabości i nieprawidłowości.</w:t>
      </w:r>
    </w:p>
    <w:p w14:paraId="057BB121" w14:textId="77777777" w:rsidR="00207A1C" w:rsidRPr="002D0877" w:rsidRDefault="00207A1C" w:rsidP="002D0877">
      <w:pPr>
        <w:pStyle w:val="Akapitzlist"/>
        <w:numPr>
          <w:ilvl w:val="0"/>
          <w:numId w:val="30"/>
        </w:numPr>
        <w:spacing w:line="360" w:lineRule="auto"/>
        <w:jc w:val="both"/>
        <w:rPr>
          <w:rFonts w:ascii="Bookman Old Style" w:hAnsi="Bookman Old Style"/>
        </w:rPr>
      </w:pPr>
      <w:r w:rsidRPr="002D0877">
        <w:rPr>
          <w:rFonts w:ascii="Bookman Old Style" w:hAnsi="Bookman Old Style"/>
        </w:rPr>
        <w:t>Posiadać plany kontynuacji działania w przypadku awarii systemowych, aby minimalizować ich wpływ na przetwarzanie danych.</w:t>
      </w:r>
    </w:p>
    <w:p w14:paraId="7546F9E1" w14:textId="77777777" w:rsidR="00207A1C" w:rsidRPr="002D0877" w:rsidRDefault="00207A1C" w:rsidP="002D0877">
      <w:pPr>
        <w:pStyle w:val="Akapitzlist"/>
        <w:numPr>
          <w:ilvl w:val="0"/>
          <w:numId w:val="30"/>
        </w:numPr>
        <w:spacing w:line="360" w:lineRule="auto"/>
        <w:jc w:val="both"/>
        <w:rPr>
          <w:rFonts w:ascii="Bookman Old Style" w:hAnsi="Bookman Old Style"/>
        </w:rPr>
      </w:pPr>
      <w:r w:rsidRPr="002D0877">
        <w:rPr>
          <w:rFonts w:ascii="Bookman Old Style" w:hAnsi="Bookman Old Style"/>
        </w:rPr>
        <w:t>Posiadać odpowiednie wyposażenie sprzętowe, w szczególności urządzenia brzegowe, umożliwiające monitoring i analizę ruchu sieciowego do i z sieci Wykonawcy z możliwością nawiązywania bezpiecznych, szyfrowanych połączeń z urządzeniami brzegu sieci Zamawiającego.</w:t>
      </w:r>
    </w:p>
    <w:p w14:paraId="48DC95E9" w14:textId="268FECAF" w:rsidR="00207A1C" w:rsidRPr="002D0877" w:rsidRDefault="00207A1C" w:rsidP="002D0877">
      <w:pPr>
        <w:pStyle w:val="Akapitzlist"/>
        <w:numPr>
          <w:ilvl w:val="0"/>
          <w:numId w:val="30"/>
        </w:numPr>
        <w:spacing w:line="360" w:lineRule="auto"/>
        <w:jc w:val="both"/>
        <w:rPr>
          <w:rFonts w:ascii="Bookman Old Style" w:hAnsi="Bookman Old Style"/>
        </w:rPr>
      </w:pPr>
      <w:r w:rsidRPr="002D0877">
        <w:rPr>
          <w:rFonts w:ascii="Bookman Old Style" w:hAnsi="Bookman Old Style"/>
        </w:rPr>
        <w:t>Prowadzić rejestr połączeń do infrastruktury informatycznej instytucji i podmiotów, z którymi Wykonawca zawarł umowy w sprawie realizacji zamówienia, w tym także połączenia z infrastrukturą Zamawiającego lub zapewnić programowy monitoring takich połączeń w formie logowania ciągłego 24 godziny na dobę / 7 dni w tygodniu, z możliwością wglądu do rejestru przez Zamawiającego w zakresie zdarzeń związanych z infrastrukturą Zamawiającego.</w:t>
      </w:r>
    </w:p>
    <w:p w14:paraId="59F8770A" w14:textId="0E5CE3AB" w:rsidR="00207A1C" w:rsidRPr="002D0877" w:rsidRDefault="00207A1C" w:rsidP="002D0877">
      <w:pPr>
        <w:pStyle w:val="Akapitzlist"/>
        <w:numPr>
          <w:ilvl w:val="0"/>
          <w:numId w:val="28"/>
        </w:numPr>
        <w:spacing w:line="360" w:lineRule="auto"/>
        <w:ind w:left="284"/>
        <w:jc w:val="both"/>
        <w:rPr>
          <w:rFonts w:ascii="Bookman Old Style" w:hAnsi="Bookman Old Style"/>
        </w:rPr>
      </w:pPr>
      <w:r w:rsidRPr="002D0877">
        <w:rPr>
          <w:rFonts w:ascii="Bookman Old Style" w:hAnsi="Bookman Old Style"/>
        </w:rPr>
        <w:t xml:space="preserve">Wszystkie okresy zawarte w WT są wyrażone w dniach kalendarzowych, chyba że użyto wyraźnie innego sformułowania (np. dni robocze). W przypadku, kiedy termin wyrażony w dniach kalendarzowych wypada w dzień wolny od pracy, za termin obowiązujący należy </w:t>
      </w:r>
      <w:r w:rsidR="00A0310F" w:rsidRPr="002D0877">
        <w:rPr>
          <w:rFonts w:ascii="Bookman Old Style" w:hAnsi="Bookman Old Style"/>
        </w:rPr>
        <w:t>przyjąć</w:t>
      </w:r>
      <w:r w:rsidRPr="002D0877">
        <w:rPr>
          <w:rFonts w:ascii="Bookman Old Style" w:hAnsi="Bookman Old Style"/>
        </w:rPr>
        <w:t xml:space="preserve"> pierwszy następny dzień roboczy wypadający po tym terminie.</w:t>
      </w:r>
    </w:p>
    <w:p w14:paraId="18F8E829" w14:textId="2E1CA592" w:rsidR="004B0267" w:rsidRPr="001B6039" w:rsidRDefault="004B0267" w:rsidP="001B6039">
      <w:pPr>
        <w:spacing w:line="360" w:lineRule="auto"/>
        <w:jc w:val="both"/>
        <w:rPr>
          <w:rFonts w:ascii="Bookman Old Style" w:hAnsi="Bookman Old Style"/>
        </w:rPr>
      </w:pPr>
      <w:r w:rsidRPr="001B6039">
        <w:rPr>
          <w:rFonts w:ascii="Bookman Old Style" w:hAnsi="Bookman Old Style"/>
        </w:rPr>
        <w:br w:type="page"/>
      </w:r>
    </w:p>
    <w:p w14:paraId="10DB85A3" w14:textId="59A75C77" w:rsidR="002D0877" w:rsidRPr="002D0877" w:rsidRDefault="002D0877" w:rsidP="001B6039">
      <w:pPr>
        <w:spacing w:line="360" w:lineRule="auto"/>
        <w:jc w:val="both"/>
        <w:rPr>
          <w:rFonts w:ascii="Bookman Old Style" w:hAnsi="Bookman Old Style"/>
          <w:b/>
          <w:bCs/>
        </w:rPr>
      </w:pPr>
      <w:bookmarkStart w:id="7" w:name="_Toc153528726"/>
      <w:r w:rsidRPr="001B6039">
        <w:rPr>
          <w:rFonts w:ascii="Bookman Old Style" w:hAnsi="Bookman Old Style"/>
          <w:b/>
          <w:bCs/>
        </w:rPr>
        <w:lastRenderedPageBreak/>
        <w:t xml:space="preserve">Rozdział </w:t>
      </w:r>
      <w:r>
        <w:rPr>
          <w:rFonts w:ascii="Bookman Old Style" w:hAnsi="Bookman Old Style"/>
          <w:b/>
          <w:bCs/>
        </w:rPr>
        <w:t>4</w:t>
      </w:r>
    </w:p>
    <w:p w14:paraId="52289C87" w14:textId="3FF7E465" w:rsidR="00604DDC" w:rsidRPr="002D0877" w:rsidRDefault="00604DDC" w:rsidP="001B6039">
      <w:pPr>
        <w:spacing w:line="360" w:lineRule="auto"/>
        <w:jc w:val="both"/>
        <w:rPr>
          <w:rFonts w:ascii="Bookman Old Style" w:hAnsi="Bookman Old Style"/>
          <w:b/>
          <w:bCs/>
          <w:u w:val="single"/>
        </w:rPr>
      </w:pPr>
      <w:r w:rsidRPr="002D0877">
        <w:rPr>
          <w:rFonts w:ascii="Bookman Old Style" w:hAnsi="Bookman Old Style"/>
          <w:b/>
          <w:bCs/>
          <w:u w:val="single"/>
        </w:rPr>
        <w:t>Opis zasobu geodezyjnego zamawiającego</w:t>
      </w:r>
      <w:bookmarkEnd w:id="7"/>
      <w:r w:rsidR="002D0877">
        <w:rPr>
          <w:rFonts w:ascii="Bookman Old Style" w:hAnsi="Bookman Old Style"/>
          <w:b/>
          <w:bCs/>
          <w:u w:val="single"/>
        </w:rPr>
        <w:t>.</w:t>
      </w:r>
    </w:p>
    <w:p w14:paraId="74834948" w14:textId="0A1777DE" w:rsidR="00DB333A" w:rsidRPr="002D0877" w:rsidRDefault="0048315C" w:rsidP="002D0877">
      <w:pPr>
        <w:pStyle w:val="Akapitzlist"/>
        <w:numPr>
          <w:ilvl w:val="0"/>
          <w:numId w:val="31"/>
        </w:numPr>
        <w:spacing w:line="360" w:lineRule="auto"/>
        <w:ind w:left="426"/>
        <w:jc w:val="both"/>
        <w:rPr>
          <w:rFonts w:ascii="Bookman Old Style" w:hAnsi="Bookman Old Style"/>
        </w:rPr>
      </w:pPr>
      <w:r w:rsidRPr="002D0877">
        <w:rPr>
          <w:rFonts w:ascii="Bookman Old Style" w:hAnsi="Bookman Old Style"/>
        </w:rPr>
        <w:t xml:space="preserve">Obszar opracowania obejmuje cały </w:t>
      </w:r>
      <w:r w:rsidR="00DC14D2" w:rsidRPr="002D0877">
        <w:rPr>
          <w:rFonts w:ascii="Bookman Old Style" w:hAnsi="Bookman Old Style"/>
        </w:rPr>
        <w:t xml:space="preserve">powiat </w:t>
      </w:r>
      <w:r w:rsidR="002871D4" w:rsidRPr="002D0877">
        <w:rPr>
          <w:rFonts w:ascii="Bookman Old Style" w:hAnsi="Bookman Old Style"/>
        </w:rPr>
        <w:t>świecki</w:t>
      </w:r>
      <w:r w:rsidR="00107F57" w:rsidRPr="002D0877">
        <w:rPr>
          <w:rFonts w:ascii="Bookman Old Style" w:hAnsi="Bookman Old Style"/>
        </w:rPr>
        <w:t xml:space="preserve"> </w:t>
      </w:r>
      <w:r w:rsidR="00F4783E" w:rsidRPr="002D0877">
        <w:rPr>
          <w:rFonts w:ascii="Bookman Old Style" w:hAnsi="Bookman Old Style"/>
        </w:rPr>
        <w:t>województwa kujawsko-pomorskiego</w:t>
      </w:r>
      <w:r w:rsidRPr="002D0877">
        <w:rPr>
          <w:rFonts w:ascii="Bookman Old Style" w:hAnsi="Bookman Old Style"/>
        </w:rPr>
        <w:t xml:space="preserve">. </w:t>
      </w:r>
    </w:p>
    <w:p w14:paraId="1692C9B7" w14:textId="49072E8D" w:rsidR="00747A42" w:rsidRPr="002D0877" w:rsidRDefault="005F038F" w:rsidP="002D0877">
      <w:pPr>
        <w:pStyle w:val="Akapitzlist"/>
        <w:numPr>
          <w:ilvl w:val="0"/>
          <w:numId w:val="31"/>
        </w:numPr>
        <w:spacing w:line="360" w:lineRule="auto"/>
        <w:ind w:left="426"/>
        <w:jc w:val="both"/>
        <w:rPr>
          <w:rFonts w:ascii="Bookman Old Style" w:hAnsi="Bookman Old Style"/>
        </w:rPr>
      </w:pPr>
      <w:r w:rsidRPr="002D0877">
        <w:rPr>
          <w:rFonts w:ascii="Bookman Old Style" w:hAnsi="Bookman Old Style"/>
        </w:rPr>
        <w:t xml:space="preserve">Szacowana liczba obiektów </w:t>
      </w:r>
      <w:proofErr w:type="spellStart"/>
      <w:r w:rsidRPr="002D0877">
        <w:rPr>
          <w:rFonts w:ascii="Bookman Old Style" w:hAnsi="Bookman Old Style"/>
        </w:rPr>
        <w:t>BDPZGiK</w:t>
      </w:r>
      <w:proofErr w:type="spellEnd"/>
      <w:r w:rsidRPr="002D0877">
        <w:rPr>
          <w:rFonts w:ascii="Bookman Old Style" w:hAnsi="Bookman Old Style"/>
        </w:rPr>
        <w:t xml:space="preserve"> podlegających </w:t>
      </w:r>
      <w:r w:rsidR="00041C01" w:rsidRPr="002D0877">
        <w:rPr>
          <w:rFonts w:ascii="Bookman Old Style" w:hAnsi="Bookman Old Style"/>
        </w:rPr>
        <w:t xml:space="preserve">dostosowaniu i </w:t>
      </w:r>
      <w:r w:rsidRPr="002D0877">
        <w:rPr>
          <w:rFonts w:ascii="Bookman Old Style" w:hAnsi="Bookman Old Style"/>
        </w:rPr>
        <w:t xml:space="preserve">konwersji </w:t>
      </w:r>
      <w:r w:rsidR="00E33579" w:rsidRPr="002D0877">
        <w:rPr>
          <w:rFonts w:ascii="Bookman Old Style" w:hAnsi="Bookman Old Style"/>
        </w:rPr>
        <w:t xml:space="preserve">wg stanu na dzień </w:t>
      </w:r>
      <w:r w:rsidR="008E2B99" w:rsidRPr="002D0877">
        <w:rPr>
          <w:rFonts w:ascii="Bookman Old Style" w:hAnsi="Bookman Old Style"/>
        </w:rPr>
        <w:t>3</w:t>
      </w:r>
      <w:r w:rsidR="00E33579" w:rsidRPr="002D0877">
        <w:rPr>
          <w:rFonts w:ascii="Bookman Old Style" w:hAnsi="Bookman Old Style"/>
        </w:rPr>
        <w:t xml:space="preserve"> </w:t>
      </w:r>
      <w:r w:rsidR="008E2B99" w:rsidRPr="002D0877">
        <w:rPr>
          <w:rFonts w:ascii="Bookman Old Style" w:hAnsi="Bookman Old Style"/>
        </w:rPr>
        <w:t>listopada</w:t>
      </w:r>
      <w:r w:rsidR="00E33579" w:rsidRPr="002D0877">
        <w:rPr>
          <w:rFonts w:ascii="Bookman Old Style" w:hAnsi="Bookman Old Style"/>
        </w:rPr>
        <w:t xml:space="preserve"> 2023 r. </w:t>
      </w:r>
      <w:r w:rsidRPr="002D0877">
        <w:rPr>
          <w:rFonts w:ascii="Bookman Old Style" w:hAnsi="Bookman Old Style"/>
        </w:rPr>
        <w:t>wynosi</w:t>
      </w:r>
      <w:r w:rsidR="009F17D2" w:rsidRPr="002D0877">
        <w:rPr>
          <w:rFonts w:ascii="Bookman Old Style" w:hAnsi="Bookman Old Style"/>
        </w:rPr>
        <w:t xml:space="preserve"> </w:t>
      </w:r>
      <w:r w:rsidR="00BD0729" w:rsidRPr="002D0877">
        <w:rPr>
          <w:rFonts w:ascii="Bookman Old Style" w:hAnsi="Bookman Old Style"/>
        </w:rPr>
        <w:t>p</w:t>
      </w:r>
      <w:r w:rsidR="00391BC8" w:rsidRPr="002D0877">
        <w:rPr>
          <w:rFonts w:ascii="Bookman Old Style" w:hAnsi="Bookman Old Style"/>
        </w:rPr>
        <w:t>onad</w:t>
      </w:r>
      <w:r w:rsidR="00674ABE" w:rsidRPr="002D0877">
        <w:rPr>
          <w:rFonts w:ascii="Bookman Old Style" w:hAnsi="Bookman Old Style"/>
        </w:rPr>
        <w:t xml:space="preserve"> </w:t>
      </w:r>
      <w:r w:rsidR="00BD3279" w:rsidRPr="002D0877">
        <w:rPr>
          <w:rFonts w:ascii="Bookman Old Style" w:hAnsi="Bookman Old Style"/>
        </w:rPr>
        <w:t>2</w:t>
      </w:r>
      <w:r w:rsidR="00747A42" w:rsidRPr="002D0877">
        <w:rPr>
          <w:rFonts w:ascii="Bookman Old Style" w:hAnsi="Bookman Old Style"/>
        </w:rPr>
        <w:t>,</w:t>
      </w:r>
      <w:r w:rsidR="00BD3279" w:rsidRPr="002D0877">
        <w:rPr>
          <w:rFonts w:ascii="Bookman Old Style" w:hAnsi="Bookman Old Style"/>
        </w:rPr>
        <w:t>3</w:t>
      </w:r>
      <w:r w:rsidR="00565ECF" w:rsidRPr="002D0877">
        <w:rPr>
          <w:rFonts w:ascii="Bookman Old Style" w:hAnsi="Bookman Old Style"/>
        </w:rPr>
        <w:t xml:space="preserve"> mln</w:t>
      </w:r>
      <w:r w:rsidR="00560B43" w:rsidRPr="002D0877">
        <w:rPr>
          <w:rFonts w:ascii="Bookman Old Style" w:hAnsi="Bookman Old Style"/>
        </w:rPr>
        <w:t>, z czego</w:t>
      </w:r>
      <w:r w:rsidR="00747A42" w:rsidRPr="002D0877">
        <w:rPr>
          <w:rFonts w:ascii="Bookman Old Style" w:hAnsi="Bookman Old Style"/>
        </w:rPr>
        <w:t>:</w:t>
      </w:r>
    </w:p>
    <w:p w14:paraId="30409AE0" w14:textId="63697513" w:rsidR="00E33579" w:rsidRPr="002D0877" w:rsidRDefault="00E33579" w:rsidP="002D0877">
      <w:pPr>
        <w:pStyle w:val="Akapitzlist"/>
        <w:numPr>
          <w:ilvl w:val="0"/>
          <w:numId w:val="32"/>
        </w:numPr>
        <w:spacing w:line="360" w:lineRule="auto"/>
        <w:jc w:val="both"/>
        <w:rPr>
          <w:rFonts w:ascii="Bookman Old Style" w:hAnsi="Bookman Old Style"/>
        </w:rPr>
      </w:pPr>
      <w:r w:rsidRPr="002D0877">
        <w:rPr>
          <w:rFonts w:ascii="Bookman Old Style" w:hAnsi="Bookman Old Style"/>
        </w:rPr>
        <w:t xml:space="preserve">ponad </w:t>
      </w:r>
      <w:r w:rsidR="008D656D" w:rsidRPr="002D0877">
        <w:rPr>
          <w:rFonts w:ascii="Bookman Old Style" w:hAnsi="Bookman Old Style"/>
        </w:rPr>
        <w:t>2,27</w:t>
      </w:r>
      <w:r w:rsidRPr="002D0877">
        <w:rPr>
          <w:rFonts w:ascii="Bookman Old Style" w:hAnsi="Bookman Old Style"/>
        </w:rPr>
        <w:t xml:space="preserve"> mln obiektów występuje </w:t>
      </w:r>
      <w:r w:rsidR="008D656D" w:rsidRPr="002D0877">
        <w:rPr>
          <w:rFonts w:ascii="Bookman Old Style" w:hAnsi="Bookman Old Style"/>
        </w:rPr>
        <w:t>jako istniejące</w:t>
      </w:r>
      <w:r w:rsidRPr="002D0877">
        <w:rPr>
          <w:rFonts w:ascii="Bookman Old Style" w:hAnsi="Bookman Old Style"/>
        </w:rPr>
        <w:t>;</w:t>
      </w:r>
    </w:p>
    <w:p w14:paraId="500B305C" w14:textId="705A3197" w:rsidR="00E33579" w:rsidRPr="002D0877" w:rsidRDefault="00E33579" w:rsidP="002D0877">
      <w:pPr>
        <w:pStyle w:val="Akapitzlist"/>
        <w:numPr>
          <w:ilvl w:val="0"/>
          <w:numId w:val="32"/>
        </w:numPr>
        <w:spacing w:line="360" w:lineRule="auto"/>
        <w:jc w:val="both"/>
        <w:rPr>
          <w:rFonts w:ascii="Bookman Old Style" w:hAnsi="Bookman Old Style"/>
        </w:rPr>
      </w:pPr>
      <w:r w:rsidRPr="002D0877">
        <w:rPr>
          <w:rFonts w:ascii="Bookman Old Style" w:hAnsi="Bookman Old Style"/>
        </w:rPr>
        <w:t>p</w:t>
      </w:r>
      <w:r w:rsidR="008D656D" w:rsidRPr="002D0877">
        <w:rPr>
          <w:rFonts w:ascii="Bookman Old Style" w:hAnsi="Bookman Old Style"/>
        </w:rPr>
        <w:t>rawie</w:t>
      </w:r>
      <w:r w:rsidRPr="002D0877">
        <w:rPr>
          <w:rFonts w:ascii="Bookman Old Style" w:hAnsi="Bookman Old Style"/>
        </w:rPr>
        <w:t xml:space="preserve"> </w:t>
      </w:r>
      <w:r w:rsidR="008D656D" w:rsidRPr="002D0877">
        <w:rPr>
          <w:rFonts w:ascii="Bookman Old Style" w:hAnsi="Bookman Old Style"/>
        </w:rPr>
        <w:t>28</w:t>
      </w:r>
      <w:r w:rsidRPr="002D0877">
        <w:rPr>
          <w:rFonts w:ascii="Bookman Old Style" w:hAnsi="Bookman Old Style"/>
        </w:rPr>
        <w:t xml:space="preserve"> tys. obiektów występuje jako projektowane;</w:t>
      </w:r>
    </w:p>
    <w:p w14:paraId="525F9BAC" w14:textId="6773AEC3" w:rsidR="00E33579" w:rsidRPr="002D0877" w:rsidRDefault="00E33579" w:rsidP="002D0877">
      <w:pPr>
        <w:pStyle w:val="Akapitzlist"/>
        <w:numPr>
          <w:ilvl w:val="0"/>
          <w:numId w:val="32"/>
        </w:numPr>
        <w:spacing w:line="360" w:lineRule="auto"/>
        <w:jc w:val="both"/>
        <w:rPr>
          <w:rFonts w:ascii="Bookman Old Style" w:hAnsi="Bookman Old Style"/>
        </w:rPr>
      </w:pPr>
      <w:r w:rsidRPr="002D0877">
        <w:rPr>
          <w:rFonts w:ascii="Bookman Old Style" w:hAnsi="Bookman Old Style"/>
        </w:rPr>
        <w:t xml:space="preserve">ponad </w:t>
      </w:r>
      <w:r w:rsidR="00814F8C" w:rsidRPr="002D0877">
        <w:rPr>
          <w:rFonts w:ascii="Bookman Old Style" w:hAnsi="Bookman Old Style"/>
        </w:rPr>
        <w:t>5</w:t>
      </w:r>
      <w:r w:rsidRPr="002D0877">
        <w:rPr>
          <w:rFonts w:ascii="Bookman Old Style" w:hAnsi="Bookman Old Style"/>
        </w:rPr>
        <w:t>0 występuje jako obiekty w budowie;</w:t>
      </w:r>
    </w:p>
    <w:p w14:paraId="32316F6B" w14:textId="139E03EF" w:rsidR="00E33579" w:rsidRPr="002D0877" w:rsidRDefault="00E33579" w:rsidP="002D0877">
      <w:pPr>
        <w:pStyle w:val="Akapitzlist"/>
        <w:numPr>
          <w:ilvl w:val="0"/>
          <w:numId w:val="32"/>
        </w:numPr>
        <w:spacing w:line="360" w:lineRule="auto"/>
        <w:jc w:val="both"/>
        <w:rPr>
          <w:rFonts w:ascii="Bookman Old Style" w:hAnsi="Bookman Old Style"/>
        </w:rPr>
      </w:pPr>
      <w:r w:rsidRPr="002D0877">
        <w:rPr>
          <w:rFonts w:ascii="Bookman Old Style" w:hAnsi="Bookman Old Style"/>
        </w:rPr>
        <w:t>ponad 2</w:t>
      </w:r>
      <w:r w:rsidR="000B1F92" w:rsidRPr="002D0877">
        <w:rPr>
          <w:rFonts w:ascii="Bookman Old Style" w:hAnsi="Bookman Old Style"/>
        </w:rPr>
        <w:t>15</w:t>
      </w:r>
      <w:r w:rsidRPr="002D0877">
        <w:rPr>
          <w:rFonts w:ascii="Bookman Old Style" w:hAnsi="Bookman Old Style"/>
        </w:rPr>
        <w:t>0 obiektów występuje w schemacie K-1;</w:t>
      </w:r>
    </w:p>
    <w:p w14:paraId="7B09C526" w14:textId="5E80C9EC" w:rsidR="00604DDC" w:rsidRPr="002D0877" w:rsidRDefault="00E33579" w:rsidP="002D0877">
      <w:pPr>
        <w:pStyle w:val="Akapitzlist"/>
        <w:numPr>
          <w:ilvl w:val="0"/>
          <w:numId w:val="32"/>
        </w:numPr>
        <w:spacing w:line="360" w:lineRule="auto"/>
        <w:jc w:val="both"/>
        <w:rPr>
          <w:rFonts w:ascii="Bookman Old Style" w:hAnsi="Bookman Old Style"/>
        </w:rPr>
      </w:pPr>
      <w:r w:rsidRPr="002D0877">
        <w:rPr>
          <w:rFonts w:ascii="Bookman Old Style" w:hAnsi="Bookman Old Style"/>
        </w:rPr>
        <w:t xml:space="preserve">obiekty BDOT500 stanowią około </w:t>
      </w:r>
      <w:r w:rsidR="007B4852" w:rsidRPr="002D0877">
        <w:rPr>
          <w:rFonts w:ascii="Bookman Old Style" w:hAnsi="Bookman Old Style"/>
        </w:rPr>
        <w:t>1,65</w:t>
      </w:r>
      <w:r w:rsidRPr="002D0877">
        <w:rPr>
          <w:rFonts w:ascii="Bookman Old Style" w:hAnsi="Bookman Old Style"/>
        </w:rPr>
        <w:t xml:space="preserve"> mln;</w:t>
      </w:r>
    </w:p>
    <w:p w14:paraId="389AC9B1" w14:textId="12720323" w:rsidR="00E33579" w:rsidRPr="002D0877" w:rsidRDefault="00E33579" w:rsidP="002D0877">
      <w:pPr>
        <w:pStyle w:val="Akapitzlist"/>
        <w:numPr>
          <w:ilvl w:val="0"/>
          <w:numId w:val="32"/>
        </w:numPr>
        <w:spacing w:line="360" w:lineRule="auto"/>
        <w:jc w:val="both"/>
        <w:rPr>
          <w:rFonts w:ascii="Bookman Old Style" w:hAnsi="Bookman Old Style"/>
        </w:rPr>
      </w:pPr>
      <w:r w:rsidRPr="002D0877">
        <w:rPr>
          <w:rFonts w:ascii="Bookman Old Style" w:hAnsi="Bookman Old Style"/>
        </w:rPr>
        <w:t xml:space="preserve">obiekty GESUT stanowią około </w:t>
      </w:r>
      <w:r w:rsidR="007B4852" w:rsidRPr="002D0877">
        <w:rPr>
          <w:rFonts w:ascii="Bookman Old Style" w:hAnsi="Bookman Old Style"/>
        </w:rPr>
        <w:t>645 tys.</w:t>
      </w:r>
      <w:r w:rsidRPr="002D0877">
        <w:rPr>
          <w:rFonts w:ascii="Bookman Old Style" w:hAnsi="Bookman Old Style"/>
        </w:rPr>
        <w:t>;</w:t>
      </w:r>
    </w:p>
    <w:p w14:paraId="35CE29E3" w14:textId="24E255DA" w:rsidR="00E33579" w:rsidRPr="002D0877" w:rsidRDefault="000E09FF" w:rsidP="002D0877">
      <w:pPr>
        <w:pStyle w:val="Akapitzlist"/>
        <w:numPr>
          <w:ilvl w:val="0"/>
          <w:numId w:val="32"/>
        </w:numPr>
        <w:spacing w:line="360" w:lineRule="auto"/>
        <w:jc w:val="both"/>
        <w:rPr>
          <w:rFonts w:ascii="Bookman Old Style" w:hAnsi="Bookman Old Style"/>
        </w:rPr>
      </w:pPr>
      <w:r w:rsidRPr="002D0877">
        <w:rPr>
          <w:rFonts w:ascii="Bookman Old Style" w:hAnsi="Bookman Old Style"/>
        </w:rPr>
        <w:t xml:space="preserve">obiekty posiadają </w:t>
      </w:r>
      <w:r w:rsidR="00E33579" w:rsidRPr="002D0877">
        <w:rPr>
          <w:rFonts w:ascii="Bookman Old Style" w:hAnsi="Bookman Old Style"/>
        </w:rPr>
        <w:t>ponad 1</w:t>
      </w:r>
      <w:r w:rsidR="0088394A" w:rsidRPr="002D0877">
        <w:rPr>
          <w:rFonts w:ascii="Bookman Old Style" w:hAnsi="Bookman Old Style"/>
        </w:rPr>
        <w:t>0</w:t>
      </w:r>
      <w:r w:rsidR="00E33579" w:rsidRPr="002D0877">
        <w:rPr>
          <w:rFonts w:ascii="Bookman Old Style" w:hAnsi="Bookman Old Style"/>
        </w:rPr>
        <w:t xml:space="preserve"> mln atrybutów.</w:t>
      </w:r>
    </w:p>
    <w:p w14:paraId="7E39996B" w14:textId="2F0C9409" w:rsidR="00841B0F" w:rsidRPr="002D0877" w:rsidRDefault="008244D9" w:rsidP="002D0877">
      <w:pPr>
        <w:pStyle w:val="Akapitzlist"/>
        <w:numPr>
          <w:ilvl w:val="0"/>
          <w:numId w:val="31"/>
        </w:numPr>
        <w:spacing w:line="360" w:lineRule="auto"/>
        <w:ind w:left="426"/>
        <w:jc w:val="both"/>
        <w:rPr>
          <w:rFonts w:ascii="Bookman Old Style" w:hAnsi="Bookman Old Style"/>
        </w:rPr>
      </w:pPr>
      <w:r w:rsidRPr="002D0877">
        <w:rPr>
          <w:rFonts w:ascii="Bookman Old Style" w:hAnsi="Bookman Old Style"/>
        </w:rPr>
        <w:t>Na obszarze powiatu funkcjonuje cyfrowa ewidencja gruntów i budynków, w</w:t>
      </w:r>
      <w:r w:rsidR="00FC1ACB" w:rsidRPr="002D0877">
        <w:rPr>
          <w:rFonts w:ascii="Bookman Old Style" w:hAnsi="Bookman Old Style"/>
        </w:rPr>
        <w:t> </w:t>
      </w:r>
      <w:r w:rsidRPr="002D0877">
        <w:rPr>
          <w:rFonts w:ascii="Bookman Old Style" w:hAnsi="Bookman Old Style"/>
        </w:rPr>
        <w:t xml:space="preserve">której wg stanu na dzień </w:t>
      </w:r>
      <w:r w:rsidR="001B1500" w:rsidRPr="002D0877">
        <w:rPr>
          <w:rFonts w:ascii="Bookman Old Style" w:hAnsi="Bookman Old Style"/>
        </w:rPr>
        <w:t>3</w:t>
      </w:r>
      <w:r w:rsidRPr="002D0877">
        <w:rPr>
          <w:rFonts w:ascii="Bookman Old Style" w:hAnsi="Bookman Old Style"/>
        </w:rPr>
        <w:t xml:space="preserve"> </w:t>
      </w:r>
      <w:r w:rsidR="001B1500" w:rsidRPr="002D0877">
        <w:rPr>
          <w:rFonts w:ascii="Bookman Old Style" w:hAnsi="Bookman Old Style"/>
        </w:rPr>
        <w:t>listopada</w:t>
      </w:r>
      <w:r w:rsidRPr="002D0877">
        <w:rPr>
          <w:rFonts w:ascii="Bookman Old Style" w:hAnsi="Bookman Old Style"/>
        </w:rPr>
        <w:t xml:space="preserve"> 2023 r. zarejestrowano</w:t>
      </w:r>
      <w:r w:rsidR="00841B0F" w:rsidRPr="002D0877">
        <w:rPr>
          <w:rFonts w:ascii="Bookman Old Style" w:hAnsi="Bookman Old Style"/>
        </w:rPr>
        <w:t xml:space="preserve"> w stanie aktualnym:</w:t>
      </w:r>
    </w:p>
    <w:p w14:paraId="15DB62A3" w14:textId="3D9C226F" w:rsidR="00841B0F" w:rsidRPr="002D0877" w:rsidRDefault="008244D9" w:rsidP="002D0877">
      <w:pPr>
        <w:pStyle w:val="Akapitzlist"/>
        <w:numPr>
          <w:ilvl w:val="0"/>
          <w:numId w:val="33"/>
        </w:numPr>
        <w:spacing w:line="360" w:lineRule="auto"/>
        <w:jc w:val="both"/>
        <w:rPr>
          <w:rFonts w:ascii="Bookman Old Style" w:hAnsi="Bookman Old Style"/>
        </w:rPr>
      </w:pPr>
      <w:r w:rsidRPr="002D0877">
        <w:rPr>
          <w:rFonts w:ascii="Bookman Old Style" w:hAnsi="Bookman Old Style"/>
        </w:rPr>
        <w:t xml:space="preserve">ponad </w:t>
      </w:r>
      <w:r w:rsidR="001B1500" w:rsidRPr="002D0877">
        <w:rPr>
          <w:rFonts w:ascii="Bookman Old Style" w:hAnsi="Bookman Old Style"/>
        </w:rPr>
        <w:t>92</w:t>
      </w:r>
      <w:r w:rsidRPr="002D0877">
        <w:rPr>
          <w:rFonts w:ascii="Bookman Old Style" w:hAnsi="Bookman Old Style"/>
        </w:rPr>
        <w:t xml:space="preserve"> tys. działek ewidencyjnych</w:t>
      </w:r>
      <w:r w:rsidR="00841B0F" w:rsidRPr="002D0877">
        <w:rPr>
          <w:rFonts w:ascii="Bookman Old Style" w:hAnsi="Bookman Old Style"/>
        </w:rPr>
        <w:t>;</w:t>
      </w:r>
    </w:p>
    <w:p w14:paraId="38FC1C28" w14:textId="7FEB6CF3" w:rsidR="00841B0F" w:rsidRPr="002D0877" w:rsidRDefault="001B1500" w:rsidP="002D0877">
      <w:pPr>
        <w:pStyle w:val="Akapitzlist"/>
        <w:numPr>
          <w:ilvl w:val="0"/>
          <w:numId w:val="33"/>
        </w:numPr>
        <w:spacing w:line="360" w:lineRule="auto"/>
        <w:jc w:val="both"/>
        <w:rPr>
          <w:rFonts w:ascii="Bookman Old Style" w:hAnsi="Bookman Old Style"/>
        </w:rPr>
      </w:pPr>
      <w:r w:rsidRPr="002D0877">
        <w:rPr>
          <w:rFonts w:ascii="Bookman Old Style" w:hAnsi="Bookman Old Style"/>
        </w:rPr>
        <w:t>ponad</w:t>
      </w:r>
      <w:r w:rsidR="008244D9" w:rsidRPr="002D0877">
        <w:rPr>
          <w:rFonts w:ascii="Bookman Old Style" w:hAnsi="Bookman Old Style"/>
        </w:rPr>
        <w:t xml:space="preserve"> </w:t>
      </w:r>
      <w:r w:rsidRPr="002D0877">
        <w:rPr>
          <w:rFonts w:ascii="Bookman Old Style" w:hAnsi="Bookman Old Style"/>
        </w:rPr>
        <w:t>58</w:t>
      </w:r>
      <w:r w:rsidR="008244D9" w:rsidRPr="002D0877">
        <w:rPr>
          <w:rFonts w:ascii="Bookman Old Style" w:hAnsi="Bookman Old Style"/>
        </w:rPr>
        <w:t xml:space="preserve"> tys. budynków ewidencyjnych</w:t>
      </w:r>
      <w:r w:rsidR="00841B0F" w:rsidRPr="002D0877">
        <w:rPr>
          <w:rFonts w:ascii="Bookman Old Style" w:hAnsi="Bookman Old Style"/>
        </w:rPr>
        <w:t>;</w:t>
      </w:r>
    </w:p>
    <w:p w14:paraId="56C095B9" w14:textId="15A777B6" w:rsidR="00841B0F" w:rsidRPr="002D0877" w:rsidRDefault="00841B0F" w:rsidP="002D0877">
      <w:pPr>
        <w:pStyle w:val="Akapitzlist"/>
        <w:numPr>
          <w:ilvl w:val="0"/>
          <w:numId w:val="33"/>
        </w:numPr>
        <w:spacing w:line="360" w:lineRule="auto"/>
        <w:jc w:val="both"/>
        <w:rPr>
          <w:rFonts w:ascii="Bookman Old Style" w:hAnsi="Bookman Old Style"/>
        </w:rPr>
      </w:pPr>
      <w:r w:rsidRPr="002D0877">
        <w:rPr>
          <w:rFonts w:ascii="Bookman Old Style" w:hAnsi="Bookman Old Style"/>
        </w:rPr>
        <w:t xml:space="preserve">niespełna </w:t>
      </w:r>
      <w:r w:rsidR="001B1500" w:rsidRPr="002D0877">
        <w:rPr>
          <w:rFonts w:ascii="Bookman Old Style" w:hAnsi="Bookman Old Style"/>
        </w:rPr>
        <w:t>30</w:t>
      </w:r>
      <w:r w:rsidRPr="002D0877">
        <w:rPr>
          <w:rFonts w:ascii="Bookman Old Style" w:hAnsi="Bookman Old Style"/>
        </w:rPr>
        <w:t xml:space="preserve"> tys. elementów stowarzyszonych do budynków;</w:t>
      </w:r>
    </w:p>
    <w:p w14:paraId="40469AAA" w14:textId="09025EC3" w:rsidR="00841B0F" w:rsidRPr="002D0877" w:rsidRDefault="001B1500" w:rsidP="002D0877">
      <w:pPr>
        <w:pStyle w:val="Akapitzlist"/>
        <w:numPr>
          <w:ilvl w:val="0"/>
          <w:numId w:val="33"/>
        </w:numPr>
        <w:spacing w:line="360" w:lineRule="auto"/>
        <w:jc w:val="both"/>
        <w:rPr>
          <w:rFonts w:ascii="Bookman Old Style" w:hAnsi="Bookman Old Style"/>
        </w:rPr>
      </w:pPr>
      <w:r w:rsidRPr="002D0877">
        <w:rPr>
          <w:rFonts w:ascii="Bookman Old Style" w:hAnsi="Bookman Old Style"/>
        </w:rPr>
        <w:t>niespełna</w:t>
      </w:r>
      <w:r w:rsidR="00841B0F" w:rsidRPr="002D0877">
        <w:rPr>
          <w:rFonts w:ascii="Bookman Old Style" w:hAnsi="Bookman Old Style"/>
        </w:rPr>
        <w:t xml:space="preserve"> 1</w:t>
      </w:r>
      <w:r w:rsidRPr="002D0877">
        <w:rPr>
          <w:rFonts w:ascii="Bookman Old Style" w:hAnsi="Bookman Old Style"/>
        </w:rPr>
        <w:t>90</w:t>
      </w:r>
      <w:r w:rsidR="00841B0F" w:rsidRPr="002D0877">
        <w:rPr>
          <w:rFonts w:ascii="Bookman Old Style" w:hAnsi="Bookman Old Style"/>
        </w:rPr>
        <w:t xml:space="preserve"> budynków BNE (bez numeru ewidencyjnego).</w:t>
      </w:r>
    </w:p>
    <w:p w14:paraId="40DD4867" w14:textId="25DB5F5E" w:rsidR="00047291" w:rsidRPr="002D0877" w:rsidRDefault="00380CA8" w:rsidP="002D0877">
      <w:pPr>
        <w:pStyle w:val="Akapitzlist"/>
        <w:numPr>
          <w:ilvl w:val="0"/>
          <w:numId w:val="31"/>
        </w:numPr>
        <w:spacing w:line="360" w:lineRule="auto"/>
        <w:ind w:left="426"/>
        <w:jc w:val="both"/>
        <w:rPr>
          <w:rFonts w:ascii="Bookman Old Style" w:hAnsi="Bookman Old Style"/>
        </w:rPr>
      </w:pPr>
      <w:r w:rsidRPr="002D0877">
        <w:rPr>
          <w:rFonts w:ascii="Bookman Old Style" w:hAnsi="Bookman Old Style"/>
        </w:rPr>
        <w:t>W Urzędzie funkcjonuje system EWID</w:t>
      </w:r>
      <w:r w:rsidR="00426BCF" w:rsidRPr="002D0877">
        <w:rPr>
          <w:rFonts w:ascii="Bookman Old Style" w:hAnsi="Bookman Old Style"/>
        </w:rPr>
        <w:t xml:space="preserve"> </w:t>
      </w:r>
      <w:r w:rsidRPr="002D0877">
        <w:rPr>
          <w:rFonts w:ascii="Bookman Old Style" w:hAnsi="Bookman Old Style"/>
        </w:rPr>
        <w:t xml:space="preserve">2007 w wersji </w:t>
      </w:r>
      <w:r w:rsidR="00E33579" w:rsidRPr="002D0877">
        <w:rPr>
          <w:rFonts w:ascii="Bookman Old Style" w:hAnsi="Bookman Old Style"/>
        </w:rPr>
        <w:t>9.</w:t>
      </w:r>
      <w:r w:rsidR="00071AEB" w:rsidRPr="002D0877">
        <w:rPr>
          <w:rFonts w:ascii="Bookman Old Style" w:hAnsi="Bookman Old Style"/>
        </w:rPr>
        <w:t>4</w:t>
      </w:r>
      <w:r w:rsidRPr="002D0877">
        <w:rPr>
          <w:rFonts w:ascii="Bookman Old Style" w:hAnsi="Bookman Old Style"/>
        </w:rPr>
        <w:t xml:space="preserve"> firmy </w:t>
      </w:r>
      <w:proofErr w:type="spellStart"/>
      <w:r w:rsidRPr="002D0877">
        <w:rPr>
          <w:rFonts w:ascii="Bookman Old Style" w:hAnsi="Bookman Old Style"/>
        </w:rPr>
        <w:t>Geomatyka</w:t>
      </w:r>
      <w:proofErr w:type="spellEnd"/>
      <w:r w:rsidRPr="002D0877">
        <w:rPr>
          <w:rFonts w:ascii="Bookman Old Style" w:hAnsi="Bookman Old Style"/>
        </w:rPr>
        <w:t xml:space="preserve">-Kraków s.c. z desktopowym interfejsem aplikacyjnym </w:t>
      </w:r>
      <w:proofErr w:type="spellStart"/>
      <w:r w:rsidRPr="002D0877">
        <w:rPr>
          <w:rFonts w:ascii="Bookman Old Style" w:hAnsi="Bookman Old Style"/>
        </w:rPr>
        <w:t>TurboEWID</w:t>
      </w:r>
      <w:proofErr w:type="spellEnd"/>
      <w:r w:rsidRPr="002D0877">
        <w:rPr>
          <w:rFonts w:ascii="Bookman Old Style" w:hAnsi="Bookman Old Style"/>
        </w:rPr>
        <w:t xml:space="preserve"> oraz sieciowym interfejsem aplikacyjnym </w:t>
      </w:r>
      <w:proofErr w:type="spellStart"/>
      <w:r w:rsidRPr="002D0877">
        <w:rPr>
          <w:rFonts w:ascii="Bookman Old Style" w:hAnsi="Bookman Old Style"/>
        </w:rPr>
        <w:t>WebEWID</w:t>
      </w:r>
      <w:proofErr w:type="spellEnd"/>
      <w:r w:rsidRPr="002D0877">
        <w:rPr>
          <w:rFonts w:ascii="Bookman Old Style" w:hAnsi="Bookman Old Style"/>
        </w:rPr>
        <w:t xml:space="preserve">. </w:t>
      </w:r>
      <w:r w:rsidR="00071AEB" w:rsidRPr="002D0877">
        <w:rPr>
          <w:rFonts w:ascii="Bookman Old Style" w:hAnsi="Bookman Old Style"/>
        </w:rPr>
        <w:t xml:space="preserve">System ten ma możliwość dostosowania do prowadzenia danych </w:t>
      </w:r>
      <w:r w:rsidR="00071AEB" w:rsidRPr="002D0877">
        <w:rPr>
          <w:rFonts w:ascii="Bookman Old Style" w:hAnsi="Bookman Old Style"/>
        </w:rPr>
        <w:br/>
        <w:t xml:space="preserve">w obowiązującym w przepisach modelu pojęciowym danych poprzez jego aktualizację do wersji 10, która nastąpi w terminie uzgodnionym w porozumieniu z </w:t>
      </w:r>
      <w:r w:rsidR="00455100" w:rsidRPr="002D0877">
        <w:rPr>
          <w:rFonts w:ascii="Bookman Old Style" w:hAnsi="Bookman Old Style"/>
        </w:rPr>
        <w:t>W</w:t>
      </w:r>
      <w:r w:rsidR="00071AEB" w:rsidRPr="002D0877">
        <w:rPr>
          <w:rFonts w:ascii="Bookman Old Style" w:hAnsi="Bookman Old Style"/>
        </w:rPr>
        <w:t>ykonawcą.</w:t>
      </w:r>
    </w:p>
    <w:p w14:paraId="22D74E42" w14:textId="3A744EC4" w:rsidR="00B508B3" w:rsidRPr="002D0877" w:rsidRDefault="00681933" w:rsidP="002D0877">
      <w:pPr>
        <w:pStyle w:val="Akapitzlist"/>
        <w:numPr>
          <w:ilvl w:val="0"/>
          <w:numId w:val="31"/>
        </w:numPr>
        <w:spacing w:line="360" w:lineRule="auto"/>
        <w:ind w:left="426"/>
        <w:jc w:val="both"/>
        <w:rPr>
          <w:rFonts w:ascii="Bookman Old Style" w:hAnsi="Bookman Old Style"/>
        </w:rPr>
      </w:pPr>
      <w:r w:rsidRPr="002D0877">
        <w:rPr>
          <w:rFonts w:ascii="Bookman Old Style" w:hAnsi="Bookman Old Style"/>
        </w:rPr>
        <w:t>P</w:t>
      </w:r>
      <w:r w:rsidR="00CB18C9" w:rsidRPr="002D0877">
        <w:rPr>
          <w:rFonts w:ascii="Bookman Old Style" w:hAnsi="Bookman Old Style"/>
        </w:rPr>
        <w:t>rzed złożeniem oferty</w:t>
      </w:r>
      <w:r w:rsidRPr="002D0877">
        <w:rPr>
          <w:rFonts w:ascii="Bookman Old Style" w:hAnsi="Bookman Old Style"/>
        </w:rPr>
        <w:t xml:space="preserve"> zaleca się </w:t>
      </w:r>
      <w:r w:rsidR="00CB18C9" w:rsidRPr="002D0877">
        <w:rPr>
          <w:rFonts w:ascii="Bookman Old Style" w:hAnsi="Bookman Old Style"/>
        </w:rPr>
        <w:t>zapozna</w:t>
      </w:r>
      <w:r w:rsidRPr="002D0877">
        <w:rPr>
          <w:rFonts w:ascii="Bookman Old Style" w:hAnsi="Bookman Old Style"/>
        </w:rPr>
        <w:t>nie</w:t>
      </w:r>
      <w:r w:rsidR="00CB18C9" w:rsidRPr="002D0877">
        <w:rPr>
          <w:rFonts w:ascii="Bookman Old Style" w:hAnsi="Bookman Old Style"/>
        </w:rPr>
        <w:t xml:space="preserve"> z </w:t>
      </w:r>
      <w:r w:rsidR="000311EB" w:rsidRPr="002D0877">
        <w:rPr>
          <w:rFonts w:ascii="Bookman Old Style" w:hAnsi="Bookman Old Style"/>
        </w:rPr>
        <w:t>dokumentacją</w:t>
      </w:r>
      <w:r w:rsidR="000524B4" w:rsidRPr="002D0877">
        <w:rPr>
          <w:rFonts w:ascii="Bookman Old Style" w:hAnsi="Bookman Old Style"/>
        </w:rPr>
        <w:t xml:space="preserve"> zgromadzoną w </w:t>
      </w:r>
      <w:r w:rsidR="00DD4E54" w:rsidRPr="002D0877">
        <w:rPr>
          <w:rFonts w:ascii="Bookman Old Style" w:hAnsi="Bookman Old Style"/>
        </w:rPr>
        <w:t xml:space="preserve">tutejszym </w:t>
      </w:r>
      <w:r w:rsidR="003C69F4" w:rsidRPr="002D0877">
        <w:rPr>
          <w:rFonts w:ascii="Bookman Old Style" w:hAnsi="Bookman Old Style"/>
        </w:rPr>
        <w:t>O</w:t>
      </w:r>
      <w:r w:rsidR="00DD4E54" w:rsidRPr="002D0877">
        <w:rPr>
          <w:rFonts w:ascii="Bookman Old Style" w:hAnsi="Bookman Old Style"/>
        </w:rPr>
        <w:t xml:space="preserve">środku </w:t>
      </w:r>
      <w:r w:rsidR="003C69F4" w:rsidRPr="002D0877">
        <w:rPr>
          <w:rFonts w:ascii="Bookman Old Style" w:hAnsi="Bookman Old Style"/>
        </w:rPr>
        <w:t>D</w:t>
      </w:r>
      <w:r w:rsidR="00DD4E54" w:rsidRPr="002D0877">
        <w:rPr>
          <w:rFonts w:ascii="Bookman Old Style" w:hAnsi="Bookman Old Style"/>
        </w:rPr>
        <w:t xml:space="preserve">okumentacji </w:t>
      </w:r>
      <w:r w:rsidR="003C69F4" w:rsidRPr="002D0877">
        <w:rPr>
          <w:rFonts w:ascii="Bookman Old Style" w:hAnsi="Bookman Old Style"/>
        </w:rPr>
        <w:t>G</w:t>
      </w:r>
      <w:r w:rsidR="00DD4E54" w:rsidRPr="002D0877">
        <w:rPr>
          <w:rFonts w:ascii="Bookman Old Style" w:hAnsi="Bookman Old Style"/>
        </w:rPr>
        <w:t xml:space="preserve">eodezyjnej </w:t>
      </w:r>
      <w:r w:rsidR="003C69F4" w:rsidRPr="002D0877">
        <w:rPr>
          <w:rFonts w:ascii="Bookman Old Style" w:hAnsi="Bookman Old Style"/>
        </w:rPr>
        <w:t>i</w:t>
      </w:r>
      <w:r w:rsidR="00DD4E54" w:rsidRPr="002D0877">
        <w:rPr>
          <w:rFonts w:ascii="Bookman Old Style" w:hAnsi="Bookman Old Style"/>
        </w:rPr>
        <w:t xml:space="preserve"> </w:t>
      </w:r>
      <w:r w:rsidR="003C69F4" w:rsidRPr="002D0877">
        <w:rPr>
          <w:rFonts w:ascii="Bookman Old Style" w:hAnsi="Bookman Old Style"/>
        </w:rPr>
        <w:t>K</w:t>
      </w:r>
      <w:r w:rsidR="00DD4E54" w:rsidRPr="002D0877">
        <w:rPr>
          <w:rFonts w:ascii="Bookman Old Style" w:hAnsi="Bookman Old Style"/>
        </w:rPr>
        <w:t>artograficznej</w:t>
      </w:r>
      <w:r w:rsidR="000524B4" w:rsidRPr="002D0877">
        <w:rPr>
          <w:rFonts w:ascii="Bookman Old Style" w:hAnsi="Bookman Old Style"/>
        </w:rPr>
        <w:t xml:space="preserve">. </w:t>
      </w:r>
      <w:r w:rsidR="008664A7" w:rsidRPr="002D0877">
        <w:rPr>
          <w:rFonts w:ascii="Bookman Old Style" w:hAnsi="Bookman Old Style"/>
        </w:rPr>
        <w:t xml:space="preserve">Zakres, termin, miejsce i sposób </w:t>
      </w:r>
      <w:r w:rsidR="00561BD2" w:rsidRPr="002D0877">
        <w:rPr>
          <w:rFonts w:ascii="Bookman Old Style" w:hAnsi="Bookman Old Style"/>
        </w:rPr>
        <w:t xml:space="preserve">oglądu materiałów należy uzgodnić z </w:t>
      </w:r>
      <w:r w:rsidR="00EE6448" w:rsidRPr="002D0877">
        <w:rPr>
          <w:rFonts w:ascii="Bookman Old Style" w:hAnsi="Bookman Old Style"/>
        </w:rPr>
        <w:t>Zamawiającym</w:t>
      </w:r>
      <w:r w:rsidR="008051B0" w:rsidRPr="002D0877">
        <w:rPr>
          <w:rFonts w:ascii="Bookman Old Style" w:hAnsi="Bookman Old Style"/>
        </w:rPr>
        <w:t>.</w:t>
      </w:r>
    </w:p>
    <w:p w14:paraId="5E6E73CC" w14:textId="77777777" w:rsidR="002D0877" w:rsidRDefault="002D0877" w:rsidP="002D0877">
      <w:pPr>
        <w:spacing w:line="360" w:lineRule="auto"/>
        <w:jc w:val="both"/>
        <w:rPr>
          <w:rFonts w:ascii="Bookman Old Style" w:hAnsi="Bookman Old Style"/>
          <w:b/>
          <w:bCs/>
        </w:rPr>
      </w:pPr>
      <w:bookmarkStart w:id="8" w:name="_Toc153528727"/>
    </w:p>
    <w:p w14:paraId="066FB637" w14:textId="6C1E9BEA" w:rsidR="002D0877" w:rsidRPr="002D0877" w:rsidRDefault="002D0877" w:rsidP="002D0877">
      <w:pPr>
        <w:spacing w:line="360" w:lineRule="auto"/>
        <w:jc w:val="both"/>
        <w:rPr>
          <w:rFonts w:ascii="Bookman Old Style" w:hAnsi="Bookman Old Style"/>
          <w:b/>
          <w:bCs/>
        </w:rPr>
      </w:pPr>
      <w:r w:rsidRPr="002D0877">
        <w:rPr>
          <w:rFonts w:ascii="Bookman Old Style" w:hAnsi="Bookman Old Style"/>
          <w:b/>
          <w:bCs/>
        </w:rPr>
        <w:t xml:space="preserve">Rozdział </w:t>
      </w:r>
      <w:r>
        <w:rPr>
          <w:rFonts w:ascii="Bookman Old Style" w:hAnsi="Bookman Old Style"/>
          <w:b/>
          <w:bCs/>
        </w:rPr>
        <w:t>5</w:t>
      </w:r>
    </w:p>
    <w:p w14:paraId="35A77FBD" w14:textId="15F189C1" w:rsidR="000B777D" w:rsidRPr="002D0877" w:rsidRDefault="005C5709" w:rsidP="001B6039">
      <w:pPr>
        <w:spacing w:line="360" w:lineRule="auto"/>
        <w:jc w:val="both"/>
        <w:rPr>
          <w:rFonts w:ascii="Bookman Old Style" w:hAnsi="Bookman Old Style"/>
          <w:b/>
          <w:bCs/>
          <w:u w:val="single"/>
        </w:rPr>
      </w:pPr>
      <w:r w:rsidRPr="002D0877">
        <w:rPr>
          <w:rFonts w:ascii="Bookman Old Style" w:hAnsi="Bookman Old Style"/>
          <w:b/>
          <w:bCs/>
          <w:u w:val="single"/>
        </w:rPr>
        <w:t>Szczegółowe w</w:t>
      </w:r>
      <w:r w:rsidR="00626D10" w:rsidRPr="002D0877">
        <w:rPr>
          <w:rFonts w:ascii="Bookman Old Style" w:hAnsi="Bookman Old Style"/>
          <w:b/>
          <w:bCs/>
          <w:u w:val="single"/>
        </w:rPr>
        <w:t xml:space="preserve">ytyczne techniczne odnośnie realizacji </w:t>
      </w:r>
      <w:bookmarkEnd w:id="8"/>
      <w:r w:rsidR="00100456">
        <w:rPr>
          <w:rFonts w:ascii="Bookman Old Style" w:hAnsi="Bookman Old Style"/>
          <w:b/>
          <w:bCs/>
          <w:u w:val="single"/>
        </w:rPr>
        <w:t>przedmiotu zamówienia</w:t>
      </w:r>
      <w:r w:rsidR="002D0877">
        <w:rPr>
          <w:rFonts w:ascii="Bookman Old Style" w:hAnsi="Bookman Old Style"/>
          <w:b/>
          <w:bCs/>
          <w:u w:val="single"/>
        </w:rPr>
        <w:t>.</w:t>
      </w:r>
    </w:p>
    <w:p w14:paraId="1E3C152D" w14:textId="6C6BF217" w:rsidR="009E1013" w:rsidRPr="002D0877" w:rsidRDefault="009E1013" w:rsidP="002D0877">
      <w:pPr>
        <w:pStyle w:val="Akapitzlist"/>
        <w:numPr>
          <w:ilvl w:val="0"/>
          <w:numId w:val="34"/>
        </w:numPr>
        <w:spacing w:line="360" w:lineRule="auto"/>
        <w:ind w:left="426"/>
        <w:jc w:val="both"/>
        <w:rPr>
          <w:rFonts w:ascii="Bookman Old Style" w:hAnsi="Bookman Old Style"/>
        </w:rPr>
      </w:pPr>
      <w:bookmarkStart w:id="9" w:name="_Ref75977913"/>
      <w:r w:rsidRPr="002D0877">
        <w:rPr>
          <w:rFonts w:ascii="Bookman Old Style" w:hAnsi="Bookman Old Style"/>
        </w:rPr>
        <w:t xml:space="preserve">W celu realizacji </w:t>
      </w:r>
      <w:r w:rsidR="00100456">
        <w:rPr>
          <w:rFonts w:ascii="Bookman Old Style" w:hAnsi="Bookman Old Style"/>
        </w:rPr>
        <w:t>przedmiotu zamówienia</w:t>
      </w:r>
      <w:r w:rsidRPr="002D0877">
        <w:rPr>
          <w:rFonts w:ascii="Bookman Old Style" w:hAnsi="Bookman Old Style"/>
        </w:rPr>
        <w:t xml:space="preserve"> </w:t>
      </w:r>
      <w:r w:rsidR="003C61F1" w:rsidRPr="002D0877">
        <w:rPr>
          <w:rFonts w:ascii="Bookman Old Style" w:hAnsi="Bookman Old Style"/>
        </w:rPr>
        <w:t xml:space="preserve">w pierwszej kolejności Zamawiający w ciągu 5 dni roboczych od daty zawarcia umowy wygeneruje i przekaże Wykonawcy pliki wymiany danych GML i KCD osobno dla zbiorów BDOT500 i GESUT dla </w:t>
      </w:r>
      <w:r w:rsidR="00455100" w:rsidRPr="002D0877">
        <w:rPr>
          <w:rFonts w:ascii="Bookman Old Style" w:hAnsi="Bookman Old Style"/>
        </w:rPr>
        <w:t>każdej jednostki ewidencyjnej</w:t>
      </w:r>
      <w:r w:rsidR="00583AAE" w:rsidRPr="002D0877">
        <w:rPr>
          <w:rFonts w:ascii="Bookman Old Style" w:hAnsi="Bookman Old Style"/>
        </w:rPr>
        <w:t xml:space="preserve"> </w:t>
      </w:r>
      <w:r w:rsidR="003C61F1" w:rsidRPr="002D0877">
        <w:rPr>
          <w:rFonts w:ascii="Bookman Old Style" w:hAnsi="Bookman Old Style"/>
        </w:rPr>
        <w:t>oddzielnie.</w:t>
      </w:r>
      <w:r w:rsidR="00205DEA" w:rsidRPr="002D0877">
        <w:rPr>
          <w:rFonts w:ascii="Bookman Old Style" w:hAnsi="Bookman Old Style"/>
        </w:rPr>
        <w:t xml:space="preserve"> </w:t>
      </w:r>
      <w:r w:rsidR="008051B0" w:rsidRPr="002D0877">
        <w:rPr>
          <w:rFonts w:ascii="Bookman Old Style" w:hAnsi="Bookman Old Style"/>
        </w:rPr>
        <w:t>O</w:t>
      </w:r>
      <w:r w:rsidR="00205DEA" w:rsidRPr="002D0877">
        <w:rPr>
          <w:rFonts w:ascii="Bookman Old Style" w:hAnsi="Bookman Old Style"/>
        </w:rPr>
        <w:t>biekty w</w:t>
      </w:r>
      <w:r w:rsidR="008051B0" w:rsidRPr="002D0877">
        <w:rPr>
          <w:rFonts w:ascii="Bookman Old Style" w:hAnsi="Bookman Old Style"/>
        </w:rPr>
        <w:t> </w:t>
      </w:r>
      <w:r w:rsidR="00205DEA" w:rsidRPr="002D0877">
        <w:rPr>
          <w:rFonts w:ascii="Bookman Old Style" w:hAnsi="Bookman Old Style"/>
        </w:rPr>
        <w:t xml:space="preserve">schemacie K1/G7 </w:t>
      </w:r>
      <w:r w:rsidR="004733D0" w:rsidRPr="002D0877">
        <w:rPr>
          <w:rFonts w:ascii="Bookman Old Style" w:hAnsi="Bookman Old Style"/>
        </w:rPr>
        <w:t>zostaną wygenerowane</w:t>
      </w:r>
      <w:r w:rsidR="00205DEA" w:rsidRPr="002D0877">
        <w:rPr>
          <w:rFonts w:ascii="Bookman Old Style" w:hAnsi="Bookman Old Style"/>
        </w:rPr>
        <w:t xml:space="preserve"> i dostarczone w formacie KCD.</w:t>
      </w:r>
    </w:p>
    <w:p w14:paraId="43B93618" w14:textId="3233739A" w:rsidR="00AB29A0" w:rsidRPr="002D0877" w:rsidRDefault="00AB29A0" w:rsidP="002D0877">
      <w:pPr>
        <w:pStyle w:val="Akapitzlist"/>
        <w:numPr>
          <w:ilvl w:val="0"/>
          <w:numId w:val="34"/>
        </w:numPr>
        <w:spacing w:line="360" w:lineRule="auto"/>
        <w:ind w:left="426"/>
        <w:jc w:val="both"/>
        <w:rPr>
          <w:rFonts w:ascii="Bookman Old Style" w:hAnsi="Bookman Old Style"/>
        </w:rPr>
      </w:pPr>
      <w:r w:rsidRPr="002D0877">
        <w:rPr>
          <w:rFonts w:ascii="Bookman Old Style" w:hAnsi="Bookman Old Style"/>
        </w:rPr>
        <w:lastRenderedPageBreak/>
        <w:t>Jeżeli w przeciągu 5 dni roboczych Zamawiający zorganizuje i skutecznie przekaże informacje dostępowe do infrastruktury teleinformatycznej Zamawiającego pozwalające na samodzielne pozyskanie danych przez Wykonawcę, wówczas obowiązek pozyskania danych GML i KCD ciąży na Wykonawcy.</w:t>
      </w:r>
    </w:p>
    <w:p w14:paraId="57AA077E" w14:textId="313E7CDD" w:rsidR="00AF61BC" w:rsidRPr="002D0877" w:rsidRDefault="005B6EF5" w:rsidP="002D0877">
      <w:pPr>
        <w:pStyle w:val="Akapitzlist"/>
        <w:numPr>
          <w:ilvl w:val="0"/>
          <w:numId w:val="34"/>
        </w:numPr>
        <w:spacing w:line="360" w:lineRule="auto"/>
        <w:ind w:left="426"/>
        <w:jc w:val="both"/>
        <w:rPr>
          <w:rFonts w:ascii="Bookman Old Style" w:hAnsi="Bookman Old Style"/>
        </w:rPr>
      </w:pPr>
      <w:r w:rsidRPr="002D0877">
        <w:rPr>
          <w:rFonts w:ascii="Bookman Old Style" w:hAnsi="Bookman Old Style"/>
        </w:rPr>
        <w:t xml:space="preserve">W pierwszej kolejności Wykonawca dokona analizy stanu wyjściowego WMZ </w:t>
      </w:r>
      <w:r w:rsidR="004F51CF" w:rsidRPr="002D0877">
        <w:rPr>
          <w:rFonts w:ascii="Bookman Old Style" w:hAnsi="Bookman Old Style"/>
        </w:rPr>
        <w:t>by określić</w:t>
      </w:r>
      <w:r w:rsidRPr="002D0877">
        <w:rPr>
          <w:rFonts w:ascii="Bookman Old Style" w:hAnsi="Bookman Old Style"/>
        </w:rPr>
        <w:t xml:space="preserve"> </w:t>
      </w:r>
      <w:r w:rsidR="004F51CF" w:rsidRPr="002D0877">
        <w:rPr>
          <w:rFonts w:ascii="Bookman Old Style" w:hAnsi="Bookman Old Style"/>
        </w:rPr>
        <w:t xml:space="preserve">wymagany </w:t>
      </w:r>
      <w:r w:rsidRPr="002D0877">
        <w:rPr>
          <w:rFonts w:ascii="Bookman Old Style" w:hAnsi="Bookman Old Style"/>
        </w:rPr>
        <w:t xml:space="preserve">zakres prac obejmujących </w:t>
      </w:r>
      <w:r w:rsidR="002A0B3F" w:rsidRPr="002D0877">
        <w:rPr>
          <w:rFonts w:ascii="Bookman Old Style" w:hAnsi="Bookman Old Style"/>
        </w:rPr>
        <w:t xml:space="preserve">dostosowanie i </w:t>
      </w:r>
      <w:r w:rsidRPr="002D0877">
        <w:rPr>
          <w:rFonts w:ascii="Bookman Old Style" w:hAnsi="Bookman Old Style"/>
        </w:rPr>
        <w:t>konwersję danych mapy</w:t>
      </w:r>
      <w:r w:rsidR="00AF61BC" w:rsidRPr="002D0877">
        <w:rPr>
          <w:rFonts w:ascii="Bookman Old Style" w:hAnsi="Bookman Old Style"/>
        </w:rPr>
        <w:t xml:space="preserve">. </w:t>
      </w:r>
      <w:r w:rsidRPr="002D0877">
        <w:rPr>
          <w:rFonts w:ascii="Bookman Old Style" w:hAnsi="Bookman Old Style"/>
        </w:rPr>
        <w:t xml:space="preserve">Co do zasady opracowanie nie obejmuje poprawy topologii, </w:t>
      </w:r>
      <w:r w:rsidR="004F51CF" w:rsidRPr="002D0877">
        <w:rPr>
          <w:rFonts w:ascii="Bookman Old Style" w:hAnsi="Bookman Old Style"/>
        </w:rPr>
        <w:t xml:space="preserve">nadania </w:t>
      </w:r>
      <w:r w:rsidRPr="002D0877">
        <w:rPr>
          <w:rFonts w:ascii="Bookman Old Style" w:hAnsi="Bookman Old Style"/>
        </w:rPr>
        <w:t>brakujących atrybutów oraz redakcji mapy</w:t>
      </w:r>
      <w:r w:rsidR="0050318B" w:rsidRPr="002D0877">
        <w:rPr>
          <w:rFonts w:ascii="Bookman Old Style" w:hAnsi="Bookman Old Style"/>
        </w:rPr>
        <w:t>;</w:t>
      </w:r>
      <w:r w:rsidRPr="002D0877">
        <w:rPr>
          <w:rFonts w:ascii="Bookman Old Style" w:hAnsi="Bookman Old Style"/>
        </w:rPr>
        <w:t xml:space="preserve"> </w:t>
      </w:r>
      <w:r w:rsidR="0050318B" w:rsidRPr="002D0877">
        <w:rPr>
          <w:rFonts w:ascii="Bookman Old Style" w:hAnsi="Bookman Old Style"/>
        </w:rPr>
        <w:t xml:space="preserve">wymagających </w:t>
      </w:r>
      <w:r w:rsidRPr="002D0877">
        <w:rPr>
          <w:rFonts w:ascii="Bookman Old Style" w:hAnsi="Bookman Old Style"/>
        </w:rPr>
        <w:t>sięgania do materiałów źródłowych takich</w:t>
      </w:r>
      <w:r w:rsidR="0017294B" w:rsidRPr="002D0877">
        <w:rPr>
          <w:rFonts w:ascii="Bookman Old Style" w:hAnsi="Bookman Old Style"/>
        </w:rPr>
        <w:t>,</w:t>
      </w:r>
      <w:r w:rsidRPr="002D0877">
        <w:rPr>
          <w:rFonts w:ascii="Bookman Old Style" w:hAnsi="Bookman Old Style"/>
        </w:rPr>
        <w:t xml:space="preserve"> jak</w:t>
      </w:r>
      <w:r w:rsidR="00F94260" w:rsidRPr="002D0877">
        <w:rPr>
          <w:rFonts w:ascii="Bookman Old Style" w:hAnsi="Bookman Old Style"/>
        </w:rPr>
        <w:t>:</w:t>
      </w:r>
      <w:r w:rsidRPr="002D0877">
        <w:rPr>
          <w:rFonts w:ascii="Bookman Old Style" w:hAnsi="Bookman Old Style"/>
        </w:rPr>
        <w:t xml:space="preserve"> operaty, rastry map, zdjęcia lotnicze czy informacje pozyskane w terenie</w:t>
      </w:r>
      <w:r w:rsidR="00F94260" w:rsidRPr="002D0877">
        <w:rPr>
          <w:rFonts w:ascii="Bookman Old Style" w:hAnsi="Bookman Old Style"/>
        </w:rPr>
        <w:t>;</w:t>
      </w:r>
      <w:r w:rsidRPr="002D0877">
        <w:rPr>
          <w:rFonts w:ascii="Bookman Old Style" w:hAnsi="Bookman Old Style"/>
        </w:rPr>
        <w:t xml:space="preserve"> poza przypadkami wymienionymi w WT. Wykonawca realizuje swoje prace bazując wyłącznie na treści cyfrowej (wektorowej) zbiorów danych BDOT500</w:t>
      </w:r>
      <w:r w:rsidR="004F51CF" w:rsidRPr="002D0877">
        <w:rPr>
          <w:rFonts w:ascii="Bookman Old Style" w:hAnsi="Bookman Old Style"/>
        </w:rPr>
        <w:t xml:space="preserve"> i</w:t>
      </w:r>
      <w:r w:rsidRPr="002D0877">
        <w:rPr>
          <w:rFonts w:ascii="Bookman Old Style" w:hAnsi="Bookman Old Style"/>
        </w:rPr>
        <w:t xml:space="preserve"> GESUT w </w:t>
      </w:r>
      <w:proofErr w:type="spellStart"/>
      <w:r w:rsidRPr="002D0877">
        <w:rPr>
          <w:rFonts w:ascii="Bookman Old Style" w:hAnsi="Bookman Old Style"/>
        </w:rPr>
        <w:t>BDPZGiK</w:t>
      </w:r>
      <w:proofErr w:type="spellEnd"/>
      <w:r w:rsidRPr="002D0877">
        <w:rPr>
          <w:rFonts w:ascii="Bookman Old Style" w:hAnsi="Bookman Old Style"/>
        </w:rPr>
        <w:t xml:space="preserve">. Natomiast powyższe nie zwalnia Wykonawcy z dołożenia wszelkich starań, by przy </w:t>
      </w:r>
      <w:r w:rsidR="00E741FC" w:rsidRPr="002D0877">
        <w:rPr>
          <w:rFonts w:ascii="Bookman Old Style" w:hAnsi="Bookman Old Style"/>
        </w:rPr>
        <w:t xml:space="preserve">wykonywaniu </w:t>
      </w:r>
      <w:r w:rsidRPr="002D0877">
        <w:rPr>
          <w:rFonts w:ascii="Bookman Old Style" w:hAnsi="Bookman Old Style"/>
        </w:rPr>
        <w:t>konwersj</w:t>
      </w:r>
      <w:r w:rsidR="00F37FEC" w:rsidRPr="002D0877">
        <w:rPr>
          <w:rFonts w:ascii="Bookman Old Style" w:hAnsi="Bookman Old Style"/>
        </w:rPr>
        <w:t>i</w:t>
      </w:r>
      <w:r w:rsidRPr="002D0877">
        <w:rPr>
          <w:rFonts w:ascii="Bookman Old Style" w:hAnsi="Bookman Old Style"/>
        </w:rPr>
        <w:t xml:space="preserve"> zachować wszystkie informacje zawarte w prze</w:t>
      </w:r>
      <w:r w:rsidR="00D805B3" w:rsidRPr="002D0877">
        <w:rPr>
          <w:rFonts w:ascii="Bookman Old Style" w:hAnsi="Bookman Old Style"/>
        </w:rPr>
        <w:t>kształcanych</w:t>
      </w:r>
      <w:r w:rsidRPr="002D0877">
        <w:rPr>
          <w:rFonts w:ascii="Bookman Old Style" w:hAnsi="Bookman Old Style"/>
        </w:rPr>
        <w:t xml:space="preserve"> zbiorach danych.</w:t>
      </w:r>
    </w:p>
    <w:p w14:paraId="5A6FF5B2" w14:textId="69678152" w:rsidR="004F51CF" w:rsidRPr="002D0877" w:rsidRDefault="004F51CF" w:rsidP="002D0877">
      <w:pPr>
        <w:pStyle w:val="Akapitzlist"/>
        <w:numPr>
          <w:ilvl w:val="0"/>
          <w:numId w:val="34"/>
        </w:numPr>
        <w:spacing w:line="360" w:lineRule="auto"/>
        <w:ind w:left="426"/>
        <w:jc w:val="both"/>
        <w:rPr>
          <w:rFonts w:ascii="Bookman Old Style" w:hAnsi="Bookman Old Style"/>
        </w:rPr>
      </w:pPr>
      <w:r w:rsidRPr="002D0877">
        <w:rPr>
          <w:rFonts w:ascii="Bookman Old Style" w:hAnsi="Bookman Old Style"/>
        </w:rPr>
        <w:t>W celu realizacji konwersji wymagane jest dostosowanie danych występujących w stanie niepoprawnym oraz w schemacie K</w:t>
      </w:r>
      <w:r w:rsidR="009D43EC" w:rsidRPr="002D0877">
        <w:rPr>
          <w:rFonts w:ascii="Bookman Old Style" w:hAnsi="Bookman Old Style"/>
        </w:rPr>
        <w:t>-</w:t>
      </w:r>
      <w:r w:rsidRPr="002D0877">
        <w:rPr>
          <w:rFonts w:ascii="Bookman Old Style" w:hAnsi="Bookman Old Style"/>
        </w:rPr>
        <w:t>1</w:t>
      </w:r>
      <w:r w:rsidR="002A0B3F" w:rsidRPr="002D0877">
        <w:rPr>
          <w:rFonts w:ascii="Bookman Old Style" w:hAnsi="Bookman Old Style"/>
        </w:rPr>
        <w:t xml:space="preserve"> do stanu poprawnego i co najmniej PMD starego</w:t>
      </w:r>
      <w:r w:rsidRPr="002D0877">
        <w:rPr>
          <w:rFonts w:ascii="Bookman Old Style" w:hAnsi="Bookman Old Style"/>
        </w:rPr>
        <w:t>.</w:t>
      </w:r>
    </w:p>
    <w:p w14:paraId="737E11A7" w14:textId="6914A2D6" w:rsidR="005B6EF5" w:rsidRPr="002D0877" w:rsidRDefault="005B6EF5" w:rsidP="002D0877">
      <w:pPr>
        <w:pStyle w:val="Akapitzlist"/>
        <w:numPr>
          <w:ilvl w:val="0"/>
          <w:numId w:val="34"/>
        </w:numPr>
        <w:spacing w:line="360" w:lineRule="auto"/>
        <w:ind w:left="426"/>
        <w:jc w:val="both"/>
        <w:rPr>
          <w:rFonts w:ascii="Bookman Old Style" w:hAnsi="Bookman Old Style"/>
        </w:rPr>
      </w:pPr>
      <w:r w:rsidRPr="002D0877">
        <w:rPr>
          <w:rFonts w:ascii="Bookman Old Style" w:hAnsi="Bookman Old Style"/>
        </w:rPr>
        <w:t xml:space="preserve">Do realizacji </w:t>
      </w:r>
      <w:r w:rsidR="00D805B3" w:rsidRPr="002D0877">
        <w:rPr>
          <w:rFonts w:ascii="Bookman Old Style" w:hAnsi="Bookman Old Style"/>
        </w:rPr>
        <w:t>konwersji</w:t>
      </w:r>
      <w:r w:rsidRPr="002D0877">
        <w:rPr>
          <w:rFonts w:ascii="Bookman Old Style" w:hAnsi="Bookman Old Style"/>
        </w:rPr>
        <w:t xml:space="preserve"> Wykonawca jest zobowiązany zastosować powołane przepisy prawne oraz schematy aplikacyjne XSD opublikowane na Portalu Interoperacyjności </w:t>
      </w:r>
      <w:r w:rsidR="0012193F" w:rsidRPr="002D0877">
        <w:rPr>
          <w:rFonts w:ascii="Bookman Old Style" w:hAnsi="Bookman Old Style"/>
        </w:rPr>
        <w:t xml:space="preserve">na dzień </w:t>
      </w:r>
      <w:r w:rsidRPr="002D0877">
        <w:rPr>
          <w:rFonts w:ascii="Bookman Old Style" w:hAnsi="Bookman Old Style"/>
        </w:rPr>
        <w:t xml:space="preserve">podpisania umowy. Nie uznaje się za wady opracowania zmiany właściwości obiektów, w tym typów graficznych, warstw, atrybutów; wynikające ze zmian w schematach aplikacyjnych XSD zbiorów danych BDOT500 i GESUT opublikowanych na Portalu Interoperacyjności przez ustawodawcę po tym terminie. Podobnież nie uznaje się za wady błędy obiektów istniejące w danych podlegających dostosowaniu czy konwersji, przeniesione do </w:t>
      </w:r>
      <w:r w:rsidR="00EC3625" w:rsidRPr="002D0877">
        <w:rPr>
          <w:rFonts w:ascii="Bookman Old Style" w:hAnsi="Bookman Old Style"/>
        </w:rPr>
        <w:t xml:space="preserve">aktualnego </w:t>
      </w:r>
      <w:r w:rsidRPr="002D0877">
        <w:rPr>
          <w:rFonts w:ascii="Bookman Old Style" w:hAnsi="Bookman Old Style"/>
        </w:rPr>
        <w:t>modelu pojęciowego w wyniku przeprowadzonych działań, chyba że konieczność usunięcia tych błędów została wyspecyfikowana w niniejszych WT.</w:t>
      </w:r>
    </w:p>
    <w:p w14:paraId="34E39F31" w14:textId="11C8E588" w:rsidR="005B6EF5" w:rsidRPr="002D0877" w:rsidRDefault="00A37837" w:rsidP="002D0877">
      <w:pPr>
        <w:pStyle w:val="Akapitzlist"/>
        <w:numPr>
          <w:ilvl w:val="0"/>
          <w:numId w:val="34"/>
        </w:numPr>
        <w:spacing w:line="360" w:lineRule="auto"/>
        <w:ind w:left="426"/>
        <w:jc w:val="both"/>
        <w:rPr>
          <w:rFonts w:ascii="Bookman Old Style" w:hAnsi="Bookman Old Style"/>
        </w:rPr>
      </w:pPr>
      <w:r w:rsidRPr="002D0877">
        <w:rPr>
          <w:rFonts w:ascii="Bookman Old Style" w:hAnsi="Bookman Old Style"/>
        </w:rPr>
        <w:t>Raport uzgodnień dostosowania obiektów</w:t>
      </w:r>
      <w:r w:rsidR="005B6EF5" w:rsidRPr="002D0877">
        <w:rPr>
          <w:rFonts w:ascii="Bookman Old Style" w:hAnsi="Bookman Old Style"/>
        </w:rPr>
        <w:t xml:space="preserve"> </w:t>
      </w:r>
      <w:r w:rsidRPr="002D0877">
        <w:rPr>
          <w:rFonts w:ascii="Bookman Old Style" w:hAnsi="Bookman Old Style"/>
        </w:rPr>
        <w:t>należy zorganizować</w:t>
      </w:r>
      <w:r w:rsidR="005B6EF5" w:rsidRPr="002D0877">
        <w:rPr>
          <w:rFonts w:ascii="Bookman Old Style" w:hAnsi="Bookman Old Style"/>
        </w:rPr>
        <w:t xml:space="preserve"> wg poszczególnych warstw lub klas obiektów, </w:t>
      </w:r>
      <w:r w:rsidR="00177DAE" w:rsidRPr="002D0877">
        <w:rPr>
          <w:rFonts w:ascii="Bookman Old Style" w:hAnsi="Bookman Old Style"/>
        </w:rPr>
        <w:t>zgodnie ze</w:t>
      </w:r>
      <w:r w:rsidR="005B6EF5" w:rsidRPr="002D0877">
        <w:rPr>
          <w:rFonts w:ascii="Bookman Old Style" w:hAnsi="Bookman Old Style"/>
        </w:rPr>
        <w:t xml:space="preserve"> wzor</w:t>
      </w:r>
      <w:r w:rsidR="00177DAE" w:rsidRPr="002D0877">
        <w:rPr>
          <w:rFonts w:ascii="Bookman Old Style" w:hAnsi="Bookman Old Style"/>
        </w:rPr>
        <w:t>em</w:t>
      </w:r>
      <w:r w:rsidR="005B6EF5" w:rsidRPr="002D0877">
        <w:rPr>
          <w:rFonts w:ascii="Bookman Old Style" w:hAnsi="Bookman Old Style"/>
        </w:rPr>
        <w:t xml:space="preserve"> z Załącznika nr </w:t>
      </w:r>
      <w:r w:rsidR="00D805B3" w:rsidRPr="002D0877">
        <w:rPr>
          <w:rFonts w:ascii="Bookman Old Style" w:hAnsi="Bookman Old Style"/>
        </w:rPr>
        <w:t>1</w:t>
      </w:r>
      <w:r w:rsidR="005B6EF5" w:rsidRPr="002D0877">
        <w:rPr>
          <w:rFonts w:ascii="Bookman Old Style" w:hAnsi="Bookman Old Style"/>
        </w:rPr>
        <w:t xml:space="preserve"> do WT. W </w:t>
      </w:r>
      <w:r w:rsidR="00933209" w:rsidRPr="002D0877">
        <w:rPr>
          <w:rFonts w:ascii="Bookman Old Style" w:hAnsi="Bookman Old Style"/>
        </w:rPr>
        <w:t xml:space="preserve">szczególności w </w:t>
      </w:r>
      <w:r w:rsidR="005B6EF5" w:rsidRPr="002D0877">
        <w:rPr>
          <w:rFonts w:ascii="Bookman Old Style" w:hAnsi="Bookman Old Style"/>
        </w:rPr>
        <w:t xml:space="preserve">raporcie powinny znaleźć się obiekty, które nie posiadają odpowiednika w PMD </w:t>
      </w:r>
      <w:r w:rsidR="005A7EB1" w:rsidRPr="002D0877">
        <w:rPr>
          <w:rFonts w:ascii="Bookman Old Style" w:hAnsi="Bookman Old Style"/>
        </w:rPr>
        <w:t>aktualnym</w:t>
      </w:r>
      <w:r w:rsidR="005B6EF5" w:rsidRPr="002D0877">
        <w:rPr>
          <w:rFonts w:ascii="Bookman Old Style" w:hAnsi="Bookman Old Style"/>
        </w:rPr>
        <w:t>.</w:t>
      </w:r>
    </w:p>
    <w:p w14:paraId="3FBA5695" w14:textId="0DC90DD4" w:rsidR="005B6EF5" w:rsidRPr="002D0877" w:rsidRDefault="005B6EF5" w:rsidP="002D0877">
      <w:pPr>
        <w:pStyle w:val="Akapitzlist"/>
        <w:numPr>
          <w:ilvl w:val="0"/>
          <w:numId w:val="34"/>
        </w:numPr>
        <w:spacing w:line="360" w:lineRule="auto"/>
        <w:ind w:left="426"/>
        <w:jc w:val="both"/>
        <w:rPr>
          <w:rFonts w:ascii="Bookman Old Style" w:hAnsi="Bookman Old Style"/>
        </w:rPr>
      </w:pPr>
      <w:r w:rsidRPr="002D0877">
        <w:rPr>
          <w:rFonts w:ascii="Bookman Old Style" w:hAnsi="Bookman Old Style"/>
        </w:rPr>
        <w:t xml:space="preserve">Wynikiem analizy w zakresie konwersji </w:t>
      </w:r>
      <w:r w:rsidR="002A0B3F" w:rsidRPr="002D0877">
        <w:rPr>
          <w:rFonts w:ascii="Bookman Old Style" w:hAnsi="Bookman Old Style"/>
        </w:rPr>
        <w:t xml:space="preserve">danych mapy </w:t>
      </w:r>
      <w:r w:rsidRPr="002D0877">
        <w:rPr>
          <w:rFonts w:ascii="Bookman Old Style" w:hAnsi="Bookman Old Style"/>
        </w:rPr>
        <w:t xml:space="preserve">powinny być </w:t>
      </w:r>
      <w:r w:rsidR="003D748C" w:rsidRPr="002D0877">
        <w:rPr>
          <w:rFonts w:ascii="Bookman Old Style" w:hAnsi="Bookman Old Style"/>
        </w:rPr>
        <w:t>T</w:t>
      </w:r>
      <w:r w:rsidRPr="002D0877">
        <w:rPr>
          <w:rFonts w:ascii="Bookman Old Style" w:hAnsi="Bookman Old Style"/>
        </w:rPr>
        <w:t>ablice konwersji</w:t>
      </w:r>
      <w:r w:rsidR="004733D0" w:rsidRPr="002D0877">
        <w:rPr>
          <w:rFonts w:ascii="Bookman Old Style" w:hAnsi="Bookman Old Style"/>
        </w:rPr>
        <w:t xml:space="preserve"> opracowane przez Wykonawc</w:t>
      </w:r>
      <w:r w:rsidR="00100456">
        <w:rPr>
          <w:rFonts w:ascii="Bookman Old Style" w:hAnsi="Bookman Old Style"/>
        </w:rPr>
        <w:t>ę</w:t>
      </w:r>
      <w:r w:rsidRPr="002D0877">
        <w:rPr>
          <w:rFonts w:ascii="Bookman Old Style" w:hAnsi="Bookman Old Style"/>
        </w:rPr>
        <w:t>, osobno dla zbioru danych BDOT500 i osobno dla zbioru danych GESUT</w:t>
      </w:r>
      <w:r w:rsidR="004733D0" w:rsidRPr="002D0877">
        <w:rPr>
          <w:rFonts w:ascii="Bookman Old Style" w:hAnsi="Bookman Old Style"/>
        </w:rPr>
        <w:t xml:space="preserve">, </w:t>
      </w:r>
      <w:r w:rsidR="00D805B3" w:rsidRPr="002D0877">
        <w:rPr>
          <w:rFonts w:ascii="Bookman Old Style" w:hAnsi="Bookman Old Style"/>
        </w:rPr>
        <w:t>dopasowane</w:t>
      </w:r>
      <w:r w:rsidR="004733D0" w:rsidRPr="002D0877">
        <w:rPr>
          <w:rFonts w:ascii="Bookman Old Style" w:hAnsi="Bookman Old Style"/>
        </w:rPr>
        <w:t xml:space="preserve"> do potrzeb i okoliczności panujących w </w:t>
      </w:r>
      <w:r w:rsidR="00DD4E54" w:rsidRPr="002D0877">
        <w:rPr>
          <w:rFonts w:ascii="Bookman Old Style" w:hAnsi="Bookman Old Style"/>
        </w:rPr>
        <w:t>tutejszym Ośrodku Dokumentacji Geodezyjnej i Kartograficznej.</w:t>
      </w:r>
      <w:r w:rsidR="004733D0" w:rsidRPr="002D0877">
        <w:rPr>
          <w:rFonts w:ascii="Bookman Old Style" w:hAnsi="Bookman Old Style"/>
        </w:rPr>
        <w:t xml:space="preserve"> </w:t>
      </w:r>
      <w:r w:rsidR="004B430B" w:rsidRPr="002D0877">
        <w:rPr>
          <w:rFonts w:ascii="Bookman Old Style" w:hAnsi="Bookman Old Style"/>
        </w:rPr>
        <w:t>Tablice konwersji przed ich wdrożeniem należy uzgodnić z</w:t>
      </w:r>
      <w:r w:rsidR="004F45E8" w:rsidRPr="002D0877">
        <w:rPr>
          <w:rFonts w:ascii="Bookman Old Style" w:hAnsi="Bookman Old Style"/>
        </w:rPr>
        <w:t> </w:t>
      </w:r>
      <w:r w:rsidR="004B430B" w:rsidRPr="002D0877">
        <w:rPr>
          <w:rFonts w:ascii="Bookman Old Style" w:hAnsi="Bookman Old Style"/>
        </w:rPr>
        <w:t xml:space="preserve">Zamawiającym. Wykonawca może wykorzystać do opracowania tablice konwersji udostępnione przez </w:t>
      </w:r>
      <w:proofErr w:type="spellStart"/>
      <w:r w:rsidR="004B430B" w:rsidRPr="002D0877">
        <w:rPr>
          <w:rFonts w:ascii="Bookman Old Style" w:hAnsi="Bookman Old Style"/>
        </w:rPr>
        <w:t>GUGiK</w:t>
      </w:r>
      <w:proofErr w:type="spellEnd"/>
      <w:r w:rsidR="004B430B" w:rsidRPr="002D0877">
        <w:rPr>
          <w:rFonts w:ascii="Bookman Old Style" w:hAnsi="Bookman Old Style"/>
        </w:rPr>
        <w:t xml:space="preserve"> wyłącznie pomocniczo.</w:t>
      </w:r>
    </w:p>
    <w:p w14:paraId="22ADF383" w14:textId="0D457723" w:rsidR="000A6D51" w:rsidRPr="007074DC" w:rsidRDefault="000A6D51" w:rsidP="007074DC">
      <w:pPr>
        <w:pStyle w:val="Akapitzlist"/>
        <w:numPr>
          <w:ilvl w:val="0"/>
          <w:numId w:val="34"/>
        </w:numPr>
        <w:spacing w:line="360" w:lineRule="auto"/>
        <w:ind w:left="426"/>
        <w:jc w:val="both"/>
        <w:rPr>
          <w:rFonts w:ascii="Bookman Old Style" w:hAnsi="Bookman Old Style"/>
        </w:rPr>
      </w:pPr>
      <w:r w:rsidRPr="007074DC">
        <w:rPr>
          <w:rFonts w:ascii="Bookman Old Style" w:hAnsi="Bookman Old Style"/>
        </w:rPr>
        <w:t xml:space="preserve">W ramach dostosowania zbiorów danych, a przed wykonaniem konwersji baz BDOT500 i GESUT do PMD nowego, należy doprowadzić treść mapy zasadniczej oraz elementów </w:t>
      </w:r>
      <w:proofErr w:type="spellStart"/>
      <w:r w:rsidRPr="007074DC">
        <w:rPr>
          <w:rFonts w:ascii="Bookman Old Style" w:hAnsi="Bookman Old Style"/>
        </w:rPr>
        <w:t>przybudynkowych</w:t>
      </w:r>
      <w:proofErr w:type="spellEnd"/>
      <w:r w:rsidRPr="007074DC">
        <w:rPr>
          <w:rFonts w:ascii="Bookman Old Style" w:hAnsi="Bookman Old Style"/>
        </w:rPr>
        <w:t xml:space="preserve"> znajdujących się w schemacie K1/G7 w </w:t>
      </w:r>
      <w:proofErr w:type="spellStart"/>
      <w:r w:rsidRPr="007074DC">
        <w:rPr>
          <w:rFonts w:ascii="Bookman Old Style" w:hAnsi="Bookman Old Style"/>
        </w:rPr>
        <w:t>BDPZGiK</w:t>
      </w:r>
      <w:proofErr w:type="spellEnd"/>
      <w:r w:rsidRPr="007074DC">
        <w:rPr>
          <w:rFonts w:ascii="Bookman Old Style" w:hAnsi="Bookman Old Style"/>
        </w:rPr>
        <w:t xml:space="preserve"> do takiego stanu, aby wszystkie obiekty odpowiadające semantycznie bazom BDOT500 i GESUT znalazły </w:t>
      </w:r>
      <w:r w:rsidRPr="007074DC">
        <w:rPr>
          <w:rFonts w:ascii="Bookman Old Style" w:hAnsi="Bookman Old Style"/>
        </w:rPr>
        <w:lastRenderedPageBreak/>
        <w:t xml:space="preserve">się na warstwach baz BDO500, GESUT lub </w:t>
      </w:r>
      <w:proofErr w:type="spellStart"/>
      <w:r w:rsidRPr="007074DC">
        <w:rPr>
          <w:rFonts w:ascii="Bookman Old Style" w:hAnsi="Bookman Old Style"/>
        </w:rPr>
        <w:t>EGiB</w:t>
      </w:r>
      <w:proofErr w:type="spellEnd"/>
      <w:r w:rsidRPr="007074DC">
        <w:rPr>
          <w:rFonts w:ascii="Bookman Old Style" w:hAnsi="Bookman Old Style"/>
        </w:rPr>
        <w:t xml:space="preserve"> w modelu co najmniej 2015. Prace te mają charakter przygotowawczy i porządkujący. Wykonawca będzie prowadził działania dostosowawcze  w taki sposób, by jeżeli to możliwe i optymalne, dokonywać przeniesienia obiektów K1/G7 lub</w:t>
      </w:r>
      <w:r w:rsidR="00C25D9F" w:rsidRPr="007074DC">
        <w:rPr>
          <w:rFonts w:ascii="Bookman Old Style" w:hAnsi="Bookman Old Style"/>
        </w:rPr>
        <w:t xml:space="preserve"> </w:t>
      </w:r>
      <w:r w:rsidRPr="007074DC">
        <w:rPr>
          <w:rFonts w:ascii="Bookman Old Style" w:hAnsi="Bookman Old Style"/>
        </w:rPr>
        <w:t>innych nie stanowiących zbiory danych BDOT500 i GESUT wprost do PMD nowego, bez pośrednictwa PMD starego.</w:t>
      </w:r>
    </w:p>
    <w:p w14:paraId="63421E97" w14:textId="77C5D4D1" w:rsidR="00CE07F8" w:rsidRPr="007074DC" w:rsidRDefault="00CE07F8" w:rsidP="007074DC">
      <w:pPr>
        <w:pStyle w:val="Akapitzlist"/>
        <w:numPr>
          <w:ilvl w:val="0"/>
          <w:numId w:val="34"/>
        </w:numPr>
        <w:spacing w:line="360" w:lineRule="auto"/>
        <w:ind w:left="426"/>
        <w:jc w:val="both"/>
        <w:rPr>
          <w:rFonts w:ascii="Bookman Old Style" w:hAnsi="Bookman Old Style"/>
        </w:rPr>
      </w:pPr>
      <w:r w:rsidRPr="007074DC">
        <w:rPr>
          <w:rFonts w:ascii="Bookman Old Style" w:hAnsi="Bookman Old Style"/>
        </w:rPr>
        <w:t>W ramach działań dostosowawczych mapy należy w szczególności:</w:t>
      </w:r>
    </w:p>
    <w:p w14:paraId="7A9C845B" w14:textId="478C969A" w:rsidR="00CE07F8" w:rsidRPr="007074DC" w:rsidRDefault="00CE07F8" w:rsidP="007074DC">
      <w:pPr>
        <w:pStyle w:val="Akapitzlist"/>
        <w:numPr>
          <w:ilvl w:val="0"/>
          <w:numId w:val="35"/>
        </w:numPr>
        <w:spacing w:line="360" w:lineRule="auto"/>
        <w:jc w:val="both"/>
        <w:rPr>
          <w:rFonts w:ascii="Bookman Old Style" w:hAnsi="Bookman Old Style"/>
        </w:rPr>
      </w:pPr>
      <w:r w:rsidRPr="007074DC">
        <w:rPr>
          <w:rFonts w:ascii="Bookman Old Style" w:hAnsi="Bookman Old Style"/>
        </w:rPr>
        <w:t xml:space="preserve">Dokonać analizy i </w:t>
      </w:r>
      <w:proofErr w:type="spellStart"/>
      <w:r w:rsidRPr="007074DC">
        <w:rPr>
          <w:rFonts w:ascii="Bookman Old Style" w:hAnsi="Bookman Old Style"/>
        </w:rPr>
        <w:t>obiektowania</w:t>
      </w:r>
      <w:proofErr w:type="spellEnd"/>
      <w:r w:rsidRPr="007074DC">
        <w:rPr>
          <w:rFonts w:ascii="Bookman Old Style" w:hAnsi="Bookman Old Style"/>
        </w:rPr>
        <w:t xml:space="preserve"> elementów strukturalnych i stowarzyszonych budynków w liczbie około 60. Usunąć elementy budynkowe, które dublują obiekty występujące w bazie </w:t>
      </w:r>
      <w:proofErr w:type="spellStart"/>
      <w:r w:rsidRPr="007074DC">
        <w:rPr>
          <w:rFonts w:ascii="Bookman Old Style" w:hAnsi="Bookman Old Style"/>
        </w:rPr>
        <w:t>EGiB</w:t>
      </w:r>
      <w:proofErr w:type="spellEnd"/>
      <w:r w:rsidRPr="007074DC">
        <w:rPr>
          <w:rFonts w:ascii="Bookman Old Style" w:hAnsi="Bookman Old Style"/>
        </w:rPr>
        <w:t xml:space="preserve">. Elementy </w:t>
      </w:r>
      <w:proofErr w:type="spellStart"/>
      <w:r w:rsidRPr="007074DC">
        <w:rPr>
          <w:rFonts w:ascii="Bookman Old Style" w:hAnsi="Bookman Old Style"/>
        </w:rPr>
        <w:t>przybudynkowe</w:t>
      </w:r>
      <w:proofErr w:type="spellEnd"/>
      <w:r w:rsidRPr="007074DC">
        <w:rPr>
          <w:rFonts w:ascii="Bookman Old Style" w:hAnsi="Bookman Old Style"/>
        </w:rPr>
        <w:t xml:space="preserve"> należące do budynków ewidencyjnych przenieść na właściwe warstwy PMD nowego do bazy </w:t>
      </w:r>
      <w:proofErr w:type="spellStart"/>
      <w:r w:rsidRPr="007074DC">
        <w:rPr>
          <w:rFonts w:ascii="Bookman Old Style" w:hAnsi="Bookman Old Style"/>
        </w:rPr>
        <w:t>EGiB</w:t>
      </w:r>
      <w:proofErr w:type="spellEnd"/>
      <w:r w:rsidRPr="007074DC">
        <w:rPr>
          <w:rFonts w:ascii="Bookman Old Style" w:hAnsi="Bookman Old Style"/>
        </w:rPr>
        <w:t xml:space="preserve"> oraz powiązać z odpowiednimi budynkami. Pozostałe elementy </w:t>
      </w:r>
      <w:proofErr w:type="spellStart"/>
      <w:r w:rsidRPr="007074DC">
        <w:rPr>
          <w:rFonts w:ascii="Bookman Old Style" w:hAnsi="Bookman Old Style"/>
        </w:rPr>
        <w:t>przybudynkowe</w:t>
      </w:r>
      <w:proofErr w:type="spellEnd"/>
      <w:r w:rsidRPr="007074DC">
        <w:rPr>
          <w:rFonts w:ascii="Bookman Old Style" w:hAnsi="Bookman Old Style"/>
        </w:rPr>
        <w:t xml:space="preserve"> przenieść na odpowiednie warstwy BDOT500 PMD nowego.</w:t>
      </w:r>
    </w:p>
    <w:p w14:paraId="56AC0CBE" w14:textId="246C9204" w:rsidR="002D657A" w:rsidRPr="007074DC" w:rsidRDefault="002D657A" w:rsidP="007074DC">
      <w:pPr>
        <w:pStyle w:val="Akapitzlist"/>
        <w:numPr>
          <w:ilvl w:val="0"/>
          <w:numId w:val="35"/>
        </w:numPr>
        <w:spacing w:line="360" w:lineRule="auto"/>
        <w:jc w:val="both"/>
        <w:rPr>
          <w:rFonts w:ascii="Bookman Old Style" w:hAnsi="Bookman Old Style"/>
        </w:rPr>
      </w:pPr>
      <w:r w:rsidRPr="007074DC">
        <w:rPr>
          <w:rFonts w:ascii="Bookman Old Style" w:hAnsi="Bookman Old Style"/>
        </w:rPr>
        <w:t xml:space="preserve">Budynki BNE, znajdujące się w schemacie </w:t>
      </w:r>
      <w:proofErr w:type="spellStart"/>
      <w:r w:rsidRPr="007074DC">
        <w:rPr>
          <w:rFonts w:ascii="Bookman Old Style" w:hAnsi="Bookman Old Style"/>
        </w:rPr>
        <w:t>EGiB</w:t>
      </w:r>
      <w:proofErr w:type="spellEnd"/>
      <w:r w:rsidRPr="007074DC">
        <w:rPr>
          <w:rFonts w:ascii="Bookman Old Style" w:hAnsi="Bookman Old Style"/>
        </w:rPr>
        <w:t xml:space="preserve"> w liczbie około </w:t>
      </w:r>
      <w:r w:rsidR="00F11730" w:rsidRPr="007074DC">
        <w:rPr>
          <w:rFonts w:ascii="Bookman Old Style" w:hAnsi="Bookman Old Style"/>
        </w:rPr>
        <w:t>19</w:t>
      </w:r>
      <w:r w:rsidRPr="007074DC">
        <w:rPr>
          <w:rFonts w:ascii="Bookman Old Style" w:hAnsi="Bookman Old Style"/>
        </w:rPr>
        <w:t xml:space="preserve">0 należy przenieść do bazy BDOT500 na warstwę </w:t>
      </w:r>
      <w:r w:rsidR="00F11730" w:rsidRPr="007074DC">
        <w:rPr>
          <w:rFonts w:ascii="Bookman Old Style" w:hAnsi="Bookman Old Style"/>
        </w:rPr>
        <w:t xml:space="preserve">odpowiednio </w:t>
      </w:r>
      <w:r w:rsidRPr="007074DC">
        <w:rPr>
          <w:rFonts w:ascii="Bookman Old Style" w:hAnsi="Bookman Old Style"/>
        </w:rPr>
        <w:t>OTBU budynek</w:t>
      </w:r>
      <w:r w:rsidR="00F11730" w:rsidRPr="007074DC">
        <w:rPr>
          <w:rFonts w:ascii="Bookman Old Style" w:hAnsi="Bookman Old Style"/>
        </w:rPr>
        <w:t xml:space="preserve"> lub OTBB budynek w budowie</w:t>
      </w:r>
      <w:r w:rsidRPr="007074DC">
        <w:rPr>
          <w:rFonts w:ascii="Bookman Old Style" w:hAnsi="Bookman Old Style"/>
        </w:rPr>
        <w:t xml:space="preserve"> wraz z przeniesieniem wszystkich możliwych atrybutów w PMD nowym (Źródło danych o położeniu, Informacja dodatkowa, Rodzaj KŚT, Liczba kondygnacji nadziemnych, Liczba kondygnacji podziemnych) oraz ich elementów strukturalnych i stowarzyszonych.</w:t>
      </w:r>
    </w:p>
    <w:p w14:paraId="13670F57" w14:textId="5C908E91" w:rsidR="00CE07F8" w:rsidRPr="007074DC" w:rsidRDefault="00CE07F8" w:rsidP="007074DC">
      <w:pPr>
        <w:pStyle w:val="Akapitzlist"/>
        <w:numPr>
          <w:ilvl w:val="0"/>
          <w:numId w:val="35"/>
        </w:numPr>
        <w:spacing w:line="360" w:lineRule="auto"/>
        <w:jc w:val="both"/>
        <w:rPr>
          <w:rFonts w:ascii="Bookman Old Style" w:hAnsi="Bookman Old Style"/>
        </w:rPr>
      </w:pPr>
      <w:r w:rsidRPr="007074DC">
        <w:rPr>
          <w:rFonts w:ascii="Bookman Old Style" w:hAnsi="Bookman Old Style"/>
        </w:rPr>
        <w:t xml:space="preserve">Pozostałe obiekty pochodzące ze schematu K1 </w:t>
      </w:r>
      <w:r w:rsidR="00F8515B" w:rsidRPr="007074DC">
        <w:rPr>
          <w:rFonts w:ascii="Bookman Old Style" w:hAnsi="Bookman Old Style"/>
        </w:rPr>
        <w:t xml:space="preserve">w liczbie około 2100 </w:t>
      </w:r>
      <w:r w:rsidRPr="007074DC">
        <w:rPr>
          <w:rFonts w:ascii="Bookman Old Style" w:hAnsi="Bookman Old Style"/>
        </w:rPr>
        <w:t>należy</w:t>
      </w:r>
      <w:r w:rsidR="006D72EC" w:rsidRPr="007074DC">
        <w:rPr>
          <w:rFonts w:ascii="Bookman Old Style" w:hAnsi="Bookman Old Style"/>
        </w:rPr>
        <w:t xml:space="preserve"> przenieść na odpowiadające warstwy PMD nowego lub zarchiwizować</w:t>
      </w:r>
      <w:r w:rsidR="008A6D00" w:rsidRPr="007074DC">
        <w:rPr>
          <w:rFonts w:ascii="Bookman Old Style" w:hAnsi="Bookman Old Style"/>
        </w:rPr>
        <w:t>, jeśli nie mają swoich odpowiedników w PMD 2021</w:t>
      </w:r>
      <w:r w:rsidR="003D5363" w:rsidRPr="007074DC">
        <w:rPr>
          <w:rFonts w:ascii="Bookman Old Style" w:hAnsi="Bookman Old Style"/>
        </w:rPr>
        <w:t xml:space="preserve">, </w:t>
      </w:r>
      <w:r w:rsidRPr="007074DC">
        <w:rPr>
          <w:rFonts w:ascii="Bookman Old Style" w:hAnsi="Bookman Old Style"/>
        </w:rPr>
        <w:t>zgodnie z Raportem uzgodnień dostosowania</w:t>
      </w:r>
      <w:r w:rsidR="006D72EC" w:rsidRPr="007074DC">
        <w:rPr>
          <w:rFonts w:ascii="Bookman Old Style" w:hAnsi="Bookman Old Style"/>
        </w:rPr>
        <w:t>.</w:t>
      </w:r>
    </w:p>
    <w:p w14:paraId="6E9EA0D3" w14:textId="010750D9" w:rsidR="00CE07F8" w:rsidRPr="007074DC" w:rsidRDefault="00CE07F8" w:rsidP="007074DC">
      <w:pPr>
        <w:pStyle w:val="Akapitzlist"/>
        <w:numPr>
          <w:ilvl w:val="0"/>
          <w:numId w:val="34"/>
        </w:numPr>
        <w:spacing w:line="360" w:lineRule="auto"/>
        <w:ind w:left="426"/>
        <w:jc w:val="both"/>
        <w:rPr>
          <w:rFonts w:ascii="Bookman Old Style" w:hAnsi="Bookman Old Style"/>
        </w:rPr>
      </w:pPr>
      <w:r w:rsidRPr="007074DC">
        <w:rPr>
          <w:rFonts w:ascii="Bookman Old Style" w:hAnsi="Bookman Old Style"/>
        </w:rPr>
        <w:t>Dopuszcza się wykonanie części prac ujętych w WT jako dostosowanie po przeprowadzeniu konwersji do PMD aktualnego lub w jej trakcie, jeśli będzie to miało uzasadnienie technologiczne i jednocześnie zostanie uzgodnione z zamawiającym.</w:t>
      </w:r>
    </w:p>
    <w:p w14:paraId="4D46D21D" w14:textId="59B0CC68" w:rsidR="002910EB" w:rsidRPr="007074DC" w:rsidRDefault="002910EB" w:rsidP="007074DC">
      <w:pPr>
        <w:pStyle w:val="Akapitzlist"/>
        <w:numPr>
          <w:ilvl w:val="0"/>
          <w:numId w:val="34"/>
        </w:numPr>
        <w:spacing w:line="360" w:lineRule="auto"/>
        <w:ind w:left="426"/>
        <w:jc w:val="both"/>
        <w:rPr>
          <w:rFonts w:ascii="Bookman Old Style" w:hAnsi="Bookman Old Style"/>
        </w:rPr>
      </w:pPr>
      <w:r w:rsidRPr="007074DC">
        <w:rPr>
          <w:rFonts w:ascii="Bookman Old Style" w:hAnsi="Bookman Old Style"/>
        </w:rPr>
        <w:t xml:space="preserve">Dopiero po realizacji </w:t>
      </w:r>
      <w:r w:rsidR="00A37837" w:rsidRPr="007074DC">
        <w:rPr>
          <w:rFonts w:ascii="Bookman Old Style" w:hAnsi="Bookman Old Style"/>
        </w:rPr>
        <w:t>dostosowania danych</w:t>
      </w:r>
      <w:r w:rsidRPr="007074DC">
        <w:rPr>
          <w:rFonts w:ascii="Bookman Old Style" w:hAnsi="Bookman Old Style"/>
        </w:rPr>
        <w:t>, które ma doprowadzić do występowania w </w:t>
      </w:r>
      <w:proofErr w:type="spellStart"/>
      <w:r w:rsidRPr="007074DC">
        <w:rPr>
          <w:rFonts w:ascii="Bookman Old Style" w:hAnsi="Bookman Old Style"/>
        </w:rPr>
        <w:t>BDPZGiK</w:t>
      </w:r>
      <w:proofErr w:type="spellEnd"/>
      <w:r w:rsidRPr="007074DC">
        <w:rPr>
          <w:rFonts w:ascii="Bookman Old Style" w:hAnsi="Bookman Old Style"/>
        </w:rPr>
        <w:t xml:space="preserve"> wyłącznie obiektów BDOT500, GESUT i </w:t>
      </w:r>
      <w:proofErr w:type="spellStart"/>
      <w:r w:rsidRPr="007074DC">
        <w:rPr>
          <w:rFonts w:ascii="Bookman Old Style" w:hAnsi="Bookman Old Style"/>
        </w:rPr>
        <w:t>EGiB</w:t>
      </w:r>
      <w:proofErr w:type="spellEnd"/>
      <w:r w:rsidRPr="007074DC">
        <w:rPr>
          <w:rFonts w:ascii="Bookman Old Style" w:hAnsi="Bookman Old Style"/>
        </w:rPr>
        <w:t xml:space="preserve"> w PMD starym lub PMD </w:t>
      </w:r>
      <w:r w:rsidR="00AA2B2A" w:rsidRPr="007074DC">
        <w:rPr>
          <w:rFonts w:ascii="Bookman Old Style" w:hAnsi="Bookman Old Style"/>
        </w:rPr>
        <w:t>aktualnym</w:t>
      </w:r>
      <w:r w:rsidRPr="007074DC">
        <w:rPr>
          <w:rFonts w:ascii="Bookman Old Style" w:hAnsi="Bookman Old Style"/>
        </w:rPr>
        <w:t>, nie wliczając ewentualnych uzgodnionych wyjątków, należy przystąpić do działań związanych z konwersją obiektów mapy do aktualnego PMD.</w:t>
      </w:r>
    </w:p>
    <w:p w14:paraId="77586043" w14:textId="4B778946" w:rsidR="002910EB" w:rsidRPr="007074DC" w:rsidRDefault="002910EB" w:rsidP="007074DC">
      <w:pPr>
        <w:pStyle w:val="Akapitzlist"/>
        <w:numPr>
          <w:ilvl w:val="0"/>
          <w:numId w:val="34"/>
        </w:numPr>
        <w:spacing w:line="360" w:lineRule="auto"/>
        <w:ind w:left="426"/>
        <w:jc w:val="both"/>
        <w:rPr>
          <w:rFonts w:ascii="Bookman Old Style" w:hAnsi="Bookman Old Style"/>
        </w:rPr>
      </w:pPr>
      <w:r w:rsidRPr="007074DC">
        <w:rPr>
          <w:rFonts w:ascii="Bookman Old Style" w:hAnsi="Bookman Old Style"/>
        </w:rPr>
        <w:t xml:space="preserve">Dla wszystkich obiektów BDOT500 i GESUT (zarówno istniejących jak i będących wynikiem prac dostosowawczych) wykonawca przeprowadzi analizę danych w celu określenia koniecznych zmian warstw i zmian typów graficznych. Propozycje zmian Wykonawca przedstawi Zamawiającemu </w:t>
      </w:r>
      <w:r w:rsidR="00CC6AA2" w:rsidRPr="007074DC">
        <w:rPr>
          <w:rFonts w:ascii="Bookman Old Style" w:hAnsi="Bookman Old Style"/>
        </w:rPr>
        <w:t xml:space="preserve">najpóźniej </w:t>
      </w:r>
      <w:r w:rsidRPr="007074DC">
        <w:rPr>
          <w:rFonts w:ascii="Bookman Old Style" w:hAnsi="Bookman Old Style"/>
        </w:rPr>
        <w:t>w ciągu 10 dni roboczych od dnia zakończenia działań dostosowawczych. Propozycje zmian należy zorganizować w postaci Tablic konwersji. Tablice konwersji przed ich wdrożeniem należy uzgodnić z Zamawiającym.</w:t>
      </w:r>
    </w:p>
    <w:p w14:paraId="3D2A5E3E" w14:textId="7E860AC7" w:rsidR="00626D10" w:rsidRPr="007074DC" w:rsidRDefault="005D25F9" w:rsidP="007074DC">
      <w:pPr>
        <w:pStyle w:val="Akapitzlist"/>
        <w:numPr>
          <w:ilvl w:val="0"/>
          <w:numId w:val="34"/>
        </w:numPr>
        <w:spacing w:line="360" w:lineRule="auto"/>
        <w:ind w:left="426"/>
        <w:jc w:val="both"/>
        <w:rPr>
          <w:rFonts w:ascii="Bookman Old Style" w:hAnsi="Bookman Old Style"/>
        </w:rPr>
      </w:pPr>
      <w:r w:rsidRPr="007074DC">
        <w:rPr>
          <w:rFonts w:ascii="Bookman Old Style" w:hAnsi="Bookman Old Style"/>
        </w:rPr>
        <w:t xml:space="preserve">Poza informacjami porządkowymi Tablice konwersji powinny zawierać w szczególności nazwy klas obiektów, kody oraz nazwy obiektów wraz z określeniem sposobu </w:t>
      </w:r>
      <w:r w:rsidRPr="007074DC">
        <w:rPr>
          <w:rFonts w:ascii="Bookman Old Style" w:hAnsi="Bookman Old Style"/>
        </w:rPr>
        <w:lastRenderedPageBreak/>
        <w:t xml:space="preserve">przekształcenia (przeniesienie 1 do 1, archiwizacja, obliczenie) oraz wartości atrybutów wraz z określeniem sposobu odwzorowania wartości (przeniesienie 1 do 1, archiwizacja, obliczenie) a także proponowane uwagi do obiektów oraz do konwersji/przekształcenia. </w:t>
      </w:r>
      <w:r w:rsidR="00626D10" w:rsidRPr="007074DC">
        <w:rPr>
          <w:rFonts w:ascii="Bookman Old Style" w:hAnsi="Bookman Old Style"/>
        </w:rPr>
        <w:t xml:space="preserve">Tablice konwersji należy sporządzić w taki sposób, by obiekty PMD starego zestawić po lewej stronie tablic, a obiekty PMD aktualnego po prawej stronie, przy czym obiekty PMD starego posiadające odpowiedniki w PMD aktualnym należy zestawić w jednym wierszu. Tablice nie </w:t>
      </w:r>
      <w:r w:rsidR="00081D2A" w:rsidRPr="007074DC">
        <w:rPr>
          <w:rFonts w:ascii="Bookman Old Style" w:hAnsi="Bookman Old Style"/>
        </w:rPr>
        <w:t>powinny</w:t>
      </w:r>
      <w:r w:rsidR="00626D10" w:rsidRPr="007074DC">
        <w:rPr>
          <w:rFonts w:ascii="Bookman Old Style" w:hAnsi="Bookman Old Style"/>
        </w:rPr>
        <w:t xml:space="preserve"> zawierać obiektów PMD aktualnego, które nie posiadają odpowiednika w PMD starym. Wykonawca powinien dopełnić wszelkich starań, by opracować tablice konwersji zachowując maksymalną liczbę informacji z PMD 2015 a także informacji pochodzących ze schematów obowiązujących przed PMD 2015, w tym K1/G7. W szczególności, jeżeli istnieje możliwość odtworzenia warstwy na podstawie informacji lub uwag do obiektu lub z innych obiektywnych źródeł, należy taką informację bezwzględnie wykorzystać.</w:t>
      </w:r>
    </w:p>
    <w:p w14:paraId="3C105042" w14:textId="253A4492" w:rsidR="002910EB" w:rsidRPr="007074DC" w:rsidRDefault="00AF61BC" w:rsidP="007074DC">
      <w:pPr>
        <w:pStyle w:val="Akapitzlist"/>
        <w:numPr>
          <w:ilvl w:val="0"/>
          <w:numId w:val="34"/>
        </w:numPr>
        <w:spacing w:line="360" w:lineRule="auto"/>
        <w:ind w:left="426"/>
        <w:jc w:val="both"/>
        <w:rPr>
          <w:rFonts w:ascii="Bookman Old Style" w:hAnsi="Bookman Old Style"/>
        </w:rPr>
      </w:pPr>
      <w:r w:rsidRPr="007074DC">
        <w:rPr>
          <w:rFonts w:ascii="Bookman Old Style" w:hAnsi="Bookman Old Style"/>
        </w:rPr>
        <w:t xml:space="preserve">Konwersję należy wykonać </w:t>
      </w:r>
      <w:r w:rsidR="00EF4D13" w:rsidRPr="007074DC">
        <w:rPr>
          <w:rFonts w:ascii="Bookman Old Style" w:hAnsi="Bookman Old Style"/>
        </w:rPr>
        <w:t>wprost</w:t>
      </w:r>
      <w:r w:rsidRPr="007074DC">
        <w:rPr>
          <w:rFonts w:ascii="Bookman Old Style" w:hAnsi="Bookman Old Style"/>
        </w:rPr>
        <w:t xml:space="preserve"> na </w:t>
      </w:r>
      <w:r w:rsidR="00D805B3" w:rsidRPr="007074DC">
        <w:rPr>
          <w:rFonts w:ascii="Bookman Old Style" w:hAnsi="Bookman Old Style"/>
        </w:rPr>
        <w:t xml:space="preserve">produkcyjnej </w:t>
      </w:r>
      <w:proofErr w:type="spellStart"/>
      <w:r w:rsidRPr="007074DC">
        <w:rPr>
          <w:rFonts w:ascii="Bookman Old Style" w:hAnsi="Bookman Old Style"/>
        </w:rPr>
        <w:t>BDPZGiK</w:t>
      </w:r>
      <w:proofErr w:type="spellEnd"/>
      <w:r w:rsidRPr="007074DC">
        <w:rPr>
          <w:rFonts w:ascii="Bookman Old Style" w:hAnsi="Bookman Old Style"/>
        </w:rPr>
        <w:t xml:space="preserve">. </w:t>
      </w:r>
    </w:p>
    <w:p w14:paraId="559C27C9" w14:textId="143DD35A" w:rsidR="00AF61BC" w:rsidRPr="007074DC" w:rsidRDefault="00AF61BC" w:rsidP="007074DC">
      <w:pPr>
        <w:pStyle w:val="Akapitzlist"/>
        <w:numPr>
          <w:ilvl w:val="0"/>
          <w:numId w:val="34"/>
        </w:numPr>
        <w:spacing w:line="360" w:lineRule="auto"/>
        <w:ind w:left="426"/>
        <w:jc w:val="both"/>
        <w:rPr>
          <w:rFonts w:ascii="Bookman Old Style" w:hAnsi="Bookman Old Style"/>
        </w:rPr>
      </w:pPr>
      <w:r w:rsidRPr="007074DC">
        <w:rPr>
          <w:rFonts w:ascii="Bookman Old Style" w:hAnsi="Bookman Old Style"/>
        </w:rPr>
        <w:t xml:space="preserve">Konwersję należy poprzedzić sporządzeniem raportu blokad mapy zasadniczej dla obiektów, które podlegają konwersji (raport blokad zerowy), przynajmniej na 2 tygodnie przed planowanym terminem wykonania konwersji oraz w zależności od ustalenia </w:t>
      </w:r>
      <w:r w:rsidR="005C4B87" w:rsidRPr="007074DC">
        <w:rPr>
          <w:rFonts w:ascii="Bookman Old Style" w:hAnsi="Bookman Old Style"/>
        </w:rPr>
        <w:br/>
      </w:r>
      <w:r w:rsidRPr="007074DC">
        <w:rPr>
          <w:rFonts w:ascii="Bookman Old Style" w:hAnsi="Bookman Old Style"/>
        </w:rPr>
        <w:t>z Zamawiającym, na jeden do kilk</w:t>
      </w:r>
      <w:r w:rsidR="0051509A" w:rsidRPr="007074DC">
        <w:rPr>
          <w:rFonts w:ascii="Bookman Old Style" w:hAnsi="Bookman Old Style"/>
        </w:rPr>
        <w:t>u</w:t>
      </w:r>
      <w:r w:rsidRPr="007074DC">
        <w:rPr>
          <w:rFonts w:ascii="Bookman Old Style" w:hAnsi="Bookman Old Style"/>
        </w:rPr>
        <w:t xml:space="preserve"> dni przed wykonaniem konwersji (raport blokad ostateczny). Raport blokad zerowy należy przekazać Zamawiającemu </w:t>
      </w:r>
      <w:r w:rsidR="0051509A" w:rsidRPr="007074DC">
        <w:rPr>
          <w:rFonts w:ascii="Bookman Old Style" w:hAnsi="Bookman Old Style"/>
        </w:rPr>
        <w:t xml:space="preserve">celem </w:t>
      </w:r>
      <w:r w:rsidRPr="007074DC">
        <w:rPr>
          <w:rFonts w:ascii="Bookman Old Style" w:hAnsi="Bookman Old Style"/>
        </w:rPr>
        <w:t>usunięcia blokad, natomiast raport blokad ostateczny należy przekazać Zamawiającemu celem poinformowania, które obiekty nie zostaną poddane konwersji. Raporty blokad</w:t>
      </w:r>
      <w:r w:rsidR="00FF0B3F" w:rsidRPr="007074DC">
        <w:rPr>
          <w:rFonts w:ascii="Bookman Old Style" w:hAnsi="Bookman Old Style"/>
        </w:rPr>
        <w:t>,</w:t>
      </w:r>
      <w:r w:rsidRPr="007074DC">
        <w:rPr>
          <w:rFonts w:ascii="Bookman Old Style" w:hAnsi="Bookman Old Style"/>
        </w:rPr>
        <w:t xml:space="preserve"> poza samymi blokadami</w:t>
      </w:r>
      <w:r w:rsidR="00FF0B3F" w:rsidRPr="007074DC">
        <w:rPr>
          <w:rFonts w:ascii="Bookman Old Style" w:hAnsi="Bookman Old Style"/>
        </w:rPr>
        <w:t xml:space="preserve">, </w:t>
      </w:r>
      <w:r w:rsidRPr="007074DC">
        <w:rPr>
          <w:rFonts w:ascii="Bookman Old Style" w:hAnsi="Bookman Old Style"/>
        </w:rPr>
        <w:t xml:space="preserve">muszą zawierać informacje na temat numeru zgłoszenia pracy blokady oraz liczby zablokowanych obiektów mapy dla </w:t>
      </w:r>
      <w:r w:rsidR="00867CAA" w:rsidRPr="007074DC">
        <w:rPr>
          <w:rFonts w:ascii="Bookman Old Style" w:hAnsi="Bookman Old Style"/>
        </w:rPr>
        <w:t xml:space="preserve">poszczególnych </w:t>
      </w:r>
      <w:r w:rsidRPr="007074DC">
        <w:rPr>
          <w:rFonts w:ascii="Bookman Old Style" w:hAnsi="Bookman Old Style"/>
        </w:rPr>
        <w:t>zgłosze</w:t>
      </w:r>
      <w:r w:rsidR="00867CAA" w:rsidRPr="007074DC">
        <w:rPr>
          <w:rFonts w:ascii="Bookman Old Style" w:hAnsi="Bookman Old Style"/>
        </w:rPr>
        <w:t>ń prac</w:t>
      </w:r>
      <w:r w:rsidRPr="007074DC">
        <w:rPr>
          <w:rFonts w:ascii="Bookman Old Style" w:hAnsi="Bookman Old Style"/>
        </w:rPr>
        <w:t>.</w:t>
      </w:r>
    </w:p>
    <w:p w14:paraId="7806B4FD" w14:textId="6ACD9829" w:rsidR="00626D10" w:rsidRPr="007074DC" w:rsidRDefault="00626D10" w:rsidP="007074DC">
      <w:pPr>
        <w:pStyle w:val="Akapitzlist"/>
        <w:numPr>
          <w:ilvl w:val="0"/>
          <w:numId w:val="34"/>
        </w:numPr>
        <w:spacing w:line="360" w:lineRule="auto"/>
        <w:ind w:left="426"/>
        <w:jc w:val="both"/>
        <w:rPr>
          <w:rFonts w:ascii="Bookman Old Style" w:hAnsi="Bookman Old Style"/>
        </w:rPr>
      </w:pPr>
      <w:r w:rsidRPr="007074DC">
        <w:rPr>
          <w:rFonts w:ascii="Bookman Old Style" w:hAnsi="Bookman Old Style"/>
        </w:rPr>
        <w:t>W ramach konwersji wykonawca jest zobowiązany do zastosowania takich algorytmów przekształcenia danych</w:t>
      </w:r>
      <w:r w:rsidR="009625E1" w:rsidRPr="007074DC">
        <w:rPr>
          <w:rFonts w:ascii="Bookman Old Style" w:hAnsi="Bookman Old Style"/>
        </w:rPr>
        <w:t xml:space="preserve"> oraz stosownych działań</w:t>
      </w:r>
      <w:r w:rsidRPr="007074DC">
        <w:rPr>
          <w:rFonts w:ascii="Bookman Old Style" w:hAnsi="Bookman Old Style"/>
        </w:rPr>
        <w:t>, by w PMD aktualnym nadać lub pozyskać wszystkie możliwe do określenia wartości atrybutów</w:t>
      </w:r>
      <w:r w:rsidR="005A1A6D" w:rsidRPr="007074DC">
        <w:rPr>
          <w:rFonts w:ascii="Bookman Old Style" w:hAnsi="Bookman Old Style"/>
        </w:rPr>
        <w:t>,</w:t>
      </w:r>
      <w:r w:rsidR="00D5360F" w:rsidRPr="007074DC">
        <w:rPr>
          <w:rFonts w:ascii="Bookman Old Style" w:hAnsi="Bookman Old Style"/>
        </w:rPr>
        <w:t xml:space="preserve"> a także zachować lub odtworzyć inne istotne informacje</w:t>
      </w:r>
      <w:r w:rsidRPr="007074DC">
        <w:rPr>
          <w:rFonts w:ascii="Bookman Old Style" w:hAnsi="Bookman Old Style"/>
        </w:rPr>
        <w:t xml:space="preserve">, w tym </w:t>
      </w:r>
      <w:r w:rsidR="00AD7B45" w:rsidRPr="007074DC">
        <w:rPr>
          <w:rFonts w:ascii="Bookman Old Style" w:hAnsi="Bookman Old Style"/>
        </w:rPr>
        <w:t>m.in.</w:t>
      </w:r>
      <w:r w:rsidRPr="007074DC">
        <w:rPr>
          <w:rFonts w:ascii="Bookman Old Style" w:hAnsi="Bookman Old Style"/>
        </w:rPr>
        <w:t>:</w:t>
      </w:r>
    </w:p>
    <w:p w14:paraId="1A342F19" w14:textId="1CEA9E96" w:rsidR="00FA195A" w:rsidRPr="007074DC" w:rsidRDefault="00FA195A" w:rsidP="007074DC">
      <w:pPr>
        <w:pStyle w:val="Akapitzlist"/>
        <w:numPr>
          <w:ilvl w:val="0"/>
          <w:numId w:val="37"/>
        </w:numPr>
        <w:spacing w:line="360" w:lineRule="auto"/>
        <w:jc w:val="both"/>
        <w:rPr>
          <w:rFonts w:ascii="Bookman Old Style" w:hAnsi="Bookman Old Style"/>
        </w:rPr>
      </w:pPr>
      <w:r w:rsidRPr="007074DC">
        <w:rPr>
          <w:rFonts w:ascii="Bookman Old Style" w:hAnsi="Bookman Old Style"/>
        </w:rPr>
        <w:t>Warstwę rów melioracyjny lub rów przydrożny pozyskać na podstawie analizy przebiegu i równoległości rowów do dróg.</w:t>
      </w:r>
    </w:p>
    <w:p w14:paraId="6C5DF6F9" w14:textId="048FC2E3" w:rsidR="005C5709" w:rsidRPr="007074DC" w:rsidRDefault="005C5709" w:rsidP="007074DC">
      <w:pPr>
        <w:pStyle w:val="Akapitzlist"/>
        <w:numPr>
          <w:ilvl w:val="0"/>
          <w:numId w:val="37"/>
        </w:numPr>
        <w:spacing w:line="360" w:lineRule="auto"/>
        <w:jc w:val="both"/>
        <w:rPr>
          <w:rFonts w:ascii="Bookman Old Style" w:hAnsi="Bookman Old Style"/>
        </w:rPr>
      </w:pPr>
      <w:r w:rsidRPr="007074DC">
        <w:rPr>
          <w:rFonts w:ascii="Bookman Old Style" w:hAnsi="Bookman Old Style"/>
        </w:rPr>
        <w:t>Atrybut kształt dla urządzeń powierzchniowych pozyskać z analizy geometrycznej kształtu urządzeń</w:t>
      </w:r>
      <w:r w:rsidR="007F616E" w:rsidRPr="007074DC">
        <w:rPr>
          <w:rFonts w:ascii="Bookman Old Style" w:hAnsi="Bookman Old Style"/>
        </w:rPr>
        <w:t>.</w:t>
      </w:r>
    </w:p>
    <w:p w14:paraId="6FFC9A62" w14:textId="26E88A5D" w:rsidR="005C5709" w:rsidRPr="007074DC" w:rsidRDefault="005C5709" w:rsidP="007074DC">
      <w:pPr>
        <w:pStyle w:val="Akapitzlist"/>
        <w:numPr>
          <w:ilvl w:val="0"/>
          <w:numId w:val="37"/>
        </w:numPr>
        <w:spacing w:line="360" w:lineRule="auto"/>
        <w:jc w:val="both"/>
        <w:rPr>
          <w:rFonts w:ascii="Bookman Old Style" w:hAnsi="Bookman Old Style"/>
        </w:rPr>
      </w:pPr>
      <w:r w:rsidRPr="007074DC">
        <w:rPr>
          <w:rFonts w:ascii="Bookman Old Style" w:hAnsi="Bookman Old Style"/>
        </w:rPr>
        <w:t>Warstwę droga dla rowerów pozyskać z atrybutu rodzaj komunikacji (ruch rowerowy) nadawanego dla obiektu ścieżka</w:t>
      </w:r>
      <w:r w:rsidR="00B62851" w:rsidRPr="007074DC">
        <w:rPr>
          <w:rFonts w:ascii="Bookman Old Style" w:hAnsi="Bookman Old Style"/>
        </w:rPr>
        <w:t>,</w:t>
      </w:r>
      <w:r w:rsidRPr="007074DC">
        <w:rPr>
          <w:rFonts w:ascii="Bookman Old Style" w:hAnsi="Bookman Old Style"/>
        </w:rPr>
        <w:t xml:space="preserve"> alejka</w:t>
      </w:r>
      <w:r w:rsidR="008A47E5" w:rsidRPr="007074DC">
        <w:rPr>
          <w:rFonts w:ascii="Bookman Old Style" w:hAnsi="Bookman Old Style"/>
        </w:rPr>
        <w:t xml:space="preserve"> lub chodnik</w:t>
      </w:r>
      <w:r w:rsidRPr="007074DC">
        <w:rPr>
          <w:rFonts w:ascii="Bookman Old Style" w:hAnsi="Bookman Old Style"/>
        </w:rPr>
        <w:t>;</w:t>
      </w:r>
    </w:p>
    <w:p w14:paraId="48BB84BB" w14:textId="26AA3F5F" w:rsidR="005C5709" w:rsidRPr="007074DC" w:rsidRDefault="005C5709" w:rsidP="007074DC">
      <w:pPr>
        <w:pStyle w:val="Akapitzlist"/>
        <w:numPr>
          <w:ilvl w:val="0"/>
          <w:numId w:val="37"/>
        </w:numPr>
        <w:spacing w:line="360" w:lineRule="auto"/>
        <w:jc w:val="both"/>
        <w:rPr>
          <w:rFonts w:ascii="Bookman Old Style" w:hAnsi="Bookman Old Style"/>
        </w:rPr>
      </w:pPr>
      <w:r w:rsidRPr="007074DC">
        <w:rPr>
          <w:rFonts w:ascii="Bookman Old Style" w:hAnsi="Bookman Old Style"/>
        </w:rPr>
        <w:t xml:space="preserve">Warstwę wiata pozyskać z </w:t>
      </w:r>
      <w:r w:rsidR="00CC04A6" w:rsidRPr="007074DC">
        <w:rPr>
          <w:rFonts w:ascii="Bookman Old Style" w:hAnsi="Bookman Old Style"/>
        </w:rPr>
        <w:t xml:space="preserve">analizy treści </w:t>
      </w:r>
      <w:r w:rsidRPr="007074DC">
        <w:rPr>
          <w:rFonts w:ascii="Bookman Old Style" w:hAnsi="Bookman Old Style"/>
        </w:rPr>
        <w:t xml:space="preserve">atrybutu uwagi (wiata, altana, alt.) </w:t>
      </w:r>
      <w:r w:rsidR="00530660" w:rsidRPr="007074DC">
        <w:rPr>
          <w:rFonts w:ascii="Bookman Old Style" w:hAnsi="Bookman Old Style"/>
        </w:rPr>
        <w:t>uzupełnionego</w:t>
      </w:r>
      <w:r w:rsidR="00A35560" w:rsidRPr="007074DC">
        <w:rPr>
          <w:rFonts w:ascii="Bookman Old Style" w:hAnsi="Bookman Old Style"/>
        </w:rPr>
        <w:t xml:space="preserve"> </w:t>
      </w:r>
      <w:r w:rsidRPr="007074DC">
        <w:rPr>
          <w:rFonts w:ascii="Bookman Old Style" w:hAnsi="Bookman Old Style"/>
        </w:rPr>
        <w:t xml:space="preserve">dla obiektu </w:t>
      </w:r>
      <w:r w:rsidR="008A47E5" w:rsidRPr="007074DC">
        <w:rPr>
          <w:rFonts w:ascii="Bookman Old Style" w:hAnsi="Bookman Old Style"/>
        </w:rPr>
        <w:t>„</w:t>
      </w:r>
      <w:r w:rsidRPr="007074DC">
        <w:rPr>
          <w:rFonts w:ascii="Bookman Old Style" w:hAnsi="Bookman Old Style"/>
        </w:rPr>
        <w:t>inna budowla</w:t>
      </w:r>
      <w:r w:rsidR="008A47E5" w:rsidRPr="007074DC">
        <w:rPr>
          <w:rFonts w:ascii="Bookman Old Style" w:hAnsi="Bookman Old Style"/>
        </w:rPr>
        <w:t>”</w:t>
      </w:r>
      <w:r w:rsidRPr="007074DC">
        <w:rPr>
          <w:rFonts w:ascii="Bookman Old Style" w:hAnsi="Bookman Old Style"/>
        </w:rPr>
        <w:t>.</w:t>
      </w:r>
    </w:p>
    <w:p w14:paraId="74AC39D1" w14:textId="155DC2E1" w:rsidR="00FE75CA" w:rsidRPr="007074DC" w:rsidRDefault="00AD64A9" w:rsidP="007074DC">
      <w:pPr>
        <w:pStyle w:val="Akapitzlist"/>
        <w:numPr>
          <w:ilvl w:val="0"/>
          <w:numId w:val="37"/>
        </w:numPr>
        <w:spacing w:line="360" w:lineRule="auto"/>
        <w:jc w:val="both"/>
        <w:rPr>
          <w:rFonts w:ascii="Bookman Old Style" w:hAnsi="Bookman Old Style"/>
        </w:rPr>
      </w:pPr>
      <w:r w:rsidRPr="007074DC">
        <w:rPr>
          <w:rFonts w:ascii="Bookman Old Style" w:hAnsi="Bookman Old Style"/>
        </w:rPr>
        <w:t xml:space="preserve">Uwagi zapisane przy obiektach </w:t>
      </w:r>
      <w:r w:rsidR="00FE5544" w:rsidRPr="007074DC">
        <w:rPr>
          <w:rFonts w:ascii="Bookman Old Style" w:hAnsi="Bookman Old Style"/>
        </w:rPr>
        <w:t xml:space="preserve">(informacje dodatkowe) </w:t>
      </w:r>
      <w:r w:rsidRPr="007074DC">
        <w:rPr>
          <w:rFonts w:ascii="Bookman Old Style" w:hAnsi="Bookman Old Style"/>
        </w:rPr>
        <w:t xml:space="preserve">również podlegają przeniesieniu </w:t>
      </w:r>
      <w:r w:rsidR="00FE5544" w:rsidRPr="007074DC">
        <w:rPr>
          <w:rFonts w:ascii="Bookman Old Style" w:hAnsi="Bookman Old Style"/>
        </w:rPr>
        <w:t>podczas</w:t>
      </w:r>
      <w:r w:rsidR="001E5432" w:rsidRPr="007074DC">
        <w:rPr>
          <w:rFonts w:ascii="Bookman Old Style" w:hAnsi="Bookman Old Style"/>
        </w:rPr>
        <w:t xml:space="preserve"> </w:t>
      </w:r>
      <w:r w:rsidR="00FE5544" w:rsidRPr="007074DC">
        <w:rPr>
          <w:rFonts w:ascii="Bookman Old Style" w:hAnsi="Bookman Old Style"/>
        </w:rPr>
        <w:t xml:space="preserve">konwersji </w:t>
      </w:r>
      <w:r w:rsidRPr="007074DC">
        <w:rPr>
          <w:rFonts w:ascii="Bookman Old Style" w:hAnsi="Bookman Old Style"/>
        </w:rPr>
        <w:t>obiektów</w:t>
      </w:r>
      <w:r w:rsidR="00FE5544" w:rsidRPr="007074DC">
        <w:rPr>
          <w:rFonts w:ascii="Bookman Old Style" w:hAnsi="Bookman Old Style"/>
        </w:rPr>
        <w:t xml:space="preserve"> do nowych warstw</w:t>
      </w:r>
      <w:r w:rsidRPr="007074DC">
        <w:rPr>
          <w:rFonts w:ascii="Bookman Old Style" w:hAnsi="Bookman Old Style"/>
        </w:rPr>
        <w:t>.</w:t>
      </w:r>
    </w:p>
    <w:p w14:paraId="30665BFA" w14:textId="377D82C1" w:rsidR="00136DD3" w:rsidRPr="007074DC" w:rsidRDefault="00136DD3" w:rsidP="007074DC">
      <w:pPr>
        <w:pStyle w:val="Akapitzlist"/>
        <w:numPr>
          <w:ilvl w:val="0"/>
          <w:numId w:val="37"/>
        </w:numPr>
        <w:spacing w:line="360" w:lineRule="auto"/>
        <w:jc w:val="both"/>
        <w:rPr>
          <w:rFonts w:ascii="Bookman Old Style" w:hAnsi="Bookman Old Style"/>
        </w:rPr>
      </w:pPr>
      <w:r w:rsidRPr="007074DC">
        <w:rPr>
          <w:rFonts w:ascii="Bookman Old Style" w:hAnsi="Bookman Old Style"/>
        </w:rPr>
        <w:lastRenderedPageBreak/>
        <w:t xml:space="preserve">Wiązki </w:t>
      </w:r>
      <w:r w:rsidR="00124891" w:rsidRPr="007074DC">
        <w:rPr>
          <w:rFonts w:ascii="Bookman Old Style" w:hAnsi="Bookman Old Style"/>
        </w:rPr>
        <w:t xml:space="preserve">przewodów </w:t>
      </w:r>
      <w:r w:rsidRPr="007074DC">
        <w:rPr>
          <w:rFonts w:ascii="Bookman Old Style" w:hAnsi="Bookman Old Style"/>
        </w:rPr>
        <w:t>elektroenergetycznych</w:t>
      </w:r>
      <w:r w:rsidR="00BE61AB" w:rsidRPr="007074DC">
        <w:rPr>
          <w:rFonts w:ascii="Bookman Old Style" w:hAnsi="Bookman Old Style"/>
        </w:rPr>
        <w:t xml:space="preserve"> należy przenieść do PMD 2021 jako jeden </w:t>
      </w:r>
      <w:r w:rsidR="00124891" w:rsidRPr="007074DC">
        <w:rPr>
          <w:rFonts w:ascii="Bookman Old Style" w:hAnsi="Bookman Old Style"/>
        </w:rPr>
        <w:t xml:space="preserve">przewód </w:t>
      </w:r>
      <w:r w:rsidR="00BE61AB" w:rsidRPr="007074DC">
        <w:rPr>
          <w:rFonts w:ascii="Bookman Old Style" w:hAnsi="Bookman Old Style"/>
        </w:rPr>
        <w:t>wraz z uzupełnieniem</w:t>
      </w:r>
      <w:r w:rsidR="00124891" w:rsidRPr="007074DC">
        <w:rPr>
          <w:rFonts w:ascii="Bookman Old Style" w:hAnsi="Bookman Old Style"/>
        </w:rPr>
        <w:t xml:space="preserve"> w</w:t>
      </w:r>
      <w:r w:rsidR="00BE61AB" w:rsidRPr="007074DC">
        <w:rPr>
          <w:rFonts w:ascii="Bookman Old Style" w:hAnsi="Bookman Old Style"/>
        </w:rPr>
        <w:t xml:space="preserve"> informacji </w:t>
      </w:r>
      <w:r w:rsidR="00124891" w:rsidRPr="007074DC">
        <w:rPr>
          <w:rFonts w:ascii="Bookman Old Style" w:hAnsi="Bookman Old Style"/>
        </w:rPr>
        <w:t xml:space="preserve">dodatkowej </w:t>
      </w:r>
      <w:r w:rsidR="007A391B" w:rsidRPr="007074DC">
        <w:rPr>
          <w:rFonts w:ascii="Bookman Old Style" w:hAnsi="Bookman Old Style"/>
        </w:rPr>
        <w:t xml:space="preserve">pierwotnej </w:t>
      </w:r>
      <w:r w:rsidR="00124891" w:rsidRPr="007074DC">
        <w:rPr>
          <w:rFonts w:ascii="Bookman Old Style" w:hAnsi="Bookman Old Style"/>
        </w:rPr>
        <w:t>liczby</w:t>
      </w:r>
      <w:r w:rsidR="00BE61AB" w:rsidRPr="007074DC">
        <w:rPr>
          <w:rFonts w:ascii="Bookman Old Style" w:hAnsi="Bookman Old Style"/>
        </w:rPr>
        <w:t xml:space="preserve"> </w:t>
      </w:r>
      <w:r w:rsidR="00124891" w:rsidRPr="007074DC">
        <w:rPr>
          <w:rFonts w:ascii="Bookman Old Style" w:hAnsi="Bookman Old Style"/>
        </w:rPr>
        <w:t xml:space="preserve">przewodów </w:t>
      </w:r>
      <w:r w:rsidR="00AA781B" w:rsidRPr="007074DC">
        <w:rPr>
          <w:rFonts w:ascii="Bookman Old Style" w:hAnsi="Bookman Old Style"/>
        </w:rPr>
        <w:br/>
      </w:r>
      <w:r w:rsidR="00BE61AB" w:rsidRPr="007074DC">
        <w:rPr>
          <w:rFonts w:ascii="Bookman Old Style" w:hAnsi="Bookman Old Style"/>
        </w:rPr>
        <w:t>w wiązce</w:t>
      </w:r>
      <w:r w:rsidR="000A012C" w:rsidRPr="007074DC">
        <w:rPr>
          <w:rFonts w:ascii="Bookman Old Style" w:hAnsi="Bookman Old Style"/>
        </w:rPr>
        <w:t>, gdy jest ona większa niż 1</w:t>
      </w:r>
      <w:r w:rsidR="00BE61AB" w:rsidRPr="007074DC">
        <w:rPr>
          <w:rFonts w:ascii="Bookman Old Style" w:hAnsi="Bookman Old Style"/>
        </w:rPr>
        <w:t>.</w:t>
      </w:r>
    </w:p>
    <w:p w14:paraId="04FB1CBD" w14:textId="47046638" w:rsidR="00626D10" w:rsidRPr="007074DC" w:rsidRDefault="001C4ED6" w:rsidP="007074DC">
      <w:pPr>
        <w:pStyle w:val="Akapitzlist"/>
        <w:numPr>
          <w:ilvl w:val="0"/>
          <w:numId w:val="39"/>
        </w:numPr>
        <w:spacing w:line="360" w:lineRule="auto"/>
        <w:ind w:left="426"/>
        <w:jc w:val="both"/>
        <w:rPr>
          <w:rFonts w:ascii="Bookman Old Style" w:hAnsi="Bookman Old Style"/>
        </w:rPr>
      </w:pPr>
      <w:r w:rsidRPr="007074DC">
        <w:rPr>
          <w:rFonts w:ascii="Bookman Old Style" w:hAnsi="Bookman Old Style"/>
        </w:rPr>
        <w:t>W</w:t>
      </w:r>
      <w:r w:rsidR="005C5709" w:rsidRPr="007074DC">
        <w:rPr>
          <w:rFonts w:ascii="Bookman Old Style" w:hAnsi="Bookman Old Style"/>
        </w:rPr>
        <w:t>ykonawca jest zobowiązany do nadania uwag do obiektów, w tym między innymi należy wprowadzić informacje tracone przy przejściu z PMD starego na PMD aktualny</w:t>
      </w:r>
      <w:r w:rsidR="00530660" w:rsidRPr="007074DC">
        <w:rPr>
          <w:rFonts w:ascii="Bookman Old Style" w:hAnsi="Bookman Old Style"/>
        </w:rPr>
        <w:t>,</w:t>
      </w:r>
      <w:r w:rsidR="005C5709" w:rsidRPr="007074DC">
        <w:rPr>
          <w:rFonts w:ascii="Bookman Old Style" w:hAnsi="Bookman Old Style"/>
        </w:rPr>
        <w:t xml:space="preserve"> zgodnie </w:t>
      </w:r>
      <w:r w:rsidR="004C52DA" w:rsidRPr="007074DC">
        <w:rPr>
          <w:rFonts w:ascii="Bookman Old Style" w:hAnsi="Bookman Old Style"/>
        </w:rPr>
        <w:br/>
      </w:r>
      <w:r w:rsidR="005C5709" w:rsidRPr="007074DC">
        <w:rPr>
          <w:rFonts w:ascii="Bookman Old Style" w:hAnsi="Bookman Old Style"/>
        </w:rPr>
        <w:t xml:space="preserve">z wytycznymi wynikającymi z Tablic </w:t>
      </w:r>
      <w:r w:rsidRPr="007074DC">
        <w:rPr>
          <w:rFonts w:ascii="Bookman Old Style" w:hAnsi="Bookman Old Style"/>
        </w:rPr>
        <w:t>konwersji</w:t>
      </w:r>
      <w:r w:rsidR="005C5709" w:rsidRPr="007074DC">
        <w:rPr>
          <w:rFonts w:ascii="Bookman Old Style" w:hAnsi="Bookman Old Style"/>
        </w:rPr>
        <w:t xml:space="preserve"> oraz inne informacje ustalone na etapie opracowywania</w:t>
      </w:r>
      <w:r w:rsidR="00F30C1E" w:rsidRPr="007074DC">
        <w:rPr>
          <w:rFonts w:ascii="Bookman Old Style" w:hAnsi="Bookman Old Style"/>
        </w:rPr>
        <w:t xml:space="preserve"> tablic</w:t>
      </w:r>
      <w:r w:rsidR="005C5709" w:rsidRPr="007074DC">
        <w:rPr>
          <w:rFonts w:ascii="Bookman Old Style" w:hAnsi="Bookman Old Style"/>
        </w:rPr>
        <w:t>. Format i treść uwag należy uprzednio uzgodnić z Zamawiającym.</w:t>
      </w:r>
    </w:p>
    <w:p w14:paraId="0BA57E2B" w14:textId="77777777" w:rsidR="001C4ED6" w:rsidRPr="007074DC" w:rsidRDefault="001C4ED6" w:rsidP="007074DC">
      <w:pPr>
        <w:pStyle w:val="Akapitzlist"/>
        <w:numPr>
          <w:ilvl w:val="0"/>
          <w:numId w:val="39"/>
        </w:numPr>
        <w:spacing w:line="360" w:lineRule="auto"/>
        <w:ind w:left="426"/>
        <w:jc w:val="both"/>
        <w:rPr>
          <w:rFonts w:ascii="Bookman Old Style" w:hAnsi="Bookman Old Style"/>
        </w:rPr>
      </w:pPr>
      <w:r w:rsidRPr="007074DC">
        <w:rPr>
          <w:rFonts w:ascii="Bookman Old Style" w:hAnsi="Bookman Old Style"/>
        </w:rPr>
        <w:t xml:space="preserve">Konwersja powinna zostać wykonana w taki sposób, by w stanie archiwalnym obiektów oraz </w:t>
      </w:r>
      <w:r w:rsidRPr="007074DC">
        <w:rPr>
          <w:rFonts w:ascii="Bookman Old Style" w:hAnsi="Bookman Old Style"/>
        </w:rPr>
        <w:br/>
        <w:t>w razie potrzeby w uwagach do obiektów zachować wszystkie informacje, które będą pozwalały na ewentualne przywrócenie obiektu do jego wersji poprzedniej w PMD starym.</w:t>
      </w:r>
    </w:p>
    <w:p w14:paraId="058DA0C7" w14:textId="3DC650A9" w:rsidR="00B45D91" w:rsidRPr="007074DC" w:rsidRDefault="001C4ED6" w:rsidP="007074DC">
      <w:pPr>
        <w:pStyle w:val="Akapitzlist"/>
        <w:numPr>
          <w:ilvl w:val="0"/>
          <w:numId w:val="39"/>
        </w:numPr>
        <w:spacing w:line="360" w:lineRule="auto"/>
        <w:ind w:left="426"/>
        <w:jc w:val="both"/>
        <w:rPr>
          <w:rFonts w:ascii="Bookman Old Style" w:hAnsi="Bookman Old Style"/>
        </w:rPr>
      </w:pPr>
      <w:r w:rsidRPr="007074DC">
        <w:rPr>
          <w:rFonts w:ascii="Bookman Old Style" w:hAnsi="Bookman Old Style"/>
        </w:rPr>
        <w:t xml:space="preserve">Po wykonaniu konwersji danych mapy do nowego PMD Wykonawca jest zobowiązany do wykonania niezbędnych operacji edycji treści zbiorów danych w </w:t>
      </w:r>
      <w:proofErr w:type="spellStart"/>
      <w:r w:rsidRPr="007074DC">
        <w:rPr>
          <w:rFonts w:ascii="Bookman Old Style" w:hAnsi="Bookman Old Style"/>
        </w:rPr>
        <w:t>BDPZGiK</w:t>
      </w:r>
      <w:proofErr w:type="spellEnd"/>
      <w:r w:rsidRPr="007074DC">
        <w:rPr>
          <w:rFonts w:ascii="Bookman Old Style" w:hAnsi="Bookman Old Style"/>
        </w:rPr>
        <w:t xml:space="preserve">, w tym operacji </w:t>
      </w:r>
      <w:r w:rsidR="00AE2016" w:rsidRPr="007074DC">
        <w:rPr>
          <w:rFonts w:ascii="Bookman Old Style" w:hAnsi="Bookman Old Style"/>
        </w:rPr>
        <w:br/>
      </w:r>
      <w:r w:rsidRPr="007074DC">
        <w:rPr>
          <w:rFonts w:ascii="Bookman Old Style" w:hAnsi="Bookman Old Style"/>
        </w:rPr>
        <w:t xml:space="preserve">o charakterze hurtowym w rozmiarze nieograniczonym oraz o charakterze manualnym do limitu 100 operacji; tak by doprowadzić do pełnej zgodności danych BDOT500 i GESUT z PMD aktualnym. </w:t>
      </w:r>
      <w:r w:rsidR="005C5709" w:rsidRPr="007074DC">
        <w:rPr>
          <w:rFonts w:ascii="Bookman Old Style" w:hAnsi="Bookman Old Style"/>
        </w:rPr>
        <w:t>Wykonawca jest zobowiązany do wykonania niezbędnych działań polegających na manualnej</w:t>
      </w:r>
      <w:r w:rsidR="00902AF5" w:rsidRPr="007074DC">
        <w:rPr>
          <w:rFonts w:ascii="Bookman Old Style" w:hAnsi="Bookman Old Style"/>
        </w:rPr>
        <w:t xml:space="preserve"> </w:t>
      </w:r>
      <w:r w:rsidRPr="007074DC">
        <w:rPr>
          <w:rFonts w:ascii="Bookman Old Style" w:hAnsi="Bookman Old Style"/>
        </w:rPr>
        <w:t>i </w:t>
      </w:r>
      <w:r w:rsidR="006E5696" w:rsidRPr="007074DC">
        <w:rPr>
          <w:rFonts w:ascii="Bookman Old Style" w:hAnsi="Bookman Old Style"/>
        </w:rPr>
        <w:t>hurtowej</w:t>
      </w:r>
      <w:r w:rsidR="005C5709" w:rsidRPr="007074DC">
        <w:rPr>
          <w:rFonts w:ascii="Bookman Old Style" w:hAnsi="Bookman Old Style"/>
        </w:rPr>
        <w:t xml:space="preserve"> edycji treści zbiorów danych w </w:t>
      </w:r>
      <w:proofErr w:type="spellStart"/>
      <w:r w:rsidR="005C5709" w:rsidRPr="007074DC">
        <w:rPr>
          <w:rFonts w:ascii="Bookman Old Style" w:hAnsi="Bookman Old Style"/>
        </w:rPr>
        <w:t>BDPZGiK</w:t>
      </w:r>
      <w:proofErr w:type="spellEnd"/>
      <w:r w:rsidR="005C5709" w:rsidRPr="007074DC">
        <w:rPr>
          <w:rFonts w:ascii="Bookman Old Style" w:hAnsi="Bookman Old Style"/>
        </w:rPr>
        <w:t xml:space="preserve">, tak by doprowadzić do zgodności danych BDOT500 i GESUT z PMD </w:t>
      </w:r>
      <w:r w:rsidRPr="007074DC">
        <w:rPr>
          <w:rFonts w:ascii="Bookman Old Style" w:hAnsi="Bookman Old Style"/>
        </w:rPr>
        <w:t>aktualnym</w:t>
      </w:r>
      <w:r w:rsidR="005C5709" w:rsidRPr="007074DC">
        <w:rPr>
          <w:rFonts w:ascii="Bookman Old Style" w:hAnsi="Bookman Old Style"/>
        </w:rPr>
        <w:t xml:space="preserve">. </w:t>
      </w:r>
      <w:r w:rsidR="00902AF5" w:rsidRPr="007074DC">
        <w:rPr>
          <w:rFonts w:ascii="Bookman Old Style" w:hAnsi="Bookman Old Style"/>
        </w:rPr>
        <w:t xml:space="preserve">W tym celu Wykonawca wygeneruje pliki GML dla </w:t>
      </w:r>
      <w:r w:rsidR="00576485" w:rsidRPr="007074DC">
        <w:rPr>
          <w:rFonts w:ascii="Bookman Old Style" w:hAnsi="Bookman Old Style"/>
        </w:rPr>
        <w:t>wydzielonych obszarów mapy</w:t>
      </w:r>
      <w:r w:rsidR="00E17EFA" w:rsidRPr="007074DC">
        <w:rPr>
          <w:rFonts w:ascii="Bookman Old Style" w:hAnsi="Bookman Old Style"/>
        </w:rPr>
        <w:t xml:space="preserve"> (np. </w:t>
      </w:r>
      <w:r w:rsidR="005C1021" w:rsidRPr="007074DC">
        <w:rPr>
          <w:rFonts w:ascii="Bookman Old Style" w:hAnsi="Bookman Old Style"/>
        </w:rPr>
        <w:t>jednostek</w:t>
      </w:r>
      <w:r w:rsidR="00E17EFA" w:rsidRPr="007074DC">
        <w:rPr>
          <w:rFonts w:ascii="Bookman Old Style" w:hAnsi="Bookman Old Style"/>
        </w:rPr>
        <w:t xml:space="preserve"> ewidencyjnych)</w:t>
      </w:r>
      <w:r w:rsidR="00902AF5" w:rsidRPr="007074DC">
        <w:rPr>
          <w:rFonts w:ascii="Bookman Old Style" w:hAnsi="Bookman Old Style"/>
        </w:rPr>
        <w:t xml:space="preserve"> </w:t>
      </w:r>
      <w:r w:rsidR="005A1A6D" w:rsidRPr="007074DC">
        <w:rPr>
          <w:rFonts w:ascii="Bookman Old Style" w:hAnsi="Bookman Old Style"/>
        </w:rPr>
        <w:t xml:space="preserve">osobno dla </w:t>
      </w:r>
      <w:r w:rsidR="00902AF5" w:rsidRPr="007074DC">
        <w:rPr>
          <w:rFonts w:ascii="Bookman Old Style" w:hAnsi="Bookman Old Style"/>
        </w:rPr>
        <w:t xml:space="preserve">zbioru danych BDOT500 i GESUT. Następnie dokona walidacji wygenerowanych plików GML za pomocą </w:t>
      </w:r>
      <w:proofErr w:type="spellStart"/>
      <w:r w:rsidR="00902AF5" w:rsidRPr="007074DC">
        <w:rPr>
          <w:rFonts w:ascii="Bookman Old Style" w:hAnsi="Bookman Old Style"/>
        </w:rPr>
        <w:t>walidatorów</w:t>
      </w:r>
      <w:proofErr w:type="spellEnd"/>
      <w:r w:rsidR="00902AF5" w:rsidRPr="007074DC">
        <w:rPr>
          <w:rFonts w:ascii="Bookman Old Style" w:hAnsi="Bookman Old Style"/>
        </w:rPr>
        <w:t xml:space="preserve"> dostępnych na stronie internetowej </w:t>
      </w:r>
      <w:proofErr w:type="spellStart"/>
      <w:r w:rsidR="00902AF5" w:rsidRPr="007074DC">
        <w:rPr>
          <w:rFonts w:ascii="Bookman Old Style" w:hAnsi="Bookman Old Style"/>
        </w:rPr>
        <w:t>GUGiK</w:t>
      </w:r>
      <w:proofErr w:type="spellEnd"/>
      <w:r w:rsidR="00902AF5" w:rsidRPr="007074DC">
        <w:rPr>
          <w:rFonts w:ascii="Bookman Old Style" w:hAnsi="Bookman Old Style"/>
        </w:rPr>
        <w:t xml:space="preserve"> i </w:t>
      </w:r>
      <w:r w:rsidR="005947AE" w:rsidRPr="007074DC">
        <w:rPr>
          <w:rFonts w:ascii="Bookman Old Style" w:hAnsi="Bookman Old Style"/>
        </w:rPr>
        <w:t>w porozumieniu z</w:t>
      </w:r>
      <w:r w:rsidR="004F45E8" w:rsidRPr="007074DC">
        <w:rPr>
          <w:rFonts w:ascii="Bookman Old Style" w:hAnsi="Bookman Old Style"/>
        </w:rPr>
        <w:t> </w:t>
      </w:r>
      <w:r w:rsidR="005A1A6D" w:rsidRPr="007074DC">
        <w:rPr>
          <w:rFonts w:ascii="Bookman Old Style" w:hAnsi="Bookman Old Style"/>
        </w:rPr>
        <w:t>Z</w:t>
      </w:r>
      <w:r w:rsidR="005947AE" w:rsidRPr="007074DC">
        <w:rPr>
          <w:rFonts w:ascii="Bookman Old Style" w:hAnsi="Bookman Old Style"/>
        </w:rPr>
        <w:t xml:space="preserve">amawiającym </w:t>
      </w:r>
      <w:r w:rsidR="00902AF5" w:rsidRPr="007074DC">
        <w:rPr>
          <w:rFonts w:ascii="Bookman Old Style" w:hAnsi="Bookman Old Style"/>
        </w:rPr>
        <w:t>wykona naprawę i uzupełnienie błędów krytycznych i fatalnych</w:t>
      </w:r>
      <w:r w:rsidRPr="007074DC">
        <w:rPr>
          <w:rFonts w:ascii="Bookman Old Style" w:hAnsi="Bookman Old Style"/>
        </w:rPr>
        <w:t xml:space="preserve"> danych</w:t>
      </w:r>
      <w:r w:rsidR="00282B67" w:rsidRPr="007074DC">
        <w:rPr>
          <w:rFonts w:ascii="Bookman Old Style" w:hAnsi="Bookman Old Style"/>
        </w:rPr>
        <w:t>.</w:t>
      </w:r>
    </w:p>
    <w:p w14:paraId="2AD6370A" w14:textId="507FC041" w:rsidR="008A76B2" w:rsidRPr="007074DC" w:rsidRDefault="008A76B2" w:rsidP="007074DC">
      <w:pPr>
        <w:pStyle w:val="Akapitzlist"/>
        <w:numPr>
          <w:ilvl w:val="0"/>
          <w:numId w:val="39"/>
        </w:numPr>
        <w:spacing w:line="360" w:lineRule="auto"/>
        <w:ind w:left="426"/>
        <w:jc w:val="both"/>
        <w:rPr>
          <w:rFonts w:ascii="Bookman Old Style" w:hAnsi="Bookman Old Style"/>
        </w:rPr>
      </w:pPr>
      <w:r w:rsidRPr="007074DC">
        <w:rPr>
          <w:rFonts w:ascii="Bookman Old Style" w:hAnsi="Bookman Old Style"/>
        </w:rPr>
        <w:t xml:space="preserve">Jeżeli liczba koniecznych do wprowadzania niezbędnych operacji o charakterze hurtowym </w:t>
      </w:r>
      <w:r w:rsidR="0051733D" w:rsidRPr="007074DC">
        <w:rPr>
          <w:rFonts w:ascii="Bookman Old Style" w:hAnsi="Bookman Old Style"/>
        </w:rPr>
        <w:br/>
      </w:r>
      <w:r w:rsidRPr="007074DC">
        <w:rPr>
          <w:rFonts w:ascii="Bookman Old Style" w:hAnsi="Bookman Old Style"/>
        </w:rPr>
        <w:t xml:space="preserve">w zakresie edycji treści zbiorów danych w </w:t>
      </w:r>
      <w:proofErr w:type="spellStart"/>
      <w:r w:rsidRPr="007074DC">
        <w:rPr>
          <w:rFonts w:ascii="Bookman Old Style" w:hAnsi="Bookman Old Style"/>
        </w:rPr>
        <w:t>BDPZGiK</w:t>
      </w:r>
      <w:proofErr w:type="spellEnd"/>
      <w:r w:rsidRPr="007074DC">
        <w:rPr>
          <w:rFonts w:ascii="Bookman Old Style" w:hAnsi="Bookman Old Style"/>
        </w:rPr>
        <w:t xml:space="preserve"> będzie większa niż 100, wówczas Wykonawca sporządzi listę nadmiarowych koniecznych operacji zorganizowaną wg obiektów i przekaże ją Zamawiającemu celem wprowadzenia przez Zamawiającego.</w:t>
      </w:r>
    </w:p>
    <w:bookmarkEnd w:id="9"/>
    <w:p w14:paraId="4D94FFFE" w14:textId="6A36B9B8" w:rsidR="006D2DE8" w:rsidRPr="007074DC" w:rsidRDefault="006D2DE8" w:rsidP="007074DC">
      <w:pPr>
        <w:pStyle w:val="Akapitzlist"/>
        <w:numPr>
          <w:ilvl w:val="0"/>
          <w:numId w:val="39"/>
        </w:numPr>
        <w:spacing w:line="360" w:lineRule="auto"/>
        <w:ind w:left="426"/>
        <w:jc w:val="both"/>
        <w:rPr>
          <w:rFonts w:ascii="Bookman Old Style" w:hAnsi="Bookman Old Style"/>
        </w:rPr>
      </w:pPr>
      <w:r w:rsidRPr="007074DC">
        <w:rPr>
          <w:rFonts w:ascii="Bookman Old Style" w:hAnsi="Bookman Old Style"/>
        </w:rPr>
        <w:t xml:space="preserve">Z realizacji </w:t>
      </w:r>
      <w:r w:rsidR="00100456">
        <w:rPr>
          <w:rFonts w:ascii="Bookman Old Style" w:hAnsi="Bookman Old Style"/>
        </w:rPr>
        <w:t xml:space="preserve">przedmiotu zamówienia </w:t>
      </w:r>
      <w:r w:rsidRPr="007074DC">
        <w:rPr>
          <w:rFonts w:ascii="Bookman Old Style" w:hAnsi="Bookman Old Style"/>
        </w:rPr>
        <w:t>należy sporządzić dokumentację techniczną zawierającą:</w:t>
      </w:r>
    </w:p>
    <w:p w14:paraId="682D91D5" w14:textId="77777777" w:rsidR="006D2DE8" w:rsidRPr="007074DC" w:rsidRDefault="006D2DE8" w:rsidP="007074DC">
      <w:pPr>
        <w:pStyle w:val="Akapitzlist"/>
        <w:numPr>
          <w:ilvl w:val="0"/>
          <w:numId w:val="40"/>
        </w:numPr>
        <w:spacing w:line="360" w:lineRule="auto"/>
        <w:jc w:val="both"/>
        <w:rPr>
          <w:rFonts w:ascii="Bookman Old Style" w:hAnsi="Bookman Old Style"/>
        </w:rPr>
      </w:pPr>
      <w:r w:rsidRPr="007074DC">
        <w:rPr>
          <w:rFonts w:ascii="Bookman Old Style" w:hAnsi="Bookman Old Style"/>
        </w:rPr>
        <w:t>Sprawozdanie techniczne.</w:t>
      </w:r>
    </w:p>
    <w:p w14:paraId="37407B0F" w14:textId="77777777" w:rsidR="006D2DE8" w:rsidRPr="007074DC" w:rsidRDefault="006D2DE8" w:rsidP="007074DC">
      <w:pPr>
        <w:pStyle w:val="Akapitzlist"/>
        <w:numPr>
          <w:ilvl w:val="0"/>
          <w:numId w:val="40"/>
        </w:numPr>
        <w:spacing w:line="360" w:lineRule="auto"/>
        <w:jc w:val="both"/>
        <w:rPr>
          <w:rFonts w:ascii="Bookman Old Style" w:hAnsi="Bookman Old Style"/>
        </w:rPr>
      </w:pPr>
      <w:r w:rsidRPr="007074DC">
        <w:rPr>
          <w:rFonts w:ascii="Bookman Old Style" w:hAnsi="Bookman Old Style"/>
        </w:rPr>
        <w:t>Dziennik Robót.</w:t>
      </w:r>
    </w:p>
    <w:p w14:paraId="3FBDD0C1" w14:textId="77777777" w:rsidR="006D2DE8" w:rsidRPr="007074DC" w:rsidRDefault="006D2DE8" w:rsidP="007074DC">
      <w:pPr>
        <w:pStyle w:val="Akapitzlist"/>
        <w:numPr>
          <w:ilvl w:val="0"/>
          <w:numId w:val="40"/>
        </w:numPr>
        <w:spacing w:line="360" w:lineRule="auto"/>
        <w:jc w:val="both"/>
        <w:rPr>
          <w:rFonts w:ascii="Bookman Old Style" w:hAnsi="Bookman Old Style"/>
        </w:rPr>
      </w:pPr>
      <w:r w:rsidRPr="007074DC">
        <w:rPr>
          <w:rFonts w:ascii="Bookman Old Style" w:hAnsi="Bookman Old Style"/>
        </w:rPr>
        <w:t>Raporty określone w WT.</w:t>
      </w:r>
    </w:p>
    <w:p w14:paraId="32B10EE4" w14:textId="4C692278" w:rsidR="006D2DE8" w:rsidRDefault="004E047C" w:rsidP="007074DC">
      <w:pPr>
        <w:pStyle w:val="Akapitzlist"/>
        <w:numPr>
          <w:ilvl w:val="0"/>
          <w:numId w:val="40"/>
        </w:numPr>
        <w:spacing w:line="360" w:lineRule="auto"/>
        <w:jc w:val="both"/>
        <w:rPr>
          <w:rFonts w:ascii="Bookman Old Style" w:hAnsi="Bookman Old Style"/>
        </w:rPr>
      </w:pPr>
      <w:r w:rsidRPr="007074DC">
        <w:rPr>
          <w:rFonts w:ascii="Bookman Old Style" w:hAnsi="Bookman Old Style"/>
        </w:rPr>
        <w:t>R</w:t>
      </w:r>
      <w:r w:rsidR="006D2DE8" w:rsidRPr="007074DC">
        <w:rPr>
          <w:rFonts w:ascii="Bookman Old Style" w:hAnsi="Bookman Old Style"/>
        </w:rPr>
        <w:t>aporty walidacji</w:t>
      </w:r>
      <w:r w:rsidRPr="007074DC">
        <w:rPr>
          <w:rFonts w:ascii="Bookman Old Style" w:hAnsi="Bookman Old Style"/>
        </w:rPr>
        <w:t xml:space="preserve"> plików GML</w:t>
      </w:r>
      <w:r w:rsidR="006D2DE8" w:rsidRPr="007074DC">
        <w:rPr>
          <w:rFonts w:ascii="Bookman Old Style" w:hAnsi="Bookman Old Style"/>
        </w:rPr>
        <w:t xml:space="preserve"> sprawdzające zgodność danych z PMD 2021.</w:t>
      </w:r>
    </w:p>
    <w:p w14:paraId="7B5F826D" w14:textId="77777777" w:rsidR="007074DC" w:rsidRDefault="007074DC" w:rsidP="007074DC">
      <w:pPr>
        <w:spacing w:line="360" w:lineRule="auto"/>
        <w:jc w:val="both"/>
        <w:rPr>
          <w:rFonts w:ascii="Bookman Old Style" w:hAnsi="Bookman Old Style"/>
          <w:b/>
          <w:bCs/>
        </w:rPr>
      </w:pPr>
      <w:bookmarkStart w:id="10" w:name="_Toc85106012"/>
      <w:bookmarkStart w:id="11" w:name="_Toc69915548"/>
      <w:bookmarkStart w:id="12" w:name="_Toc153528728"/>
      <w:bookmarkEnd w:id="10"/>
    </w:p>
    <w:p w14:paraId="2F2634AF" w14:textId="77777777" w:rsidR="007074DC" w:rsidRDefault="007074DC" w:rsidP="007074DC">
      <w:pPr>
        <w:spacing w:line="360" w:lineRule="auto"/>
        <w:jc w:val="both"/>
        <w:rPr>
          <w:rFonts w:ascii="Bookman Old Style" w:hAnsi="Bookman Old Style"/>
          <w:b/>
          <w:bCs/>
        </w:rPr>
      </w:pPr>
    </w:p>
    <w:p w14:paraId="4AF949E0" w14:textId="77777777" w:rsidR="007074DC" w:rsidRDefault="007074DC" w:rsidP="007074DC">
      <w:pPr>
        <w:spacing w:line="360" w:lineRule="auto"/>
        <w:jc w:val="both"/>
        <w:rPr>
          <w:rFonts w:ascii="Bookman Old Style" w:hAnsi="Bookman Old Style"/>
          <w:b/>
          <w:bCs/>
        </w:rPr>
      </w:pPr>
    </w:p>
    <w:p w14:paraId="10ACE2CC" w14:textId="41CEB8FC" w:rsidR="007074DC" w:rsidRPr="007074DC" w:rsidRDefault="007074DC" w:rsidP="007074DC">
      <w:pPr>
        <w:spacing w:line="360" w:lineRule="auto"/>
        <w:jc w:val="both"/>
        <w:rPr>
          <w:rFonts w:ascii="Bookman Old Style" w:hAnsi="Bookman Old Style"/>
          <w:b/>
          <w:bCs/>
        </w:rPr>
      </w:pPr>
      <w:r w:rsidRPr="007074DC">
        <w:rPr>
          <w:rFonts w:ascii="Bookman Old Style" w:hAnsi="Bookman Old Style"/>
          <w:b/>
          <w:bCs/>
        </w:rPr>
        <w:lastRenderedPageBreak/>
        <w:t xml:space="preserve">Rozdział </w:t>
      </w:r>
      <w:r>
        <w:rPr>
          <w:rFonts w:ascii="Bookman Old Style" w:hAnsi="Bookman Old Style"/>
          <w:b/>
          <w:bCs/>
        </w:rPr>
        <w:t>6</w:t>
      </w:r>
    </w:p>
    <w:p w14:paraId="1A845059" w14:textId="1C5415D1" w:rsidR="00CF0D47" w:rsidRPr="007074DC" w:rsidRDefault="00CF0D47" w:rsidP="001B6039">
      <w:pPr>
        <w:spacing w:line="360" w:lineRule="auto"/>
        <w:jc w:val="both"/>
        <w:rPr>
          <w:rFonts w:ascii="Bookman Old Style" w:hAnsi="Bookman Old Style"/>
          <w:b/>
          <w:bCs/>
          <w:u w:val="single"/>
        </w:rPr>
      </w:pPr>
      <w:r w:rsidRPr="007074DC">
        <w:rPr>
          <w:rFonts w:ascii="Bookman Old Style" w:hAnsi="Bookman Old Style"/>
          <w:b/>
          <w:bCs/>
          <w:u w:val="single"/>
        </w:rPr>
        <w:t xml:space="preserve">Kontrola </w:t>
      </w:r>
      <w:bookmarkEnd w:id="11"/>
      <w:bookmarkEnd w:id="12"/>
      <w:r w:rsidR="00100456">
        <w:rPr>
          <w:rFonts w:ascii="Bookman Old Style" w:hAnsi="Bookman Old Style"/>
          <w:b/>
          <w:bCs/>
          <w:u w:val="single"/>
        </w:rPr>
        <w:t>realizacji przedmiotu zamówienia</w:t>
      </w:r>
      <w:r w:rsidR="007074DC">
        <w:rPr>
          <w:rFonts w:ascii="Bookman Old Style" w:hAnsi="Bookman Old Style"/>
          <w:b/>
          <w:bCs/>
          <w:u w:val="single"/>
        </w:rPr>
        <w:t>.</w:t>
      </w:r>
    </w:p>
    <w:p w14:paraId="610B2126" w14:textId="7C006645" w:rsidR="00CF0D47" w:rsidRPr="007074DC" w:rsidRDefault="003F27E3" w:rsidP="007074DC">
      <w:pPr>
        <w:pStyle w:val="Akapitzlist"/>
        <w:numPr>
          <w:ilvl w:val="0"/>
          <w:numId w:val="42"/>
        </w:numPr>
        <w:spacing w:line="360" w:lineRule="auto"/>
        <w:ind w:left="426"/>
        <w:jc w:val="both"/>
        <w:rPr>
          <w:rFonts w:ascii="Bookman Old Style" w:hAnsi="Bookman Old Style"/>
        </w:rPr>
      </w:pPr>
      <w:r w:rsidRPr="007074DC">
        <w:rPr>
          <w:rFonts w:ascii="Bookman Old Style" w:hAnsi="Bookman Old Style"/>
        </w:rPr>
        <w:t xml:space="preserve">Dokumentację prac </w:t>
      </w:r>
      <w:r w:rsidR="00CF0D47" w:rsidRPr="007074DC">
        <w:rPr>
          <w:rFonts w:ascii="Bookman Old Style" w:hAnsi="Bookman Old Style"/>
        </w:rPr>
        <w:t xml:space="preserve">należy </w:t>
      </w:r>
      <w:r w:rsidRPr="007074DC">
        <w:rPr>
          <w:rFonts w:ascii="Bookman Old Style" w:hAnsi="Bookman Old Style"/>
        </w:rPr>
        <w:t xml:space="preserve">sporządzić i </w:t>
      </w:r>
      <w:r w:rsidR="00CF0D47" w:rsidRPr="007074DC">
        <w:rPr>
          <w:rFonts w:ascii="Bookman Old Style" w:hAnsi="Bookman Old Style"/>
        </w:rPr>
        <w:t>przekazać w formie cyfrowej w odpowiednich formatach, zorganizowane według wytycznych zawartych w</w:t>
      </w:r>
      <w:r w:rsidR="006D08C2" w:rsidRPr="007074DC">
        <w:rPr>
          <w:rFonts w:ascii="Bookman Old Style" w:hAnsi="Bookman Old Style"/>
        </w:rPr>
        <w:t> </w:t>
      </w:r>
      <w:r w:rsidR="00CF0D47" w:rsidRPr="007074DC">
        <w:rPr>
          <w:rFonts w:ascii="Bookman Old Style" w:hAnsi="Bookman Old Style"/>
        </w:rPr>
        <w:t xml:space="preserve">WT oraz ustalonych w trakcie </w:t>
      </w:r>
      <w:r w:rsidR="00100456">
        <w:rPr>
          <w:rFonts w:ascii="Bookman Old Style" w:hAnsi="Bookman Old Style"/>
        </w:rPr>
        <w:t>realizacji przedmiotu zamówienia</w:t>
      </w:r>
      <w:r w:rsidR="00CF0D47" w:rsidRPr="007074DC">
        <w:rPr>
          <w:rFonts w:ascii="Bookman Old Style" w:hAnsi="Bookman Old Style"/>
        </w:rPr>
        <w:t>. Kontroli będą podlegać wyniki prac wykonawcy</w:t>
      </w:r>
      <w:r w:rsidR="00733954" w:rsidRPr="007074DC">
        <w:rPr>
          <w:rFonts w:ascii="Bookman Old Style" w:hAnsi="Bookman Old Style"/>
        </w:rPr>
        <w:t xml:space="preserve"> ujawnione w </w:t>
      </w:r>
      <w:proofErr w:type="spellStart"/>
      <w:r w:rsidR="00733954" w:rsidRPr="007074DC">
        <w:rPr>
          <w:rFonts w:ascii="Bookman Old Style" w:hAnsi="Bookman Old Style"/>
        </w:rPr>
        <w:t>BDPZGiK</w:t>
      </w:r>
      <w:proofErr w:type="spellEnd"/>
      <w:r w:rsidR="00A742E1" w:rsidRPr="007074DC">
        <w:rPr>
          <w:rFonts w:ascii="Bookman Old Style" w:hAnsi="Bookman Old Style"/>
        </w:rPr>
        <w:t xml:space="preserve"> oraz dokumentacja prac</w:t>
      </w:r>
      <w:r w:rsidR="00CF0D47" w:rsidRPr="007074DC">
        <w:rPr>
          <w:rFonts w:ascii="Bookman Old Style" w:hAnsi="Bookman Old Style"/>
        </w:rPr>
        <w:t>.</w:t>
      </w:r>
    </w:p>
    <w:p w14:paraId="24622885" w14:textId="3A1396CA" w:rsidR="00CF0D47" w:rsidRPr="007074DC" w:rsidRDefault="00CF0D47" w:rsidP="007074DC">
      <w:pPr>
        <w:pStyle w:val="Akapitzlist"/>
        <w:numPr>
          <w:ilvl w:val="0"/>
          <w:numId w:val="42"/>
        </w:numPr>
        <w:spacing w:line="360" w:lineRule="auto"/>
        <w:ind w:left="426"/>
        <w:jc w:val="both"/>
        <w:rPr>
          <w:rFonts w:ascii="Bookman Old Style" w:hAnsi="Bookman Old Style"/>
        </w:rPr>
      </w:pPr>
      <w:r w:rsidRPr="007074DC">
        <w:rPr>
          <w:rFonts w:ascii="Bookman Old Style" w:hAnsi="Bookman Old Style"/>
        </w:rPr>
        <w:t xml:space="preserve">Zamawiający przystąpi do kontroli </w:t>
      </w:r>
      <w:r w:rsidR="00A742E1" w:rsidRPr="007074DC">
        <w:rPr>
          <w:rFonts w:ascii="Bookman Old Style" w:hAnsi="Bookman Old Style"/>
        </w:rPr>
        <w:t>wyników prac</w:t>
      </w:r>
      <w:r w:rsidRPr="007074DC">
        <w:rPr>
          <w:rFonts w:ascii="Bookman Old Style" w:hAnsi="Bookman Old Style"/>
        </w:rPr>
        <w:t xml:space="preserve"> i dokument</w:t>
      </w:r>
      <w:r w:rsidR="00A742E1" w:rsidRPr="007074DC">
        <w:rPr>
          <w:rFonts w:ascii="Bookman Old Style" w:hAnsi="Bookman Old Style"/>
        </w:rPr>
        <w:t>acji</w:t>
      </w:r>
      <w:r w:rsidRPr="007074DC">
        <w:rPr>
          <w:rFonts w:ascii="Bookman Old Style" w:hAnsi="Bookman Old Style"/>
        </w:rPr>
        <w:t xml:space="preserve">, kiedy wykonawca zgłosi zakończenie </w:t>
      </w:r>
      <w:r w:rsidR="00100456">
        <w:rPr>
          <w:rFonts w:ascii="Bookman Old Style" w:hAnsi="Bookman Old Style"/>
        </w:rPr>
        <w:t>realizacji przedmiotu zamówienia</w:t>
      </w:r>
      <w:r w:rsidRPr="007074DC">
        <w:rPr>
          <w:rFonts w:ascii="Bookman Old Style" w:hAnsi="Bookman Old Style"/>
        </w:rPr>
        <w:t xml:space="preserve"> oraz przekaże </w:t>
      </w:r>
      <w:r w:rsidR="00C5572C" w:rsidRPr="007074DC">
        <w:rPr>
          <w:rFonts w:ascii="Bookman Old Style" w:hAnsi="Bookman Old Style"/>
        </w:rPr>
        <w:t>z</w:t>
      </w:r>
      <w:r w:rsidRPr="007074DC">
        <w:rPr>
          <w:rFonts w:ascii="Bookman Old Style" w:hAnsi="Bookman Old Style"/>
        </w:rPr>
        <w:t>amawiającemu wyniki swoich prac do kontroli. Zamawiający przeprowadzi kontrolę wyników prac zrealizowanych przez Wykonawcę</w:t>
      </w:r>
      <w:r w:rsidR="00D52149" w:rsidRPr="007074DC">
        <w:rPr>
          <w:rFonts w:ascii="Bookman Old Style" w:hAnsi="Bookman Old Style"/>
        </w:rPr>
        <w:t xml:space="preserve"> w ciągu 5-ciu dni </w:t>
      </w:r>
      <w:r w:rsidR="00425494" w:rsidRPr="007074DC">
        <w:rPr>
          <w:rFonts w:ascii="Bookman Old Style" w:hAnsi="Bookman Old Style"/>
        </w:rPr>
        <w:t xml:space="preserve">roboczych </w:t>
      </w:r>
      <w:r w:rsidR="00D52149" w:rsidRPr="007074DC">
        <w:rPr>
          <w:rFonts w:ascii="Bookman Old Style" w:hAnsi="Bookman Old Style"/>
        </w:rPr>
        <w:t>od daty zgłoszenia gotowości</w:t>
      </w:r>
      <w:r w:rsidRPr="007074DC">
        <w:rPr>
          <w:rFonts w:ascii="Bookman Old Style" w:hAnsi="Bookman Old Style"/>
        </w:rPr>
        <w:t>.</w:t>
      </w:r>
    </w:p>
    <w:p w14:paraId="2FE0F2C5" w14:textId="40FE521D" w:rsidR="00CF0D47" w:rsidRPr="007074DC" w:rsidRDefault="00CF0D47" w:rsidP="007074DC">
      <w:pPr>
        <w:pStyle w:val="Akapitzlist"/>
        <w:numPr>
          <w:ilvl w:val="0"/>
          <w:numId w:val="42"/>
        </w:numPr>
        <w:spacing w:line="360" w:lineRule="auto"/>
        <w:ind w:left="426"/>
        <w:jc w:val="both"/>
        <w:rPr>
          <w:rFonts w:ascii="Bookman Old Style" w:hAnsi="Bookman Old Style"/>
        </w:rPr>
      </w:pPr>
      <w:r w:rsidRPr="007074DC">
        <w:rPr>
          <w:rFonts w:ascii="Bookman Old Style" w:hAnsi="Bookman Old Style"/>
        </w:rPr>
        <w:t>Zamawiający może odmówić przystąpienia do kontroli, kiedy wystąpi przynajmniej jeden z</w:t>
      </w:r>
      <w:r w:rsidR="008051B0" w:rsidRPr="007074DC">
        <w:rPr>
          <w:rFonts w:ascii="Bookman Old Style" w:hAnsi="Bookman Old Style"/>
        </w:rPr>
        <w:t> </w:t>
      </w:r>
      <w:r w:rsidRPr="007074DC">
        <w:rPr>
          <w:rFonts w:ascii="Bookman Old Style" w:hAnsi="Bookman Old Style"/>
        </w:rPr>
        <w:t>niżej podanych powodów:</w:t>
      </w:r>
    </w:p>
    <w:p w14:paraId="63CE4907" w14:textId="28C4F747" w:rsidR="00CF0D47" w:rsidRPr="007074DC" w:rsidRDefault="00CF0D47" w:rsidP="007074DC">
      <w:pPr>
        <w:pStyle w:val="Akapitzlist"/>
        <w:numPr>
          <w:ilvl w:val="0"/>
          <w:numId w:val="43"/>
        </w:numPr>
        <w:spacing w:line="360" w:lineRule="auto"/>
        <w:jc w:val="both"/>
        <w:rPr>
          <w:rFonts w:ascii="Bookman Old Style" w:hAnsi="Bookman Old Style"/>
        </w:rPr>
      </w:pPr>
      <w:r w:rsidRPr="007074DC">
        <w:rPr>
          <w:rFonts w:ascii="Bookman Old Style" w:hAnsi="Bookman Old Style"/>
        </w:rPr>
        <w:t xml:space="preserve">Nie nastąpiło zgłoszenie informacji o przekazaniu </w:t>
      </w:r>
      <w:r w:rsidR="00A742E1" w:rsidRPr="007074DC">
        <w:rPr>
          <w:rFonts w:ascii="Bookman Old Style" w:hAnsi="Bookman Old Style"/>
        </w:rPr>
        <w:t>wyników</w:t>
      </w:r>
      <w:r w:rsidRPr="007074DC">
        <w:rPr>
          <w:rFonts w:ascii="Bookman Old Style" w:hAnsi="Bookman Old Style"/>
        </w:rPr>
        <w:t xml:space="preserve"> prac do kontroli.</w:t>
      </w:r>
    </w:p>
    <w:p w14:paraId="7BD48D19" w14:textId="1C8C998E" w:rsidR="00CF0D47" w:rsidRPr="007074DC" w:rsidRDefault="00A742E1" w:rsidP="007074DC">
      <w:pPr>
        <w:pStyle w:val="Akapitzlist"/>
        <w:numPr>
          <w:ilvl w:val="0"/>
          <w:numId w:val="43"/>
        </w:numPr>
        <w:spacing w:line="360" w:lineRule="auto"/>
        <w:jc w:val="both"/>
        <w:rPr>
          <w:rFonts w:ascii="Bookman Old Style" w:hAnsi="Bookman Old Style"/>
        </w:rPr>
      </w:pPr>
      <w:r w:rsidRPr="007074DC">
        <w:rPr>
          <w:rFonts w:ascii="Bookman Old Style" w:hAnsi="Bookman Old Style"/>
        </w:rPr>
        <w:t>Wyniki</w:t>
      </w:r>
      <w:r w:rsidR="00CF0D47" w:rsidRPr="007074DC">
        <w:rPr>
          <w:rFonts w:ascii="Bookman Old Style" w:hAnsi="Bookman Old Style"/>
        </w:rPr>
        <w:t xml:space="preserve"> prac są niekompletne</w:t>
      </w:r>
      <w:r w:rsidRPr="007074DC">
        <w:rPr>
          <w:rFonts w:ascii="Bookman Old Style" w:hAnsi="Bookman Old Style"/>
        </w:rPr>
        <w:t xml:space="preserve"> a dokumentacja nie odpowiada wymogom WT</w:t>
      </w:r>
      <w:r w:rsidR="00751C34" w:rsidRPr="007074DC">
        <w:rPr>
          <w:rFonts w:ascii="Bookman Old Style" w:hAnsi="Bookman Old Style"/>
        </w:rPr>
        <w:t xml:space="preserve"> lub ustaleniom z Zamawiającym</w:t>
      </w:r>
      <w:r w:rsidR="00CF0D47" w:rsidRPr="007074DC">
        <w:rPr>
          <w:rFonts w:ascii="Bookman Old Style" w:hAnsi="Bookman Old Style"/>
        </w:rPr>
        <w:t>.</w:t>
      </w:r>
    </w:p>
    <w:p w14:paraId="2435E614" w14:textId="73A2F9D6" w:rsidR="00CF0D47" w:rsidRPr="007074DC" w:rsidRDefault="00CF0D47" w:rsidP="007074DC">
      <w:pPr>
        <w:pStyle w:val="Akapitzlist"/>
        <w:numPr>
          <w:ilvl w:val="0"/>
          <w:numId w:val="43"/>
        </w:numPr>
        <w:spacing w:line="360" w:lineRule="auto"/>
        <w:jc w:val="both"/>
        <w:rPr>
          <w:rFonts w:ascii="Bookman Old Style" w:hAnsi="Bookman Old Style"/>
        </w:rPr>
      </w:pPr>
      <w:r w:rsidRPr="007074DC">
        <w:rPr>
          <w:rFonts w:ascii="Bookman Old Style" w:hAnsi="Bookman Old Style"/>
        </w:rPr>
        <w:t xml:space="preserve">Występują inne obiektywne przesłanki świadczące o tym, że pomimo zgłoszenia informacji o przekazaniu </w:t>
      </w:r>
      <w:r w:rsidR="00A742E1" w:rsidRPr="007074DC">
        <w:rPr>
          <w:rFonts w:ascii="Bookman Old Style" w:hAnsi="Bookman Old Style"/>
        </w:rPr>
        <w:t>wyników</w:t>
      </w:r>
      <w:r w:rsidRPr="007074DC">
        <w:rPr>
          <w:rFonts w:ascii="Bookman Old Style" w:hAnsi="Bookman Old Style"/>
        </w:rPr>
        <w:t xml:space="preserve"> prac do kontroli nie nastąpiło faktyczne przekazanie tych </w:t>
      </w:r>
      <w:r w:rsidR="00A742E1" w:rsidRPr="007074DC">
        <w:rPr>
          <w:rFonts w:ascii="Bookman Old Style" w:hAnsi="Bookman Old Style"/>
        </w:rPr>
        <w:t>wyników</w:t>
      </w:r>
      <w:r w:rsidRPr="007074DC">
        <w:rPr>
          <w:rFonts w:ascii="Bookman Old Style" w:hAnsi="Bookman Old Style"/>
        </w:rPr>
        <w:t xml:space="preserve"> w całości</w:t>
      </w:r>
      <w:r w:rsidR="00D44B14" w:rsidRPr="007074DC">
        <w:rPr>
          <w:rFonts w:ascii="Bookman Old Style" w:hAnsi="Bookman Old Style"/>
        </w:rPr>
        <w:t>,</w:t>
      </w:r>
      <w:r w:rsidRPr="007074DC">
        <w:rPr>
          <w:rFonts w:ascii="Bookman Old Style" w:hAnsi="Bookman Old Style"/>
        </w:rPr>
        <w:t xml:space="preserve"> w poprawnym stanie, formie i postaci.</w:t>
      </w:r>
    </w:p>
    <w:p w14:paraId="42C8599E" w14:textId="3AEB91DE" w:rsidR="00CF0D47" w:rsidRPr="007074DC" w:rsidRDefault="007074DC" w:rsidP="007074DC">
      <w:pPr>
        <w:pStyle w:val="Akapitzlist"/>
        <w:numPr>
          <w:ilvl w:val="0"/>
          <w:numId w:val="42"/>
        </w:numPr>
        <w:spacing w:line="360" w:lineRule="auto"/>
        <w:ind w:left="426"/>
        <w:jc w:val="both"/>
        <w:rPr>
          <w:rFonts w:ascii="Bookman Old Style" w:hAnsi="Bookman Old Style"/>
        </w:rPr>
      </w:pPr>
      <w:r>
        <w:rPr>
          <w:rFonts w:ascii="Bookman Old Style" w:hAnsi="Bookman Old Style"/>
        </w:rPr>
        <w:t xml:space="preserve">O </w:t>
      </w:r>
      <w:r w:rsidR="00CF0D47" w:rsidRPr="007074DC">
        <w:rPr>
          <w:rFonts w:ascii="Bookman Old Style" w:hAnsi="Bookman Old Style"/>
        </w:rPr>
        <w:t xml:space="preserve">odmowie przystąpienia do kontroli </w:t>
      </w:r>
      <w:r w:rsidR="00C5572C" w:rsidRPr="007074DC">
        <w:rPr>
          <w:rFonts w:ascii="Bookman Old Style" w:hAnsi="Bookman Old Style"/>
        </w:rPr>
        <w:t>z</w:t>
      </w:r>
      <w:r w:rsidR="00CF0D47" w:rsidRPr="007074DC">
        <w:rPr>
          <w:rFonts w:ascii="Bookman Old Style" w:hAnsi="Bookman Old Style"/>
        </w:rPr>
        <w:t>amawiający powiadomi wykonawcę nie później niż do końca terminu przewidzianego na daną czynność kontroli wraz z jasnym uzasadnieniem powodu odmowy przystąpienia do kontroli.</w:t>
      </w:r>
    </w:p>
    <w:p w14:paraId="1C2EAD8B" w14:textId="2E7434B7" w:rsidR="00C608FD" w:rsidRPr="007074DC" w:rsidRDefault="00CF0D47" w:rsidP="007074DC">
      <w:pPr>
        <w:pStyle w:val="Akapitzlist"/>
        <w:numPr>
          <w:ilvl w:val="0"/>
          <w:numId w:val="42"/>
        </w:numPr>
        <w:spacing w:line="360" w:lineRule="auto"/>
        <w:ind w:left="426"/>
        <w:jc w:val="both"/>
        <w:rPr>
          <w:rFonts w:ascii="Bookman Old Style" w:hAnsi="Bookman Old Style"/>
        </w:rPr>
      </w:pPr>
      <w:r w:rsidRPr="007074DC">
        <w:rPr>
          <w:rFonts w:ascii="Bookman Old Style" w:hAnsi="Bookman Old Style"/>
        </w:rPr>
        <w:t xml:space="preserve">Warunkiem odbioru </w:t>
      </w:r>
      <w:r w:rsidR="00100456">
        <w:rPr>
          <w:rFonts w:ascii="Bookman Old Style" w:hAnsi="Bookman Old Style"/>
        </w:rPr>
        <w:t xml:space="preserve">przedmiotu zamówienia </w:t>
      </w:r>
      <w:r w:rsidRPr="007074DC">
        <w:rPr>
          <w:rFonts w:ascii="Bookman Old Style" w:hAnsi="Bookman Old Style"/>
        </w:rPr>
        <w:t>jest uzyskanie pozytywnego wyniku kontroli.</w:t>
      </w:r>
    </w:p>
    <w:p w14:paraId="3721F7EF" w14:textId="77777777" w:rsidR="007F57A6" w:rsidRPr="001B6039" w:rsidRDefault="007F57A6" w:rsidP="001B6039">
      <w:pPr>
        <w:spacing w:line="360" w:lineRule="auto"/>
        <w:jc w:val="both"/>
        <w:rPr>
          <w:rFonts w:ascii="Bookman Old Style" w:hAnsi="Bookman Old Style"/>
        </w:rPr>
      </w:pPr>
      <w:r w:rsidRPr="001B6039">
        <w:rPr>
          <w:rFonts w:ascii="Bookman Old Style" w:hAnsi="Bookman Old Style"/>
        </w:rPr>
        <w:br w:type="page"/>
      </w:r>
    </w:p>
    <w:p w14:paraId="6E67C45F" w14:textId="7EF0D440" w:rsidR="007F57A6" w:rsidRPr="007074DC" w:rsidRDefault="007F57A6" w:rsidP="001B6039">
      <w:pPr>
        <w:spacing w:line="360" w:lineRule="auto"/>
        <w:jc w:val="both"/>
        <w:rPr>
          <w:rFonts w:ascii="Bookman Old Style" w:hAnsi="Bookman Old Style"/>
          <w:vertAlign w:val="superscript"/>
        </w:rPr>
      </w:pPr>
      <w:bookmarkStart w:id="13" w:name="_Toc153528729"/>
      <w:r w:rsidRPr="001B6039">
        <w:rPr>
          <w:rFonts w:ascii="Bookman Old Style" w:hAnsi="Bookman Old Style"/>
        </w:rPr>
        <w:lastRenderedPageBreak/>
        <w:t xml:space="preserve">Załącznik nr </w:t>
      </w:r>
      <w:r w:rsidR="00D805B3" w:rsidRPr="001B6039">
        <w:rPr>
          <w:rFonts w:ascii="Bookman Old Style" w:hAnsi="Bookman Old Style"/>
        </w:rPr>
        <w:t>1</w:t>
      </w:r>
      <w:r w:rsidRPr="001B6039">
        <w:rPr>
          <w:rFonts w:ascii="Bookman Old Style" w:hAnsi="Bookman Old Style"/>
        </w:rPr>
        <w:t xml:space="preserve"> – raport uzgodnień dostosowania obiektów WMZ</w:t>
      </w:r>
      <w:bookmarkEnd w:id="13"/>
      <w:r w:rsidR="007074DC">
        <w:rPr>
          <w:rFonts w:ascii="Bookman Old Style" w:hAnsi="Bookman Old Style"/>
          <w:vertAlign w:val="superscript"/>
        </w:rPr>
        <w:t>1</w:t>
      </w: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
        <w:gridCol w:w="992"/>
        <w:gridCol w:w="1276"/>
        <w:gridCol w:w="1275"/>
        <w:gridCol w:w="1701"/>
        <w:gridCol w:w="1418"/>
        <w:gridCol w:w="1559"/>
        <w:gridCol w:w="1134"/>
      </w:tblGrid>
      <w:tr w:rsidR="007074DC" w:rsidRPr="000D2584" w14:paraId="429E1684" w14:textId="77777777" w:rsidTr="00E109C6">
        <w:trPr>
          <w:trHeight w:val="863"/>
          <w:tblHeader/>
        </w:trPr>
        <w:tc>
          <w:tcPr>
            <w:tcW w:w="366" w:type="dxa"/>
            <w:shd w:val="clear" w:color="auto" w:fill="D9D9D9"/>
            <w:vAlign w:val="center"/>
          </w:tcPr>
          <w:p w14:paraId="2A4EEC24" w14:textId="77777777" w:rsidR="007074DC" w:rsidRPr="000D2584" w:rsidRDefault="007074DC" w:rsidP="00E109C6">
            <w:pPr>
              <w:spacing w:after="0" w:line="240" w:lineRule="auto"/>
              <w:ind w:right="-52"/>
              <w:jc w:val="center"/>
              <w:rPr>
                <w:rFonts w:ascii="Times New Roman" w:eastAsia="Times New Roman" w:hAnsi="Times New Roman" w:cs="Times New Roman"/>
                <w:b/>
                <w:color w:val="000000"/>
                <w:sz w:val="18"/>
                <w:szCs w:val="18"/>
                <w:lang w:eastAsia="pl-PL"/>
              </w:rPr>
            </w:pPr>
            <w:r w:rsidRPr="000D2584">
              <w:rPr>
                <w:rFonts w:ascii="Times New Roman" w:eastAsia="Times New Roman" w:hAnsi="Times New Roman" w:cs="Times New Roman"/>
                <w:b/>
                <w:color w:val="000000"/>
                <w:sz w:val="18"/>
                <w:szCs w:val="18"/>
                <w:lang w:eastAsia="pl-PL"/>
              </w:rPr>
              <w:t>Lp.</w:t>
            </w:r>
          </w:p>
        </w:tc>
        <w:tc>
          <w:tcPr>
            <w:tcW w:w="992" w:type="dxa"/>
            <w:shd w:val="clear" w:color="auto" w:fill="D9D9D9"/>
            <w:vAlign w:val="center"/>
          </w:tcPr>
          <w:p w14:paraId="30C5DCF2" w14:textId="77777777" w:rsidR="007074DC" w:rsidRPr="000D2584" w:rsidRDefault="007074DC" w:rsidP="00E109C6">
            <w:pPr>
              <w:spacing w:after="0" w:line="240" w:lineRule="auto"/>
              <w:ind w:right="-52"/>
              <w:jc w:val="center"/>
              <w:rPr>
                <w:rFonts w:ascii="Times New Roman" w:eastAsia="Times New Roman" w:hAnsi="Times New Roman" w:cs="Times New Roman"/>
                <w:b/>
                <w:color w:val="000000"/>
                <w:sz w:val="18"/>
                <w:szCs w:val="18"/>
                <w:lang w:eastAsia="pl-PL"/>
              </w:rPr>
            </w:pPr>
            <w:r w:rsidRPr="000D2584">
              <w:rPr>
                <w:rFonts w:ascii="Times New Roman" w:eastAsia="Times New Roman" w:hAnsi="Times New Roman" w:cs="Times New Roman"/>
                <w:b/>
                <w:color w:val="000000"/>
                <w:sz w:val="18"/>
                <w:szCs w:val="18"/>
                <w:lang w:eastAsia="pl-PL"/>
              </w:rPr>
              <w:t>Id warstwy WMZ</w:t>
            </w:r>
            <w:r w:rsidRPr="000D2584">
              <w:rPr>
                <w:rFonts w:ascii="Times New Roman" w:eastAsia="Times New Roman" w:hAnsi="Times New Roman" w:cs="Times New Roman"/>
                <w:b/>
                <w:color w:val="000000"/>
                <w:sz w:val="18"/>
                <w:szCs w:val="18"/>
                <w:vertAlign w:val="superscript"/>
                <w:lang w:eastAsia="pl-PL"/>
              </w:rPr>
              <w:footnoteReference w:id="1"/>
            </w:r>
          </w:p>
        </w:tc>
        <w:tc>
          <w:tcPr>
            <w:tcW w:w="1276" w:type="dxa"/>
            <w:shd w:val="clear" w:color="auto" w:fill="D9D9D9"/>
            <w:vAlign w:val="center"/>
          </w:tcPr>
          <w:p w14:paraId="31BA0EC6" w14:textId="77777777" w:rsidR="007074DC" w:rsidRPr="000D2584" w:rsidRDefault="007074DC" w:rsidP="00E109C6">
            <w:pPr>
              <w:spacing w:after="0" w:line="240" w:lineRule="auto"/>
              <w:ind w:right="-52"/>
              <w:jc w:val="center"/>
              <w:rPr>
                <w:rFonts w:ascii="Times New Roman" w:eastAsia="Times New Roman" w:hAnsi="Times New Roman" w:cs="Times New Roman"/>
                <w:b/>
                <w:color w:val="000000"/>
                <w:sz w:val="18"/>
                <w:szCs w:val="18"/>
                <w:lang w:eastAsia="pl-PL"/>
              </w:rPr>
            </w:pPr>
            <w:r w:rsidRPr="000D2584">
              <w:rPr>
                <w:rFonts w:ascii="Times New Roman" w:eastAsia="Times New Roman" w:hAnsi="Times New Roman" w:cs="Times New Roman"/>
                <w:b/>
                <w:color w:val="000000"/>
                <w:sz w:val="18"/>
                <w:szCs w:val="18"/>
                <w:lang w:eastAsia="pl-PL"/>
              </w:rPr>
              <w:t>Nazwa obiektu</w:t>
            </w:r>
            <w:r w:rsidRPr="000D2584">
              <w:rPr>
                <w:rFonts w:ascii="Times New Roman" w:eastAsia="Times New Roman" w:hAnsi="Times New Roman" w:cs="Times New Roman"/>
                <w:b/>
                <w:color w:val="000000"/>
                <w:sz w:val="18"/>
                <w:szCs w:val="18"/>
                <w:vertAlign w:val="superscript"/>
                <w:lang w:eastAsia="pl-PL"/>
              </w:rPr>
              <w:footnoteReference w:id="2"/>
            </w:r>
          </w:p>
        </w:tc>
        <w:tc>
          <w:tcPr>
            <w:tcW w:w="1275" w:type="dxa"/>
            <w:shd w:val="clear" w:color="auto" w:fill="D9D9D9"/>
            <w:vAlign w:val="center"/>
          </w:tcPr>
          <w:p w14:paraId="49D59A1F" w14:textId="77777777" w:rsidR="007074DC" w:rsidRPr="000D2584" w:rsidRDefault="007074DC" w:rsidP="00E109C6">
            <w:pPr>
              <w:spacing w:after="0" w:line="240" w:lineRule="auto"/>
              <w:ind w:right="-52"/>
              <w:jc w:val="center"/>
              <w:rPr>
                <w:rFonts w:ascii="Times New Roman" w:eastAsia="Times New Roman" w:hAnsi="Times New Roman" w:cs="Times New Roman"/>
                <w:b/>
                <w:color w:val="000000"/>
                <w:sz w:val="18"/>
                <w:szCs w:val="18"/>
                <w:lang w:eastAsia="pl-PL"/>
              </w:rPr>
            </w:pPr>
            <w:r w:rsidRPr="000D2584">
              <w:rPr>
                <w:rFonts w:ascii="Times New Roman" w:eastAsia="Times New Roman" w:hAnsi="Times New Roman" w:cs="Times New Roman"/>
                <w:b/>
                <w:color w:val="000000"/>
                <w:sz w:val="18"/>
                <w:szCs w:val="18"/>
                <w:lang w:eastAsia="pl-PL"/>
              </w:rPr>
              <w:t>Propozycja działania</w:t>
            </w:r>
            <w:r w:rsidRPr="000D2584">
              <w:rPr>
                <w:rFonts w:ascii="Times New Roman" w:eastAsia="Times New Roman" w:hAnsi="Times New Roman" w:cs="Times New Roman"/>
                <w:b/>
                <w:color w:val="000000"/>
                <w:sz w:val="18"/>
                <w:szCs w:val="18"/>
                <w:vertAlign w:val="superscript"/>
                <w:lang w:eastAsia="pl-PL"/>
              </w:rPr>
              <w:footnoteReference w:id="3"/>
            </w:r>
          </w:p>
        </w:tc>
        <w:tc>
          <w:tcPr>
            <w:tcW w:w="1701" w:type="dxa"/>
            <w:shd w:val="clear" w:color="auto" w:fill="D9D9D9"/>
            <w:vAlign w:val="center"/>
          </w:tcPr>
          <w:p w14:paraId="22866916" w14:textId="77777777" w:rsidR="007074DC" w:rsidRPr="000D2584" w:rsidRDefault="007074DC" w:rsidP="00E109C6">
            <w:pPr>
              <w:spacing w:after="0" w:line="240" w:lineRule="auto"/>
              <w:ind w:right="-52"/>
              <w:jc w:val="center"/>
              <w:rPr>
                <w:rFonts w:ascii="Times New Roman" w:eastAsia="Times New Roman" w:hAnsi="Times New Roman" w:cs="Times New Roman"/>
                <w:b/>
                <w:color w:val="000000"/>
                <w:sz w:val="18"/>
                <w:szCs w:val="18"/>
                <w:lang w:eastAsia="pl-PL"/>
              </w:rPr>
            </w:pPr>
            <w:r w:rsidRPr="000D2584">
              <w:rPr>
                <w:rFonts w:ascii="Times New Roman" w:eastAsia="Times New Roman" w:hAnsi="Times New Roman" w:cs="Times New Roman"/>
                <w:b/>
                <w:color w:val="000000"/>
                <w:sz w:val="18"/>
                <w:szCs w:val="18"/>
                <w:lang w:eastAsia="pl-PL"/>
              </w:rPr>
              <w:t>Nazwa docelowego schematu</w:t>
            </w:r>
            <w:r w:rsidRPr="000D2584">
              <w:rPr>
                <w:rFonts w:ascii="Times New Roman" w:eastAsia="Times New Roman" w:hAnsi="Times New Roman" w:cs="Times New Roman"/>
                <w:b/>
                <w:color w:val="000000"/>
                <w:sz w:val="18"/>
                <w:szCs w:val="18"/>
                <w:vertAlign w:val="superscript"/>
                <w:lang w:eastAsia="pl-PL"/>
              </w:rPr>
              <w:footnoteReference w:id="4"/>
            </w:r>
          </w:p>
        </w:tc>
        <w:tc>
          <w:tcPr>
            <w:tcW w:w="1418" w:type="dxa"/>
            <w:shd w:val="clear" w:color="auto" w:fill="D9D9D9"/>
            <w:vAlign w:val="center"/>
          </w:tcPr>
          <w:p w14:paraId="197A31F5" w14:textId="77777777" w:rsidR="007074DC" w:rsidRPr="000D2584" w:rsidRDefault="007074DC" w:rsidP="00E109C6">
            <w:pPr>
              <w:spacing w:after="0" w:line="240" w:lineRule="auto"/>
              <w:ind w:right="-52"/>
              <w:jc w:val="center"/>
              <w:rPr>
                <w:rFonts w:ascii="Times New Roman" w:eastAsia="Times New Roman" w:hAnsi="Times New Roman" w:cs="Times New Roman"/>
                <w:b/>
                <w:color w:val="000000"/>
                <w:sz w:val="18"/>
                <w:szCs w:val="18"/>
                <w:lang w:eastAsia="pl-PL"/>
              </w:rPr>
            </w:pPr>
            <w:r w:rsidRPr="000D2584">
              <w:rPr>
                <w:rFonts w:ascii="Times New Roman" w:eastAsia="Times New Roman" w:hAnsi="Times New Roman" w:cs="Times New Roman"/>
                <w:b/>
                <w:color w:val="000000"/>
                <w:sz w:val="18"/>
                <w:szCs w:val="18"/>
                <w:lang w:eastAsia="pl-PL"/>
              </w:rPr>
              <w:t>Id docelowej warstwy</w:t>
            </w:r>
          </w:p>
        </w:tc>
        <w:tc>
          <w:tcPr>
            <w:tcW w:w="1559" w:type="dxa"/>
            <w:shd w:val="clear" w:color="auto" w:fill="D9D9D9"/>
            <w:vAlign w:val="center"/>
          </w:tcPr>
          <w:p w14:paraId="7FDB49FC" w14:textId="77777777" w:rsidR="007074DC" w:rsidRPr="000D2584" w:rsidRDefault="007074DC" w:rsidP="00E109C6">
            <w:pPr>
              <w:spacing w:after="0" w:line="240" w:lineRule="auto"/>
              <w:ind w:right="-52"/>
              <w:jc w:val="center"/>
              <w:rPr>
                <w:rFonts w:ascii="Times New Roman" w:eastAsia="Times New Roman" w:hAnsi="Times New Roman" w:cs="Times New Roman"/>
                <w:b/>
                <w:color w:val="000000"/>
                <w:sz w:val="18"/>
                <w:szCs w:val="18"/>
                <w:lang w:eastAsia="pl-PL"/>
              </w:rPr>
            </w:pPr>
            <w:r>
              <w:rPr>
                <w:rFonts w:ascii="Times New Roman" w:eastAsia="Times New Roman" w:hAnsi="Times New Roman" w:cs="Times New Roman"/>
                <w:b/>
                <w:color w:val="000000"/>
                <w:sz w:val="18"/>
                <w:szCs w:val="18"/>
                <w:lang w:eastAsia="pl-PL"/>
              </w:rPr>
              <w:t>N</w:t>
            </w:r>
            <w:r w:rsidRPr="000D2584">
              <w:rPr>
                <w:rFonts w:ascii="Times New Roman" w:eastAsia="Times New Roman" w:hAnsi="Times New Roman" w:cs="Times New Roman"/>
                <w:b/>
                <w:color w:val="000000"/>
                <w:sz w:val="18"/>
                <w:szCs w:val="18"/>
                <w:lang w:eastAsia="pl-PL"/>
              </w:rPr>
              <w:t>azwa obiekt</w:t>
            </w:r>
            <w:r>
              <w:rPr>
                <w:rFonts w:ascii="Times New Roman" w:eastAsia="Times New Roman" w:hAnsi="Times New Roman" w:cs="Times New Roman"/>
                <w:b/>
                <w:color w:val="000000"/>
                <w:sz w:val="18"/>
                <w:szCs w:val="18"/>
                <w:lang w:eastAsia="pl-PL"/>
              </w:rPr>
              <w:t>u docelowego</w:t>
            </w:r>
          </w:p>
        </w:tc>
        <w:tc>
          <w:tcPr>
            <w:tcW w:w="1134" w:type="dxa"/>
            <w:shd w:val="clear" w:color="auto" w:fill="D9D9D9"/>
            <w:vAlign w:val="center"/>
          </w:tcPr>
          <w:p w14:paraId="1AB23B6A" w14:textId="77777777" w:rsidR="007074DC" w:rsidRPr="000D2584" w:rsidRDefault="007074DC" w:rsidP="00E109C6">
            <w:pPr>
              <w:spacing w:after="0" w:line="240" w:lineRule="auto"/>
              <w:ind w:right="-52"/>
              <w:jc w:val="center"/>
              <w:rPr>
                <w:rFonts w:ascii="Times New Roman" w:eastAsia="Times New Roman" w:hAnsi="Times New Roman" w:cs="Times New Roman"/>
                <w:b/>
                <w:color w:val="000000"/>
                <w:sz w:val="18"/>
                <w:szCs w:val="18"/>
                <w:lang w:eastAsia="pl-PL"/>
              </w:rPr>
            </w:pPr>
            <w:r w:rsidRPr="000D2584">
              <w:rPr>
                <w:rFonts w:ascii="Times New Roman" w:eastAsia="Times New Roman" w:hAnsi="Times New Roman" w:cs="Times New Roman"/>
                <w:b/>
                <w:color w:val="000000"/>
                <w:sz w:val="18"/>
                <w:szCs w:val="18"/>
                <w:lang w:eastAsia="pl-PL"/>
              </w:rPr>
              <w:t>Uwagi</w:t>
            </w:r>
            <w:r w:rsidRPr="000D2584">
              <w:rPr>
                <w:rFonts w:ascii="Times New Roman" w:eastAsia="Times New Roman" w:hAnsi="Times New Roman" w:cs="Times New Roman"/>
                <w:b/>
                <w:color w:val="000000"/>
                <w:sz w:val="18"/>
                <w:szCs w:val="18"/>
                <w:vertAlign w:val="superscript"/>
                <w:lang w:eastAsia="pl-PL"/>
              </w:rPr>
              <w:footnoteReference w:id="5"/>
            </w:r>
          </w:p>
        </w:tc>
      </w:tr>
      <w:tr w:rsidR="007074DC" w:rsidRPr="000D2584" w14:paraId="5EFF0AB5" w14:textId="77777777" w:rsidTr="00E109C6">
        <w:trPr>
          <w:trHeight w:val="67"/>
          <w:tblHeader/>
        </w:trPr>
        <w:tc>
          <w:tcPr>
            <w:tcW w:w="366" w:type="dxa"/>
            <w:shd w:val="clear" w:color="auto" w:fill="D9D9D9"/>
            <w:noWrap/>
            <w:vAlign w:val="center"/>
          </w:tcPr>
          <w:p w14:paraId="45D2AAF5" w14:textId="77777777" w:rsidR="007074DC" w:rsidRPr="000D2584" w:rsidRDefault="007074DC" w:rsidP="00E109C6">
            <w:pPr>
              <w:spacing w:after="0" w:line="240" w:lineRule="auto"/>
              <w:ind w:right="-52"/>
              <w:jc w:val="center"/>
              <w:rPr>
                <w:rFonts w:ascii="Times New Roman" w:eastAsia="Times New Roman" w:hAnsi="Times New Roman" w:cs="Times New Roman"/>
                <w:color w:val="000000"/>
                <w:sz w:val="18"/>
                <w:szCs w:val="18"/>
                <w:lang w:eastAsia="pl-PL"/>
              </w:rPr>
            </w:pPr>
            <w:r w:rsidRPr="000D2584">
              <w:rPr>
                <w:rFonts w:ascii="Times New Roman" w:eastAsia="Times New Roman" w:hAnsi="Times New Roman" w:cs="Times New Roman"/>
                <w:color w:val="000000"/>
                <w:sz w:val="18"/>
                <w:szCs w:val="18"/>
                <w:lang w:eastAsia="pl-PL"/>
              </w:rPr>
              <w:t>1</w:t>
            </w:r>
          </w:p>
        </w:tc>
        <w:tc>
          <w:tcPr>
            <w:tcW w:w="992" w:type="dxa"/>
            <w:shd w:val="clear" w:color="auto" w:fill="D9D9D9"/>
            <w:noWrap/>
            <w:vAlign w:val="center"/>
          </w:tcPr>
          <w:p w14:paraId="3DF54D26" w14:textId="77777777" w:rsidR="007074DC" w:rsidRPr="000D2584" w:rsidRDefault="007074DC" w:rsidP="00E109C6">
            <w:pPr>
              <w:spacing w:after="0" w:line="240" w:lineRule="auto"/>
              <w:ind w:right="-52"/>
              <w:jc w:val="center"/>
              <w:rPr>
                <w:rFonts w:ascii="Times New Roman" w:eastAsia="Times New Roman" w:hAnsi="Times New Roman" w:cs="Times New Roman"/>
                <w:color w:val="000000"/>
                <w:sz w:val="18"/>
                <w:szCs w:val="18"/>
                <w:lang w:eastAsia="pl-PL"/>
              </w:rPr>
            </w:pPr>
            <w:r w:rsidRPr="000D2584">
              <w:rPr>
                <w:rFonts w:ascii="Times New Roman" w:eastAsia="Times New Roman" w:hAnsi="Times New Roman" w:cs="Times New Roman"/>
                <w:color w:val="000000"/>
                <w:sz w:val="18"/>
                <w:szCs w:val="18"/>
                <w:lang w:eastAsia="pl-PL"/>
              </w:rPr>
              <w:t>2</w:t>
            </w:r>
          </w:p>
        </w:tc>
        <w:tc>
          <w:tcPr>
            <w:tcW w:w="1276" w:type="dxa"/>
            <w:shd w:val="clear" w:color="auto" w:fill="D9D9D9"/>
            <w:vAlign w:val="center"/>
          </w:tcPr>
          <w:p w14:paraId="069D83F9" w14:textId="77777777" w:rsidR="007074DC" w:rsidRPr="000D2584" w:rsidRDefault="007074DC" w:rsidP="00E109C6">
            <w:pPr>
              <w:spacing w:after="0" w:line="240" w:lineRule="auto"/>
              <w:ind w:right="-52"/>
              <w:jc w:val="center"/>
              <w:rPr>
                <w:rFonts w:ascii="Times New Roman" w:eastAsia="Times New Roman" w:hAnsi="Times New Roman" w:cs="Times New Roman"/>
                <w:color w:val="000000"/>
                <w:sz w:val="18"/>
                <w:szCs w:val="18"/>
                <w:lang w:eastAsia="pl-PL"/>
              </w:rPr>
            </w:pPr>
            <w:r w:rsidRPr="000D2584">
              <w:rPr>
                <w:rFonts w:ascii="Times New Roman" w:eastAsia="Times New Roman" w:hAnsi="Times New Roman" w:cs="Times New Roman"/>
                <w:color w:val="000000"/>
                <w:sz w:val="18"/>
                <w:szCs w:val="18"/>
                <w:lang w:eastAsia="pl-PL"/>
              </w:rPr>
              <w:t>3</w:t>
            </w:r>
          </w:p>
        </w:tc>
        <w:tc>
          <w:tcPr>
            <w:tcW w:w="1275" w:type="dxa"/>
            <w:shd w:val="clear" w:color="auto" w:fill="D9D9D9"/>
            <w:noWrap/>
            <w:vAlign w:val="center"/>
          </w:tcPr>
          <w:p w14:paraId="63DCA0C6" w14:textId="77777777" w:rsidR="007074DC" w:rsidRPr="000D2584" w:rsidRDefault="007074DC" w:rsidP="00E109C6">
            <w:pPr>
              <w:spacing w:after="0" w:line="240" w:lineRule="auto"/>
              <w:ind w:right="-52"/>
              <w:jc w:val="center"/>
              <w:rPr>
                <w:rFonts w:ascii="Times New Roman" w:eastAsia="Times New Roman" w:hAnsi="Times New Roman" w:cs="Times New Roman"/>
                <w:color w:val="000000"/>
                <w:sz w:val="18"/>
                <w:szCs w:val="18"/>
                <w:lang w:eastAsia="pl-PL"/>
              </w:rPr>
            </w:pPr>
            <w:r w:rsidRPr="000D2584">
              <w:rPr>
                <w:rFonts w:ascii="Times New Roman" w:eastAsia="Times New Roman" w:hAnsi="Times New Roman" w:cs="Times New Roman"/>
                <w:color w:val="000000"/>
                <w:sz w:val="18"/>
                <w:szCs w:val="18"/>
                <w:lang w:eastAsia="pl-PL"/>
              </w:rPr>
              <w:t>4</w:t>
            </w:r>
          </w:p>
        </w:tc>
        <w:tc>
          <w:tcPr>
            <w:tcW w:w="1701" w:type="dxa"/>
            <w:shd w:val="clear" w:color="auto" w:fill="D9D9D9"/>
            <w:vAlign w:val="center"/>
          </w:tcPr>
          <w:p w14:paraId="2210CA69" w14:textId="77777777" w:rsidR="007074DC" w:rsidRPr="000D2584" w:rsidRDefault="007074DC" w:rsidP="00E109C6">
            <w:pPr>
              <w:spacing w:after="0" w:line="240" w:lineRule="auto"/>
              <w:ind w:right="-52"/>
              <w:jc w:val="center"/>
              <w:rPr>
                <w:rFonts w:ascii="Times New Roman" w:eastAsia="Times New Roman" w:hAnsi="Times New Roman" w:cs="Times New Roman"/>
                <w:color w:val="000000"/>
                <w:sz w:val="18"/>
                <w:szCs w:val="18"/>
                <w:lang w:eastAsia="pl-PL"/>
              </w:rPr>
            </w:pPr>
            <w:r w:rsidRPr="000D2584">
              <w:rPr>
                <w:rFonts w:ascii="Times New Roman" w:eastAsia="Times New Roman" w:hAnsi="Times New Roman" w:cs="Times New Roman"/>
                <w:color w:val="000000"/>
                <w:sz w:val="18"/>
                <w:szCs w:val="18"/>
                <w:lang w:eastAsia="pl-PL"/>
              </w:rPr>
              <w:t>5</w:t>
            </w:r>
          </w:p>
        </w:tc>
        <w:tc>
          <w:tcPr>
            <w:tcW w:w="1418" w:type="dxa"/>
            <w:shd w:val="clear" w:color="auto" w:fill="D9D9D9"/>
          </w:tcPr>
          <w:p w14:paraId="7931E8FF" w14:textId="77777777" w:rsidR="007074DC" w:rsidRPr="000D2584" w:rsidRDefault="007074DC" w:rsidP="00E109C6">
            <w:pPr>
              <w:spacing w:after="0" w:line="240" w:lineRule="auto"/>
              <w:ind w:right="-52"/>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6</w:t>
            </w:r>
          </w:p>
        </w:tc>
        <w:tc>
          <w:tcPr>
            <w:tcW w:w="1559" w:type="dxa"/>
            <w:shd w:val="clear" w:color="auto" w:fill="D9D9D9"/>
            <w:noWrap/>
            <w:vAlign w:val="center"/>
          </w:tcPr>
          <w:p w14:paraId="0AC46A16" w14:textId="77777777" w:rsidR="007074DC" w:rsidRPr="000D2584" w:rsidRDefault="007074DC" w:rsidP="00E109C6">
            <w:pPr>
              <w:spacing w:after="0" w:line="240" w:lineRule="auto"/>
              <w:ind w:right="-52"/>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7</w:t>
            </w:r>
          </w:p>
        </w:tc>
        <w:tc>
          <w:tcPr>
            <w:tcW w:w="1134" w:type="dxa"/>
            <w:shd w:val="clear" w:color="auto" w:fill="D9D9D9"/>
            <w:noWrap/>
            <w:vAlign w:val="center"/>
          </w:tcPr>
          <w:p w14:paraId="2C2693C1" w14:textId="77777777" w:rsidR="007074DC" w:rsidRPr="000D2584" w:rsidRDefault="007074DC" w:rsidP="00E109C6">
            <w:pPr>
              <w:spacing w:after="0" w:line="240" w:lineRule="auto"/>
              <w:ind w:right="-52"/>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8</w:t>
            </w:r>
          </w:p>
        </w:tc>
      </w:tr>
      <w:tr w:rsidR="007074DC" w:rsidRPr="000D2584" w14:paraId="7B16DCA5" w14:textId="77777777" w:rsidTr="00E109C6">
        <w:trPr>
          <w:trHeight w:val="284"/>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794AB969" w14:textId="77777777" w:rsidR="007074DC" w:rsidRPr="000D2584" w:rsidRDefault="007074DC" w:rsidP="00E109C6">
            <w:pPr>
              <w:numPr>
                <w:ilvl w:val="0"/>
                <w:numId w:val="14"/>
              </w:numPr>
              <w:shd w:val="clear" w:color="auto" w:fill="FFFFFF"/>
              <w:suppressAutoHyphens/>
              <w:spacing w:beforeLines="20" w:before="48" w:afterLines="20" w:after="48" w:line="240" w:lineRule="auto"/>
              <w:ind w:left="290" w:hanging="142"/>
              <w:contextualSpacing/>
              <w:jc w:val="center"/>
              <w:rPr>
                <w:rFonts w:ascii="Times New Roman" w:eastAsia="Times New Roman" w:hAnsi="Times New Roman" w:cs="Times New Roman"/>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B7F46B"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88FB4"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1DB644"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E652A6"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59FDA58F"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C55782"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BAFA09"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b/>
                <w:bCs/>
                <w:sz w:val="16"/>
                <w:szCs w:val="16"/>
                <w:lang w:eastAsia="pl-PL"/>
              </w:rPr>
            </w:pPr>
          </w:p>
        </w:tc>
      </w:tr>
      <w:tr w:rsidR="007074DC" w:rsidRPr="000D2584" w14:paraId="2F147C79" w14:textId="77777777" w:rsidTr="00E109C6">
        <w:trPr>
          <w:trHeight w:val="284"/>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371B9AAE" w14:textId="77777777" w:rsidR="007074DC" w:rsidRPr="000D2584" w:rsidRDefault="007074DC" w:rsidP="00E109C6">
            <w:pPr>
              <w:numPr>
                <w:ilvl w:val="0"/>
                <w:numId w:val="14"/>
              </w:numPr>
              <w:shd w:val="clear" w:color="auto" w:fill="FFFFFF"/>
              <w:suppressAutoHyphens/>
              <w:spacing w:beforeLines="20" w:before="48" w:afterLines="20" w:after="48" w:line="240" w:lineRule="auto"/>
              <w:ind w:left="290" w:hanging="142"/>
              <w:contextualSpacing/>
              <w:jc w:val="center"/>
              <w:rPr>
                <w:rFonts w:ascii="Times New Roman" w:eastAsia="Times New Roman" w:hAnsi="Times New Roman" w:cs="Times New Roman"/>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09DF0D"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BEC765"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F44715"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57BEDB"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4A41A350" w14:textId="77777777" w:rsidR="007074DC" w:rsidRPr="000D2584" w:rsidRDefault="007074DC" w:rsidP="00E109C6">
            <w:pPr>
              <w:suppressAutoHyphens/>
              <w:spacing w:beforeLines="20" w:before="48" w:afterLines="20" w:after="48" w:line="240" w:lineRule="auto"/>
              <w:contextualSpacing/>
              <w:jc w:val="center"/>
              <w:rPr>
                <w:rFonts w:ascii="Times New Roman" w:eastAsia="Times New Roman" w:hAnsi="Times New Roman" w:cs="Times New Roman"/>
                <w:sz w:val="16"/>
                <w:szCs w:val="16"/>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23000A" w14:textId="77777777" w:rsidR="007074DC" w:rsidRPr="000D2584" w:rsidRDefault="007074DC" w:rsidP="00E109C6">
            <w:pPr>
              <w:suppressAutoHyphens/>
              <w:spacing w:beforeLines="20" w:before="48" w:afterLines="20" w:after="48" w:line="240" w:lineRule="auto"/>
              <w:contextualSpacing/>
              <w:jc w:val="center"/>
              <w:rPr>
                <w:rFonts w:ascii="Times New Roman" w:eastAsia="Times New Roman" w:hAnsi="Times New Roman" w:cs="Times New Roman"/>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C56085"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b/>
                <w:bCs/>
                <w:color w:val="1F3864"/>
                <w:sz w:val="16"/>
                <w:szCs w:val="16"/>
                <w:lang w:eastAsia="pl-PL"/>
              </w:rPr>
            </w:pPr>
          </w:p>
        </w:tc>
      </w:tr>
      <w:tr w:rsidR="007074DC" w:rsidRPr="000D2584" w14:paraId="099156AA" w14:textId="77777777" w:rsidTr="00E109C6">
        <w:trPr>
          <w:trHeight w:val="284"/>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3FF8039A" w14:textId="77777777" w:rsidR="007074DC" w:rsidRPr="000D2584" w:rsidRDefault="007074DC" w:rsidP="00E109C6">
            <w:pPr>
              <w:numPr>
                <w:ilvl w:val="0"/>
                <w:numId w:val="14"/>
              </w:numPr>
              <w:shd w:val="clear" w:color="auto" w:fill="FFFFFF"/>
              <w:suppressAutoHyphens/>
              <w:spacing w:beforeLines="20" w:before="48" w:afterLines="20" w:after="48" w:line="240" w:lineRule="auto"/>
              <w:ind w:left="290" w:hanging="142"/>
              <w:contextualSpacing/>
              <w:jc w:val="center"/>
              <w:rPr>
                <w:rFonts w:ascii="Times New Roman" w:eastAsia="Times New Roman" w:hAnsi="Times New Roman" w:cs="Times New Roman"/>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AF0187"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DA5A47"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C64583"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6585C3"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35C95525" w14:textId="77777777" w:rsidR="007074DC" w:rsidRPr="000D2584" w:rsidRDefault="007074DC" w:rsidP="00E109C6">
            <w:pPr>
              <w:suppressAutoHyphens/>
              <w:spacing w:beforeLines="20" w:before="48" w:afterLines="20" w:after="48" w:line="240" w:lineRule="auto"/>
              <w:contextualSpacing/>
              <w:jc w:val="center"/>
              <w:rPr>
                <w:rFonts w:ascii="Times New Roman" w:eastAsia="Times New Roman" w:hAnsi="Times New Roman" w:cs="Times New Roman"/>
                <w:sz w:val="16"/>
                <w:szCs w:val="16"/>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D434FA" w14:textId="77777777" w:rsidR="007074DC" w:rsidRPr="000D2584" w:rsidRDefault="007074DC" w:rsidP="00E109C6">
            <w:pPr>
              <w:suppressAutoHyphens/>
              <w:spacing w:beforeLines="20" w:before="48" w:afterLines="20" w:after="48" w:line="240" w:lineRule="auto"/>
              <w:contextualSpacing/>
              <w:jc w:val="center"/>
              <w:rPr>
                <w:rFonts w:ascii="Times New Roman" w:eastAsia="Times New Roman" w:hAnsi="Times New Roman" w:cs="Times New Roman"/>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0107B3"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b/>
                <w:bCs/>
                <w:color w:val="1F3864"/>
                <w:sz w:val="16"/>
                <w:szCs w:val="16"/>
                <w:lang w:eastAsia="pl-PL"/>
              </w:rPr>
            </w:pPr>
          </w:p>
        </w:tc>
      </w:tr>
      <w:tr w:rsidR="007074DC" w:rsidRPr="000D2584" w14:paraId="6D6452D8" w14:textId="77777777" w:rsidTr="00E109C6">
        <w:trPr>
          <w:trHeight w:val="284"/>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27B67C52" w14:textId="77777777" w:rsidR="007074DC" w:rsidRPr="000D2584" w:rsidRDefault="007074DC" w:rsidP="00E109C6">
            <w:pPr>
              <w:numPr>
                <w:ilvl w:val="0"/>
                <w:numId w:val="14"/>
              </w:numPr>
              <w:shd w:val="clear" w:color="auto" w:fill="FFFFFF"/>
              <w:suppressAutoHyphens/>
              <w:spacing w:beforeLines="20" w:before="48" w:afterLines="20" w:after="48" w:line="240" w:lineRule="auto"/>
              <w:ind w:left="290" w:hanging="142"/>
              <w:contextualSpacing/>
              <w:jc w:val="center"/>
              <w:rPr>
                <w:rFonts w:ascii="Times New Roman" w:eastAsia="Times New Roman" w:hAnsi="Times New Roman" w:cs="Times New Roman"/>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CC10FC"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45A0F"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EFA201"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26CECF"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31D8E239" w14:textId="77777777" w:rsidR="007074DC" w:rsidRPr="000D2584" w:rsidRDefault="007074DC" w:rsidP="00E109C6">
            <w:pPr>
              <w:suppressAutoHyphens/>
              <w:spacing w:beforeLines="20" w:before="48" w:afterLines="20" w:after="48" w:line="240" w:lineRule="auto"/>
              <w:contextualSpacing/>
              <w:jc w:val="center"/>
              <w:rPr>
                <w:rFonts w:ascii="Times New Roman" w:eastAsia="Times New Roman" w:hAnsi="Times New Roman" w:cs="Times New Roman"/>
                <w:sz w:val="16"/>
                <w:szCs w:val="16"/>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6B6478" w14:textId="77777777" w:rsidR="007074DC" w:rsidRPr="000D2584" w:rsidRDefault="007074DC" w:rsidP="00E109C6">
            <w:pPr>
              <w:suppressAutoHyphens/>
              <w:spacing w:beforeLines="20" w:before="48" w:afterLines="20" w:after="48" w:line="240" w:lineRule="auto"/>
              <w:contextualSpacing/>
              <w:jc w:val="center"/>
              <w:rPr>
                <w:rFonts w:ascii="Times New Roman" w:eastAsia="Times New Roman" w:hAnsi="Times New Roman" w:cs="Times New Roman"/>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FA3F89" w14:textId="77777777" w:rsidR="007074DC" w:rsidRPr="000D2584" w:rsidRDefault="007074DC" w:rsidP="00E109C6">
            <w:pPr>
              <w:shd w:val="clear" w:color="auto" w:fill="FFFFFF"/>
              <w:spacing w:beforeLines="20" w:before="48" w:afterLines="20" w:after="48" w:line="240" w:lineRule="auto"/>
              <w:contextualSpacing/>
              <w:jc w:val="center"/>
              <w:rPr>
                <w:rFonts w:ascii="Times New Roman" w:eastAsia="Times New Roman" w:hAnsi="Times New Roman" w:cs="Times New Roman"/>
                <w:b/>
                <w:bCs/>
                <w:color w:val="1F3864"/>
                <w:sz w:val="16"/>
                <w:szCs w:val="16"/>
                <w:lang w:eastAsia="pl-PL"/>
              </w:rPr>
            </w:pPr>
          </w:p>
        </w:tc>
      </w:tr>
    </w:tbl>
    <w:p w14:paraId="71B43B2C" w14:textId="77777777" w:rsidR="007074DC" w:rsidRPr="001B6039" w:rsidRDefault="007074DC" w:rsidP="001B6039">
      <w:pPr>
        <w:spacing w:line="360" w:lineRule="auto"/>
        <w:jc w:val="both"/>
        <w:rPr>
          <w:rFonts w:ascii="Bookman Old Style" w:hAnsi="Bookman Old Style"/>
        </w:rPr>
      </w:pPr>
    </w:p>
    <w:sectPr w:rsidR="007074DC" w:rsidRPr="001B6039" w:rsidSect="001D6B62">
      <w:footerReference w:type="default" r:id="rId11"/>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638C" w14:textId="77777777" w:rsidR="001D6B62" w:rsidRDefault="001D6B62" w:rsidP="00CC5D51">
      <w:pPr>
        <w:spacing w:after="0" w:line="240" w:lineRule="auto"/>
      </w:pPr>
      <w:r>
        <w:separator/>
      </w:r>
    </w:p>
  </w:endnote>
  <w:endnote w:type="continuationSeparator" w:id="0">
    <w:p w14:paraId="6A0CD197" w14:textId="77777777" w:rsidR="001D6B62" w:rsidRDefault="001D6B62" w:rsidP="00CC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713573"/>
      <w:docPartObj>
        <w:docPartGallery w:val="Page Numbers (Bottom of Page)"/>
        <w:docPartUnique/>
      </w:docPartObj>
    </w:sdtPr>
    <w:sdtContent>
      <w:p w14:paraId="7810BC76" w14:textId="64FC8BDB" w:rsidR="00CC5D51" w:rsidRDefault="00CC5D51">
        <w:pPr>
          <w:pStyle w:val="Stopka"/>
          <w:jc w:val="center"/>
        </w:pPr>
        <w:r w:rsidRPr="002153DA">
          <w:rPr>
            <w:rFonts w:ascii="Times New Roman" w:hAnsi="Times New Roman" w:cs="Times New Roman"/>
            <w:sz w:val="20"/>
            <w:szCs w:val="20"/>
          </w:rPr>
          <w:fldChar w:fldCharType="begin"/>
        </w:r>
        <w:r w:rsidRPr="002153DA">
          <w:rPr>
            <w:rFonts w:ascii="Times New Roman" w:hAnsi="Times New Roman" w:cs="Times New Roman"/>
            <w:sz w:val="20"/>
            <w:szCs w:val="20"/>
          </w:rPr>
          <w:instrText>PAGE   \* MERGEFORMAT</w:instrText>
        </w:r>
        <w:r w:rsidRPr="002153DA">
          <w:rPr>
            <w:rFonts w:ascii="Times New Roman" w:hAnsi="Times New Roman" w:cs="Times New Roman"/>
            <w:sz w:val="20"/>
            <w:szCs w:val="20"/>
          </w:rPr>
          <w:fldChar w:fldCharType="separate"/>
        </w:r>
        <w:r w:rsidRPr="002153DA">
          <w:rPr>
            <w:rFonts w:ascii="Times New Roman" w:hAnsi="Times New Roman" w:cs="Times New Roman"/>
            <w:sz w:val="20"/>
            <w:szCs w:val="20"/>
          </w:rPr>
          <w:t>2</w:t>
        </w:r>
        <w:r w:rsidRPr="002153DA">
          <w:rPr>
            <w:rFonts w:ascii="Times New Roman" w:hAnsi="Times New Roman" w:cs="Times New Roman"/>
            <w:sz w:val="20"/>
            <w:szCs w:val="20"/>
          </w:rPr>
          <w:fldChar w:fldCharType="end"/>
        </w:r>
      </w:p>
    </w:sdtContent>
  </w:sdt>
  <w:p w14:paraId="46CD1098" w14:textId="77777777" w:rsidR="00CC5D51" w:rsidRDefault="00CC5D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4192" w14:textId="77777777" w:rsidR="001D6B62" w:rsidRDefault="001D6B62" w:rsidP="00CC5D51">
      <w:pPr>
        <w:spacing w:after="0" w:line="240" w:lineRule="auto"/>
      </w:pPr>
      <w:r>
        <w:separator/>
      </w:r>
    </w:p>
  </w:footnote>
  <w:footnote w:type="continuationSeparator" w:id="0">
    <w:p w14:paraId="4F3B0A8B" w14:textId="77777777" w:rsidR="001D6B62" w:rsidRDefault="001D6B62" w:rsidP="00CC5D51">
      <w:pPr>
        <w:spacing w:after="0" w:line="240" w:lineRule="auto"/>
      </w:pPr>
      <w:r>
        <w:continuationSeparator/>
      </w:r>
    </w:p>
  </w:footnote>
  <w:footnote w:id="1">
    <w:p w14:paraId="3CCB0DD9" w14:textId="77777777" w:rsidR="007074DC" w:rsidRPr="008E5A76" w:rsidRDefault="007074DC" w:rsidP="007074DC">
      <w:pPr>
        <w:pStyle w:val="Tekstprzypisudolnego"/>
        <w:jc w:val="both"/>
        <w:rPr>
          <w:rFonts w:cs="Times New Roman"/>
          <w:sz w:val="16"/>
          <w:szCs w:val="16"/>
        </w:rPr>
      </w:pPr>
      <w:r w:rsidRPr="008E5A76">
        <w:rPr>
          <w:rStyle w:val="Odwoanieprzypisudolnego"/>
          <w:rFonts w:cs="Times New Roman"/>
          <w:sz w:val="18"/>
          <w:szCs w:val="18"/>
        </w:rPr>
        <w:footnoteRef/>
      </w:r>
      <w:r w:rsidRPr="008E5A76">
        <w:rPr>
          <w:rFonts w:cs="Times New Roman"/>
          <w:sz w:val="18"/>
          <w:szCs w:val="18"/>
        </w:rPr>
        <w:t xml:space="preserve"> </w:t>
      </w:r>
      <w:r w:rsidRPr="008E5A76">
        <w:rPr>
          <w:rFonts w:cs="Times New Roman"/>
          <w:sz w:val="16"/>
          <w:szCs w:val="16"/>
        </w:rPr>
        <w:t>Należy wpisać identyfikator dotychczasowej warstwy K1, G7 lub innego schematu zgodnie ze specyfikacją SIPZGiK.</w:t>
      </w:r>
    </w:p>
  </w:footnote>
  <w:footnote w:id="2">
    <w:p w14:paraId="54DF0E87" w14:textId="77777777" w:rsidR="007074DC" w:rsidRPr="008E5A76" w:rsidRDefault="007074DC" w:rsidP="007074DC">
      <w:pPr>
        <w:pStyle w:val="Tekstprzypisudolnego"/>
        <w:jc w:val="both"/>
        <w:rPr>
          <w:rFonts w:cs="Times New Roman"/>
          <w:sz w:val="16"/>
          <w:szCs w:val="16"/>
        </w:rPr>
      </w:pPr>
      <w:r w:rsidRPr="008E5A76">
        <w:rPr>
          <w:rStyle w:val="Odwoanieprzypisudolnego"/>
          <w:rFonts w:cs="Times New Roman"/>
          <w:sz w:val="18"/>
          <w:szCs w:val="18"/>
        </w:rPr>
        <w:footnoteRef/>
      </w:r>
      <w:r w:rsidRPr="008E5A76">
        <w:rPr>
          <w:rFonts w:cs="Times New Roman"/>
          <w:sz w:val="18"/>
          <w:szCs w:val="18"/>
        </w:rPr>
        <w:t xml:space="preserve"> </w:t>
      </w:r>
      <w:r w:rsidRPr="008E5A76">
        <w:rPr>
          <w:rFonts w:cs="Times New Roman"/>
          <w:sz w:val="16"/>
          <w:szCs w:val="16"/>
        </w:rPr>
        <w:t>Należy wpisać nazwę obiektu schematu K1, G7 lub innego schematu zgodnie ze specyfikacją SIPZGiK.</w:t>
      </w:r>
    </w:p>
  </w:footnote>
  <w:footnote w:id="3">
    <w:p w14:paraId="0C3D42F0" w14:textId="77777777" w:rsidR="007074DC" w:rsidRPr="008E5A76" w:rsidRDefault="007074DC" w:rsidP="007074DC">
      <w:pPr>
        <w:pStyle w:val="Tekstprzypisudolnego"/>
        <w:ind w:left="142" w:hanging="141"/>
        <w:jc w:val="both"/>
        <w:rPr>
          <w:rFonts w:cs="Times New Roman"/>
          <w:sz w:val="16"/>
          <w:szCs w:val="16"/>
        </w:rPr>
      </w:pPr>
      <w:r w:rsidRPr="008E5A76">
        <w:rPr>
          <w:rStyle w:val="Odwoanieprzypisudolnego"/>
          <w:rFonts w:cs="Times New Roman"/>
          <w:sz w:val="18"/>
          <w:szCs w:val="18"/>
        </w:rPr>
        <w:footnoteRef/>
      </w:r>
      <w:r w:rsidRPr="008E5A76">
        <w:rPr>
          <w:rFonts w:cs="Times New Roman"/>
          <w:sz w:val="16"/>
          <w:szCs w:val="16"/>
        </w:rPr>
        <w:t xml:space="preserve"> Należy wpisać propozycję działania spośród: (1) pozostawienie obiektu na dotychczasowej warstwie w schemacie K1, (2) przeniesienie obiektu na inną wybraną warstwę w schemacie K1, (3) przekształcenie obiektu na wybraną klasę obiektów w </w:t>
      </w:r>
      <w:r>
        <w:rPr>
          <w:rFonts w:cs="Times New Roman"/>
          <w:sz w:val="16"/>
          <w:szCs w:val="16"/>
        </w:rPr>
        <w:t>starym</w:t>
      </w:r>
      <w:r w:rsidRPr="008E5A76">
        <w:rPr>
          <w:rFonts w:cs="Times New Roman"/>
          <w:sz w:val="16"/>
          <w:szCs w:val="16"/>
        </w:rPr>
        <w:t xml:space="preserve"> </w:t>
      </w:r>
      <w:r>
        <w:rPr>
          <w:rFonts w:cs="Times New Roman"/>
          <w:sz w:val="16"/>
          <w:szCs w:val="16"/>
        </w:rPr>
        <w:t>PMD, (4) przekształcenie obiektu na wybraną klasę obiektów w aktualnym PMD</w:t>
      </w:r>
      <w:r w:rsidRPr="008E5A76">
        <w:rPr>
          <w:rFonts w:cs="Times New Roman"/>
          <w:sz w:val="16"/>
          <w:szCs w:val="16"/>
        </w:rPr>
        <w:t>, (</w:t>
      </w:r>
      <w:r>
        <w:rPr>
          <w:rFonts w:cs="Times New Roman"/>
          <w:sz w:val="16"/>
          <w:szCs w:val="16"/>
        </w:rPr>
        <w:t>5</w:t>
      </w:r>
      <w:r w:rsidRPr="008E5A76">
        <w:rPr>
          <w:rFonts w:cs="Times New Roman"/>
          <w:sz w:val="16"/>
          <w:szCs w:val="16"/>
        </w:rPr>
        <w:t>) archiwizacja obiektu w BDPZGiK.</w:t>
      </w:r>
    </w:p>
  </w:footnote>
  <w:footnote w:id="4">
    <w:p w14:paraId="253DA843" w14:textId="77777777" w:rsidR="007074DC" w:rsidRPr="008E5A76" w:rsidRDefault="007074DC" w:rsidP="007074DC">
      <w:pPr>
        <w:pStyle w:val="Tekstprzypisudolnego"/>
        <w:jc w:val="both"/>
        <w:rPr>
          <w:rFonts w:cs="Times New Roman"/>
          <w:sz w:val="16"/>
          <w:szCs w:val="16"/>
        </w:rPr>
      </w:pPr>
      <w:r w:rsidRPr="008E5A76">
        <w:rPr>
          <w:rStyle w:val="Odwoanieprzypisudolnego"/>
          <w:rFonts w:cs="Times New Roman"/>
          <w:sz w:val="18"/>
          <w:szCs w:val="18"/>
        </w:rPr>
        <w:footnoteRef/>
      </w:r>
      <w:r w:rsidRPr="008E5A76">
        <w:rPr>
          <w:rFonts w:cs="Times New Roman"/>
          <w:sz w:val="18"/>
          <w:szCs w:val="18"/>
        </w:rPr>
        <w:t xml:space="preserve"> </w:t>
      </w:r>
      <w:r w:rsidRPr="008E5A76">
        <w:rPr>
          <w:rFonts w:cs="Times New Roman"/>
          <w:sz w:val="16"/>
          <w:szCs w:val="16"/>
        </w:rPr>
        <w:t>Należy określić nazwę docelowego schematu spośród: (1) K1</w:t>
      </w:r>
      <w:r>
        <w:rPr>
          <w:rFonts w:cs="Times New Roman"/>
          <w:sz w:val="16"/>
          <w:szCs w:val="16"/>
        </w:rPr>
        <w:t>/G7</w:t>
      </w:r>
      <w:r w:rsidRPr="008E5A76">
        <w:rPr>
          <w:rFonts w:cs="Times New Roman"/>
          <w:sz w:val="16"/>
          <w:szCs w:val="16"/>
        </w:rPr>
        <w:t xml:space="preserve">, (2) </w:t>
      </w:r>
      <w:r>
        <w:rPr>
          <w:rFonts w:cs="Times New Roman"/>
          <w:sz w:val="16"/>
          <w:szCs w:val="16"/>
        </w:rPr>
        <w:t>GESUT</w:t>
      </w:r>
      <w:r w:rsidRPr="008E5A76">
        <w:rPr>
          <w:rFonts w:cs="Times New Roman"/>
          <w:sz w:val="16"/>
          <w:szCs w:val="16"/>
        </w:rPr>
        <w:t xml:space="preserve">, (3) BDOT500, (4) </w:t>
      </w:r>
      <w:r>
        <w:rPr>
          <w:rFonts w:cs="Times New Roman"/>
          <w:sz w:val="16"/>
          <w:szCs w:val="16"/>
        </w:rPr>
        <w:t>EGiB</w:t>
      </w:r>
      <w:r w:rsidRPr="008E5A76">
        <w:rPr>
          <w:rFonts w:cs="Times New Roman"/>
          <w:sz w:val="16"/>
          <w:szCs w:val="16"/>
        </w:rPr>
        <w:t>.</w:t>
      </w:r>
    </w:p>
  </w:footnote>
  <w:footnote w:id="5">
    <w:p w14:paraId="496CD939" w14:textId="77777777" w:rsidR="007074DC" w:rsidRPr="00801A20" w:rsidRDefault="007074DC" w:rsidP="007074DC">
      <w:pPr>
        <w:pStyle w:val="Tekstprzypisudolnego"/>
        <w:jc w:val="both"/>
        <w:rPr>
          <w:rFonts w:ascii="Calibri" w:hAnsi="Calibri" w:cs="Calibri"/>
          <w:sz w:val="18"/>
          <w:szCs w:val="18"/>
        </w:rPr>
      </w:pPr>
      <w:r w:rsidRPr="008E5A76">
        <w:rPr>
          <w:rStyle w:val="Odwoanieprzypisudolnego"/>
          <w:rFonts w:cs="Times New Roman"/>
          <w:sz w:val="18"/>
          <w:szCs w:val="18"/>
        </w:rPr>
        <w:footnoteRef/>
      </w:r>
      <w:r w:rsidRPr="008E5A76">
        <w:rPr>
          <w:rFonts w:cs="Times New Roman"/>
          <w:sz w:val="16"/>
          <w:szCs w:val="16"/>
        </w:rPr>
        <w:t xml:space="preserve"> Pole przeznaczone dla Zamawiającego</w:t>
      </w:r>
      <w:r>
        <w:rPr>
          <w:rFonts w:cs="Times New Roman"/>
          <w:sz w:val="16"/>
          <w:szCs w:val="16"/>
        </w:rPr>
        <w:t xml:space="preserve"> i ewentualnie podmiotu zewnętrznego powołanego do kontroli i inspekcji</w:t>
      </w:r>
      <w:r w:rsidRPr="008E5A76">
        <w:rPr>
          <w:rFonts w:cs="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407"/>
    <w:multiLevelType w:val="hybridMultilevel"/>
    <w:tmpl w:val="ED78ACE6"/>
    <w:lvl w:ilvl="0" w:tplc="A2AC49FE">
      <w:start w:val="1"/>
      <w:numFmt w:val="decimal"/>
      <w:pStyle w:val="inne2"/>
      <w:lvlText w:val="%1."/>
      <w:lvlJc w:val="left"/>
      <w:pPr>
        <w:ind w:left="502" w:hanging="360"/>
      </w:pPr>
      <w:rPr>
        <w:rFonts w:ascii="Bookman Old Style" w:eastAsia="SimSun" w:hAnsi="Bookman Old Style" w:cs="Times New Roman" w:hint="default"/>
        <w:color w:val="auto"/>
      </w:rPr>
    </w:lvl>
    <w:lvl w:ilvl="1" w:tplc="FFFFFFFF">
      <w:start w:val="1"/>
      <w:numFmt w:val="lowerLetter"/>
      <w:lvlText w:val="%2."/>
      <w:lvlJc w:val="left"/>
      <w:pPr>
        <w:ind w:left="1222" w:hanging="360"/>
      </w:pPr>
      <w:rPr>
        <w:rFonts w:ascii="Times New Roman" w:eastAsia="SimSun" w:hAnsi="Times New Roman" w:cs="Times New Roman"/>
      </w:rPr>
    </w:lvl>
    <w:lvl w:ilvl="2" w:tplc="FFFFFFFF">
      <w:start w:val="1"/>
      <w:numFmt w:val="lowerRoman"/>
      <w:lvlText w:val="%3."/>
      <w:lvlJc w:val="right"/>
      <w:pPr>
        <w:ind w:left="1942" w:hanging="180"/>
      </w:pPr>
      <w:rPr>
        <w:rFonts w:ascii="Times New Roman" w:eastAsia="SimSun" w:hAnsi="Times New Roman" w:cs="Times New Roman"/>
      </w:rPr>
    </w:lvl>
    <w:lvl w:ilvl="3" w:tplc="FFFFFFFF">
      <w:start w:val="1"/>
      <w:numFmt w:val="decimal"/>
      <w:lvlText w:val="%4."/>
      <w:lvlJc w:val="left"/>
      <w:pPr>
        <w:ind w:left="2662" w:hanging="360"/>
      </w:pPr>
      <w:rPr>
        <w:rFonts w:ascii="Times New Roman" w:eastAsia="SimSun" w:hAnsi="Times New Roman" w:cs="Times New Roman"/>
      </w:rPr>
    </w:lvl>
    <w:lvl w:ilvl="4" w:tplc="FFFFFFFF">
      <w:start w:val="1"/>
      <w:numFmt w:val="lowerLetter"/>
      <w:lvlText w:val="%5."/>
      <w:lvlJc w:val="left"/>
      <w:pPr>
        <w:ind w:left="3382" w:hanging="360"/>
      </w:pPr>
      <w:rPr>
        <w:rFonts w:ascii="Times New Roman" w:eastAsia="SimSun" w:hAnsi="Times New Roman" w:cs="Times New Roman"/>
      </w:rPr>
    </w:lvl>
    <w:lvl w:ilvl="5" w:tplc="FFFFFFFF">
      <w:start w:val="1"/>
      <w:numFmt w:val="lowerRoman"/>
      <w:lvlText w:val="%6."/>
      <w:lvlJc w:val="right"/>
      <w:pPr>
        <w:ind w:left="4102" w:hanging="180"/>
      </w:pPr>
      <w:rPr>
        <w:rFonts w:ascii="Times New Roman" w:eastAsia="SimSun" w:hAnsi="Times New Roman" w:cs="Times New Roman"/>
      </w:rPr>
    </w:lvl>
    <w:lvl w:ilvl="6" w:tplc="FFFFFFFF">
      <w:start w:val="1"/>
      <w:numFmt w:val="decimal"/>
      <w:lvlText w:val="%7."/>
      <w:lvlJc w:val="left"/>
      <w:pPr>
        <w:ind w:left="4822" w:hanging="360"/>
      </w:pPr>
      <w:rPr>
        <w:rFonts w:ascii="Times New Roman" w:eastAsia="SimSun" w:hAnsi="Times New Roman" w:cs="Times New Roman"/>
      </w:rPr>
    </w:lvl>
    <w:lvl w:ilvl="7" w:tplc="FFFFFFFF">
      <w:start w:val="1"/>
      <w:numFmt w:val="lowerLetter"/>
      <w:lvlText w:val="%8."/>
      <w:lvlJc w:val="left"/>
      <w:pPr>
        <w:ind w:left="5542" w:hanging="360"/>
      </w:pPr>
      <w:rPr>
        <w:rFonts w:ascii="Times New Roman" w:eastAsia="SimSun" w:hAnsi="Times New Roman" w:cs="Times New Roman"/>
      </w:rPr>
    </w:lvl>
    <w:lvl w:ilvl="8" w:tplc="FFFFFFFF">
      <w:start w:val="1"/>
      <w:numFmt w:val="lowerRoman"/>
      <w:lvlText w:val="%9."/>
      <w:lvlJc w:val="right"/>
      <w:pPr>
        <w:ind w:left="6262" w:hanging="180"/>
      </w:pPr>
      <w:rPr>
        <w:rFonts w:ascii="Times New Roman" w:eastAsia="SimSun" w:hAnsi="Times New Roman" w:cs="Times New Roman"/>
      </w:rPr>
    </w:lvl>
  </w:abstractNum>
  <w:abstractNum w:abstractNumId="1" w15:restartNumberingAfterBreak="0">
    <w:nsid w:val="0F3B7C18"/>
    <w:multiLevelType w:val="hybridMultilevel"/>
    <w:tmpl w:val="E2D48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666B4"/>
    <w:multiLevelType w:val="hybridMultilevel"/>
    <w:tmpl w:val="85A8F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C2616F"/>
    <w:multiLevelType w:val="hybridMultilevel"/>
    <w:tmpl w:val="43DE0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116D29"/>
    <w:multiLevelType w:val="hybridMultilevel"/>
    <w:tmpl w:val="3BC2CC92"/>
    <w:lvl w:ilvl="0" w:tplc="5F1C2F8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DE765A"/>
    <w:multiLevelType w:val="hybridMultilevel"/>
    <w:tmpl w:val="24683690"/>
    <w:lvl w:ilvl="0" w:tplc="5150C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661541"/>
    <w:multiLevelType w:val="hybridMultilevel"/>
    <w:tmpl w:val="7BB6609E"/>
    <w:lvl w:ilvl="0" w:tplc="7278D2B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E675F3"/>
    <w:multiLevelType w:val="hybridMultilevel"/>
    <w:tmpl w:val="A6B628F8"/>
    <w:lvl w:ilvl="0" w:tplc="4E1E3846">
      <w:start w:val="1"/>
      <w:numFmt w:val="lowerLetter"/>
      <w:pStyle w:val="inne4"/>
      <w:lvlText w:val="%1."/>
      <w:lvlJc w:val="left"/>
      <w:pPr>
        <w:ind w:left="1429" w:hanging="360"/>
      </w:pPr>
      <w:rPr>
        <w:rFonts w:hint="default"/>
        <w:lang w:val="pl-PL"/>
      </w:rPr>
    </w:lvl>
    <w:lvl w:ilvl="1" w:tplc="04150019">
      <w:start w:val="1"/>
      <w:numFmt w:val="bullet"/>
      <w:pStyle w:val="inne5"/>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8" w15:restartNumberingAfterBreak="0">
    <w:nsid w:val="36A11006"/>
    <w:multiLevelType w:val="hybridMultilevel"/>
    <w:tmpl w:val="C554B5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1C323C"/>
    <w:multiLevelType w:val="hybridMultilevel"/>
    <w:tmpl w:val="B76C4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B4802"/>
    <w:multiLevelType w:val="hybridMultilevel"/>
    <w:tmpl w:val="B05EB13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0C3E38"/>
    <w:multiLevelType w:val="hybridMultilevel"/>
    <w:tmpl w:val="5C640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7560BA"/>
    <w:multiLevelType w:val="hybridMultilevel"/>
    <w:tmpl w:val="1DCEA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F651B"/>
    <w:multiLevelType w:val="hybridMultilevel"/>
    <w:tmpl w:val="79542A98"/>
    <w:lvl w:ilvl="0" w:tplc="CDC45E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567516"/>
    <w:multiLevelType w:val="multilevel"/>
    <w:tmpl w:val="BA08639E"/>
    <w:lvl w:ilvl="0">
      <w:start w:val="1"/>
      <w:numFmt w:val="upperRoman"/>
      <w:pStyle w:val="inne1"/>
      <w:lvlText w:val="%1."/>
      <w:lvlJc w:val="left"/>
      <w:pPr>
        <w:tabs>
          <w:tab w:val="num" w:pos="4537"/>
        </w:tabs>
        <w:ind w:left="4897" w:hanging="360"/>
      </w:pPr>
      <w:rPr>
        <w:rFonts w:ascii="Times New Roman" w:eastAsia="SimSun" w:hAnsi="Times New Roman" w:cs="Times New Roman" w:hint="default"/>
        <w:b/>
        <w:bCs/>
        <w:i w:val="0"/>
        <w:color w:val="auto"/>
        <w:sz w:val="24"/>
        <w:szCs w:val="24"/>
        <w:lang w:val="pl-PL"/>
      </w:rPr>
    </w:lvl>
    <w:lvl w:ilvl="1">
      <w:start w:val="1"/>
      <w:numFmt w:val="decimal"/>
      <w:lvlText w:val="%2)"/>
      <w:lvlJc w:val="left"/>
      <w:pPr>
        <w:ind w:left="1070" w:hanging="360"/>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496318C1"/>
    <w:multiLevelType w:val="hybridMultilevel"/>
    <w:tmpl w:val="7284BC12"/>
    <w:lvl w:ilvl="0" w:tplc="04150011">
      <w:start w:val="1"/>
      <w:numFmt w:val="decimal"/>
      <w:lvlText w:val="%1)"/>
      <w:lvlJc w:val="left"/>
      <w:pPr>
        <w:ind w:left="720" w:hanging="360"/>
      </w:pPr>
    </w:lvl>
    <w:lvl w:ilvl="1" w:tplc="6E5662AE">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F433CB"/>
    <w:multiLevelType w:val="hybridMultilevel"/>
    <w:tmpl w:val="43DCB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2C27CD"/>
    <w:multiLevelType w:val="hybridMultilevel"/>
    <w:tmpl w:val="3300E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1505F8"/>
    <w:multiLevelType w:val="hybridMultilevel"/>
    <w:tmpl w:val="10143F2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383CE8"/>
    <w:multiLevelType w:val="hybridMultilevel"/>
    <w:tmpl w:val="D79C1F8E"/>
    <w:lvl w:ilvl="0" w:tplc="CDB8B0CE">
      <w:start w:val="1"/>
      <w:numFmt w:val="decimal"/>
      <w:pStyle w:val="inne3"/>
      <w:lvlText w:val="%1)"/>
      <w:lvlJc w:val="left"/>
      <w:pPr>
        <w:ind w:left="720" w:hanging="360"/>
      </w:pPr>
      <w:rPr>
        <w:rFonts w:hint="default"/>
        <w:strike w:val="0"/>
        <w:color w:val="auto"/>
      </w:rPr>
    </w:lvl>
    <w:lvl w:ilvl="1" w:tplc="DD4C3628">
      <w:start w:val="1"/>
      <w:numFmt w:val="lowerLetter"/>
      <w:lvlText w:val="%2."/>
      <w:lvlJc w:val="left"/>
      <w:pPr>
        <w:ind w:left="1440" w:hanging="360"/>
      </w:pPr>
    </w:lvl>
    <w:lvl w:ilvl="2" w:tplc="F2624610">
      <w:start w:val="1"/>
      <w:numFmt w:val="lowerRoman"/>
      <w:lvlText w:val="%3."/>
      <w:lvlJc w:val="right"/>
      <w:pPr>
        <w:ind w:left="2160" w:hanging="180"/>
      </w:pPr>
    </w:lvl>
    <w:lvl w:ilvl="3" w:tplc="57085E1C" w:tentative="1">
      <w:start w:val="1"/>
      <w:numFmt w:val="decimal"/>
      <w:lvlText w:val="%4."/>
      <w:lvlJc w:val="left"/>
      <w:pPr>
        <w:ind w:left="2880" w:hanging="360"/>
      </w:pPr>
    </w:lvl>
    <w:lvl w:ilvl="4" w:tplc="F0F0B2C6" w:tentative="1">
      <w:start w:val="1"/>
      <w:numFmt w:val="lowerLetter"/>
      <w:lvlText w:val="%5."/>
      <w:lvlJc w:val="left"/>
      <w:pPr>
        <w:ind w:left="3600" w:hanging="360"/>
      </w:pPr>
    </w:lvl>
    <w:lvl w:ilvl="5" w:tplc="CCD83226" w:tentative="1">
      <w:start w:val="1"/>
      <w:numFmt w:val="lowerRoman"/>
      <w:lvlText w:val="%6."/>
      <w:lvlJc w:val="right"/>
      <w:pPr>
        <w:ind w:left="4320" w:hanging="180"/>
      </w:pPr>
    </w:lvl>
    <w:lvl w:ilvl="6" w:tplc="2C0C3B2E" w:tentative="1">
      <w:start w:val="1"/>
      <w:numFmt w:val="decimal"/>
      <w:lvlText w:val="%7."/>
      <w:lvlJc w:val="left"/>
      <w:pPr>
        <w:ind w:left="5040" w:hanging="360"/>
      </w:pPr>
    </w:lvl>
    <w:lvl w:ilvl="7" w:tplc="A2181C5A" w:tentative="1">
      <w:start w:val="1"/>
      <w:numFmt w:val="lowerLetter"/>
      <w:lvlText w:val="%8."/>
      <w:lvlJc w:val="left"/>
      <w:pPr>
        <w:ind w:left="5760" w:hanging="360"/>
      </w:pPr>
    </w:lvl>
    <w:lvl w:ilvl="8" w:tplc="0E66A086" w:tentative="1">
      <w:start w:val="1"/>
      <w:numFmt w:val="lowerRoman"/>
      <w:lvlText w:val="%9."/>
      <w:lvlJc w:val="right"/>
      <w:pPr>
        <w:ind w:left="6480" w:hanging="180"/>
      </w:pPr>
    </w:lvl>
  </w:abstractNum>
  <w:abstractNum w:abstractNumId="20" w15:restartNumberingAfterBreak="0">
    <w:nsid w:val="6BF30DD0"/>
    <w:multiLevelType w:val="hybridMultilevel"/>
    <w:tmpl w:val="468CB6FC"/>
    <w:lvl w:ilvl="0" w:tplc="B95E01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8D76E7"/>
    <w:multiLevelType w:val="hybridMultilevel"/>
    <w:tmpl w:val="A20C4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3F4E02"/>
    <w:multiLevelType w:val="hybridMultilevel"/>
    <w:tmpl w:val="DF0C4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F34DCC"/>
    <w:multiLevelType w:val="hybridMultilevel"/>
    <w:tmpl w:val="B23AF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047FAE"/>
    <w:multiLevelType w:val="hybridMultilevel"/>
    <w:tmpl w:val="16E4A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426D5B"/>
    <w:multiLevelType w:val="hybridMultilevel"/>
    <w:tmpl w:val="E2149928"/>
    <w:lvl w:ilvl="0" w:tplc="32C87CF6">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451625234">
    <w:abstractNumId w:val="14"/>
  </w:num>
  <w:num w:numId="2" w16cid:durableId="2064013272">
    <w:abstractNumId w:val="0"/>
    <w:lvlOverride w:ilvl="0">
      <w:startOverride w:val="1"/>
    </w:lvlOverride>
  </w:num>
  <w:num w:numId="3" w16cid:durableId="463155488">
    <w:abstractNumId w:val="19"/>
    <w:lvlOverride w:ilvl="0">
      <w:startOverride w:val="1"/>
    </w:lvlOverride>
  </w:num>
  <w:num w:numId="4" w16cid:durableId="89932186">
    <w:abstractNumId w:val="19"/>
    <w:lvlOverride w:ilvl="0">
      <w:startOverride w:val="1"/>
    </w:lvlOverride>
  </w:num>
  <w:num w:numId="5" w16cid:durableId="1441143014">
    <w:abstractNumId w:val="7"/>
  </w:num>
  <w:num w:numId="6" w16cid:durableId="1680766796">
    <w:abstractNumId w:val="0"/>
  </w:num>
  <w:num w:numId="7" w16cid:durableId="1556623224">
    <w:abstractNumId w:val="19"/>
    <w:lvlOverride w:ilvl="0">
      <w:startOverride w:val="1"/>
    </w:lvlOverride>
  </w:num>
  <w:num w:numId="8" w16cid:durableId="617876494">
    <w:abstractNumId w:val="19"/>
    <w:lvlOverride w:ilvl="0">
      <w:startOverride w:val="1"/>
    </w:lvlOverride>
  </w:num>
  <w:num w:numId="9" w16cid:durableId="1056465310">
    <w:abstractNumId w:val="0"/>
    <w:lvlOverride w:ilvl="0">
      <w:startOverride w:val="1"/>
    </w:lvlOverride>
  </w:num>
  <w:num w:numId="10" w16cid:durableId="322513681">
    <w:abstractNumId w:val="0"/>
    <w:lvlOverride w:ilvl="0">
      <w:startOverride w:val="1"/>
    </w:lvlOverride>
  </w:num>
  <w:num w:numId="11" w16cid:durableId="2071269983">
    <w:abstractNumId w:val="19"/>
  </w:num>
  <w:num w:numId="12" w16cid:durableId="1809857002">
    <w:abstractNumId w:val="0"/>
    <w:lvlOverride w:ilvl="0">
      <w:startOverride w:val="1"/>
    </w:lvlOverride>
  </w:num>
  <w:num w:numId="13" w16cid:durableId="763112733">
    <w:abstractNumId w:val="19"/>
    <w:lvlOverride w:ilvl="0">
      <w:startOverride w:val="1"/>
    </w:lvlOverride>
  </w:num>
  <w:num w:numId="14" w16cid:durableId="1199780433">
    <w:abstractNumId w:val="6"/>
  </w:num>
  <w:num w:numId="15" w16cid:durableId="1130130427">
    <w:abstractNumId w:val="19"/>
    <w:lvlOverride w:ilvl="0">
      <w:startOverride w:val="1"/>
    </w:lvlOverride>
  </w:num>
  <w:num w:numId="16" w16cid:durableId="342167580">
    <w:abstractNumId w:val="19"/>
    <w:lvlOverride w:ilvl="0">
      <w:startOverride w:val="1"/>
    </w:lvlOverride>
  </w:num>
  <w:num w:numId="17" w16cid:durableId="1943219951">
    <w:abstractNumId w:val="19"/>
  </w:num>
  <w:num w:numId="18" w16cid:durableId="1838375931">
    <w:abstractNumId w:val="19"/>
    <w:lvlOverride w:ilvl="0">
      <w:startOverride w:val="1"/>
    </w:lvlOverride>
  </w:num>
  <w:num w:numId="19" w16cid:durableId="365907806">
    <w:abstractNumId w:val="19"/>
  </w:num>
  <w:num w:numId="20" w16cid:durableId="1411122954">
    <w:abstractNumId w:val="19"/>
  </w:num>
  <w:num w:numId="21" w16cid:durableId="791019560">
    <w:abstractNumId w:val="0"/>
  </w:num>
  <w:num w:numId="22" w16cid:durableId="550963763">
    <w:abstractNumId w:val="19"/>
    <w:lvlOverride w:ilvl="0">
      <w:startOverride w:val="1"/>
    </w:lvlOverride>
  </w:num>
  <w:num w:numId="23" w16cid:durableId="752512966">
    <w:abstractNumId w:val="25"/>
  </w:num>
  <w:num w:numId="24" w16cid:durableId="1811284130">
    <w:abstractNumId w:val="21"/>
  </w:num>
  <w:num w:numId="25" w16cid:durableId="1747220369">
    <w:abstractNumId w:val="8"/>
  </w:num>
  <w:num w:numId="26" w16cid:durableId="1522016148">
    <w:abstractNumId w:val="3"/>
  </w:num>
  <w:num w:numId="27" w16cid:durableId="621230837">
    <w:abstractNumId w:val="1"/>
  </w:num>
  <w:num w:numId="28" w16cid:durableId="76633986">
    <w:abstractNumId w:val="20"/>
  </w:num>
  <w:num w:numId="29" w16cid:durableId="631525256">
    <w:abstractNumId w:val="10"/>
  </w:num>
  <w:num w:numId="30" w16cid:durableId="1106583028">
    <w:abstractNumId w:val="11"/>
  </w:num>
  <w:num w:numId="31" w16cid:durableId="2044210626">
    <w:abstractNumId w:val="5"/>
  </w:num>
  <w:num w:numId="32" w16cid:durableId="1577276110">
    <w:abstractNumId w:val="17"/>
  </w:num>
  <w:num w:numId="33" w16cid:durableId="1142193000">
    <w:abstractNumId w:val="2"/>
  </w:num>
  <w:num w:numId="34" w16cid:durableId="1601989300">
    <w:abstractNumId w:val="13"/>
  </w:num>
  <w:num w:numId="35" w16cid:durableId="1553495768">
    <w:abstractNumId w:val="24"/>
  </w:num>
  <w:num w:numId="36" w16cid:durableId="872235008">
    <w:abstractNumId w:val="22"/>
  </w:num>
  <w:num w:numId="37" w16cid:durableId="1623807846">
    <w:abstractNumId w:val="9"/>
  </w:num>
  <w:num w:numId="38" w16cid:durableId="269556265">
    <w:abstractNumId w:val="12"/>
  </w:num>
  <w:num w:numId="39" w16cid:durableId="1947106509">
    <w:abstractNumId w:val="4"/>
  </w:num>
  <w:num w:numId="40" w16cid:durableId="543834692">
    <w:abstractNumId w:val="23"/>
  </w:num>
  <w:num w:numId="41" w16cid:durableId="661618141">
    <w:abstractNumId w:val="15"/>
  </w:num>
  <w:num w:numId="42" w16cid:durableId="708333532">
    <w:abstractNumId w:val="16"/>
  </w:num>
  <w:num w:numId="43" w16cid:durableId="61023834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3E"/>
    <w:rsid w:val="000000D7"/>
    <w:rsid w:val="00000E11"/>
    <w:rsid w:val="00000FA5"/>
    <w:rsid w:val="00005DE2"/>
    <w:rsid w:val="0001122D"/>
    <w:rsid w:val="00011A23"/>
    <w:rsid w:val="00013EE7"/>
    <w:rsid w:val="00015A6B"/>
    <w:rsid w:val="000169EE"/>
    <w:rsid w:val="00022771"/>
    <w:rsid w:val="000311EB"/>
    <w:rsid w:val="0003291C"/>
    <w:rsid w:val="00037059"/>
    <w:rsid w:val="000402F8"/>
    <w:rsid w:val="00041C01"/>
    <w:rsid w:val="000456AB"/>
    <w:rsid w:val="00045F6D"/>
    <w:rsid w:val="00047291"/>
    <w:rsid w:val="00047B71"/>
    <w:rsid w:val="00047CD3"/>
    <w:rsid w:val="00051709"/>
    <w:rsid w:val="000524B4"/>
    <w:rsid w:val="00052879"/>
    <w:rsid w:val="00055976"/>
    <w:rsid w:val="00056DB5"/>
    <w:rsid w:val="00057F54"/>
    <w:rsid w:val="000617A0"/>
    <w:rsid w:val="00062A4B"/>
    <w:rsid w:val="00063039"/>
    <w:rsid w:val="00063FBA"/>
    <w:rsid w:val="000656C5"/>
    <w:rsid w:val="00066D5E"/>
    <w:rsid w:val="000670CC"/>
    <w:rsid w:val="00070926"/>
    <w:rsid w:val="00071AEB"/>
    <w:rsid w:val="00073D1C"/>
    <w:rsid w:val="00076C2C"/>
    <w:rsid w:val="00080BAD"/>
    <w:rsid w:val="00081D2A"/>
    <w:rsid w:val="00081D6B"/>
    <w:rsid w:val="00083C97"/>
    <w:rsid w:val="00086D77"/>
    <w:rsid w:val="0008742A"/>
    <w:rsid w:val="00087709"/>
    <w:rsid w:val="00091B93"/>
    <w:rsid w:val="00094A21"/>
    <w:rsid w:val="0009614C"/>
    <w:rsid w:val="000A012C"/>
    <w:rsid w:val="000A0512"/>
    <w:rsid w:val="000A3E9B"/>
    <w:rsid w:val="000A6CB9"/>
    <w:rsid w:val="000A6D51"/>
    <w:rsid w:val="000B12FC"/>
    <w:rsid w:val="000B1E0A"/>
    <w:rsid w:val="000B1F92"/>
    <w:rsid w:val="000B2D7B"/>
    <w:rsid w:val="000B710A"/>
    <w:rsid w:val="000B777D"/>
    <w:rsid w:val="000C672E"/>
    <w:rsid w:val="000C6A20"/>
    <w:rsid w:val="000D00D9"/>
    <w:rsid w:val="000D194C"/>
    <w:rsid w:val="000D645D"/>
    <w:rsid w:val="000E09FF"/>
    <w:rsid w:val="000E350F"/>
    <w:rsid w:val="000E6BB6"/>
    <w:rsid w:val="000F1A51"/>
    <w:rsid w:val="000F4BA9"/>
    <w:rsid w:val="00100456"/>
    <w:rsid w:val="001024CA"/>
    <w:rsid w:val="00107194"/>
    <w:rsid w:val="00107F57"/>
    <w:rsid w:val="0011389C"/>
    <w:rsid w:val="00113D46"/>
    <w:rsid w:val="00114B89"/>
    <w:rsid w:val="0012193F"/>
    <w:rsid w:val="00122095"/>
    <w:rsid w:val="00124360"/>
    <w:rsid w:val="00124891"/>
    <w:rsid w:val="00134F14"/>
    <w:rsid w:val="00136DD3"/>
    <w:rsid w:val="00142ACD"/>
    <w:rsid w:val="00152B86"/>
    <w:rsid w:val="00154D59"/>
    <w:rsid w:val="00163E10"/>
    <w:rsid w:val="0016517B"/>
    <w:rsid w:val="001667AC"/>
    <w:rsid w:val="001710DC"/>
    <w:rsid w:val="00171F47"/>
    <w:rsid w:val="0017294B"/>
    <w:rsid w:val="00174240"/>
    <w:rsid w:val="001744CC"/>
    <w:rsid w:val="00174E94"/>
    <w:rsid w:val="00176904"/>
    <w:rsid w:val="00177DAE"/>
    <w:rsid w:val="00180820"/>
    <w:rsid w:val="001813A2"/>
    <w:rsid w:val="001841FF"/>
    <w:rsid w:val="00186473"/>
    <w:rsid w:val="00187D45"/>
    <w:rsid w:val="00187F90"/>
    <w:rsid w:val="00191DB1"/>
    <w:rsid w:val="00192087"/>
    <w:rsid w:val="00195DF9"/>
    <w:rsid w:val="00197C8A"/>
    <w:rsid w:val="001A01B6"/>
    <w:rsid w:val="001A0703"/>
    <w:rsid w:val="001A5EF5"/>
    <w:rsid w:val="001A64FC"/>
    <w:rsid w:val="001B1500"/>
    <w:rsid w:val="001B3A04"/>
    <w:rsid w:val="001B6039"/>
    <w:rsid w:val="001B6174"/>
    <w:rsid w:val="001C093A"/>
    <w:rsid w:val="001C4484"/>
    <w:rsid w:val="001C457B"/>
    <w:rsid w:val="001C4DAC"/>
    <w:rsid w:val="001C4ED6"/>
    <w:rsid w:val="001C56D1"/>
    <w:rsid w:val="001C730A"/>
    <w:rsid w:val="001D2EDE"/>
    <w:rsid w:val="001D4C55"/>
    <w:rsid w:val="001D6B62"/>
    <w:rsid w:val="001E0831"/>
    <w:rsid w:val="001E2E4E"/>
    <w:rsid w:val="001E48CF"/>
    <w:rsid w:val="001E5432"/>
    <w:rsid w:val="001E5580"/>
    <w:rsid w:val="001E63BA"/>
    <w:rsid w:val="001E72E8"/>
    <w:rsid w:val="001F1C1B"/>
    <w:rsid w:val="001F2B28"/>
    <w:rsid w:val="001F2B86"/>
    <w:rsid w:val="002050D2"/>
    <w:rsid w:val="00205DEA"/>
    <w:rsid w:val="002075D4"/>
    <w:rsid w:val="00207A1C"/>
    <w:rsid w:val="002113EE"/>
    <w:rsid w:val="00213F6E"/>
    <w:rsid w:val="00214103"/>
    <w:rsid w:val="002153DA"/>
    <w:rsid w:val="00215EC8"/>
    <w:rsid w:val="0022222B"/>
    <w:rsid w:val="00224D96"/>
    <w:rsid w:val="00225332"/>
    <w:rsid w:val="00226498"/>
    <w:rsid w:val="00227065"/>
    <w:rsid w:val="00231DB4"/>
    <w:rsid w:val="00233B4D"/>
    <w:rsid w:val="0023607A"/>
    <w:rsid w:val="00241738"/>
    <w:rsid w:val="00245048"/>
    <w:rsid w:val="00245A0F"/>
    <w:rsid w:val="00246714"/>
    <w:rsid w:val="002514B6"/>
    <w:rsid w:val="0025236E"/>
    <w:rsid w:val="0025469B"/>
    <w:rsid w:val="002558E8"/>
    <w:rsid w:val="00257D06"/>
    <w:rsid w:val="00261BF7"/>
    <w:rsid w:val="0026557B"/>
    <w:rsid w:val="00271E59"/>
    <w:rsid w:val="00273B00"/>
    <w:rsid w:val="0027553E"/>
    <w:rsid w:val="0027571D"/>
    <w:rsid w:val="00282A73"/>
    <w:rsid w:val="00282B67"/>
    <w:rsid w:val="00283AA5"/>
    <w:rsid w:val="0028475E"/>
    <w:rsid w:val="00284BBF"/>
    <w:rsid w:val="002871D4"/>
    <w:rsid w:val="002910EB"/>
    <w:rsid w:val="00291520"/>
    <w:rsid w:val="00292E90"/>
    <w:rsid w:val="00295D55"/>
    <w:rsid w:val="00296B3B"/>
    <w:rsid w:val="002A0B3F"/>
    <w:rsid w:val="002A3273"/>
    <w:rsid w:val="002A38A5"/>
    <w:rsid w:val="002A4FB7"/>
    <w:rsid w:val="002B5A60"/>
    <w:rsid w:val="002B674E"/>
    <w:rsid w:val="002C0F4A"/>
    <w:rsid w:val="002C65FD"/>
    <w:rsid w:val="002D0793"/>
    <w:rsid w:val="002D0877"/>
    <w:rsid w:val="002D0E38"/>
    <w:rsid w:val="002D1265"/>
    <w:rsid w:val="002D2531"/>
    <w:rsid w:val="002D2C31"/>
    <w:rsid w:val="002D3EE8"/>
    <w:rsid w:val="002D4143"/>
    <w:rsid w:val="002D4933"/>
    <w:rsid w:val="002D5EFE"/>
    <w:rsid w:val="002D657A"/>
    <w:rsid w:val="002D6A19"/>
    <w:rsid w:val="002D6C27"/>
    <w:rsid w:val="002E1278"/>
    <w:rsid w:val="002E3294"/>
    <w:rsid w:val="002E7933"/>
    <w:rsid w:val="002F149C"/>
    <w:rsid w:val="002F35DE"/>
    <w:rsid w:val="002F4824"/>
    <w:rsid w:val="002F51A5"/>
    <w:rsid w:val="002F7388"/>
    <w:rsid w:val="00301E83"/>
    <w:rsid w:val="003021CA"/>
    <w:rsid w:val="00305D2B"/>
    <w:rsid w:val="00310E33"/>
    <w:rsid w:val="003112DC"/>
    <w:rsid w:val="00311397"/>
    <w:rsid w:val="003148B4"/>
    <w:rsid w:val="003240AC"/>
    <w:rsid w:val="003245DC"/>
    <w:rsid w:val="0033501B"/>
    <w:rsid w:val="00335B2C"/>
    <w:rsid w:val="003419A5"/>
    <w:rsid w:val="00342CBB"/>
    <w:rsid w:val="003469C0"/>
    <w:rsid w:val="00352EF8"/>
    <w:rsid w:val="003531C7"/>
    <w:rsid w:val="00355DB7"/>
    <w:rsid w:val="00355F8E"/>
    <w:rsid w:val="003569AF"/>
    <w:rsid w:val="00356DC7"/>
    <w:rsid w:val="00360EE2"/>
    <w:rsid w:val="00362CEE"/>
    <w:rsid w:val="00364A6A"/>
    <w:rsid w:val="003660BE"/>
    <w:rsid w:val="003725AA"/>
    <w:rsid w:val="00374DA5"/>
    <w:rsid w:val="00375439"/>
    <w:rsid w:val="00376862"/>
    <w:rsid w:val="00380CA8"/>
    <w:rsid w:val="00380EA2"/>
    <w:rsid w:val="003835D5"/>
    <w:rsid w:val="00386C54"/>
    <w:rsid w:val="003871D4"/>
    <w:rsid w:val="00391BC8"/>
    <w:rsid w:val="00394DF4"/>
    <w:rsid w:val="00396F0F"/>
    <w:rsid w:val="00397170"/>
    <w:rsid w:val="003A11CE"/>
    <w:rsid w:val="003A26D1"/>
    <w:rsid w:val="003A2D40"/>
    <w:rsid w:val="003A52E2"/>
    <w:rsid w:val="003A656C"/>
    <w:rsid w:val="003A6A7A"/>
    <w:rsid w:val="003A6DD7"/>
    <w:rsid w:val="003A6F9B"/>
    <w:rsid w:val="003A7257"/>
    <w:rsid w:val="003B627B"/>
    <w:rsid w:val="003B6A0F"/>
    <w:rsid w:val="003B6DEA"/>
    <w:rsid w:val="003B6FB0"/>
    <w:rsid w:val="003B7EFD"/>
    <w:rsid w:val="003C371F"/>
    <w:rsid w:val="003C61F1"/>
    <w:rsid w:val="003C69F4"/>
    <w:rsid w:val="003C7328"/>
    <w:rsid w:val="003D051A"/>
    <w:rsid w:val="003D0755"/>
    <w:rsid w:val="003D1EF6"/>
    <w:rsid w:val="003D5363"/>
    <w:rsid w:val="003D6148"/>
    <w:rsid w:val="003D6B62"/>
    <w:rsid w:val="003D748C"/>
    <w:rsid w:val="003E0359"/>
    <w:rsid w:val="003E0C1C"/>
    <w:rsid w:val="003E33B9"/>
    <w:rsid w:val="003E64CE"/>
    <w:rsid w:val="003E79F3"/>
    <w:rsid w:val="003F07BC"/>
    <w:rsid w:val="003F1C4A"/>
    <w:rsid w:val="003F1C71"/>
    <w:rsid w:val="003F22D8"/>
    <w:rsid w:val="003F27E3"/>
    <w:rsid w:val="003F2942"/>
    <w:rsid w:val="003F3E95"/>
    <w:rsid w:val="003F4835"/>
    <w:rsid w:val="003F587D"/>
    <w:rsid w:val="00400D88"/>
    <w:rsid w:val="00401834"/>
    <w:rsid w:val="00401C32"/>
    <w:rsid w:val="00402C3C"/>
    <w:rsid w:val="00405FA3"/>
    <w:rsid w:val="00406699"/>
    <w:rsid w:val="0041126C"/>
    <w:rsid w:val="004123CC"/>
    <w:rsid w:val="00414B4C"/>
    <w:rsid w:val="004168FF"/>
    <w:rsid w:val="0041708F"/>
    <w:rsid w:val="00421ACD"/>
    <w:rsid w:val="00422AED"/>
    <w:rsid w:val="00423066"/>
    <w:rsid w:val="004232BF"/>
    <w:rsid w:val="004242E7"/>
    <w:rsid w:val="00425494"/>
    <w:rsid w:val="00425A00"/>
    <w:rsid w:val="00426BCF"/>
    <w:rsid w:val="00432CCF"/>
    <w:rsid w:val="0043576B"/>
    <w:rsid w:val="004400A5"/>
    <w:rsid w:val="00444689"/>
    <w:rsid w:val="004506BD"/>
    <w:rsid w:val="00450F78"/>
    <w:rsid w:val="0045132A"/>
    <w:rsid w:val="00455033"/>
    <w:rsid w:val="00455100"/>
    <w:rsid w:val="0046047C"/>
    <w:rsid w:val="0046053D"/>
    <w:rsid w:val="004621FF"/>
    <w:rsid w:val="0046308B"/>
    <w:rsid w:val="00463D27"/>
    <w:rsid w:val="00464B42"/>
    <w:rsid w:val="004653A5"/>
    <w:rsid w:val="00465E32"/>
    <w:rsid w:val="0046609D"/>
    <w:rsid w:val="004670BF"/>
    <w:rsid w:val="00470BEA"/>
    <w:rsid w:val="00471B6B"/>
    <w:rsid w:val="004733D0"/>
    <w:rsid w:val="0047358D"/>
    <w:rsid w:val="004756C4"/>
    <w:rsid w:val="00476F5F"/>
    <w:rsid w:val="0048013B"/>
    <w:rsid w:val="00482984"/>
    <w:rsid w:val="0048315C"/>
    <w:rsid w:val="004836CF"/>
    <w:rsid w:val="004853C9"/>
    <w:rsid w:val="0049396C"/>
    <w:rsid w:val="00495BB1"/>
    <w:rsid w:val="004A55C3"/>
    <w:rsid w:val="004A7EDD"/>
    <w:rsid w:val="004A7F79"/>
    <w:rsid w:val="004B0267"/>
    <w:rsid w:val="004B0411"/>
    <w:rsid w:val="004B06E2"/>
    <w:rsid w:val="004B430B"/>
    <w:rsid w:val="004B4947"/>
    <w:rsid w:val="004B4D48"/>
    <w:rsid w:val="004B6477"/>
    <w:rsid w:val="004B7E11"/>
    <w:rsid w:val="004C0044"/>
    <w:rsid w:val="004C06D1"/>
    <w:rsid w:val="004C51E4"/>
    <w:rsid w:val="004C52DA"/>
    <w:rsid w:val="004C7289"/>
    <w:rsid w:val="004C7B44"/>
    <w:rsid w:val="004D2E22"/>
    <w:rsid w:val="004D43A4"/>
    <w:rsid w:val="004D4DA5"/>
    <w:rsid w:val="004D4FA2"/>
    <w:rsid w:val="004E047C"/>
    <w:rsid w:val="004E14E4"/>
    <w:rsid w:val="004E2006"/>
    <w:rsid w:val="004E3F50"/>
    <w:rsid w:val="004E4222"/>
    <w:rsid w:val="004E7069"/>
    <w:rsid w:val="004E73F7"/>
    <w:rsid w:val="004F2D82"/>
    <w:rsid w:val="004F45E8"/>
    <w:rsid w:val="004F51CF"/>
    <w:rsid w:val="004F532C"/>
    <w:rsid w:val="004F71B0"/>
    <w:rsid w:val="004F73C8"/>
    <w:rsid w:val="004F7909"/>
    <w:rsid w:val="004F7A1E"/>
    <w:rsid w:val="004F7FA9"/>
    <w:rsid w:val="0050318B"/>
    <w:rsid w:val="00505CF5"/>
    <w:rsid w:val="00506E37"/>
    <w:rsid w:val="00510596"/>
    <w:rsid w:val="00513DC0"/>
    <w:rsid w:val="0051455C"/>
    <w:rsid w:val="0051509A"/>
    <w:rsid w:val="00515922"/>
    <w:rsid w:val="0051733D"/>
    <w:rsid w:val="005223F4"/>
    <w:rsid w:val="00523F07"/>
    <w:rsid w:val="00525079"/>
    <w:rsid w:val="00526F76"/>
    <w:rsid w:val="0052737A"/>
    <w:rsid w:val="00530660"/>
    <w:rsid w:val="00532360"/>
    <w:rsid w:val="00534368"/>
    <w:rsid w:val="00540477"/>
    <w:rsid w:val="0054317E"/>
    <w:rsid w:val="005444EE"/>
    <w:rsid w:val="00544EEB"/>
    <w:rsid w:val="005508C6"/>
    <w:rsid w:val="0055527C"/>
    <w:rsid w:val="00560B43"/>
    <w:rsid w:val="00560D88"/>
    <w:rsid w:val="00561A99"/>
    <w:rsid w:val="00561BD2"/>
    <w:rsid w:val="00562BC2"/>
    <w:rsid w:val="00562D79"/>
    <w:rsid w:val="005651A2"/>
    <w:rsid w:val="00565ECF"/>
    <w:rsid w:val="00567D65"/>
    <w:rsid w:val="005701E7"/>
    <w:rsid w:val="005702BB"/>
    <w:rsid w:val="00571A1E"/>
    <w:rsid w:val="00572571"/>
    <w:rsid w:val="00573BB0"/>
    <w:rsid w:val="00575677"/>
    <w:rsid w:val="00576485"/>
    <w:rsid w:val="0057717A"/>
    <w:rsid w:val="0058004F"/>
    <w:rsid w:val="00580121"/>
    <w:rsid w:val="0058105A"/>
    <w:rsid w:val="005815ED"/>
    <w:rsid w:val="00581BFF"/>
    <w:rsid w:val="0058257F"/>
    <w:rsid w:val="00583AAE"/>
    <w:rsid w:val="00587FEE"/>
    <w:rsid w:val="005927A3"/>
    <w:rsid w:val="005947AE"/>
    <w:rsid w:val="00594F5E"/>
    <w:rsid w:val="00595CBA"/>
    <w:rsid w:val="00596E14"/>
    <w:rsid w:val="00597EE4"/>
    <w:rsid w:val="005A0F1E"/>
    <w:rsid w:val="005A116F"/>
    <w:rsid w:val="005A1A6D"/>
    <w:rsid w:val="005A4A89"/>
    <w:rsid w:val="005A4CB2"/>
    <w:rsid w:val="005A5361"/>
    <w:rsid w:val="005A7EB1"/>
    <w:rsid w:val="005B04D2"/>
    <w:rsid w:val="005B3723"/>
    <w:rsid w:val="005B3BB3"/>
    <w:rsid w:val="005B4310"/>
    <w:rsid w:val="005B6D42"/>
    <w:rsid w:val="005B6EF5"/>
    <w:rsid w:val="005B6FD9"/>
    <w:rsid w:val="005C02CC"/>
    <w:rsid w:val="005C1012"/>
    <w:rsid w:val="005C1021"/>
    <w:rsid w:val="005C4B87"/>
    <w:rsid w:val="005C5709"/>
    <w:rsid w:val="005C570B"/>
    <w:rsid w:val="005C729A"/>
    <w:rsid w:val="005D1BE0"/>
    <w:rsid w:val="005D21F9"/>
    <w:rsid w:val="005D25F9"/>
    <w:rsid w:val="005D4500"/>
    <w:rsid w:val="005D639D"/>
    <w:rsid w:val="005E317E"/>
    <w:rsid w:val="005E36AC"/>
    <w:rsid w:val="005E7785"/>
    <w:rsid w:val="005F038F"/>
    <w:rsid w:val="005F1094"/>
    <w:rsid w:val="005F111C"/>
    <w:rsid w:val="005F152C"/>
    <w:rsid w:val="005F2D1B"/>
    <w:rsid w:val="005F5838"/>
    <w:rsid w:val="005F6E6C"/>
    <w:rsid w:val="00600FCB"/>
    <w:rsid w:val="006028B1"/>
    <w:rsid w:val="0060352F"/>
    <w:rsid w:val="0060403A"/>
    <w:rsid w:val="00604DDC"/>
    <w:rsid w:val="006051B5"/>
    <w:rsid w:val="00606884"/>
    <w:rsid w:val="00607162"/>
    <w:rsid w:val="00610728"/>
    <w:rsid w:val="006122C2"/>
    <w:rsid w:val="0061275A"/>
    <w:rsid w:val="00613911"/>
    <w:rsid w:val="00621311"/>
    <w:rsid w:val="00622861"/>
    <w:rsid w:val="00623A73"/>
    <w:rsid w:val="00624AEF"/>
    <w:rsid w:val="00625D4A"/>
    <w:rsid w:val="00626D10"/>
    <w:rsid w:val="006342C6"/>
    <w:rsid w:val="00634FE5"/>
    <w:rsid w:val="00636606"/>
    <w:rsid w:val="00636D63"/>
    <w:rsid w:val="00636DB2"/>
    <w:rsid w:val="0063736D"/>
    <w:rsid w:val="0064227E"/>
    <w:rsid w:val="00642A25"/>
    <w:rsid w:val="00642E5D"/>
    <w:rsid w:val="006504E9"/>
    <w:rsid w:val="006539D1"/>
    <w:rsid w:val="00655C3C"/>
    <w:rsid w:val="006608CC"/>
    <w:rsid w:val="00661AA4"/>
    <w:rsid w:val="00670D81"/>
    <w:rsid w:val="00674ABE"/>
    <w:rsid w:val="00681933"/>
    <w:rsid w:val="006831A0"/>
    <w:rsid w:val="00686309"/>
    <w:rsid w:val="00686452"/>
    <w:rsid w:val="006A111F"/>
    <w:rsid w:val="006A2007"/>
    <w:rsid w:val="006A4711"/>
    <w:rsid w:val="006A67C2"/>
    <w:rsid w:val="006B64F7"/>
    <w:rsid w:val="006C06E2"/>
    <w:rsid w:val="006C30B2"/>
    <w:rsid w:val="006C38FE"/>
    <w:rsid w:val="006C5EDA"/>
    <w:rsid w:val="006D08C2"/>
    <w:rsid w:val="006D2DE8"/>
    <w:rsid w:val="006D3D3B"/>
    <w:rsid w:val="006D66E3"/>
    <w:rsid w:val="006D72EC"/>
    <w:rsid w:val="006E0CB6"/>
    <w:rsid w:val="006E5696"/>
    <w:rsid w:val="006E604D"/>
    <w:rsid w:val="006F4F2C"/>
    <w:rsid w:val="00700A99"/>
    <w:rsid w:val="00701114"/>
    <w:rsid w:val="00701699"/>
    <w:rsid w:val="007016E6"/>
    <w:rsid w:val="00704DEA"/>
    <w:rsid w:val="007074DC"/>
    <w:rsid w:val="00707B1A"/>
    <w:rsid w:val="0071219A"/>
    <w:rsid w:val="007165CF"/>
    <w:rsid w:val="007177D5"/>
    <w:rsid w:val="0072011C"/>
    <w:rsid w:val="00720FBA"/>
    <w:rsid w:val="007226E1"/>
    <w:rsid w:val="0072313B"/>
    <w:rsid w:val="007241B1"/>
    <w:rsid w:val="00724CAB"/>
    <w:rsid w:val="00727931"/>
    <w:rsid w:val="0073064F"/>
    <w:rsid w:val="00730EA3"/>
    <w:rsid w:val="00732895"/>
    <w:rsid w:val="007333A0"/>
    <w:rsid w:val="00733954"/>
    <w:rsid w:val="00734C23"/>
    <w:rsid w:val="0073677C"/>
    <w:rsid w:val="0074008E"/>
    <w:rsid w:val="00747A42"/>
    <w:rsid w:val="00750DDC"/>
    <w:rsid w:val="00751C34"/>
    <w:rsid w:val="00751FD4"/>
    <w:rsid w:val="007522DB"/>
    <w:rsid w:val="0075339E"/>
    <w:rsid w:val="007536F2"/>
    <w:rsid w:val="0075404F"/>
    <w:rsid w:val="00760105"/>
    <w:rsid w:val="00760B0C"/>
    <w:rsid w:val="007620CB"/>
    <w:rsid w:val="00765C5B"/>
    <w:rsid w:val="00765F14"/>
    <w:rsid w:val="007677D1"/>
    <w:rsid w:val="007712EC"/>
    <w:rsid w:val="00772BCF"/>
    <w:rsid w:val="00777CE0"/>
    <w:rsid w:val="00783072"/>
    <w:rsid w:val="007872D2"/>
    <w:rsid w:val="00790E0A"/>
    <w:rsid w:val="00791F31"/>
    <w:rsid w:val="00793B38"/>
    <w:rsid w:val="0079404D"/>
    <w:rsid w:val="0079607C"/>
    <w:rsid w:val="007A391B"/>
    <w:rsid w:val="007A4BC6"/>
    <w:rsid w:val="007B0969"/>
    <w:rsid w:val="007B0A1D"/>
    <w:rsid w:val="007B373A"/>
    <w:rsid w:val="007B4852"/>
    <w:rsid w:val="007B5E97"/>
    <w:rsid w:val="007B7C3D"/>
    <w:rsid w:val="007B7D0E"/>
    <w:rsid w:val="007C047D"/>
    <w:rsid w:val="007C26C4"/>
    <w:rsid w:val="007C27D5"/>
    <w:rsid w:val="007C479D"/>
    <w:rsid w:val="007C4A28"/>
    <w:rsid w:val="007C5BB6"/>
    <w:rsid w:val="007D1020"/>
    <w:rsid w:val="007D358E"/>
    <w:rsid w:val="007D3D35"/>
    <w:rsid w:val="007D6E7E"/>
    <w:rsid w:val="007D7B01"/>
    <w:rsid w:val="007E44EE"/>
    <w:rsid w:val="007E4991"/>
    <w:rsid w:val="007E5B18"/>
    <w:rsid w:val="007E74CA"/>
    <w:rsid w:val="007F236A"/>
    <w:rsid w:val="007F244F"/>
    <w:rsid w:val="007F3E90"/>
    <w:rsid w:val="007F4E48"/>
    <w:rsid w:val="007F5480"/>
    <w:rsid w:val="007F57A6"/>
    <w:rsid w:val="007F616E"/>
    <w:rsid w:val="007F6AF8"/>
    <w:rsid w:val="007F7949"/>
    <w:rsid w:val="00800D63"/>
    <w:rsid w:val="0080443B"/>
    <w:rsid w:val="00804569"/>
    <w:rsid w:val="008051B0"/>
    <w:rsid w:val="0080628E"/>
    <w:rsid w:val="0080669C"/>
    <w:rsid w:val="008071D8"/>
    <w:rsid w:val="0081022A"/>
    <w:rsid w:val="00812363"/>
    <w:rsid w:val="00812B9A"/>
    <w:rsid w:val="00813927"/>
    <w:rsid w:val="00814F8C"/>
    <w:rsid w:val="008152FA"/>
    <w:rsid w:val="00816A54"/>
    <w:rsid w:val="0082220C"/>
    <w:rsid w:val="008244D9"/>
    <w:rsid w:val="008309C0"/>
    <w:rsid w:val="00831188"/>
    <w:rsid w:val="00832DA9"/>
    <w:rsid w:val="008331B2"/>
    <w:rsid w:val="008340B2"/>
    <w:rsid w:val="00834636"/>
    <w:rsid w:val="00834B16"/>
    <w:rsid w:val="00835395"/>
    <w:rsid w:val="0084013A"/>
    <w:rsid w:val="008414AE"/>
    <w:rsid w:val="00841B0F"/>
    <w:rsid w:val="00842934"/>
    <w:rsid w:val="00842F7A"/>
    <w:rsid w:val="00843104"/>
    <w:rsid w:val="00843871"/>
    <w:rsid w:val="008461E6"/>
    <w:rsid w:val="0085326F"/>
    <w:rsid w:val="00864417"/>
    <w:rsid w:val="008664A7"/>
    <w:rsid w:val="00866DC2"/>
    <w:rsid w:val="00867CAA"/>
    <w:rsid w:val="0087040C"/>
    <w:rsid w:val="00874566"/>
    <w:rsid w:val="008754EF"/>
    <w:rsid w:val="00875F31"/>
    <w:rsid w:val="0088394A"/>
    <w:rsid w:val="00884D63"/>
    <w:rsid w:val="008866A8"/>
    <w:rsid w:val="00886796"/>
    <w:rsid w:val="00886E72"/>
    <w:rsid w:val="00886F14"/>
    <w:rsid w:val="00893D3D"/>
    <w:rsid w:val="00894BEB"/>
    <w:rsid w:val="00895AF7"/>
    <w:rsid w:val="008A038D"/>
    <w:rsid w:val="008A47E5"/>
    <w:rsid w:val="008A4A5A"/>
    <w:rsid w:val="008A6D00"/>
    <w:rsid w:val="008A76B2"/>
    <w:rsid w:val="008B4E0F"/>
    <w:rsid w:val="008C5A2E"/>
    <w:rsid w:val="008D02C7"/>
    <w:rsid w:val="008D3333"/>
    <w:rsid w:val="008D36AF"/>
    <w:rsid w:val="008D656D"/>
    <w:rsid w:val="008D75B8"/>
    <w:rsid w:val="008D7D43"/>
    <w:rsid w:val="008E010C"/>
    <w:rsid w:val="008E2B99"/>
    <w:rsid w:val="008E3FF7"/>
    <w:rsid w:val="008E4EC7"/>
    <w:rsid w:val="008E61F2"/>
    <w:rsid w:val="008E6BEE"/>
    <w:rsid w:val="008E6CF0"/>
    <w:rsid w:val="008F0AE9"/>
    <w:rsid w:val="008F13AD"/>
    <w:rsid w:val="008F34F1"/>
    <w:rsid w:val="008F38F4"/>
    <w:rsid w:val="008F4B5F"/>
    <w:rsid w:val="008F7410"/>
    <w:rsid w:val="008F7DB3"/>
    <w:rsid w:val="00902AF5"/>
    <w:rsid w:val="009033BD"/>
    <w:rsid w:val="00903BB1"/>
    <w:rsid w:val="009121F6"/>
    <w:rsid w:val="009139F1"/>
    <w:rsid w:val="00913E8A"/>
    <w:rsid w:val="00914FA9"/>
    <w:rsid w:val="0091535A"/>
    <w:rsid w:val="00921F98"/>
    <w:rsid w:val="00923030"/>
    <w:rsid w:val="00924152"/>
    <w:rsid w:val="00925B3A"/>
    <w:rsid w:val="00926726"/>
    <w:rsid w:val="0093083D"/>
    <w:rsid w:val="0093122F"/>
    <w:rsid w:val="00931991"/>
    <w:rsid w:val="009325A5"/>
    <w:rsid w:val="00933209"/>
    <w:rsid w:val="00933242"/>
    <w:rsid w:val="00934CE8"/>
    <w:rsid w:val="00937BA6"/>
    <w:rsid w:val="009421AB"/>
    <w:rsid w:val="00942A77"/>
    <w:rsid w:val="00943CD1"/>
    <w:rsid w:val="009516C5"/>
    <w:rsid w:val="009549B1"/>
    <w:rsid w:val="00956783"/>
    <w:rsid w:val="009607D1"/>
    <w:rsid w:val="0096093C"/>
    <w:rsid w:val="009625E1"/>
    <w:rsid w:val="009629F7"/>
    <w:rsid w:val="00965F87"/>
    <w:rsid w:val="00967FD3"/>
    <w:rsid w:val="00970D6B"/>
    <w:rsid w:val="00970EF3"/>
    <w:rsid w:val="00976885"/>
    <w:rsid w:val="00977031"/>
    <w:rsid w:val="00977134"/>
    <w:rsid w:val="00977A89"/>
    <w:rsid w:val="009800C9"/>
    <w:rsid w:val="00983185"/>
    <w:rsid w:val="00984BAE"/>
    <w:rsid w:val="0098622B"/>
    <w:rsid w:val="009874A0"/>
    <w:rsid w:val="00990651"/>
    <w:rsid w:val="009951E7"/>
    <w:rsid w:val="009A0A98"/>
    <w:rsid w:val="009A2749"/>
    <w:rsid w:val="009A645B"/>
    <w:rsid w:val="009A6823"/>
    <w:rsid w:val="009A790E"/>
    <w:rsid w:val="009B130A"/>
    <w:rsid w:val="009B1339"/>
    <w:rsid w:val="009B2EA0"/>
    <w:rsid w:val="009B443B"/>
    <w:rsid w:val="009C2C65"/>
    <w:rsid w:val="009C2CED"/>
    <w:rsid w:val="009C3266"/>
    <w:rsid w:val="009C3C9A"/>
    <w:rsid w:val="009C401E"/>
    <w:rsid w:val="009C4C5C"/>
    <w:rsid w:val="009C6C37"/>
    <w:rsid w:val="009D273E"/>
    <w:rsid w:val="009D2AF7"/>
    <w:rsid w:val="009D43EC"/>
    <w:rsid w:val="009D6605"/>
    <w:rsid w:val="009E1013"/>
    <w:rsid w:val="009E4A26"/>
    <w:rsid w:val="009E64F4"/>
    <w:rsid w:val="009E68AA"/>
    <w:rsid w:val="009E6987"/>
    <w:rsid w:val="009E7242"/>
    <w:rsid w:val="009E79E7"/>
    <w:rsid w:val="009F17D2"/>
    <w:rsid w:val="009F2B4B"/>
    <w:rsid w:val="00A0310F"/>
    <w:rsid w:val="00A04355"/>
    <w:rsid w:val="00A10BE3"/>
    <w:rsid w:val="00A11228"/>
    <w:rsid w:val="00A115B5"/>
    <w:rsid w:val="00A1173D"/>
    <w:rsid w:val="00A13DFC"/>
    <w:rsid w:val="00A14D37"/>
    <w:rsid w:val="00A166AB"/>
    <w:rsid w:val="00A1770B"/>
    <w:rsid w:val="00A20D87"/>
    <w:rsid w:val="00A21493"/>
    <w:rsid w:val="00A23F8A"/>
    <w:rsid w:val="00A24F19"/>
    <w:rsid w:val="00A2664D"/>
    <w:rsid w:val="00A275BA"/>
    <w:rsid w:val="00A3088D"/>
    <w:rsid w:val="00A32425"/>
    <w:rsid w:val="00A33780"/>
    <w:rsid w:val="00A337FA"/>
    <w:rsid w:val="00A33B63"/>
    <w:rsid w:val="00A35560"/>
    <w:rsid w:val="00A37837"/>
    <w:rsid w:val="00A37AD7"/>
    <w:rsid w:val="00A40967"/>
    <w:rsid w:val="00A42610"/>
    <w:rsid w:val="00A429C1"/>
    <w:rsid w:val="00A45796"/>
    <w:rsid w:val="00A461A9"/>
    <w:rsid w:val="00A518C7"/>
    <w:rsid w:val="00A529AC"/>
    <w:rsid w:val="00A57ADD"/>
    <w:rsid w:val="00A57BF7"/>
    <w:rsid w:val="00A61E12"/>
    <w:rsid w:val="00A61F60"/>
    <w:rsid w:val="00A66072"/>
    <w:rsid w:val="00A669F0"/>
    <w:rsid w:val="00A73EC1"/>
    <w:rsid w:val="00A742E1"/>
    <w:rsid w:val="00A751BF"/>
    <w:rsid w:val="00A76DD2"/>
    <w:rsid w:val="00A77163"/>
    <w:rsid w:val="00A81B34"/>
    <w:rsid w:val="00A81F39"/>
    <w:rsid w:val="00A82486"/>
    <w:rsid w:val="00A831A8"/>
    <w:rsid w:val="00A84A47"/>
    <w:rsid w:val="00A86E08"/>
    <w:rsid w:val="00A87679"/>
    <w:rsid w:val="00A93A08"/>
    <w:rsid w:val="00AA0650"/>
    <w:rsid w:val="00AA08F1"/>
    <w:rsid w:val="00AA1593"/>
    <w:rsid w:val="00AA18BB"/>
    <w:rsid w:val="00AA1A26"/>
    <w:rsid w:val="00AA1B27"/>
    <w:rsid w:val="00AA2B2A"/>
    <w:rsid w:val="00AA2EA3"/>
    <w:rsid w:val="00AA4541"/>
    <w:rsid w:val="00AA5614"/>
    <w:rsid w:val="00AA6DE6"/>
    <w:rsid w:val="00AA781B"/>
    <w:rsid w:val="00AB1089"/>
    <w:rsid w:val="00AB1635"/>
    <w:rsid w:val="00AB2836"/>
    <w:rsid w:val="00AB29A0"/>
    <w:rsid w:val="00AB30AE"/>
    <w:rsid w:val="00AB42BE"/>
    <w:rsid w:val="00AB43F0"/>
    <w:rsid w:val="00AB4922"/>
    <w:rsid w:val="00AB61BE"/>
    <w:rsid w:val="00AC1F7A"/>
    <w:rsid w:val="00AC367D"/>
    <w:rsid w:val="00AC478B"/>
    <w:rsid w:val="00AC4A92"/>
    <w:rsid w:val="00AC5C1D"/>
    <w:rsid w:val="00AC6B96"/>
    <w:rsid w:val="00AD0137"/>
    <w:rsid w:val="00AD027E"/>
    <w:rsid w:val="00AD35EE"/>
    <w:rsid w:val="00AD3C74"/>
    <w:rsid w:val="00AD574E"/>
    <w:rsid w:val="00AD64A9"/>
    <w:rsid w:val="00AD7B45"/>
    <w:rsid w:val="00AE0F54"/>
    <w:rsid w:val="00AE1C76"/>
    <w:rsid w:val="00AE2016"/>
    <w:rsid w:val="00AE2F0A"/>
    <w:rsid w:val="00AE3616"/>
    <w:rsid w:val="00AE59A3"/>
    <w:rsid w:val="00AE66E3"/>
    <w:rsid w:val="00AE6E00"/>
    <w:rsid w:val="00AF20F6"/>
    <w:rsid w:val="00AF24B8"/>
    <w:rsid w:val="00AF30C0"/>
    <w:rsid w:val="00AF61BC"/>
    <w:rsid w:val="00AF7CEE"/>
    <w:rsid w:val="00B0016B"/>
    <w:rsid w:val="00B00772"/>
    <w:rsid w:val="00B01FE6"/>
    <w:rsid w:val="00B0574B"/>
    <w:rsid w:val="00B05CB2"/>
    <w:rsid w:val="00B06650"/>
    <w:rsid w:val="00B10E4C"/>
    <w:rsid w:val="00B14795"/>
    <w:rsid w:val="00B150D2"/>
    <w:rsid w:val="00B15B3F"/>
    <w:rsid w:val="00B1670A"/>
    <w:rsid w:val="00B16EBD"/>
    <w:rsid w:val="00B220C3"/>
    <w:rsid w:val="00B25FB4"/>
    <w:rsid w:val="00B260AA"/>
    <w:rsid w:val="00B30B0A"/>
    <w:rsid w:val="00B30D07"/>
    <w:rsid w:val="00B322BE"/>
    <w:rsid w:val="00B32546"/>
    <w:rsid w:val="00B3356D"/>
    <w:rsid w:val="00B35A43"/>
    <w:rsid w:val="00B37420"/>
    <w:rsid w:val="00B403B2"/>
    <w:rsid w:val="00B425D0"/>
    <w:rsid w:val="00B4424B"/>
    <w:rsid w:val="00B45D91"/>
    <w:rsid w:val="00B46B98"/>
    <w:rsid w:val="00B508B3"/>
    <w:rsid w:val="00B55C86"/>
    <w:rsid w:val="00B55CA1"/>
    <w:rsid w:val="00B563E2"/>
    <w:rsid w:val="00B62851"/>
    <w:rsid w:val="00B63FF5"/>
    <w:rsid w:val="00B66B02"/>
    <w:rsid w:val="00B67343"/>
    <w:rsid w:val="00B67432"/>
    <w:rsid w:val="00B67703"/>
    <w:rsid w:val="00B735E2"/>
    <w:rsid w:val="00B75785"/>
    <w:rsid w:val="00B76A72"/>
    <w:rsid w:val="00B82470"/>
    <w:rsid w:val="00B82695"/>
    <w:rsid w:val="00B86AD4"/>
    <w:rsid w:val="00B86D3D"/>
    <w:rsid w:val="00B900D3"/>
    <w:rsid w:val="00B91904"/>
    <w:rsid w:val="00B9429E"/>
    <w:rsid w:val="00B973F6"/>
    <w:rsid w:val="00BA7615"/>
    <w:rsid w:val="00BB1323"/>
    <w:rsid w:val="00BB64B2"/>
    <w:rsid w:val="00BD0729"/>
    <w:rsid w:val="00BD0DE4"/>
    <w:rsid w:val="00BD21D4"/>
    <w:rsid w:val="00BD3279"/>
    <w:rsid w:val="00BD5A2B"/>
    <w:rsid w:val="00BD69E3"/>
    <w:rsid w:val="00BD6DDA"/>
    <w:rsid w:val="00BD6EA4"/>
    <w:rsid w:val="00BE61AB"/>
    <w:rsid w:val="00BF18D2"/>
    <w:rsid w:val="00BF3184"/>
    <w:rsid w:val="00C06207"/>
    <w:rsid w:val="00C06B35"/>
    <w:rsid w:val="00C136FA"/>
    <w:rsid w:val="00C21965"/>
    <w:rsid w:val="00C2487A"/>
    <w:rsid w:val="00C2496A"/>
    <w:rsid w:val="00C25D9F"/>
    <w:rsid w:val="00C274FB"/>
    <w:rsid w:val="00C30A39"/>
    <w:rsid w:val="00C31ACB"/>
    <w:rsid w:val="00C3387A"/>
    <w:rsid w:val="00C35C57"/>
    <w:rsid w:val="00C41443"/>
    <w:rsid w:val="00C42C57"/>
    <w:rsid w:val="00C42E06"/>
    <w:rsid w:val="00C446F4"/>
    <w:rsid w:val="00C44724"/>
    <w:rsid w:val="00C44F0E"/>
    <w:rsid w:val="00C45257"/>
    <w:rsid w:val="00C4632E"/>
    <w:rsid w:val="00C52A52"/>
    <w:rsid w:val="00C53485"/>
    <w:rsid w:val="00C5572C"/>
    <w:rsid w:val="00C602F9"/>
    <w:rsid w:val="00C608FD"/>
    <w:rsid w:val="00C70A9C"/>
    <w:rsid w:val="00C739F7"/>
    <w:rsid w:val="00C73B25"/>
    <w:rsid w:val="00C74177"/>
    <w:rsid w:val="00C74D20"/>
    <w:rsid w:val="00C772C9"/>
    <w:rsid w:val="00C80B63"/>
    <w:rsid w:val="00C82BA2"/>
    <w:rsid w:val="00C8390D"/>
    <w:rsid w:val="00C85988"/>
    <w:rsid w:val="00C87FEE"/>
    <w:rsid w:val="00C9188B"/>
    <w:rsid w:val="00C924DA"/>
    <w:rsid w:val="00C92EF1"/>
    <w:rsid w:val="00C94B3E"/>
    <w:rsid w:val="00C9790B"/>
    <w:rsid w:val="00CA0009"/>
    <w:rsid w:val="00CA0B4B"/>
    <w:rsid w:val="00CA18BE"/>
    <w:rsid w:val="00CA3041"/>
    <w:rsid w:val="00CA4FAD"/>
    <w:rsid w:val="00CA5A25"/>
    <w:rsid w:val="00CB18C9"/>
    <w:rsid w:val="00CB29F3"/>
    <w:rsid w:val="00CB2C39"/>
    <w:rsid w:val="00CB2EB0"/>
    <w:rsid w:val="00CB4DE8"/>
    <w:rsid w:val="00CB5F15"/>
    <w:rsid w:val="00CB6074"/>
    <w:rsid w:val="00CB78F8"/>
    <w:rsid w:val="00CC04A6"/>
    <w:rsid w:val="00CC0BB2"/>
    <w:rsid w:val="00CC1CD0"/>
    <w:rsid w:val="00CC29A6"/>
    <w:rsid w:val="00CC4D6D"/>
    <w:rsid w:val="00CC5D51"/>
    <w:rsid w:val="00CC6AA2"/>
    <w:rsid w:val="00CD152B"/>
    <w:rsid w:val="00CD1BCE"/>
    <w:rsid w:val="00CD41F6"/>
    <w:rsid w:val="00CD6F8B"/>
    <w:rsid w:val="00CD7C6D"/>
    <w:rsid w:val="00CE07F8"/>
    <w:rsid w:val="00CE3012"/>
    <w:rsid w:val="00CE5AB5"/>
    <w:rsid w:val="00CF0D47"/>
    <w:rsid w:val="00CF194E"/>
    <w:rsid w:val="00CF34C1"/>
    <w:rsid w:val="00CF3A13"/>
    <w:rsid w:val="00CF54C9"/>
    <w:rsid w:val="00CF7B39"/>
    <w:rsid w:val="00CF7E07"/>
    <w:rsid w:val="00D01F6A"/>
    <w:rsid w:val="00D032FD"/>
    <w:rsid w:val="00D06A13"/>
    <w:rsid w:val="00D119FE"/>
    <w:rsid w:val="00D11EAC"/>
    <w:rsid w:val="00D133F5"/>
    <w:rsid w:val="00D13574"/>
    <w:rsid w:val="00D13E38"/>
    <w:rsid w:val="00D2081A"/>
    <w:rsid w:val="00D216B1"/>
    <w:rsid w:val="00D22F07"/>
    <w:rsid w:val="00D27018"/>
    <w:rsid w:val="00D27F70"/>
    <w:rsid w:val="00D307E6"/>
    <w:rsid w:val="00D323C2"/>
    <w:rsid w:val="00D331C1"/>
    <w:rsid w:val="00D343B7"/>
    <w:rsid w:val="00D3481C"/>
    <w:rsid w:val="00D37271"/>
    <w:rsid w:val="00D3740D"/>
    <w:rsid w:val="00D40585"/>
    <w:rsid w:val="00D408CD"/>
    <w:rsid w:val="00D418CA"/>
    <w:rsid w:val="00D4462D"/>
    <w:rsid w:val="00D44B14"/>
    <w:rsid w:val="00D4709C"/>
    <w:rsid w:val="00D47D16"/>
    <w:rsid w:val="00D51EB5"/>
    <w:rsid w:val="00D52149"/>
    <w:rsid w:val="00D52D77"/>
    <w:rsid w:val="00D5360F"/>
    <w:rsid w:val="00D543C5"/>
    <w:rsid w:val="00D546D6"/>
    <w:rsid w:val="00D55476"/>
    <w:rsid w:val="00D55FE5"/>
    <w:rsid w:val="00D575A0"/>
    <w:rsid w:val="00D64E1B"/>
    <w:rsid w:val="00D66570"/>
    <w:rsid w:val="00D704F9"/>
    <w:rsid w:val="00D7106C"/>
    <w:rsid w:val="00D71949"/>
    <w:rsid w:val="00D72774"/>
    <w:rsid w:val="00D73311"/>
    <w:rsid w:val="00D7669B"/>
    <w:rsid w:val="00D77F26"/>
    <w:rsid w:val="00D805B3"/>
    <w:rsid w:val="00D80DF3"/>
    <w:rsid w:val="00D85B18"/>
    <w:rsid w:val="00D85CCC"/>
    <w:rsid w:val="00D90520"/>
    <w:rsid w:val="00D9078E"/>
    <w:rsid w:val="00DA3012"/>
    <w:rsid w:val="00DA54B4"/>
    <w:rsid w:val="00DA661A"/>
    <w:rsid w:val="00DA694F"/>
    <w:rsid w:val="00DA69F5"/>
    <w:rsid w:val="00DB0F10"/>
    <w:rsid w:val="00DB1DDF"/>
    <w:rsid w:val="00DB2ADA"/>
    <w:rsid w:val="00DB2C88"/>
    <w:rsid w:val="00DB333A"/>
    <w:rsid w:val="00DB4BED"/>
    <w:rsid w:val="00DB5AD7"/>
    <w:rsid w:val="00DB70F1"/>
    <w:rsid w:val="00DB75E1"/>
    <w:rsid w:val="00DB7758"/>
    <w:rsid w:val="00DC0F06"/>
    <w:rsid w:val="00DC14D2"/>
    <w:rsid w:val="00DC2D4C"/>
    <w:rsid w:val="00DD1B87"/>
    <w:rsid w:val="00DD1DC1"/>
    <w:rsid w:val="00DD2160"/>
    <w:rsid w:val="00DD4814"/>
    <w:rsid w:val="00DD4E54"/>
    <w:rsid w:val="00DD69DB"/>
    <w:rsid w:val="00DD76FF"/>
    <w:rsid w:val="00DD7F1A"/>
    <w:rsid w:val="00DE53D4"/>
    <w:rsid w:val="00DF1889"/>
    <w:rsid w:val="00DF27D4"/>
    <w:rsid w:val="00DF2DF0"/>
    <w:rsid w:val="00DF4658"/>
    <w:rsid w:val="00DF68FF"/>
    <w:rsid w:val="00E05228"/>
    <w:rsid w:val="00E06893"/>
    <w:rsid w:val="00E07A30"/>
    <w:rsid w:val="00E10047"/>
    <w:rsid w:val="00E11FFA"/>
    <w:rsid w:val="00E12FD0"/>
    <w:rsid w:val="00E16761"/>
    <w:rsid w:val="00E17EFA"/>
    <w:rsid w:val="00E21B3C"/>
    <w:rsid w:val="00E24D52"/>
    <w:rsid w:val="00E3054B"/>
    <w:rsid w:val="00E3329E"/>
    <w:rsid w:val="00E33579"/>
    <w:rsid w:val="00E37A33"/>
    <w:rsid w:val="00E40286"/>
    <w:rsid w:val="00E402F5"/>
    <w:rsid w:val="00E40D68"/>
    <w:rsid w:val="00E412B5"/>
    <w:rsid w:val="00E414DF"/>
    <w:rsid w:val="00E42322"/>
    <w:rsid w:val="00E43A0F"/>
    <w:rsid w:val="00E449A6"/>
    <w:rsid w:val="00E44FA4"/>
    <w:rsid w:val="00E463B8"/>
    <w:rsid w:val="00E5181A"/>
    <w:rsid w:val="00E522BE"/>
    <w:rsid w:val="00E52535"/>
    <w:rsid w:val="00E57F65"/>
    <w:rsid w:val="00E61C77"/>
    <w:rsid w:val="00E61FBC"/>
    <w:rsid w:val="00E70F5C"/>
    <w:rsid w:val="00E7274D"/>
    <w:rsid w:val="00E72E8B"/>
    <w:rsid w:val="00E73047"/>
    <w:rsid w:val="00E73381"/>
    <w:rsid w:val="00E741FC"/>
    <w:rsid w:val="00E7508E"/>
    <w:rsid w:val="00E80AA2"/>
    <w:rsid w:val="00E80EC0"/>
    <w:rsid w:val="00E81580"/>
    <w:rsid w:val="00E82AB6"/>
    <w:rsid w:val="00E8506E"/>
    <w:rsid w:val="00E86164"/>
    <w:rsid w:val="00E92653"/>
    <w:rsid w:val="00E92F58"/>
    <w:rsid w:val="00E9478E"/>
    <w:rsid w:val="00E94ACF"/>
    <w:rsid w:val="00E9660F"/>
    <w:rsid w:val="00EA065C"/>
    <w:rsid w:val="00EA18AE"/>
    <w:rsid w:val="00EA6499"/>
    <w:rsid w:val="00EB17C4"/>
    <w:rsid w:val="00EB1A7A"/>
    <w:rsid w:val="00EC3625"/>
    <w:rsid w:val="00EC43C2"/>
    <w:rsid w:val="00ED1193"/>
    <w:rsid w:val="00ED37A5"/>
    <w:rsid w:val="00ED61BE"/>
    <w:rsid w:val="00EE2040"/>
    <w:rsid w:val="00EE47C9"/>
    <w:rsid w:val="00EE5B5D"/>
    <w:rsid w:val="00EE6096"/>
    <w:rsid w:val="00EE635C"/>
    <w:rsid w:val="00EE6448"/>
    <w:rsid w:val="00EE7B65"/>
    <w:rsid w:val="00EF3A89"/>
    <w:rsid w:val="00EF4D13"/>
    <w:rsid w:val="00F00DA2"/>
    <w:rsid w:val="00F0479D"/>
    <w:rsid w:val="00F071DF"/>
    <w:rsid w:val="00F07FB2"/>
    <w:rsid w:val="00F101A6"/>
    <w:rsid w:val="00F10527"/>
    <w:rsid w:val="00F11730"/>
    <w:rsid w:val="00F1271D"/>
    <w:rsid w:val="00F12820"/>
    <w:rsid w:val="00F12FDB"/>
    <w:rsid w:val="00F149EF"/>
    <w:rsid w:val="00F14BEA"/>
    <w:rsid w:val="00F16BB1"/>
    <w:rsid w:val="00F17128"/>
    <w:rsid w:val="00F218C7"/>
    <w:rsid w:val="00F30C1E"/>
    <w:rsid w:val="00F327AF"/>
    <w:rsid w:val="00F36E2B"/>
    <w:rsid w:val="00F37D38"/>
    <w:rsid w:val="00F37FEC"/>
    <w:rsid w:val="00F42269"/>
    <w:rsid w:val="00F4783E"/>
    <w:rsid w:val="00F47E7D"/>
    <w:rsid w:val="00F5029E"/>
    <w:rsid w:val="00F511D5"/>
    <w:rsid w:val="00F53848"/>
    <w:rsid w:val="00F53DCB"/>
    <w:rsid w:val="00F54B69"/>
    <w:rsid w:val="00F554F4"/>
    <w:rsid w:val="00F56434"/>
    <w:rsid w:val="00F6421D"/>
    <w:rsid w:val="00F6488A"/>
    <w:rsid w:val="00F72E0A"/>
    <w:rsid w:val="00F735F6"/>
    <w:rsid w:val="00F759D3"/>
    <w:rsid w:val="00F774D6"/>
    <w:rsid w:val="00F82C34"/>
    <w:rsid w:val="00F83602"/>
    <w:rsid w:val="00F8374A"/>
    <w:rsid w:val="00F8515B"/>
    <w:rsid w:val="00F85631"/>
    <w:rsid w:val="00F869FA"/>
    <w:rsid w:val="00F86C73"/>
    <w:rsid w:val="00F9212F"/>
    <w:rsid w:val="00F934EF"/>
    <w:rsid w:val="00F94260"/>
    <w:rsid w:val="00F95270"/>
    <w:rsid w:val="00FA195A"/>
    <w:rsid w:val="00FA3149"/>
    <w:rsid w:val="00FA5A36"/>
    <w:rsid w:val="00FA642A"/>
    <w:rsid w:val="00FA79F5"/>
    <w:rsid w:val="00FB064C"/>
    <w:rsid w:val="00FB3C1E"/>
    <w:rsid w:val="00FB4B3F"/>
    <w:rsid w:val="00FB50E3"/>
    <w:rsid w:val="00FB51E6"/>
    <w:rsid w:val="00FB76D2"/>
    <w:rsid w:val="00FB7C5D"/>
    <w:rsid w:val="00FC1ACB"/>
    <w:rsid w:val="00FD0557"/>
    <w:rsid w:val="00FD12C0"/>
    <w:rsid w:val="00FD1C19"/>
    <w:rsid w:val="00FD5775"/>
    <w:rsid w:val="00FE5544"/>
    <w:rsid w:val="00FE59F7"/>
    <w:rsid w:val="00FE6C2F"/>
    <w:rsid w:val="00FE75CA"/>
    <w:rsid w:val="00FE75D6"/>
    <w:rsid w:val="00FF0B3F"/>
    <w:rsid w:val="00FF0C4D"/>
    <w:rsid w:val="00FF1032"/>
    <w:rsid w:val="00FF5DD2"/>
    <w:rsid w:val="00FF6DDA"/>
    <w:rsid w:val="00FF6FF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93D2"/>
  <w15:docId w15:val="{04158FAA-185D-47A8-9066-17B91A1C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EF6"/>
  </w:style>
  <w:style w:type="paragraph" w:styleId="Nagwek1">
    <w:name w:val="heading 1"/>
    <w:basedOn w:val="Normalny"/>
    <w:next w:val="Normalny"/>
    <w:link w:val="Nagwek1Znak"/>
    <w:uiPriority w:val="9"/>
    <w:qFormat/>
    <w:rsid w:val="004A55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13EE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A55C3"/>
    <w:rPr>
      <w:color w:val="000080"/>
      <w:u w:val="single"/>
    </w:rPr>
  </w:style>
  <w:style w:type="paragraph" w:styleId="Spistreci1">
    <w:name w:val="toc 1"/>
    <w:aliases w:val="Spis treści 1WT,Spis WT Krakow"/>
    <w:basedOn w:val="Normalny"/>
    <w:next w:val="Normalny"/>
    <w:uiPriority w:val="39"/>
    <w:qFormat/>
    <w:rsid w:val="004A55C3"/>
    <w:pPr>
      <w:suppressAutoHyphens/>
      <w:spacing w:after="0" w:line="240" w:lineRule="auto"/>
    </w:pPr>
    <w:rPr>
      <w:rFonts w:ascii="Times New Roman" w:eastAsia="Times New Roman" w:hAnsi="Times New Roman" w:cs="Times New Roman"/>
      <w:bCs/>
      <w:sz w:val="24"/>
      <w:szCs w:val="24"/>
      <w:lang w:eastAsia="zh-CN"/>
    </w:rPr>
  </w:style>
  <w:style w:type="paragraph" w:customStyle="1" w:styleId="inne1">
    <w:name w:val="_inne_1"/>
    <w:basedOn w:val="Nagwek1"/>
    <w:link w:val="inne1Znak"/>
    <w:autoRedefine/>
    <w:qFormat/>
    <w:rsid w:val="00E449A6"/>
    <w:pPr>
      <w:keepNext w:val="0"/>
      <w:keepLines w:val="0"/>
      <w:pageBreakBefore/>
      <w:numPr>
        <w:numId w:val="1"/>
      </w:numPr>
      <w:tabs>
        <w:tab w:val="clear" w:pos="4537"/>
        <w:tab w:val="num" w:pos="709"/>
      </w:tabs>
      <w:suppressAutoHyphens/>
      <w:spacing w:before="480" w:after="360" w:line="360" w:lineRule="auto"/>
      <w:ind w:left="426"/>
      <w:contextualSpacing/>
    </w:pPr>
    <w:rPr>
      <w:rFonts w:ascii="Times New Roman" w:eastAsia="Times New Roman" w:hAnsi="Times New Roman" w:cs="Times New Roman"/>
      <w:b/>
      <w:color w:val="auto"/>
      <w:kern w:val="28"/>
      <w:sz w:val="24"/>
      <w:szCs w:val="24"/>
      <w:lang w:eastAsia="zh-CN"/>
    </w:rPr>
  </w:style>
  <w:style w:type="character" w:customStyle="1" w:styleId="inne1Znak">
    <w:name w:val="_inne_1 Znak"/>
    <w:basedOn w:val="Domylnaczcionkaakapitu"/>
    <w:link w:val="inne1"/>
    <w:rsid w:val="00E449A6"/>
    <w:rPr>
      <w:rFonts w:ascii="Times New Roman" w:eastAsia="Times New Roman" w:hAnsi="Times New Roman" w:cs="Times New Roman"/>
      <w:b/>
      <w:kern w:val="28"/>
      <w:sz w:val="24"/>
      <w:szCs w:val="24"/>
      <w:lang w:eastAsia="zh-CN"/>
    </w:rPr>
  </w:style>
  <w:style w:type="character" w:customStyle="1" w:styleId="Nagwek1Znak">
    <w:name w:val="Nagłówek 1 Znak"/>
    <w:basedOn w:val="Domylnaczcionkaakapitu"/>
    <w:link w:val="Nagwek1"/>
    <w:uiPriority w:val="9"/>
    <w:rsid w:val="004A55C3"/>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734C23"/>
    <w:pPr>
      <w:ind w:left="720"/>
      <w:contextualSpacing/>
    </w:pPr>
  </w:style>
  <w:style w:type="paragraph" w:customStyle="1" w:styleId="inne2">
    <w:name w:val="_inne_2"/>
    <w:basedOn w:val="Normalny"/>
    <w:link w:val="inne2Znak"/>
    <w:qFormat/>
    <w:rsid w:val="006A4711"/>
    <w:pPr>
      <w:widowControl w:val="0"/>
      <w:numPr>
        <w:numId w:val="6"/>
      </w:numPr>
      <w:adjustRightInd w:val="0"/>
      <w:spacing w:before="360" w:after="240" w:line="276" w:lineRule="auto"/>
      <w:jc w:val="both"/>
      <w:textAlignment w:val="baseline"/>
    </w:pPr>
    <w:rPr>
      <w:rFonts w:ascii="Times New Roman" w:eastAsia="Times New Roman" w:hAnsi="Times New Roman" w:cs="Times New Roman"/>
      <w:sz w:val="24"/>
      <w:szCs w:val="24"/>
      <w:lang w:eastAsia="zh-CN"/>
    </w:rPr>
  </w:style>
  <w:style w:type="paragraph" w:customStyle="1" w:styleId="inne3">
    <w:name w:val="_inne_3"/>
    <w:basedOn w:val="Normalny"/>
    <w:link w:val="inne3Znak"/>
    <w:qFormat/>
    <w:rsid w:val="006A4711"/>
    <w:pPr>
      <w:numPr>
        <w:numId w:val="11"/>
      </w:numPr>
      <w:adjustRightInd w:val="0"/>
      <w:spacing w:after="120" w:line="276" w:lineRule="auto"/>
      <w:jc w:val="both"/>
      <w:textAlignment w:val="baseline"/>
    </w:pPr>
    <w:rPr>
      <w:rFonts w:ascii="Times New Roman" w:eastAsia="Times New Roman" w:hAnsi="Times New Roman" w:cs="Times New Roman"/>
      <w:sz w:val="24"/>
      <w:szCs w:val="24"/>
      <w:lang w:eastAsia="zh-CN"/>
    </w:rPr>
  </w:style>
  <w:style w:type="character" w:customStyle="1" w:styleId="inne2Znak">
    <w:name w:val="_inne_2 Znak"/>
    <w:basedOn w:val="Domylnaczcionkaakapitu"/>
    <w:link w:val="inne2"/>
    <w:qFormat/>
    <w:rsid w:val="006A4711"/>
    <w:rPr>
      <w:rFonts w:ascii="Times New Roman" w:eastAsia="Times New Roman" w:hAnsi="Times New Roman" w:cs="Times New Roman"/>
      <w:sz w:val="24"/>
      <w:szCs w:val="24"/>
      <w:lang w:eastAsia="zh-CN"/>
    </w:rPr>
  </w:style>
  <w:style w:type="character" w:customStyle="1" w:styleId="inne3Znak">
    <w:name w:val="_inne_3 Znak"/>
    <w:basedOn w:val="Domylnaczcionkaakapitu"/>
    <w:link w:val="inne3"/>
    <w:rsid w:val="006A4711"/>
    <w:rPr>
      <w:rFonts w:ascii="Times New Roman" w:eastAsia="Times New Roman" w:hAnsi="Times New Roman" w:cs="Times New Roman"/>
      <w:sz w:val="24"/>
      <w:szCs w:val="24"/>
      <w:lang w:eastAsia="zh-CN"/>
    </w:rPr>
  </w:style>
  <w:style w:type="character" w:customStyle="1" w:styleId="TekstkomentarzaZnak1">
    <w:name w:val="Tekst komentarza Znak1"/>
    <w:basedOn w:val="Domylnaczcionkaakapitu"/>
    <w:link w:val="Tekstkomentarza"/>
    <w:uiPriority w:val="99"/>
    <w:rsid w:val="00604DDC"/>
  </w:style>
  <w:style w:type="paragraph" w:styleId="Legenda">
    <w:name w:val="caption"/>
    <w:basedOn w:val="Normalny"/>
    <w:qFormat/>
    <w:rsid w:val="00604DDC"/>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styleId="Tekstkomentarza">
    <w:name w:val="annotation text"/>
    <w:basedOn w:val="Normalny"/>
    <w:link w:val="TekstkomentarzaZnak1"/>
    <w:uiPriority w:val="99"/>
    <w:unhideWhenUsed/>
    <w:qFormat/>
    <w:rsid w:val="00604DDC"/>
    <w:pPr>
      <w:suppressAutoHyphens/>
      <w:spacing w:after="0" w:line="240" w:lineRule="auto"/>
    </w:pPr>
  </w:style>
  <w:style w:type="character" w:customStyle="1" w:styleId="TekstkomentarzaZnak">
    <w:name w:val="Tekst komentarza Znak"/>
    <w:basedOn w:val="Domylnaczcionkaakapitu"/>
    <w:uiPriority w:val="99"/>
    <w:semiHidden/>
    <w:qFormat/>
    <w:rsid w:val="00604DDC"/>
    <w:rPr>
      <w:sz w:val="20"/>
      <w:szCs w:val="20"/>
    </w:rPr>
  </w:style>
  <w:style w:type="character" w:styleId="Odwoaniedokomentarza">
    <w:name w:val="annotation reference"/>
    <w:uiPriority w:val="99"/>
    <w:unhideWhenUsed/>
    <w:qFormat/>
    <w:rsid w:val="00604DDC"/>
    <w:rPr>
      <w:sz w:val="16"/>
      <w:szCs w:val="16"/>
    </w:rPr>
  </w:style>
  <w:style w:type="table" w:styleId="Tabela-Siatka">
    <w:name w:val="Table Grid"/>
    <w:basedOn w:val="Standardowy"/>
    <w:uiPriority w:val="59"/>
    <w:rsid w:val="00604DD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ne4ok">
    <w:name w:val="_inne_4_ok"/>
    <w:basedOn w:val="Normalny"/>
    <w:link w:val="inne4okZnak"/>
    <w:rsid w:val="00604DDC"/>
    <w:pPr>
      <w:adjustRightInd w:val="0"/>
      <w:spacing w:after="120" w:line="276" w:lineRule="auto"/>
      <w:ind w:left="567"/>
      <w:jc w:val="both"/>
      <w:textAlignment w:val="baseline"/>
    </w:pPr>
    <w:rPr>
      <w:rFonts w:ascii="Times New Roman" w:eastAsia="Times New Roman" w:hAnsi="Times New Roman" w:cs="Times New Roman"/>
      <w:sz w:val="24"/>
      <w:szCs w:val="24"/>
      <w:lang w:eastAsia="zh-CN"/>
    </w:rPr>
  </w:style>
  <w:style w:type="character" w:customStyle="1" w:styleId="inne4okZnak">
    <w:name w:val="_inne_4_ok Znak"/>
    <w:basedOn w:val="Domylnaczcionkaakapitu"/>
    <w:link w:val="inne4ok"/>
    <w:rsid w:val="00604DDC"/>
    <w:rPr>
      <w:rFonts w:ascii="Times New Roman" w:eastAsia="Times New Roman" w:hAnsi="Times New Roman" w:cs="Times New Roman"/>
      <w:sz w:val="24"/>
      <w:szCs w:val="24"/>
      <w:lang w:eastAsia="zh-CN"/>
    </w:rPr>
  </w:style>
  <w:style w:type="paragraph" w:customStyle="1" w:styleId="wKP4ok">
    <w:name w:val="_wKP4_ok"/>
    <w:basedOn w:val="Normalny"/>
    <w:link w:val="wKP4okZnak"/>
    <w:qFormat/>
    <w:rsid w:val="00604DDC"/>
    <w:pPr>
      <w:adjustRightInd w:val="0"/>
      <w:spacing w:after="120" w:line="276" w:lineRule="auto"/>
      <w:ind w:left="567"/>
      <w:jc w:val="both"/>
      <w:textAlignment w:val="baseline"/>
    </w:pPr>
    <w:rPr>
      <w:rFonts w:ascii="Times New Roman" w:eastAsia="Times New Roman" w:hAnsi="Times New Roman" w:cs="Times New Roman"/>
      <w:sz w:val="24"/>
      <w:szCs w:val="24"/>
      <w:lang w:eastAsia="zh-CN"/>
    </w:rPr>
  </w:style>
  <w:style w:type="character" w:customStyle="1" w:styleId="wKP4okZnak">
    <w:name w:val="_wKP4_ok Znak"/>
    <w:basedOn w:val="Domylnaczcionkaakapitu"/>
    <w:link w:val="wKP4ok"/>
    <w:rsid w:val="00604DDC"/>
    <w:rPr>
      <w:rFonts w:ascii="Times New Roman" w:eastAsia="Times New Roman" w:hAnsi="Times New Roman" w:cs="Times New Roman"/>
      <w:sz w:val="24"/>
      <w:szCs w:val="24"/>
      <w:lang w:eastAsia="zh-CN"/>
    </w:rPr>
  </w:style>
  <w:style w:type="paragraph" w:customStyle="1" w:styleId="inne4">
    <w:name w:val="_inne_4"/>
    <w:basedOn w:val="Normalny"/>
    <w:link w:val="inne4Znak"/>
    <w:qFormat/>
    <w:rsid w:val="00943CD1"/>
    <w:pPr>
      <w:numPr>
        <w:numId w:val="5"/>
      </w:numPr>
      <w:shd w:val="clear" w:color="auto" w:fill="FFFFFF"/>
      <w:spacing w:after="120" w:line="276" w:lineRule="auto"/>
      <w:contextualSpacing/>
      <w:jc w:val="both"/>
    </w:pPr>
    <w:rPr>
      <w:rFonts w:ascii="Times New Roman" w:eastAsia="Times New Roman" w:hAnsi="Times New Roman" w:cs="Times New Roman"/>
      <w:color w:val="000000"/>
      <w:sz w:val="24"/>
      <w:szCs w:val="24"/>
      <w:lang w:eastAsia="zh-CN"/>
    </w:rPr>
  </w:style>
  <w:style w:type="character" w:customStyle="1" w:styleId="inne4Znak">
    <w:name w:val="_inne_4 Znak"/>
    <w:basedOn w:val="Domylnaczcionkaakapitu"/>
    <w:link w:val="inne4"/>
    <w:rsid w:val="00943CD1"/>
    <w:rPr>
      <w:rFonts w:ascii="Times New Roman" w:eastAsia="Times New Roman" w:hAnsi="Times New Roman" w:cs="Times New Roman"/>
      <w:color w:val="000000"/>
      <w:sz w:val="24"/>
      <w:szCs w:val="24"/>
      <w:shd w:val="clear" w:color="auto" w:fill="FFFFFF"/>
      <w:lang w:eastAsia="zh-CN"/>
    </w:rPr>
  </w:style>
  <w:style w:type="paragraph" w:customStyle="1" w:styleId="inne5">
    <w:name w:val="_inne_5"/>
    <w:basedOn w:val="inne4"/>
    <w:rsid w:val="00943CD1"/>
    <w:pPr>
      <w:numPr>
        <w:ilvl w:val="1"/>
      </w:numPr>
      <w:tabs>
        <w:tab w:val="num" w:pos="360"/>
      </w:tabs>
      <w:ind w:left="1440"/>
    </w:pPr>
  </w:style>
  <w:style w:type="paragraph" w:customStyle="1" w:styleId="pOw2">
    <w:name w:val="_pOśw2_"/>
    <w:basedOn w:val="Normalny"/>
    <w:link w:val="pOw2Znak"/>
    <w:rsid w:val="003E0359"/>
    <w:pPr>
      <w:widowControl w:val="0"/>
      <w:adjustRightInd w:val="0"/>
      <w:spacing w:before="360" w:after="240" w:line="276" w:lineRule="auto"/>
      <w:ind w:left="502" w:hanging="360"/>
      <w:jc w:val="both"/>
      <w:textAlignment w:val="baseline"/>
    </w:pPr>
    <w:rPr>
      <w:rFonts w:ascii="Times New Roman" w:eastAsia="Times New Roman" w:hAnsi="Times New Roman" w:cs="Times New Roman"/>
      <w:sz w:val="24"/>
      <w:szCs w:val="24"/>
      <w:lang w:eastAsia="zh-CN"/>
    </w:rPr>
  </w:style>
  <w:style w:type="character" w:customStyle="1" w:styleId="pOw2Znak">
    <w:name w:val="_pOśw2_ Znak"/>
    <w:basedOn w:val="Domylnaczcionkaakapitu"/>
    <w:link w:val="pOw2"/>
    <w:rsid w:val="003E0359"/>
    <w:rPr>
      <w:rFonts w:ascii="Times New Roman" w:eastAsia="Times New Roman" w:hAnsi="Times New Roman" w:cs="Times New Roman"/>
      <w:sz w:val="24"/>
      <w:szCs w:val="24"/>
      <w:lang w:eastAsia="zh-CN"/>
    </w:rPr>
  </w:style>
  <w:style w:type="paragraph" w:customStyle="1" w:styleId="pWad1">
    <w:name w:val="_pWad1"/>
    <w:basedOn w:val="Nagwek1"/>
    <w:link w:val="pWad1Znak"/>
    <w:autoRedefine/>
    <w:rsid w:val="00CF0D47"/>
    <w:pPr>
      <w:keepNext w:val="0"/>
      <w:keepLines w:val="0"/>
      <w:pageBreakBefore/>
      <w:tabs>
        <w:tab w:val="num" w:pos="0"/>
      </w:tabs>
      <w:suppressAutoHyphens/>
      <w:spacing w:before="480" w:after="360" w:line="360" w:lineRule="auto"/>
      <w:ind w:left="360" w:hanging="360"/>
      <w:contextualSpacing/>
      <w:jc w:val="both"/>
    </w:pPr>
    <w:rPr>
      <w:rFonts w:ascii="Times New Roman" w:eastAsia="Times New Roman" w:hAnsi="Times New Roman" w:cs="Times New Roman"/>
      <w:b/>
      <w:color w:val="auto"/>
      <w:kern w:val="28"/>
      <w:sz w:val="24"/>
      <w:szCs w:val="24"/>
      <w:lang w:eastAsia="zh-CN"/>
    </w:rPr>
  </w:style>
  <w:style w:type="paragraph" w:customStyle="1" w:styleId="pWad2">
    <w:name w:val="_pWad2"/>
    <w:basedOn w:val="Normalny"/>
    <w:link w:val="pWad2Znak"/>
    <w:rsid w:val="00CF0D47"/>
    <w:pPr>
      <w:widowControl w:val="0"/>
      <w:adjustRightInd w:val="0"/>
      <w:spacing w:before="360" w:after="240" w:line="276" w:lineRule="auto"/>
      <w:ind w:left="502" w:hanging="360"/>
      <w:jc w:val="both"/>
      <w:textAlignment w:val="baseline"/>
    </w:pPr>
    <w:rPr>
      <w:rFonts w:ascii="Times New Roman" w:eastAsia="Times New Roman" w:hAnsi="Times New Roman" w:cs="Times New Roman"/>
      <w:sz w:val="24"/>
      <w:szCs w:val="24"/>
      <w:lang w:eastAsia="zh-CN"/>
    </w:rPr>
  </w:style>
  <w:style w:type="character" w:customStyle="1" w:styleId="pWad1Znak">
    <w:name w:val="_pWad1 Znak"/>
    <w:basedOn w:val="Domylnaczcionkaakapitu"/>
    <w:link w:val="pWad1"/>
    <w:rsid w:val="00CF0D47"/>
    <w:rPr>
      <w:rFonts w:ascii="Times New Roman" w:eastAsia="Times New Roman" w:hAnsi="Times New Roman" w:cs="Times New Roman"/>
      <w:b/>
      <w:kern w:val="28"/>
      <w:sz w:val="24"/>
      <w:szCs w:val="24"/>
      <w:lang w:eastAsia="zh-CN"/>
    </w:rPr>
  </w:style>
  <w:style w:type="paragraph" w:customStyle="1" w:styleId="pWad3">
    <w:name w:val="_pWad3"/>
    <w:basedOn w:val="Normalny"/>
    <w:link w:val="pWad3Znak"/>
    <w:rsid w:val="00CF0D47"/>
    <w:pPr>
      <w:adjustRightInd w:val="0"/>
      <w:spacing w:after="120" w:line="276" w:lineRule="auto"/>
      <w:ind w:left="720" w:hanging="360"/>
      <w:jc w:val="both"/>
      <w:textAlignment w:val="baseline"/>
    </w:pPr>
    <w:rPr>
      <w:rFonts w:ascii="Times New Roman" w:eastAsia="Times New Roman" w:hAnsi="Times New Roman" w:cs="Times New Roman"/>
      <w:sz w:val="24"/>
      <w:szCs w:val="24"/>
      <w:lang w:eastAsia="zh-CN"/>
    </w:rPr>
  </w:style>
  <w:style w:type="character" w:customStyle="1" w:styleId="pWad2Znak">
    <w:name w:val="_pWad2 Znak"/>
    <w:basedOn w:val="Domylnaczcionkaakapitu"/>
    <w:link w:val="pWad2"/>
    <w:rsid w:val="00CF0D47"/>
    <w:rPr>
      <w:rFonts w:ascii="Times New Roman" w:eastAsia="Times New Roman" w:hAnsi="Times New Roman" w:cs="Times New Roman"/>
      <w:sz w:val="24"/>
      <w:szCs w:val="24"/>
      <w:lang w:eastAsia="zh-CN"/>
    </w:rPr>
  </w:style>
  <w:style w:type="character" w:customStyle="1" w:styleId="pWad3Znak">
    <w:name w:val="_pWad3 Znak"/>
    <w:basedOn w:val="Domylnaczcionkaakapitu"/>
    <w:link w:val="pWad3"/>
    <w:rsid w:val="00CF0D47"/>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4C0044"/>
    <w:pPr>
      <w:suppressAutoHyphens w:val="0"/>
      <w:spacing w:after="160"/>
    </w:pPr>
    <w:rPr>
      <w:b/>
      <w:bCs/>
      <w:sz w:val="20"/>
      <w:szCs w:val="20"/>
    </w:rPr>
  </w:style>
  <w:style w:type="character" w:customStyle="1" w:styleId="TematkomentarzaZnak">
    <w:name w:val="Temat komentarza Znak"/>
    <w:basedOn w:val="TekstkomentarzaZnak1"/>
    <w:link w:val="Tematkomentarza"/>
    <w:uiPriority w:val="99"/>
    <w:semiHidden/>
    <w:rsid w:val="004C0044"/>
    <w:rPr>
      <w:b/>
      <w:bCs/>
      <w:sz w:val="20"/>
      <w:szCs w:val="20"/>
    </w:rPr>
  </w:style>
  <w:style w:type="paragraph" w:styleId="Nagwek">
    <w:name w:val="header"/>
    <w:basedOn w:val="Normalny"/>
    <w:link w:val="NagwekZnak"/>
    <w:uiPriority w:val="99"/>
    <w:unhideWhenUsed/>
    <w:rsid w:val="00CC5D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D51"/>
  </w:style>
  <w:style w:type="paragraph" w:styleId="Stopka">
    <w:name w:val="footer"/>
    <w:basedOn w:val="Normalny"/>
    <w:link w:val="StopkaZnak"/>
    <w:uiPriority w:val="99"/>
    <w:unhideWhenUsed/>
    <w:rsid w:val="00CC5D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D51"/>
  </w:style>
  <w:style w:type="character" w:customStyle="1" w:styleId="Nagwek2Znak">
    <w:name w:val="Nagłówek 2 Znak"/>
    <w:basedOn w:val="Domylnaczcionkaakapitu"/>
    <w:link w:val="Nagwek2"/>
    <w:rsid w:val="00013EE7"/>
    <w:rPr>
      <w:rFonts w:ascii="Times New Roman" w:eastAsia="Times New Roman" w:hAnsi="Times New Roman" w:cs="Times New Roman"/>
      <w:b/>
      <w:bCs/>
      <w:sz w:val="36"/>
      <w:szCs w:val="36"/>
      <w:lang w:eastAsia="pl-PL"/>
    </w:rPr>
  </w:style>
  <w:style w:type="character" w:customStyle="1" w:styleId="WW8Num3z1">
    <w:name w:val="WW8Num3z1"/>
    <w:rsid w:val="00AF61BC"/>
    <w:rPr>
      <w:rFonts w:ascii="Symbol" w:hAnsi="Symbol"/>
    </w:rPr>
  </w:style>
  <w:style w:type="paragraph" w:styleId="Poprawka">
    <w:name w:val="Revision"/>
    <w:hidden/>
    <w:uiPriority w:val="99"/>
    <w:semiHidden/>
    <w:rsid w:val="008F13AD"/>
    <w:pPr>
      <w:spacing w:after="0" w:line="240" w:lineRule="auto"/>
    </w:pPr>
  </w:style>
  <w:style w:type="paragraph" w:styleId="Tekstprzypisudolnego">
    <w:name w:val="footnote text"/>
    <w:basedOn w:val="Normalny"/>
    <w:link w:val="TekstprzypisudolnegoZnak"/>
    <w:uiPriority w:val="99"/>
    <w:semiHidden/>
    <w:unhideWhenUsed/>
    <w:rsid w:val="007F57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7A6"/>
    <w:rPr>
      <w:sz w:val="20"/>
      <w:szCs w:val="20"/>
    </w:rPr>
  </w:style>
  <w:style w:type="character" w:styleId="Odwoanieprzypisudolnego">
    <w:name w:val="footnote reference"/>
    <w:basedOn w:val="Domylnaczcionkaakapitu"/>
    <w:uiPriority w:val="99"/>
    <w:unhideWhenUsed/>
    <w:rsid w:val="007F57A6"/>
    <w:rPr>
      <w:vertAlign w:val="superscript"/>
    </w:rPr>
  </w:style>
  <w:style w:type="character" w:customStyle="1" w:styleId="Teksttreci2">
    <w:name w:val="Tekst treści (2)_"/>
    <w:basedOn w:val="Domylnaczcionkaakapitu"/>
    <w:link w:val="Teksttreci20"/>
    <w:rsid w:val="0049396C"/>
    <w:rPr>
      <w:rFonts w:ascii="Calibri" w:eastAsia="Calibri" w:hAnsi="Calibri" w:cs="Calibri"/>
      <w:sz w:val="28"/>
      <w:szCs w:val="28"/>
    </w:rPr>
  </w:style>
  <w:style w:type="character" w:customStyle="1" w:styleId="Nagwek10">
    <w:name w:val="Nagłówek #1_"/>
    <w:basedOn w:val="Domylnaczcionkaakapitu"/>
    <w:link w:val="Nagwek11"/>
    <w:rsid w:val="0049396C"/>
    <w:rPr>
      <w:rFonts w:ascii="Calibri" w:eastAsia="Calibri" w:hAnsi="Calibri" w:cs="Calibri"/>
      <w:sz w:val="40"/>
      <w:szCs w:val="40"/>
      <w:lang w:val="en-US" w:bidi="en-US"/>
    </w:rPr>
  </w:style>
  <w:style w:type="paragraph" w:customStyle="1" w:styleId="Teksttreci20">
    <w:name w:val="Tekst treści (2)"/>
    <w:basedOn w:val="Normalny"/>
    <w:link w:val="Teksttreci2"/>
    <w:rsid w:val="0049396C"/>
    <w:pPr>
      <w:widowControl w:val="0"/>
      <w:spacing w:after="3780" w:line="240" w:lineRule="auto"/>
      <w:jc w:val="center"/>
    </w:pPr>
    <w:rPr>
      <w:rFonts w:ascii="Calibri" w:eastAsia="Calibri" w:hAnsi="Calibri" w:cs="Calibri"/>
      <w:sz w:val="28"/>
      <w:szCs w:val="28"/>
    </w:rPr>
  </w:style>
  <w:style w:type="paragraph" w:customStyle="1" w:styleId="Nagwek11">
    <w:name w:val="Nagłówek #1"/>
    <w:basedOn w:val="Normalny"/>
    <w:link w:val="Nagwek10"/>
    <w:rsid w:val="0049396C"/>
    <w:pPr>
      <w:widowControl w:val="0"/>
      <w:spacing w:after="620" w:line="240" w:lineRule="auto"/>
      <w:jc w:val="center"/>
      <w:outlineLvl w:val="0"/>
    </w:pPr>
    <w:rPr>
      <w:rFonts w:ascii="Calibri" w:eastAsia="Calibri" w:hAnsi="Calibri" w:cs="Calibri"/>
      <w:sz w:val="40"/>
      <w:szCs w:val="40"/>
      <w:lang w:val="en-US" w:bidi="en-US"/>
    </w:rPr>
  </w:style>
  <w:style w:type="character" w:customStyle="1" w:styleId="Heading1">
    <w:name w:val="Heading #1_"/>
    <w:link w:val="Heading10"/>
    <w:locked/>
    <w:rsid w:val="0049396C"/>
    <w:rPr>
      <w:rFonts w:ascii="Times New Roman" w:hAnsi="Times New Roman"/>
      <w:b/>
      <w:sz w:val="32"/>
      <w:shd w:val="clear" w:color="auto" w:fill="FFFFFF"/>
    </w:rPr>
  </w:style>
  <w:style w:type="paragraph" w:customStyle="1" w:styleId="Heading10">
    <w:name w:val="Heading #1"/>
    <w:basedOn w:val="Normalny"/>
    <w:link w:val="Heading1"/>
    <w:rsid w:val="0049396C"/>
    <w:pPr>
      <w:widowControl w:val="0"/>
      <w:shd w:val="clear" w:color="auto" w:fill="FFFFFF"/>
      <w:spacing w:after="820" w:line="240" w:lineRule="auto"/>
      <w:ind w:left="260"/>
      <w:jc w:val="center"/>
      <w:outlineLvl w:val="0"/>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4091">
      <w:bodyDiv w:val="1"/>
      <w:marLeft w:val="0"/>
      <w:marRight w:val="0"/>
      <w:marTop w:val="0"/>
      <w:marBottom w:val="0"/>
      <w:divBdr>
        <w:top w:val="none" w:sz="0" w:space="0" w:color="auto"/>
        <w:left w:val="none" w:sz="0" w:space="0" w:color="auto"/>
        <w:bottom w:val="none" w:sz="0" w:space="0" w:color="auto"/>
        <w:right w:val="none" w:sz="0" w:space="0" w:color="auto"/>
      </w:divBdr>
    </w:div>
    <w:div w:id="222523594">
      <w:bodyDiv w:val="1"/>
      <w:marLeft w:val="0"/>
      <w:marRight w:val="0"/>
      <w:marTop w:val="0"/>
      <w:marBottom w:val="0"/>
      <w:divBdr>
        <w:top w:val="none" w:sz="0" w:space="0" w:color="auto"/>
        <w:left w:val="none" w:sz="0" w:space="0" w:color="auto"/>
        <w:bottom w:val="none" w:sz="0" w:space="0" w:color="auto"/>
        <w:right w:val="none" w:sz="0" w:space="0" w:color="auto"/>
      </w:divBdr>
    </w:div>
    <w:div w:id="282854181">
      <w:bodyDiv w:val="1"/>
      <w:marLeft w:val="0"/>
      <w:marRight w:val="0"/>
      <w:marTop w:val="0"/>
      <w:marBottom w:val="0"/>
      <w:divBdr>
        <w:top w:val="none" w:sz="0" w:space="0" w:color="auto"/>
        <w:left w:val="none" w:sz="0" w:space="0" w:color="auto"/>
        <w:bottom w:val="none" w:sz="0" w:space="0" w:color="auto"/>
        <w:right w:val="none" w:sz="0" w:space="0" w:color="auto"/>
      </w:divBdr>
    </w:div>
    <w:div w:id="333387107">
      <w:bodyDiv w:val="1"/>
      <w:marLeft w:val="0"/>
      <w:marRight w:val="0"/>
      <w:marTop w:val="0"/>
      <w:marBottom w:val="0"/>
      <w:divBdr>
        <w:top w:val="none" w:sz="0" w:space="0" w:color="auto"/>
        <w:left w:val="none" w:sz="0" w:space="0" w:color="auto"/>
        <w:bottom w:val="none" w:sz="0" w:space="0" w:color="auto"/>
        <w:right w:val="none" w:sz="0" w:space="0" w:color="auto"/>
      </w:divBdr>
    </w:div>
    <w:div w:id="416366861">
      <w:bodyDiv w:val="1"/>
      <w:marLeft w:val="0"/>
      <w:marRight w:val="0"/>
      <w:marTop w:val="0"/>
      <w:marBottom w:val="0"/>
      <w:divBdr>
        <w:top w:val="none" w:sz="0" w:space="0" w:color="auto"/>
        <w:left w:val="none" w:sz="0" w:space="0" w:color="auto"/>
        <w:bottom w:val="none" w:sz="0" w:space="0" w:color="auto"/>
        <w:right w:val="none" w:sz="0" w:space="0" w:color="auto"/>
      </w:divBdr>
    </w:div>
    <w:div w:id="808985368">
      <w:bodyDiv w:val="1"/>
      <w:marLeft w:val="0"/>
      <w:marRight w:val="0"/>
      <w:marTop w:val="0"/>
      <w:marBottom w:val="0"/>
      <w:divBdr>
        <w:top w:val="none" w:sz="0" w:space="0" w:color="auto"/>
        <w:left w:val="none" w:sz="0" w:space="0" w:color="auto"/>
        <w:bottom w:val="none" w:sz="0" w:space="0" w:color="auto"/>
        <w:right w:val="none" w:sz="0" w:space="0" w:color="auto"/>
      </w:divBdr>
    </w:div>
    <w:div w:id="819617836">
      <w:bodyDiv w:val="1"/>
      <w:marLeft w:val="0"/>
      <w:marRight w:val="0"/>
      <w:marTop w:val="0"/>
      <w:marBottom w:val="0"/>
      <w:divBdr>
        <w:top w:val="none" w:sz="0" w:space="0" w:color="auto"/>
        <w:left w:val="none" w:sz="0" w:space="0" w:color="auto"/>
        <w:bottom w:val="none" w:sz="0" w:space="0" w:color="auto"/>
        <w:right w:val="none" w:sz="0" w:space="0" w:color="auto"/>
      </w:divBdr>
    </w:div>
    <w:div w:id="986008486">
      <w:bodyDiv w:val="1"/>
      <w:marLeft w:val="0"/>
      <w:marRight w:val="0"/>
      <w:marTop w:val="0"/>
      <w:marBottom w:val="0"/>
      <w:divBdr>
        <w:top w:val="none" w:sz="0" w:space="0" w:color="auto"/>
        <w:left w:val="none" w:sz="0" w:space="0" w:color="auto"/>
        <w:bottom w:val="none" w:sz="0" w:space="0" w:color="auto"/>
        <w:right w:val="none" w:sz="0" w:space="0" w:color="auto"/>
      </w:divBdr>
    </w:div>
    <w:div w:id="1155681398">
      <w:bodyDiv w:val="1"/>
      <w:marLeft w:val="0"/>
      <w:marRight w:val="0"/>
      <w:marTop w:val="0"/>
      <w:marBottom w:val="0"/>
      <w:divBdr>
        <w:top w:val="none" w:sz="0" w:space="0" w:color="auto"/>
        <w:left w:val="none" w:sz="0" w:space="0" w:color="auto"/>
        <w:bottom w:val="none" w:sz="0" w:space="0" w:color="auto"/>
        <w:right w:val="none" w:sz="0" w:space="0" w:color="auto"/>
      </w:divBdr>
    </w:div>
    <w:div w:id="1422947229">
      <w:bodyDiv w:val="1"/>
      <w:marLeft w:val="0"/>
      <w:marRight w:val="0"/>
      <w:marTop w:val="0"/>
      <w:marBottom w:val="0"/>
      <w:divBdr>
        <w:top w:val="none" w:sz="0" w:space="0" w:color="auto"/>
        <w:left w:val="none" w:sz="0" w:space="0" w:color="auto"/>
        <w:bottom w:val="none" w:sz="0" w:space="0" w:color="auto"/>
        <w:right w:val="none" w:sz="0" w:space="0" w:color="auto"/>
      </w:divBdr>
    </w:div>
    <w:div w:id="1698308418">
      <w:bodyDiv w:val="1"/>
      <w:marLeft w:val="0"/>
      <w:marRight w:val="0"/>
      <w:marTop w:val="0"/>
      <w:marBottom w:val="0"/>
      <w:divBdr>
        <w:top w:val="none" w:sz="0" w:space="0" w:color="auto"/>
        <w:left w:val="none" w:sz="0" w:space="0" w:color="auto"/>
        <w:bottom w:val="none" w:sz="0" w:space="0" w:color="auto"/>
        <w:right w:val="none" w:sz="0" w:space="0" w:color="auto"/>
      </w:divBdr>
    </w:div>
    <w:div w:id="1699507433">
      <w:bodyDiv w:val="1"/>
      <w:marLeft w:val="0"/>
      <w:marRight w:val="0"/>
      <w:marTop w:val="0"/>
      <w:marBottom w:val="0"/>
      <w:divBdr>
        <w:top w:val="none" w:sz="0" w:space="0" w:color="auto"/>
        <w:left w:val="none" w:sz="0" w:space="0" w:color="auto"/>
        <w:bottom w:val="none" w:sz="0" w:space="0" w:color="auto"/>
        <w:right w:val="none" w:sz="0" w:space="0" w:color="auto"/>
      </w:divBdr>
    </w:div>
    <w:div w:id="1985309723">
      <w:bodyDiv w:val="1"/>
      <w:marLeft w:val="0"/>
      <w:marRight w:val="0"/>
      <w:marTop w:val="0"/>
      <w:marBottom w:val="0"/>
      <w:divBdr>
        <w:top w:val="none" w:sz="0" w:space="0" w:color="auto"/>
        <w:left w:val="none" w:sz="0" w:space="0" w:color="auto"/>
        <w:bottom w:val="none" w:sz="0" w:space="0" w:color="auto"/>
        <w:right w:val="none" w:sz="0" w:space="0" w:color="auto"/>
      </w:divBdr>
    </w:div>
    <w:div w:id="1987078273">
      <w:bodyDiv w:val="1"/>
      <w:marLeft w:val="0"/>
      <w:marRight w:val="0"/>
      <w:marTop w:val="0"/>
      <w:marBottom w:val="0"/>
      <w:divBdr>
        <w:top w:val="none" w:sz="0" w:space="0" w:color="auto"/>
        <w:left w:val="none" w:sz="0" w:space="0" w:color="auto"/>
        <w:bottom w:val="none" w:sz="0" w:space="0" w:color="auto"/>
        <w:right w:val="none" w:sz="0" w:space="0" w:color="auto"/>
      </w:divBdr>
    </w:div>
    <w:div w:id="2089693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937C72E44E84944B0A58D8BCFA3999B" ma:contentTypeVersion="2" ma:contentTypeDescription="Utwórz nowy dokument." ma:contentTypeScope="" ma:versionID="aef554a2649a5aa8facce596b37f064b">
  <xsd:schema xmlns:xsd="http://www.w3.org/2001/XMLSchema" xmlns:xs="http://www.w3.org/2001/XMLSchema" xmlns:p="http://schemas.microsoft.com/office/2006/metadata/properties" xmlns:ns3="9f222649-b3e8-4016-a933-c6cc9e14309a" targetNamespace="http://schemas.microsoft.com/office/2006/metadata/properties" ma:root="true" ma:fieldsID="51775ec0f54d6dcdee756277735bfcfa" ns3:_="">
    <xsd:import namespace="9f222649-b3e8-4016-a933-c6cc9e1430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22649-b3e8-4016-a933-c6cc9e143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ED5BA-C3AB-4001-85D6-55BEC7340567}">
  <ds:schemaRefs>
    <ds:schemaRef ds:uri="http://schemas.openxmlformats.org/officeDocument/2006/bibliography"/>
  </ds:schemaRefs>
</ds:datastoreItem>
</file>

<file path=customXml/itemProps2.xml><?xml version="1.0" encoding="utf-8"?>
<ds:datastoreItem xmlns:ds="http://schemas.openxmlformats.org/officeDocument/2006/customXml" ds:itemID="{642C1977-453D-47A5-80D8-E318F2034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A59F7-D00C-4F88-80AB-25F43BA93662}">
  <ds:schemaRefs>
    <ds:schemaRef ds:uri="http://schemas.microsoft.com/sharepoint/v3/contenttype/forms"/>
  </ds:schemaRefs>
</ds:datastoreItem>
</file>

<file path=customXml/itemProps4.xml><?xml version="1.0" encoding="utf-8"?>
<ds:datastoreItem xmlns:ds="http://schemas.openxmlformats.org/officeDocument/2006/customXml" ds:itemID="{68A90075-5704-4D59-B437-25D9B7151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22649-b3e8-4016-a933-c6cc9e143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4499</Words>
  <Characters>26995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Warunki techniczne</vt:lpstr>
    </vt:vector>
  </TitlesOfParts>
  <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techniczne</dc:title>
  <dc:subject/>
  <dc:creator>PODGiK</dc:creator>
  <cp:keywords/>
  <dc:description/>
  <cp:lastModifiedBy>Agata Kotwica</cp:lastModifiedBy>
  <cp:revision>6</cp:revision>
  <cp:lastPrinted>2023-09-13T13:35:00Z</cp:lastPrinted>
  <dcterms:created xsi:type="dcterms:W3CDTF">2024-01-09T13:36:00Z</dcterms:created>
  <dcterms:modified xsi:type="dcterms:W3CDTF">2024-01-10T12:11:00Z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0x0101007937C72E44E84944B0A58D8BCFA3999B</vt:lpwstr>
  </property>
</Properties>
</file>