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16EB1" w14:textId="348F5BBE" w:rsidR="00DE4754" w:rsidRPr="00DE4754" w:rsidRDefault="009C71CB" w:rsidP="00DE4754">
      <w:pPr>
        <w:widowControl/>
        <w:tabs>
          <w:tab w:val="left" w:pos="708"/>
          <w:tab w:val="center" w:pos="4536"/>
          <w:tab w:val="right" w:pos="9072"/>
        </w:tabs>
        <w:suppressAutoHyphens w:val="0"/>
        <w:spacing w:line="276" w:lineRule="auto"/>
        <w:jc w:val="center"/>
        <w:textAlignment w:val="auto"/>
        <w:rPr>
          <w:rFonts w:cs="Calibri"/>
          <w:b/>
          <w:bCs/>
          <w:iCs/>
          <w:kern w:val="0"/>
          <w:sz w:val="20"/>
          <w:lang w:eastAsia="en-US"/>
        </w:rPr>
      </w:pPr>
      <w:r w:rsidRPr="009C71CB">
        <w:rPr>
          <w:rFonts w:cs="Calibri"/>
          <w:b/>
          <w:iCs/>
          <w:kern w:val="0"/>
          <w:sz w:val="20"/>
          <w:lang w:eastAsia="en-US"/>
        </w:rPr>
        <w:t>ZP.262.14.2024</w:t>
      </w:r>
      <w:r>
        <w:rPr>
          <w:rFonts w:cs="Calibri"/>
          <w:b/>
          <w:iCs/>
          <w:kern w:val="0"/>
          <w:sz w:val="20"/>
          <w:lang w:eastAsia="en-US"/>
        </w:rPr>
        <w:t xml:space="preserve">                                                                                                                       </w:t>
      </w:r>
      <w:r w:rsidR="00DE4754" w:rsidRPr="00DE4754">
        <w:rPr>
          <w:rFonts w:cs="Calibri"/>
          <w:b/>
          <w:bCs/>
          <w:iCs/>
          <w:kern w:val="0"/>
          <w:sz w:val="20"/>
          <w:lang w:eastAsia="en-US"/>
        </w:rPr>
        <w:t>Załącznik nr 2</w:t>
      </w:r>
      <w:r w:rsidR="00DE4754">
        <w:rPr>
          <w:rFonts w:cs="Calibri"/>
          <w:b/>
          <w:bCs/>
          <w:iCs/>
          <w:kern w:val="0"/>
          <w:sz w:val="20"/>
          <w:lang w:eastAsia="en-US"/>
        </w:rPr>
        <w:t>a</w:t>
      </w:r>
      <w:r w:rsidR="00DE4754" w:rsidRPr="00DE4754">
        <w:rPr>
          <w:rFonts w:cs="Calibri"/>
          <w:b/>
          <w:bCs/>
          <w:iCs/>
          <w:kern w:val="0"/>
          <w:sz w:val="20"/>
          <w:lang w:eastAsia="en-US"/>
        </w:rPr>
        <w:t xml:space="preserve"> do SWZ</w:t>
      </w:r>
    </w:p>
    <w:p w14:paraId="3D155D19" w14:textId="77777777" w:rsidR="00DE4754" w:rsidRDefault="00DE4754" w:rsidP="00CF16D0">
      <w:pPr>
        <w:keepNext/>
        <w:tabs>
          <w:tab w:val="right" w:pos="9072"/>
        </w:tabs>
        <w:spacing w:before="240" w:after="60"/>
        <w:jc w:val="center"/>
        <w:outlineLvl w:val="3"/>
        <w:rPr>
          <w:rFonts w:eastAsia="Times New Roman" w:cs="Calibri"/>
          <w:b/>
          <w:iCs/>
          <w:lang w:val="x-none"/>
        </w:rPr>
      </w:pPr>
    </w:p>
    <w:p w14:paraId="26523D10" w14:textId="12C22515" w:rsidR="00666EAC" w:rsidRPr="0012017E" w:rsidRDefault="00666EAC" w:rsidP="00CF16D0">
      <w:pPr>
        <w:keepNext/>
        <w:tabs>
          <w:tab w:val="right" w:pos="9072"/>
        </w:tabs>
        <w:spacing w:before="240" w:after="60"/>
        <w:jc w:val="center"/>
        <w:outlineLvl w:val="3"/>
        <w:rPr>
          <w:rFonts w:eastAsia="Times New Roman" w:cs="Calibri"/>
          <w:b/>
          <w:iCs/>
          <w:lang w:val="x-none"/>
        </w:rPr>
      </w:pPr>
      <w:r w:rsidRPr="0012017E">
        <w:rPr>
          <w:rFonts w:eastAsia="Times New Roman" w:cs="Calibri"/>
          <w:b/>
          <w:iCs/>
          <w:lang w:val="x-none"/>
        </w:rPr>
        <w:t>OPIS PRZEDMIOTU ZAMÓWIENIA (OPZ)</w:t>
      </w:r>
    </w:p>
    <w:p w14:paraId="3BFD535F" w14:textId="77777777" w:rsidR="00666EAC" w:rsidRPr="0012017E" w:rsidRDefault="00666EAC" w:rsidP="00666EAC">
      <w:pPr>
        <w:rPr>
          <w:rFonts w:cs="Calibri"/>
          <w:iCs/>
          <w:lang w:eastAsia="x-none"/>
        </w:rPr>
      </w:pPr>
    </w:p>
    <w:p w14:paraId="09429ED8" w14:textId="3186A180" w:rsidR="007D6F8D" w:rsidRDefault="007D6F8D" w:rsidP="007D6F8D">
      <w:pPr>
        <w:spacing w:after="240" w:line="254" w:lineRule="auto"/>
        <w:jc w:val="both"/>
        <w:rPr>
          <w:rFonts w:eastAsia="Times New Roman" w:cs="Calibri"/>
          <w:iCs/>
        </w:rPr>
      </w:pPr>
      <w:r w:rsidRPr="007D6F8D">
        <w:rPr>
          <w:rFonts w:eastAsia="Times New Roman" w:cs="Calibri"/>
          <w:iCs/>
        </w:rPr>
        <w:t xml:space="preserve">Przedmiotem zamówienia </w:t>
      </w:r>
      <w:r w:rsidR="00547E20">
        <w:rPr>
          <w:rFonts w:eastAsia="Times New Roman" w:cs="Calibri"/>
          <w:iCs/>
        </w:rPr>
        <w:t xml:space="preserve">jest świadczenie </w:t>
      </w:r>
      <w:r w:rsidRPr="007D6F8D">
        <w:rPr>
          <w:rFonts w:eastAsia="Times New Roman" w:cs="Calibri"/>
          <w:iCs/>
        </w:rPr>
        <w:t>usługi w zakresie przygotowania i przeprowadzenia spotkań upowszechniająco-informacyjn</w:t>
      </w:r>
      <w:r w:rsidR="00547E20">
        <w:rPr>
          <w:rFonts w:eastAsia="Times New Roman" w:cs="Calibri"/>
          <w:iCs/>
        </w:rPr>
        <w:t>ych</w:t>
      </w:r>
      <w:r w:rsidRPr="007D6F8D">
        <w:rPr>
          <w:rFonts w:eastAsia="Times New Roman" w:cs="Calibri"/>
          <w:iCs/>
        </w:rPr>
        <w:t xml:space="preserve"> na temat rozwoju usług społecznych świadczonych w społeczności lokalnej i deinstytucjonalizacji (DI) wraz z przygotowaniem materiałów edukacyjnych dla uczestników projektu realizowanego przez Dolnośląski Ośrodek Polityki Społecznej we Wrocławiu pn. „Koordynacja działań w zakresie polityki społecznej w województwie dolnośląskim” w podziale na 6 zadań:</w:t>
      </w:r>
      <w:r>
        <w:rPr>
          <w:rFonts w:eastAsia="Times New Roman" w:cs="Calibri"/>
          <w:iCs/>
        </w:rPr>
        <w:t xml:space="preserve"> </w:t>
      </w:r>
      <w:r w:rsidRPr="007D6F8D">
        <w:rPr>
          <w:rFonts w:eastAsia="Times New Roman" w:cs="Calibri"/>
          <w:iCs/>
        </w:rPr>
        <w:t>Zad. 1- bezdomność, forma stacjonarna</w:t>
      </w:r>
      <w:r>
        <w:rPr>
          <w:rFonts w:eastAsia="Times New Roman" w:cs="Calibri"/>
          <w:iCs/>
        </w:rPr>
        <w:t xml:space="preserve"> </w:t>
      </w:r>
      <w:r w:rsidRPr="007D6F8D">
        <w:rPr>
          <w:rFonts w:eastAsia="Times New Roman" w:cs="Calibri"/>
          <w:iCs/>
        </w:rPr>
        <w:t>i/lub</w:t>
      </w:r>
      <w:r>
        <w:rPr>
          <w:rFonts w:eastAsia="Times New Roman" w:cs="Calibri"/>
          <w:iCs/>
        </w:rPr>
        <w:t xml:space="preserve"> </w:t>
      </w:r>
      <w:r w:rsidRPr="007D6F8D">
        <w:rPr>
          <w:rFonts w:eastAsia="Times New Roman" w:cs="Calibri"/>
          <w:iCs/>
        </w:rPr>
        <w:t xml:space="preserve">Zadanie 2- kryzys psychiczny </w:t>
      </w:r>
      <w:r>
        <w:rPr>
          <w:rFonts w:eastAsia="Times New Roman" w:cs="Calibri"/>
          <w:iCs/>
        </w:rPr>
        <w:t xml:space="preserve">, </w:t>
      </w:r>
      <w:r w:rsidRPr="007D6F8D">
        <w:rPr>
          <w:rFonts w:eastAsia="Times New Roman" w:cs="Calibri"/>
          <w:iCs/>
        </w:rPr>
        <w:t>forma stacjonarna</w:t>
      </w:r>
      <w:r>
        <w:rPr>
          <w:rFonts w:eastAsia="Times New Roman" w:cs="Calibri"/>
          <w:iCs/>
        </w:rPr>
        <w:t xml:space="preserve"> </w:t>
      </w:r>
      <w:r w:rsidRPr="007D6F8D">
        <w:rPr>
          <w:rFonts w:eastAsia="Times New Roman" w:cs="Calibri"/>
          <w:iCs/>
        </w:rPr>
        <w:t>i/lub</w:t>
      </w:r>
      <w:r>
        <w:rPr>
          <w:rFonts w:eastAsia="Times New Roman" w:cs="Calibri"/>
          <w:iCs/>
        </w:rPr>
        <w:t xml:space="preserve"> </w:t>
      </w:r>
      <w:r w:rsidRPr="007D6F8D">
        <w:rPr>
          <w:rFonts w:eastAsia="Times New Roman" w:cs="Calibri"/>
          <w:iCs/>
        </w:rPr>
        <w:t>Zadanie 3- seniorzy i osoby z niepełnosprawnościami</w:t>
      </w:r>
      <w:r>
        <w:rPr>
          <w:rFonts w:eastAsia="Times New Roman" w:cs="Calibri"/>
          <w:iCs/>
        </w:rPr>
        <w:t xml:space="preserve">, </w:t>
      </w:r>
      <w:r w:rsidRPr="007D6F8D">
        <w:rPr>
          <w:rFonts w:eastAsia="Times New Roman" w:cs="Calibri"/>
          <w:iCs/>
        </w:rPr>
        <w:t>forma stacjonarna</w:t>
      </w:r>
      <w:r>
        <w:rPr>
          <w:rFonts w:eastAsia="Times New Roman" w:cs="Calibri"/>
          <w:iCs/>
        </w:rPr>
        <w:t xml:space="preserve"> </w:t>
      </w:r>
      <w:r w:rsidRPr="007D6F8D">
        <w:rPr>
          <w:rFonts w:eastAsia="Times New Roman" w:cs="Calibri"/>
          <w:iCs/>
        </w:rPr>
        <w:t>i/lub</w:t>
      </w:r>
      <w:r>
        <w:rPr>
          <w:rFonts w:eastAsia="Times New Roman" w:cs="Calibri"/>
          <w:iCs/>
        </w:rPr>
        <w:t xml:space="preserve"> </w:t>
      </w:r>
      <w:r w:rsidRPr="007D6F8D">
        <w:rPr>
          <w:rFonts w:eastAsia="Times New Roman" w:cs="Calibri"/>
          <w:iCs/>
        </w:rPr>
        <w:t>Zadanie 4- bezdomność</w:t>
      </w:r>
      <w:r>
        <w:rPr>
          <w:rFonts w:eastAsia="Times New Roman" w:cs="Calibri"/>
          <w:iCs/>
        </w:rPr>
        <w:t>,</w:t>
      </w:r>
      <w:r w:rsidRPr="007D6F8D">
        <w:rPr>
          <w:rFonts w:eastAsia="Times New Roman" w:cs="Calibri"/>
          <w:iCs/>
        </w:rPr>
        <w:t xml:space="preserve"> forma online</w:t>
      </w:r>
      <w:r>
        <w:rPr>
          <w:rFonts w:eastAsia="Times New Roman" w:cs="Calibri"/>
          <w:iCs/>
        </w:rPr>
        <w:t xml:space="preserve"> </w:t>
      </w:r>
      <w:r w:rsidRPr="007D6F8D">
        <w:rPr>
          <w:rFonts w:eastAsia="Times New Roman" w:cs="Calibri"/>
          <w:iCs/>
        </w:rPr>
        <w:t>i/lub</w:t>
      </w:r>
      <w:r>
        <w:rPr>
          <w:rFonts w:eastAsia="Times New Roman" w:cs="Calibri"/>
          <w:iCs/>
        </w:rPr>
        <w:t xml:space="preserve"> </w:t>
      </w:r>
      <w:r w:rsidRPr="007D6F8D">
        <w:rPr>
          <w:rFonts w:eastAsia="Times New Roman" w:cs="Calibri"/>
          <w:iCs/>
        </w:rPr>
        <w:t>Zadanie 5- kryzys psychiczny</w:t>
      </w:r>
      <w:r>
        <w:rPr>
          <w:rFonts w:eastAsia="Times New Roman" w:cs="Calibri"/>
          <w:iCs/>
        </w:rPr>
        <w:t xml:space="preserve">, </w:t>
      </w:r>
      <w:r w:rsidRPr="007D6F8D">
        <w:rPr>
          <w:rFonts w:eastAsia="Times New Roman" w:cs="Calibri"/>
          <w:iCs/>
        </w:rPr>
        <w:t>forma online</w:t>
      </w:r>
      <w:r>
        <w:rPr>
          <w:rFonts w:eastAsia="Times New Roman" w:cs="Calibri"/>
          <w:iCs/>
        </w:rPr>
        <w:t xml:space="preserve"> </w:t>
      </w:r>
      <w:r w:rsidRPr="007D6F8D">
        <w:rPr>
          <w:rFonts w:eastAsia="Times New Roman" w:cs="Calibri"/>
          <w:iCs/>
        </w:rPr>
        <w:t>i/lub</w:t>
      </w:r>
      <w:r>
        <w:rPr>
          <w:rFonts w:eastAsia="Times New Roman" w:cs="Calibri"/>
          <w:iCs/>
        </w:rPr>
        <w:t xml:space="preserve"> </w:t>
      </w:r>
      <w:r w:rsidRPr="007D6F8D">
        <w:rPr>
          <w:rFonts w:eastAsia="Times New Roman" w:cs="Calibri"/>
          <w:iCs/>
        </w:rPr>
        <w:t>Zadanie 6- seniorzy i osoby z niepełnosprawnościami</w:t>
      </w:r>
      <w:r>
        <w:rPr>
          <w:rFonts w:eastAsia="Times New Roman" w:cs="Calibri"/>
          <w:iCs/>
        </w:rPr>
        <w:t>,</w:t>
      </w:r>
      <w:r w:rsidRPr="007D6F8D">
        <w:rPr>
          <w:rFonts w:eastAsia="Times New Roman" w:cs="Calibri"/>
          <w:iCs/>
        </w:rPr>
        <w:t xml:space="preserve"> forma online</w:t>
      </w:r>
      <w:r>
        <w:rPr>
          <w:rFonts w:eastAsia="Times New Roman" w:cs="Calibri"/>
          <w:iCs/>
        </w:rPr>
        <w:t>.</w:t>
      </w:r>
    </w:p>
    <w:p w14:paraId="3DE0F450" w14:textId="6A54891B" w:rsidR="00E573C6" w:rsidRDefault="00E573C6" w:rsidP="00E573C6">
      <w:pPr>
        <w:spacing w:after="240" w:line="252" w:lineRule="auto"/>
        <w:jc w:val="both"/>
        <w:textAlignment w:val="auto"/>
        <w:rPr>
          <w:rFonts w:eastAsia="Times New Roman" w:cs="Calibri"/>
          <w:iCs/>
        </w:rPr>
      </w:pPr>
      <w:r w:rsidRPr="00E573C6">
        <w:rPr>
          <w:rFonts w:eastAsia="Times New Roman" w:cs="Calibri"/>
          <w:iCs/>
          <w:szCs w:val="22"/>
          <w:lang w:eastAsia="en-US"/>
        </w:rPr>
        <w:t>Projekt jest dofinansowany z Unii Europejskiej w ramach Działania 4.13 Program Fundusze Europejskie dla Rozwoju Społecznego 2021-2027 (FERS)</w:t>
      </w:r>
      <w:r>
        <w:rPr>
          <w:rFonts w:eastAsia="Times New Roman" w:cs="Calibri"/>
          <w:iCs/>
          <w:szCs w:val="22"/>
          <w:lang w:eastAsia="en-US"/>
        </w:rPr>
        <w:t>.</w:t>
      </w:r>
    </w:p>
    <w:p w14:paraId="20D88718" w14:textId="35C98CA8" w:rsidR="00324D4A" w:rsidRPr="007D6F8D" w:rsidRDefault="007D6F8D" w:rsidP="007D6F8D">
      <w:pPr>
        <w:spacing w:after="240" w:line="254" w:lineRule="auto"/>
        <w:jc w:val="center"/>
        <w:rPr>
          <w:rFonts w:eastAsia="Times New Roman" w:cs="Calibri"/>
          <w:b/>
          <w:bCs/>
          <w:iCs/>
        </w:rPr>
      </w:pPr>
      <w:r>
        <w:rPr>
          <w:rFonts w:eastAsia="Times New Roman" w:cs="Calibri"/>
          <w:b/>
          <w:bCs/>
          <w:iCs/>
        </w:rPr>
        <w:t xml:space="preserve">OPZ </w:t>
      </w:r>
      <w:r w:rsidRPr="007D6F8D">
        <w:rPr>
          <w:rFonts w:eastAsia="Times New Roman" w:cs="Calibri"/>
          <w:b/>
          <w:bCs/>
          <w:iCs/>
        </w:rPr>
        <w:t>DOTYCZY Zad. 1- bezdomność, forma stacjonarna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7806"/>
      </w:tblGrid>
      <w:tr w:rsidR="00666EAC" w:rsidRPr="0012017E" w14:paraId="3613337C" w14:textId="77777777" w:rsidTr="00B0080D">
        <w:trPr>
          <w:trHeight w:val="127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54907" w14:textId="1768C37B" w:rsidR="00666EAC" w:rsidRPr="0012017E" w:rsidRDefault="00666EAC">
            <w:pPr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t xml:space="preserve">Przedmiot zamówienia 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57BF" w14:textId="35D57CF8" w:rsidR="00666EAC" w:rsidRPr="00324D4A" w:rsidRDefault="00666EAC">
            <w:pPr>
              <w:rPr>
                <w:rFonts w:eastAsia="Times New Roman" w:cs="Calibri"/>
                <w:iCs/>
              </w:rPr>
            </w:pPr>
          </w:p>
          <w:p w14:paraId="6B164228" w14:textId="5D795B72" w:rsidR="00666EAC" w:rsidRPr="00324D4A" w:rsidRDefault="00666EAC">
            <w:pPr>
              <w:tabs>
                <w:tab w:val="left" w:pos="348"/>
              </w:tabs>
              <w:rPr>
                <w:rFonts w:eastAsia="Times New Roman" w:cs="Calibri"/>
                <w:iCs/>
              </w:rPr>
            </w:pPr>
            <w:r w:rsidRPr="00324D4A">
              <w:rPr>
                <w:rFonts w:eastAsia="Times New Roman" w:cs="Calibri"/>
                <w:iCs/>
              </w:rPr>
              <w:t>Spotkani</w:t>
            </w:r>
            <w:r w:rsidR="00323B9F">
              <w:rPr>
                <w:rFonts w:eastAsia="Times New Roman" w:cs="Calibri"/>
                <w:iCs/>
              </w:rPr>
              <w:t>e</w:t>
            </w:r>
            <w:r w:rsidRPr="00324D4A">
              <w:rPr>
                <w:rFonts w:eastAsia="Times New Roman" w:cs="Calibri"/>
                <w:iCs/>
              </w:rPr>
              <w:t xml:space="preserve"> organizowane</w:t>
            </w:r>
            <w:r w:rsidR="00323B9F">
              <w:rPr>
                <w:rFonts w:eastAsia="Times New Roman" w:cs="Calibri"/>
                <w:iCs/>
              </w:rPr>
              <w:t xml:space="preserve"> jest</w:t>
            </w:r>
            <w:r w:rsidRPr="00324D4A">
              <w:rPr>
                <w:rFonts w:eastAsia="Times New Roman" w:cs="Calibri"/>
                <w:iCs/>
              </w:rPr>
              <w:t xml:space="preserve"> dla uczestników projektu tj. </w:t>
            </w:r>
          </w:p>
          <w:p w14:paraId="4FF4D777" w14:textId="199A7F4F" w:rsidR="00666EAC" w:rsidRPr="00324D4A" w:rsidRDefault="00666EAC">
            <w:pPr>
              <w:pStyle w:val="Akapitzlist"/>
              <w:numPr>
                <w:ilvl w:val="0"/>
                <w:numId w:val="7"/>
              </w:numPr>
              <w:tabs>
                <w:tab w:val="left" w:pos="348"/>
              </w:tabs>
              <w:rPr>
                <w:rFonts w:eastAsia="Times New Roman" w:cs="Calibri"/>
                <w:iCs/>
              </w:rPr>
            </w:pPr>
            <w:r w:rsidRPr="00324D4A">
              <w:rPr>
                <w:rFonts w:eastAsia="Times New Roman" w:cs="Calibri"/>
                <w:iCs/>
              </w:rPr>
              <w:t xml:space="preserve">samorządy terytorialne (w tym instytucja pośrednicząca i zarządzająca) i ich jednostki organizacyjne, jako podmioty odpowiedzialne za organizację i dostarczanie usług aktywizacyjnych i usług społecznych na poziomie lokalnym; </w:t>
            </w:r>
          </w:p>
          <w:p w14:paraId="7EFACF76" w14:textId="4E6AB412" w:rsidR="00666EAC" w:rsidRPr="00324D4A" w:rsidRDefault="00666EAC">
            <w:pPr>
              <w:pStyle w:val="Akapitzlist"/>
              <w:numPr>
                <w:ilvl w:val="0"/>
                <w:numId w:val="7"/>
              </w:numPr>
              <w:tabs>
                <w:tab w:val="left" w:pos="348"/>
              </w:tabs>
              <w:rPr>
                <w:rFonts w:eastAsia="Times New Roman" w:cs="Calibri"/>
                <w:iCs/>
              </w:rPr>
            </w:pPr>
            <w:r w:rsidRPr="00324D4A">
              <w:rPr>
                <w:rFonts w:eastAsia="Times New Roman" w:cs="Calibri"/>
                <w:iCs/>
              </w:rPr>
              <w:t>podmioty organizujące wspieranie rodziny, pieczę zastępczą i adopcję;</w:t>
            </w:r>
          </w:p>
          <w:p w14:paraId="76F5DCE5" w14:textId="1E333232" w:rsidR="00666EAC" w:rsidRPr="00324D4A" w:rsidRDefault="00666EAC">
            <w:pPr>
              <w:pStyle w:val="Akapitzlist"/>
              <w:numPr>
                <w:ilvl w:val="0"/>
                <w:numId w:val="7"/>
              </w:numPr>
              <w:tabs>
                <w:tab w:val="left" w:pos="348"/>
              </w:tabs>
              <w:rPr>
                <w:rFonts w:eastAsia="Times New Roman" w:cs="Calibri"/>
                <w:iCs/>
              </w:rPr>
            </w:pPr>
            <w:r w:rsidRPr="00324D4A">
              <w:rPr>
                <w:rFonts w:eastAsia="Times New Roman" w:cs="Calibri"/>
                <w:iCs/>
              </w:rPr>
              <w:t>otoczenie systemu wspierania rodziny, pieczy zastępczej i adopcji</w:t>
            </w:r>
            <w:r w:rsidR="00826F37" w:rsidRPr="00324D4A">
              <w:rPr>
                <w:rFonts w:eastAsia="Times New Roman" w:cs="Calibri"/>
                <w:iCs/>
              </w:rPr>
              <w:t xml:space="preserve"> (otoczenie rozumiane jako podmioty i instytucje współdziałające w powyższym zakresie z ww. podmiotami, wśród których można wyróżnić sędziów, kuratorów sądowych, pedagogów rodziny, pracowników ochrony zdrowia, pracowników socjalnych i innych)</w:t>
            </w:r>
            <w:r w:rsidRPr="00324D4A">
              <w:rPr>
                <w:rFonts w:eastAsia="Times New Roman" w:cs="Calibri"/>
                <w:iCs/>
              </w:rPr>
              <w:t>;</w:t>
            </w:r>
          </w:p>
          <w:p w14:paraId="51284749" w14:textId="04F00BAA" w:rsidR="00666EAC" w:rsidRPr="00324D4A" w:rsidRDefault="00666EAC">
            <w:pPr>
              <w:pStyle w:val="Akapitzlist"/>
              <w:numPr>
                <w:ilvl w:val="0"/>
                <w:numId w:val="7"/>
              </w:numPr>
              <w:tabs>
                <w:tab w:val="left" w:pos="348"/>
              </w:tabs>
              <w:rPr>
                <w:rFonts w:eastAsia="Times New Roman" w:cs="Calibri"/>
                <w:iCs/>
              </w:rPr>
            </w:pPr>
            <w:r w:rsidRPr="00324D4A">
              <w:rPr>
                <w:rFonts w:eastAsia="Times New Roman" w:cs="Calibri"/>
                <w:iCs/>
              </w:rPr>
              <w:t>ośrodki wsparcia ekonomii społecznej, jako podmioty realizujące usługi wsparcia podmiotów ekonomii społecznej;</w:t>
            </w:r>
          </w:p>
          <w:p w14:paraId="11438C5F" w14:textId="3005760C" w:rsidR="00666EAC" w:rsidRPr="00324D4A" w:rsidRDefault="00666EAC">
            <w:pPr>
              <w:pStyle w:val="Akapitzlist"/>
              <w:numPr>
                <w:ilvl w:val="0"/>
                <w:numId w:val="7"/>
              </w:numPr>
              <w:tabs>
                <w:tab w:val="left" w:pos="348"/>
              </w:tabs>
              <w:rPr>
                <w:rFonts w:eastAsia="Times New Roman" w:cs="Calibri"/>
                <w:iCs/>
              </w:rPr>
            </w:pPr>
            <w:r w:rsidRPr="00324D4A">
              <w:rPr>
                <w:rFonts w:eastAsia="Times New Roman" w:cs="Calibri"/>
                <w:iCs/>
              </w:rPr>
              <w:t>inne podmioty, realizujące działania z zakresu polityki społecznych na poziomie lokalnym i regionalnym, w tym szczególnie: podmioty; ekonomii społecznej i podmioty prywatne, które realizują zadania w obszarze polityki społecznych na rzecz społecznych lokalnych;</w:t>
            </w:r>
          </w:p>
          <w:p w14:paraId="676CCB9C" w14:textId="70F2D844" w:rsidR="00666EAC" w:rsidRPr="00324D4A" w:rsidRDefault="00666EAC">
            <w:pPr>
              <w:pStyle w:val="Akapitzlist"/>
              <w:numPr>
                <w:ilvl w:val="0"/>
                <w:numId w:val="7"/>
              </w:numPr>
              <w:tabs>
                <w:tab w:val="left" w:pos="348"/>
              </w:tabs>
              <w:rPr>
                <w:rFonts w:eastAsia="Times New Roman" w:cs="Calibri"/>
                <w:iCs/>
              </w:rPr>
            </w:pPr>
            <w:r w:rsidRPr="00324D4A">
              <w:rPr>
                <w:rFonts w:eastAsia="Times New Roman" w:cs="Calibri"/>
                <w:iCs/>
              </w:rPr>
              <w:t>podmioty sektora publicznego, prywatnego i społecznych realizujące szeroko rozumiane zadania w obszarze polityki społecznych min. służby zatrudnienia, jednostki systemu edukacji, kultury, zdrowia, szkoły wyższe, jednostki wymiaru sprawiedliwości itp.;</w:t>
            </w:r>
          </w:p>
          <w:p w14:paraId="53CC1B3A" w14:textId="1CE01180" w:rsidR="00666EAC" w:rsidRPr="00324D4A" w:rsidRDefault="00666EAC">
            <w:pPr>
              <w:pStyle w:val="Akapitzlist"/>
              <w:numPr>
                <w:ilvl w:val="0"/>
                <w:numId w:val="7"/>
              </w:numPr>
              <w:rPr>
                <w:rFonts w:eastAsia="Times New Roman" w:cs="Calibri"/>
                <w:iCs/>
              </w:rPr>
            </w:pPr>
            <w:r w:rsidRPr="00324D4A">
              <w:rPr>
                <w:rFonts w:eastAsia="Times New Roman" w:cs="Calibri"/>
                <w:iCs/>
              </w:rPr>
              <w:lastRenderedPageBreak/>
              <w:t>organizacje pozarządowe</w:t>
            </w:r>
            <w:r w:rsidR="009634FF">
              <w:rPr>
                <w:rFonts w:eastAsia="Times New Roman" w:cs="Calibri"/>
                <w:iCs/>
              </w:rPr>
              <w:t>.</w:t>
            </w:r>
          </w:p>
          <w:p w14:paraId="47B44E87" w14:textId="1A190D72" w:rsidR="00666EAC" w:rsidRPr="00324D4A" w:rsidRDefault="00666EAC">
            <w:pPr>
              <w:rPr>
                <w:rFonts w:cs="Calibri"/>
                <w:iCs/>
              </w:rPr>
            </w:pPr>
            <w:r w:rsidRPr="00324D4A">
              <w:rPr>
                <w:rFonts w:cs="Calibri"/>
                <w:iCs/>
              </w:rPr>
              <w:t>Cel spotkania: Zaprezentowanie tematyki na temat rozwoju usług społecznych oraz deinstytucjonalizacji (DI) usług w kontekście problematyki</w:t>
            </w:r>
            <w:r w:rsidR="004B0281" w:rsidRPr="00324D4A">
              <w:rPr>
                <w:rFonts w:cs="Calibri"/>
                <w:iCs/>
              </w:rPr>
              <w:t xml:space="preserve"> obszaru</w:t>
            </w:r>
            <w:r w:rsidRPr="00324D4A">
              <w:rPr>
                <w:rFonts w:cs="Calibri"/>
                <w:iCs/>
              </w:rPr>
              <w:t xml:space="preserve"> kryzysu bezdomności. Zgodnie z poniższymi założeniami spotkania:</w:t>
            </w:r>
          </w:p>
          <w:p w14:paraId="7BD94BB1" w14:textId="5C5B97E5" w:rsidR="00666EAC" w:rsidRPr="00324D4A" w:rsidRDefault="00666EAC" w:rsidP="0058143C">
            <w:pPr>
              <w:ind w:left="358"/>
              <w:rPr>
                <w:rFonts w:cs="Calibri"/>
                <w:iCs/>
              </w:rPr>
            </w:pPr>
            <w:r w:rsidRPr="00324D4A">
              <w:rPr>
                <w:rFonts w:cs="Calibri"/>
                <w:iCs/>
              </w:rPr>
              <w:t>1. Skala problemu i potrzeby osób w kryzysie bezdomności</w:t>
            </w:r>
            <w:r w:rsidR="0058143C" w:rsidRPr="00324D4A">
              <w:rPr>
                <w:rFonts w:cs="Calibri"/>
                <w:iCs/>
              </w:rPr>
              <w:t>.</w:t>
            </w:r>
          </w:p>
          <w:p w14:paraId="5A39C341" w14:textId="77777777" w:rsidR="00666EAC" w:rsidRPr="00324D4A" w:rsidRDefault="00666EAC" w:rsidP="0058143C">
            <w:pPr>
              <w:ind w:left="358"/>
              <w:rPr>
                <w:rFonts w:cs="Calibri"/>
                <w:iCs/>
              </w:rPr>
            </w:pPr>
            <w:r w:rsidRPr="00324D4A">
              <w:rPr>
                <w:rFonts w:cs="Calibri"/>
                <w:iCs/>
              </w:rPr>
              <w:t>2. Nowe a „stare” podejście rozwiązania problemu:</w:t>
            </w:r>
          </w:p>
          <w:p w14:paraId="75047B7D" w14:textId="40DF0535" w:rsidR="00666EAC" w:rsidRPr="00324D4A" w:rsidRDefault="00666EAC" w:rsidP="003D779E">
            <w:pPr>
              <w:tabs>
                <w:tab w:val="left" w:pos="783"/>
              </w:tabs>
              <w:ind w:left="358"/>
              <w:rPr>
                <w:rFonts w:cs="Calibri"/>
                <w:iCs/>
              </w:rPr>
            </w:pPr>
            <w:r w:rsidRPr="00324D4A">
              <w:rPr>
                <w:rFonts w:cs="Calibri"/>
                <w:iCs/>
              </w:rPr>
              <w:t>•</w:t>
            </w:r>
            <w:r w:rsidRPr="00324D4A">
              <w:rPr>
                <w:rFonts w:cs="Calibri"/>
                <w:iCs/>
              </w:rPr>
              <w:tab/>
              <w:t>zestawienie metod pracy z osobami w kryzysie bezdomności</w:t>
            </w:r>
            <w:r w:rsidR="0058143C" w:rsidRPr="00324D4A">
              <w:rPr>
                <w:rFonts w:cs="Calibri"/>
                <w:iCs/>
              </w:rPr>
              <w:t>,</w:t>
            </w:r>
          </w:p>
          <w:p w14:paraId="4802534F" w14:textId="46D79400" w:rsidR="00666EAC" w:rsidRPr="00324D4A" w:rsidRDefault="00666EAC" w:rsidP="003D779E">
            <w:pPr>
              <w:tabs>
                <w:tab w:val="left" w:pos="783"/>
              </w:tabs>
              <w:ind w:left="358"/>
              <w:rPr>
                <w:rFonts w:cs="Calibri"/>
                <w:iCs/>
              </w:rPr>
            </w:pPr>
            <w:r w:rsidRPr="00324D4A">
              <w:rPr>
                <w:rFonts w:cs="Calibri"/>
                <w:iCs/>
              </w:rPr>
              <w:t>•</w:t>
            </w:r>
            <w:r w:rsidRPr="00324D4A">
              <w:rPr>
                <w:rFonts w:cs="Calibri"/>
                <w:iCs/>
              </w:rPr>
              <w:tab/>
              <w:t>bilans +/- efektywności (skuteczność, koszty, stopień trudności wdrożenia)</w:t>
            </w:r>
            <w:r w:rsidR="0058143C" w:rsidRPr="00324D4A">
              <w:rPr>
                <w:rFonts w:cs="Calibri"/>
                <w:iCs/>
              </w:rPr>
              <w:t>.</w:t>
            </w:r>
          </w:p>
          <w:p w14:paraId="1C42E2EE" w14:textId="7A087FEE" w:rsidR="00666EAC" w:rsidRPr="00324D4A" w:rsidRDefault="00666EAC" w:rsidP="0058143C">
            <w:pPr>
              <w:ind w:left="358"/>
              <w:rPr>
                <w:rFonts w:cs="Calibri"/>
                <w:iCs/>
              </w:rPr>
            </w:pPr>
            <w:r w:rsidRPr="00324D4A">
              <w:rPr>
                <w:rFonts w:cs="Calibri"/>
                <w:iCs/>
              </w:rPr>
              <w:t>3. Przegląd rekomendowanych usług społecznych z obszaru wsparcia os</w:t>
            </w:r>
            <w:r w:rsidR="0058143C" w:rsidRPr="00324D4A">
              <w:rPr>
                <w:rFonts w:cs="Calibri"/>
                <w:iCs/>
              </w:rPr>
              <w:t>ób</w:t>
            </w:r>
            <w:r w:rsidRPr="00324D4A">
              <w:rPr>
                <w:rFonts w:cs="Calibri"/>
                <w:iCs/>
              </w:rPr>
              <w:t xml:space="preserve"> w kryzysie bezdomności w nurcie deinstytualizacji </w:t>
            </w:r>
            <w:r w:rsidR="0058143C" w:rsidRPr="00324D4A">
              <w:rPr>
                <w:rFonts w:cs="Calibri"/>
                <w:iCs/>
              </w:rPr>
              <w:t>(omówienie wybranych usług społecznych dla osób w kryzysie bezdomności</w:t>
            </w:r>
            <w:r w:rsidR="00826F37" w:rsidRPr="00324D4A">
              <w:rPr>
                <w:rFonts w:cs="Calibri"/>
                <w:iCs/>
              </w:rPr>
              <w:t xml:space="preserve"> </w:t>
            </w:r>
            <w:r w:rsidR="0058143C" w:rsidRPr="00324D4A">
              <w:rPr>
                <w:rFonts w:cs="Calibri"/>
                <w:iCs/>
              </w:rPr>
              <w:t>ustalonych z Zamawiających)</w:t>
            </w:r>
            <w:r w:rsidRPr="00324D4A">
              <w:rPr>
                <w:rFonts w:cs="Calibri"/>
                <w:iCs/>
              </w:rPr>
              <w:t xml:space="preserve">, dobre praktyki </w:t>
            </w:r>
          </w:p>
          <w:p w14:paraId="4D088726" w14:textId="77777777" w:rsidR="00666EAC" w:rsidRPr="00324D4A" w:rsidRDefault="00666EAC" w:rsidP="0058143C">
            <w:pPr>
              <w:ind w:left="358"/>
              <w:rPr>
                <w:rFonts w:cs="Calibri"/>
                <w:iCs/>
              </w:rPr>
            </w:pPr>
            <w:r w:rsidRPr="00324D4A">
              <w:rPr>
                <w:rFonts w:cs="Calibri"/>
                <w:iCs/>
              </w:rPr>
              <w:t>4. Czy jest możliwość pełnej deinstytualizacji (DI) istniejących, „starych” usług?</w:t>
            </w:r>
          </w:p>
          <w:p w14:paraId="5B35899B" w14:textId="5F31B306" w:rsidR="00666EAC" w:rsidRPr="00324D4A" w:rsidRDefault="00666EAC" w:rsidP="0058143C">
            <w:pPr>
              <w:ind w:left="358"/>
              <w:rPr>
                <w:rFonts w:cs="Calibri"/>
                <w:iCs/>
              </w:rPr>
            </w:pPr>
            <w:r w:rsidRPr="00324D4A">
              <w:rPr>
                <w:rFonts w:cs="Calibri"/>
                <w:iCs/>
              </w:rPr>
              <w:t>5. Pytania-odpowiedzi, dyskusje, inne</w:t>
            </w:r>
            <w:r w:rsidR="000454F0" w:rsidRPr="00324D4A">
              <w:rPr>
                <w:rFonts w:cs="Calibri"/>
                <w:iCs/>
              </w:rPr>
              <w:t xml:space="preserve"> elementy angażujące uczestników</w:t>
            </w:r>
          </w:p>
          <w:p w14:paraId="2FECE01E" w14:textId="77777777" w:rsidR="00666EAC" w:rsidRPr="00324D4A" w:rsidRDefault="00666EAC">
            <w:pPr>
              <w:rPr>
                <w:rFonts w:cs="Calibri"/>
                <w:b/>
                <w:bCs/>
                <w:iCs/>
              </w:rPr>
            </w:pPr>
          </w:p>
          <w:p w14:paraId="2D5EAC73" w14:textId="0B769EA3" w:rsidR="00666EAC" w:rsidRPr="00324D4A" w:rsidRDefault="00666EAC">
            <w:pPr>
              <w:jc w:val="both"/>
              <w:rPr>
                <w:rFonts w:cs="Calibri"/>
                <w:bCs/>
                <w:iCs/>
              </w:rPr>
            </w:pPr>
            <w:r w:rsidRPr="00324D4A">
              <w:rPr>
                <w:rFonts w:cs="Calibri"/>
                <w:bCs/>
                <w:iCs/>
              </w:rPr>
              <w:t xml:space="preserve">Realizacja usługi </w:t>
            </w:r>
            <w:r w:rsidR="0058143C" w:rsidRPr="00324D4A">
              <w:rPr>
                <w:rFonts w:cs="Calibri"/>
                <w:bCs/>
                <w:iCs/>
              </w:rPr>
              <w:t xml:space="preserve">eksperckiej </w:t>
            </w:r>
            <w:r w:rsidRPr="00324D4A">
              <w:rPr>
                <w:rFonts w:cs="Calibri"/>
                <w:bCs/>
                <w:iCs/>
              </w:rPr>
              <w:t>ma polegać w szczególności na:</w:t>
            </w:r>
          </w:p>
          <w:p w14:paraId="240A918B" w14:textId="77777777" w:rsidR="00666EAC" w:rsidRPr="00324D4A" w:rsidRDefault="00666EAC">
            <w:pPr>
              <w:widowControl/>
              <w:numPr>
                <w:ilvl w:val="0"/>
                <w:numId w:val="5"/>
              </w:numPr>
              <w:textAlignment w:val="auto"/>
              <w:rPr>
                <w:rFonts w:cs="Calibri"/>
                <w:bCs/>
                <w:iCs/>
              </w:rPr>
            </w:pPr>
            <w:r w:rsidRPr="00324D4A">
              <w:rPr>
                <w:rFonts w:cs="Calibri"/>
                <w:bCs/>
                <w:iCs/>
              </w:rPr>
              <w:t xml:space="preserve">opracowaniu szczegółowego programu spotkania zgodnie z powyższymi założeniami oraz bieżącym kontakcie Wykonawcy z Zamawiającym w zakresie programu spotkania i ostatecznej akceptacji programu przez Zamawiającego; </w:t>
            </w:r>
          </w:p>
          <w:p w14:paraId="447E4C33" w14:textId="77777777" w:rsidR="00666EAC" w:rsidRPr="00324D4A" w:rsidRDefault="00666EAC">
            <w:pPr>
              <w:widowControl/>
              <w:numPr>
                <w:ilvl w:val="0"/>
                <w:numId w:val="5"/>
              </w:numPr>
              <w:textAlignment w:val="auto"/>
              <w:rPr>
                <w:rFonts w:cs="Calibri"/>
                <w:bCs/>
                <w:iCs/>
              </w:rPr>
            </w:pPr>
            <w:r w:rsidRPr="00324D4A">
              <w:rPr>
                <w:rFonts w:cs="Calibri"/>
                <w:bCs/>
                <w:iCs/>
              </w:rPr>
              <w:t xml:space="preserve">realizacji spotkania poprzez zapewnienie eksperta prowadzącego spotkanie. Zamawiający wymaga aby spotkanie było prowadzone przez jedną osobę/eksperta. </w:t>
            </w:r>
          </w:p>
          <w:p w14:paraId="3C3E1E0A" w14:textId="77777777" w:rsidR="00666EAC" w:rsidRPr="00324D4A" w:rsidRDefault="00666EAC">
            <w:pPr>
              <w:widowControl/>
              <w:numPr>
                <w:ilvl w:val="0"/>
                <w:numId w:val="5"/>
              </w:numPr>
              <w:spacing w:after="240"/>
              <w:jc w:val="both"/>
              <w:textAlignment w:val="auto"/>
              <w:rPr>
                <w:rFonts w:cs="Calibri"/>
                <w:bCs/>
                <w:iCs/>
              </w:rPr>
            </w:pPr>
            <w:r w:rsidRPr="00324D4A">
              <w:rPr>
                <w:rFonts w:cs="Calibri"/>
                <w:bCs/>
                <w:iCs/>
              </w:rPr>
              <w:t>przygotowaniu materiałów edukacyjnych dla uczestników spotkania.</w:t>
            </w:r>
          </w:p>
        </w:tc>
      </w:tr>
      <w:tr w:rsidR="00666EAC" w:rsidRPr="0012017E" w14:paraId="5B2CE085" w14:textId="77777777" w:rsidTr="00B0080D">
        <w:trPr>
          <w:trHeight w:val="723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AEB53" w14:textId="77777777" w:rsidR="00666EAC" w:rsidRPr="0012017E" w:rsidRDefault="00666EAC">
            <w:pPr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lastRenderedPageBreak/>
              <w:t>Liczba spotkań oraz osób biorących udział w spotkaniu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AF68C" w14:textId="77777777" w:rsidR="003D779E" w:rsidRDefault="00666EAC">
            <w:pPr>
              <w:rPr>
                <w:rFonts w:cs="Calibri"/>
                <w:iCs/>
              </w:rPr>
            </w:pPr>
            <w:r w:rsidRPr="00324D4A">
              <w:rPr>
                <w:rFonts w:cs="Calibri"/>
                <w:iCs/>
              </w:rPr>
              <w:t xml:space="preserve">1 spotkanie we Wrocławiu, </w:t>
            </w:r>
          </w:p>
          <w:p w14:paraId="4D12895F" w14:textId="7EEBABCE" w:rsidR="00666EAC" w:rsidRPr="00324D4A" w:rsidRDefault="00666EAC">
            <w:pPr>
              <w:rPr>
                <w:rFonts w:cs="Calibri"/>
                <w:iCs/>
              </w:rPr>
            </w:pPr>
            <w:r w:rsidRPr="00324D4A">
              <w:rPr>
                <w:rFonts w:cs="Calibri"/>
                <w:iCs/>
              </w:rPr>
              <w:t>liczba osób biorących udział w spotkaniu min. 18 i max. 30 osób.</w:t>
            </w:r>
          </w:p>
        </w:tc>
      </w:tr>
      <w:tr w:rsidR="00666EAC" w:rsidRPr="0012017E" w14:paraId="102B725A" w14:textId="77777777" w:rsidTr="00B0080D">
        <w:trPr>
          <w:trHeight w:val="47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E3471" w14:textId="77777777" w:rsidR="00666EAC" w:rsidRPr="0012017E" w:rsidRDefault="00666EAC">
            <w:pPr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t>Ogólny czas trwania spotkania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EC2FF" w14:textId="5E3445D1" w:rsidR="00666EAC" w:rsidRPr="0012017E" w:rsidRDefault="00666EAC">
            <w:pPr>
              <w:ind w:left="38"/>
              <w:rPr>
                <w:rFonts w:cs="Calibri"/>
                <w:bCs/>
                <w:iCs/>
              </w:rPr>
            </w:pPr>
            <w:r w:rsidRPr="0012017E">
              <w:rPr>
                <w:rFonts w:cs="Calibri"/>
                <w:bCs/>
                <w:iCs/>
              </w:rPr>
              <w:t xml:space="preserve">Zamawiający zakłada, że spotkanie odbędzie się w godzinach </w:t>
            </w:r>
            <w:r w:rsidR="00157EEE">
              <w:rPr>
                <w:rFonts w:cs="Calibri"/>
                <w:bCs/>
                <w:iCs/>
              </w:rPr>
              <w:t>09</w:t>
            </w:r>
            <w:r w:rsidRPr="0012017E">
              <w:rPr>
                <w:rFonts w:cs="Calibri"/>
                <w:bCs/>
                <w:iCs/>
              </w:rPr>
              <w:t xml:space="preserve">:00 - 14:30 (+/-30 min.), z czego czas prowadzenia spotkania przez Eksperta wyniesie </w:t>
            </w:r>
            <w:r w:rsidRPr="0012017E">
              <w:rPr>
                <w:rFonts w:cs="Calibri"/>
                <w:b/>
                <w:iCs/>
              </w:rPr>
              <w:t>4 godziny zegarowe</w:t>
            </w:r>
            <w:r w:rsidRPr="0012017E">
              <w:rPr>
                <w:rFonts w:cs="Calibri"/>
                <w:bCs/>
                <w:iCs/>
              </w:rPr>
              <w:t>.</w:t>
            </w:r>
          </w:p>
        </w:tc>
      </w:tr>
      <w:tr w:rsidR="00666EAC" w:rsidRPr="0012017E" w14:paraId="5FC75EC4" w14:textId="77777777" w:rsidTr="00B0080D">
        <w:trPr>
          <w:trHeight w:val="40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EA5A2" w14:textId="77777777" w:rsidR="00666EAC" w:rsidRPr="0012017E" w:rsidRDefault="00666EAC">
            <w:pPr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t xml:space="preserve">Liczba dni świadczonej usługi 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527DF" w14:textId="77777777" w:rsidR="00666EAC" w:rsidRPr="0012017E" w:rsidRDefault="00666EAC">
            <w:pPr>
              <w:tabs>
                <w:tab w:val="left" w:pos="5085"/>
              </w:tabs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t>1 dzień roboczy</w:t>
            </w:r>
          </w:p>
        </w:tc>
      </w:tr>
      <w:tr w:rsidR="00666EAC" w:rsidRPr="0012017E" w14:paraId="7D2B4CB3" w14:textId="77777777" w:rsidTr="00B0080D">
        <w:trPr>
          <w:trHeight w:val="5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B6D5A" w14:textId="77777777" w:rsidR="00666EAC" w:rsidRPr="0012017E" w:rsidRDefault="00666EAC">
            <w:pPr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t xml:space="preserve">Termin realizacji usługi 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F01F7" w14:textId="35412450" w:rsidR="00666EAC" w:rsidRPr="0012017E" w:rsidRDefault="00666EAC">
            <w:pPr>
              <w:rPr>
                <w:rFonts w:cs="Calibri"/>
                <w:bCs/>
                <w:iCs/>
              </w:rPr>
            </w:pPr>
            <w:r w:rsidRPr="0012017E">
              <w:rPr>
                <w:rFonts w:cs="Calibri"/>
                <w:bCs/>
                <w:iCs/>
              </w:rPr>
              <w:t>Od dnia podpisania umowy do 31.12.2025 r.</w:t>
            </w:r>
            <w:r w:rsidR="003D779E">
              <w:rPr>
                <w:rFonts w:cs="Calibri"/>
                <w:bCs/>
                <w:iCs/>
              </w:rPr>
              <w:t>,</w:t>
            </w:r>
            <w:r w:rsidRPr="0012017E">
              <w:rPr>
                <w:rFonts w:cs="Calibri"/>
                <w:bCs/>
                <w:iCs/>
              </w:rPr>
              <w:t xml:space="preserve"> w uzgodnionym z Zamawiającym terminem.</w:t>
            </w:r>
          </w:p>
        </w:tc>
      </w:tr>
      <w:tr w:rsidR="00666EAC" w:rsidRPr="0012017E" w14:paraId="4A414186" w14:textId="77777777" w:rsidTr="00B0080D">
        <w:trPr>
          <w:trHeight w:val="45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A656B" w14:textId="77777777" w:rsidR="00666EAC" w:rsidRPr="00324D4A" w:rsidRDefault="00666EAC">
            <w:pPr>
              <w:rPr>
                <w:rFonts w:cs="Calibri"/>
                <w:iCs/>
              </w:rPr>
            </w:pPr>
            <w:r w:rsidRPr="00324D4A">
              <w:rPr>
                <w:rFonts w:cs="Calibri"/>
                <w:iCs/>
              </w:rPr>
              <w:t>Miejsce realizacji usługi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11768" w14:textId="77777777" w:rsidR="003D779E" w:rsidRDefault="00666EAC">
            <w:pPr>
              <w:rPr>
                <w:rFonts w:cs="Calibri"/>
                <w:bCs/>
                <w:iCs/>
              </w:rPr>
            </w:pPr>
            <w:r w:rsidRPr="00324D4A">
              <w:rPr>
                <w:rFonts w:cs="Calibri"/>
                <w:bCs/>
                <w:iCs/>
              </w:rPr>
              <w:t>Spotkanie realizowane będzie w trybie stacjonarnym, na terenie miasta Wrocławia (szczegółowy adres miejsca realizacji zamówienia zostanie podany niezwłocznie po jego ustaleniu przez Zamawiającego).</w:t>
            </w:r>
          </w:p>
          <w:p w14:paraId="52816D0C" w14:textId="1F1AE788" w:rsidR="00666EAC" w:rsidRPr="00324D4A" w:rsidRDefault="00666EAC">
            <w:pPr>
              <w:rPr>
                <w:rFonts w:cs="Calibri"/>
                <w:bCs/>
                <w:iCs/>
                <w:color w:val="FF0000"/>
              </w:rPr>
            </w:pPr>
            <w:r w:rsidRPr="00324D4A">
              <w:rPr>
                <w:rFonts w:cs="Calibri"/>
                <w:bCs/>
                <w:iCs/>
                <w:color w:val="FF0000"/>
              </w:rPr>
              <w:br/>
            </w:r>
            <w:r w:rsidRPr="00324D4A">
              <w:rPr>
                <w:rFonts w:cs="Calibri"/>
                <w:bCs/>
                <w:iCs/>
              </w:rPr>
              <w:t>Wykonawca pokrywa koszty dojazdu na miejsce, w którym realizowana będzie usługa stanowiąca przedmiot zamówienia oraz pokrywa koszty własnego wyżywienia, ewentualnych noclegów i innych kosztów związanych z realizacją zamówienia.</w:t>
            </w:r>
          </w:p>
        </w:tc>
      </w:tr>
      <w:tr w:rsidR="00666EAC" w:rsidRPr="0012017E" w14:paraId="0D149276" w14:textId="77777777" w:rsidTr="00B0080D">
        <w:trPr>
          <w:trHeight w:val="5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B80A7" w14:textId="77777777" w:rsidR="00666EAC" w:rsidRPr="0012017E" w:rsidRDefault="00666EAC">
            <w:pPr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t xml:space="preserve">Ramowy </w:t>
            </w:r>
            <w:r w:rsidRPr="0012017E">
              <w:rPr>
                <w:rFonts w:cs="Calibri"/>
                <w:iCs/>
              </w:rPr>
              <w:lastRenderedPageBreak/>
              <w:t>program wraz z proponowanym podziałem godzinowym spotkania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371BD" w14:textId="77777777" w:rsidR="00666EAC" w:rsidRPr="0012017E" w:rsidRDefault="00666EAC">
            <w:pPr>
              <w:tabs>
                <w:tab w:val="left" w:pos="588"/>
              </w:tabs>
              <w:suppressAutoHyphens w:val="0"/>
              <w:spacing w:line="276" w:lineRule="auto"/>
              <w:rPr>
                <w:b/>
                <w:bCs/>
                <w:iCs/>
              </w:rPr>
            </w:pPr>
            <w:r w:rsidRPr="0012017E">
              <w:rPr>
                <w:b/>
                <w:bCs/>
                <w:iCs/>
              </w:rPr>
              <w:lastRenderedPageBreak/>
              <w:t>Część I</w:t>
            </w:r>
          </w:p>
          <w:p w14:paraId="0C2F4F28" w14:textId="4B3B7F3C" w:rsidR="00666EAC" w:rsidRPr="00B15CBB" w:rsidRDefault="00666EAC">
            <w:pPr>
              <w:tabs>
                <w:tab w:val="left" w:pos="588"/>
              </w:tabs>
              <w:suppressAutoHyphens w:val="0"/>
              <w:spacing w:line="276" w:lineRule="auto"/>
              <w:rPr>
                <w:rFonts w:eastAsia="Times New Roman" w:cs="Calibri"/>
                <w:bCs/>
                <w:iCs/>
                <w:lang w:bidi="pl-PL"/>
              </w:rPr>
            </w:pPr>
            <w:r w:rsidRPr="0012017E">
              <w:rPr>
                <w:rFonts w:eastAsia="Times New Roman" w:cs="Calibri"/>
                <w:iCs/>
                <w:kern w:val="0"/>
                <w:lang w:bidi="pl-PL"/>
              </w:rPr>
              <w:lastRenderedPageBreak/>
              <w:t>10:</w:t>
            </w:r>
            <w:r w:rsidRPr="00B15CBB">
              <w:rPr>
                <w:rFonts w:eastAsia="Times New Roman" w:cs="Calibri"/>
                <w:iCs/>
                <w:kern w:val="0"/>
                <w:lang w:bidi="pl-PL"/>
              </w:rPr>
              <w:t xml:space="preserve">00-10:15 </w:t>
            </w:r>
            <w:r w:rsidRPr="00B15CBB">
              <w:rPr>
                <w:rFonts w:eastAsia="Times New Roman" w:cs="Calibri"/>
                <w:bCs/>
                <w:iCs/>
                <w:lang w:bidi="pl-PL"/>
              </w:rPr>
              <w:t xml:space="preserve">– </w:t>
            </w:r>
            <w:r w:rsidR="0058143C" w:rsidRPr="00B15CBB">
              <w:rPr>
                <w:rFonts w:eastAsia="Times New Roman" w:cs="Calibri"/>
                <w:bCs/>
                <w:iCs/>
                <w:lang w:bidi="pl-PL"/>
              </w:rPr>
              <w:t>w</w:t>
            </w:r>
            <w:r w:rsidRPr="00B15CBB">
              <w:rPr>
                <w:rFonts w:eastAsia="Times New Roman" w:cs="Calibri"/>
                <w:bCs/>
                <w:iCs/>
                <w:lang w:bidi="pl-PL"/>
              </w:rPr>
              <w:t>prowadzenie: pracownik DOPS</w:t>
            </w:r>
          </w:p>
          <w:p w14:paraId="0DFC6FCD" w14:textId="0BD67359" w:rsidR="00666EAC" w:rsidRPr="00B15CBB" w:rsidRDefault="00666EAC">
            <w:pPr>
              <w:tabs>
                <w:tab w:val="left" w:pos="588"/>
              </w:tabs>
              <w:suppressAutoHyphens w:val="0"/>
              <w:spacing w:line="276" w:lineRule="auto"/>
              <w:rPr>
                <w:rFonts w:eastAsia="Times New Roman" w:cs="Calibri"/>
                <w:bCs/>
                <w:iCs/>
                <w:lang w:bidi="pl-PL"/>
              </w:rPr>
            </w:pPr>
            <w:r w:rsidRPr="00B15CBB">
              <w:rPr>
                <w:rFonts w:eastAsia="Times New Roman" w:cs="Calibri"/>
                <w:iCs/>
                <w:kern w:val="0"/>
                <w:lang w:bidi="pl-PL"/>
              </w:rPr>
              <w:t xml:space="preserve">10:15-12:15 </w:t>
            </w:r>
            <w:r w:rsidR="0058143C" w:rsidRPr="00B15CBB">
              <w:rPr>
                <w:rFonts w:eastAsia="Times New Roman" w:cs="Calibri"/>
                <w:iCs/>
                <w:kern w:val="0"/>
                <w:lang w:bidi="pl-PL"/>
              </w:rPr>
              <w:t>– część merytoryczna I,</w:t>
            </w:r>
            <w:r w:rsidRPr="00B15CBB">
              <w:rPr>
                <w:rFonts w:eastAsia="Times New Roman" w:cs="Calibri"/>
                <w:iCs/>
                <w:kern w:val="0"/>
                <w:lang w:bidi="pl-PL"/>
              </w:rPr>
              <w:t xml:space="preserve"> p</w:t>
            </w:r>
            <w:r w:rsidRPr="00B15CBB">
              <w:rPr>
                <w:rFonts w:eastAsia="Times New Roman" w:cs="Calibri"/>
                <w:bCs/>
                <w:iCs/>
                <w:lang w:bidi="pl-PL"/>
              </w:rPr>
              <w:t>rowadzenie: Ekspert</w:t>
            </w:r>
          </w:p>
          <w:p w14:paraId="2859BCC7" w14:textId="77777777" w:rsidR="00666EAC" w:rsidRPr="00B15CBB" w:rsidRDefault="00666EAC">
            <w:pPr>
              <w:tabs>
                <w:tab w:val="left" w:pos="456"/>
              </w:tabs>
              <w:rPr>
                <w:rFonts w:eastAsia="Times New Roman" w:cs="Calibri"/>
                <w:b/>
                <w:iCs/>
                <w:lang w:bidi="pl-PL"/>
              </w:rPr>
            </w:pPr>
            <w:r w:rsidRPr="00B15CBB">
              <w:rPr>
                <w:rFonts w:eastAsia="Times New Roman" w:cs="Calibri"/>
                <w:iCs/>
                <w:kern w:val="0"/>
                <w:lang w:bidi="pl-PL"/>
              </w:rPr>
              <w:t>12:15-12:30 - p</w:t>
            </w:r>
            <w:r w:rsidRPr="00B15CBB">
              <w:rPr>
                <w:rFonts w:eastAsia="Times New Roman" w:cs="Calibri"/>
                <w:iCs/>
                <w:lang w:bidi="pl-PL"/>
              </w:rPr>
              <w:t>rzerwa na</w:t>
            </w:r>
            <w:r w:rsidRPr="00B15CBB">
              <w:rPr>
                <w:rFonts w:eastAsia="Times New Roman" w:cs="Calibri"/>
                <w:bCs/>
                <w:iCs/>
                <w:lang w:bidi="pl-PL"/>
              </w:rPr>
              <w:t xml:space="preserve"> poczęstunek</w:t>
            </w:r>
          </w:p>
          <w:p w14:paraId="15ABE5B4" w14:textId="77777777" w:rsidR="00666EAC" w:rsidRPr="00B15CBB" w:rsidRDefault="00666EAC">
            <w:pPr>
              <w:tabs>
                <w:tab w:val="left" w:pos="588"/>
              </w:tabs>
              <w:suppressAutoHyphens w:val="0"/>
              <w:spacing w:line="276" w:lineRule="auto"/>
              <w:rPr>
                <w:rFonts w:eastAsia="Times New Roman" w:cs="Calibri"/>
                <w:iCs/>
                <w:kern w:val="0"/>
                <w:lang w:bidi="pl-PL"/>
              </w:rPr>
            </w:pPr>
            <w:r w:rsidRPr="00B15CBB">
              <w:rPr>
                <w:b/>
                <w:bCs/>
                <w:iCs/>
              </w:rPr>
              <w:t>Część II</w:t>
            </w:r>
          </w:p>
          <w:p w14:paraId="23BFB878" w14:textId="197530B6" w:rsidR="00666EAC" w:rsidRPr="00324D4A" w:rsidRDefault="00666EAC" w:rsidP="00324D4A">
            <w:pPr>
              <w:tabs>
                <w:tab w:val="left" w:pos="588"/>
              </w:tabs>
              <w:suppressAutoHyphens w:val="0"/>
              <w:spacing w:line="276" w:lineRule="auto"/>
              <w:rPr>
                <w:rFonts w:eastAsia="Times New Roman" w:cs="Calibri"/>
                <w:iCs/>
                <w:kern w:val="0"/>
                <w:lang w:bidi="pl-PL"/>
              </w:rPr>
            </w:pPr>
            <w:r w:rsidRPr="00B15CBB">
              <w:rPr>
                <w:rFonts w:eastAsia="Times New Roman" w:cs="Calibri"/>
                <w:iCs/>
                <w:kern w:val="0"/>
                <w:lang w:bidi="pl-PL"/>
              </w:rPr>
              <w:t>12:30-14:30</w:t>
            </w:r>
            <w:r w:rsidRPr="00B15CBB">
              <w:rPr>
                <w:rFonts w:eastAsia="Times New Roman" w:cs="Calibri"/>
                <w:bCs/>
                <w:iCs/>
                <w:lang w:bidi="pl-PL"/>
              </w:rPr>
              <w:t xml:space="preserve"> </w:t>
            </w:r>
            <w:r w:rsidR="0058143C" w:rsidRPr="00B15CBB">
              <w:rPr>
                <w:rFonts w:eastAsia="Times New Roman" w:cs="Calibri"/>
                <w:bCs/>
                <w:iCs/>
                <w:lang w:bidi="pl-PL"/>
              </w:rPr>
              <w:t>–</w:t>
            </w:r>
            <w:r w:rsidRPr="00B15CBB">
              <w:rPr>
                <w:rFonts w:eastAsia="Times New Roman" w:cs="Calibri"/>
                <w:bCs/>
                <w:iCs/>
                <w:lang w:bidi="pl-PL"/>
              </w:rPr>
              <w:t xml:space="preserve"> </w:t>
            </w:r>
            <w:r w:rsidR="0058143C" w:rsidRPr="00B15CBB">
              <w:rPr>
                <w:rFonts w:eastAsia="Times New Roman" w:cs="Calibri"/>
                <w:iCs/>
                <w:kern w:val="0"/>
                <w:lang w:bidi="pl-PL"/>
              </w:rPr>
              <w:t>część merytoryczna II</w:t>
            </w:r>
            <w:r w:rsidR="0058143C" w:rsidRPr="00B15CBB">
              <w:rPr>
                <w:rFonts w:eastAsia="Times New Roman" w:cs="Calibri"/>
                <w:bCs/>
                <w:iCs/>
                <w:lang w:bidi="pl-PL"/>
              </w:rPr>
              <w:t xml:space="preserve">, </w:t>
            </w:r>
            <w:r w:rsidRPr="00B15CBB">
              <w:rPr>
                <w:rFonts w:eastAsia="Times New Roman" w:cs="Calibri"/>
                <w:bCs/>
                <w:iCs/>
                <w:lang w:bidi="pl-PL"/>
              </w:rPr>
              <w:t>prowadzenie</w:t>
            </w:r>
            <w:r w:rsidRPr="0012017E">
              <w:rPr>
                <w:rFonts w:eastAsia="Times New Roman" w:cs="Calibri"/>
                <w:bCs/>
                <w:iCs/>
                <w:lang w:bidi="pl-PL"/>
              </w:rPr>
              <w:t>: Ekspert</w:t>
            </w:r>
          </w:p>
        </w:tc>
      </w:tr>
      <w:tr w:rsidR="00666EAC" w:rsidRPr="0012017E" w14:paraId="423F8DC6" w14:textId="77777777" w:rsidTr="00B0080D">
        <w:trPr>
          <w:trHeight w:val="5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37B8D" w14:textId="77777777" w:rsidR="00666EAC" w:rsidRPr="0012017E" w:rsidRDefault="00666EAC">
            <w:pPr>
              <w:rPr>
                <w:rFonts w:cs="Calibri"/>
                <w:iCs/>
                <w:lang w:eastAsia="en-US"/>
              </w:rPr>
            </w:pPr>
            <w:r w:rsidRPr="0012017E">
              <w:rPr>
                <w:rFonts w:cs="Calibri"/>
                <w:iCs/>
              </w:rPr>
              <w:lastRenderedPageBreak/>
              <w:t>Metody pracy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7C363" w14:textId="77777777" w:rsidR="00666EAC" w:rsidRPr="0012017E" w:rsidRDefault="00666EAC" w:rsidP="007B4397">
            <w:pPr>
              <w:spacing w:after="240"/>
              <w:rPr>
                <w:rFonts w:eastAsia="Times New Roman" w:cs="Calibri"/>
                <w:iCs/>
              </w:rPr>
            </w:pPr>
            <w:r w:rsidRPr="0012017E">
              <w:rPr>
                <w:iCs/>
              </w:rPr>
              <w:t xml:space="preserve">Wykład z zastosowaniem prezentacji multimedialnej, dyskusja, formuła pytań i odpowiedzi </w:t>
            </w:r>
            <w:r w:rsidRPr="0012017E">
              <w:rPr>
                <w:rFonts w:cs="Calibri"/>
                <w:bCs/>
                <w:iCs/>
              </w:rPr>
              <w:t>uczestników.</w:t>
            </w:r>
          </w:p>
        </w:tc>
      </w:tr>
      <w:tr w:rsidR="00666EAC" w:rsidRPr="0012017E" w14:paraId="61565D8C" w14:textId="77777777" w:rsidTr="00B0080D">
        <w:trPr>
          <w:trHeight w:val="5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EB27C" w14:textId="77777777" w:rsidR="00666EAC" w:rsidRPr="0012017E" w:rsidRDefault="00666EAC">
            <w:pPr>
              <w:rPr>
                <w:rFonts w:cs="Calibri"/>
                <w:iCs/>
                <w:lang w:eastAsia="en-US"/>
              </w:rPr>
            </w:pPr>
            <w:r w:rsidRPr="0012017E">
              <w:rPr>
                <w:rFonts w:cs="Calibri"/>
                <w:iCs/>
              </w:rPr>
              <w:t>Warunki dotyczące eksperta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F272" w14:textId="77777777" w:rsidR="00666EAC" w:rsidRPr="0012017E" w:rsidRDefault="00666EAC">
            <w:pPr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t>Ekspert wskazany do prowadzenia spotkania objęty jest niezbędnymi niżej opisanymi warunkami wykształcenia i doświadczenia zawodowego:</w:t>
            </w:r>
          </w:p>
          <w:p w14:paraId="3E9C7C32" w14:textId="77777777" w:rsidR="00666EAC" w:rsidRPr="0012017E" w:rsidRDefault="00666EAC">
            <w:pPr>
              <w:widowControl/>
              <w:numPr>
                <w:ilvl w:val="0"/>
                <w:numId w:val="1"/>
              </w:numPr>
              <w:textAlignment w:val="auto"/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t>Ukończone studia wyższe</w:t>
            </w:r>
            <w:r w:rsidRPr="0012017E">
              <w:rPr>
                <w:rFonts w:cs="Calibri"/>
                <w:iCs/>
              </w:rPr>
              <w:br/>
            </w:r>
            <w:r w:rsidRPr="0012017E">
              <w:rPr>
                <w:rFonts w:cs="Calibri"/>
                <w:b/>
                <w:bCs/>
                <w:iCs/>
              </w:rPr>
              <w:t>ORAZ</w:t>
            </w:r>
          </w:p>
          <w:p w14:paraId="61785B60" w14:textId="1BA16F86" w:rsidR="00666EAC" w:rsidRPr="007E1ABA" w:rsidRDefault="00666EAC">
            <w:pPr>
              <w:pStyle w:val="Akapitzlist"/>
              <w:numPr>
                <w:ilvl w:val="0"/>
                <w:numId w:val="1"/>
              </w:numPr>
              <w:suppressAutoHyphens/>
              <w:autoSpaceDN w:val="0"/>
              <w:spacing w:after="160" w:line="252" w:lineRule="auto"/>
              <w:contextualSpacing w:val="0"/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t>Doświadczenie eksperta wyznaczonego do realizacji zamówienia, w prowadzeniu szkoleń/ zajęć/ spotkań/ konferencji z zakresu deinstytucjonalizacji usług społecznych wskazanych w dokumencie strategicznym pn.</w:t>
            </w:r>
            <w:r w:rsidRPr="0012017E">
              <w:rPr>
                <w:iCs/>
              </w:rPr>
              <w:t xml:space="preserve"> „</w:t>
            </w:r>
            <w:r w:rsidRPr="0012017E">
              <w:rPr>
                <w:rFonts w:cs="Calibri"/>
                <w:iCs/>
              </w:rPr>
              <w:t xml:space="preserve">STRATEGIA ROZWOJU USŁUG </w:t>
            </w:r>
            <w:r w:rsidRPr="00324D4A">
              <w:rPr>
                <w:rFonts w:cs="Calibri"/>
                <w:iCs/>
              </w:rPr>
              <w:t xml:space="preserve">SPOŁECZNYCH polityka publiczna do roku 2030 (z perspektywą do 2035 r.)”, </w:t>
            </w:r>
            <w:r w:rsidRPr="00324D4A">
              <w:rPr>
                <w:rFonts w:cs="Calibri"/>
                <w:b/>
                <w:bCs/>
                <w:iCs/>
              </w:rPr>
              <w:t>z uwzględnieniem specyfiki grupy osób w kryzysie bezdomności</w:t>
            </w:r>
            <w:r w:rsidRPr="00324D4A">
              <w:rPr>
                <w:rFonts w:cs="Calibri"/>
                <w:iCs/>
              </w:rPr>
              <w:t>, w ciągu</w:t>
            </w:r>
            <w:r w:rsidRPr="0012017E">
              <w:rPr>
                <w:rFonts w:cs="Calibri"/>
                <w:iCs/>
              </w:rPr>
              <w:t xml:space="preserve"> ostatnich 3 lat w wymiarze minimum 20h dydaktycznych.</w:t>
            </w:r>
          </w:p>
        </w:tc>
      </w:tr>
      <w:tr w:rsidR="00666EAC" w:rsidRPr="0012017E" w14:paraId="7BE465B8" w14:textId="77777777" w:rsidTr="00B0080D">
        <w:trPr>
          <w:trHeight w:val="5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F9E5F" w14:textId="77777777" w:rsidR="00666EAC" w:rsidRPr="0012017E" w:rsidRDefault="00666EAC">
            <w:pPr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t>Wymagania wobec Wykonawcy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B8C8A" w14:textId="77777777" w:rsidR="00666EAC" w:rsidRPr="0012017E" w:rsidRDefault="00666EAC">
            <w:pPr>
              <w:rPr>
                <w:rFonts w:cs="Calibri"/>
                <w:b/>
                <w:bCs/>
                <w:iCs/>
              </w:rPr>
            </w:pPr>
            <w:r w:rsidRPr="0012017E">
              <w:rPr>
                <w:rFonts w:cs="Calibri"/>
                <w:b/>
                <w:bCs/>
                <w:iCs/>
              </w:rPr>
              <w:t xml:space="preserve">Wykonawca zobowiązany jest do: </w:t>
            </w:r>
          </w:p>
          <w:p w14:paraId="2C9F7648" w14:textId="03D14E13" w:rsidR="00DB1B40" w:rsidRPr="00B15CBB" w:rsidRDefault="00DB1B40">
            <w:pPr>
              <w:widowControl/>
              <w:numPr>
                <w:ilvl w:val="0"/>
                <w:numId w:val="2"/>
              </w:numPr>
              <w:spacing w:after="160" w:line="252" w:lineRule="auto"/>
              <w:textAlignment w:val="auto"/>
              <w:rPr>
                <w:rFonts w:cs="Calibri"/>
                <w:iCs/>
              </w:rPr>
            </w:pPr>
            <w:r w:rsidRPr="00B15CBB">
              <w:rPr>
                <w:rFonts w:cs="Calibri"/>
                <w:iCs/>
              </w:rPr>
              <w:t>Zapewnienia eksperta, spełniającego kryteria, o których mowa powyżej</w:t>
            </w:r>
            <w:r w:rsidR="00B15CBB">
              <w:rPr>
                <w:rFonts w:cs="Calibri"/>
                <w:iCs/>
              </w:rPr>
              <w:t>.</w:t>
            </w:r>
          </w:p>
          <w:p w14:paraId="34CB3E6F" w14:textId="45CA6607" w:rsidR="00666EAC" w:rsidRPr="0012017E" w:rsidRDefault="00666EAC">
            <w:pPr>
              <w:widowControl/>
              <w:numPr>
                <w:ilvl w:val="0"/>
                <w:numId w:val="2"/>
              </w:numPr>
              <w:spacing w:after="160" w:line="252" w:lineRule="auto"/>
              <w:textAlignment w:val="auto"/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t xml:space="preserve">Przygotowania szczegółowego programu spotkania, który musi zostać opatrzony logotypami przekazanymi przez Zamawiającego (logo UE, FERS) wraz z nazwą i adresem Zamawiającego oraz danymi eksperta, a następnie przesłanie tego dokumentu pocztą elektroniczną celem akceptacji przez Zamawiającego w terminie </w:t>
            </w:r>
            <w:r w:rsidRPr="000C3E43">
              <w:rPr>
                <w:rFonts w:cs="Calibri"/>
                <w:iCs/>
              </w:rPr>
              <w:t xml:space="preserve">do </w:t>
            </w:r>
            <w:r w:rsidR="000C3E43" w:rsidRPr="000C3E43">
              <w:rPr>
                <w:rFonts w:cs="Calibri"/>
                <w:iCs/>
              </w:rPr>
              <w:t>7 dni</w:t>
            </w:r>
            <w:r w:rsidRPr="000C3E43">
              <w:rPr>
                <w:rFonts w:cs="Calibri"/>
                <w:iCs/>
              </w:rPr>
              <w:t xml:space="preserve"> kalendarzowych</w:t>
            </w:r>
            <w:r w:rsidRPr="0012017E">
              <w:rPr>
                <w:rFonts w:cs="Calibri"/>
                <w:iCs/>
              </w:rPr>
              <w:t xml:space="preserve"> przed rozpoczęciem realizacji usługi;</w:t>
            </w:r>
          </w:p>
          <w:p w14:paraId="7426F9EB" w14:textId="77777777" w:rsidR="00666EAC" w:rsidRPr="0012017E" w:rsidRDefault="00666EAC">
            <w:pPr>
              <w:widowControl/>
              <w:numPr>
                <w:ilvl w:val="0"/>
                <w:numId w:val="2"/>
              </w:numPr>
              <w:spacing w:after="160" w:line="252" w:lineRule="auto"/>
              <w:textAlignment w:val="auto"/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t xml:space="preserve">Przygotowanie </w:t>
            </w:r>
            <w:r w:rsidRPr="0012017E">
              <w:rPr>
                <w:rStyle w:val="Pogrubienie"/>
                <w:iCs/>
              </w:rPr>
              <w:t xml:space="preserve">materiałów edukacyjnych, co najmniej w formie prezentacji multimedialnej </w:t>
            </w:r>
            <w:r w:rsidRPr="0012017E">
              <w:rPr>
                <w:rFonts w:cs="Calibri"/>
                <w:iCs/>
              </w:rPr>
              <w:t>bezpośrednio w tematyce spotkania.</w:t>
            </w:r>
          </w:p>
          <w:p w14:paraId="164EA529" w14:textId="77777777" w:rsidR="00666EAC" w:rsidRPr="0012017E" w:rsidRDefault="00666EAC">
            <w:pPr>
              <w:ind w:left="720"/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t>Wszelkie materiały (w tym prezentacja multimedialna) muszą zostać opatrzone logotypami przekazanymi przez Zamawiającego (logo UE, FERS) oraz zawierać:</w:t>
            </w:r>
          </w:p>
          <w:p w14:paraId="6222C1E0" w14:textId="77777777" w:rsidR="00666EAC" w:rsidRPr="0012017E" w:rsidRDefault="00666EAC">
            <w:pPr>
              <w:pStyle w:val="Akapitzlist"/>
              <w:numPr>
                <w:ilvl w:val="0"/>
                <w:numId w:val="6"/>
              </w:numPr>
              <w:suppressAutoHyphens/>
              <w:autoSpaceDN w:val="0"/>
              <w:spacing w:after="0" w:line="252" w:lineRule="auto"/>
              <w:contextualSpacing w:val="0"/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t>informacje o źródłach finansowania,</w:t>
            </w:r>
          </w:p>
          <w:p w14:paraId="6A74A01D" w14:textId="77777777" w:rsidR="00666EAC" w:rsidRPr="0012017E" w:rsidRDefault="00666EAC">
            <w:pPr>
              <w:pStyle w:val="Akapitzlist"/>
              <w:numPr>
                <w:ilvl w:val="0"/>
                <w:numId w:val="6"/>
              </w:numPr>
              <w:suppressAutoHyphens/>
              <w:autoSpaceDN w:val="0"/>
              <w:spacing w:after="0" w:line="252" w:lineRule="auto"/>
              <w:contextualSpacing w:val="0"/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t>nazwę i adres Zamawiającego,</w:t>
            </w:r>
          </w:p>
          <w:p w14:paraId="172F6E66" w14:textId="77777777" w:rsidR="00666EAC" w:rsidRPr="0012017E" w:rsidRDefault="00666EAC">
            <w:pPr>
              <w:pStyle w:val="Akapitzlist"/>
              <w:numPr>
                <w:ilvl w:val="0"/>
                <w:numId w:val="6"/>
              </w:numPr>
              <w:suppressAutoHyphens/>
              <w:autoSpaceDN w:val="0"/>
              <w:spacing w:after="0" w:line="252" w:lineRule="auto"/>
              <w:contextualSpacing w:val="0"/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t>dane eksperta,</w:t>
            </w:r>
          </w:p>
          <w:p w14:paraId="11AB0E2F" w14:textId="77777777" w:rsidR="00666EAC" w:rsidRPr="0012017E" w:rsidRDefault="00666EAC">
            <w:pPr>
              <w:pStyle w:val="Akapitzlist"/>
              <w:numPr>
                <w:ilvl w:val="0"/>
                <w:numId w:val="6"/>
              </w:numPr>
              <w:suppressAutoHyphens/>
              <w:autoSpaceDN w:val="0"/>
              <w:spacing w:after="160" w:line="252" w:lineRule="auto"/>
              <w:contextualSpacing w:val="0"/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t>informować o tym, że są one dystrybuowane bezpłatnie.</w:t>
            </w:r>
          </w:p>
          <w:p w14:paraId="6A4BCD5B" w14:textId="0FACE1DB" w:rsidR="00666EAC" w:rsidRPr="00B15CBB" w:rsidRDefault="00666EAC" w:rsidP="00B15CBB">
            <w:pPr>
              <w:pStyle w:val="pf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15CB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Materiały </w:t>
            </w:r>
            <w:r w:rsidR="00B15CBB" w:rsidRPr="00B15CB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edukacyjne </w:t>
            </w:r>
            <w:r w:rsidRPr="00B15CB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muszą zostać przekazane w formie dokumentu </w:t>
            </w:r>
            <w:r w:rsidR="00826F37" w:rsidRPr="00B15CBB">
              <w:rPr>
                <w:rFonts w:asciiTheme="minorHAnsi" w:hAnsiTheme="minorHAnsi" w:cstheme="minorHAnsi"/>
                <w:iCs/>
                <w:sz w:val="22"/>
                <w:szCs w:val="22"/>
              </w:rPr>
              <w:t>PDF</w:t>
            </w:r>
            <w:r w:rsidR="00B15CBB" w:rsidRPr="00B15CB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oraz, w przypadku prezentacji multimedialnej, w formie pliku</w:t>
            </w:r>
            <w:r w:rsidR="00826F37" w:rsidRPr="00B15CB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PTX</w:t>
            </w:r>
            <w:r w:rsidR="00B15CBB" w:rsidRPr="00B15CB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lub </w:t>
            </w:r>
            <w:r w:rsidR="00826F37" w:rsidRPr="00B15CBB">
              <w:rPr>
                <w:rFonts w:asciiTheme="minorHAnsi" w:hAnsiTheme="minorHAnsi" w:cstheme="minorHAnsi"/>
                <w:iCs/>
                <w:sz w:val="22"/>
                <w:szCs w:val="22"/>
              </w:rPr>
              <w:t>PPT</w:t>
            </w:r>
            <w:r w:rsidR="00B15CBB" w:rsidRPr="00B15CB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lub </w:t>
            </w:r>
            <w:r w:rsidR="00826F37" w:rsidRPr="00B15CBB">
              <w:rPr>
                <w:rFonts w:asciiTheme="minorHAnsi" w:hAnsiTheme="minorHAnsi" w:cstheme="minorHAnsi"/>
                <w:iCs/>
                <w:sz w:val="22"/>
                <w:szCs w:val="22"/>
              </w:rPr>
              <w:t>ODP</w:t>
            </w:r>
            <w:r w:rsidR="00B15CBB" w:rsidRPr="00B15CBB">
              <w:rPr>
                <w:rFonts w:asciiTheme="minorHAnsi" w:hAnsiTheme="minorHAnsi" w:cstheme="minorHAnsi"/>
                <w:iCs/>
                <w:sz w:val="22"/>
                <w:szCs w:val="22"/>
              </w:rPr>
              <w:t>, celem akceptacji przez Zamawiającego w terminie do 7 dni kalendarzowych przed rozpoczęciem realizacji usługi</w:t>
            </w:r>
            <w:r w:rsidRPr="00B15CB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. Prezentacja zostanie </w:t>
            </w:r>
            <w:r w:rsidR="00E24DFF" w:rsidRPr="00B15CB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przedstawiona podczas </w:t>
            </w:r>
            <w:r w:rsidR="00E24DFF" w:rsidRPr="00B15CBB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 xml:space="preserve">spotkania oraz </w:t>
            </w:r>
            <w:r w:rsidRPr="00B15CBB">
              <w:rPr>
                <w:rFonts w:asciiTheme="minorHAnsi" w:hAnsiTheme="minorHAnsi" w:cstheme="minorHAnsi"/>
                <w:iCs/>
                <w:sz w:val="22"/>
                <w:szCs w:val="22"/>
              </w:rPr>
              <w:t>udostępniona uczestnikom spotkania przez Zamawiającego po zrealizowanym spotkaniu.</w:t>
            </w:r>
          </w:p>
          <w:p w14:paraId="3A297644" w14:textId="77777777" w:rsidR="002F470D" w:rsidRDefault="002F470D" w:rsidP="002F470D">
            <w:pPr>
              <w:rPr>
                <w:rStyle w:val="Hipercze"/>
                <w:rFonts w:cs="Calibri"/>
              </w:rPr>
            </w:pPr>
            <w:r>
              <w:rPr>
                <w:rFonts w:cs="Calibri"/>
              </w:rPr>
              <w:t xml:space="preserve">Przygotowane materiały edukacyjne, muszą spełniać wymagania zawarte w dokumencie Załącznik nr 2 „Standardy dostępności dla polityki spójności 2021-2027” (w szczególności punkt III, rozdział 2, 3 i 4, str. 33-44) do dokumentu „Wytyczne dotyczące realizacji zasad równościowych w ramach funduszy unijnych na lata 2021-2027”, który został udostępniony pod linkiem: </w:t>
            </w:r>
            <w:hyperlink r:id="rId8" w:history="1">
              <w:r>
                <w:rPr>
                  <w:rStyle w:val="Hipercze"/>
                  <w:rFonts w:cs="Calibri"/>
                </w:rPr>
                <w:t>https://www.funduszeeuropejskie.gov.pl/strony/o-funduszach/dokumenty/wytyczne-dotyczace-realizacji-zasad-rownosciowych-w-ramach-funduszy-unijnych-na-lata-2021-2027-1/</w:t>
              </w:r>
            </w:hyperlink>
          </w:p>
          <w:p w14:paraId="29F7D925" w14:textId="77777777" w:rsidR="00F83740" w:rsidRPr="00F83740" w:rsidRDefault="00F83740" w:rsidP="002F470D">
            <w:pPr>
              <w:rPr>
                <w:rStyle w:val="Hipercze"/>
                <w:rFonts w:cs="Calibri"/>
                <w:color w:val="auto"/>
                <w:u w:val="none"/>
              </w:rPr>
            </w:pPr>
          </w:p>
          <w:p w14:paraId="66C73C70" w14:textId="77777777" w:rsidR="00F83740" w:rsidRPr="00F83740" w:rsidRDefault="00F83740" w:rsidP="00F83740">
            <w:pPr>
              <w:rPr>
                <w:rStyle w:val="Hipercze"/>
                <w:rFonts w:asciiTheme="minorHAnsi" w:hAnsiTheme="minorHAnsi" w:cstheme="minorHAnsi"/>
                <w:color w:val="auto"/>
                <w:szCs w:val="22"/>
                <w:u w:val="none"/>
              </w:rPr>
            </w:pPr>
            <w:r w:rsidRPr="00F83740">
              <w:rPr>
                <w:rStyle w:val="Hipercze"/>
                <w:rFonts w:asciiTheme="minorHAnsi" w:hAnsiTheme="minorHAnsi" w:cstheme="minorHAnsi"/>
                <w:color w:val="auto"/>
                <w:szCs w:val="22"/>
                <w:u w:val="none"/>
              </w:rPr>
              <w:t>Poniżej zawarty jest wyciąg z ww Standardów, dot. niezbędnych wymagań wobec materiałów edukacyjnych:</w:t>
            </w:r>
          </w:p>
          <w:p w14:paraId="04668E00" w14:textId="77777777" w:rsidR="00F83740" w:rsidRPr="00F83740" w:rsidRDefault="00F83740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Materiały. Informacja pisana</w:t>
            </w:r>
          </w:p>
          <w:p w14:paraId="6D624C65" w14:textId="77777777" w:rsidR="00F83740" w:rsidRPr="00F83740" w:rsidRDefault="00F83740" w:rsidP="00F8374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>Materiały są przygotowane co najmniej w wersji elektronicznej. Preferowana forma zapisu dokumentu to format pdf.</w:t>
            </w:r>
          </w:p>
          <w:p w14:paraId="6F19B9F2" w14:textId="77777777" w:rsidR="00F83740" w:rsidRPr="00F83740" w:rsidRDefault="00F83740" w:rsidP="00F8374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F83740">
              <w:rPr>
                <w:rFonts w:asciiTheme="minorHAnsi" w:hAnsiTheme="minorHAnsi" w:cstheme="minorHAnsi"/>
                <w:szCs w:val="22"/>
              </w:rPr>
              <w:t>Wytyczne do informacji pisanej:</w:t>
            </w:r>
          </w:p>
          <w:p w14:paraId="48FF7179" w14:textId="77777777" w:rsidR="00F83740" w:rsidRPr="00F83740" w:rsidRDefault="00F83740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Teksty – są pisane prostym językiem: </w:t>
            </w:r>
          </w:p>
          <w:p w14:paraId="0AB112D7" w14:textId="77777777" w:rsidR="00F83740" w:rsidRPr="00F83740" w:rsidRDefault="00F83740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o ile to możliwe, unika się żargonów, skrótów i związków frazeologicznych </w:t>
            </w:r>
          </w:p>
          <w:p w14:paraId="462C7A74" w14:textId="77777777" w:rsidR="00F83740" w:rsidRPr="00F83740" w:rsidRDefault="00F83740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nie używa się trudnych wyrazów, a także skrótów zapożyczonych z innego języka, chyba że są dobrze znane </w:t>
            </w:r>
          </w:p>
          <w:p w14:paraId="33627E65" w14:textId="77777777" w:rsidR="00F83740" w:rsidRPr="00F83740" w:rsidRDefault="00F83740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jeśli używane są skróty branżowe (na przykład EFS+, PO WER, UP), to przy pierwszym ich użyciu w dokumencie wskazuje się w nawiasie ich rozwinięcie </w:t>
            </w:r>
          </w:p>
          <w:p w14:paraId="6497C2C1" w14:textId="77777777" w:rsidR="00F83740" w:rsidRPr="00F83740" w:rsidRDefault="00F83740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w zdaniach stosuje się stronę czynną zamiast biernej </w:t>
            </w:r>
          </w:p>
          <w:p w14:paraId="2D174CB1" w14:textId="77777777" w:rsidR="00F83740" w:rsidRPr="00F83740" w:rsidRDefault="00F83740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podawane są przykłady </w:t>
            </w:r>
          </w:p>
          <w:p w14:paraId="71E5EF53" w14:textId="77777777" w:rsidR="00F83740" w:rsidRPr="00F83740" w:rsidRDefault="00F83740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wyrównane są do lewej strony – nie stosujemy justowania </w:t>
            </w:r>
          </w:p>
          <w:p w14:paraId="1D1B38DE" w14:textId="77777777" w:rsidR="00F83740" w:rsidRPr="00F83740" w:rsidRDefault="00F83740">
            <w:pPr>
              <w:pStyle w:val="Default"/>
              <w:numPr>
                <w:ilvl w:val="0"/>
                <w:numId w:val="10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stosuje się zdania krótkie, jeśli jest to możliwe – pozytywne zamiast negatywnych (na przykład: „Realizuj dostępny projekt” zamiast „Nie powinieneś realizować niedostępnego projektu”). </w:t>
            </w:r>
          </w:p>
          <w:p w14:paraId="38615DE9" w14:textId="77777777" w:rsidR="00F83740" w:rsidRPr="00F83740" w:rsidRDefault="00F83740">
            <w:pPr>
              <w:pStyle w:val="Default"/>
              <w:numPr>
                <w:ilvl w:val="0"/>
                <w:numId w:val="9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Dzielenie wyrazów</w:t>
            </w: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 – funkcja domyślnie wyłączona. Do rozsuwania znaków używa się funkcji „tekst rozstrzelony”. Błędem jest wstawianie spacji między literami, ponieważ czytnik ekranu każdą z liter będzie traktował jak oddzielny wyraz. </w:t>
            </w:r>
          </w:p>
          <w:p w14:paraId="0A5C9581" w14:textId="77777777" w:rsidR="00F83740" w:rsidRPr="00F83740" w:rsidRDefault="00F83740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83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Czcionka: </w:t>
            </w:r>
          </w:p>
          <w:p w14:paraId="1CE031E2" w14:textId="77777777" w:rsidR="00F83740" w:rsidRPr="00F83740" w:rsidRDefault="00F83740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>bezszeryfowa, czyli o kroju pozbawionym ozdobników w postaci szeryfów – końcówki znaków są proste (na przykład Helvetica, Arial, Calibri, Tahoma); przykłady czcionek szeryfowych, których nie należy stosować, to miedzy innymi Times New Roman, Century</w:t>
            </w:r>
          </w:p>
          <w:p w14:paraId="5FE67188" w14:textId="77777777" w:rsidR="00F83740" w:rsidRPr="00F83740" w:rsidRDefault="00F83740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rozmiar: minimum 12 </w:t>
            </w:r>
          </w:p>
          <w:p w14:paraId="269E64B8" w14:textId="77777777" w:rsidR="00F83740" w:rsidRPr="00F83740" w:rsidRDefault="00F83740">
            <w:pPr>
              <w:pStyle w:val="Default"/>
              <w:numPr>
                <w:ilvl w:val="0"/>
                <w:numId w:val="11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należy stosować interlinię miedzy wierszami: 1,15 lub 1,5. </w:t>
            </w:r>
          </w:p>
          <w:p w14:paraId="258AB96B" w14:textId="77777777" w:rsidR="00F83740" w:rsidRPr="00F83740" w:rsidRDefault="00F83740">
            <w:pPr>
              <w:pStyle w:val="Default"/>
              <w:numPr>
                <w:ilvl w:val="0"/>
                <w:numId w:val="9"/>
              </w:numPr>
              <w:spacing w:after="196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Nagłówki</w:t>
            </w: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 – używa się wbudowanych stylów: Nagłówek 1, 2 itd., które pozwalają osobom korzystającym z klawiatury i czytników ekranu przenosić kursor bezpośrednio do wybranego nagłówka. Prawidłowo oznaczone nagłówki pozwalają wyświetlić konspekt dokumentu, dzięki czemu można szybko zapoznać się z jego strukturą. </w:t>
            </w:r>
          </w:p>
          <w:p w14:paraId="55F7F7CA" w14:textId="77777777" w:rsidR="00F83740" w:rsidRPr="00F83740" w:rsidRDefault="00F83740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83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Akapity</w:t>
            </w: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 – tekst jest dzielony na akapity, które decydują o jego czytelności  </w:t>
            </w:r>
          </w:p>
          <w:p w14:paraId="24E9E9E2" w14:textId="77777777" w:rsidR="00F83740" w:rsidRPr="00F83740" w:rsidRDefault="00F83740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przeniesienie fragmentu akapitu czy zdania do nowej linii wykonuje się przez wstawienie znaku podziału linii – znak ten można wstawić używając klawiszy: &lt;Shift+Enter&gt; </w:t>
            </w:r>
          </w:p>
          <w:p w14:paraId="3CBE535A" w14:textId="77777777" w:rsidR="00F83740" w:rsidRPr="00F83740" w:rsidRDefault="00F83740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przeniesienie fragmentu dokumentu na nową stronę wykonuje się przez wstawienie znaku podziału strony: &lt;Ctrl+Enter&gt; </w:t>
            </w:r>
          </w:p>
          <w:p w14:paraId="6C906BC6" w14:textId="77777777" w:rsidR="00F83740" w:rsidRPr="00F83740" w:rsidRDefault="00F83740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nie używa się klawisza &lt;Enter&gt; do przesuwania treści – użytkownicy niewidomi otrzymują wówczas błędną informację od czytnika ekranu; może to również spowodować błędne wyświetlanie się dokumentów </w:t>
            </w:r>
          </w:p>
          <w:p w14:paraId="7B838117" w14:textId="77777777" w:rsidR="00F83740" w:rsidRPr="00F83740" w:rsidRDefault="00F83740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nie tworzy się pionowych napisów – czytniki ekranu odczytują teksty zgodnie z obowiązującą w języku polskim zasadą pisania i czytania od lewej do prawej i od góry do dołu (tworzenie pionowych tekstów zaburza kolejności czytania tekstu). </w:t>
            </w:r>
          </w:p>
          <w:p w14:paraId="7EFC3A6D" w14:textId="77777777" w:rsidR="00F83740" w:rsidRPr="00F83740" w:rsidRDefault="00F83740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Hiperłącza</w:t>
            </w: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 – przy tworzeniu alternatywnego opisu hiperłączy (linków) nie używa się nazw całych linków – należy nadać im nazwę, która jasno określi ich przeznaczenie, na przykład: </w:t>
            </w:r>
          </w:p>
          <w:p w14:paraId="2D5A572B" w14:textId="77777777" w:rsidR="00F83740" w:rsidRPr="00F83740" w:rsidRDefault="00F83740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zamiast: http://power.parp.gov.pl/harmonogram/harmonogram-naborow-na-2017-rok, </w:t>
            </w:r>
          </w:p>
          <w:p w14:paraId="7DCED1ED" w14:textId="77777777" w:rsidR="00F83740" w:rsidRPr="00F83740" w:rsidRDefault="00F83740">
            <w:pPr>
              <w:pStyle w:val="Default"/>
              <w:numPr>
                <w:ilvl w:val="0"/>
                <w:numId w:val="13"/>
              </w:num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napisz: Terminy naborów. </w:t>
            </w:r>
          </w:p>
          <w:p w14:paraId="025871FA" w14:textId="77777777" w:rsidR="00F83740" w:rsidRPr="00F83740" w:rsidRDefault="00F83740">
            <w:pPr>
              <w:pStyle w:val="Default"/>
              <w:numPr>
                <w:ilvl w:val="0"/>
                <w:numId w:val="9"/>
              </w:numPr>
              <w:spacing w:after="198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Listy elementów – numeracja i punktory: </w:t>
            </w:r>
          </w:p>
          <w:p w14:paraId="1619477C" w14:textId="77777777" w:rsidR="00F83740" w:rsidRPr="00F83740" w:rsidRDefault="00F83740">
            <w:pPr>
              <w:pStyle w:val="Default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przy wymienianiu używane w sytuacji wymieniania w tekście powiązanych ze sobą elementów </w:t>
            </w:r>
          </w:p>
          <w:p w14:paraId="62D81459" w14:textId="77777777" w:rsidR="00F83740" w:rsidRPr="00F83740" w:rsidRDefault="00F83740">
            <w:pPr>
              <w:pStyle w:val="Default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ich zastosowanie ułatwia osobie z niepełnosprawnością nawigowanie po dokumencie </w:t>
            </w:r>
          </w:p>
          <w:p w14:paraId="169182EF" w14:textId="77777777" w:rsidR="00F83740" w:rsidRPr="00F83740" w:rsidRDefault="00F83740">
            <w:pPr>
              <w:pStyle w:val="Default"/>
              <w:numPr>
                <w:ilvl w:val="0"/>
                <w:numId w:val="14"/>
              </w:numPr>
              <w:spacing w:after="198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symbol punktora lub liczba oznaczająca element listy powinna być wysunięta na lewo względem tekstu, dzięki temu elementy listy będą łatwo zauważalne. </w:t>
            </w:r>
          </w:p>
          <w:p w14:paraId="6758D42D" w14:textId="77777777" w:rsidR="00F83740" w:rsidRPr="00F83740" w:rsidRDefault="00F83740">
            <w:pPr>
              <w:pStyle w:val="Default"/>
              <w:numPr>
                <w:ilvl w:val="0"/>
                <w:numId w:val="9"/>
              </w:numPr>
              <w:spacing w:after="198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Kontrast </w:t>
            </w: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pomiędzy tłem a tekstem jest wystarczający, na przykład czarny tekst na białym tle, niebieski tekst na białym tle, niebieski tekst na żółtym tle, czarny tekst na żółtym tle, biały tekst na niebieskim tle: </w:t>
            </w:r>
          </w:p>
          <w:p w14:paraId="55D0BBE1" w14:textId="77777777" w:rsidR="00F83740" w:rsidRPr="00F83740" w:rsidRDefault="00F83740" w:rsidP="00F83740">
            <w:pPr>
              <w:pStyle w:val="Default"/>
              <w:spacing w:line="276" w:lineRule="auto"/>
              <w:ind w:firstLine="7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Tekst Tekst </w:t>
            </w:r>
            <w:r w:rsidRPr="00F83740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Tekst Tekst </w:t>
            </w:r>
            <w:r w:rsidRPr="00F83740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  <w:highlight w:val="yellow"/>
              </w:rPr>
              <w:t>Tekst Tekst</w:t>
            </w:r>
            <w:r w:rsidRPr="00F83740">
              <w:rPr>
                <w:rFonts w:asciiTheme="minorHAnsi" w:hAnsiTheme="minorHAnsi" w:cstheme="minorHAnsi"/>
                <w:b/>
                <w:bCs/>
                <w:color w:val="365F91"/>
                <w:sz w:val="22"/>
                <w:szCs w:val="22"/>
              </w:rPr>
              <w:t xml:space="preserve"> </w:t>
            </w:r>
            <w:r w:rsidRPr="00F83740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Tekst Tekst</w:t>
            </w:r>
            <w:r w:rsidRPr="00F83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43C49868" w14:textId="77777777" w:rsidR="00F83740" w:rsidRPr="00F83740" w:rsidRDefault="00F83740" w:rsidP="00F8374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17964F" w14:textId="77777777" w:rsidR="00F83740" w:rsidRPr="00F83740" w:rsidRDefault="00F83740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Tabele: </w:t>
            </w:r>
          </w:p>
          <w:p w14:paraId="6BEE4E4E" w14:textId="77777777" w:rsidR="00F83740" w:rsidRPr="00F83740" w:rsidRDefault="00F83740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określa się wiersz nagłówków tabeli – zdefiniowanie wiersza nagłówków pozwala osobom niewidomym korzystającym z czytnika ekranu zrozumieć znaczenie treści odczytywanych komórek tabeli </w:t>
            </w:r>
          </w:p>
          <w:p w14:paraId="303EFEF9" w14:textId="77777777" w:rsidR="00F83740" w:rsidRPr="00F83740" w:rsidRDefault="00F8374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color w:val="000000"/>
              </w:rPr>
            </w:pPr>
            <w:r w:rsidRPr="00F83740">
              <w:rPr>
                <w:rFonts w:asciiTheme="minorHAnsi" w:hAnsiTheme="minorHAnsi" w:cstheme="minorHAnsi"/>
                <w:color w:val="000000"/>
              </w:rPr>
              <w:t xml:space="preserve">używa się funkcji „Powtórz wiersz nagłówka na nowych stronach” – w sytuacji, gdy tabela będzie zajmowała więcej niż jedną stronę dokumentu, wiersz nagłówka automatycznie zostanie powtórzony na kolejnych stronach </w:t>
            </w:r>
          </w:p>
          <w:p w14:paraId="7BC85B03" w14:textId="77777777" w:rsidR="00F83740" w:rsidRPr="00F83740" w:rsidRDefault="00F8374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color w:val="000000"/>
              </w:rPr>
            </w:pPr>
            <w:r w:rsidRPr="00F83740">
              <w:rPr>
                <w:rFonts w:asciiTheme="minorHAnsi" w:hAnsiTheme="minorHAnsi" w:cstheme="minorHAnsi"/>
                <w:color w:val="000000"/>
              </w:rPr>
              <w:t xml:space="preserve">linie siatki są widoczne, co pozwala wizualnie rozpoznawać wiersze i kolumny, </w:t>
            </w:r>
          </w:p>
          <w:p w14:paraId="50588A02" w14:textId="77777777" w:rsidR="00F83740" w:rsidRPr="00F83740" w:rsidRDefault="00F8374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color w:val="000000"/>
              </w:rPr>
            </w:pPr>
            <w:r w:rsidRPr="00F83740">
              <w:rPr>
                <w:rFonts w:asciiTheme="minorHAnsi" w:hAnsiTheme="minorHAnsi" w:cstheme="minorHAnsi"/>
                <w:color w:val="000000"/>
              </w:rPr>
              <w:t xml:space="preserve">wyrównując tekst w kolumnach należy wyrównywać do lewej </w:t>
            </w:r>
          </w:p>
          <w:p w14:paraId="6FB35BBF" w14:textId="77777777" w:rsidR="00F83740" w:rsidRPr="00F83740" w:rsidRDefault="00F8374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color w:val="000000"/>
              </w:rPr>
            </w:pPr>
            <w:r w:rsidRPr="00F83740">
              <w:rPr>
                <w:rFonts w:asciiTheme="minorHAnsi" w:hAnsiTheme="minorHAnsi" w:cstheme="minorHAnsi"/>
                <w:color w:val="000000"/>
              </w:rPr>
              <w:t>dane liczbowe wyrównuje się do prawej lub do przecinka dziesiętnego.</w:t>
            </w:r>
          </w:p>
          <w:p w14:paraId="4ED3933D" w14:textId="77777777" w:rsidR="00F83740" w:rsidRPr="00F83740" w:rsidRDefault="00F83740" w:rsidP="00F83740">
            <w:pPr>
              <w:pStyle w:val="Akapitzlist"/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color w:val="000000"/>
              </w:rPr>
            </w:pPr>
          </w:p>
          <w:p w14:paraId="25C477E2" w14:textId="77777777" w:rsidR="00F83740" w:rsidRPr="00F83740" w:rsidRDefault="00F8374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98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8374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Eksportowanie pliku do pdf jest niezbędne dla zwiększenia dostępności tego pliku. </w:t>
            </w:r>
          </w:p>
          <w:p w14:paraId="7D37E214" w14:textId="77777777" w:rsidR="00F83740" w:rsidRPr="00F83740" w:rsidRDefault="00F83740">
            <w:pPr>
              <w:pStyle w:val="Default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63E91652" w14:textId="77777777" w:rsidR="00F83740" w:rsidRPr="00F83740" w:rsidRDefault="00F83740">
            <w:pPr>
              <w:pStyle w:val="Default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Przy tworzeniu dokumentu typu PDF na przykład z dokumentów MS Word lub MS Excel należy wywołać polecenie </w:t>
            </w:r>
            <w:r w:rsidRPr="00F83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Zapisz jako </w:t>
            </w: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>następnie w polu Z</w:t>
            </w:r>
            <w:r w:rsidRPr="00F83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apisz jako typ </w:t>
            </w: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wybrać opcję PDF i po naciśnięciu przycisku </w:t>
            </w:r>
            <w:r w:rsidRPr="00F83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Opcje </w:t>
            </w: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zaznacza się checkbox </w:t>
            </w:r>
            <w:r w:rsidRPr="00F83740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Tagi struktury dla ułatwień dostępu </w:t>
            </w:r>
            <w:r w:rsidRPr="00F83740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oraz checkbox </w:t>
            </w:r>
            <w:r w:rsidRPr="00F83740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Właściwości dokumentu. </w:t>
            </w:r>
          </w:p>
          <w:p w14:paraId="000A27C7" w14:textId="77777777" w:rsidR="00F83740" w:rsidRPr="00F83740" w:rsidRDefault="00F83740" w:rsidP="00F8374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A4A48F" w14:textId="77777777" w:rsidR="00F83740" w:rsidRPr="00F83740" w:rsidRDefault="00F83740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83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Informacja elektroniczna </w:t>
            </w:r>
          </w:p>
          <w:p w14:paraId="6749BC51" w14:textId="77777777" w:rsidR="00F83740" w:rsidRPr="00F83740" w:rsidRDefault="00F83740" w:rsidP="00F83740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Dokumenty dystrybuowane elektronicznie powinny być opracowane zgodnie z Standardem cyfrowy (Rozdział 3 Dokumenty elektroniczne) określonych w </w:t>
            </w:r>
            <w:r w:rsidRPr="00F83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Standardzie dostępności dla polityki spójności 2021-2027:</w:t>
            </w:r>
          </w:p>
          <w:p w14:paraId="12CA6A03" w14:textId="77777777" w:rsidR="00F83740" w:rsidRPr="00F83740" w:rsidRDefault="00F83740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sz w:val="22"/>
                <w:szCs w:val="22"/>
              </w:rPr>
              <w:t xml:space="preserve">PDF tworzy się w sposób zapewniający dostęp do warstwy tekstowej dokumentu oraz informacji o strukturze dokumentu w celu zastosowania technologii asystujących. W przypadku skanowania dokumentu tekstowego do pliku PDF należy pamiętać, aby wybrać opcję skanowania z możliwością przeszukiwania tekstu. Jeżeli skaner nie posiada takiej funkcji, utworzony plik PDF będzie niedostępny dla osób z niepełnosprawnościami. W takim wypadku należy użyć oprogramowania do OCR czyli rozpoznania druku i (po korekcie) zapisania go do pliku tekstowego. </w:t>
            </w:r>
          </w:p>
          <w:p w14:paraId="7A51AEDB" w14:textId="77777777" w:rsidR="00F83740" w:rsidRPr="00F83740" w:rsidRDefault="00F83740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 Przy tworzeniu dokumentu typu PDF na przykład z dokumentów MS Word lub MS Excel należy wywołać polecenie </w:t>
            </w:r>
            <w:r w:rsidRPr="00F8374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Zapisz jako </w:t>
            </w:r>
            <w:r w:rsidRPr="00F837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następnie w polu Z</w:t>
            </w:r>
            <w:r w:rsidRPr="00F8374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apisz jako typ </w:t>
            </w:r>
            <w:r w:rsidRPr="00F837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wybrać opcję PDF i po naciśnięciu przycisku </w:t>
            </w:r>
            <w:r w:rsidRPr="00F8374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Opcje </w:t>
            </w:r>
            <w:r w:rsidRPr="00F837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zaznacza się checkbox </w:t>
            </w:r>
            <w:r w:rsidRPr="00F83740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 xml:space="preserve">Tagi struktury dla ułatwień dostępu </w:t>
            </w:r>
            <w:r w:rsidRPr="00F83740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oraz checkbox </w:t>
            </w:r>
            <w:r w:rsidRPr="00F83740">
              <w:rPr>
                <w:rFonts w:asciiTheme="minorHAnsi" w:hAnsiTheme="minorHAnsi" w:cstheme="minorHAnsi"/>
                <w:b/>
                <w:bCs/>
                <w:color w:val="2E2E2E"/>
                <w:sz w:val="22"/>
                <w:szCs w:val="22"/>
              </w:rPr>
              <w:t>Właściwości dokumentu</w:t>
            </w:r>
            <w:r w:rsidRPr="00F83740">
              <w:rPr>
                <w:rFonts w:asciiTheme="minorHAnsi" w:hAnsiTheme="minorHAnsi" w:cstheme="minorHAnsi"/>
                <w:color w:val="2E2E2E"/>
                <w:sz w:val="22"/>
                <w:szCs w:val="22"/>
              </w:rPr>
              <w:t xml:space="preserve">. </w:t>
            </w:r>
          </w:p>
          <w:p w14:paraId="2AAE097C" w14:textId="77777777" w:rsidR="00F83740" w:rsidRPr="00F83740" w:rsidRDefault="00F83740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Podczas wysyłania zeskanowywanego dokumentu (na przykład gdy istnieje konieczność odwzorowania elektronicznie dokumentu tradycyjnego), dołączany jest również dokument w formacie pozwalającym na dostęp do warstwy tekstowej na przykład RTF, ODT, DOCX, DOC, dostępny dokument w formacie PDF. </w:t>
            </w:r>
          </w:p>
          <w:p w14:paraId="71AEB2AF" w14:textId="77777777" w:rsidR="00F83740" w:rsidRPr="00F83740" w:rsidRDefault="00F83740" w:rsidP="00F83740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5609DF34" w14:textId="77777777" w:rsidR="00F83740" w:rsidRPr="00F83740" w:rsidRDefault="00F83740">
            <w:pPr>
              <w:pStyle w:val="Akapitzlist"/>
              <w:numPr>
                <w:ilvl w:val="0"/>
                <w:numId w:val="8"/>
              </w:numPr>
              <w:spacing w:after="16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F83740">
              <w:rPr>
                <w:rFonts w:asciiTheme="minorHAnsi" w:hAnsiTheme="minorHAnsi" w:cstheme="minorHAnsi"/>
                <w:b/>
                <w:bCs/>
                <w:u w:val="single"/>
              </w:rPr>
              <w:t>Prezentacja multimedialna:</w:t>
            </w:r>
          </w:p>
          <w:p w14:paraId="53C4C301" w14:textId="77777777" w:rsidR="00F83740" w:rsidRPr="00F83740" w:rsidRDefault="00F83740" w:rsidP="00F83740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F83740">
              <w:rPr>
                <w:rFonts w:asciiTheme="minorHAnsi" w:hAnsiTheme="minorHAnsi" w:cstheme="minorHAnsi"/>
                <w:szCs w:val="22"/>
              </w:rPr>
              <w:t>Prezentacje multimedialne przedstawiane podczas wydarzenia uwzględniają kryteria dostępności:</w:t>
            </w:r>
          </w:p>
          <w:p w14:paraId="3E79D388" w14:textId="77777777" w:rsidR="00F83740" w:rsidRPr="00F83740" w:rsidRDefault="00F83740">
            <w:pPr>
              <w:widowControl/>
              <w:numPr>
                <w:ilvl w:val="0"/>
                <w:numId w:val="18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F83740">
              <w:rPr>
                <w:rFonts w:asciiTheme="minorHAnsi" w:hAnsiTheme="minorHAnsi" w:cstheme="minorHAnsi"/>
                <w:szCs w:val="22"/>
              </w:rPr>
              <w:t>unikalne tytuły dla każdego ze slajdów,</w:t>
            </w:r>
          </w:p>
          <w:p w14:paraId="62B4DDE6" w14:textId="77777777" w:rsidR="00F83740" w:rsidRPr="00F83740" w:rsidRDefault="00F83740">
            <w:pPr>
              <w:widowControl/>
              <w:numPr>
                <w:ilvl w:val="0"/>
                <w:numId w:val="18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F83740">
              <w:rPr>
                <w:rFonts w:asciiTheme="minorHAnsi" w:hAnsiTheme="minorHAnsi" w:cstheme="minorHAnsi"/>
                <w:szCs w:val="22"/>
              </w:rPr>
              <w:t>użycie krótkich równoważników zdań,</w:t>
            </w:r>
          </w:p>
          <w:p w14:paraId="4FB1A40F" w14:textId="77777777" w:rsidR="00F83740" w:rsidRPr="00F83740" w:rsidRDefault="00F83740">
            <w:pPr>
              <w:widowControl/>
              <w:numPr>
                <w:ilvl w:val="0"/>
                <w:numId w:val="18"/>
              </w:numPr>
              <w:suppressAutoHyphens w:val="0"/>
              <w:spacing w:after="120"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F83740">
              <w:rPr>
                <w:rFonts w:asciiTheme="minorHAnsi" w:hAnsiTheme="minorHAnsi" w:cstheme="minorHAnsi"/>
                <w:szCs w:val="22"/>
              </w:rPr>
              <w:t xml:space="preserve">zastosowanie dużej czcionki – minimum 18-20 punktów, </w:t>
            </w:r>
          </w:p>
          <w:p w14:paraId="6CEFB5AE" w14:textId="77777777" w:rsidR="00F83740" w:rsidRPr="00F83740" w:rsidRDefault="00F83740">
            <w:pPr>
              <w:widowControl/>
              <w:numPr>
                <w:ilvl w:val="0"/>
                <w:numId w:val="18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F83740">
              <w:rPr>
                <w:rFonts w:asciiTheme="minorHAnsi" w:hAnsiTheme="minorHAnsi" w:cstheme="minorHAnsi"/>
                <w:szCs w:val="22"/>
              </w:rPr>
              <w:t>zastosowanie czcionek bezszeryfowych, na przykład Helvetica, Arial, Verdana, Tahoma bez cieni,</w:t>
            </w:r>
          </w:p>
          <w:p w14:paraId="4319B312" w14:textId="77777777" w:rsidR="00F83740" w:rsidRPr="00F83740" w:rsidRDefault="00F83740">
            <w:pPr>
              <w:widowControl/>
              <w:numPr>
                <w:ilvl w:val="0"/>
                <w:numId w:val="18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F83740">
              <w:rPr>
                <w:rFonts w:asciiTheme="minorHAnsi" w:hAnsiTheme="minorHAnsi" w:cstheme="minorHAnsi"/>
                <w:szCs w:val="22"/>
              </w:rPr>
              <w:t xml:space="preserve">zachowanie kontrastu czcionki do tła, </w:t>
            </w:r>
          </w:p>
          <w:p w14:paraId="4BF791E1" w14:textId="77777777" w:rsidR="00F83740" w:rsidRPr="00F83740" w:rsidRDefault="00F83740">
            <w:pPr>
              <w:widowControl/>
              <w:numPr>
                <w:ilvl w:val="0"/>
                <w:numId w:val="18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F83740">
              <w:rPr>
                <w:rFonts w:asciiTheme="minorHAnsi" w:hAnsiTheme="minorHAnsi" w:cstheme="minorHAnsi"/>
                <w:szCs w:val="22"/>
              </w:rPr>
              <w:t>zastosowanie wysokiej jakości grafiki, dużych zdjęć wraz z obligatoryjnym tekstem alternatywnym,</w:t>
            </w:r>
          </w:p>
          <w:p w14:paraId="73A4447E" w14:textId="77777777" w:rsidR="00F83740" w:rsidRPr="00F83740" w:rsidRDefault="00F83740">
            <w:pPr>
              <w:widowControl/>
              <w:numPr>
                <w:ilvl w:val="0"/>
                <w:numId w:val="18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F83740">
              <w:rPr>
                <w:rFonts w:asciiTheme="minorHAnsi" w:hAnsiTheme="minorHAnsi" w:cstheme="minorHAnsi"/>
                <w:szCs w:val="22"/>
              </w:rPr>
              <w:t>ograniczona ilość tekstu na slajdzie – najlepiej 6-8 wierszy – dopuszczalna jest większa liczba wierszy, jeśli nadal prezentacja będzie czytelna dla odbiorcy. Aby to ocenić należy m.in. wziąć pod uwagę charakter spotkania, sposób prezentacji (online czy stacjonarnie), wielkość sali itp.</w:t>
            </w:r>
          </w:p>
          <w:p w14:paraId="7FE49B38" w14:textId="77777777" w:rsidR="00F83740" w:rsidRPr="00F83740" w:rsidRDefault="00F83740">
            <w:pPr>
              <w:widowControl/>
              <w:numPr>
                <w:ilvl w:val="0"/>
                <w:numId w:val="18"/>
              </w:numPr>
              <w:suppressAutoHyphens w:val="0"/>
              <w:spacing w:after="120"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F83740">
              <w:rPr>
                <w:rFonts w:asciiTheme="minorHAnsi" w:eastAsia="Times New Roman" w:hAnsiTheme="minorHAnsi" w:cstheme="minorHAnsi"/>
                <w:kern w:val="0"/>
                <w:szCs w:val="22"/>
              </w:rPr>
              <w:t>brak automatycznego przesuwania slajdów,</w:t>
            </w:r>
          </w:p>
          <w:p w14:paraId="0023A085" w14:textId="77777777" w:rsidR="00F83740" w:rsidRPr="00F83740" w:rsidRDefault="00F83740">
            <w:pPr>
              <w:widowControl/>
              <w:numPr>
                <w:ilvl w:val="0"/>
                <w:numId w:val="18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F83740">
              <w:rPr>
                <w:rFonts w:asciiTheme="minorHAnsi" w:hAnsiTheme="minorHAnsi" w:cstheme="minorHAnsi"/>
                <w:szCs w:val="22"/>
              </w:rPr>
              <w:t>p</w:t>
            </w:r>
            <w:r w:rsidRPr="00F83740">
              <w:rPr>
                <w:rFonts w:asciiTheme="minorHAnsi" w:eastAsia="Times New Roman" w:hAnsiTheme="minorHAnsi" w:cstheme="minorHAnsi"/>
                <w:kern w:val="0"/>
                <w:szCs w:val="22"/>
              </w:rPr>
              <w:t>roste przejścia między slajdami, bez dźwięku,</w:t>
            </w:r>
          </w:p>
          <w:p w14:paraId="71D1B474" w14:textId="77777777" w:rsidR="00F83740" w:rsidRPr="00F83740" w:rsidRDefault="00F83740">
            <w:pPr>
              <w:widowControl/>
              <w:numPr>
                <w:ilvl w:val="0"/>
                <w:numId w:val="18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F83740">
              <w:rPr>
                <w:rFonts w:asciiTheme="minorHAnsi" w:eastAsia="Times New Roman" w:hAnsiTheme="minorHAnsi" w:cstheme="minorHAnsi"/>
                <w:kern w:val="0"/>
                <w:szCs w:val="22"/>
              </w:rPr>
              <w:t>w widoku Notatki nie należy umieszczać informacji o dostępności, takich jak tekst zastępczy,</w:t>
            </w:r>
          </w:p>
          <w:p w14:paraId="1504B171" w14:textId="77777777" w:rsidR="00F83740" w:rsidRPr="00F83740" w:rsidRDefault="00F83740">
            <w:pPr>
              <w:widowControl/>
              <w:numPr>
                <w:ilvl w:val="0"/>
                <w:numId w:val="18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F83740">
              <w:rPr>
                <w:rFonts w:asciiTheme="minorHAnsi" w:hAnsiTheme="minorHAnsi" w:cstheme="minorHAnsi"/>
                <w:szCs w:val="22"/>
              </w:rPr>
              <w:t>w</w:t>
            </w:r>
            <w:r w:rsidRPr="00F83740">
              <w:rPr>
                <w:rFonts w:asciiTheme="minorHAnsi" w:eastAsia="Times New Roman" w:hAnsiTheme="minorHAnsi" w:cstheme="minorHAnsi"/>
                <w:kern w:val="0"/>
                <w:szCs w:val="22"/>
              </w:rPr>
              <w:t xml:space="preserve"> przypadku wbudowanego wideo,  musi być ono opatrzone kodowanymi podpisami,</w:t>
            </w:r>
          </w:p>
          <w:p w14:paraId="7018021B" w14:textId="77777777" w:rsidR="00F83740" w:rsidRPr="00F83740" w:rsidRDefault="00F83740">
            <w:pPr>
              <w:widowControl/>
              <w:numPr>
                <w:ilvl w:val="0"/>
                <w:numId w:val="18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F83740">
              <w:rPr>
                <w:rFonts w:asciiTheme="minorHAnsi" w:hAnsiTheme="minorHAnsi" w:cstheme="minorHAnsi"/>
                <w:szCs w:val="22"/>
              </w:rPr>
              <w:t>w</w:t>
            </w:r>
            <w:r w:rsidRPr="00F83740">
              <w:rPr>
                <w:rFonts w:asciiTheme="minorHAnsi" w:eastAsia="Times New Roman" w:hAnsiTheme="minorHAnsi" w:cstheme="minorHAnsi"/>
                <w:kern w:val="0"/>
                <w:szCs w:val="22"/>
              </w:rPr>
              <w:t xml:space="preserve"> przypadku wbudowanego dźwięku, musi być ono opatrzone transkrypcją,</w:t>
            </w:r>
          </w:p>
          <w:p w14:paraId="6415BFA4" w14:textId="77777777" w:rsidR="00F83740" w:rsidRPr="00F83740" w:rsidRDefault="00F83740">
            <w:pPr>
              <w:widowControl/>
              <w:numPr>
                <w:ilvl w:val="0"/>
                <w:numId w:val="18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F83740">
              <w:rPr>
                <w:rFonts w:asciiTheme="minorHAnsi" w:hAnsiTheme="minorHAnsi" w:cstheme="minorHAnsi"/>
                <w:szCs w:val="22"/>
              </w:rPr>
              <w:t>j</w:t>
            </w:r>
            <w:r w:rsidRPr="00F83740">
              <w:rPr>
                <w:rFonts w:asciiTheme="minorHAnsi" w:eastAsia="Times New Roman" w:hAnsiTheme="minorHAnsi" w:cstheme="minorHAnsi"/>
                <w:kern w:val="0"/>
                <w:szCs w:val="22"/>
              </w:rPr>
              <w:t>eśli slajdy zawierają animacje, to powinny być one krótkie i nie odwracające uwagi od najważniejszych treści na stronie,</w:t>
            </w:r>
          </w:p>
          <w:p w14:paraId="3165DDE8" w14:textId="77777777" w:rsidR="00F83740" w:rsidRPr="00F83740" w:rsidRDefault="00F83740">
            <w:pPr>
              <w:widowControl/>
              <w:numPr>
                <w:ilvl w:val="0"/>
                <w:numId w:val="18"/>
              </w:numPr>
              <w:suppressAutoHyphens w:val="0"/>
              <w:spacing w:line="276" w:lineRule="auto"/>
              <w:ind w:left="567" w:hanging="283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F83740">
              <w:rPr>
                <w:rFonts w:asciiTheme="minorHAnsi" w:eastAsia="Times New Roman" w:hAnsiTheme="minorHAnsi" w:cstheme="minorHAnsi"/>
                <w:kern w:val="0"/>
                <w:szCs w:val="22"/>
              </w:rPr>
              <w:t xml:space="preserve">warto pamiętać, </w:t>
            </w:r>
            <w:r w:rsidRPr="00F83740">
              <w:rPr>
                <w:rFonts w:asciiTheme="minorHAnsi" w:hAnsiTheme="minorHAnsi" w:cstheme="minorHAnsi"/>
                <w:szCs w:val="22"/>
              </w:rPr>
              <w:t>że czytniki ekranowe mogą mieć znaczne trudności z odczytaniem treści w przypadku prezentacji o skomplikowanej strukturze, w których tekst na slajdzie jest rozmieszczony w wielu niezależnych polach tekstowych czy tabelach</w:t>
            </w:r>
            <w:r w:rsidRPr="00F83740">
              <w:rPr>
                <w:rFonts w:asciiTheme="minorHAnsi" w:hAnsiTheme="minorHAnsi" w:cstheme="minorHAnsi"/>
                <w:szCs w:val="22"/>
                <w:lang w:eastAsia="hi-IN" w:bidi="hi-IN"/>
              </w:rPr>
              <w:t>,</w:t>
            </w:r>
          </w:p>
          <w:p w14:paraId="2BFED344" w14:textId="77777777" w:rsidR="00F83740" w:rsidRPr="00F83740" w:rsidRDefault="00F83740">
            <w:pPr>
              <w:widowControl/>
              <w:numPr>
                <w:ilvl w:val="0"/>
                <w:numId w:val="18"/>
              </w:numPr>
              <w:suppressAutoHyphens w:val="0"/>
              <w:spacing w:after="120" w:line="276" w:lineRule="auto"/>
              <w:ind w:left="567" w:hanging="283"/>
              <w:textAlignment w:val="auto"/>
              <w:rPr>
                <w:rFonts w:asciiTheme="minorHAnsi" w:hAnsiTheme="minorHAnsi" w:cstheme="minorHAnsi"/>
                <w:iCs/>
                <w:szCs w:val="22"/>
              </w:rPr>
            </w:pPr>
            <w:r w:rsidRPr="00F83740">
              <w:rPr>
                <w:rFonts w:asciiTheme="minorHAnsi" w:hAnsiTheme="minorHAnsi" w:cstheme="minorHAnsi"/>
                <w:szCs w:val="22"/>
                <w:lang w:eastAsia="hi-IN" w:bidi="hi-IN"/>
              </w:rPr>
              <w:lastRenderedPageBreak/>
              <w:t xml:space="preserve">po przygotowaniu prezentacji należy sprawdzić kolejność odczytu – w </w:t>
            </w:r>
            <w:r w:rsidRPr="00F83740">
              <w:rPr>
                <w:rFonts w:asciiTheme="minorHAnsi" w:hAnsiTheme="minorHAnsi" w:cstheme="minorHAnsi"/>
                <w:szCs w:val="22"/>
                <w:lang w:eastAsia="ar-SA" w:bidi="hi-IN"/>
              </w:rPr>
              <w:t>PowerPoint kolejność odczytu pokazywana jest odwrotnie.</w:t>
            </w:r>
          </w:p>
          <w:p w14:paraId="66DCE924" w14:textId="77777777" w:rsidR="00644D93" w:rsidRDefault="00644D93" w:rsidP="00644D93">
            <w:pPr>
              <w:widowControl/>
              <w:spacing w:before="240" w:line="252" w:lineRule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Cs w:val="22"/>
              </w:rPr>
              <w:t>Informacja o prawach autorskich:</w:t>
            </w:r>
          </w:p>
          <w:p w14:paraId="43E8EC62" w14:textId="77777777" w:rsidR="00644D93" w:rsidRDefault="00644D93">
            <w:pPr>
              <w:pStyle w:val="Akapitzlist"/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W przypadku stworzenia przez Wykonawcę  utworów, w rozumieniu art. 1 ustawy z dnia 4 lutego 1994 r. o prawie autorskim i prawach pokrewnych powstałych w ramach podpisanej  umowy, Wykonawca przenosi na Zamawiającego prawa autorskie do tych utworów na podstawie licencji </w:t>
            </w:r>
            <w:r>
              <w:rPr>
                <w:rFonts w:cs="Calibri"/>
                <w:b/>
                <w:bCs/>
              </w:rPr>
              <w:t>Creative Commons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b/>
                <w:bCs/>
              </w:rPr>
              <w:t xml:space="preserve">Uznanie autorstwa CC BY 4.0 </w:t>
            </w:r>
            <w:r>
              <w:rPr>
                <w:rFonts w:cs="Calibri"/>
              </w:rPr>
              <w:t xml:space="preserve">(treść licencji jest dostępna na: </w:t>
            </w:r>
            <w:hyperlink r:id="rId9" w:history="1">
              <w:r>
                <w:rPr>
                  <w:rStyle w:val="Hipercze"/>
                  <w:rFonts w:cs="Calibri"/>
                </w:rPr>
                <w:t>https://creativecommons.pl/poznaj-licencje-creative-commons/</w:t>
              </w:r>
            </w:hyperlink>
            <w:r>
              <w:rPr>
                <w:rFonts w:cs="Calibri"/>
              </w:rPr>
              <w:t xml:space="preserve">)  </w:t>
            </w:r>
          </w:p>
          <w:p w14:paraId="59C1516E" w14:textId="77777777" w:rsidR="00644D93" w:rsidRDefault="00644D93">
            <w:pPr>
              <w:pStyle w:val="Akapitzlist"/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cs="Calibri"/>
              </w:rPr>
              <w:t xml:space="preserve">Na wniosek </w:t>
            </w:r>
            <w:bookmarkStart w:id="0" w:name="_Hlk171582907"/>
            <w:r>
              <w:rPr>
                <w:rFonts w:cs="Calibri"/>
                <w:iCs/>
              </w:rPr>
              <w:t>Instytucji Koordynującej Umowę Partnerstwa</w:t>
            </w:r>
            <w:bookmarkEnd w:id="0"/>
            <w:r>
              <w:rPr>
                <w:rFonts w:cs="Calibri"/>
              </w:rPr>
              <w:t>, Instytucji Zarządzającej, Instytucji Pośredniczącej i unijnych instytucji i organów Wykonawca wyraża zgodę na udostępnienie utworów w ramach licencji, o której mowa w ust. 1  przez Zamawiającego tym instytucjom;</w:t>
            </w:r>
          </w:p>
          <w:p w14:paraId="685DBD07" w14:textId="77777777" w:rsidR="00644D93" w:rsidRDefault="00644D93">
            <w:pPr>
              <w:pStyle w:val="Akapitzlist"/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Wykonawca wyraża zgodę na udostępnienie </w:t>
            </w:r>
            <w:r>
              <w:rPr>
                <w:rFonts w:cs="Calibri"/>
                <w:iCs/>
              </w:rPr>
              <w:t>Instytucji Koordynującej Umowę Partnerstwa</w:t>
            </w:r>
            <w:r>
              <w:rPr>
                <w:rFonts w:cs="Calibri"/>
              </w:rPr>
              <w:t xml:space="preserve"> Instytucji Zarządzającej, Instytucji Pośredniczącej i unijnych instytucji i organów</w:t>
            </w:r>
            <w:r>
              <w:rPr>
                <w:rFonts w:asciiTheme="minorHAnsi" w:hAnsiTheme="minorHAnsi" w:cstheme="minorHAnsi"/>
                <w:iCs/>
              </w:rPr>
              <w:t xml:space="preserve"> utworów </w:t>
            </w:r>
            <w:r>
              <w:rPr>
                <w:rFonts w:cs="Calibri"/>
              </w:rPr>
              <w:t>związanych z komunikacją i widocznością, które stworzono w ramach Projektu</w:t>
            </w:r>
            <w:r>
              <w:rPr>
                <w:rFonts w:asciiTheme="minorHAnsi" w:hAnsiTheme="minorHAnsi" w:cstheme="minorHAnsi"/>
                <w:iCs/>
              </w:rPr>
              <w:t xml:space="preserve"> powstałych </w:t>
            </w:r>
            <w:r>
              <w:rPr>
                <w:rFonts w:cs="Calibri"/>
              </w:rPr>
              <w:t>w ramach licencji, o której mowa w ust 1 przez Zamawiającego tym instytucjom;</w:t>
            </w:r>
          </w:p>
          <w:p w14:paraId="6F29AE1A" w14:textId="77777777" w:rsidR="00644D93" w:rsidRDefault="00644D93">
            <w:pPr>
              <w:pStyle w:val="Akapitzlist"/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cs="Calibri"/>
              </w:rPr>
              <w:t>Sposoby publikacji zapewniającej otwarty dostęp, określa Instytucja Pośrednicząca, zgodnie z celem Projektu;</w:t>
            </w:r>
          </w:p>
          <w:p w14:paraId="2D08FF40" w14:textId="77777777" w:rsidR="00644D93" w:rsidRDefault="00644D93">
            <w:pPr>
              <w:pStyle w:val="Akapitzlist"/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cs="Calibri"/>
              </w:rPr>
              <w:t>Zamawiający informuje, że powstałe w ramach zawartej z Wykonawcą umowy zostaną udostępnione uczestnikom projektu oraz mogą zostać opublikowane na stronie www Zamawiającego;</w:t>
            </w:r>
          </w:p>
          <w:p w14:paraId="4D3511FE" w14:textId="77777777" w:rsidR="00644D93" w:rsidRDefault="00644D93">
            <w:pPr>
              <w:pStyle w:val="Akapitzlist"/>
              <w:widowControl w:val="0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 przypadku utworów zależnych, do których majątkowe prawa autorskie nie wygasły, a autorzy i spadkobiercy nie godzą się na uwolnienie prawa licencji, Zamawiający udostępni je ww instytucjom na zasadach określonych w ustawie z dnia 4 lutego 1994 r. o prawie autorskim i prawach pokrewnych.</w:t>
            </w:r>
          </w:p>
          <w:p w14:paraId="08000BA7" w14:textId="77777777" w:rsidR="00644D93" w:rsidRDefault="00644D93" w:rsidP="00644D93">
            <w:pPr>
              <w:ind w:left="360"/>
              <w:rPr>
                <w:rFonts w:cs="Calibri"/>
                <w:szCs w:val="22"/>
              </w:rPr>
            </w:pPr>
          </w:p>
          <w:p w14:paraId="31E6BCC3" w14:textId="6B135C6E" w:rsidR="00666EAC" w:rsidRPr="00644D93" w:rsidRDefault="00644D93" w:rsidP="00644D93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W przypadku wykorzystania do realizacji przedmów zamówienia materiałów wytworzonych poza projektem (poza usługą będąca przedmiotem umowy) nie podlegają one zasadom opisanym w ust. 2, 3 i 5.</w:t>
            </w:r>
          </w:p>
        </w:tc>
      </w:tr>
      <w:tr w:rsidR="00666EAC" w:rsidRPr="0012017E" w14:paraId="2FA4C5FC" w14:textId="77777777" w:rsidTr="00B0080D">
        <w:trPr>
          <w:trHeight w:val="5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3EBB" w14:textId="77777777" w:rsidR="00666EAC" w:rsidRPr="0012017E" w:rsidRDefault="00666EAC">
            <w:pPr>
              <w:rPr>
                <w:rFonts w:cs="Calibri"/>
                <w:iCs/>
              </w:rPr>
            </w:pPr>
            <w:r w:rsidRPr="0012017E">
              <w:rPr>
                <w:rFonts w:cs="Calibri"/>
                <w:iCs/>
              </w:rPr>
              <w:lastRenderedPageBreak/>
              <w:t>Obowiązki stron</w:t>
            </w:r>
          </w:p>
          <w:p w14:paraId="3DB63B37" w14:textId="77777777" w:rsidR="00666EAC" w:rsidRPr="0012017E" w:rsidRDefault="00666EAC">
            <w:pPr>
              <w:rPr>
                <w:rFonts w:cs="Calibri"/>
                <w:iCs/>
              </w:rPr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A7810" w14:textId="77777777" w:rsidR="00666EAC" w:rsidRPr="0012017E" w:rsidRDefault="00666EAC">
            <w:pPr>
              <w:autoSpaceDE w:val="0"/>
              <w:adjustRightInd w:val="0"/>
              <w:rPr>
                <w:rFonts w:cs="Calibri"/>
                <w:b/>
                <w:iCs/>
              </w:rPr>
            </w:pPr>
            <w:r w:rsidRPr="0012017E">
              <w:rPr>
                <w:rFonts w:cs="Calibri"/>
                <w:b/>
                <w:iCs/>
              </w:rPr>
              <w:t>Do obowiązków Zamawiającego należy:</w:t>
            </w:r>
          </w:p>
          <w:p w14:paraId="13ACB171" w14:textId="77777777" w:rsidR="00666EAC" w:rsidRPr="0012017E" w:rsidRDefault="00666EAC">
            <w:pPr>
              <w:numPr>
                <w:ilvl w:val="0"/>
                <w:numId w:val="3"/>
              </w:numPr>
              <w:autoSpaceDE w:val="0"/>
              <w:adjustRightInd w:val="0"/>
              <w:spacing w:line="252" w:lineRule="auto"/>
              <w:textAlignment w:val="auto"/>
              <w:rPr>
                <w:rFonts w:cs="Calibri"/>
                <w:bCs/>
                <w:iCs/>
              </w:rPr>
            </w:pPr>
            <w:r w:rsidRPr="0012017E">
              <w:rPr>
                <w:rFonts w:cs="Calibri"/>
                <w:bCs/>
                <w:iCs/>
              </w:rPr>
              <w:t>Rekrutacja uczestników spotkania.</w:t>
            </w:r>
          </w:p>
          <w:p w14:paraId="631FF54B" w14:textId="77777777" w:rsidR="00666EAC" w:rsidRPr="0012017E" w:rsidRDefault="00666EAC">
            <w:pPr>
              <w:numPr>
                <w:ilvl w:val="0"/>
                <w:numId w:val="3"/>
              </w:numPr>
              <w:autoSpaceDE w:val="0"/>
              <w:adjustRightInd w:val="0"/>
              <w:spacing w:line="252" w:lineRule="auto"/>
              <w:textAlignment w:val="auto"/>
              <w:rPr>
                <w:rFonts w:cs="Calibri"/>
                <w:bCs/>
                <w:iCs/>
              </w:rPr>
            </w:pPr>
            <w:r w:rsidRPr="0012017E">
              <w:rPr>
                <w:rFonts w:cs="Calibri"/>
                <w:bCs/>
                <w:iCs/>
              </w:rPr>
              <w:t>Przekazanie Wykonawcy w postaci elektronicznej logotypów projektu wraz z nazwą i adresem Zamawiającego.</w:t>
            </w:r>
          </w:p>
          <w:p w14:paraId="5C1235C1" w14:textId="70335DE2" w:rsidR="00666EAC" w:rsidRDefault="00666EAC">
            <w:pPr>
              <w:numPr>
                <w:ilvl w:val="0"/>
                <w:numId w:val="3"/>
              </w:numPr>
              <w:autoSpaceDE w:val="0"/>
              <w:adjustRightInd w:val="0"/>
              <w:spacing w:line="252" w:lineRule="auto"/>
              <w:textAlignment w:val="auto"/>
              <w:rPr>
                <w:rFonts w:cs="Calibri"/>
                <w:bCs/>
                <w:iCs/>
              </w:rPr>
            </w:pPr>
            <w:r w:rsidRPr="0012017E">
              <w:rPr>
                <w:rFonts w:cs="Calibri"/>
                <w:bCs/>
                <w:iCs/>
              </w:rPr>
              <w:t>Zapewnienie warunków do realizacji spotkania (sala, rzutnik, tablica – flipczart</w:t>
            </w:r>
            <w:r w:rsidRPr="00B15CBB">
              <w:rPr>
                <w:rFonts w:cs="Calibri"/>
                <w:bCs/>
                <w:iCs/>
              </w:rPr>
              <w:t>).</w:t>
            </w:r>
          </w:p>
          <w:p w14:paraId="56B1516D" w14:textId="12A5D983" w:rsidR="003D779E" w:rsidRPr="00B15CBB" w:rsidRDefault="003D779E">
            <w:pPr>
              <w:numPr>
                <w:ilvl w:val="0"/>
                <w:numId w:val="3"/>
              </w:numPr>
              <w:autoSpaceDE w:val="0"/>
              <w:adjustRightInd w:val="0"/>
              <w:spacing w:line="252" w:lineRule="auto"/>
              <w:textAlignment w:val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Zapewnienie poczęstunku dla uczestników.</w:t>
            </w:r>
          </w:p>
          <w:p w14:paraId="68C9AA08" w14:textId="77777777" w:rsidR="009A462B" w:rsidRDefault="00666EAC">
            <w:pPr>
              <w:numPr>
                <w:ilvl w:val="0"/>
                <w:numId w:val="3"/>
              </w:numPr>
              <w:autoSpaceDE w:val="0"/>
              <w:adjustRightInd w:val="0"/>
              <w:spacing w:line="252" w:lineRule="auto"/>
              <w:textAlignment w:val="auto"/>
              <w:rPr>
                <w:rFonts w:cs="Calibri"/>
                <w:bCs/>
                <w:iCs/>
              </w:rPr>
            </w:pPr>
            <w:r w:rsidRPr="00B15CBB">
              <w:rPr>
                <w:rFonts w:cs="Calibri"/>
                <w:bCs/>
                <w:iCs/>
              </w:rPr>
              <w:t>Monitoring formy wsparcia</w:t>
            </w:r>
            <w:r w:rsidRPr="0012017E">
              <w:rPr>
                <w:rFonts w:cs="Calibri"/>
                <w:bCs/>
                <w:iCs/>
              </w:rPr>
              <w:t>.</w:t>
            </w:r>
          </w:p>
          <w:p w14:paraId="4FB16374" w14:textId="77777777" w:rsidR="009A462B" w:rsidRPr="009A462B" w:rsidRDefault="009A462B">
            <w:pPr>
              <w:numPr>
                <w:ilvl w:val="0"/>
                <w:numId w:val="3"/>
              </w:numPr>
              <w:autoSpaceDE w:val="0"/>
              <w:adjustRightInd w:val="0"/>
              <w:spacing w:after="160" w:line="252" w:lineRule="auto"/>
              <w:textAlignment w:val="auto"/>
              <w:rPr>
                <w:rFonts w:cs="Calibri"/>
                <w:bCs/>
                <w:iCs/>
              </w:rPr>
            </w:pPr>
            <w:r w:rsidRPr="009A462B">
              <w:rPr>
                <w:rFonts w:cs="Calibri"/>
                <w:bCs/>
                <w:iCs/>
              </w:rPr>
              <w:t>W przypadku uczestnictwa w spotkaniu osób o szczególnych potrzebach -zapewnienia narzędzi umożliwiających Wykonawcy dostosowanie formy przekazu do ich potrzeb, zgodnie z ustawą o zapewnianiu dostępności osobom ze szczególnymi potrzebami.</w:t>
            </w:r>
          </w:p>
          <w:p w14:paraId="772780D9" w14:textId="325DB339" w:rsidR="00666EAC" w:rsidRPr="009A462B" w:rsidRDefault="00666EAC" w:rsidP="003D779E">
            <w:pPr>
              <w:autoSpaceDE w:val="0"/>
              <w:adjustRightInd w:val="0"/>
              <w:rPr>
                <w:rFonts w:cs="Calibri"/>
                <w:bCs/>
                <w:iCs/>
              </w:rPr>
            </w:pPr>
            <w:r w:rsidRPr="009A462B">
              <w:rPr>
                <w:rFonts w:cs="Calibri"/>
                <w:b/>
                <w:iCs/>
              </w:rPr>
              <w:lastRenderedPageBreak/>
              <w:t>Do obowiązków Wykonawcy należy:</w:t>
            </w:r>
          </w:p>
          <w:p w14:paraId="7BBCA744" w14:textId="77777777" w:rsidR="003D779E" w:rsidRPr="0012017E" w:rsidRDefault="003D779E">
            <w:pPr>
              <w:numPr>
                <w:ilvl w:val="0"/>
                <w:numId w:val="4"/>
              </w:numPr>
              <w:autoSpaceDE w:val="0"/>
              <w:adjustRightInd w:val="0"/>
              <w:spacing w:line="252" w:lineRule="auto"/>
              <w:textAlignment w:val="auto"/>
              <w:rPr>
                <w:rFonts w:cs="Calibri"/>
                <w:bCs/>
                <w:iCs/>
              </w:rPr>
            </w:pPr>
            <w:r w:rsidRPr="0012017E">
              <w:rPr>
                <w:rFonts w:cs="Calibri"/>
                <w:bCs/>
                <w:iCs/>
              </w:rPr>
              <w:t>Zapewnienie eksperta do przeprowadzenia spotkania</w:t>
            </w:r>
            <w:r>
              <w:rPr>
                <w:rFonts w:cs="Calibri"/>
                <w:bCs/>
                <w:iCs/>
              </w:rPr>
              <w:t>.</w:t>
            </w:r>
          </w:p>
          <w:p w14:paraId="4186F453" w14:textId="75166E72" w:rsidR="00666EAC" w:rsidRPr="0012017E" w:rsidRDefault="00666EAC">
            <w:pPr>
              <w:numPr>
                <w:ilvl w:val="0"/>
                <w:numId w:val="4"/>
              </w:numPr>
              <w:autoSpaceDE w:val="0"/>
              <w:adjustRightInd w:val="0"/>
              <w:spacing w:line="252" w:lineRule="auto"/>
              <w:textAlignment w:val="auto"/>
              <w:rPr>
                <w:rFonts w:cs="Calibri"/>
                <w:bCs/>
                <w:iCs/>
              </w:rPr>
            </w:pPr>
            <w:r w:rsidRPr="0012017E">
              <w:rPr>
                <w:rFonts w:cs="Calibri"/>
                <w:bCs/>
                <w:iCs/>
              </w:rPr>
              <w:t>Opracowanie szczegółowego programu spotkania w porozumieniu z Zamawiającym</w:t>
            </w:r>
            <w:r w:rsidR="00EB12D5" w:rsidRPr="0012017E">
              <w:rPr>
                <w:rFonts w:cs="Calibri"/>
                <w:bCs/>
                <w:iCs/>
              </w:rPr>
              <w:t>.</w:t>
            </w:r>
          </w:p>
          <w:p w14:paraId="7157F8C7" w14:textId="77777777" w:rsidR="00666EAC" w:rsidRPr="0012017E" w:rsidRDefault="00666EAC">
            <w:pPr>
              <w:numPr>
                <w:ilvl w:val="0"/>
                <w:numId w:val="4"/>
              </w:numPr>
              <w:autoSpaceDE w:val="0"/>
              <w:adjustRightInd w:val="0"/>
              <w:spacing w:line="252" w:lineRule="auto"/>
              <w:textAlignment w:val="auto"/>
              <w:rPr>
                <w:rFonts w:cs="Calibri"/>
                <w:bCs/>
                <w:iCs/>
              </w:rPr>
            </w:pPr>
            <w:r w:rsidRPr="0012017E">
              <w:rPr>
                <w:rFonts w:cs="Calibri"/>
                <w:bCs/>
                <w:iCs/>
              </w:rPr>
              <w:t>Przygotowanie</w:t>
            </w:r>
            <w:r w:rsidRPr="0012017E">
              <w:rPr>
                <w:rStyle w:val="Pogrubienie"/>
                <w:iCs/>
              </w:rPr>
              <w:t xml:space="preserve"> materiałów edukacyjnych, co najmniej w formie prezentacji multimedialnej, </w:t>
            </w:r>
            <w:r w:rsidRPr="0012017E">
              <w:rPr>
                <w:rFonts w:cs="Calibri"/>
                <w:bCs/>
                <w:iCs/>
              </w:rPr>
              <w:t>zgodnie z zaakceptowanym przez Zamawiającego szczegółowym programem spotkania w wersji do prezentacji podczas spotkania oraz w wersji pdf w wersji do przekazania uczestnikom przez Zamawiającego.</w:t>
            </w:r>
          </w:p>
          <w:p w14:paraId="4CB07FB5" w14:textId="6B78CBBB" w:rsidR="00666EAC" w:rsidRPr="0012017E" w:rsidRDefault="00666EAC">
            <w:pPr>
              <w:numPr>
                <w:ilvl w:val="0"/>
                <w:numId w:val="4"/>
              </w:numPr>
              <w:autoSpaceDE w:val="0"/>
              <w:adjustRightInd w:val="0"/>
              <w:spacing w:line="252" w:lineRule="auto"/>
              <w:textAlignment w:val="auto"/>
              <w:rPr>
                <w:rFonts w:cs="Calibri"/>
                <w:bCs/>
                <w:iCs/>
              </w:rPr>
            </w:pPr>
            <w:r w:rsidRPr="0012017E">
              <w:rPr>
                <w:rFonts w:cs="Calibri"/>
                <w:bCs/>
                <w:iCs/>
              </w:rPr>
              <w:t xml:space="preserve">Przeprowadzenie </w:t>
            </w:r>
            <w:r w:rsidRPr="00324D4A">
              <w:rPr>
                <w:rFonts w:cs="Calibri"/>
                <w:bCs/>
                <w:iCs/>
              </w:rPr>
              <w:t>spotkania w wymiarze 4h zegarowe</w:t>
            </w:r>
            <w:r w:rsidRPr="0012017E">
              <w:rPr>
                <w:rFonts w:cs="Calibri"/>
                <w:bCs/>
                <w:iCs/>
              </w:rPr>
              <w:t xml:space="preserve"> w uzgodnionym przez Zamawiającego terminie i we wskazanym miejscu. </w:t>
            </w:r>
          </w:p>
          <w:p w14:paraId="559E7C39" w14:textId="77777777" w:rsidR="00666EAC" w:rsidRDefault="00666EAC">
            <w:pPr>
              <w:numPr>
                <w:ilvl w:val="0"/>
                <w:numId w:val="4"/>
              </w:numPr>
              <w:autoSpaceDE w:val="0"/>
              <w:adjustRightInd w:val="0"/>
              <w:spacing w:line="252" w:lineRule="auto"/>
              <w:textAlignment w:val="auto"/>
              <w:rPr>
                <w:rFonts w:cs="Calibri"/>
                <w:bCs/>
                <w:iCs/>
              </w:rPr>
            </w:pPr>
            <w:r w:rsidRPr="0012017E">
              <w:rPr>
                <w:rFonts w:cs="Calibri"/>
                <w:bCs/>
                <w:iCs/>
              </w:rPr>
              <w:t>Współpraca z osobą koordynującą działania ze strony Zamawiającego.</w:t>
            </w:r>
          </w:p>
          <w:p w14:paraId="5EDC07A6" w14:textId="77777777" w:rsidR="009A462B" w:rsidRDefault="009A462B">
            <w:pPr>
              <w:numPr>
                <w:ilvl w:val="0"/>
                <w:numId w:val="4"/>
              </w:numPr>
              <w:autoSpaceDE w:val="0"/>
              <w:adjustRightInd w:val="0"/>
              <w:spacing w:line="252" w:lineRule="auto"/>
              <w:textAlignment w:val="auto"/>
              <w:rPr>
                <w:rFonts w:cs="Calibri"/>
                <w:bCs/>
                <w:iCs/>
              </w:rPr>
            </w:pPr>
            <w:r w:rsidRPr="009A462B">
              <w:rPr>
                <w:rFonts w:ascii="Segoe UI" w:hAnsi="Segoe UI" w:cs="Segoe UI"/>
                <w:sz w:val="18"/>
                <w:szCs w:val="18"/>
              </w:rPr>
              <w:t>W</w:t>
            </w:r>
            <w:r w:rsidRPr="009A462B">
              <w:rPr>
                <w:rFonts w:cs="Calibri"/>
                <w:bCs/>
                <w:iCs/>
              </w:rPr>
              <w:t xml:space="preserve"> przypadku uczestnictwa w spotkaniu osób o szczególnych potrzebach -dostosowanie formy przekazu do ich potrzeb, zgodnie z ustawą o zapewnianiu dostępności osobom ze szczególnymi potrzebami</w:t>
            </w:r>
            <w:r w:rsidR="0096088D">
              <w:rPr>
                <w:rFonts w:cs="Calibri"/>
                <w:bCs/>
                <w:iCs/>
              </w:rPr>
              <w:t>.</w:t>
            </w:r>
          </w:p>
          <w:p w14:paraId="2A202E81" w14:textId="34AF5946" w:rsidR="0096088D" w:rsidRPr="0096088D" w:rsidRDefault="0096088D">
            <w:pPr>
              <w:pStyle w:val="Akapitzlist"/>
              <w:numPr>
                <w:ilvl w:val="0"/>
                <w:numId w:val="4"/>
              </w:numPr>
              <w:rPr>
                <w:rFonts w:cs="Calibri"/>
                <w:bCs/>
                <w:iCs/>
                <w:kern w:val="3"/>
                <w:szCs w:val="20"/>
                <w:lang w:eastAsia="pl-PL"/>
              </w:rPr>
            </w:pPr>
            <w:r>
              <w:rPr>
                <w:rFonts w:cs="Calibri"/>
                <w:bCs/>
                <w:iCs/>
                <w:kern w:val="3"/>
                <w:szCs w:val="20"/>
                <w:lang w:eastAsia="pl-PL"/>
              </w:rPr>
              <w:t xml:space="preserve">Dostarczenie Zamawiającemu </w:t>
            </w:r>
            <w:r w:rsidRPr="0096088D">
              <w:rPr>
                <w:rFonts w:cs="Calibri"/>
                <w:bCs/>
                <w:iCs/>
                <w:kern w:val="3"/>
                <w:szCs w:val="20"/>
                <w:lang w:eastAsia="pl-PL"/>
              </w:rPr>
              <w:t>sprawozdani</w:t>
            </w:r>
            <w:r>
              <w:rPr>
                <w:rFonts w:cs="Calibri"/>
                <w:bCs/>
                <w:iCs/>
                <w:kern w:val="3"/>
                <w:szCs w:val="20"/>
                <w:lang w:eastAsia="pl-PL"/>
              </w:rPr>
              <w:t>a</w:t>
            </w:r>
            <w:r w:rsidRPr="0096088D">
              <w:rPr>
                <w:rFonts w:cs="Calibri"/>
                <w:bCs/>
                <w:iCs/>
                <w:kern w:val="3"/>
                <w:szCs w:val="20"/>
                <w:lang w:eastAsia="pl-PL"/>
              </w:rPr>
              <w:t xml:space="preserve"> i faktur</w:t>
            </w:r>
            <w:r>
              <w:rPr>
                <w:rFonts w:cs="Calibri"/>
                <w:bCs/>
                <w:iCs/>
                <w:kern w:val="3"/>
                <w:szCs w:val="20"/>
                <w:lang w:eastAsia="pl-PL"/>
              </w:rPr>
              <w:t>y</w:t>
            </w:r>
            <w:r w:rsidRPr="0096088D">
              <w:rPr>
                <w:rFonts w:cs="Calibri"/>
                <w:bCs/>
                <w:iCs/>
                <w:kern w:val="3"/>
                <w:szCs w:val="20"/>
                <w:lang w:eastAsia="pl-PL"/>
              </w:rPr>
              <w:t xml:space="preserve"> do 7 dni po zakończeniu </w:t>
            </w:r>
            <w:r>
              <w:rPr>
                <w:rFonts w:cs="Calibri"/>
                <w:bCs/>
                <w:iCs/>
                <w:kern w:val="3"/>
                <w:szCs w:val="20"/>
                <w:lang w:eastAsia="pl-PL"/>
              </w:rPr>
              <w:t>spotkania.</w:t>
            </w:r>
          </w:p>
        </w:tc>
      </w:tr>
    </w:tbl>
    <w:p w14:paraId="5F4C1416" w14:textId="669F85C8" w:rsidR="003D779E" w:rsidRDefault="003D779E" w:rsidP="00666EAC">
      <w:pPr>
        <w:rPr>
          <w:rFonts w:cs="Calibri"/>
          <w:iCs/>
          <w:szCs w:val="22"/>
          <w:lang w:eastAsia="en-US"/>
        </w:rPr>
      </w:pPr>
    </w:p>
    <w:p w14:paraId="10DC466A" w14:textId="6620F949" w:rsidR="003D779E" w:rsidRDefault="003D779E">
      <w:pPr>
        <w:widowControl/>
        <w:suppressAutoHyphens w:val="0"/>
        <w:autoSpaceDN/>
        <w:spacing w:after="160" w:line="259" w:lineRule="auto"/>
        <w:textAlignment w:val="auto"/>
        <w:rPr>
          <w:rFonts w:cs="Calibri"/>
          <w:iCs/>
          <w:szCs w:val="22"/>
          <w:lang w:eastAsia="en-US"/>
        </w:rPr>
      </w:pPr>
    </w:p>
    <w:sectPr w:rsidR="003D779E" w:rsidSect="001733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5" w:left="1417" w:header="708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637B4" w14:textId="77777777" w:rsidR="009E5A30" w:rsidRDefault="009E5A30" w:rsidP="00784FE0">
      <w:r>
        <w:separator/>
      </w:r>
    </w:p>
  </w:endnote>
  <w:endnote w:type="continuationSeparator" w:id="0">
    <w:p w14:paraId="225BE088" w14:textId="77777777" w:rsidR="009E5A30" w:rsidRDefault="009E5A30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B5872" w14:textId="77777777" w:rsidR="001733CE" w:rsidRDefault="001733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C598D" w14:textId="32BF1C3A" w:rsidR="007D37BE" w:rsidRDefault="007D37BE" w:rsidP="001733CE">
    <w:pPr>
      <w:pStyle w:val="Nagwek"/>
      <w:jc w:val="center"/>
    </w:pPr>
    <w:r>
      <w:rPr>
        <w:noProof/>
      </w:rPr>
      <w:drawing>
        <wp:inline distT="0" distB="0" distL="0" distR="0" wp14:anchorId="68AAA9F2" wp14:editId="73655133">
          <wp:extent cx="5501005" cy="747050"/>
          <wp:effectExtent l="0" t="0" r="4445" b="0"/>
          <wp:docPr id="21357142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15111" name="Obraz 1010915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0570" cy="749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1E10F" w14:textId="10C465C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BD26A" w14:textId="77777777" w:rsidR="001733CE" w:rsidRDefault="001733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3E9E7" w14:textId="77777777" w:rsidR="009E5A30" w:rsidRDefault="009E5A30" w:rsidP="00784FE0">
      <w:r>
        <w:separator/>
      </w:r>
    </w:p>
  </w:footnote>
  <w:footnote w:type="continuationSeparator" w:id="0">
    <w:p w14:paraId="7772CFC6" w14:textId="77777777" w:rsidR="009E5A30" w:rsidRDefault="009E5A30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D17B0" w14:textId="77777777" w:rsidR="001733CE" w:rsidRDefault="001733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A87E" w14:textId="07EB4003" w:rsidR="00C7392C" w:rsidRDefault="00A76F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1C906E82">
          <wp:simplePos x="0" y="0"/>
          <wp:positionH relativeFrom="column">
            <wp:posOffset>-366377</wp:posOffset>
          </wp:positionH>
          <wp:positionV relativeFrom="paragraph">
            <wp:posOffset>-68580</wp:posOffset>
          </wp:positionV>
          <wp:extent cx="1197592" cy="990600"/>
          <wp:effectExtent l="0" t="0" r="3175" b="0"/>
          <wp:wrapNone/>
          <wp:docPr id="378210604" name="Obraz 3782106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333171" name="Obraz 1226333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46" cy="99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92C"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6703631E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C18B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 w:rsidR="00C7392C"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57F72365" w14:textId="77777777" w:rsidR="00C7392C" w:rsidRPr="00533B9F" w:rsidRDefault="00C7392C" w:rsidP="00C7392C">
    <w:pPr>
      <w:widowControl/>
      <w:tabs>
        <w:tab w:val="left" w:pos="567"/>
      </w:tabs>
      <w:suppressAutoHyphens w:val="0"/>
      <w:autoSpaceDN/>
      <w:ind w:left="1871"/>
      <w:textAlignment w:val="auto"/>
      <w:rPr>
        <w:b/>
        <w:kern w:val="0"/>
        <w:sz w:val="28"/>
        <w:szCs w:val="28"/>
        <w:lang w:eastAsia="en-US"/>
      </w:rPr>
    </w:pPr>
    <w:r w:rsidRPr="001D52D0">
      <w:rPr>
        <w:kern w:val="0"/>
        <w:szCs w:val="22"/>
        <w:lang w:eastAsia="en-US"/>
      </w:rPr>
      <w:t>DZIAŁ FUNDUSZY UNIJNYCH</w:t>
    </w:r>
  </w:p>
  <w:p w14:paraId="3F15C5E3" w14:textId="77777777" w:rsidR="00C7392C" w:rsidRPr="001D52D0" w:rsidRDefault="00C7392C" w:rsidP="00C7392C">
    <w:pPr>
      <w:pStyle w:val="Nagwek"/>
    </w:pPr>
  </w:p>
  <w:p w14:paraId="70A7A31D" w14:textId="7BE1F339" w:rsidR="00784FE0" w:rsidRPr="00C7392C" w:rsidRDefault="00784FE0" w:rsidP="00C739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5F390" w14:textId="77777777" w:rsidR="001733CE" w:rsidRDefault="001733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B1B3C"/>
    <w:multiLevelType w:val="hybridMultilevel"/>
    <w:tmpl w:val="CC9C13BE"/>
    <w:lvl w:ilvl="0" w:tplc="A4BE7B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7188"/>
    <w:multiLevelType w:val="hybridMultilevel"/>
    <w:tmpl w:val="715C4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B78C8"/>
    <w:multiLevelType w:val="hybridMultilevel"/>
    <w:tmpl w:val="F2AC3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D61DE"/>
    <w:multiLevelType w:val="hybridMultilevel"/>
    <w:tmpl w:val="BF222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D20D9"/>
    <w:multiLevelType w:val="hybridMultilevel"/>
    <w:tmpl w:val="F386DF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41620"/>
    <w:multiLevelType w:val="hybridMultilevel"/>
    <w:tmpl w:val="7F22BB80"/>
    <w:lvl w:ilvl="0" w:tplc="E42C112E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B490C"/>
    <w:multiLevelType w:val="hybridMultilevel"/>
    <w:tmpl w:val="37B44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915564"/>
    <w:multiLevelType w:val="hybridMultilevel"/>
    <w:tmpl w:val="5C36D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5096F"/>
    <w:multiLevelType w:val="hybridMultilevel"/>
    <w:tmpl w:val="9D821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174A9"/>
    <w:multiLevelType w:val="hybridMultilevel"/>
    <w:tmpl w:val="79645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A6948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154D6"/>
    <w:multiLevelType w:val="hybridMultilevel"/>
    <w:tmpl w:val="7ADA7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E6596"/>
    <w:multiLevelType w:val="hybridMultilevel"/>
    <w:tmpl w:val="4E76858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5FAB6509"/>
    <w:multiLevelType w:val="hybridMultilevel"/>
    <w:tmpl w:val="444A251C"/>
    <w:lvl w:ilvl="0" w:tplc="04150001">
      <w:numFmt w:val="decimal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AA4D080">
      <w:start w:val="1"/>
      <w:numFmt w:val="lowerLetter"/>
      <w:lvlText w:val="%2)"/>
      <w:lvlJc w:val="left"/>
      <w:pPr>
        <w:ind w:left="1364" w:hanging="360"/>
      </w:pPr>
    </w:lvl>
    <w:lvl w:ilvl="2" w:tplc="04150005">
      <w:numFmt w:val="decimal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0614365"/>
    <w:multiLevelType w:val="hybridMultilevel"/>
    <w:tmpl w:val="A768BE00"/>
    <w:lvl w:ilvl="0" w:tplc="8DFCA642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2131C"/>
    <w:multiLevelType w:val="hybridMultilevel"/>
    <w:tmpl w:val="7AA48A8E"/>
    <w:lvl w:ilvl="0" w:tplc="13E455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621C7"/>
    <w:multiLevelType w:val="hybridMultilevel"/>
    <w:tmpl w:val="0C464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F4D4C"/>
    <w:multiLevelType w:val="hybridMultilevel"/>
    <w:tmpl w:val="1FFA4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A59BF"/>
    <w:multiLevelType w:val="hybridMultilevel"/>
    <w:tmpl w:val="7108A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5128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61888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86187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48589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7706416">
    <w:abstractNumId w:val="17"/>
  </w:num>
  <w:num w:numId="6" w16cid:durableId="1992906987">
    <w:abstractNumId w:val="6"/>
  </w:num>
  <w:num w:numId="7" w16cid:durableId="241449318">
    <w:abstractNumId w:val="9"/>
  </w:num>
  <w:num w:numId="8" w16cid:durableId="15858018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41746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4971874">
    <w:abstractNumId w:val="8"/>
  </w:num>
  <w:num w:numId="11" w16cid:durableId="1098409729">
    <w:abstractNumId w:val="1"/>
  </w:num>
  <w:num w:numId="12" w16cid:durableId="946818014">
    <w:abstractNumId w:val="7"/>
  </w:num>
  <w:num w:numId="13" w16cid:durableId="1101409907">
    <w:abstractNumId w:val="12"/>
  </w:num>
  <w:num w:numId="14" w16cid:durableId="1538616525">
    <w:abstractNumId w:val="16"/>
  </w:num>
  <w:num w:numId="15" w16cid:durableId="1702123806">
    <w:abstractNumId w:val="11"/>
  </w:num>
  <w:num w:numId="16" w16cid:durableId="613175442">
    <w:abstractNumId w:val="3"/>
  </w:num>
  <w:num w:numId="17" w16cid:durableId="691961066">
    <w:abstractNumId w:val="15"/>
  </w:num>
  <w:num w:numId="18" w16cid:durableId="1676153307">
    <w:abstractNumId w:val="13"/>
  </w:num>
  <w:num w:numId="19" w16cid:durableId="5448289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E0"/>
    <w:rsid w:val="000114E3"/>
    <w:rsid w:val="00015E0D"/>
    <w:rsid w:val="0002464D"/>
    <w:rsid w:val="0003142D"/>
    <w:rsid w:val="0003437B"/>
    <w:rsid w:val="000454F0"/>
    <w:rsid w:val="00053AB5"/>
    <w:rsid w:val="0005571F"/>
    <w:rsid w:val="000807AF"/>
    <w:rsid w:val="000964C7"/>
    <w:rsid w:val="000C3E43"/>
    <w:rsid w:val="000C44B8"/>
    <w:rsid w:val="000E41A9"/>
    <w:rsid w:val="000E66B1"/>
    <w:rsid w:val="000F32F6"/>
    <w:rsid w:val="000F510E"/>
    <w:rsid w:val="001057AE"/>
    <w:rsid w:val="0012017E"/>
    <w:rsid w:val="0015041A"/>
    <w:rsid w:val="00157331"/>
    <w:rsid w:val="00157EEE"/>
    <w:rsid w:val="00172914"/>
    <w:rsid w:val="001733CE"/>
    <w:rsid w:val="001B424D"/>
    <w:rsid w:val="002254B3"/>
    <w:rsid w:val="00242214"/>
    <w:rsid w:val="0025406D"/>
    <w:rsid w:val="002848FD"/>
    <w:rsid w:val="00293737"/>
    <w:rsid w:val="002A0C2F"/>
    <w:rsid w:val="002C59B3"/>
    <w:rsid w:val="002D4D43"/>
    <w:rsid w:val="002D5A96"/>
    <w:rsid w:val="002E1CF3"/>
    <w:rsid w:val="002F371A"/>
    <w:rsid w:val="002F470D"/>
    <w:rsid w:val="003125CB"/>
    <w:rsid w:val="00323B9F"/>
    <w:rsid w:val="00324D4A"/>
    <w:rsid w:val="00327A0E"/>
    <w:rsid w:val="00366BF3"/>
    <w:rsid w:val="0037592F"/>
    <w:rsid w:val="00397968"/>
    <w:rsid w:val="00397A80"/>
    <w:rsid w:val="003B58C8"/>
    <w:rsid w:val="003C1195"/>
    <w:rsid w:val="003D779E"/>
    <w:rsid w:val="003E194C"/>
    <w:rsid w:val="004245E9"/>
    <w:rsid w:val="00433661"/>
    <w:rsid w:val="004426FD"/>
    <w:rsid w:val="004827FD"/>
    <w:rsid w:val="004B0281"/>
    <w:rsid w:val="004E1FA3"/>
    <w:rsid w:val="00501742"/>
    <w:rsid w:val="00512C1C"/>
    <w:rsid w:val="0052776F"/>
    <w:rsid w:val="0053178C"/>
    <w:rsid w:val="005364D3"/>
    <w:rsid w:val="00547E20"/>
    <w:rsid w:val="0058143C"/>
    <w:rsid w:val="005B08A2"/>
    <w:rsid w:val="005B1382"/>
    <w:rsid w:val="005B706B"/>
    <w:rsid w:val="005D27BC"/>
    <w:rsid w:val="005F53FD"/>
    <w:rsid w:val="00602590"/>
    <w:rsid w:val="0060286C"/>
    <w:rsid w:val="00621B06"/>
    <w:rsid w:val="00644D93"/>
    <w:rsid w:val="00662CDF"/>
    <w:rsid w:val="00666EAC"/>
    <w:rsid w:val="006760E0"/>
    <w:rsid w:val="006D2810"/>
    <w:rsid w:val="006F0C4A"/>
    <w:rsid w:val="006F37E1"/>
    <w:rsid w:val="006F79C4"/>
    <w:rsid w:val="00743460"/>
    <w:rsid w:val="00784FE0"/>
    <w:rsid w:val="007973DF"/>
    <w:rsid w:val="007B4397"/>
    <w:rsid w:val="007D37BE"/>
    <w:rsid w:val="007D6F8D"/>
    <w:rsid w:val="007E1ABA"/>
    <w:rsid w:val="007F7E2E"/>
    <w:rsid w:val="008159C5"/>
    <w:rsid w:val="00826F37"/>
    <w:rsid w:val="008300D8"/>
    <w:rsid w:val="0084073A"/>
    <w:rsid w:val="008B2D0C"/>
    <w:rsid w:val="008F6894"/>
    <w:rsid w:val="0096088D"/>
    <w:rsid w:val="00960C46"/>
    <w:rsid w:val="009634FF"/>
    <w:rsid w:val="009742C8"/>
    <w:rsid w:val="00974CCE"/>
    <w:rsid w:val="00984A18"/>
    <w:rsid w:val="009865B4"/>
    <w:rsid w:val="009921BB"/>
    <w:rsid w:val="00992919"/>
    <w:rsid w:val="009A462B"/>
    <w:rsid w:val="009C71CB"/>
    <w:rsid w:val="009D1CB5"/>
    <w:rsid w:val="009E5A30"/>
    <w:rsid w:val="009F1AEC"/>
    <w:rsid w:val="00A47BA9"/>
    <w:rsid w:val="00A5291F"/>
    <w:rsid w:val="00A60B09"/>
    <w:rsid w:val="00A76F2C"/>
    <w:rsid w:val="00AA6FB8"/>
    <w:rsid w:val="00AF4ACA"/>
    <w:rsid w:val="00B0080D"/>
    <w:rsid w:val="00B0175C"/>
    <w:rsid w:val="00B15CBB"/>
    <w:rsid w:val="00B331BB"/>
    <w:rsid w:val="00B516EF"/>
    <w:rsid w:val="00B54D5B"/>
    <w:rsid w:val="00B57AFD"/>
    <w:rsid w:val="00B9165F"/>
    <w:rsid w:val="00BD682A"/>
    <w:rsid w:val="00BE0E79"/>
    <w:rsid w:val="00BE75B4"/>
    <w:rsid w:val="00BF408E"/>
    <w:rsid w:val="00BF4532"/>
    <w:rsid w:val="00C7392C"/>
    <w:rsid w:val="00C942EF"/>
    <w:rsid w:val="00C97C89"/>
    <w:rsid w:val="00CC5EC3"/>
    <w:rsid w:val="00CE2BB8"/>
    <w:rsid w:val="00CF16D0"/>
    <w:rsid w:val="00CF54B4"/>
    <w:rsid w:val="00D67825"/>
    <w:rsid w:val="00D80BEC"/>
    <w:rsid w:val="00D81155"/>
    <w:rsid w:val="00DB1B40"/>
    <w:rsid w:val="00DB6C6A"/>
    <w:rsid w:val="00DC0150"/>
    <w:rsid w:val="00DC3156"/>
    <w:rsid w:val="00DC68FD"/>
    <w:rsid w:val="00DE4754"/>
    <w:rsid w:val="00E17A49"/>
    <w:rsid w:val="00E24DFF"/>
    <w:rsid w:val="00E4736F"/>
    <w:rsid w:val="00E573C6"/>
    <w:rsid w:val="00EB12D5"/>
    <w:rsid w:val="00EB41BF"/>
    <w:rsid w:val="00EB61FC"/>
    <w:rsid w:val="00EF686C"/>
    <w:rsid w:val="00EF7287"/>
    <w:rsid w:val="00F06C95"/>
    <w:rsid w:val="00F22368"/>
    <w:rsid w:val="00F4704E"/>
    <w:rsid w:val="00F577A2"/>
    <w:rsid w:val="00F67774"/>
    <w:rsid w:val="00F702BC"/>
    <w:rsid w:val="00F83740"/>
    <w:rsid w:val="00F97643"/>
    <w:rsid w:val="00FB12F8"/>
    <w:rsid w:val="00FB5350"/>
    <w:rsid w:val="00FB74F7"/>
    <w:rsid w:val="00FC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aliases w:val="Numerowanie,List Paragraph,Akapit z listą BS,BulletC,Kolorowa lista — akcent 11"/>
    <w:basedOn w:val="Normalny"/>
    <w:link w:val="AkapitzlistZnak"/>
    <w:uiPriority w:val="34"/>
    <w:qFormat/>
    <w:rsid w:val="00B331B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paragraph" w:customStyle="1" w:styleId="Default">
    <w:name w:val="Default"/>
    <w:rsid w:val="00B33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mat-tooltip-trigger">
    <w:name w:val="mat-tooltip-trigger"/>
    <w:rsid w:val="00B331BB"/>
  </w:style>
  <w:style w:type="paragraph" w:styleId="NormalnyWeb">
    <w:name w:val="Normal (Web)"/>
    <w:basedOn w:val="Normalny"/>
    <w:uiPriority w:val="99"/>
    <w:semiHidden/>
    <w:unhideWhenUsed/>
    <w:rsid w:val="009929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1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BulletC Znak,Kolorowa lista — akcent 11 Znak"/>
    <w:link w:val="Akapitzlist"/>
    <w:uiPriority w:val="34"/>
    <w:qFormat/>
    <w:rsid w:val="00EF7287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72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7287"/>
    <w:pPr>
      <w:widowControl/>
      <w:spacing w:after="160" w:line="254" w:lineRule="auto"/>
    </w:pPr>
    <w:rPr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7287"/>
    <w:rPr>
      <w:rFonts w:ascii="Calibri" w:hAnsi="Calibri" w:cs="Times New Roman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5B4"/>
    <w:pPr>
      <w:widowControl w:val="0"/>
      <w:spacing w:after="0"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5B4"/>
    <w:rPr>
      <w:rFonts w:ascii="Calibri" w:hAnsi="Calibri" w:cs="Times New Roman"/>
      <w:b/>
      <w:bCs/>
      <w:kern w:val="3"/>
      <w:sz w:val="20"/>
      <w:szCs w:val="20"/>
      <w:lang w:eastAsia="pl-PL"/>
    </w:rPr>
  </w:style>
  <w:style w:type="paragraph" w:customStyle="1" w:styleId="pf0">
    <w:name w:val="pf0"/>
    <w:basedOn w:val="Normalny"/>
    <w:rsid w:val="00B15CB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cf01">
    <w:name w:val="cf01"/>
    <w:basedOn w:val="Domylnaczcionkaakapitu"/>
    <w:rsid w:val="00B15CBB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11">
    <w:name w:val="cf11"/>
    <w:basedOn w:val="Domylnaczcionkaakapitu"/>
    <w:rsid w:val="00B15CB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ativecommons.pl/poznaj-licencje-creative-commons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447F3-2B18-4057-BAC5-6611F5A6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2751</Words>
  <Characters>16506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Marta Lebiecka (107428)</cp:lastModifiedBy>
  <cp:revision>32</cp:revision>
  <cp:lastPrinted>2021-09-10T07:04:00Z</cp:lastPrinted>
  <dcterms:created xsi:type="dcterms:W3CDTF">2024-05-24T09:10:00Z</dcterms:created>
  <dcterms:modified xsi:type="dcterms:W3CDTF">2024-08-08T09:12:00Z</dcterms:modified>
</cp:coreProperties>
</file>