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89" w:rsidRPr="00A47E44" w:rsidRDefault="00A13514">
      <w:pPr>
        <w:pStyle w:val="Tekstpodstawowy"/>
        <w:spacing w:before="82"/>
        <w:ind w:left="3996" w:right="3997"/>
        <w:jc w:val="center"/>
        <w:rPr>
          <w:b/>
        </w:rPr>
      </w:pPr>
      <w:r w:rsidRPr="00A47E44">
        <w:rPr>
          <w:b/>
        </w:rPr>
        <w:t>ZAŁĄCZNIK NR 1 FORMULARZ OFERTOWY</w:t>
      </w:r>
    </w:p>
    <w:p w:rsidR="00A47E44" w:rsidRDefault="00A47E44">
      <w:pPr>
        <w:pStyle w:val="Tekstpodstawowy"/>
        <w:spacing w:before="82"/>
        <w:ind w:left="3996" w:right="3997"/>
        <w:jc w:val="center"/>
      </w:pPr>
    </w:p>
    <w:p w:rsidR="00A47E44" w:rsidRDefault="00A47E44">
      <w:pPr>
        <w:pStyle w:val="Tekstpodstawowy"/>
        <w:spacing w:before="82"/>
        <w:ind w:left="3996" w:right="3997"/>
        <w:jc w:val="center"/>
      </w:pPr>
    </w:p>
    <w:p w:rsidR="00A47E44" w:rsidRPr="00A47E44" w:rsidRDefault="00A47E44">
      <w:pPr>
        <w:pStyle w:val="Tekstpodstawowy"/>
        <w:spacing w:before="82"/>
        <w:ind w:left="3996" w:right="3997"/>
        <w:jc w:val="center"/>
        <w:rPr>
          <w:b/>
        </w:rPr>
      </w:pPr>
    </w:p>
    <w:p w:rsidR="00747389" w:rsidRPr="00A47E44" w:rsidRDefault="00A47E44" w:rsidP="00A47E44">
      <w:pPr>
        <w:pStyle w:val="Tekstpodstawowy"/>
        <w:jc w:val="center"/>
        <w:rPr>
          <w:b/>
          <w:sz w:val="20"/>
        </w:rPr>
      </w:pPr>
      <w:r w:rsidRPr="00A47E44">
        <w:rPr>
          <w:b/>
          <w:sz w:val="20"/>
        </w:rPr>
        <w:t xml:space="preserve">„Przegląd serwisowy szaf klimatyzacji precyzyjnej </w:t>
      </w:r>
      <w:proofErr w:type="spellStart"/>
      <w:r w:rsidRPr="00A47E44">
        <w:rPr>
          <w:b/>
          <w:sz w:val="20"/>
        </w:rPr>
        <w:t>HiRef</w:t>
      </w:r>
      <w:proofErr w:type="spellEnd"/>
      <w:r w:rsidRPr="00A47E44">
        <w:rPr>
          <w:b/>
          <w:sz w:val="20"/>
        </w:rPr>
        <w:t>, w budynku</w:t>
      </w:r>
      <w:r w:rsidR="00CD007A">
        <w:rPr>
          <w:b/>
          <w:sz w:val="20"/>
        </w:rPr>
        <w:t xml:space="preserve"> </w:t>
      </w:r>
      <w:r w:rsidRPr="00A47E44">
        <w:rPr>
          <w:b/>
          <w:sz w:val="20"/>
        </w:rPr>
        <w:t>nr 35  w Akademii Wojsk Lądowych imienia generała Tadeusza Kościuszki we Wrocławiu, ul. Czajkowskiego 109, 51-147 Wrocław.</w:t>
      </w: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spacing w:after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28"/>
        <w:gridCol w:w="4094"/>
        <w:gridCol w:w="1063"/>
        <w:gridCol w:w="729"/>
        <w:gridCol w:w="1237"/>
        <w:gridCol w:w="982"/>
      </w:tblGrid>
      <w:tr w:rsidR="00747389" w:rsidTr="00A47E44">
        <w:trPr>
          <w:trHeight w:val="573"/>
        </w:trPr>
        <w:tc>
          <w:tcPr>
            <w:tcW w:w="410" w:type="dxa"/>
          </w:tcPr>
          <w:p w:rsidR="00747389" w:rsidRDefault="00A13514">
            <w:pPr>
              <w:pStyle w:val="TableParagraph"/>
              <w:spacing w:before="5" w:line="240" w:lineRule="auto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228" w:type="dxa"/>
          </w:tcPr>
          <w:p w:rsidR="00747389" w:rsidRDefault="00A13514">
            <w:pPr>
              <w:pStyle w:val="TableParagraph"/>
              <w:spacing w:before="5" w:line="244" w:lineRule="auto"/>
              <w:ind w:left="431" w:right="59" w:hanging="351"/>
              <w:rPr>
                <w:b/>
                <w:sz w:val="16"/>
              </w:rPr>
            </w:pPr>
            <w:r>
              <w:rPr>
                <w:b/>
                <w:sz w:val="16"/>
              </w:rPr>
              <w:t>Podstawa wy- ceny</w:t>
            </w:r>
          </w:p>
        </w:tc>
        <w:tc>
          <w:tcPr>
            <w:tcW w:w="4094" w:type="dxa"/>
          </w:tcPr>
          <w:p w:rsidR="00747389" w:rsidRDefault="00A13514">
            <w:pPr>
              <w:pStyle w:val="TableParagraph"/>
              <w:spacing w:before="5" w:line="240" w:lineRule="auto"/>
              <w:ind w:left="1845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</w:p>
        </w:tc>
        <w:tc>
          <w:tcPr>
            <w:tcW w:w="1063" w:type="dxa"/>
          </w:tcPr>
          <w:p w:rsidR="00747389" w:rsidRDefault="00A13514">
            <w:pPr>
              <w:pStyle w:val="TableParagraph"/>
              <w:spacing w:before="5" w:line="240" w:lineRule="auto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729" w:type="dxa"/>
          </w:tcPr>
          <w:p w:rsidR="00747389" w:rsidRDefault="00A13514" w:rsidP="00A47E44">
            <w:pPr>
              <w:pStyle w:val="TableParagraph"/>
              <w:spacing w:before="5" w:line="240" w:lineRule="auto"/>
              <w:ind w:lef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  <w:tc>
          <w:tcPr>
            <w:tcW w:w="1237" w:type="dxa"/>
          </w:tcPr>
          <w:p w:rsidR="00747389" w:rsidRDefault="00A13514" w:rsidP="00A47E44">
            <w:pPr>
              <w:pStyle w:val="TableParagraph"/>
              <w:spacing w:before="5" w:line="244" w:lineRule="auto"/>
              <w:ind w:left="425" w:right="268" w:hanging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</w:t>
            </w:r>
            <w:r w:rsidR="00A47E44">
              <w:rPr>
                <w:b/>
                <w:sz w:val="16"/>
              </w:rPr>
              <w:t xml:space="preserve">netto </w:t>
            </w:r>
            <w:r>
              <w:rPr>
                <w:b/>
                <w:sz w:val="16"/>
              </w:rPr>
              <w:t>zł</w:t>
            </w:r>
          </w:p>
        </w:tc>
        <w:tc>
          <w:tcPr>
            <w:tcW w:w="982" w:type="dxa"/>
          </w:tcPr>
          <w:p w:rsidR="00747389" w:rsidRDefault="00A13514" w:rsidP="00A47E44">
            <w:pPr>
              <w:pStyle w:val="TableParagraph"/>
              <w:spacing w:before="5" w:line="244" w:lineRule="auto"/>
              <w:ind w:left="424" w:right="151" w:hanging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</w:t>
            </w:r>
            <w:r w:rsidR="00A47E44">
              <w:rPr>
                <w:b/>
                <w:sz w:val="16"/>
              </w:rPr>
              <w:t xml:space="preserve"> </w:t>
            </w:r>
            <w:proofErr w:type="spellStart"/>
            <w:r w:rsidR="00A47E44">
              <w:rPr>
                <w:b/>
                <w:sz w:val="16"/>
              </w:rPr>
              <w:t>netto</w:t>
            </w:r>
            <w:r>
              <w:rPr>
                <w:b/>
                <w:sz w:val="16"/>
              </w:rPr>
              <w:t>zł</w:t>
            </w:r>
            <w:proofErr w:type="spellEnd"/>
          </w:p>
          <w:p w:rsidR="00747389" w:rsidRDefault="00A13514" w:rsidP="00A47E44">
            <w:pPr>
              <w:pStyle w:val="TableParagraph"/>
              <w:spacing w:line="172" w:lineRule="exact"/>
              <w:ind w:lef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(5 x 6)</w:t>
            </w:r>
          </w:p>
        </w:tc>
      </w:tr>
      <w:tr w:rsidR="00747389" w:rsidTr="00A47E44">
        <w:trPr>
          <w:trHeight w:val="192"/>
        </w:trPr>
        <w:tc>
          <w:tcPr>
            <w:tcW w:w="410" w:type="dxa"/>
          </w:tcPr>
          <w:p w:rsidR="00747389" w:rsidRDefault="00A13514">
            <w:pPr>
              <w:pStyle w:val="TableParagraph"/>
              <w:spacing w:before="5" w:line="167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8" w:type="dxa"/>
          </w:tcPr>
          <w:p w:rsidR="00747389" w:rsidRDefault="00A13514">
            <w:pPr>
              <w:pStyle w:val="TableParagraph"/>
              <w:spacing w:before="5" w:line="16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94" w:type="dxa"/>
          </w:tcPr>
          <w:p w:rsidR="00747389" w:rsidRDefault="00A13514">
            <w:pPr>
              <w:pStyle w:val="TableParagraph"/>
              <w:spacing w:before="5" w:line="167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63" w:type="dxa"/>
          </w:tcPr>
          <w:p w:rsidR="00747389" w:rsidRDefault="00A13514">
            <w:pPr>
              <w:pStyle w:val="TableParagraph"/>
              <w:spacing w:before="5" w:line="167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29" w:type="dxa"/>
          </w:tcPr>
          <w:p w:rsidR="00747389" w:rsidRDefault="00A13514">
            <w:pPr>
              <w:pStyle w:val="TableParagraph"/>
              <w:spacing w:before="5" w:line="167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37" w:type="dxa"/>
          </w:tcPr>
          <w:p w:rsidR="00747389" w:rsidRDefault="00A13514">
            <w:pPr>
              <w:pStyle w:val="TableParagraph"/>
              <w:spacing w:before="5" w:line="167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82" w:type="dxa"/>
          </w:tcPr>
          <w:p w:rsidR="00747389" w:rsidRDefault="00A13514">
            <w:pPr>
              <w:pStyle w:val="TableParagraph"/>
              <w:spacing w:before="5" w:line="167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747389" w:rsidTr="00A47E44">
        <w:trPr>
          <w:trHeight w:val="533"/>
        </w:trPr>
        <w:tc>
          <w:tcPr>
            <w:tcW w:w="410" w:type="dxa"/>
          </w:tcPr>
          <w:p w:rsidR="00747389" w:rsidRDefault="00A13514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28" w:type="dxa"/>
          </w:tcPr>
          <w:p w:rsidR="00747389" w:rsidRDefault="00A47E44">
            <w:pPr>
              <w:pStyle w:val="TableParagraph"/>
              <w:spacing w:line="235" w:lineRule="auto"/>
              <w:ind w:left="30" w:right="393"/>
              <w:rPr>
                <w:sz w:val="16"/>
              </w:rPr>
            </w:pPr>
            <w:r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747389" w:rsidRDefault="00A47E44">
            <w:pPr>
              <w:pStyle w:val="TableParagraph"/>
              <w:spacing w:before="1" w:line="180" w:lineRule="exact"/>
              <w:ind w:left="31" w:right="57"/>
              <w:rPr>
                <w:sz w:val="16"/>
              </w:rPr>
            </w:pPr>
            <w:r w:rsidRPr="00A47E44">
              <w:rPr>
                <w:sz w:val="16"/>
              </w:rPr>
              <w:t xml:space="preserve">Przegląd serwisowy szaf klimatyzacji precyzyjnej </w:t>
            </w:r>
            <w:proofErr w:type="spellStart"/>
            <w:r w:rsidRPr="00A47E44">
              <w:rPr>
                <w:sz w:val="16"/>
              </w:rPr>
              <w:t>HiRef</w:t>
            </w:r>
            <w:proofErr w:type="spellEnd"/>
            <w:r w:rsidRPr="00A47E44">
              <w:rPr>
                <w:sz w:val="16"/>
              </w:rPr>
              <w:t>,</w:t>
            </w:r>
            <w:r>
              <w:rPr>
                <w:sz w:val="16"/>
              </w:rPr>
              <w:t xml:space="preserve"> zgodnie z OPZ </w:t>
            </w:r>
            <w:proofErr w:type="spellStart"/>
            <w:r w:rsidRPr="00A47E44">
              <w:rPr>
                <w:sz w:val="16"/>
              </w:rPr>
              <w:t>OPZ</w:t>
            </w:r>
            <w:proofErr w:type="spellEnd"/>
            <w:r w:rsidRPr="00A47E44">
              <w:rPr>
                <w:sz w:val="16"/>
              </w:rPr>
              <w:t xml:space="preserve"> pkt 2.1 od a) do i)</w:t>
            </w:r>
          </w:p>
          <w:p w:rsidR="00462CF0" w:rsidRDefault="00462CF0">
            <w:pPr>
              <w:pStyle w:val="TableParagraph"/>
              <w:spacing w:before="1" w:line="180" w:lineRule="exact"/>
              <w:ind w:left="31" w:right="57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462CF0" w:rsidRDefault="00462CF0">
            <w:pPr>
              <w:pStyle w:val="TableParagraph"/>
              <w:spacing w:before="1" w:line="180" w:lineRule="exact"/>
              <w:ind w:left="31" w:right="57"/>
              <w:rPr>
                <w:sz w:val="16"/>
              </w:rPr>
            </w:pPr>
            <w:r w:rsidRPr="00462CF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Punktacja: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5</w:t>
            </w:r>
            <w:r w:rsidR="00851C08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 pkt.</w:t>
            </w:r>
            <w:r w:rsidRPr="00462CF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1063" w:type="dxa"/>
          </w:tcPr>
          <w:p w:rsidR="00747389" w:rsidRDefault="00A47E44" w:rsidP="00A47E44"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729" w:type="dxa"/>
          </w:tcPr>
          <w:p w:rsidR="00747389" w:rsidRDefault="0093242F" w:rsidP="00A47E44">
            <w:pPr>
              <w:pStyle w:val="TableParagraph"/>
              <w:spacing w:line="179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37" w:type="dxa"/>
          </w:tcPr>
          <w:p w:rsidR="00747389" w:rsidRDefault="00747389" w:rsidP="00A47E44">
            <w:pPr>
              <w:pStyle w:val="TableParagraph"/>
              <w:spacing w:line="179" w:lineRule="exact"/>
              <w:ind w:right="16"/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:rsidR="00747389" w:rsidRDefault="00747389">
            <w:pPr>
              <w:pStyle w:val="TableParagraph"/>
              <w:spacing w:line="179" w:lineRule="exact"/>
              <w:ind w:right="13"/>
              <w:jc w:val="right"/>
              <w:rPr>
                <w:sz w:val="16"/>
              </w:rPr>
            </w:pPr>
          </w:p>
        </w:tc>
      </w:tr>
      <w:tr w:rsidR="00747389" w:rsidTr="00A47E44">
        <w:trPr>
          <w:trHeight w:val="525"/>
        </w:trPr>
        <w:tc>
          <w:tcPr>
            <w:tcW w:w="410" w:type="dxa"/>
          </w:tcPr>
          <w:p w:rsidR="00747389" w:rsidRDefault="00A1351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8" w:type="dxa"/>
          </w:tcPr>
          <w:p w:rsidR="00747389" w:rsidRDefault="00A47E44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 w:rsidRPr="00A47E44"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747389" w:rsidRDefault="00A47E44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>C</w:t>
            </w:r>
            <w:r w:rsidRPr="00A47E44">
              <w:rPr>
                <w:sz w:val="16"/>
              </w:rPr>
              <w:t>ena jednostkowa za wymianę zbiornika nawilżacza (rozliczana powykonawczo w zależności od stanu) w wysokości określonej w ofercie zgodnie z OPZ pkt 2.1 j</w:t>
            </w:r>
          </w:p>
          <w:p w:rsidR="00462CF0" w:rsidRDefault="00462CF0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</w:p>
          <w:p w:rsidR="00462CF0" w:rsidRDefault="00851C08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>Punktacja: 10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pkt.</w:t>
            </w:r>
          </w:p>
        </w:tc>
        <w:tc>
          <w:tcPr>
            <w:tcW w:w="1063" w:type="dxa"/>
          </w:tcPr>
          <w:p w:rsidR="00747389" w:rsidRDefault="00A47E44" w:rsidP="00A47E4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729" w:type="dxa"/>
          </w:tcPr>
          <w:p w:rsidR="00747389" w:rsidRDefault="0093242F" w:rsidP="00A47E4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37" w:type="dxa"/>
          </w:tcPr>
          <w:p w:rsidR="00747389" w:rsidRDefault="00747389" w:rsidP="00A47E44">
            <w:pPr>
              <w:pStyle w:val="TableParagraph"/>
              <w:ind w:right="16"/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:rsidR="00747389" w:rsidRDefault="00747389">
            <w:pPr>
              <w:pStyle w:val="TableParagraph"/>
              <w:ind w:right="14"/>
              <w:jc w:val="right"/>
              <w:rPr>
                <w:sz w:val="16"/>
              </w:rPr>
            </w:pPr>
          </w:p>
        </w:tc>
      </w:tr>
      <w:tr w:rsidR="00660F4B" w:rsidTr="00A47E44">
        <w:trPr>
          <w:trHeight w:val="525"/>
        </w:trPr>
        <w:tc>
          <w:tcPr>
            <w:tcW w:w="410" w:type="dxa"/>
          </w:tcPr>
          <w:p w:rsidR="00660F4B" w:rsidRDefault="00660F4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28" w:type="dxa"/>
          </w:tcPr>
          <w:p w:rsidR="00660F4B" w:rsidRPr="00A47E44" w:rsidRDefault="00660F4B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 w:rsidRPr="00660F4B"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660F4B" w:rsidRDefault="00660F4B" w:rsidP="00660F4B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 xml:space="preserve">Stawka roboczogodziny </w:t>
            </w:r>
            <w:r w:rsidRPr="00660F4B">
              <w:rPr>
                <w:sz w:val="16"/>
              </w:rPr>
              <w:t>usunięcie awarii</w:t>
            </w:r>
          </w:p>
          <w:p w:rsidR="00462CF0" w:rsidRDefault="00462CF0" w:rsidP="00660F4B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</w:p>
          <w:p w:rsidR="00462CF0" w:rsidRDefault="00462CF0" w:rsidP="00462CF0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>Punktacja: 10</w:t>
            </w:r>
            <w:r w:rsidR="00851C08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r w:rsidR="00851C08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pkt.</w:t>
            </w:r>
          </w:p>
        </w:tc>
        <w:tc>
          <w:tcPr>
            <w:tcW w:w="1063" w:type="dxa"/>
          </w:tcPr>
          <w:p w:rsidR="00660F4B" w:rsidRDefault="00660F4B" w:rsidP="00A47E4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r-godz.</w:t>
            </w:r>
          </w:p>
        </w:tc>
        <w:tc>
          <w:tcPr>
            <w:tcW w:w="729" w:type="dxa"/>
          </w:tcPr>
          <w:p w:rsidR="00660F4B" w:rsidRDefault="00660F4B" w:rsidP="00A47E4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7" w:type="dxa"/>
          </w:tcPr>
          <w:p w:rsidR="00660F4B" w:rsidRDefault="00660F4B" w:rsidP="00A47E44">
            <w:pPr>
              <w:pStyle w:val="TableParagraph"/>
              <w:ind w:right="16"/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:rsidR="00660F4B" w:rsidRDefault="00660F4B">
            <w:pPr>
              <w:pStyle w:val="TableParagraph"/>
              <w:ind w:right="14"/>
              <w:jc w:val="right"/>
              <w:rPr>
                <w:sz w:val="16"/>
              </w:rPr>
            </w:pPr>
          </w:p>
        </w:tc>
      </w:tr>
      <w:tr w:rsidR="00660F4B" w:rsidTr="00A47E44">
        <w:trPr>
          <w:trHeight w:val="525"/>
        </w:trPr>
        <w:tc>
          <w:tcPr>
            <w:tcW w:w="410" w:type="dxa"/>
          </w:tcPr>
          <w:p w:rsidR="00660F4B" w:rsidRDefault="00660F4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28" w:type="dxa"/>
          </w:tcPr>
          <w:p w:rsidR="00660F4B" w:rsidRPr="00660F4B" w:rsidRDefault="00660F4B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 w:rsidRPr="00660F4B"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660F4B" w:rsidRDefault="00660F4B" w:rsidP="00660F4B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>Koszt dojazdu związany ze zgłoszonymi awariami</w:t>
            </w:r>
          </w:p>
          <w:p w:rsidR="00462CF0" w:rsidRDefault="00462CF0" w:rsidP="00660F4B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</w:p>
          <w:p w:rsidR="00462CF0" w:rsidRDefault="00462CF0" w:rsidP="00660F4B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>
              <w:rPr>
                <w:sz w:val="16"/>
              </w:rPr>
              <w:t>Punktacja: 10</w:t>
            </w:r>
            <w:r w:rsidR="00851C08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r w:rsidR="00851C08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pkt.</w:t>
            </w:r>
          </w:p>
        </w:tc>
        <w:tc>
          <w:tcPr>
            <w:tcW w:w="1063" w:type="dxa"/>
          </w:tcPr>
          <w:p w:rsidR="00660F4B" w:rsidRDefault="00660F4B" w:rsidP="00A47E4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729" w:type="dxa"/>
          </w:tcPr>
          <w:p w:rsidR="00660F4B" w:rsidRDefault="00660F4B" w:rsidP="00A47E4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7" w:type="dxa"/>
          </w:tcPr>
          <w:p w:rsidR="00660F4B" w:rsidRDefault="00660F4B" w:rsidP="00A47E44">
            <w:pPr>
              <w:pStyle w:val="TableParagraph"/>
              <w:ind w:right="16"/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:rsidR="00660F4B" w:rsidRDefault="00660F4B">
            <w:pPr>
              <w:pStyle w:val="TableParagraph"/>
              <w:ind w:right="14"/>
              <w:jc w:val="right"/>
              <w:rPr>
                <w:sz w:val="16"/>
              </w:rPr>
            </w:pPr>
          </w:p>
        </w:tc>
      </w:tr>
      <w:tr w:rsidR="00851C08" w:rsidTr="00C226CF">
        <w:trPr>
          <w:trHeight w:val="525"/>
        </w:trPr>
        <w:tc>
          <w:tcPr>
            <w:tcW w:w="410" w:type="dxa"/>
          </w:tcPr>
          <w:p w:rsidR="00851C08" w:rsidRDefault="00851C08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28" w:type="dxa"/>
          </w:tcPr>
          <w:p w:rsidR="00851C08" w:rsidRPr="00660F4B" w:rsidRDefault="00851C0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 w:rsidRPr="00660F4B"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851C08" w:rsidRPr="00462CF0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Marża naliczona do kosztu zakupu zamontowanych części i materiałów                                                                                                                                                                           </w:t>
            </w:r>
          </w:p>
          <w:p w:rsidR="00851C08" w:rsidRPr="00462CF0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</w:p>
          <w:p w:rsidR="00851C08" w:rsidRPr="00462CF0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>Punktacja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: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10 pkt.  </w:t>
            </w:r>
          </w:p>
          <w:p w:rsidR="00851C08" w:rsidRPr="00462CF0" w:rsidRDefault="00851C08" w:rsidP="00462CF0">
            <w:pPr>
              <w:pStyle w:val="TableParagraph"/>
              <w:spacing w:before="4" w:line="180" w:lineRule="exact"/>
              <w:ind w:left="31" w:right="57"/>
              <w:rPr>
                <w:sz w:val="16"/>
              </w:rPr>
            </w:pP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                                  0% - 10 pkt.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br/>
              <w:t xml:space="preserve">                                   5% -  5 pkt.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br/>
              <w:t xml:space="preserve">                                   10% - 0 pkt.</w:t>
            </w:r>
          </w:p>
        </w:tc>
        <w:tc>
          <w:tcPr>
            <w:tcW w:w="1063" w:type="dxa"/>
          </w:tcPr>
          <w:p w:rsidR="00851C08" w:rsidRDefault="00851C08" w:rsidP="00A47E4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2948" w:type="dxa"/>
            <w:gridSpan w:val="3"/>
          </w:tcPr>
          <w:p w:rsidR="00851C08" w:rsidRDefault="00851C08">
            <w:pPr>
              <w:pStyle w:val="TableParagraph"/>
              <w:ind w:right="14"/>
              <w:jc w:val="right"/>
              <w:rPr>
                <w:sz w:val="16"/>
              </w:rPr>
            </w:pPr>
          </w:p>
        </w:tc>
      </w:tr>
      <w:tr w:rsidR="00851C08" w:rsidTr="00F03ADF">
        <w:trPr>
          <w:trHeight w:val="525"/>
        </w:trPr>
        <w:tc>
          <w:tcPr>
            <w:tcW w:w="410" w:type="dxa"/>
          </w:tcPr>
          <w:p w:rsidR="00851C08" w:rsidRDefault="00851C08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28" w:type="dxa"/>
          </w:tcPr>
          <w:p w:rsidR="00851C08" w:rsidRPr="00660F4B" w:rsidRDefault="00851C0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 w:rsidRPr="00660F4B"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851C08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lang w:eastAsia="pl-PL"/>
              </w:rPr>
              <w:t>Gwarancja na wykonane prace</w:t>
            </w:r>
          </w:p>
          <w:p w:rsidR="00851C08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</w:p>
          <w:p w:rsidR="00851C08" w:rsidRDefault="00851C08" w:rsidP="00851C08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>Punktacja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: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10 pkt.  </w:t>
            </w:r>
          </w:p>
          <w:p w:rsidR="00851C08" w:rsidRDefault="00851C08" w:rsidP="00851C08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                                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do 36 miesięcy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-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>10 pkt.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br/>
              <w:t xml:space="preserve">    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                           do 24 miesiące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-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7,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>5 pkt.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br/>
              <w:t xml:space="preserve">     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                          do 12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miesięcy  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-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 5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pkt.</w:t>
            </w:r>
          </w:p>
          <w:p w:rsidR="00851C08" w:rsidRDefault="00851C08" w:rsidP="00851C08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                                 do 6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miesięcy  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- 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 xml:space="preserve">    0</w:t>
            </w:r>
            <w:r w:rsidRPr="00462CF0">
              <w:rPr>
                <w:rFonts w:eastAsia="Times New Roman"/>
                <w:color w:val="000000"/>
                <w:sz w:val="16"/>
                <w:lang w:eastAsia="pl-PL"/>
              </w:rPr>
              <w:t xml:space="preserve"> pkt.</w:t>
            </w:r>
          </w:p>
          <w:p w:rsidR="00851C08" w:rsidRPr="00462CF0" w:rsidRDefault="00851C08" w:rsidP="00462CF0">
            <w:pPr>
              <w:pStyle w:val="TableParagraph"/>
              <w:spacing w:before="4" w:line="180" w:lineRule="exact"/>
              <w:ind w:left="31" w:right="57"/>
              <w:rPr>
                <w:rFonts w:eastAsia="Times New Roman"/>
                <w:color w:val="000000"/>
                <w:sz w:val="16"/>
                <w:lang w:eastAsia="pl-PL"/>
              </w:rPr>
            </w:pPr>
          </w:p>
        </w:tc>
        <w:tc>
          <w:tcPr>
            <w:tcW w:w="1063" w:type="dxa"/>
          </w:tcPr>
          <w:p w:rsidR="00851C08" w:rsidRDefault="00851C08" w:rsidP="00A47E4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miesiące </w:t>
            </w:r>
          </w:p>
        </w:tc>
        <w:tc>
          <w:tcPr>
            <w:tcW w:w="2948" w:type="dxa"/>
            <w:gridSpan w:val="3"/>
          </w:tcPr>
          <w:p w:rsidR="00851C08" w:rsidRDefault="00851C08">
            <w:pPr>
              <w:pStyle w:val="TableParagraph"/>
              <w:ind w:right="14"/>
              <w:jc w:val="right"/>
              <w:rPr>
                <w:sz w:val="16"/>
              </w:rPr>
            </w:pPr>
            <w:bookmarkStart w:id="0" w:name="_GoBack"/>
            <w:bookmarkEnd w:id="0"/>
          </w:p>
        </w:tc>
      </w:tr>
      <w:tr w:rsidR="00747389">
        <w:trPr>
          <w:trHeight w:val="546"/>
        </w:trPr>
        <w:tc>
          <w:tcPr>
            <w:tcW w:w="8761" w:type="dxa"/>
            <w:gridSpan w:val="6"/>
          </w:tcPr>
          <w:p w:rsidR="00747389" w:rsidRDefault="00A13514">
            <w:pPr>
              <w:pStyle w:val="TableParagraph"/>
              <w:spacing w:line="244" w:lineRule="auto"/>
              <w:ind w:left="29" w:right="5172"/>
              <w:rPr>
                <w:b/>
                <w:sz w:val="16"/>
              </w:rPr>
            </w:pPr>
            <w:r>
              <w:rPr>
                <w:b/>
                <w:sz w:val="16"/>
              </w:rPr>
              <w:t>Wartość kosztorysowa robót bez podatku VAT Podatek VAT</w:t>
            </w:r>
          </w:p>
          <w:p w:rsidR="00747389" w:rsidRDefault="00A13514">
            <w:pPr>
              <w:pStyle w:val="TableParagraph"/>
              <w:spacing w:line="160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Ogółem wartość kosztorysowa robót</w:t>
            </w:r>
          </w:p>
        </w:tc>
        <w:tc>
          <w:tcPr>
            <w:tcW w:w="982" w:type="dxa"/>
          </w:tcPr>
          <w:p w:rsidR="00747389" w:rsidRDefault="00747389">
            <w:pPr>
              <w:pStyle w:val="TableParagraph"/>
              <w:spacing w:before="3" w:line="161" w:lineRule="exact"/>
              <w:ind w:left="153"/>
              <w:rPr>
                <w:b/>
                <w:sz w:val="16"/>
              </w:rPr>
            </w:pPr>
          </w:p>
        </w:tc>
      </w:tr>
    </w:tbl>
    <w:p w:rsidR="00747389" w:rsidRDefault="00747389">
      <w:pPr>
        <w:pStyle w:val="Tekstpodstawowy"/>
        <w:spacing w:before="6"/>
        <w:rPr>
          <w:sz w:val="7"/>
        </w:rPr>
      </w:pPr>
    </w:p>
    <w:p w:rsidR="00747389" w:rsidRDefault="00A13514">
      <w:pPr>
        <w:pStyle w:val="Tekstpodstawowy"/>
        <w:spacing w:before="95"/>
        <w:ind w:left="131"/>
      </w:pPr>
      <w:r>
        <w:t>Słownie</w:t>
      </w:r>
      <w:r w:rsidR="00184987">
        <w:t>……………………………………………………………………………………………………………………….</w:t>
      </w:r>
      <w:r>
        <w:t xml:space="preserve"> zł</w:t>
      </w: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sectPr w:rsidR="00747389">
      <w:type w:val="continuous"/>
      <w:pgSz w:w="11910" w:h="16840"/>
      <w:pgMar w:top="460" w:right="6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9"/>
    <w:rsid w:val="00184987"/>
    <w:rsid w:val="00462CF0"/>
    <w:rsid w:val="005E1AD0"/>
    <w:rsid w:val="00660F4B"/>
    <w:rsid w:val="00747389"/>
    <w:rsid w:val="00851C08"/>
    <w:rsid w:val="0093242F"/>
    <w:rsid w:val="00A13514"/>
    <w:rsid w:val="00A47E44"/>
    <w:rsid w:val="00C76B37"/>
    <w:rsid w:val="00C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5379"/>
  <w15:docId w15:val="{90B7C0E0-B184-4686-A9C9-D00F1FC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czyszczenie kanalizacji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czyszczenie kanalizacji</dc:title>
  <dc:creator>radoslaw.szkudlarek</dc:creator>
  <cp:lastModifiedBy>Esz Ireneusz</cp:lastModifiedBy>
  <cp:revision>7</cp:revision>
  <dcterms:created xsi:type="dcterms:W3CDTF">2023-10-13T05:24:00Z</dcterms:created>
  <dcterms:modified xsi:type="dcterms:W3CDTF">2024-01-24T08:48:00Z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