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jc w:val="center"/>
        <w:rPr>
          <w:rFonts w:cs="Calibri"/>
          <w:b w:val="0"/>
          <w:bCs/>
          <w:i w:val="0"/>
          <w:iCs/>
          <w:color w:val="auto"/>
          <w:sz w:val="20"/>
          <w:szCs w:val="20"/>
        </w:rPr>
      </w:pPr>
      <w:r>
        <w:rPr>
          <w:rFonts w:cs="Calibri"/>
          <w:b w:val="0"/>
          <w:bCs/>
          <w:i w:val="0"/>
          <w:iCs/>
          <w:color w:val="auto"/>
          <w:sz w:val="20"/>
          <w:szCs w:val="20"/>
        </w:rPr>
        <w:t xml:space="preserve">REGULAMIN PROWADZENIA DIALOGU KONKURENCYJNEGO CELEM WYBORU WYKONAWCY </w:t>
      </w:r>
    </w:p>
    <w:p w14:paraId="00000002">
      <w:pPr>
        <w:spacing w:after="0" w:line="276" w:lineRule="auto"/>
        <w:jc w:val="center"/>
        <w:rPr>
          <w:rFonts w:cs="Calibri"/>
          <w:b w:val="0"/>
          <w:bCs/>
          <w:i w:val="0"/>
          <w:iCs/>
          <w:color w:val="auto"/>
          <w:sz w:val="20"/>
          <w:szCs w:val="20"/>
        </w:rPr>
      </w:pPr>
      <w:bookmarkStart w:id="0" w:name="_heading=h.30j0zll" w:colFirst="0" w:colLast="0"/>
      <w:bookmarkEnd w:id="0"/>
      <w:r>
        <w:rPr>
          <w:rFonts w:cs="Calibri"/>
          <w:b w:val="0"/>
          <w:bCs/>
          <w:i w:val="0"/>
          <w:iCs/>
          <w:color w:val="auto"/>
          <w:sz w:val="20"/>
          <w:szCs w:val="20"/>
        </w:rPr>
        <w:t xml:space="preserve">DO REALIZACJI PRZEDSIĘWZIĘCIA PN. </w:t>
      </w:r>
    </w:p>
    <w:p w14:paraId="00000003">
      <w:pPr>
        <w:spacing w:after="0" w:line="276" w:lineRule="auto"/>
        <w:jc w:val="center"/>
        <w:rPr>
          <w:rFonts w:cs="Calibri"/>
          <w:b w:val="0"/>
          <w:bCs/>
          <w:i w:val="0"/>
          <w:iCs/>
          <w:color w:val="auto"/>
          <w:sz w:val="20"/>
          <w:szCs w:val="20"/>
        </w:rPr>
      </w:pPr>
      <w:r>
        <w:rPr>
          <w:rFonts w:cs="Calibri"/>
          <w:b w:val="0"/>
          <w:bCs/>
          <w:i w:val="0"/>
          <w:iCs/>
          <w:color w:val="auto"/>
          <w:sz w:val="20"/>
          <w:szCs w:val="20"/>
        </w:rPr>
        <w:t>„</w:t>
      </w:r>
      <w:r>
        <w:rPr>
          <w:rFonts w:hint="default" w:cs="Calibri"/>
          <w:b w:val="0"/>
          <w:bCs/>
          <w:i w:val="0"/>
          <w:iCs/>
          <w:color w:val="auto"/>
          <w:sz w:val="20"/>
          <w:szCs w:val="20"/>
          <w:lang w:val="pl-PL"/>
        </w:rPr>
        <w:t>B</w:t>
      </w:r>
      <w:r>
        <w:rPr>
          <w:rFonts w:hint="default"/>
          <w:b w:val="0"/>
          <w:bCs/>
          <w:i w:val="0"/>
          <w:iCs/>
          <w:color w:val="auto"/>
          <w:sz w:val="20"/>
          <w:szCs w:val="20"/>
          <w:lang w:val="pl-PL"/>
        </w:rPr>
        <w:t>udowa i eksploatacja kogeneracji w formule 5P</w:t>
      </w:r>
      <w:r>
        <w:rPr>
          <w:rFonts w:cs="Calibri"/>
          <w:b w:val="0"/>
          <w:bCs/>
          <w:i w:val="0"/>
          <w:iCs/>
          <w:color w:val="auto"/>
          <w:sz w:val="20"/>
          <w:szCs w:val="20"/>
        </w:rPr>
        <w:t>”</w:t>
      </w:r>
    </w:p>
    <w:p w14:paraId="00000004">
      <w:pPr>
        <w:spacing w:after="0" w:line="276" w:lineRule="auto"/>
        <w:jc w:val="center"/>
        <w:rPr>
          <w:rFonts w:cs="Calibri"/>
          <w:b/>
          <w:sz w:val="20"/>
          <w:szCs w:val="20"/>
        </w:rPr>
      </w:pPr>
    </w:p>
    <w:p w14:paraId="00000005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Słowniczek pojęć </w:t>
      </w:r>
    </w:p>
    <w:p w14:paraId="00000006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Dialog konkurencyjny </w:t>
      </w:r>
      <w:r>
        <w:rPr>
          <w:rFonts w:cs="Calibri"/>
          <w:color w:val="000000"/>
          <w:sz w:val="20"/>
          <w:szCs w:val="20"/>
        </w:rPr>
        <w:t>– tryb udzielenia zamówienia - „dialog konkurencyjny” uregulowany przepisami Ustawy Pzp;</w:t>
      </w:r>
      <w:r>
        <w:rPr>
          <w:rFonts w:cs="Calibri"/>
          <w:b/>
          <w:color w:val="000000"/>
          <w:sz w:val="20"/>
          <w:szCs w:val="20"/>
        </w:rPr>
        <w:t xml:space="preserve"> </w:t>
      </w:r>
    </w:p>
    <w:p w14:paraId="00000007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Ogłoszenie</w:t>
      </w:r>
      <w:r>
        <w:rPr>
          <w:rFonts w:cs="Calibri"/>
          <w:color w:val="000000"/>
          <w:sz w:val="20"/>
          <w:szCs w:val="20"/>
        </w:rPr>
        <w:t xml:space="preserve"> – ogłoszenie o wszczęciu postępowania na wybór wykonawcy do realizacji Przedsięwzięcia opublikowane  </w:t>
      </w:r>
      <w:r>
        <w:rPr>
          <w:rFonts w:hint="default" w:cs="Calibri"/>
          <w:color w:val="000000"/>
          <w:sz w:val="20"/>
          <w:szCs w:val="20"/>
          <w:lang w:val="pl-PL"/>
        </w:rPr>
        <w:t xml:space="preserve">na stronie internetowej </w:t>
      </w:r>
      <w:r>
        <w:rPr>
          <w:rFonts w:hint="default" w:cs="Calibri"/>
          <w:color w:val="000000"/>
          <w:sz w:val="20"/>
          <w:szCs w:val="20"/>
          <w:lang w:val="pl-PL"/>
        </w:rPr>
        <w:fldChar w:fldCharType="begin"/>
      </w:r>
      <w:r>
        <w:rPr>
          <w:rFonts w:hint="default" w:cs="Calibri"/>
          <w:color w:val="000000"/>
          <w:sz w:val="20"/>
          <w:szCs w:val="20"/>
          <w:lang w:val="pl-PL"/>
        </w:rPr>
        <w:instrText xml:space="preserve"> HYPERLINK "http://www.pecleczyca.pl" </w:instrText>
      </w:r>
      <w:r>
        <w:rPr>
          <w:rFonts w:hint="default" w:cs="Calibri"/>
          <w:color w:val="000000"/>
          <w:sz w:val="20"/>
          <w:szCs w:val="20"/>
          <w:lang w:val="pl-PL"/>
        </w:rPr>
        <w:fldChar w:fldCharType="separate"/>
      </w:r>
      <w:r>
        <w:rPr>
          <w:rStyle w:val="21"/>
          <w:rFonts w:hint="default" w:cs="Calibri"/>
          <w:sz w:val="20"/>
          <w:szCs w:val="20"/>
          <w:lang w:val="pl-PL"/>
        </w:rPr>
        <w:t>www.pecleczyca.pl</w:t>
      </w:r>
      <w:r>
        <w:rPr>
          <w:rFonts w:hint="default" w:cs="Calibri"/>
          <w:color w:val="000000"/>
          <w:sz w:val="20"/>
          <w:szCs w:val="20"/>
          <w:lang w:val="pl-PL"/>
        </w:rPr>
        <w:fldChar w:fldCharType="end"/>
      </w:r>
      <w:r>
        <w:rPr>
          <w:rFonts w:hint="default" w:cs="Calibri"/>
          <w:color w:val="000000"/>
          <w:sz w:val="20"/>
          <w:szCs w:val="20"/>
          <w:lang w:val="pl-PL"/>
        </w:rPr>
        <w:t xml:space="preserve"> oraz na Platformie Zakupowej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 xml:space="preserve">pod nr </w:t>
      </w:r>
      <w:r>
        <w:rPr>
          <w:rFonts w:hint="default" w:cs="Calibri"/>
          <w:b/>
          <w:bCs/>
          <w:color w:val="000000"/>
          <w:sz w:val="20"/>
          <w:szCs w:val="20"/>
          <w:lang w:val="pl-PL"/>
        </w:rPr>
        <w:t>1/DK/2024</w:t>
      </w:r>
      <w:r>
        <w:rPr>
          <w:rFonts w:cs="Calibri"/>
          <w:b/>
          <w:bCs/>
          <w:color w:val="000000"/>
          <w:sz w:val="20"/>
          <w:szCs w:val="20"/>
        </w:rPr>
        <w:t xml:space="preserve"> w dniu </w:t>
      </w:r>
      <w:r>
        <w:rPr>
          <w:rFonts w:hint="default" w:cs="Calibri"/>
          <w:b/>
          <w:bCs/>
          <w:color w:val="000000"/>
          <w:sz w:val="20"/>
          <w:szCs w:val="20"/>
          <w:lang w:val="pl-PL"/>
        </w:rPr>
        <w:t>04</w:t>
      </w:r>
      <w:r>
        <w:rPr>
          <w:rFonts w:cs="Calibri"/>
          <w:b/>
          <w:bCs/>
          <w:color w:val="000000"/>
          <w:sz w:val="20"/>
          <w:szCs w:val="20"/>
        </w:rPr>
        <w:t>.</w:t>
      </w:r>
      <w:r>
        <w:rPr>
          <w:rFonts w:hint="default" w:cs="Calibri"/>
          <w:b/>
          <w:bCs/>
          <w:color w:val="000000"/>
          <w:sz w:val="20"/>
          <w:szCs w:val="20"/>
          <w:lang w:val="pl-PL"/>
        </w:rPr>
        <w:t>11</w:t>
      </w:r>
      <w:r>
        <w:rPr>
          <w:rFonts w:cs="Calibri"/>
          <w:b/>
          <w:bCs/>
          <w:color w:val="000000"/>
          <w:sz w:val="20"/>
          <w:szCs w:val="20"/>
        </w:rPr>
        <w:t>.202</w:t>
      </w:r>
      <w:r>
        <w:rPr>
          <w:rFonts w:hint="default" w:cs="Calibri"/>
          <w:b/>
          <w:bCs/>
          <w:color w:val="000000"/>
          <w:sz w:val="20"/>
          <w:szCs w:val="20"/>
          <w:lang w:val="pl-PL"/>
        </w:rPr>
        <w:t>4</w:t>
      </w:r>
      <w:r>
        <w:rPr>
          <w:rFonts w:cs="Calibri"/>
          <w:b/>
          <w:bCs/>
          <w:color w:val="000000"/>
          <w:sz w:val="20"/>
          <w:szCs w:val="20"/>
        </w:rPr>
        <w:t xml:space="preserve"> roku</w:t>
      </w:r>
    </w:p>
    <w:p w14:paraId="00000008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Wykonawca </w:t>
      </w:r>
      <w:r>
        <w:rPr>
          <w:rFonts w:cs="Calibri"/>
          <w:color w:val="000000"/>
          <w:sz w:val="20"/>
          <w:szCs w:val="20"/>
        </w:rPr>
        <w:t>–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podmiot, który złożył wniosek o dopuszczenie do udziału w postępowaniu na realizację Przedsięwzięcia i został zaproszony przez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do uczestnictwa w Dialogu konkurencyjnym;</w:t>
      </w:r>
    </w:p>
    <w:p w14:paraId="00000009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Zamawiający - </w:t>
      </w:r>
      <w:r>
        <w:rPr>
          <w:rFonts w:hint="default" w:cs="Calibri"/>
          <w:b/>
          <w:color w:val="000000"/>
          <w:sz w:val="20"/>
          <w:szCs w:val="20"/>
          <w:lang w:val="pl-PL"/>
        </w:rPr>
        <w:t>PEC Łęczyca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–</w:t>
      </w:r>
      <w:r>
        <w:rPr>
          <w:rFonts w:hint="default" w:cs="Calibri"/>
          <w:color w:val="000000"/>
          <w:sz w:val="20"/>
          <w:szCs w:val="20"/>
          <w:lang w:val="pl-PL"/>
        </w:rPr>
        <w:t>Przedsiębiorstwo Energetyki Cieplnej Sp. z o.o. w Łęczycy</w:t>
      </w:r>
      <w:r>
        <w:rPr>
          <w:rFonts w:cs="Calibri"/>
          <w:color w:val="000000"/>
          <w:sz w:val="20"/>
          <w:szCs w:val="20"/>
        </w:rPr>
        <w:t>,  z siedzibą w </w:t>
      </w:r>
      <w:r>
        <w:rPr>
          <w:rFonts w:cs="Calibri"/>
          <w:color w:val="000000"/>
          <w:sz w:val="20"/>
          <w:szCs w:val="20"/>
          <w:lang w:val="pl-PL"/>
        </w:rPr>
        <w:t>Łę</w:t>
      </w:r>
      <w:r>
        <w:rPr>
          <w:rFonts w:hint="default" w:cs="Calibri"/>
          <w:color w:val="000000"/>
          <w:sz w:val="20"/>
          <w:szCs w:val="20"/>
          <w:lang w:val="pl-PL"/>
        </w:rPr>
        <w:t>czycy</w:t>
      </w:r>
      <w:r>
        <w:rPr>
          <w:rFonts w:cs="Calibri"/>
          <w:color w:val="000000"/>
          <w:sz w:val="20"/>
          <w:szCs w:val="20"/>
        </w:rPr>
        <w:t xml:space="preserve">, ul. </w:t>
      </w:r>
      <w:r>
        <w:rPr>
          <w:rFonts w:hint="default" w:cs="Calibri"/>
          <w:color w:val="000000"/>
          <w:sz w:val="20"/>
          <w:szCs w:val="20"/>
          <w:lang w:val="pl-PL"/>
        </w:rPr>
        <w:t>Tumska 2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hint="default" w:cs="Calibri"/>
          <w:color w:val="000000"/>
          <w:sz w:val="20"/>
          <w:szCs w:val="20"/>
          <w:lang w:val="pl-PL"/>
        </w:rPr>
        <w:t>99</w:t>
      </w:r>
      <w:r>
        <w:rPr>
          <w:rFonts w:cs="Calibri"/>
          <w:color w:val="000000"/>
          <w:sz w:val="20"/>
          <w:szCs w:val="20"/>
        </w:rPr>
        <w:t>-</w:t>
      </w:r>
      <w:r>
        <w:rPr>
          <w:rFonts w:hint="default" w:cs="Calibri"/>
          <w:color w:val="000000"/>
          <w:sz w:val="20"/>
          <w:szCs w:val="20"/>
          <w:lang w:val="pl-PL"/>
        </w:rPr>
        <w:t xml:space="preserve">100 </w:t>
      </w:r>
      <w:r>
        <w:rPr>
          <w:rFonts w:cs="Calibri"/>
          <w:color w:val="000000"/>
          <w:sz w:val="20"/>
          <w:szCs w:val="20"/>
          <w:lang w:val="pl-PL"/>
        </w:rPr>
        <w:t>Łę</w:t>
      </w:r>
      <w:r>
        <w:rPr>
          <w:rFonts w:hint="default" w:cs="Calibri"/>
          <w:color w:val="000000"/>
          <w:sz w:val="20"/>
          <w:szCs w:val="20"/>
          <w:lang w:val="pl-PL"/>
        </w:rPr>
        <w:t>czyca</w:t>
      </w:r>
      <w:r>
        <w:rPr>
          <w:rFonts w:cs="Calibri"/>
          <w:color w:val="000000"/>
          <w:sz w:val="20"/>
          <w:szCs w:val="20"/>
        </w:rPr>
        <w:t xml:space="preserve"> </w:t>
      </w:r>
    </w:p>
    <w:p w14:paraId="0000000A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Przedsięwzięcie </w:t>
      </w:r>
      <w:r>
        <w:rPr>
          <w:rFonts w:cs="Calibri"/>
          <w:color w:val="000000"/>
          <w:sz w:val="20"/>
          <w:szCs w:val="20"/>
        </w:rPr>
        <w:t xml:space="preserve">– przedsięwzięcie mające na celu </w:t>
      </w:r>
      <w:r>
        <w:rPr>
          <w:sz w:val="20"/>
          <w:szCs w:val="20"/>
        </w:rPr>
        <w:t>usługę</w:t>
      </w:r>
      <w:r>
        <w:rPr>
          <w:rFonts w:cs="Calibri"/>
          <w:color w:val="000000"/>
          <w:sz w:val="20"/>
          <w:szCs w:val="20"/>
        </w:rPr>
        <w:t xml:space="preserve"> dostaw</w:t>
      </w:r>
      <w:r>
        <w:rPr>
          <w:rFonts w:hint="default" w:cs="Calibri"/>
          <w:color w:val="000000"/>
          <w:sz w:val="20"/>
          <w:szCs w:val="20"/>
          <w:lang w:val="pl-PL"/>
        </w:rPr>
        <w:t xml:space="preserve"> energii cieplnej</w:t>
      </w:r>
      <w:r>
        <w:rPr>
          <w:rFonts w:cs="Calibri"/>
          <w:color w:val="000000"/>
          <w:sz w:val="20"/>
          <w:szCs w:val="20"/>
        </w:rPr>
        <w:t xml:space="preserve">, w zakresie wskazanym w Ogłoszeniu.  </w:t>
      </w:r>
    </w:p>
    <w:p w14:paraId="0000000B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Regulamin </w:t>
      </w:r>
      <w:r>
        <w:rPr>
          <w:rFonts w:cs="Calibri"/>
          <w:color w:val="000000"/>
          <w:sz w:val="20"/>
          <w:szCs w:val="20"/>
        </w:rPr>
        <w:t>– niniejszy regulamin prowadzenia Dialogu konkurencyjnego na wybór Wykonawcy do realizacji Przedsięwzięcia;</w:t>
      </w:r>
    </w:p>
    <w:p w14:paraId="0000000C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SWZ</w:t>
      </w:r>
      <w:r>
        <w:rPr>
          <w:rFonts w:cs="Calibri"/>
          <w:color w:val="000000"/>
          <w:sz w:val="20"/>
          <w:szCs w:val="20"/>
        </w:rPr>
        <w:t xml:space="preserve"> – Specyfikacja  Warunków Zamówienia w rozumieniu uPzp;</w:t>
      </w:r>
    </w:p>
    <w:p w14:paraId="0000000D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uPzp</w:t>
      </w:r>
      <w:r>
        <w:rPr>
          <w:rFonts w:cs="Calibri"/>
          <w:color w:val="000000"/>
          <w:sz w:val="20"/>
          <w:szCs w:val="20"/>
        </w:rPr>
        <w:t xml:space="preserve"> – ustawa z dnia 29 stycznia 2004 r. Prawo zamówień publicznych (tj.: Dz. U. z 2019 r., poz. 1843 ze zm.).</w:t>
      </w:r>
    </w:p>
    <w:p w14:paraId="0000000E">
      <w:pPr>
        <w:spacing w:after="0" w:line="276" w:lineRule="auto"/>
        <w:jc w:val="both"/>
        <w:rPr>
          <w:rFonts w:cs="Calibri"/>
          <w:sz w:val="20"/>
          <w:szCs w:val="20"/>
        </w:rPr>
      </w:pPr>
    </w:p>
    <w:p w14:paraId="0000000F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Podstawowe zasady prowadzenia Dialogu konkurencyjnego</w:t>
      </w:r>
    </w:p>
    <w:p w14:paraId="00000010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Regulamin określa zasady prowadzenia przez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Dialogu konkurencyjnego celem wyboru Wykonawcy do realizacji Przedsięwzięcia.</w:t>
      </w:r>
    </w:p>
    <w:p w14:paraId="00000011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Dialog konkurencyjny prowadzony jest przez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 sposób zapewniający zachowanie zasad uczciwej konkurencji i równego traktowania Wykonawców oraz innych zasad </w:t>
      </w:r>
      <w:r>
        <w:rPr>
          <w:sz w:val="20"/>
          <w:szCs w:val="20"/>
        </w:rPr>
        <w:t>prowadzenia</w:t>
      </w:r>
      <w:r>
        <w:rPr>
          <w:rFonts w:cs="Calibri"/>
          <w:color w:val="000000"/>
          <w:sz w:val="20"/>
          <w:szCs w:val="20"/>
        </w:rPr>
        <w:t xml:space="preserve"> postępowania o zamówienie publiczne określonych przepisami Ustawy Pzp.</w:t>
      </w:r>
    </w:p>
    <w:p w14:paraId="00000012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Postępowanie prowadzone jest w formie </w:t>
      </w:r>
      <w:r>
        <w:rPr>
          <w:rFonts w:cs="Calibri"/>
          <w:color w:val="000000"/>
          <w:sz w:val="20"/>
          <w:szCs w:val="20"/>
          <w:lang w:val="pl-PL"/>
        </w:rPr>
        <w:t>elektronicznej</w:t>
      </w:r>
      <w:r>
        <w:rPr>
          <w:rFonts w:cs="Calibri"/>
          <w:color w:val="000000"/>
          <w:sz w:val="20"/>
          <w:szCs w:val="20"/>
        </w:rPr>
        <w:t>, w języku polskim. Tłumaczenie wszelkiej dokumentacji, w tym dokumentacji opracowanej i prz</w:t>
      </w:r>
      <w:r>
        <w:rPr>
          <w:rFonts w:hint="default" w:cs="Calibri"/>
          <w:color w:val="000000"/>
          <w:sz w:val="20"/>
          <w:szCs w:val="20"/>
          <w:lang w:val="pl-PL"/>
        </w:rPr>
        <w:t>e</w:t>
      </w:r>
      <w:r>
        <w:rPr>
          <w:rFonts w:cs="Calibri"/>
          <w:color w:val="000000"/>
          <w:sz w:val="20"/>
          <w:szCs w:val="20"/>
        </w:rPr>
        <w:t xml:space="preserve">kazywanej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 trakcie Dialogu konkurencyjnego, zapewnia Wykonawca we własnym zakresie i na własny koszt</w:t>
      </w:r>
      <w:r>
        <w:rPr>
          <w:rFonts w:hint="default" w:cs="Calibri"/>
          <w:color w:val="000000"/>
          <w:sz w:val="20"/>
          <w:szCs w:val="20"/>
          <w:lang w:val="pl-PL"/>
        </w:rPr>
        <w:t xml:space="preserve"> w formie elektronicznej</w:t>
      </w:r>
      <w:r>
        <w:rPr>
          <w:rFonts w:cs="Calibri"/>
          <w:color w:val="000000"/>
          <w:sz w:val="20"/>
          <w:szCs w:val="20"/>
        </w:rPr>
        <w:t>.</w:t>
      </w:r>
    </w:p>
    <w:p w14:paraId="00000013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 trakcie trwania Dialogu konkurencyjnego niedopuszczalne są zmiany podmiotowe po stronie Wykonawcy. Powyższy zakaz obejmuje również zmiany podmiotowe w obrębie konsorcjum biorącego udział w Dialogu konkurencyjnym po stronie Wykonawcy.</w:t>
      </w:r>
    </w:p>
    <w:p w14:paraId="00000014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Wykonawca ponosi wszelkie koszty uczestnictwa w Dialogu konkurencyjnym.</w:t>
      </w:r>
    </w:p>
    <w:p w14:paraId="00000015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nie przewiduje nagród dla Wykonawców za udział w Dialogu konkurencyjnym.</w:t>
      </w:r>
    </w:p>
    <w:p w14:paraId="00000016">
      <w:pPr>
        <w:spacing w:after="0" w:line="276" w:lineRule="auto"/>
        <w:jc w:val="both"/>
        <w:rPr>
          <w:rFonts w:cs="Calibri"/>
          <w:color w:val="000000"/>
          <w:sz w:val="20"/>
          <w:szCs w:val="20"/>
        </w:rPr>
      </w:pPr>
    </w:p>
    <w:p w14:paraId="00000017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Poufność</w:t>
      </w:r>
    </w:p>
    <w:p w14:paraId="00000018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 trakcie Dialogu konkurencyjnego Wykonawcy przedstawiają propozycje i rozwiązania poszczególnych aspektów Przedsięwzięcia, które mogą mieć charakter informacji stanowiących tajemnicę przedsiębiorstwa.</w:t>
      </w:r>
    </w:p>
    <w:p w14:paraId="00000019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Zgodnie z art. 60 d ust. 7 Ustawy Pzp prowadzony Dialog konkurencyjny będzie miał charakter poufny i żadna ze stron postępowania nie będzie mogła bez zgody drugiej strony ujawnić informacji stanowiących tajemnicę przedsiębiorstwa. Zastrzeżenie to obejmuje w szczególności wszelkie materiały i dokumenty przekazywane </w:t>
      </w:r>
      <w:r>
        <w:rPr>
          <w:rFonts w:hint="default" w:cs="Calibri"/>
          <w:color w:val="000000"/>
          <w:sz w:val="20"/>
          <w:szCs w:val="20"/>
          <w:lang w:val="pl-PL"/>
        </w:rPr>
        <w:t>do PEC Łęczyca</w:t>
      </w:r>
      <w:r>
        <w:rPr>
          <w:rFonts w:cs="Calibri"/>
          <w:color w:val="000000"/>
          <w:sz w:val="20"/>
          <w:szCs w:val="20"/>
        </w:rPr>
        <w:t xml:space="preserve">  przez Wykonawców, zawierające takie informacje.</w:t>
      </w:r>
    </w:p>
    <w:p w14:paraId="0000001A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Wykonawca nie później niż w momencie przekazywania w trakcie Dialogu konkurencyjnego informacji i dokumentów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, powinien zastrzec i wykazać, iż stanowią one tajemnicę jego przedsiębiorstwa. </w:t>
      </w:r>
    </w:p>
    <w:p w14:paraId="0000001B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Ujawnienie przez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informacji, o których mowa w punkcie 3.3 Regulaminu innym Wykonawcom w trakcie prowadzonego Dialogu konkurencyjnego, będzie możliwe wyłącznie w przypadku, gdy Wykonawca wyrazi na to zgodę w formie pisemnej. Zgoda taka nie może być domniemywana. Wyrażenie zgody na udostępnienie danych informacji będzie równoznaczne z ich przekazaniem wszystkim Wykonawcom zaproszonym do wzięcia udziału w Dialogu konkurencyjnym.</w:t>
      </w:r>
    </w:p>
    <w:p w14:paraId="0000001C">
      <w:p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</w:p>
    <w:p w14:paraId="0000001D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Komunikacja stron w trakcie Dialogu konkurencyjnego</w:t>
      </w:r>
    </w:p>
    <w:p w14:paraId="0000001E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Wykonawcy mogą komunikować się z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wyłącznie w ramach Dialogu konkurencyjnego. W trakcie trwania Dialogu konkurencyjnego Wykonawcy zobowiązani są do powstrzymania się od jakiejkolwiek komunikacji pomiędzy sobą dotyczącej Przedsięwzięcia.</w:t>
      </w:r>
    </w:p>
    <w:p w14:paraId="0000001F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Z zastrzeżeniem punktu 4.5 oraz 4.7 Regulaminu, do momentu otrzymania informacji o zakończeniu Dialogu konkurencyjnego Wykonawca może przekazywać Zamawiającemu oświadczenia, uwagi, wnioski, zapytania, zawiadomienia, informacje oraz komentarze, w tym proponowane rozwiązania dotyczące planowanej inwestycji oraz Umowy i Opisu potrzeb i wymagań zamawiającego, komentarze do postanowień tej umowy oraz propozycji technicznych Zamawiającego, jak również komentarze do zagadnień zdefiniowanych w zaproszeniu, o którym mowa w punkcie 5.2 Regulaminu </w:t>
      </w:r>
      <w:r>
        <w:rPr>
          <w:rFonts w:cs="Calibri"/>
          <w:b/>
          <w:color w:val="000000"/>
          <w:sz w:val="20"/>
          <w:szCs w:val="20"/>
        </w:rPr>
        <w:t>(„Materiały do Dialogu Konkurencyjnego”)</w:t>
      </w:r>
      <w:r>
        <w:rPr>
          <w:rFonts w:cs="Calibri"/>
          <w:color w:val="000000"/>
          <w:sz w:val="20"/>
          <w:szCs w:val="20"/>
        </w:rPr>
        <w:t xml:space="preserve">. Komentarze do projektu Umowy i Opisu potrzeb i wymagań Zamawiającego  powinny zostać przedstawione w formie propozycji konkretnych zapisów do Umowy bądź Opisu potrzeb i wymagań Zamawiającego wraz ze szczegółowym uzasadnieniem proponowanej zmiany.  Zmiany zgłaszane w inny sposób mogą nie zostać wzięte pod uwagę przez Zamawiającego. Dotyczy to szczególnie uwag "do dalszej dyskusji", "niniejszy punkt wymaga zmian"; "konieczne doprecyzowanie" itp. </w:t>
      </w:r>
    </w:p>
    <w:p w14:paraId="00000020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Materiały do Dialogu konkurencyjnego powinny być przekazywane drogą elektroniczną. Na prośbę stron, dokumenty mogą być przekazywane w wersji edytowalnej. Przedkładane przez Wykonawców dokumenty oraz materiały powinny zawierać ponumerowane strony oraz firmę Wykonawcy wskazaną na każdej stronie dokumentu/materiału.</w:t>
      </w:r>
    </w:p>
    <w:p w14:paraId="00000021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może zobowiązać Wykonawców do dostarczenia wskazanych przez siebie dokumentów oraz materiałów, wyznaczając termin do ich przekazania. </w:t>
      </w:r>
    </w:p>
    <w:p w14:paraId="00000022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Wykonawcy porozumiewając się z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powinni powoływać się na numer postępowania, tj. </w:t>
      </w:r>
      <w:r>
        <w:rPr>
          <w:rFonts w:hint="default" w:cs="Calibri"/>
          <w:color w:val="000000"/>
          <w:sz w:val="20"/>
          <w:szCs w:val="20"/>
          <w:lang w:val="pl-PL"/>
        </w:rPr>
        <w:t>1/DK/2024</w:t>
      </w:r>
      <w:r>
        <w:rPr>
          <w:rFonts w:cs="Calibri"/>
          <w:color w:val="000000"/>
          <w:sz w:val="20"/>
          <w:szCs w:val="20"/>
        </w:rPr>
        <w:t>.</w:t>
      </w:r>
    </w:p>
    <w:p w14:paraId="00000023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może wyznaczyć Wykonawcom wiążący termin składania Materiałów do Dialogu konkurencyjnego. Wyznaczenie tego terminu nie może prowadzić do naruszenia zasady uczciwej konkurencji i równego traktowania Wykonawców.</w:t>
      </w:r>
    </w:p>
    <w:p w14:paraId="00000024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Decyzja, czy ustosunkować się do przedstawionych przez Wykonawców Materiałów do Dialogu konkurencyjnego poza turą Dialogu konkurencyjnego, czy też w jej trakcie (tj. w trakcie spotkania z Wykonawcą) jest pozostawiona wyłącznie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>.</w:t>
      </w:r>
    </w:p>
    <w:p w14:paraId="00000025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 przypadku składania Materiałów do Dialogu konkurencyjnego drogą elektroniczną uznaje się, że zostały one skutecznie doręczone w chwili zakończenia transmisji wysyłającego.</w:t>
      </w:r>
    </w:p>
    <w:p w14:paraId="2E6C6FE3">
      <w:pPr>
        <w:numPr>
          <w:ilvl w:val="1"/>
          <w:numId w:val="1"/>
        </w:numPr>
        <w:pBdr>
          <w:bottom w:val="single" w:color="000000" w:sz="12" w:space="5"/>
        </w:pBdr>
        <w:spacing w:before="100" w:after="0" w:line="276" w:lineRule="auto"/>
        <w:ind w:left="851" w:hanging="491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Wszelka korespondencja powinna być kierowana na adres e-mail: </w:t>
      </w:r>
      <w:r>
        <w:fldChar w:fldCharType="begin"/>
      </w:r>
      <w:r>
        <w:instrText xml:space="preserve"> HYPERLINK "mailto:malgorzata.stupakowska@um.sopot.pl" </w:instrText>
      </w:r>
      <w:r>
        <w:fldChar w:fldCharType="separate"/>
      </w:r>
      <w:r>
        <w:rPr>
          <w:rStyle w:val="21"/>
          <w:rFonts w:hint="default" w:cs="Calibri"/>
          <w:sz w:val="20"/>
          <w:szCs w:val="20"/>
          <w:u w:val="none"/>
          <w:lang w:val="pl-PL"/>
        </w:rPr>
        <w:t>pecleczyca@pecleczyca</w:t>
      </w:r>
      <w:r>
        <w:rPr>
          <w:rStyle w:val="21"/>
          <w:rFonts w:cs="Calibri"/>
          <w:sz w:val="20"/>
          <w:szCs w:val="20"/>
          <w:u w:val="none"/>
        </w:rPr>
        <w:t>.pl</w:t>
      </w:r>
      <w:r>
        <w:rPr>
          <w:rStyle w:val="21"/>
          <w:rFonts w:cs="Calibri"/>
          <w:sz w:val="20"/>
          <w:szCs w:val="20"/>
          <w:u w:val="none"/>
        </w:rPr>
        <w:fldChar w:fldCharType="end"/>
      </w:r>
      <w:r>
        <w:rPr>
          <w:rFonts w:cs="Calibri"/>
          <w:color w:val="000000"/>
          <w:sz w:val="20"/>
          <w:szCs w:val="20"/>
        </w:rPr>
        <w:t>.</w:t>
      </w:r>
    </w:p>
    <w:p w14:paraId="3E973822"/>
    <w:p w14:paraId="0000002A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Przebieg Dialogu konkurencyjnego</w:t>
      </w:r>
    </w:p>
    <w:p w14:paraId="0000002B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Dialog konkurencyjny prowadzony będzie turami, na podstawie tożsamej dla wszystkich agendy danej tury Dialogu konkurencyjnego (</w:t>
      </w:r>
      <w:r>
        <w:rPr>
          <w:rFonts w:cs="Calibri"/>
          <w:b/>
          <w:color w:val="000000"/>
          <w:sz w:val="20"/>
          <w:szCs w:val="20"/>
        </w:rPr>
        <w:t>„Agenda”</w:t>
      </w:r>
      <w:r>
        <w:rPr>
          <w:rFonts w:cs="Calibri"/>
          <w:color w:val="000000"/>
          <w:sz w:val="20"/>
          <w:szCs w:val="20"/>
        </w:rPr>
        <w:t>).</w:t>
      </w:r>
    </w:p>
    <w:p w14:paraId="0000002C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prześle Wykonawcom informację o turze Dialogu konkurencyjnego wraz z  Agendą nie później niż 5 dni przed planowanym jej przeprowadzeniem. O ile będzie to konieczne,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do zaproszenia dołączy dokumenty, informacje oraz inne dane, które uzna za niezbędne do danego etapu Dialogu konkurencyjnego.</w:t>
      </w:r>
    </w:p>
    <w:p w14:paraId="0000002D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Przekazana przez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Agenda ma charakter wyłącznie informacyjny i porządkowy, co oznacza, iż strony mają możliwość zgłaszania dodatkowych kwestii wymagających dyskusji, przekazania dokumentów, informacji lub innych danych, także w trakcie trwania spotkania.</w:t>
      </w:r>
    </w:p>
    <w:p w14:paraId="0000002E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przekaże wszystkim Wykonawcom materiały zawierające w szczególności harmonogram Dialogu konkurencyjnego. Harmonogram Dialogu konkurencyjnego może zostać zmieniony przez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>.</w:t>
      </w:r>
    </w:p>
    <w:p w14:paraId="0000002F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Dialog konkurencyjny będzie prowadzony z każdym z Wykonawców osobno, na takich samych zasadach i na podstawie takiej samej Agendy, z zastrzeżeniem punktu 5.3 Regulaminu. Dodatkowo, jedna albo więcej tur Dialogu konkurencyjnego może zostać przeprowadzona łącznie dla wszystkich Wykonawców, a decyzja w tym zakresie jest pozostawiona wyłącznie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. W przypadku gdy jeden z Wykonawców zaproponuje dodatkowe spotkanie np. warsztat poświęcony szczegółowemu omówieniu uwag do poszczególnych dokumentów przedstawionych przez tego Wykonawcę wówczas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uprawniony będzie do zaakceptowania udziału w takim dodatkowym spotkaniu w miejscu i terminie zaproponowanym przez Wykonawcę pod warunkiem, iż takie samo spotkanie zostanie zaproponowane pozostałym Wykonawcom na analogicznych zasadach. Jeżeli pozostali Wykonawcy nie skorzystają z takiej możliwości, wówczas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 uprawniony będzie do udziału w spotkaniu wyłącznie z Wykonawcą, który je zaproponował</w:t>
      </w:r>
      <w:r>
        <w:rPr>
          <w:sz w:val="20"/>
          <w:szCs w:val="20"/>
        </w:rPr>
        <w:t>.</w:t>
      </w:r>
    </w:p>
    <w:p w14:paraId="00000030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samodzielnie ustali kolejność spotkań z Wykonawcami w ramach danej tury Dialogu konkurencyjnego.</w:t>
      </w:r>
    </w:p>
    <w:p w14:paraId="00000031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zastrzega sobie prawo wskazania maksymalnej liczby osób, które będą mogły wziąć udział w spotkaniu po stronie Wykonawcy. Ponadto, w spotkaniu mogą wziąć udział wyłącznie osoby zgłoszone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 wyznaczonym przez ten podmiot terminie ("</w:t>
      </w:r>
      <w:r>
        <w:rPr>
          <w:rFonts w:cs="Calibri"/>
          <w:b/>
          <w:color w:val="000000"/>
          <w:sz w:val="20"/>
          <w:szCs w:val="20"/>
        </w:rPr>
        <w:t>Uczestnicy spotkania</w:t>
      </w:r>
      <w:r>
        <w:rPr>
          <w:rFonts w:cs="Calibri"/>
          <w:color w:val="000000"/>
          <w:sz w:val="20"/>
          <w:szCs w:val="20"/>
        </w:rPr>
        <w:t xml:space="preserve">"), chyba że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wyrazi zgodę na udział innych osób obok lub w zamian za Uczestników spotkania.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wyrazi zgodę na zastępstwo Uczestnika Spotkania przez podmiot legitymujący się odpowiednim pełnomocnictwem, okazanym najpóźniej w dniu spotkania. </w:t>
      </w:r>
    </w:p>
    <w:p w14:paraId="6724FFE0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Spotkania w ramach poszczególnych tur Dialogu konkurencyjnego będą prowadzone w siedzibie Zamawiającego lub w innym miejscu wyznaczonym przez Zamawiającego. </w:t>
      </w:r>
    </w:p>
    <w:p w14:paraId="182B9722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Zamawiający </w:t>
      </w:r>
      <w:r>
        <w:rPr>
          <w:rFonts w:hint="default" w:cs="Calibri"/>
          <w:b/>
          <w:bCs/>
          <w:color w:val="000000"/>
          <w:sz w:val="20"/>
          <w:szCs w:val="20"/>
          <w:lang w:val="pl-PL"/>
        </w:rPr>
        <w:t xml:space="preserve">nie </w:t>
      </w:r>
      <w:r>
        <w:rPr>
          <w:rFonts w:cs="Calibri"/>
          <w:b/>
          <w:bCs/>
          <w:color w:val="000000"/>
          <w:sz w:val="20"/>
          <w:szCs w:val="20"/>
        </w:rPr>
        <w:t>dopuszcza możliwoś</w:t>
      </w:r>
      <w:r>
        <w:rPr>
          <w:rFonts w:hint="default" w:cs="Calibri"/>
          <w:b/>
          <w:bCs/>
          <w:color w:val="000000"/>
          <w:sz w:val="20"/>
          <w:szCs w:val="20"/>
          <w:lang w:val="pl-PL"/>
        </w:rPr>
        <w:t>ci</w:t>
      </w:r>
      <w:r>
        <w:rPr>
          <w:rFonts w:cs="Calibri"/>
          <w:b/>
          <w:bCs/>
          <w:color w:val="000000"/>
          <w:sz w:val="20"/>
          <w:szCs w:val="20"/>
        </w:rPr>
        <w:t xml:space="preserve"> prowadzenia dialogu w formie telekonferencji.</w:t>
      </w:r>
      <w:r>
        <w:rPr>
          <w:rFonts w:cs="Calibri"/>
          <w:color w:val="000000"/>
          <w:sz w:val="20"/>
          <w:szCs w:val="20"/>
        </w:rPr>
        <w:t xml:space="preserve"> </w:t>
      </w:r>
    </w:p>
    <w:p w14:paraId="00000033">
      <w:pPr>
        <w:numPr>
          <w:ilvl w:val="1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 przypadku nie pojawienia się Wykona</w:t>
      </w:r>
      <w:bookmarkStart w:id="2" w:name="_GoBack"/>
      <w:bookmarkEnd w:id="2"/>
      <w:r>
        <w:rPr>
          <w:rFonts w:cs="Calibri"/>
          <w:color w:val="000000"/>
          <w:sz w:val="20"/>
          <w:szCs w:val="20"/>
        </w:rPr>
        <w:t xml:space="preserve">wcy w miejscu i terminie wskazanym w zaproszeniu do udziału w danej turze Dialogu konkurencyjnego,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uzna, że Wykonawca nie wziął w niej udziału i nie wyznaczy kolejnego terminu spotkania w ramach tej tury negocjacyjnej. </w:t>
      </w:r>
    </w:p>
    <w:p w14:paraId="00000034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przewiduje, że każda tura Dialogu konkurencyjnego będzie trwała nie dłużej niż jeden dzień. Jednakże z przyczyn organizacyjnych dana tura może trwać dłużej, a decyzja w tym zakresie jest pozostawiona wyłącznie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. </w:t>
      </w:r>
    </w:p>
    <w:p w14:paraId="00000035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 trakcie prowadzonego Dialogu konkurencyjnego strony mogą poruszać wszystkie aspekty dotyczące Przedsięwzięcia, z zastrzeżeniem punktów 4.1 - 4.7 Regulaminu.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nie będzie udzielać informacji Wykonawcom w sposób dyskryminacyjny, który pozwalałby poszczególnym Wykonawcom uzyskać przewagę konkurencyjną nad pozostałymi.</w:t>
      </w:r>
    </w:p>
    <w:p w14:paraId="00000036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przewiduje stopniowe ograniczani</w:t>
      </w:r>
      <w:r>
        <w:rPr>
          <w:rFonts w:hint="default" w:cs="Calibri"/>
          <w:color w:val="000000"/>
          <w:sz w:val="20"/>
          <w:szCs w:val="20"/>
          <w:lang w:val="pl-PL"/>
        </w:rPr>
        <w:t>e</w:t>
      </w:r>
      <w:r>
        <w:rPr>
          <w:rFonts w:cs="Calibri"/>
          <w:color w:val="000000"/>
          <w:sz w:val="20"/>
          <w:szCs w:val="20"/>
        </w:rPr>
        <w:t xml:space="preserve"> liczby Wykonawców w trakcie procedury Dialogu konkurencyjnego. Oznacza to, że każdy Wykonawca, który został zaproszony do udziału w Dialogu konkurencyjnym, </w:t>
      </w:r>
      <w:r>
        <w:rPr>
          <w:rFonts w:hint="default" w:cs="Calibri"/>
          <w:color w:val="000000"/>
          <w:sz w:val="20"/>
          <w:szCs w:val="20"/>
          <w:lang w:val="pl-PL"/>
        </w:rPr>
        <w:t xml:space="preserve">może nie </w:t>
      </w:r>
      <w:r>
        <w:rPr>
          <w:rFonts w:cs="Calibri"/>
          <w:color w:val="000000"/>
          <w:sz w:val="20"/>
          <w:szCs w:val="20"/>
        </w:rPr>
        <w:t>zosta</w:t>
      </w:r>
      <w:r>
        <w:rPr>
          <w:rFonts w:cs="Calibri"/>
          <w:color w:val="000000"/>
          <w:sz w:val="20"/>
          <w:szCs w:val="20"/>
          <w:lang w:val="pl-PL"/>
        </w:rPr>
        <w:t>ć</w:t>
      </w:r>
      <w:r>
        <w:rPr>
          <w:rFonts w:cs="Calibri"/>
          <w:color w:val="000000"/>
          <w:sz w:val="20"/>
          <w:szCs w:val="20"/>
        </w:rPr>
        <w:t xml:space="preserve"> zaproszony do złożenia oferty. </w:t>
      </w:r>
    </w:p>
    <w:p w14:paraId="00000037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będzie prowadzić Dialog konkurencyjny do momentu, w którym będzie mógł określić rozwiązanie lub rozwiązania najbardziej odpowiadające jego potrzebom. </w:t>
      </w:r>
    </w:p>
    <w:p w14:paraId="00000038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poinformuje Wykonawców na piśmie o zakończeniu Dialogu konkurencyjnego. Wraz z informacją o jego zakończeniu ustaje możliwość prowadzenia negocjacji pomiędzy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>, a Wykonawcami.</w:t>
      </w:r>
    </w:p>
    <w:p w14:paraId="00000039">
      <w:pPr>
        <w:spacing w:before="100" w:after="0" w:line="276" w:lineRule="auto"/>
        <w:ind w:left="851"/>
        <w:jc w:val="both"/>
        <w:rPr>
          <w:rFonts w:cs="Calibri"/>
          <w:color w:val="000000"/>
          <w:sz w:val="20"/>
          <w:szCs w:val="20"/>
        </w:rPr>
      </w:pPr>
    </w:p>
    <w:p w14:paraId="0000003A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Dokumentowanie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przebiegu Dialogu konkurencyjnego</w:t>
      </w:r>
    </w:p>
    <w:p w14:paraId="0000003B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będzie na bieżąco sporządzać protokół z każdego ze spotkań z danym Wykonawcą. </w:t>
      </w:r>
    </w:p>
    <w:p w14:paraId="0000003C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może utrwalać przebieg spotkań na nośniku audio za uprzednim poinformowaniem o tym fakcie Wykonawców.</w:t>
      </w:r>
    </w:p>
    <w:p w14:paraId="0000003D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Protokół po zakończeniu danej tury Dialogu konkurencyjnego będzie niezwłocznie przekazywany Wykonawcy do akceptacji. W terminie </w:t>
      </w:r>
      <w:r>
        <w:rPr>
          <w:sz w:val="20"/>
          <w:szCs w:val="20"/>
        </w:rPr>
        <w:t>3</w:t>
      </w:r>
      <w:r>
        <w:rPr>
          <w:rFonts w:cs="Calibri"/>
          <w:color w:val="000000"/>
          <w:sz w:val="20"/>
          <w:szCs w:val="20"/>
        </w:rPr>
        <w:t xml:space="preserve"> dni od otrzymania protokołu od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, Wykonawca będzie miał prawo zgłoszenia uwag do protokołu, które mogą zostać uwzględnione przez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. W przypadku braku porozumienia stron w powyższym zakresie, zostanie sporządzony protokół rozbieżności. W przypadku, gdy Wykonawca nie podpisze protokołu w powyższym </w:t>
      </w:r>
      <w:r>
        <w:rPr>
          <w:sz w:val="20"/>
          <w:szCs w:val="20"/>
        </w:rPr>
        <w:t>3</w:t>
      </w:r>
      <w:r>
        <w:rPr>
          <w:rFonts w:cs="Calibri"/>
          <w:color w:val="000000"/>
          <w:sz w:val="20"/>
          <w:szCs w:val="20"/>
        </w:rPr>
        <w:t xml:space="preserve"> dniowym terminie ani nie wniesie do niego uwag,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uzna, iż Wykonawca nie wniósł zastrzeżeń do treści protokołu.</w:t>
      </w:r>
    </w:p>
    <w:p w14:paraId="0000003E">
      <w:pPr>
        <w:spacing w:after="0" w:line="276" w:lineRule="auto"/>
        <w:jc w:val="both"/>
        <w:rPr>
          <w:rFonts w:cs="Calibri"/>
          <w:color w:val="000000"/>
          <w:sz w:val="20"/>
          <w:szCs w:val="20"/>
        </w:rPr>
      </w:pPr>
    </w:p>
    <w:p w14:paraId="0000003F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Zaproszenie do składania ofert</w:t>
      </w:r>
    </w:p>
    <w:p w14:paraId="00000040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Zgodnie z art. 60e ust. 3 Ustawy Pzp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przekaże Wykonawcom zaproszenie do składania ofert wraz z </w:t>
      </w:r>
      <w:r>
        <w:rPr>
          <w:rFonts w:hint="default" w:cs="Calibri"/>
          <w:color w:val="000000"/>
          <w:sz w:val="20"/>
          <w:szCs w:val="20"/>
          <w:lang w:val="pl-PL"/>
        </w:rPr>
        <w:t>SWZ</w:t>
      </w:r>
      <w:r>
        <w:rPr>
          <w:rFonts w:cs="Calibri"/>
          <w:color w:val="000000"/>
          <w:sz w:val="20"/>
          <w:szCs w:val="20"/>
        </w:rPr>
        <w:t>, zawierając</w:t>
      </w:r>
      <w:r>
        <w:rPr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 kryteria oceny ofert wraz z podaniem wagi przypisanej każdemu z tych kryteriów oraz sposobem oceny ofert. </w:t>
      </w:r>
    </w:p>
    <w:p w14:paraId="00000041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 zaproszeniu do składania ofert wyznaczy termin na ich złożenie z uwzględnieniem czasu niezbędnego do ich przygotowania i złożenia. </w:t>
      </w:r>
    </w:p>
    <w:p w14:paraId="00000042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Wykonawcy zgodnie z uPzp mają możliwość zwrócenia się do Zamawiającego z wnioskiem o wyjaśnienie treści </w:t>
      </w:r>
      <w:r>
        <w:rPr>
          <w:rFonts w:hint="default" w:cs="Calibri"/>
          <w:color w:val="000000"/>
          <w:sz w:val="20"/>
          <w:szCs w:val="20"/>
          <w:lang w:val="pl-PL"/>
        </w:rPr>
        <w:t>SWZ</w:t>
      </w:r>
      <w:r>
        <w:rPr>
          <w:rFonts w:cs="Calibri"/>
          <w:color w:val="000000"/>
          <w:sz w:val="20"/>
          <w:szCs w:val="20"/>
        </w:rPr>
        <w:t xml:space="preserve">.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przekazuje wyjaśnienia niezwłocznie, jednak nie później niż na 6 dni przed upływem terminu składania ofert, jeśli wniosek wpłynie do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nie później niż do końca dnia, w którym upływa połowa wyznaczonego terminu składania ofert. Jeśli wniosek wpłynie po upływie tego terminu,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może udzielić wyjaśnień. Treść wniosku oraz wyjaśnienia są udostępniane wszystkim Wykonawcom, jednak bez ujawniania źródła pochodzenia wniosku.</w:t>
      </w:r>
    </w:p>
    <w:p w14:paraId="00000043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Zgodnie z art. 38 ust. 4 uPzp w uzasadnionych przypadkach i przed upływem terminu składania ofert,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zastrzega możliwość zmiany treści siwz, w tym zmiany wzoru umowy. Dokonaną zmianę siwz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przekazuje niezwłocznie wszystkim Wykonawcom, zaproszonym do składania ofert. W uzasadnionym przypadku, 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przedłuży  termin złożenia ofert.</w:t>
      </w:r>
    </w:p>
    <w:p w14:paraId="00000044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Po złożeniu ofert przez Wykonawców dopuszczalne jest jedynie ich wyjaśnianie, precyzowanie i uzupełnianie. Nie może to pociągać za sobą zmiany podstawowych właściwości oferty ani zaproszenia do składania ofert. Na żądanie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>, Wykonawca wyłoniony jako ten, który złożył ofertę najkorzystniejszą, może zostać poproszony o udzielenie wyjaśnień dotyczących oferty lub o potwierdzenie zobowiązań sformułowanych w ofercie, o ile działanie takie nie spowoduje modyfikacji zasadniczych aspektów oferty lub zaproszenia do składania ofert.</w:t>
      </w:r>
    </w:p>
    <w:p w14:paraId="00000045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Złożone oferty oceniane są na podstawie kryteriów określonych w Ogłoszeniu, których wagi oraz sposób punktacji zostaną podane w swz.</w:t>
      </w:r>
    </w:p>
    <w:p w14:paraId="00000046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poinformuje wszystkich Wykonawców o wynikach oceny ofert zgodnie z zapisami uPzp.</w:t>
      </w:r>
    </w:p>
    <w:p w14:paraId="00000047">
      <w:pPr>
        <w:spacing w:before="100" w:after="0" w:line="276" w:lineRule="auto"/>
        <w:ind w:left="851"/>
        <w:jc w:val="both"/>
        <w:rPr>
          <w:rFonts w:cs="Calibri"/>
          <w:color w:val="000000"/>
          <w:sz w:val="20"/>
          <w:szCs w:val="20"/>
        </w:rPr>
      </w:pPr>
    </w:p>
    <w:p w14:paraId="00000048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Komisja Przetargowa</w:t>
      </w:r>
    </w:p>
    <w:p w14:paraId="00000049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 przygotowanie i przeprowadzenie Dialogu konkurencyjnego odpowiada komisja przetargowa powołana przez Kierownika Zamawiającego.</w:t>
      </w:r>
    </w:p>
    <w:p w14:paraId="0000004A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Komisja przetargowa może działać przy wsparciu biegłych i doradców.</w:t>
      </w:r>
    </w:p>
    <w:p w14:paraId="0000004B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Komisja przetargowa zobowiązana jest do zapewnienia bieżącego dokumentowania przebiegu Dialogu konkurencyjnego, a także jego udostępniania wszystkim zainteresowanym podmiotom, z zastrzeżeniem informacji stanowiących tajemnicę przedsiębiorstwa. </w:t>
      </w:r>
    </w:p>
    <w:p w14:paraId="0000004C">
      <w:pPr>
        <w:numPr>
          <w:ilvl w:val="1"/>
          <w:numId w:val="1"/>
        </w:numPr>
        <w:spacing w:before="100" w:after="0" w:line="276" w:lineRule="auto"/>
        <w:ind w:left="851" w:hanging="491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Protokół przechowywany jest w siedzibie </w:t>
      </w:r>
      <w:r>
        <w:rPr>
          <w:rFonts w:hint="default" w:cs="Calibri"/>
          <w:color w:val="000000"/>
          <w:sz w:val="20"/>
          <w:szCs w:val="20"/>
          <w:lang w:val="pl-PL"/>
        </w:rPr>
        <w:t>PEC Łęczyca</w:t>
      </w:r>
      <w:r>
        <w:rPr>
          <w:rFonts w:cs="Calibri"/>
          <w:color w:val="000000"/>
          <w:sz w:val="20"/>
          <w:szCs w:val="20"/>
        </w:rPr>
        <w:t xml:space="preserve"> w sposób gwarantujący jego nienaruszalność</w:t>
      </w:r>
      <w:r>
        <w:rPr>
          <w:rFonts w:cs="Calibri"/>
          <w:sz w:val="20"/>
          <w:szCs w:val="20"/>
        </w:rPr>
        <w:t xml:space="preserve">. </w:t>
      </w:r>
    </w:p>
    <w:p w14:paraId="0000004D">
      <w:pPr>
        <w:spacing w:before="100" w:after="0" w:line="276" w:lineRule="auto"/>
        <w:ind w:left="851"/>
        <w:jc w:val="both"/>
        <w:rPr>
          <w:rFonts w:cs="Calibri"/>
          <w:sz w:val="20"/>
          <w:szCs w:val="20"/>
        </w:rPr>
      </w:pPr>
    </w:p>
    <w:p w14:paraId="0000004E">
      <w:pPr>
        <w:numPr>
          <w:ilvl w:val="0"/>
          <w:numId w:val="1"/>
        </w:numPr>
        <w:spacing w:before="100" w:after="0" w:line="276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Harmonogram Dialogu konkurencyjnego</w:t>
      </w:r>
    </w:p>
    <w:p w14:paraId="0000004F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after="0" w:line="276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Zakłada się, że Dialog konkurencyjny odbędzie się zgodnie z następującym harmonogramem:</w:t>
      </w:r>
    </w:p>
    <w:p w14:paraId="00000050">
      <w:pPr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hanging="64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przygotowanie i przeprowadzenie dialogu z potencjalnymi Wykonawcami – </w:t>
      </w:r>
      <w:r>
        <w:rPr>
          <w:rFonts w:hint="default" w:cs="Calibri"/>
          <w:color w:val="000000"/>
          <w:sz w:val="20"/>
          <w:szCs w:val="20"/>
          <w:lang w:val="pl-PL"/>
        </w:rPr>
        <w:t>listopad 2024</w:t>
      </w:r>
      <w:r>
        <w:rPr>
          <w:rFonts w:cs="Calibri"/>
          <w:color w:val="000000"/>
          <w:sz w:val="20"/>
          <w:szCs w:val="20"/>
        </w:rPr>
        <w:t xml:space="preserve"> roku – </w:t>
      </w:r>
      <w:r>
        <w:rPr>
          <w:rFonts w:hint="default"/>
          <w:sz w:val="20"/>
          <w:szCs w:val="20"/>
          <w:lang w:val="pl-PL"/>
        </w:rPr>
        <w:t>grudzień 2024</w:t>
      </w:r>
      <w:r>
        <w:rPr>
          <w:rFonts w:cs="Calibri"/>
          <w:color w:val="000000"/>
          <w:sz w:val="20"/>
          <w:szCs w:val="20"/>
        </w:rPr>
        <w:t xml:space="preserve"> roku;</w:t>
      </w:r>
    </w:p>
    <w:p w14:paraId="00000051">
      <w:pPr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hanging="64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opracowanie </w:t>
      </w:r>
      <w:r>
        <w:rPr>
          <w:sz w:val="20"/>
          <w:szCs w:val="20"/>
        </w:rPr>
        <w:t>SWZ</w:t>
      </w:r>
      <w:r>
        <w:rPr>
          <w:rFonts w:cs="Calibri"/>
          <w:color w:val="000000"/>
          <w:sz w:val="20"/>
          <w:szCs w:val="20"/>
        </w:rPr>
        <w:t xml:space="preserve"> wraz z opisem przedmiotu zamówienia, wzoru umowy oraz zaproszenie Wykonawców do składania ofert – </w:t>
      </w:r>
      <w:r>
        <w:rPr>
          <w:sz w:val="20"/>
          <w:szCs w:val="20"/>
        </w:rPr>
        <w:t xml:space="preserve">7 – 17 </w:t>
      </w:r>
      <w:r>
        <w:rPr>
          <w:rFonts w:hint="default"/>
          <w:sz w:val="20"/>
          <w:szCs w:val="20"/>
          <w:lang w:val="pl-PL"/>
        </w:rPr>
        <w:t>styczeń</w:t>
      </w:r>
      <w:r>
        <w:rPr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202</w:t>
      </w:r>
      <w:r>
        <w:rPr>
          <w:rFonts w:hint="default" w:cs="Calibri"/>
          <w:color w:val="000000"/>
          <w:sz w:val="20"/>
          <w:szCs w:val="20"/>
          <w:lang w:val="pl-PL"/>
        </w:rPr>
        <w:t>5</w:t>
      </w:r>
      <w:r>
        <w:rPr>
          <w:rFonts w:cs="Calibri"/>
          <w:color w:val="000000"/>
          <w:sz w:val="20"/>
          <w:szCs w:val="20"/>
        </w:rPr>
        <w:t xml:space="preserve"> roku;</w:t>
      </w:r>
    </w:p>
    <w:p w14:paraId="00000052">
      <w:pPr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hanging="64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termin składania ofert, otwarcie ofert –</w:t>
      </w:r>
      <w:r>
        <w:rPr>
          <w:sz w:val="20"/>
          <w:szCs w:val="20"/>
        </w:rPr>
        <w:t xml:space="preserve"> 17 </w:t>
      </w:r>
      <w:r>
        <w:rPr>
          <w:rFonts w:hint="default"/>
          <w:sz w:val="20"/>
          <w:szCs w:val="20"/>
          <w:lang w:val="pl-PL"/>
        </w:rPr>
        <w:t>marca</w:t>
      </w:r>
      <w:r>
        <w:rPr>
          <w:rFonts w:cs="Calibri"/>
          <w:color w:val="000000"/>
          <w:sz w:val="20"/>
          <w:szCs w:val="20"/>
        </w:rPr>
        <w:t xml:space="preserve"> 202</w:t>
      </w:r>
      <w:r>
        <w:rPr>
          <w:rFonts w:hint="default" w:cs="Calibri"/>
          <w:color w:val="000000"/>
          <w:sz w:val="20"/>
          <w:szCs w:val="20"/>
          <w:lang w:val="pl-PL"/>
        </w:rPr>
        <w:t>5</w:t>
      </w:r>
      <w:r>
        <w:rPr>
          <w:rFonts w:cs="Calibri"/>
          <w:color w:val="000000"/>
          <w:sz w:val="20"/>
          <w:szCs w:val="20"/>
        </w:rPr>
        <w:t xml:space="preserve"> roku;</w:t>
      </w:r>
    </w:p>
    <w:p w14:paraId="00000053">
      <w:pPr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hanging="64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ocena ofert i zawiadomienie wszystkich Wykonawców o wyborze najkorzystniejszej oferty –  </w:t>
      </w:r>
      <w:r>
        <w:rPr>
          <w:rFonts w:hint="default"/>
          <w:sz w:val="20"/>
          <w:szCs w:val="20"/>
          <w:lang w:val="pl-PL"/>
        </w:rPr>
        <w:t>kwiecień 2025</w:t>
      </w:r>
      <w:r>
        <w:rPr>
          <w:rFonts w:cs="Calibri"/>
          <w:color w:val="000000"/>
          <w:sz w:val="20"/>
          <w:szCs w:val="20"/>
        </w:rPr>
        <w:t xml:space="preserve"> roku;</w:t>
      </w:r>
    </w:p>
    <w:p w14:paraId="00000054">
      <w:pPr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hanging="64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zawarcie Umowy z Wykonawcą – </w:t>
      </w:r>
      <w:r>
        <w:rPr>
          <w:rFonts w:hint="default"/>
          <w:sz w:val="20"/>
          <w:szCs w:val="20"/>
          <w:lang w:val="pl-PL"/>
        </w:rPr>
        <w:t>maj</w:t>
      </w:r>
      <w:r>
        <w:rPr>
          <w:rFonts w:cs="Calibri"/>
          <w:color w:val="000000"/>
          <w:sz w:val="20"/>
          <w:szCs w:val="20"/>
        </w:rPr>
        <w:t xml:space="preserve"> 202</w:t>
      </w:r>
      <w:r>
        <w:rPr>
          <w:rFonts w:hint="default" w:cs="Calibri"/>
          <w:color w:val="000000"/>
          <w:sz w:val="20"/>
          <w:szCs w:val="20"/>
          <w:lang w:val="pl-PL"/>
        </w:rPr>
        <w:t>5</w:t>
      </w:r>
      <w:r>
        <w:rPr>
          <w:rFonts w:cs="Calibri"/>
          <w:color w:val="000000"/>
          <w:sz w:val="20"/>
          <w:szCs w:val="20"/>
        </w:rPr>
        <w:t xml:space="preserve"> roku.</w:t>
      </w:r>
    </w:p>
    <w:p w14:paraId="00000055">
      <w:bookmarkStart w:id="1" w:name="_heading=h.gjdgxs" w:colFirst="0" w:colLast="0"/>
      <w:bookmarkEnd w:id="1"/>
    </w:p>
    <w:p w14:paraId="00000056">
      <w:pPr>
        <w:spacing w:line="276" w:lineRule="auto"/>
        <w:rPr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9" w:footer="709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Calibri"/>
        <w:color w:val="000000"/>
      </w:rPr>
      <w:id w:val="-399603110"/>
      <w:docPartObj>
        <w:docPartGallery w:val="autotext"/>
      </w:docPartObj>
    </w:sdtPr>
    <w:sdtEndPr>
      <w:rPr>
        <w:rFonts w:cs="Calibri"/>
        <w:color w:val="000000"/>
      </w:rPr>
    </w:sdtEndPr>
    <w:sdtContent>
      <w:p w14:paraId="00000057">
        <w:pPr>
          <w:p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between w:val="none" w:color="auto" w:sz="0" w:space="0"/>
          </w:pBdr>
          <w:tabs>
            <w:tab w:val="center" w:pos="4536"/>
            <w:tab w:val="right" w:pos="9072"/>
          </w:tabs>
          <w:spacing w:after="0" w:line="240" w:lineRule="auto"/>
          <w:rPr>
            <w:rFonts w:cs="Calibri"/>
            <w:color w:val="000000"/>
          </w:rPr>
        </w:pPr>
        <w:r>
          <w:rPr>
            <w:rFonts w:cs="Calibri"/>
            <w:color w:val="00000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D82CB5">
                              <w:pPr>
                                <w:pStyle w:val="19"/>
                                <w:rPr>
                                  <w:rFonts w:asciiTheme="minorHAnsi" w:hAnsiTheme="minorHAnsi" w:eastAsiaTheme="majorEastAsia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eastAsiaTheme="majorEastAsia" w:cstheme="minorHAnsi"/>
                                  <w:sz w:val="16"/>
                                  <w:szCs w:val="16"/>
                                </w:rPr>
                                <w:t xml:space="preserve">Strona   </w:t>
                              </w:r>
                              <w:r>
                                <w:rPr>
                                  <w:rFonts w:asciiTheme="minorHAnsi" w:hAnsiTheme="minorHAnsi" w:eastAsiaTheme="minorEastAsia" w:cs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inorHAnsi" w:hAnsiTheme="minorHAnsi" w:eastAsiaTheme="minorEastAsia" w:cs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hAnsiTheme="minorHAnsi" w:eastAsiaTheme="majorEastAsia" w:cstheme="minorHAnsi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 w:eastAsiaTheme="majorEastAsia" w:cs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margin-left:547.65pt;margin-top:599.15pt;height:171.9pt;width:40.2pt;mso-position-horizontal-relative:page;mso-position-vertical-relative:page;z-index:25165926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mCZ19MAAAAEAQAADwAAAAAAAAABACAAAAAiAAAAZHJz&#10;L2Rvd25yZXYueG1sUEsBAhQAFAAAAAgAh07iQAEUr/AJAgAAEQQAAA4AAAAAAAAAAQAgAAAAI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 w14:paraId="38D82CB5">
                        <w:pPr>
                          <w:pStyle w:val="19"/>
                          <w:rPr>
                            <w:rFonts w:asciiTheme="minorHAnsi" w:hAnsiTheme="minorHAnsi" w:eastAsiaTheme="majorEastAsia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eastAsiaTheme="majorEastAsia" w:cstheme="minorHAnsi"/>
                            <w:sz w:val="16"/>
                            <w:szCs w:val="16"/>
                          </w:rPr>
                          <w:t xml:space="preserve">Strona   </w:t>
                        </w:r>
                        <w:r>
                          <w:rPr>
                            <w:rFonts w:asciiTheme="minorHAnsi" w:hAnsiTheme="minorHAnsi" w:eastAsiaTheme="minorEastAsia" w:cstheme="minorHAnsi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inorHAnsi" w:hAnsiTheme="minorHAnsi" w:eastAsiaTheme="minorEastAsia" w:cstheme="minorHAnsi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 w:eastAsiaTheme="majorEastAsia" w:cstheme="minorHAnsi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Theme="minorHAnsi" w:hAnsiTheme="minorHAnsi" w:eastAsiaTheme="majorEastAsia" w:cstheme="minorHAns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4633E"/>
    <w:multiLevelType w:val="multilevel"/>
    <w:tmpl w:val="4164633E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bullet"/>
      <w:lvlText w:val="⎯"/>
      <w:lvlJc w:val="left"/>
      <w:pPr>
        <w:ind w:left="1224" w:hanging="504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−"/>
      <w:lvlJc w:val="left"/>
      <w:pPr>
        <w:ind w:left="1728" w:hanging="647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decimal"/>
      <w:lvlText w:val="%1.%2.⎯.−.%5."/>
      <w:lvlJc w:val="left"/>
      <w:pPr>
        <w:ind w:left="2232" w:hanging="792"/>
      </w:pPr>
    </w:lvl>
    <w:lvl w:ilvl="5" w:tentative="0">
      <w:start w:val="1"/>
      <w:numFmt w:val="decimal"/>
      <w:lvlText w:val="%1.%2.⎯.−.%5.%6."/>
      <w:lvlJc w:val="left"/>
      <w:pPr>
        <w:ind w:left="2736" w:hanging="935"/>
      </w:pPr>
    </w:lvl>
    <w:lvl w:ilvl="6" w:tentative="0">
      <w:start w:val="1"/>
      <w:numFmt w:val="decimal"/>
      <w:lvlText w:val="%1.%2.⎯.−.%5.%6.%7."/>
      <w:lvlJc w:val="left"/>
      <w:pPr>
        <w:ind w:left="3240" w:hanging="1080"/>
      </w:pPr>
    </w:lvl>
    <w:lvl w:ilvl="7" w:tentative="0">
      <w:start w:val="1"/>
      <w:numFmt w:val="decimal"/>
      <w:lvlText w:val="%1.%2.⎯.−.%5.%6.%7.%8."/>
      <w:lvlJc w:val="left"/>
      <w:pPr>
        <w:ind w:left="3744" w:hanging="1224"/>
      </w:pPr>
    </w:lvl>
    <w:lvl w:ilvl="8" w:tentative="0">
      <w:start w:val="1"/>
      <w:numFmt w:val="decimal"/>
      <w:lvlText w:val="%1.%2.⎯.−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E5"/>
    <w:rsid w:val="001016ED"/>
    <w:rsid w:val="00212F6D"/>
    <w:rsid w:val="002245A5"/>
    <w:rsid w:val="003070D6"/>
    <w:rsid w:val="0039640D"/>
    <w:rsid w:val="004C3A1B"/>
    <w:rsid w:val="00822C9F"/>
    <w:rsid w:val="008401C9"/>
    <w:rsid w:val="009939E3"/>
    <w:rsid w:val="00A61D78"/>
    <w:rsid w:val="00A778A6"/>
    <w:rsid w:val="00AE0B40"/>
    <w:rsid w:val="00C02ABD"/>
    <w:rsid w:val="00DC3BAF"/>
    <w:rsid w:val="00EE51E1"/>
    <w:rsid w:val="00F377C0"/>
    <w:rsid w:val="00FA41E5"/>
    <w:rsid w:val="0A4C6ED9"/>
    <w:rsid w:val="0FC65AC2"/>
    <w:rsid w:val="122E0A4D"/>
    <w:rsid w:val="3BDE5CD0"/>
    <w:rsid w:val="45653D3B"/>
    <w:rsid w:val="45913571"/>
    <w:rsid w:val="5A9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26"/>
    <w:qFormat/>
    <w:uiPriority w:val="9"/>
    <w:pPr>
      <w:spacing w:before="300" w:after="40"/>
      <w:outlineLvl w:val="0"/>
    </w:pPr>
    <w:rPr>
      <w:smallCaps/>
      <w:spacing w:val="5"/>
      <w:sz w:val="32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spacing w:after="0"/>
      <w:outlineLvl w:val="1"/>
    </w:pPr>
    <w:rPr>
      <w:smallCaps/>
      <w:spacing w:val="5"/>
      <w:sz w:val="28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spacing w:after="0"/>
      <w:outlineLvl w:val="2"/>
    </w:pPr>
    <w:rPr>
      <w:smallCaps/>
      <w:spacing w:val="5"/>
      <w:sz w:val="24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spacing w:after="0"/>
      <w:outlineLvl w:val="3"/>
    </w:pPr>
    <w:rPr>
      <w:i/>
      <w:smallCaps/>
      <w:spacing w:val="10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after="0"/>
      <w:outlineLvl w:val="4"/>
    </w:pPr>
    <w:rPr>
      <w:smallCaps/>
      <w:color w:val="538135"/>
      <w:spacing w:val="1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after="0"/>
      <w:outlineLvl w:val="5"/>
    </w:pPr>
    <w:rPr>
      <w:smallCaps/>
      <w:color w:val="70AD47"/>
      <w:spacing w:val="5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after="0"/>
      <w:outlineLvl w:val="6"/>
    </w:pPr>
    <w:rPr>
      <w:b/>
      <w:smallCaps/>
      <w:color w:val="70AD47"/>
      <w:spacing w:val="10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after="0"/>
      <w:outlineLvl w:val="7"/>
    </w:pPr>
    <w:rPr>
      <w:b/>
      <w:i/>
      <w:smallCaps/>
      <w:color w:val="538135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after="0"/>
      <w:outlineLvl w:val="8"/>
    </w:pPr>
    <w:rPr>
      <w:b/>
      <w:i/>
      <w:smallCaps/>
      <w:color w:val="385623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53"/>
    <w:semiHidden/>
    <w:unhideWhenUsed/>
    <w:uiPriority w:val="99"/>
    <w:rPr>
      <w:b/>
      <w:bCs/>
    </w:rPr>
  </w:style>
  <w:style w:type="character" w:styleId="18">
    <w:name w:val="Emphasis"/>
    <w:basedOn w:val="11"/>
    <w:qFormat/>
    <w:uiPriority w:val="20"/>
    <w:rPr>
      <w:b/>
      <w:i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0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1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Strong"/>
    <w:basedOn w:val="11"/>
    <w:qFormat/>
    <w:uiPriority w:val="22"/>
    <w:rPr>
      <w:b/>
      <w:color w:val="70AD47"/>
    </w:rPr>
  </w:style>
  <w:style w:type="paragraph" w:styleId="23">
    <w:name w:val="Subtitle"/>
    <w:basedOn w:val="1"/>
    <w:next w:val="1"/>
    <w:link w:val="36"/>
    <w:qFormat/>
    <w:uiPriority w:val="11"/>
    <w:pPr>
      <w:spacing w:after="720" w:line="240" w:lineRule="auto"/>
      <w:jc w:val="right"/>
    </w:pPr>
    <w:rPr>
      <w:rFonts w:cs="Calibri"/>
    </w:rPr>
  </w:style>
  <w:style w:type="paragraph" w:styleId="24">
    <w:name w:val="Title"/>
    <w:basedOn w:val="1"/>
    <w:next w:val="1"/>
    <w:link w:val="35"/>
    <w:qFormat/>
    <w:uiPriority w:val="10"/>
    <w:pPr>
      <w:pBdr>
        <w:top w:val="single" w:color="70AD47" w:sz="8" w:space="1"/>
      </w:pBdr>
      <w:spacing w:after="120" w:line="240" w:lineRule="auto"/>
      <w:jc w:val="right"/>
    </w:pPr>
    <w:rPr>
      <w:smallCaps/>
      <w:color w:val="262626"/>
      <w:sz w:val="52"/>
    </w:rPr>
  </w:style>
  <w:style w:type="table" w:customStyle="1" w:styleId="2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Nagłówek 1 Znak"/>
    <w:basedOn w:val="11"/>
    <w:link w:val="2"/>
    <w:qFormat/>
    <w:uiPriority w:val="9"/>
    <w:rPr>
      <w:smallCaps/>
      <w:spacing w:val="5"/>
      <w:sz w:val="32"/>
    </w:rPr>
  </w:style>
  <w:style w:type="character" w:customStyle="1" w:styleId="27">
    <w:name w:val="Nagłówek 2 Znak"/>
    <w:basedOn w:val="11"/>
    <w:link w:val="3"/>
    <w:qFormat/>
    <w:uiPriority w:val="9"/>
    <w:rPr>
      <w:smallCaps/>
      <w:spacing w:val="5"/>
      <w:sz w:val="28"/>
    </w:rPr>
  </w:style>
  <w:style w:type="character" w:customStyle="1" w:styleId="28">
    <w:name w:val="Nagłówek 3 Znak"/>
    <w:basedOn w:val="11"/>
    <w:link w:val="4"/>
    <w:semiHidden/>
    <w:qFormat/>
    <w:uiPriority w:val="9"/>
    <w:rPr>
      <w:smallCaps/>
      <w:spacing w:val="5"/>
      <w:sz w:val="24"/>
    </w:rPr>
  </w:style>
  <w:style w:type="character" w:customStyle="1" w:styleId="29">
    <w:name w:val="Nagłówek 4 Znak"/>
    <w:basedOn w:val="11"/>
    <w:link w:val="5"/>
    <w:semiHidden/>
    <w:qFormat/>
    <w:uiPriority w:val="9"/>
    <w:rPr>
      <w:i/>
      <w:smallCaps/>
      <w:spacing w:val="10"/>
      <w:sz w:val="22"/>
    </w:rPr>
  </w:style>
  <w:style w:type="character" w:customStyle="1" w:styleId="30">
    <w:name w:val="Nagłówek 5 Znak"/>
    <w:basedOn w:val="11"/>
    <w:link w:val="6"/>
    <w:semiHidden/>
    <w:qFormat/>
    <w:uiPriority w:val="9"/>
    <w:rPr>
      <w:smallCaps/>
      <w:color w:val="538135"/>
      <w:spacing w:val="10"/>
      <w:sz w:val="22"/>
    </w:rPr>
  </w:style>
  <w:style w:type="character" w:customStyle="1" w:styleId="31">
    <w:name w:val="Nagłówek 6 Znak"/>
    <w:basedOn w:val="11"/>
    <w:link w:val="7"/>
    <w:semiHidden/>
    <w:qFormat/>
    <w:uiPriority w:val="9"/>
    <w:rPr>
      <w:smallCaps/>
      <w:color w:val="70AD47"/>
      <w:spacing w:val="5"/>
      <w:sz w:val="22"/>
    </w:rPr>
  </w:style>
  <w:style w:type="character" w:customStyle="1" w:styleId="32">
    <w:name w:val="Nagłówek 7 Znak"/>
    <w:basedOn w:val="11"/>
    <w:link w:val="8"/>
    <w:semiHidden/>
    <w:qFormat/>
    <w:uiPriority w:val="9"/>
    <w:rPr>
      <w:b/>
      <w:smallCaps/>
      <w:color w:val="70AD47"/>
      <w:spacing w:val="10"/>
    </w:rPr>
  </w:style>
  <w:style w:type="character" w:customStyle="1" w:styleId="33">
    <w:name w:val="Nagłówek 8 Znak"/>
    <w:basedOn w:val="11"/>
    <w:link w:val="9"/>
    <w:semiHidden/>
    <w:qFormat/>
    <w:uiPriority w:val="9"/>
    <w:rPr>
      <w:b/>
      <w:i/>
      <w:smallCaps/>
      <w:color w:val="538135"/>
    </w:rPr>
  </w:style>
  <w:style w:type="character" w:customStyle="1" w:styleId="34">
    <w:name w:val="Nagłówek 9 Znak"/>
    <w:basedOn w:val="11"/>
    <w:link w:val="10"/>
    <w:semiHidden/>
    <w:qFormat/>
    <w:uiPriority w:val="9"/>
    <w:rPr>
      <w:b/>
      <w:i/>
      <w:smallCaps/>
      <w:color w:val="385623"/>
    </w:rPr>
  </w:style>
  <w:style w:type="character" w:customStyle="1" w:styleId="35">
    <w:name w:val="Tytuł Znak"/>
    <w:basedOn w:val="11"/>
    <w:link w:val="24"/>
    <w:qFormat/>
    <w:uiPriority w:val="10"/>
    <w:rPr>
      <w:smallCaps/>
      <w:color w:val="262626"/>
      <w:sz w:val="52"/>
    </w:rPr>
  </w:style>
  <w:style w:type="character" w:customStyle="1" w:styleId="36">
    <w:name w:val="Podtytuł Znak"/>
    <w:basedOn w:val="11"/>
    <w:link w:val="23"/>
    <w:qFormat/>
    <w:uiPriority w:val="11"/>
    <w:rPr>
      <w:rFonts w:ascii="Calibri Light" w:hAnsi="Calibri Light" w:eastAsia="SimSun"/>
    </w:rPr>
  </w:style>
  <w:style w:type="paragraph" w:styleId="37">
    <w:name w:val="No Spacing"/>
    <w:link w:val="38"/>
    <w:qFormat/>
    <w:uiPriority w:val="1"/>
    <w:pPr>
      <w:spacing w:after="160" w:line="256" w:lineRule="auto"/>
      <w:jc w:val="both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character" w:customStyle="1" w:styleId="38">
    <w:name w:val="Bez odstępów Znak"/>
    <w:link w:val="37"/>
    <w:qFormat/>
    <w:locked/>
    <w:uiPriority w:val="1"/>
  </w:style>
  <w:style w:type="paragraph" w:styleId="39">
    <w:name w:val="List Paragraph"/>
    <w:basedOn w:val="1"/>
    <w:link w:val="40"/>
    <w:qFormat/>
    <w:uiPriority w:val="0"/>
    <w:pPr>
      <w:ind w:left="720"/>
      <w:contextualSpacing/>
    </w:pPr>
  </w:style>
  <w:style w:type="character" w:customStyle="1" w:styleId="40">
    <w:name w:val="Akapit z listą Znak"/>
    <w:link w:val="39"/>
    <w:qFormat/>
    <w:locked/>
    <w:uiPriority w:val="0"/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Cytat Znak"/>
    <w:basedOn w:val="11"/>
    <w:link w:val="41"/>
    <w:qFormat/>
    <w:uiPriority w:val="29"/>
    <w:rPr>
      <w:i/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single" w:color="70AD47" w:sz="8" w:space="1"/>
      </w:pBdr>
      <w:spacing w:before="140" w:after="140"/>
      <w:ind w:left="1440" w:right="1440"/>
    </w:pPr>
    <w:rPr>
      <w:b/>
      <w:i/>
    </w:rPr>
  </w:style>
  <w:style w:type="character" w:customStyle="1" w:styleId="44">
    <w:name w:val="Cytat intensywny Znak"/>
    <w:basedOn w:val="11"/>
    <w:link w:val="43"/>
    <w:qFormat/>
    <w:uiPriority w:val="30"/>
    <w:rPr>
      <w:b/>
      <w:i/>
    </w:rPr>
  </w:style>
  <w:style w:type="character" w:customStyle="1" w:styleId="45">
    <w:name w:val="Subtle Emphasis"/>
    <w:basedOn w:val="11"/>
    <w:qFormat/>
    <w:uiPriority w:val="19"/>
    <w:rPr>
      <w:i/>
    </w:rPr>
  </w:style>
  <w:style w:type="character" w:customStyle="1" w:styleId="46">
    <w:name w:val="Intense Emphasis"/>
    <w:basedOn w:val="11"/>
    <w:qFormat/>
    <w:uiPriority w:val="21"/>
    <w:rPr>
      <w:b/>
      <w:i/>
      <w:color w:val="70AD47"/>
      <w:spacing w:val="10"/>
    </w:rPr>
  </w:style>
  <w:style w:type="character" w:customStyle="1" w:styleId="47">
    <w:name w:val="Subtle Reference"/>
    <w:basedOn w:val="11"/>
    <w:qFormat/>
    <w:uiPriority w:val="31"/>
    <w:rPr>
      <w:b/>
    </w:rPr>
  </w:style>
  <w:style w:type="character" w:customStyle="1" w:styleId="48">
    <w:name w:val="Intense Reference"/>
    <w:basedOn w:val="11"/>
    <w:qFormat/>
    <w:uiPriority w:val="32"/>
    <w:rPr>
      <w:b/>
      <w:smallCaps/>
      <w:spacing w:val="5"/>
      <w:sz w:val="22"/>
      <w:u w:val="single"/>
    </w:rPr>
  </w:style>
  <w:style w:type="character" w:customStyle="1" w:styleId="49">
    <w:name w:val="Book Title"/>
    <w:basedOn w:val="11"/>
    <w:qFormat/>
    <w:uiPriority w:val="33"/>
    <w:rPr>
      <w:rFonts w:ascii="Calibri Light" w:hAnsi="Calibri Light"/>
      <w:i/>
      <w:sz w:val="20"/>
    </w:rPr>
  </w:style>
  <w:style w:type="paragraph" w:customStyle="1" w:styleId="50">
    <w:name w:val="TOC Heading"/>
    <w:basedOn w:val="2"/>
    <w:next w:val="1"/>
    <w:unhideWhenUsed/>
    <w:qFormat/>
    <w:uiPriority w:val="39"/>
    <w:pPr>
      <w:outlineLvl w:val="9"/>
    </w:pPr>
    <w:rPr>
      <w:szCs w:val="32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  <w:rPr>
      <w:rFonts w:eastAsia="Calibri" w:cs="Times New Roman"/>
    </w:rPr>
  </w:style>
  <w:style w:type="character" w:customStyle="1" w:styleId="53">
    <w:name w:val="Temat komentarza Znak"/>
    <w:basedOn w:val="52"/>
    <w:link w:val="17"/>
    <w:semiHidden/>
    <w:qFormat/>
    <w:uiPriority w:val="99"/>
    <w:rPr>
      <w:rFonts w:eastAsia="Calibri" w:cs="Times New Roman"/>
      <w:b/>
      <w:bCs/>
    </w:rPr>
  </w:style>
  <w:style w:type="character" w:customStyle="1" w:styleId="54">
    <w:name w:val="Nagłówek Znak"/>
    <w:basedOn w:val="11"/>
    <w:link w:val="20"/>
    <w:qFormat/>
    <w:uiPriority w:val="99"/>
    <w:rPr>
      <w:rFonts w:eastAsia="Calibri" w:cs="Times New Roman"/>
      <w:sz w:val="22"/>
      <w:szCs w:val="22"/>
    </w:rPr>
  </w:style>
  <w:style w:type="character" w:customStyle="1" w:styleId="55">
    <w:name w:val="Stopka Znak"/>
    <w:basedOn w:val="11"/>
    <w:link w:val="19"/>
    <w:qFormat/>
    <w:uiPriority w:val="99"/>
    <w:rPr>
      <w:rFonts w:eastAsia="Calibri" w:cs="Times New Roman"/>
      <w:sz w:val="22"/>
      <w:szCs w:val="22"/>
    </w:rPr>
  </w:style>
  <w:style w:type="character" w:customStyle="1" w:styleId="5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cXUOqaL5K5Qok3eg1cnxkRNdA==">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2097</Words>
  <Characters>12585</Characters>
  <Lines>104</Lines>
  <Paragraphs>29</Paragraphs>
  <TotalTime>25</TotalTime>
  <ScaleCrop>false</ScaleCrop>
  <LinksUpToDate>false</LinksUpToDate>
  <CharactersWithSpaces>14653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2020-04-08T08:35:00Z</dcterms:created>
  <dc:creator>DELL5</dc:creator>
  <cp:lastModifiedBy>Łukasz Gomuła</cp:lastModifiedBy>
  <dcterms:modified xsi:type="dcterms:W3CDTF">2024-10-11T10:36:05Z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31767D74AA47452787876E73AAEAE087_13</vt:lpwstr>
  </property>
</Properties>
</file>