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48864BE7" w14:textId="7FA52A5C" w:rsidR="0037627F" w:rsidRPr="00894F46" w:rsidRDefault="0037627F" w:rsidP="009D6BFA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6"/>
          <w:szCs w:val="26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 xml:space="preserve">Starostę Ostrowskiego </w:t>
      </w:r>
      <w:r w:rsidR="009D6BFA" w:rsidRPr="009D6BFA">
        <w:rPr>
          <w:b w:val="0"/>
          <w:sz w:val="24"/>
          <w:szCs w:val="24"/>
        </w:rPr>
        <w:t xml:space="preserve">Pana Pawła Rajskiego </w:t>
      </w:r>
      <w:r>
        <w:rPr>
          <w:b w:val="0"/>
          <w:sz w:val="24"/>
          <w:szCs w:val="24"/>
        </w:rPr>
        <w:t xml:space="preserve">wykonującego zadania z zakresu administracji rządowej </w:t>
      </w: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48CA0C00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  umowy   jest   wykonanie   </w:t>
      </w:r>
      <w:r w:rsidRPr="00894F46">
        <w:rPr>
          <w:b w:val="0"/>
          <w:bCs/>
          <w:sz w:val="24"/>
          <w:szCs w:val="24"/>
        </w:rPr>
        <w:t>prac  geodezyjno-kartograficznych  związanych</w:t>
      </w:r>
      <w:r w:rsidRPr="00894F46">
        <w:rPr>
          <w:b w:val="0"/>
          <w:bCs/>
          <w:sz w:val="24"/>
          <w:szCs w:val="24"/>
        </w:rPr>
        <w:br/>
        <w:t>z  przetworzeniem danych analitycznych do postaci cyfrowej w zakresie geodezyjnej ewidencji sieci uzbrojenia terenu</w:t>
      </w:r>
      <w:r w:rsidR="00C24963">
        <w:rPr>
          <w:b w:val="0"/>
          <w:bCs/>
          <w:sz w:val="24"/>
          <w:szCs w:val="24"/>
        </w:rPr>
        <w:t xml:space="preserve"> </w:t>
      </w:r>
      <w:r w:rsidR="00872A72">
        <w:rPr>
          <w:b w:val="0"/>
          <w:bCs/>
          <w:sz w:val="24"/>
          <w:szCs w:val="24"/>
        </w:rPr>
        <w:t>(</w:t>
      </w:r>
      <w:r w:rsidR="00C24963">
        <w:rPr>
          <w:b w:val="0"/>
          <w:bCs/>
          <w:sz w:val="24"/>
          <w:szCs w:val="24"/>
        </w:rPr>
        <w:t>GESUT)</w:t>
      </w:r>
      <w:r w:rsidRPr="00894F46">
        <w:rPr>
          <w:b w:val="0"/>
          <w:bCs/>
          <w:sz w:val="24"/>
          <w:szCs w:val="24"/>
        </w:rPr>
        <w:t xml:space="preserve"> dla </w:t>
      </w:r>
      <w:r w:rsidR="00833D23">
        <w:rPr>
          <w:b w:val="0"/>
          <w:bCs/>
          <w:sz w:val="24"/>
          <w:szCs w:val="24"/>
        </w:rPr>
        <w:t xml:space="preserve">Gminy </w:t>
      </w:r>
      <w:r w:rsidR="009131EF">
        <w:rPr>
          <w:b w:val="0"/>
          <w:bCs/>
          <w:sz w:val="24"/>
          <w:szCs w:val="24"/>
        </w:rPr>
        <w:t>Przygodzice</w:t>
      </w:r>
      <w:r>
        <w:rPr>
          <w:b w:val="0"/>
          <w:bCs/>
          <w:sz w:val="24"/>
          <w:szCs w:val="24"/>
        </w:rPr>
        <w:t xml:space="preserve"> oraz założenie ewidencji sieci uzbrojenia terenu </w:t>
      </w:r>
      <w:r w:rsidR="00833D23" w:rsidRPr="00833D23">
        <w:rPr>
          <w:b w:val="0"/>
          <w:bCs/>
          <w:sz w:val="24"/>
          <w:szCs w:val="24"/>
        </w:rPr>
        <w:t>(GESUT)</w:t>
      </w:r>
      <w:r w:rsidR="00833D23">
        <w:rPr>
          <w:b w:val="0"/>
          <w:bCs/>
          <w:sz w:val="24"/>
          <w:szCs w:val="24"/>
        </w:rPr>
        <w:t xml:space="preserve"> na terenie Gminy </w:t>
      </w:r>
      <w:r w:rsidR="009131EF">
        <w:rPr>
          <w:b w:val="0"/>
          <w:bCs/>
          <w:sz w:val="24"/>
          <w:szCs w:val="24"/>
        </w:rPr>
        <w:t>Przygodzice</w:t>
      </w:r>
      <w:r w:rsidR="00872A72" w:rsidRPr="00872A72">
        <w:t xml:space="preserve"> </w:t>
      </w:r>
      <w:r w:rsidR="00872A72" w:rsidRPr="00872A72">
        <w:rPr>
          <w:b w:val="0"/>
          <w:bCs/>
          <w:sz w:val="24"/>
          <w:szCs w:val="24"/>
        </w:rPr>
        <w:t>poprzez pozyskania opinii</w:t>
      </w:r>
      <w:r w:rsidR="00C72F81">
        <w:rPr>
          <w:b w:val="0"/>
          <w:bCs/>
          <w:sz w:val="24"/>
          <w:szCs w:val="24"/>
        </w:rPr>
        <w:br/>
      </w:r>
      <w:r w:rsidR="00872A72" w:rsidRPr="00872A72">
        <w:rPr>
          <w:b w:val="0"/>
          <w:bCs/>
          <w:sz w:val="24"/>
          <w:szCs w:val="24"/>
        </w:rPr>
        <w:t>od podmiotów, które władają sieciami uzbrojenia terenu, co do zgodności treści utworzonej przez starostę inicjalnej bazy danych ze stanem wynikającym z dokumentacji prowadzonej przez te podmioty</w:t>
      </w:r>
      <w:r w:rsidR="00872A72">
        <w:rPr>
          <w:b w:val="0"/>
          <w:bCs/>
          <w:sz w:val="24"/>
          <w:szCs w:val="24"/>
        </w:rPr>
        <w:t>.</w:t>
      </w: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72998E1F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>
        <w:rPr>
          <w:b/>
          <w:i/>
          <w:sz w:val="24"/>
        </w:rPr>
        <w:t>1</w:t>
      </w:r>
      <w:r w:rsidR="009131EF">
        <w:rPr>
          <w:b/>
          <w:i/>
          <w:sz w:val="24"/>
        </w:rPr>
        <w:t>9</w:t>
      </w:r>
      <w:r w:rsidRPr="001A36F7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7C5EF92A" w14:textId="585262A6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9131EF">
        <w:rPr>
          <w:b/>
          <w:i/>
          <w:sz w:val="24"/>
        </w:rPr>
        <w:t>3</w:t>
      </w:r>
      <w:r w:rsidR="00170FF1">
        <w:rPr>
          <w:b/>
          <w:i/>
          <w:sz w:val="24"/>
        </w:rPr>
        <w:t>20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19F48095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9131EF">
        <w:rPr>
          <w:rFonts w:eastAsia="TimesNewRoman"/>
          <w:sz w:val="24"/>
          <w:szCs w:val="24"/>
        </w:rPr>
        <w:t>60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4DBBE7E5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9131EF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0137251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</w:t>
      </w:r>
      <w:r w:rsidR="00C71E18">
        <w:rPr>
          <w:sz w:val="24"/>
        </w:rPr>
        <w:t>2</w:t>
      </w:r>
      <w:r w:rsidRPr="00321DAC">
        <w:rPr>
          <w:sz w:val="24"/>
        </w:rPr>
        <w:t>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77777777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74076EE8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lastRenderedPageBreak/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="00C71E18">
        <w:rPr>
          <w:sz w:val="24"/>
        </w:rPr>
        <w:t>W</w:t>
      </w:r>
      <w:r w:rsidRPr="00FE0B2F">
        <w:rPr>
          <w:sz w:val="24"/>
        </w:rPr>
        <w:t xml:space="preserve">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 w:rsidR="00C72F81">
        <w:rPr>
          <w:sz w:val="24"/>
        </w:rPr>
        <w:t>14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1927593F" w14:textId="2154DCB5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 w:rsidR="009D6BFA">
        <w:rPr>
          <w:sz w:val="24"/>
        </w:rPr>
        <w:t xml:space="preserve"> 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9D6BFA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4FA3E059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9D6BFA">
        <w:rPr>
          <w:sz w:val="24"/>
        </w:rPr>
        <w:t xml:space="preserve"> 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6E8E5B5B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</w:t>
      </w:r>
      <w:r w:rsidR="00C71E18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30% kwoty zabezpieczenia należytego wykonania umowy, o którym mowa w ust. 1 niniejszego paragrafu, stanowi zabezpieczenie roszczeń Zamawiającego z tytułu rękojmi </w:t>
      </w:r>
      <w:r>
        <w:rPr>
          <w:sz w:val="24"/>
        </w:rPr>
        <w:lastRenderedPageBreak/>
        <w:t>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46C18EED" w14:textId="77777777" w:rsidR="00C71E18" w:rsidRDefault="00C71E18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66CD78A8" w14:textId="33AB1E98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474D0209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35361FE2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</w:t>
      </w:r>
      <w:r w:rsidR="00C72F81">
        <w:rPr>
          <w:sz w:val="24"/>
        </w:rPr>
        <w:t xml:space="preserve"> w trakcie </w:t>
      </w:r>
      <w:r w:rsidR="00BC7024">
        <w:rPr>
          <w:sz w:val="24"/>
        </w:rPr>
        <w:t>kontroli</w:t>
      </w:r>
      <w:r w:rsidR="00C72F81">
        <w:rPr>
          <w:sz w:val="24"/>
        </w:rPr>
        <w:t xml:space="preserve"> lub</w:t>
      </w:r>
      <w:r w:rsidRPr="00F55531">
        <w:rPr>
          <w:sz w:val="24"/>
        </w:rPr>
        <w:t xml:space="preserve"> </w:t>
      </w:r>
      <w:r w:rsidR="00C72F81">
        <w:rPr>
          <w:sz w:val="24"/>
        </w:rPr>
        <w:t xml:space="preserve">ujawnionych w </w:t>
      </w:r>
      <w:r w:rsidRPr="00F55531">
        <w:rPr>
          <w:sz w:val="24"/>
        </w:rPr>
        <w:t>okresie rękojmi</w:t>
      </w:r>
      <w:r w:rsidR="00C72F81">
        <w:rPr>
          <w:sz w:val="24"/>
        </w:rPr>
        <w:br/>
      </w:r>
      <w:r w:rsidRPr="00F55531">
        <w:rPr>
          <w:sz w:val="24"/>
        </w:rPr>
        <w:t>i gwarancji, liczoną</w:t>
      </w:r>
      <w:r w:rsidR="00C72F81">
        <w:rPr>
          <w:sz w:val="24"/>
        </w:rPr>
        <w:t xml:space="preserve"> </w:t>
      </w:r>
      <w:r w:rsidRPr="00F55531">
        <w:rPr>
          <w:sz w:val="24"/>
        </w:rPr>
        <w:t>od dnia wyznaczonego na termin ich usunięcia</w:t>
      </w:r>
      <w:r w:rsidR="00C72F81">
        <w:rPr>
          <w:sz w:val="24"/>
        </w:rPr>
        <w:t>.</w:t>
      </w:r>
      <w:r>
        <w:rPr>
          <w:sz w:val="24"/>
        </w:rPr>
        <w:t xml:space="preserve">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E6FC311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C71E18">
        <w:rPr>
          <w:sz w:val="24"/>
        </w:rPr>
        <w:t>, 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0E90192D" w14:textId="77777777" w:rsidR="00C71E18" w:rsidRDefault="00C71E18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5B1A94FD" w14:textId="0A94EE8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lastRenderedPageBreak/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</w:t>
      </w:r>
      <w:r w:rsidRPr="008957FC">
        <w:rPr>
          <w:color w:val="000000" w:themeColor="text1"/>
          <w:sz w:val="24"/>
          <w:szCs w:val="24"/>
        </w:rPr>
        <w:lastRenderedPageBreak/>
        <w:t xml:space="preserve">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4B02F0B0" w14:textId="77777777" w:rsidR="00C71E18" w:rsidRDefault="00C71E18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CC338ED" w14:textId="77777777" w:rsidR="00C71E18" w:rsidRDefault="00C71E18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192C2389" w14:textId="0DF9D008" w:rsidR="0037627F" w:rsidRDefault="00DC0174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 xml:space="preserve"> </w:t>
      </w:r>
      <w:r w:rsidR="0054466E">
        <w:rPr>
          <w:sz w:val="24"/>
        </w:rPr>
        <w:t>§ 11</w:t>
      </w:r>
    </w:p>
    <w:p w14:paraId="4D5BFE75" w14:textId="1682D17B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Pr="004F0268">
        <w:rPr>
          <w:i/>
          <w:iCs/>
          <w:sz w:val="24"/>
        </w:rPr>
        <w:t xml:space="preserve">Kodeksu Cywilnego </w:t>
      </w:r>
      <w:r>
        <w:rPr>
          <w:sz w:val="24"/>
        </w:rPr>
        <w:t xml:space="preserve">i  ustawy z dnia 29 stycznia 2004r. </w:t>
      </w:r>
      <w:r w:rsidRPr="004F0268">
        <w:rPr>
          <w:i/>
          <w:iCs/>
          <w:sz w:val="24"/>
        </w:rPr>
        <w:t>Prawo zamówień publicznych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0825CB">
        <w:rPr>
          <w:sz w:val="24"/>
        </w:rPr>
        <w:t>Dz.</w:t>
      </w:r>
      <w:r w:rsidR="009D6BFA">
        <w:rPr>
          <w:sz w:val="24"/>
        </w:rPr>
        <w:t xml:space="preserve"> </w:t>
      </w:r>
      <w:r w:rsidRPr="000825CB">
        <w:rPr>
          <w:sz w:val="24"/>
        </w:rPr>
        <w:t>U</w:t>
      </w:r>
      <w:r>
        <w:rPr>
          <w:sz w:val="24"/>
        </w:rPr>
        <w:t>.</w:t>
      </w:r>
      <w:r w:rsidR="009D6BFA">
        <w:rPr>
          <w:sz w:val="24"/>
        </w:rPr>
        <w:t xml:space="preserve"> z </w:t>
      </w:r>
      <w:r>
        <w:rPr>
          <w:sz w:val="24"/>
        </w:rPr>
        <w:t>202</w:t>
      </w:r>
      <w:r w:rsidR="004F0268">
        <w:rPr>
          <w:sz w:val="24"/>
        </w:rPr>
        <w:t>1</w:t>
      </w:r>
      <w:r w:rsidR="009D6BFA">
        <w:rPr>
          <w:sz w:val="24"/>
        </w:rPr>
        <w:t xml:space="preserve"> r</w:t>
      </w:r>
      <w:r>
        <w:rPr>
          <w:sz w:val="24"/>
        </w:rPr>
        <w:t>.</w:t>
      </w:r>
      <w:r w:rsidR="009D6BFA">
        <w:rPr>
          <w:sz w:val="24"/>
        </w:rPr>
        <w:t xml:space="preserve"> poz. </w:t>
      </w:r>
      <w:r>
        <w:rPr>
          <w:sz w:val="24"/>
        </w:rPr>
        <w:t>1</w:t>
      </w:r>
      <w:r w:rsidR="004F0268">
        <w:rPr>
          <w:sz w:val="24"/>
        </w:rPr>
        <w:t>129</w:t>
      </w:r>
      <w:r>
        <w:rPr>
          <w:sz w:val="24"/>
        </w:rPr>
        <w:t xml:space="preserve"> z</w:t>
      </w:r>
      <w:r w:rsidR="00C71E18">
        <w:rPr>
          <w:sz w:val="24"/>
        </w:rPr>
        <w:t xml:space="preserve"> </w:t>
      </w:r>
      <w:proofErr w:type="spellStart"/>
      <w:r w:rsidR="00C71E18">
        <w:rPr>
          <w:sz w:val="24"/>
        </w:rPr>
        <w:t>późn</w:t>
      </w:r>
      <w:proofErr w:type="spellEnd"/>
      <w:r w:rsidR="00C71E18">
        <w:rPr>
          <w:sz w:val="24"/>
        </w:rPr>
        <w:t>.</w:t>
      </w:r>
      <w:r>
        <w:rPr>
          <w:sz w:val="24"/>
        </w:rPr>
        <w:t xml:space="preserve"> zm.).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1AF3" w14:textId="77777777" w:rsidR="005A496F" w:rsidRDefault="005A496F" w:rsidP="00695E0F">
      <w:r>
        <w:separator/>
      </w:r>
    </w:p>
  </w:endnote>
  <w:endnote w:type="continuationSeparator" w:id="0">
    <w:p w14:paraId="45F574B9" w14:textId="77777777" w:rsidR="005A496F" w:rsidRDefault="005A496F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DF" w14:textId="77777777" w:rsidR="005A496F" w:rsidRDefault="005A496F" w:rsidP="00695E0F">
      <w:r>
        <w:separator/>
      </w:r>
    </w:p>
  </w:footnote>
  <w:footnote w:type="continuationSeparator" w:id="0">
    <w:p w14:paraId="22FC4E52" w14:textId="77777777" w:rsidR="005A496F" w:rsidRDefault="005A496F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170FF1"/>
    <w:rsid w:val="001876C0"/>
    <w:rsid w:val="001A2795"/>
    <w:rsid w:val="002C47C6"/>
    <w:rsid w:val="0037627F"/>
    <w:rsid w:val="00471AEE"/>
    <w:rsid w:val="004A272D"/>
    <w:rsid w:val="004F0268"/>
    <w:rsid w:val="0051069F"/>
    <w:rsid w:val="005235E9"/>
    <w:rsid w:val="0054466E"/>
    <w:rsid w:val="005A496F"/>
    <w:rsid w:val="005B5A9C"/>
    <w:rsid w:val="00695E0F"/>
    <w:rsid w:val="0070152E"/>
    <w:rsid w:val="007F4966"/>
    <w:rsid w:val="00833D23"/>
    <w:rsid w:val="00872A72"/>
    <w:rsid w:val="008E1815"/>
    <w:rsid w:val="009131EF"/>
    <w:rsid w:val="009A3A74"/>
    <w:rsid w:val="009D6BFA"/>
    <w:rsid w:val="009D78F9"/>
    <w:rsid w:val="00A451DA"/>
    <w:rsid w:val="00BC7024"/>
    <w:rsid w:val="00BE2858"/>
    <w:rsid w:val="00C24963"/>
    <w:rsid w:val="00C528DC"/>
    <w:rsid w:val="00C71E18"/>
    <w:rsid w:val="00C72F81"/>
    <w:rsid w:val="00C9605E"/>
    <w:rsid w:val="00CB33BB"/>
    <w:rsid w:val="00D10E3A"/>
    <w:rsid w:val="00D53461"/>
    <w:rsid w:val="00DC0174"/>
    <w:rsid w:val="00E80123"/>
    <w:rsid w:val="00F44F75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2749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14</cp:revision>
  <cp:lastPrinted>2021-09-28T13:12:00Z</cp:lastPrinted>
  <dcterms:created xsi:type="dcterms:W3CDTF">2021-05-20T13:47:00Z</dcterms:created>
  <dcterms:modified xsi:type="dcterms:W3CDTF">2021-09-28T13:28:00Z</dcterms:modified>
</cp:coreProperties>
</file>