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EE" w:rsidRPr="00703447" w:rsidRDefault="007053EE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Poznań, dnia </w:t>
      </w:r>
      <w:r w:rsidR="00343320">
        <w:rPr>
          <w:rFonts w:ascii="Tahoma" w:hAnsi="Tahoma" w:cs="Tahoma"/>
          <w:sz w:val="20"/>
          <w:szCs w:val="20"/>
        </w:rPr>
        <w:t>02</w:t>
      </w:r>
      <w:r w:rsidR="005A61BC">
        <w:rPr>
          <w:rFonts w:ascii="Tahoma" w:hAnsi="Tahoma" w:cs="Tahoma"/>
          <w:sz w:val="20"/>
          <w:szCs w:val="20"/>
        </w:rPr>
        <w:t>.</w:t>
      </w:r>
      <w:r w:rsidR="009162CB">
        <w:rPr>
          <w:rFonts w:ascii="Tahoma" w:hAnsi="Tahoma" w:cs="Tahoma"/>
          <w:sz w:val="20"/>
          <w:szCs w:val="20"/>
        </w:rPr>
        <w:t>1</w:t>
      </w:r>
      <w:r w:rsidR="00343320">
        <w:rPr>
          <w:rFonts w:ascii="Tahoma" w:hAnsi="Tahoma" w:cs="Tahoma"/>
          <w:sz w:val="20"/>
          <w:szCs w:val="20"/>
        </w:rPr>
        <w:t>2</w:t>
      </w:r>
      <w:r w:rsidR="005A61BC">
        <w:rPr>
          <w:rFonts w:ascii="Tahoma" w:hAnsi="Tahoma" w:cs="Tahoma"/>
          <w:sz w:val="20"/>
          <w:szCs w:val="20"/>
        </w:rPr>
        <w:t>.2019</w:t>
      </w:r>
      <w:r>
        <w:rPr>
          <w:rFonts w:ascii="Tahoma" w:hAnsi="Tahoma" w:cs="Tahoma"/>
          <w:sz w:val="20"/>
          <w:szCs w:val="20"/>
        </w:rPr>
        <w:t xml:space="preserve"> r.</w:t>
      </w:r>
    </w:p>
    <w:p w:rsidR="007053E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Default="009162CB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Indywidualne Warunk</w:t>
      </w:r>
      <w:r w:rsidR="00D34A2C">
        <w:rPr>
          <w:rFonts w:eastAsia="Times New Roman" w:cs="Calibri"/>
          <w:b/>
          <w:sz w:val="24"/>
          <w:szCs w:val="24"/>
          <w:lang w:eastAsia="pl-PL"/>
        </w:rPr>
        <w:t>i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Zamówienia</w:t>
      </w:r>
    </w:p>
    <w:p w:rsidR="009162CB" w:rsidRDefault="009162CB" w:rsidP="007053EE">
      <w:pPr>
        <w:spacing w:after="0" w:line="240" w:lineRule="auto"/>
        <w:jc w:val="center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zwane dalej IWZ</w:t>
      </w:r>
    </w:p>
    <w:p w:rsidR="004F623F" w:rsidRPr="009162CB" w:rsidRDefault="004F623F" w:rsidP="007053EE">
      <w:pPr>
        <w:spacing w:after="0" w:line="240" w:lineRule="auto"/>
        <w:jc w:val="center"/>
        <w:rPr>
          <w:rFonts w:eastAsia="Times New Roman" w:cs="Calibri"/>
          <w:szCs w:val="28"/>
          <w:lang w:eastAsia="pl-PL"/>
        </w:rPr>
      </w:pPr>
      <w:r>
        <w:rPr>
          <w:rFonts w:eastAsia="Times New Roman" w:cs="Calibri"/>
          <w:szCs w:val="24"/>
          <w:lang w:eastAsia="pl-PL"/>
        </w:rPr>
        <w:t>do postępowania w trybie przetargu otwartego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Niniejsze </w:t>
      </w:r>
      <w:r w:rsidR="009162CB">
        <w:rPr>
          <w:rFonts w:eastAsia="Times New Roman" w:cs="Calibri"/>
          <w:lang w:eastAsia="pl-PL"/>
        </w:rPr>
        <w:t>IWZ</w:t>
      </w:r>
      <w:r>
        <w:rPr>
          <w:rFonts w:eastAsia="Times New Roman" w:cs="Calibri"/>
          <w:lang w:eastAsia="pl-PL"/>
        </w:rPr>
        <w:t xml:space="preserve"> nie stanow</w:t>
      </w:r>
      <w:r w:rsidRPr="00E453FA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ą</w:t>
      </w:r>
      <w:r w:rsidRPr="00E453FA">
        <w:rPr>
          <w:rFonts w:eastAsia="Times New Roman" w:cs="Calibri"/>
          <w:lang w:eastAsia="pl-PL"/>
        </w:rPr>
        <w:t xml:space="preserve"> ogłoszenia o zamówieniu w rozumieniu ustawy z dnia 29 stycznia 2004 r. Prawo zamówień publicznych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>.</w:t>
      </w:r>
      <w:r w:rsidRPr="00E453FA">
        <w:rPr>
          <w:rFonts w:eastAsia="Times New Roman" w:cs="Calibri"/>
          <w:lang w:eastAsia="pl-PL"/>
        </w:rPr>
        <w:t xml:space="preserve"> </w:t>
      </w:r>
      <w:r w:rsidR="00F27A17" w:rsidRPr="00F27A17">
        <w:rPr>
          <w:rFonts w:eastAsia="Times New Roman" w:cs="Calibri"/>
          <w:lang w:eastAsia="pl-PL"/>
        </w:rPr>
        <w:t>Dz. U. 2018r., poz. 1986 ze zm.)</w:t>
      </w:r>
      <w:r w:rsidR="00F27A17">
        <w:rPr>
          <w:rFonts w:eastAsia="Times New Roman" w:cs="Calibri"/>
          <w:lang w:eastAsia="pl-PL"/>
        </w:rPr>
        <w:t>.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453FA">
        <w:rPr>
          <w:rFonts w:eastAsia="Times New Roman" w:cs="Calibri"/>
          <w:lang w:eastAsia="pl-PL"/>
        </w:rPr>
        <w:t xml:space="preserve">Podstawa prawna: </w:t>
      </w:r>
      <w:r w:rsidR="001313F7">
        <w:rPr>
          <w:rFonts w:eastAsia="Times New Roman" w:cs="Calibri"/>
          <w:lang w:eastAsia="pl-PL"/>
        </w:rPr>
        <w:t xml:space="preserve">art. 4 pkt 8 Ustawy PZP oraz Regulamin udzielania zamówień UMP wprowadzony zarządzeniem </w:t>
      </w:r>
      <w:r w:rsidR="00F26101">
        <w:rPr>
          <w:rFonts w:eastAsia="Times New Roman" w:cs="Calibri"/>
          <w:lang w:eastAsia="pl-PL"/>
        </w:rPr>
        <w:t>Nr 118/17 z dnia 6.10.2017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E453FA" w:rsidTr="001F3CBA">
        <w:tc>
          <w:tcPr>
            <w:tcW w:w="10606" w:type="dxa"/>
          </w:tcPr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 xml:space="preserve">Ul. </w:t>
            </w:r>
            <w:r>
              <w:rPr>
                <w:rFonts w:eastAsia="Times New Roman" w:cs="Calibri"/>
                <w:lang w:eastAsia="pl-PL"/>
              </w:rPr>
              <w:t>Fredry 10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61-701 </w:t>
            </w:r>
            <w:r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E453FA" w:rsidRDefault="004F623F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Dział realizujący:      Dział Inwestycyjno-Techniczny                   </w:t>
            </w:r>
            <w:hyperlink r:id="rId9" w:history="1">
              <w:r w:rsidRPr="004A31E9">
                <w:rPr>
                  <w:rStyle w:val="Hipercze"/>
                  <w:rFonts w:eastAsia="Times New Roman" w:cs="Calibri"/>
                  <w:lang w:eastAsia="pl-PL"/>
                </w:rPr>
                <w:t>ditum@ump.edu.pl</w:t>
              </w:r>
            </w:hyperlink>
            <w:r w:rsidRPr="00E453FA">
              <w:rPr>
                <w:rFonts w:eastAsia="Times New Roman" w:cs="Calibri"/>
                <w:lang w:eastAsia="pl-PL"/>
              </w:rPr>
              <w:t>;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Osoby do kontaktu:</w:t>
            </w:r>
          </w:p>
          <w:p w:rsidR="007053EE" w:rsidRDefault="000723DB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Przemysław Tomkowiak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          </w:t>
            </w:r>
            <w:r w:rsidRPr="00E453FA">
              <w:rPr>
                <w:rFonts w:eastAsia="Times New Roman" w:cs="Calibri"/>
                <w:lang w:eastAsia="pl-PL"/>
              </w:rPr>
              <w:t xml:space="preserve">tel. </w:t>
            </w:r>
            <w:r w:rsidRPr="00400DC6">
              <w:rPr>
                <w:rFonts w:eastAsia="Times New Roman" w:cs="Calibri"/>
                <w:b/>
                <w:lang w:eastAsia="pl-PL"/>
              </w:rPr>
              <w:t>61 845 26 51</w:t>
            </w:r>
            <w:r>
              <w:rPr>
                <w:rFonts w:eastAsia="Times New Roman" w:cs="Calibri"/>
                <w:lang w:eastAsia="pl-PL"/>
              </w:rPr>
              <w:t xml:space="preserve">;  </w:t>
            </w:r>
            <w:r w:rsidRPr="00E453FA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      e-mail: </w:t>
            </w:r>
            <w:hyperlink r:id="rId10" w:history="1">
              <w:r w:rsidRPr="004A31E9">
                <w:rPr>
                  <w:rStyle w:val="Hipercze"/>
                  <w:rFonts w:eastAsia="Times New Roman" w:cs="Calibri"/>
                  <w:lang w:eastAsia="pl-PL"/>
                </w:rPr>
                <w:t>ptomkowiak@ump.edu.pl</w:t>
              </w:r>
            </w:hyperlink>
          </w:p>
          <w:p w:rsidR="007053EE" w:rsidRPr="00E453FA" w:rsidRDefault="000723DB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Remigiusz Szarzyński,                 </w:t>
            </w:r>
            <w:r w:rsidRPr="00E453FA">
              <w:rPr>
                <w:rFonts w:eastAsia="Times New Roman" w:cs="Calibri"/>
                <w:lang w:eastAsia="pl-PL"/>
              </w:rPr>
              <w:t xml:space="preserve">tel. </w:t>
            </w:r>
            <w:r w:rsidRPr="00400DC6">
              <w:rPr>
                <w:rFonts w:eastAsia="Times New Roman" w:cs="Calibri"/>
                <w:b/>
                <w:lang w:eastAsia="pl-PL"/>
              </w:rPr>
              <w:t>61 845 26 5</w:t>
            </w:r>
            <w:r w:rsidR="004F623F">
              <w:rPr>
                <w:rFonts w:eastAsia="Times New Roman" w:cs="Calibri"/>
                <w:b/>
                <w:lang w:eastAsia="pl-PL"/>
              </w:rPr>
              <w:t>3</w:t>
            </w:r>
            <w:r>
              <w:rPr>
                <w:rFonts w:eastAsia="Times New Roman" w:cs="Calibri"/>
                <w:lang w:eastAsia="pl-PL"/>
              </w:rPr>
              <w:t xml:space="preserve">;         e-mail: </w:t>
            </w:r>
            <w:hyperlink r:id="rId11" w:history="1">
              <w:r w:rsidRPr="0088335A">
                <w:rPr>
                  <w:rStyle w:val="Hipercze"/>
                  <w:rFonts w:eastAsia="Times New Roman" w:cs="Calibri"/>
                  <w:lang w:eastAsia="pl-PL"/>
                </w:rPr>
                <w:t>rszarzynski@ump.edu.pl</w:t>
              </w:r>
            </w:hyperlink>
            <w:r>
              <w:rPr>
                <w:rFonts w:eastAsia="Times New Roman" w:cs="Calibri"/>
                <w:lang w:eastAsia="pl-PL"/>
              </w:rPr>
              <w:t xml:space="preserve">            </w:t>
            </w:r>
          </w:p>
        </w:tc>
      </w:tr>
    </w:tbl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0723DB" w:rsidRPr="000723DB" w:rsidRDefault="000723DB" w:rsidP="007053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>
              <w:rPr>
                <w:rFonts w:eastAsia="Times New Roman" w:cs="Calibri"/>
                <w:lang w:eastAsia="pl-PL"/>
              </w:rPr>
              <w:t xml:space="preserve">. </w:t>
            </w:r>
            <w:r w:rsidR="004F623F">
              <w:rPr>
                <w:rFonts w:eastAsia="Times New Roman" w:cs="Calibri"/>
                <w:lang w:eastAsia="pl-PL"/>
              </w:rPr>
              <w:t xml:space="preserve">         nie dotyczy</w:t>
            </w:r>
          </w:p>
          <w:p w:rsidR="007053EE" w:rsidRPr="00AA41FC" w:rsidRDefault="007053EE" w:rsidP="007053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Numer umowy o dofinansowanie: </w:t>
            </w:r>
            <w:r w:rsidR="004F623F">
              <w:rPr>
                <w:rFonts w:eastAsia="Times New Roman" w:cs="Calibri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lang w:eastAsia="pl-PL"/>
              </w:rPr>
              <w:t>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  <w:r w:rsidR="004F623F">
              <w:rPr>
                <w:rFonts w:eastAsia="Times New Roman" w:cs="Calibri"/>
                <w:lang w:eastAsia="pl-PL"/>
              </w:rPr>
              <w:t>:</w:t>
            </w:r>
          </w:p>
          <w:p w:rsidR="007053EE" w:rsidRPr="004F623F" w:rsidRDefault="004F623F" w:rsidP="004F623F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eastAsia="Lucida Sans Unicode" w:cs="Calibri"/>
                <w:b/>
                <w:bCs/>
                <w:color w:val="000000"/>
                <w:lang w:bidi="en-US"/>
              </w:rPr>
            </w:pPr>
            <w:r w:rsidRPr="004F623F">
              <w:rPr>
                <w:b/>
                <w:bCs/>
              </w:rPr>
              <w:t>Prowadzenie stałej konserwacji i utrzymania ruchu, świadczenie usług „pogotowia dźwigowego” oraz wykonywanie napraw urządzeń dźwigowy</w:t>
            </w:r>
            <w:r>
              <w:rPr>
                <w:b/>
                <w:bCs/>
              </w:rPr>
              <w:t xml:space="preserve">ch Grupy II, zainstalowanych w obiektach </w:t>
            </w:r>
            <w:r w:rsidRPr="004F623F">
              <w:rPr>
                <w:b/>
                <w:bCs/>
              </w:rPr>
              <w:t>Uniwersytetu Medycznego im. Karola Marcinkowskiego w Poznaniu</w:t>
            </w:r>
          </w:p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Szczegółowy opis przedmiotu zamówienia został zawarty w załączniku nr </w:t>
            </w:r>
            <w:r>
              <w:rPr>
                <w:rFonts w:eastAsia="Times New Roman" w:cs="Calibri"/>
                <w:lang w:eastAsia="pl-PL"/>
              </w:rPr>
              <w:t>1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 oraz </w:t>
            </w:r>
            <w:r>
              <w:rPr>
                <w:rFonts w:eastAsia="Times New Roman" w:cs="Calibri"/>
                <w:lang w:eastAsia="pl-PL"/>
              </w:rPr>
              <w:t>w projekcie</w:t>
            </w:r>
            <w:r w:rsidRPr="0088546A">
              <w:rPr>
                <w:rFonts w:eastAsia="Times New Roman" w:cs="Calibri"/>
                <w:lang w:eastAsia="pl-PL"/>
              </w:rPr>
              <w:t xml:space="preserve"> umowy, stanowiącym załącznik nr </w:t>
            </w:r>
            <w:r w:rsidR="00CC6CB0">
              <w:rPr>
                <w:rFonts w:eastAsia="Times New Roman" w:cs="Calibri"/>
                <w:lang w:eastAsia="pl-PL"/>
              </w:rPr>
              <w:t>2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ofertowego.</w:t>
            </w:r>
          </w:p>
          <w:p w:rsidR="00CC6CB0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Kody CPV zamówienia: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</w:p>
          <w:p w:rsidR="000723DB" w:rsidRDefault="008F57FB" w:rsidP="00CC6CB0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6F5A4D">
              <w:t>50750000-7</w:t>
            </w:r>
            <w:r w:rsidR="00E52CAA">
              <w:rPr>
                <w:rFonts w:asciiTheme="minorHAnsi" w:hAnsiTheme="minorHAnsi" w:cstheme="minorHAnsi"/>
              </w:rPr>
              <w:t xml:space="preserve"> </w:t>
            </w:r>
            <w:r w:rsidRPr="006F5A4D">
              <w:t>Usługi w zakresie konserwacji wind</w:t>
            </w:r>
          </w:p>
          <w:p w:rsidR="007053EE" w:rsidRPr="00CC6CB0" w:rsidRDefault="007053EE" w:rsidP="001F3CB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W przypadku wątpliwości co do treści oferty</w:t>
            </w:r>
            <w:r w:rsidR="00D1516A">
              <w:rPr>
                <w:rFonts w:eastAsia="Times New Roman" w:cs="Calibri"/>
                <w:lang w:eastAsia="pl-PL"/>
              </w:rPr>
              <w:t>, a w szczególności podejrzenia rażąco niskiej ceny,</w:t>
            </w:r>
            <w:r w:rsidRPr="0088546A">
              <w:rPr>
                <w:rFonts w:eastAsia="Times New Roman" w:cs="Calibri"/>
                <w:lang w:eastAsia="pl-PL"/>
              </w:rPr>
              <w:t xml:space="preserve"> lub braku w ofercie wymaganych dokumentów lub oświadczeń, zamawiającemu przysługuje prawo wezwania Wykonawcy do złożenia wyjaśnień lub uzupełnienia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88546A" w:rsidTr="001F3CBA">
        <w:tc>
          <w:tcPr>
            <w:tcW w:w="10606" w:type="dxa"/>
          </w:tcPr>
          <w:p w:rsidR="00343320" w:rsidRPr="00343320" w:rsidRDefault="007053EE" w:rsidP="00064B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751A05">
              <w:rPr>
                <w:rFonts w:eastAsia="Times New Roman" w:cs="Calibri"/>
                <w:lang w:eastAsia="pl-PL"/>
              </w:rPr>
              <w:t>Termin</w:t>
            </w:r>
            <w:r w:rsidR="00C65246">
              <w:rPr>
                <w:rFonts w:eastAsia="Times New Roman" w:cs="Calibri"/>
                <w:lang w:eastAsia="pl-PL"/>
              </w:rPr>
              <w:t xml:space="preserve"> i sposób</w:t>
            </w:r>
            <w:r w:rsidRPr="00751A05">
              <w:rPr>
                <w:rFonts w:eastAsia="Times New Roman" w:cs="Calibri"/>
                <w:lang w:eastAsia="pl-PL"/>
              </w:rPr>
              <w:t xml:space="preserve"> składania ofert: </w:t>
            </w:r>
            <w:r w:rsidR="008F57FB">
              <w:rPr>
                <w:rFonts w:eastAsia="Times New Roman" w:cs="Calibri"/>
                <w:lang w:eastAsia="pl-PL"/>
              </w:rPr>
              <w:t xml:space="preserve"> </w:t>
            </w:r>
            <w:r w:rsidR="008F57FB" w:rsidRPr="008F57FB">
              <w:rPr>
                <w:rFonts w:eastAsia="Times New Roman" w:cs="Calibri"/>
                <w:b/>
                <w:lang w:eastAsia="pl-PL"/>
              </w:rPr>
              <w:t>0</w:t>
            </w:r>
            <w:r w:rsidR="00102545">
              <w:rPr>
                <w:rFonts w:eastAsia="Times New Roman" w:cs="Calibri"/>
                <w:b/>
                <w:lang w:eastAsia="pl-PL"/>
              </w:rPr>
              <w:t>6</w:t>
            </w:r>
            <w:r w:rsidR="00DA3F83">
              <w:rPr>
                <w:rFonts w:eastAsia="Times New Roman" w:cs="Calibri"/>
                <w:b/>
                <w:lang w:eastAsia="pl-PL"/>
              </w:rPr>
              <w:t>.</w:t>
            </w:r>
            <w:r w:rsidR="008F57FB">
              <w:rPr>
                <w:rFonts w:eastAsia="Times New Roman" w:cs="Calibri"/>
                <w:b/>
                <w:lang w:eastAsia="pl-PL"/>
              </w:rPr>
              <w:t>12</w:t>
            </w:r>
            <w:r w:rsidR="00DA3F83">
              <w:rPr>
                <w:rFonts w:eastAsia="Times New Roman" w:cs="Calibri"/>
                <w:b/>
                <w:lang w:eastAsia="pl-PL"/>
              </w:rPr>
              <w:t>.2019</w:t>
            </w:r>
            <w:r w:rsidR="00152731" w:rsidRPr="00751A05">
              <w:rPr>
                <w:rFonts w:eastAsia="Times New Roman" w:cs="Calibri"/>
                <w:b/>
                <w:lang w:eastAsia="pl-PL"/>
              </w:rPr>
              <w:t xml:space="preserve"> r. do godz. 1</w:t>
            </w:r>
            <w:r w:rsidR="00927AC1">
              <w:rPr>
                <w:rFonts w:eastAsia="Times New Roman" w:cs="Calibri"/>
                <w:b/>
                <w:lang w:eastAsia="pl-PL"/>
              </w:rPr>
              <w:t>1</w:t>
            </w:r>
            <w:r w:rsidR="00152731" w:rsidRPr="00751A05">
              <w:rPr>
                <w:rFonts w:eastAsia="Times New Roman" w:cs="Calibri"/>
                <w:b/>
                <w:lang w:eastAsia="pl-PL"/>
              </w:rPr>
              <w:t>:00</w:t>
            </w:r>
            <w:r w:rsidR="00343320">
              <w:rPr>
                <w:rFonts w:eastAsia="Times New Roman" w:cs="Calibri"/>
                <w:lang w:eastAsia="pl-PL"/>
              </w:rPr>
              <w:t>:</w:t>
            </w:r>
          </w:p>
          <w:p w:rsidR="00751A05" w:rsidRPr="00343320" w:rsidRDefault="00927AC1" w:rsidP="0034332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pl-PL"/>
              </w:rPr>
              <w:t xml:space="preserve">elektronicznie </w:t>
            </w:r>
            <w:r>
              <w:rPr>
                <w:rFonts w:eastAsia="Times New Roman" w:cs="Calibri"/>
                <w:lang w:eastAsia="pl-PL"/>
              </w:rPr>
              <w:t>poprzez</w:t>
            </w:r>
            <w:r w:rsidRPr="00343320">
              <w:rPr>
                <w:rFonts w:eastAsia="Times New Roman" w:cs="Calibri"/>
                <w:lang w:eastAsia="pl-PL"/>
              </w:rPr>
              <w:t xml:space="preserve"> </w:t>
            </w:r>
            <w:r w:rsidR="00C65246" w:rsidRPr="00343320">
              <w:rPr>
                <w:rFonts w:eastAsia="Times New Roman" w:cs="Calibri"/>
                <w:lang w:eastAsia="pl-PL"/>
              </w:rPr>
              <w:t xml:space="preserve">platformę zakupową Open </w:t>
            </w:r>
            <w:proofErr w:type="spellStart"/>
            <w:r w:rsidR="00C65246" w:rsidRPr="00343320">
              <w:rPr>
                <w:rFonts w:eastAsia="Times New Roman" w:cs="Calibri"/>
                <w:lang w:eastAsia="pl-PL"/>
              </w:rPr>
              <w:t>Nexus</w:t>
            </w:r>
            <w:proofErr w:type="spellEnd"/>
          </w:p>
          <w:p w:rsidR="00343320" w:rsidRPr="00343320" w:rsidRDefault="00343320" w:rsidP="0034332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pl-PL"/>
              </w:rPr>
              <w:t>pisemnie do siedziby Zamawiającego przy ul. Rokietnickiej 7, 60-806 Poznań – pok. 024</w:t>
            </w:r>
          </w:p>
          <w:p w:rsidR="00343320" w:rsidRDefault="00343320" w:rsidP="00064B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0B1791">
              <w:rPr>
                <w:rFonts w:cs="Calibri"/>
              </w:rPr>
              <w:t>Oferty złożone w formie papierowej zostaną otwarte niezwłocznie po upływie terminu określonego wg p. IV.</w:t>
            </w:r>
            <w:r>
              <w:rPr>
                <w:rFonts w:cs="Calibri"/>
              </w:rPr>
              <w:t xml:space="preserve">3, </w:t>
            </w:r>
            <w:r w:rsidRPr="000B1791">
              <w:rPr>
                <w:rFonts w:cs="Calibri"/>
              </w:rPr>
              <w:t xml:space="preserve">w siedzibie </w:t>
            </w:r>
            <w:r>
              <w:rPr>
                <w:rFonts w:cs="Calibri"/>
              </w:rPr>
              <w:t>Z</w:t>
            </w:r>
            <w:r w:rsidRPr="000B1791">
              <w:rPr>
                <w:rFonts w:cs="Calibri"/>
              </w:rPr>
              <w:t>amawiaj</w:t>
            </w:r>
            <w:r>
              <w:rPr>
                <w:rFonts w:cs="Calibri"/>
              </w:rPr>
              <w:t xml:space="preserve">ącego przy ul. Rokietnickiej 7 </w:t>
            </w:r>
            <w:r w:rsidRPr="000B1791">
              <w:rPr>
                <w:rFonts w:cs="Calibri"/>
              </w:rPr>
              <w:t xml:space="preserve">w Poznaniu. </w:t>
            </w:r>
            <w:r>
              <w:rPr>
                <w:rFonts w:cs="Calibri"/>
              </w:rPr>
              <w:t>Ich</w:t>
            </w:r>
            <w:r w:rsidRPr="000B1791">
              <w:rPr>
                <w:rFonts w:cs="Calibri"/>
              </w:rPr>
              <w:t xml:space="preserve"> wartoś</w:t>
            </w:r>
            <w:r>
              <w:rPr>
                <w:rFonts w:cs="Calibri"/>
              </w:rPr>
              <w:t>ci</w:t>
            </w:r>
            <w:r w:rsidRPr="000B1791">
              <w:rPr>
                <w:rFonts w:cs="Calibri"/>
              </w:rPr>
              <w:t xml:space="preserve"> zostan</w:t>
            </w:r>
            <w:r>
              <w:rPr>
                <w:rFonts w:cs="Calibri"/>
              </w:rPr>
              <w:t>ą</w:t>
            </w:r>
            <w:r w:rsidRPr="000B1791">
              <w:rPr>
                <w:rFonts w:cs="Calibri"/>
              </w:rPr>
              <w:t xml:space="preserve"> wprowadzon</w:t>
            </w:r>
            <w:r>
              <w:rPr>
                <w:rFonts w:cs="Calibri"/>
              </w:rPr>
              <w:t>e</w:t>
            </w:r>
            <w:r w:rsidRPr="000B1791">
              <w:rPr>
                <w:rFonts w:cs="Calibri"/>
              </w:rPr>
              <w:t xml:space="preserve"> przez Zamawiającego na Platformę zakupową Open </w:t>
            </w:r>
            <w:proofErr w:type="spellStart"/>
            <w:r w:rsidRPr="000B1791">
              <w:rPr>
                <w:rFonts w:cs="Calibri"/>
              </w:rPr>
              <w:t>Nexus</w:t>
            </w:r>
            <w:proofErr w:type="spellEnd"/>
            <w:r w:rsidRPr="000B1791">
              <w:rPr>
                <w:rFonts w:cs="Calibri"/>
              </w:rPr>
              <w:t xml:space="preserve"> po upływie terminu składania ofert.</w:t>
            </w:r>
            <w:r w:rsidRPr="000B1791">
              <w:rPr>
                <w:rFonts w:cs="Calibri"/>
                <w:noProof/>
                <w:lang w:eastAsia="pl-PL"/>
              </w:rPr>
              <w:drawing>
                <wp:inline distT="0" distB="0" distL="0" distR="0" wp14:anchorId="30D34904" wp14:editId="34A4D993">
                  <wp:extent cx="3048" cy="3049"/>
                  <wp:effectExtent l="0" t="0" r="0" b="0"/>
                  <wp:docPr id="9300" name="Picture 9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Picture 9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3EE" w:rsidRPr="00C65246" w:rsidRDefault="007053EE" w:rsidP="00064B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751A05">
              <w:rPr>
                <w:rFonts w:cs="Calibri"/>
              </w:rPr>
              <w:t xml:space="preserve">Termin </w:t>
            </w:r>
            <w:r w:rsidRPr="00C65246">
              <w:rPr>
                <w:rFonts w:cs="Calibri"/>
              </w:rPr>
              <w:t>i miejsce</w:t>
            </w:r>
            <w:r w:rsidRPr="00751A05">
              <w:rPr>
                <w:rFonts w:cs="Calibri"/>
              </w:rPr>
              <w:t xml:space="preserve"> otwarcia: </w:t>
            </w:r>
            <w:r w:rsidR="008F57FB">
              <w:rPr>
                <w:rFonts w:cs="Calibri"/>
                <w:b/>
              </w:rPr>
              <w:t>0</w:t>
            </w:r>
            <w:r w:rsidR="00102545">
              <w:rPr>
                <w:rFonts w:cs="Calibri"/>
                <w:b/>
              </w:rPr>
              <w:t>6</w:t>
            </w:r>
            <w:r w:rsidR="00DA3F83">
              <w:rPr>
                <w:rFonts w:eastAsia="Times New Roman" w:cs="Calibri"/>
                <w:b/>
                <w:lang w:eastAsia="pl-PL"/>
              </w:rPr>
              <w:t>.</w:t>
            </w:r>
            <w:r w:rsidR="008F57FB">
              <w:rPr>
                <w:rFonts w:eastAsia="Times New Roman" w:cs="Calibri"/>
                <w:b/>
                <w:lang w:eastAsia="pl-PL"/>
              </w:rPr>
              <w:t>12</w:t>
            </w:r>
            <w:r w:rsidR="00DA3F83">
              <w:rPr>
                <w:rFonts w:eastAsia="Times New Roman" w:cs="Calibri"/>
                <w:b/>
                <w:lang w:eastAsia="pl-PL"/>
              </w:rPr>
              <w:t>.2019</w:t>
            </w:r>
            <w:r w:rsidR="002B40B4" w:rsidRPr="00751A05">
              <w:rPr>
                <w:rFonts w:cs="Calibri"/>
              </w:rPr>
              <w:t xml:space="preserve"> </w:t>
            </w:r>
            <w:r w:rsidRPr="00751A05">
              <w:rPr>
                <w:rFonts w:cs="Calibri"/>
                <w:b/>
              </w:rPr>
              <w:t xml:space="preserve">r. o godz. </w:t>
            </w:r>
            <w:r w:rsidR="00D70CA8" w:rsidRPr="00751A05">
              <w:rPr>
                <w:rFonts w:cs="Calibri"/>
                <w:b/>
              </w:rPr>
              <w:t>1</w:t>
            </w:r>
            <w:r w:rsidR="00E40C9E">
              <w:rPr>
                <w:rFonts w:cs="Calibri"/>
                <w:b/>
              </w:rPr>
              <w:t>1</w:t>
            </w:r>
            <w:bookmarkStart w:id="0" w:name="_GoBack"/>
            <w:bookmarkEnd w:id="0"/>
            <w:r w:rsidR="00D70CA8" w:rsidRPr="00751A05">
              <w:rPr>
                <w:rFonts w:cs="Calibri"/>
                <w:b/>
              </w:rPr>
              <w:t>:</w:t>
            </w:r>
            <w:r w:rsidR="00102545">
              <w:rPr>
                <w:rFonts w:cs="Calibri"/>
                <w:b/>
              </w:rPr>
              <w:t>1</w:t>
            </w:r>
            <w:r w:rsidR="00D70CA8" w:rsidRPr="00751A05">
              <w:rPr>
                <w:rFonts w:cs="Calibri"/>
                <w:b/>
              </w:rPr>
              <w:t>0</w:t>
            </w:r>
            <w:r w:rsidRPr="00751A05">
              <w:rPr>
                <w:rFonts w:cs="Calibri"/>
              </w:rPr>
              <w:t xml:space="preserve"> </w:t>
            </w:r>
            <w:r w:rsidRPr="00C65246">
              <w:rPr>
                <w:rFonts w:cs="Calibri"/>
              </w:rPr>
              <w:t xml:space="preserve">w siedzibie </w:t>
            </w:r>
            <w:r w:rsidR="00343320">
              <w:rPr>
                <w:rFonts w:cs="Calibri"/>
              </w:rPr>
              <w:t>Z</w:t>
            </w:r>
            <w:r w:rsidRPr="00C65246">
              <w:rPr>
                <w:rFonts w:cs="Calibri"/>
              </w:rPr>
              <w:t xml:space="preserve">amawiającego przy ul. </w:t>
            </w:r>
            <w:r w:rsidR="00D70CA8" w:rsidRPr="00C65246">
              <w:rPr>
                <w:rFonts w:cs="Calibri"/>
              </w:rPr>
              <w:t xml:space="preserve">Rokietnickiej </w:t>
            </w:r>
            <w:r w:rsidR="00751A05" w:rsidRPr="00C65246">
              <w:rPr>
                <w:rFonts w:cs="Calibri"/>
              </w:rPr>
              <w:t>7</w:t>
            </w:r>
            <w:r w:rsidRPr="00C65246">
              <w:rPr>
                <w:rFonts w:cs="Calibri"/>
              </w:rPr>
              <w:t xml:space="preserve"> </w:t>
            </w:r>
            <w:r w:rsidR="00D70CA8" w:rsidRPr="00C65246">
              <w:rPr>
                <w:rFonts w:cs="Calibri"/>
              </w:rPr>
              <w:br/>
            </w:r>
            <w:r w:rsidRPr="00C65246">
              <w:rPr>
                <w:rFonts w:cs="Calibri"/>
              </w:rPr>
              <w:t xml:space="preserve">w </w:t>
            </w:r>
            <w:r w:rsidR="00D70CA8" w:rsidRPr="00C65246">
              <w:rPr>
                <w:rFonts w:cs="Calibri"/>
              </w:rPr>
              <w:t>Poznaniu</w:t>
            </w:r>
            <w:r w:rsidR="00343320">
              <w:rPr>
                <w:rFonts w:cs="Calibri"/>
              </w:rPr>
              <w:t xml:space="preserve"> – pok. nr 0.131</w:t>
            </w:r>
          </w:p>
          <w:p w:rsidR="008F57FB" w:rsidRPr="008F57FB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realizacji zamówienia: </w:t>
            </w:r>
            <w:r w:rsidR="00102545">
              <w:rPr>
                <w:rFonts w:eastAsia="Times New Roman" w:cs="Calibri"/>
                <w:lang w:eastAsia="pl-PL"/>
              </w:rPr>
              <w:t xml:space="preserve">      </w:t>
            </w:r>
            <w:r w:rsidR="00751A05">
              <w:rPr>
                <w:rFonts w:eastAsia="Times New Roman" w:cs="Calibri"/>
                <w:lang w:eastAsia="pl-PL"/>
              </w:rPr>
              <w:t xml:space="preserve"> </w:t>
            </w:r>
            <w:r w:rsidR="00102545" w:rsidRPr="00102545">
              <w:rPr>
                <w:rFonts w:eastAsia="Times New Roman" w:cs="Calibri"/>
                <w:b/>
                <w:lang w:eastAsia="pl-PL"/>
              </w:rPr>
              <w:t>od dnia</w:t>
            </w:r>
            <w:r w:rsidR="008F57FB">
              <w:rPr>
                <w:rFonts w:eastAsia="Times New Roman" w:cs="Calibri"/>
                <w:b/>
                <w:lang w:eastAsia="pl-PL"/>
              </w:rPr>
              <w:t xml:space="preserve">  1</w:t>
            </w:r>
            <w:r w:rsidR="00927AC1">
              <w:rPr>
                <w:rFonts w:eastAsia="Times New Roman" w:cs="Calibri"/>
                <w:b/>
                <w:lang w:eastAsia="pl-PL"/>
              </w:rPr>
              <w:t>0</w:t>
            </w:r>
            <w:r w:rsidR="008F57FB">
              <w:rPr>
                <w:rFonts w:eastAsia="Times New Roman" w:cs="Calibri"/>
                <w:b/>
                <w:lang w:eastAsia="pl-PL"/>
              </w:rPr>
              <w:t>.12.2019 r.  lub dnia</w:t>
            </w:r>
            <w:r w:rsidR="00102545" w:rsidRPr="00102545">
              <w:rPr>
                <w:rFonts w:eastAsia="Times New Roman" w:cs="Calibri"/>
                <w:b/>
                <w:lang w:eastAsia="pl-PL"/>
              </w:rPr>
              <w:t xml:space="preserve"> podpisania umowy</w:t>
            </w:r>
            <w:r w:rsidR="008F57FB">
              <w:rPr>
                <w:rFonts w:eastAsia="Times New Roman" w:cs="Calibri"/>
                <w:b/>
                <w:lang w:eastAsia="pl-PL"/>
              </w:rPr>
              <w:t>, jeżeli nastąpi później</w:t>
            </w:r>
          </w:p>
          <w:p w:rsidR="001B677E" w:rsidRPr="0088546A" w:rsidRDefault="00102545" w:rsidP="008F57FB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D63A9"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lang w:eastAsia="pl-PL"/>
              </w:rPr>
              <w:t xml:space="preserve">         </w:t>
            </w:r>
            <w:r w:rsidR="001B677E">
              <w:rPr>
                <w:rFonts w:eastAsia="Times New Roman" w:cs="Calibri"/>
                <w:b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lang w:eastAsia="pl-PL"/>
              </w:rPr>
              <w:t xml:space="preserve">     </w:t>
            </w:r>
            <w:r w:rsidR="008F57FB">
              <w:rPr>
                <w:rFonts w:eastAsia="Times New Roman" w:cs="Calibri"/>
                <w:b/>
                <w:lang w:eastAsia="pl-PL"/>
              </w:rPr>
              <w:t xml:space="preserve">                                                    do dnia</w:t>
            </w:r>
            <w:r>
              <w:rPr>
                <w:rFonts w:eastAsia="Times New Roman" w:cs="Calibri"/>
                <w:b/>
                <w:lang w:eastAsia="pl-PL"/>
              </w:rPr>
              <w:t xml:space="preserve">  </w:t>
            </w:r>
            <w:r w:rsidR="008F57FB">
              <w:rPr>
                <w:rFonts w:eastAsia="Times New Roman" w:cs="Calibri"/>
                <w:b/>
                <w:lang w:eastAsia="pl-PL"/>
              </w:rPr>
              <w:t>31</w:t>
            </w:r>
            <w:r>
              <w:rPr>
                <w:rFonts w:eastAsia="Times New Roman" w:cs="Calibri"/>
                <w:b/>
                <w:lang w:eastAsia="pl-PL"/>
              </w:rPr>
              <w:t>.1</w:t>
            </w:r>
            <w:r w:rsidR="008F57FB">
              <w:rPr>
                <w:rFonts w:eastAsia="Times New Roman" w:cs="Calibri"/>
                <w:b/>
                <w:lang w:eastAsia="pl-PL"/>
              </w:rPr>
              <w:t>2</w:t>
            </w:r>
            <w:r>
              <w:rPr>
                <w:rFonts w:eastAsia="Times New Roman" w:cs="Calibri"/>
                <w:b/>
                <w:lang w:eastAsia="pl-PL"/>
              </w:rPr>
              <w:t>.20</w:t>
            </w:r>
            <w:r w:rsidR="008F57FB">
              <w:rPr>
                <w:rFonts w:eastAsia="Times New Roman" w:cs="Calibri"/>
                <w:b/>
                <w:lang w:eastAsia="pl-PL"/>
              </w:rPr>
              <w:t>20</w:t>
            </w:r>
            <w:r>
              <w:rPr>
                <w:rFonts w:eastAsia="Times New Roman" w:cs="Calibri"/>
                <w:b/>
                <w:lang w:eastAsia="pl-PL"/>
              </w:rPr>
              <w:t xml:space="preserve"> r.</w:t>
            </w:r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związania ofertą: </w:t>
            </w:r>
            <w:r w:rsidR="008F57FB">
              <w:rPr>
                <w:rFonts w:eastAsia="Times New Roman" w:cs="Calibri"/>
                <w:b/>
                <w:lang w:eastAsia="pl-PL"/>
              </w:rPr>
              <w:t>14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dni. </w:t>
            </w:r>
            <w:r w:rsidRPr="00EC6222">
              <w:rPr>
                <w:rFonts w:eastAsia="Times New Roman" w:cs="Calibri"/>
                <w:sz w:val="20"/>
                <w:lang w:eastAsia="pl-PL"/>
              </w:rPr>
              <w:t>Bieg terminu związania ofertą rozpoczyna się wraz z upływem terminu składania ofert.</w:t>
            </w:r>
          </w:p>
          <w:p w:rsidR="007053EE" w:rsidRPr="00343320" w:rsidRDefault="007053EE" w:rsidP="00D70CA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8F57FB">
              <w:rPr>
                <w:rFonts w:eastAsia="Times New Roman" w:cs="Calibri"/>
                <w:lang w:eastAsia="pl-PL"/>
              </w:rPr>
              <w:t xml:space="preserve">  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  <w:p w:rsidR="00343320" w:rsidRPr="0088546A" w:rsidRDefault="00D9307B" w:rsidP="00D930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 przypadku przygotowania oferty w</w:t>
            </w:r>
            <w:r w:rsidR="00B524C6">
              <w:rPr>
                <w:rFonts w:eastAsia="Times New Roman" w:cs="Calibri"/>
                <w:lang w:eastAsia="pl-PL"/>
              </w:rPr>
              <w:t xml:space="preserve"> pisemnej</w:t>
            </w:r>
            <w:r>
              <w:rPr>
                <w:rFonts w:eastAsia="Times New Roman" w:cs="Calibri"/>
                <w:lang w:eastAsia="pl-PL"/>
              </w:rPr>
              <w:t xml:space="preserve"> formie papierowej </w:t>
            </w:r>
            <w:r>
              <w:rPr>
                <w:rFonts w:asciiTheme="minorHAnsi" w:eastAsia="Verdana" w:hAnsiTheme="minorHAnsi" w:cstheme="minorHAnsi"/>
                <w:bCs/>
                <w:szCs w:val="24"/>
              </w:rPr>
              <w:t>o</w:t>
            </w:r>
            <w:r w:rsidRPr="001E3ED4">
              <w:rPr>
                <w:rFonts w:asciiTheme="minorHAnsi" w:eastAsia="Verdana" w:hAnsiTheme="minorHAnsi" w:cstheme="minorHAnsi"/>
                <w:bCs/>
                <w:szCs w:val="24"/>
              </w:rPr>
              <w:t>fertę należy umieścić w zamkniętym opakowaniu, uniemożliwiającym odczytanie jego zawartości bez uszkodzenia tego opakowania. Opakowanie powinno być oznaczone nazwą (firmą) i adresem Wykonawcy, zaadresowane następująco:</w:t>
            </w:r>
          </w:p>
        </w:tc>
      </w:tr>
    </w:tbl>
    <w:p w:rsidR="00343320" w:rsidRDefault="00343320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814F6A" wp14:editId="52D0647B">
                <wp:simplePos x="0" y="0"/>
                <wp:positionH relativeFrom="column">
                  <wp:posOffset>619125</wp:posOffset>
                </wp:positionH>
                <wp:positionV relativeFrom="paragraph">
                  <wp:posOffset>-109855</wp:posOffset>
                </wp:positionV>
                <wp:extent cx="5362575" cy="2155825"/>
                <wp:effectExtent l="0" t="0" r="28575" b="1587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155825"/>
                        </a:xfrm>
                        <a:prstGeom prst="roundRect">
                          <a:avLst>
                            <a:gd name="adj" fmla="val 12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07B" w:rsidRDefault="00D9307B" w:rsidP="00FA4F7F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4D5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Pieczęć adresowa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Wykonawc</w:t>
                            </w:r>
                            <w:r w:rsidRPr="00354D5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9307B" w:rsidRPr="00037236" w:rsidRDefault="00D9307B" w:rsidP="00404434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ind w:left="2835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Uniwersytet Medyczny im. Karola Marcinkowskiego</w:t>
                            </w:r>
                          </w:p>
                          <w:p w:rsidR="00D9307B" w:rsidRPr="00037236" w:rsidRDefault="00D9307B" w:rsidP="00404434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ind w:left="2835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ul.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Rokietnicka 7</w:t>
                            </w: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, pok.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0.24</w:t>
                            </w: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 6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806</w:t>
                            </w: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Poznań</w:t>
                            </w:r>
                          </w:p>
                          <w:p w:rsidR="00D9307B" w:rsidRDefault="00D9307B" w:rsidP="00404434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ind w:left="2835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Dział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Inwestycyjno-Techniczny</w:t>
                            </w:r>
                          </w:p>
                          <w:p w:rsidR="00D9307B" w:rsidRDefault="00D9307B" w:rsidP="00404434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ind w:left="2835"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D9307B" w:rsidRPr="00037236" w:rsidRDefault="00D9307B" w:rsidP="00037236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307B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0"/>
                              </w:rPr>
                              <w:t>Oferta</w:t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prowadzenie stałej konserwacji i utrzymania ruchu,</w:t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świadczenie usług „pogotowia dźwigowego” oraz wykonywanie napraw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urządzeń dźwigowych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Grupu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II,</w:t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zainstalowanych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w obiektach Uniwersytetu Medycznego</w:t>
                            </w:r>
                          </w:p>
                          <w:p w:rsidR="00D9307B" w:rsidRPr="00037236" w:rsidRDefault="00D9307B" w:rsidP="00037236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3723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im. Karola Marcinkowskiego w Poznaniu </w:t>
                            </w:r>
                          </w:p>
                          <w:p w:rsidR="00D9307B" w:rsidRPr="000C53AB" w:rsidRDefault="00D9307B" w:rsidP="00037236">
                            <w:pPr>
                              <w:tabs>
                                <w:tab w:val="left" w:pos="1560"/>
                                <w:tab w:val="left" w:pos="1843"/>
                                <w:tab w:val="left" w:pos="2268"/>
                              </w:tabs>
                              <w:spacing w:before="120"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03723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nie otwierać przed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Pr="00D9307B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D9307B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307B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r. godz. </w:t>
                            </w:r>
                            <w:r w:rsidR="00927AC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48.75pt;margin-top:-8.65pt;width:422.25pt;height:1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" o:allowincell="f">
                <v:textbox>
                  <w:txbxContent>
                    <w:p w:rsidR="00D9307B" w:rsidRDefault="00D9307B" w:rsidP="00FA4F7F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4D5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Pieczęć adresowa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Wykonawc</w:t>
                      </w:r>
                      <w:r w:rsidRPr="00354D5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y</w:t>
                      </w:r>
                    </w:p>
                    <w:p w:rsidR="00D9307B" w:rsidRPr="00037236" w:rsidRDefault="00D9307B" w:rsidP="00404434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ind w:left="283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Uniwersytet Medyczny im. Karola Marcinkowskiego</w:t>
                      </w:r>
                    </w:p>
                    <w:p w:rsidR="00D9307B" w:rsidRPr="00037236" w:rsidRDefault="00D9307B" w:rsidP="00404434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ind w:left="283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ul.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Rokietnicka 7</w:t>
                      </w: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, pok.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0.24</w:t>
                      </w: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 6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0</w:t>
                      </w: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806</w:t>
                      </w: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Poznań</w:t>
                      </w:r>
                    </w:p>
                    <w:p w:rsidR="00D9307B" w:rsidRDefault="00D9307B" w:rsidP="00404434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ind w:left="283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Dział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Inwestycyjno-Techniczny</w:t>
                      </w:r>
                    </w:p>
                    <w:p w:rsidR="00D9307B" w:rsidRDefault="00D9307B" w:rsidP="00404434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ind w:left="283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D9307B" w:rsidRPr="00037236" w:rsidRDefault="00D9307B" w:rsidP="00037236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9307B">
                        <w:rPr>
                          <w:rFonts w:ascii="Arial Narrow" w:hAnsi="Arial Narrow" w:cs="Arial"/>
                          <w:b/>
                          <w:sz w:val="24"/>
                          <w:szCs w:val="20"/>
                        </w:rPr>
                        <w:t>Oferta</w:t>
                      </w:r>
                      <w:r w:rsidRPr="00037236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</w:r>
                      <w:r w:rsidRPr="00037236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na </w:t>
                      </w:r>
                      <w:r w:rsidRPr="0003723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prowadzenie stałej konserwacji i utrzymania ruchu,</w:t>
                      </w:r>
                      <w:r w:rsidRPr="0003723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br/>
                        <w:t xml:space="preserve">świadczenie usług „pogotowia dźwigowego” oraz wykonywanie napraw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03723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urządzeń dźwigowych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Grupu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II,</w:t>
                      </w:r>
                      <w:r w:rsidRPr="0003723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zainstalowanych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3723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w obiektach Uniwersytetu Medycznego</w:t>
                      </w:r>
                    </w:p>
                    <w:p w:rsidR="00D9307B" w:rsidRPr="00037236" w:rsidRDefault="00D9307B" w:rsidP="00037236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03723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im. Karola Marcinkowskiego w Poznaniu </w:t>
                      </w:r>
                    </w:p>
                    <w:p w:rsidR="00D9307B" w:rsidRPr="000C53AB" w:rsidRDefault="00D9307B" w:rsidP="00037236">
                      <w:pPr>
                        <w:tabs>
                          <w:tab w:val="left" w:pos="1560"/>
                          <w:tab w:val="left" w:pos="1843"/>
                          <w:tab w:val="left" w:pos="2268"/>
                        </w:tabs>
                        <w:spacing w:before="120"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03723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nie otwierać przed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06</w:t>
                      </w:r>
                      <w:r w:rsidRPr="00D9307B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D9307B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9307B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r. godz. </w:t>
                      </w:r>
                      <w:r w:rsidR="00927AC1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:10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D9307B" w:rsidRDefault="00D9307B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343320" w:rsidRPr="00343320" w:rsidRDefault="00343320" w:rsidP="00343320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</w:p>
    <w:p w:rsidR="00343320" w:rsidRDefault="00343320" w:rsidP="00343320">
      <w:pPr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EC6222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SPOSÓB OCENY I </w:t>
      </w:r>
      <w:r w:rsidR="007053EE" w:rsidRPr="002C3635">
        <w:rPr>
          <w:rFonts w:eastAsia="Times New Roman" w:cs="Calibri"/>
          <w:b/>
          <w:sz w:val="24"/>
          <w:szCs w:val="24"/>
          <w:lang w:eastAsia="pl-PL"/>
        </w:rPr>
        <w:t>KRYTERI</w:t>
      </w:r>
      <w:r>
        <w:rPr>
          <w:rFonts w:eastAsia="Times New Roman" w:cs="Calibri"/>
          <w:b/>
          <w:sz w:val="24"/>
          <w:szCs w:val="24"/>
          <w:lang w:eastAsia="pl-PL"/>
        </w:rPr>
        <w:t>A</w:t>
      </w:r>
      <w:r w:rsidR="007053EE" w:rsidRPr="002C3635">
        <w:rPr>
          <w:rFonts w:eastAsia="Times New Roman" w:cs="Calibri"/>
          <w:b/>
          <w:sz w:val="24"/>
          <w:szCs w:val="24"/>
          <w:lang w:eastAsia="pl-PL"/>
        </w:rPr>
        <w:t xml:space="preserve"> OCENY OFERT</w:t>
      </w:r>
    </w:p>
    <w:p w:rsidR="00EC6222" w:rsidRDefault="00EC6222" w:rsidP="00EC6222">
      <w:pPr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B90CA8" w:rsidTr="001F3CBA">
        <w:tc>
          <w:tcPr>
            <w:tcW w:w="10606" w:type="dxa"/>
          </w:tcPr>
          <w:p w:rsidR="007053EE" w:rsidRDefault="00EC6222" w:rsidP="00EC62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C6222">
              <w:rPr>
                <w:szCs w:val="20"/>
              </w:rPr>
              <w:t>Ocena dokonywana będzie dla każdej oferty i dla każdego z wydzielonych zadań (nr 1 - 4) odrębnie</w:t>
            </w:r>
            <w:r w:rsidRPr="00EC6222">
              <w:rPr>
                <w:rFonts w:eastAsia="Times New Roman" w:cs="Calibri"/>
                <w:sz w:val="24"/>
                <w:lang w:eastAsia="pl-PL"/>
              </w:rPr>
              <w:t xml:space="preserve"> </w:t>
            </w:r>
          </w:p>
          <w:p w:rsidR="00EC6222" w:rsidRPr="00EC6222" w:rsidRDefault="00EC6222" w:rsidP="00EC62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C6222">
              <w:rPr>
                <w:szCs w:val="20"/>
              </w:rPr>
              <w:t>Za najkorzystniejszą dla każdego z wyodrębnionych zadań zostanie uznana oferta, która uzyska największą ilość punktów, wg wzoru:</w:t>
            </w:r>
          </w:p>
          <w:p w:rsidR="00EC6222" w:rsidRPr="0039515B" w:rsidRDefault="00EC6222" w:rsidP="00EC6222">
            <w:pPr>
              <w:spacing w:after="0" w:line="240" w:lineRule="auto"/>
              <w:ind w:left="2832"/>
              <w:jc w:val="both"/>
              <w:rPr>
                <w:b/>
                <w:szCs w:val="20"/>
              </w:rPr>
            </w:pPr>
            <w:r w:rsidRPr="0039515B">
              <w:rPr>
                <w:b/>
                <w:szCs w:val="20"/>
              </w:rPr>
              <w:t>P</w:t>
            </w:r>
            <w:r w:rsidRPr="0039515B">
              <w:rPr>
                <w:b/>
                <w:szCs w:val="20"/>
                <w:vertAlign w:val="subscript"/>
              </w:rPr>
              <w:t>Z</w:t>
            </w:r>
            <w:r w:rsidRPr="0039515B">
              <w:rPr>
                <w:b/>
                <w:szCs w:val="20"/>
              </w:rPr>
              <w:t xml:space="preserve"> = PCK + PR </w:t>
            </w:r>
            <w:r w:rsidR="0039515B" w:rsidRPr="0039515B">
              <w:rPr>
                <w:b/>
                <w:szCs w:val="20"/>
              </w:rPr>
              <w:t xml:space="preserve">+ PKZ </w:t>
            </w:r>
            <w:r w:rsidRPr="0039515B">
              <w:rPr>
                <w:b/>
                <w:szCs w:val="20"/>
              </w:rPr>
              <w:t>+ PCR + PG</w:t>
            </w:r>
          </w:p>
          <w:p w:rsidR="00EC6222" w:rsidRPr="00EC6222" w:rsidRDefault="00EC6222" w:rsidP="00EC6222">
            <w:pPr>
              <w:spacing w:after="0" w:line="240" w:lineRule="auto"/>
              <w:ind w:left="426"/>
              <w:rPr>
                <w:szCs w:val="20"/>
              </w:rPr>
            </w:pPr>
            <w:r w:rsidRPr="00EC6222">
              <w:rPr>
                <w:szCs w:val="20"/>
              </w:rPr>
              <w:t xml:space="preserve">gdzie: </w:t>
            </w:r>
          </w:p>
          <w:p w:rsidR="00DD059C" w:rsidRPr="00EC6222" w:rsidRDefault="00EC6222" w:rsidP="00EC6222">
            <w:pPr>
              <w:spacing w:after="0" w:line="240" w:lineRule="auto"/>
              <w:ind w:left="1134"/>
              <w:rPr>
                <w:sz w:val="24"/>
                <w:szCs w:val="20"/>
              </w:rPr>
            </w:pPr>
            <w:r w:rsidRPr="00EC6222">
              <w:rPr>
                <w:szCs w:val="20"/>
              </w:rPr>
              <w:t>P</w:t>
            </w:r>
            <w:r>
              <w:rPr>
                <w:szCs w:val="20"/>
                <w:vertAlign w:val="subscript"/>
              </w:rPr>
              <w:t>Z</w:t>
            </w:r>
            <w:r w:rsidRPr="00EC6222">
              <w:rPr>
                <w:szCs w:val="20"/>
                <w:vertAlign w:val="subscript"/>
              </w:rPr>
              <w:tab/>
            </w:r>
            <w:r w:rsidRPr="00EC6222">
              <w:rPr>
                <w:szCs w:val="20"/>
              </w:rPr>
              <w:t xml:space="preserve">– ilość punktów uzyskanych przez ofertę </w:t>
            </w:r>
            <w:r>
              <w:rPr>
                <w:szCs w:val="20"/>
              </w:rPr>
              <w:t>w poniżej określonych kryteriach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W w:w="10347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709"/>
        <w:gridCol w:w="7087"/>
      </w:tblGrid>
      <w:tr w:rsidR="00EC6222" w:rsidRPr="006F5A4D" w:rsidTr="00EC6222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Cena  - koszt czynności konserwacyjnych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60%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Proporcje matematyczne wg wzoru:</w:t>
            </w:r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PCK= (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CK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min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CK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)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gdzie:</w:t>
            </w:r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PCK </w:t>
            </w:r>
            <w:r w:rsidRPr="006F5A4D">
              <w:rPr>
                <w:bCs/>
                <w:color w:val="000000"/>
                <w:sz w:val="18"/>
                <w:szCs w:val="18"/>
              </w:rPr>
              <w:t>– ilość punktów przyznana danemu kryterium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CK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min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Cs/>
                <w:color w:val="000000"/>
                <w:sz w:val="18"/>
                <w:szCs w:val="18"/>
              </w:rPr>
              <w:t>– najniższa cena za konserwację spośród cen za konserwację wszystkich ofert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CK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Cs/>
                <w:color w:val="000000"/>
                <w:sz w:val="18"/>
                <w:szCs w:val="18"/>
              </w:rPr>
              <w:t>– cena za konserwację badanej oferty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6F5A4D">
              <w:rPr>
                <w:bCs/>
                <w:color w:val="000000"/>
                <w:sz w:val="18"/>
                <w:szCs w:val="18"/>
              </w:rPr>
              <w:t xml:space="preserve">-   współczynnik proporcjonalności = 100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6F5A4D">
              <w:rPr>
                <w:bCs/>
                <w:color w:val="000000"/>
                <w:sz w:val="18"/>
                <w:szCs w:val="18"/>
              </w:rPr>
              <w:t>– waga kryterium ceny = 60%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C6222" w:rsidRPr="006F5A4D" w:rsidTr="00EC6222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2</w:t>
            </w:r>
          </w:p>
          <w:p w:rsidR="00EC6222" w:rsidRPr="006F5A4D" w:rsidRDefault="00EC6222" w:rsidP="005D1080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Stawka robocizny dla kalkulacji kosztów napraw</w:t>
            </w:r>
          </w:p>
          <w:p w:rsidR="00EC6222" w:rsidRPr="006F5A4D" w:rsidRDefault="00EC6222" w:rsidP="005D1080">
            <w:pPr>
              <w:spacing w:before="60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(wg § 5 ust, 3 umowy)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Proporcje matematyczne wg wzoru:</w:t>
            </w:r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PR= (R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br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 xml:space="preserve">min 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/ 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br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)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gdzie: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b/>
                <w:sz w:val="18"/>
              </w:rPr>
              <w:t xml:space="preserve">PR </w:t>
            </w:r>
            <w:r w:rsidRPr="006F5A4D">
              <w:rPr>
                <w:rFonts w:ascii="Times New Roman" w:hAnsi="Times New Roman"/>
                <w:bCs/>
                <w:sz w:val="18"/>
              </w:rPr>
              <w:t>– ilość punktów przyznana danemu kryterium</w:t>
            </w:r>
            <w:r w:rsidRPr="006F5A4D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6F5A4D">
              <w:rPr>
                <w:rFonts w:ascii="Times New Roman" w:hAnsi="Times New Roman"/>
                <w:b/>
                <w:sz w:val="18"/>
              </w:rPr>
              <w:br/>
              <w:t xml:space="preserve">R </w:t>
            </w:r>
            <w:proofErr w:type="spellStart"/>
            <w:r w:rsidRPr="006F5A4D">
              <w:rPr>
                <w:rFonts w:ascii="Times New Roman" w:hAnsi="Times New Roman"/>
                <w:b/>
                <w:sz w:val="18"/>
              </w:rPr>
              <w:t>br</w:t>
            </w:r>
            <w:proofErr w:type="spellEnd"/>
            <w:r w:rsidRPr="006F5A4D">
              <w:rPr>
                <w:rFonts w:ascii="Times New Roman" w:hAnsi="Times New Roman"/>
                <w:b/>
                <w:sz w:val="18"/>
              </w:rPr>
              <w:t xml:space="preserve"> – </w:t>
            </w:r>
            <w:r w:rsidRPr="006F5A4D">
              <w:rPr>
                <w:rFonts w:ascii="Times New Roman" w:hAnsi="Times New Roman"/>
                <w:sz w:val="18"/>
              </w:rPr>
              <w:t>jednostkowa stawka robocizny (netto) z narzutami kosztów ogólnych i zysku obliczona wg wzoru: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b/>
                <w:sz w:val="18"/>
              </w:rPr>
            </w:pPr>
            <w:r w:rsidRPr="006F5A4D">
              <w:rPr>
                <w:rFonts w:ascii="Times New Roman" w:hAnsi="Times New Roman"/>
                <w:b/>
                <w:sz w:val="18"/>
              </w:rPr>
              <w:t xml:space="preserve">R </w:t>
            </w:r>
            <w:proofErr w:type="spellStart"/>
            <w:r w:rsidRPr="006F5A4D">
              <w:rPr>
                <w:rFonts w:ascii="Times New Roman" w:hAnsi="Times New Roman"/>
                <w:b/>
                <w:sz w:val="18"/>
              </w:rPr>
              <w:t>br</w:t>
            </w:r>
            <w:proofErr w:type="spellEnd"/>
            <w:r w:rsidRPr="006F5A4D">
              <w:rPr>
                <w:rFonts w:ascii="Times New Roman" w:hAnsi="Times New Roman"/>
                <w:b/>
                <w:sz w:val="18"/>
              </w:rPr>
              <w:t xml:space="preserve"> = R x ( 1 + Ko / 100 ) x ( 1 + Z / 100 )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b/>
                <w:sz w:val="18"/>
              </w:rPr>
              <w:t>R</w:t>
            </w:r>
            <w:r w:rsidRPr="006F5A4D">
              <w:rPr>
                <w:rFonts w:ascii="Times New Roman" w:hAnsi="Times New Roman"/>
                <w:sz w:val="18"/>
              </w:rPr>
              <w:t xml:space="preserve"> – jednostkowa stawka roboczogodziny kalkulacyjnej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b/>
                <w:sz w:val="18"/>
              </w:rPr>
              <w:t>Ko</w:t>
            </w:r>
            <w:r w:rsidRPr="006F5A4D">
              <w:rPr>
                <w:rFonts w:ascii="Times New Roman" w:hAnsi="Times New Roman"/>
                <w:sz w:val="18"/>
              </w:rPr>
              <w:t xml:space="preserve"> – narzut kosztów ogólnych wyrażony w [%]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b/>
                <w:sz w:val="18"/>
              </w:rPr>
              <w:t>Z</w:t>
            </w:r>
            <w:r w:rsidRPr="006F5A4D">
              <w:rPr>
                <w:rFonts w:ascii="Times New Roman" w:hAnsi="Times New Roman"/>
                <w:sz w:val="18"/>
              </w:rPr>
              <w:t xml:space="preserve"> – narzut zysku wyrażony w [%]</w:t>
            </w:r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br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min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Cs/>
                <w:color w:val="000000"/>
                <w:sz w:val="18"/>
                <w:szCs w:val="18"/>
              </w:rPr>
              <w:t xml:space="preserve">– 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br</w:t>
            </w:r>
            <w:proofErr w:type="spellEnd"/>
            <w:r w:rsidRPr="006F5A4D">
              <w:rPr>
                <w:bCs/>
                <w:color w:val="000000"/>
                <w:sz w:val="18"/>
                <w:szCs w:val="18"/>
              </w:rPr>
              <w:t xml:space="preserve"> najniższa wartość spośród badanych ofert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  <w:t xml:space="preserve">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br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Cs/>
                <w:color w:val="000000"/>
                <w:sz w:val="18"/>
                <w:szCs w:val="18"/>
              </w:rPr>
              <w:t xml:space="preserve">– 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br</w:t>
            </w:r>
            <w:proofErr w:type="spellEnd"/>
            <w:r w:rsidRPr="006F5A4D">
              <w:rPr>
                <w:bCs/>
                <w:color w:val="000000"/>
                <w:sz w:val="18"/>
                <w:szCs w:val="18"/>
              </w:rPr>
              <w:t xml:space="preserve"> badanej oferty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6F5A4D">
              <w:rPr>
                <w:bCs/>
                <w:color w:val="000000"/>
                <w:sz w:val="18"/>
                <w:szCs w:val="18"/>
              </w:rPr>
              <w:t xml:space="preserve">-   współczynnik proporcjonalności = 100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6F5A4D">
              <w:rPr>
                <w:bCs/>
                <w:color w:val="000000"/>
                <w:sz w:val="18"/>
                <w:szCs w:val="18"/>
              </w:rPr>
              <w:t>– waga kryterium stawki robocizny dla napraw = 10%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C6222" w:rsidRPr="006F5A4D" w:rsidTr="00EC6222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Marża do materiałów dla kalkulacji kosztów napraw (wg § 5 ust, 3 umowy)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5%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Proporcje matematyczne wg wzoru:</w:t>
            </w:r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PKZ = (KZ 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min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/ KZ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)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KP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</w:p>
          <w:p w:rsidR="00EC6222" w:rsidRPr="006F5A4D" w:rsidRDefault="00EC6222" w:rsidP="0039515B">
            <w:pPr>
              <w:tabs>
                <w:tab w:val="left" w:pos="990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gdzie:</w:t>
            </w:r>
          </w:p>
          <w:p w:rsidR="00EC6222" w:rsidRPr="006F5A4D" w:rsidRDefault="00EC6222" w:rsidP="0039515B">
            <w:pPr>
              <w:tabs>
                <w:tab w:val="left" w:pos="990"/>
              </w:tabs>
              <w:spacing w:after="0"/>
              <w:rPr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PZK – </w:t>
            </w:r>
            <w:r w:rsidRPr="006F5A4D">
              <w:rPr>
                <w:color w:val="000000"/>
                <w:sz w:val="18"/>
                <w:szCs w:val="18"/>
              </w:rPr>
              <w:t>ilość punktów przyznana danemu kryterium</w:t>
            </w:r>
          </w:p>
          <w:p w:rsidR="00EC6222" w:rsidRPr="006F5A4D" w:rsidRDefault="00EC6222" w:rsidP="0039515B">
            <w:pPr>
              <w:tabs>
                <w:tab w:val="left" w:pos="990"/>
              </w:tabs>
              <w:spacing w:after="0"/>
              <w:rPr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KZ</w:t>
            </w:r>
            <w:r w:rsidRPr="006F5A4D">
              <w:rPr>
                <w:color w:val="000000"/>
                <w:sz w:val="18"/>
                <w:szCs w:val="18"/>
              </w:rPr>
              <w:t xml:space="preserve"> – wartość marży doliczanej do ceny zakupu części zamiennych i materiałów niezbędnych do </w:t>
            </w:r>
            <w:r w:rsidRPr="006F5A4D">
              <w:rPr>
                <w:color w:val="000000"/>
                <w:sz w:val="18"/>
                <w:szCs w:val="18"/>
              </w:rPr>
              <w:lastRenderedPageBreak/>
              <w:t>wykonania naprawy, wyrażona stawką procentową</w:t>
            </w:r>
          </w:p>
          <w:p w:rsidR="00EC6222" w:rsidRPr="006F5A4D" w:rsidRDefault="00EC6222" w:rsidP="0039515B">
            <w:pPr>
              <w:tabs>
                <w:tab w:val="left" w:pos="990"/>
              </w:tabs>
              <w:spacing w:after="0"/>
              <w:rPr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KZ 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min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Pr="006F5A4D">
              <w:rPr>
                <w:color w:val="000000"/>
                <w:sz w:val="18"/>
                <w:szCs w:val="18"/>
              </w:rPr>
              <w:t>najniższa wartość marży procentowej KZ spośród badanych ofert</w:t>
            </w:r>
          </w:p>
          <w:p w:rsidR="00EC6222" w:rsidRPr="006F5A4D" w:rsidRDefault="00EC6222" w:rsidP="0039515B">
            <w:pPr>
              <w:tabs>
                <w:tab w:val="left" w:pos="990"/>
              </w:tabs>
              <w:spacing w:after="0"/>
              <w:rPr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KZ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Pr="006F5A4D">
              <w:rPr>
                <w:color w:val="000000"/>
                <w:sz w:val="18"/>
                <w:szCs w:val="18"/>
              </w:rPr>
              <w:t>wartość marży procentowej KZ dla badanej oferty</w:t>
            </w:r>
          </w:p>
          <w:p w:rsidR="00EC6222" w:rsidRPr="006F5A4D" w:rsidRDefault="00EC6222" w:rsidP="0039515B">
            <w:pPr>
              <w:tabs>
                <w:tab w:val="left" w:pos="990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6F5A4D">
              <w:rPr>
                <w:bCs/>
                <w:color w:val="000000"/>
                <w:sz w:val="18"/>
                <w:szCs w:val="18"/>
              </w:rPr>
              <w:t xml:space="preserve">-   współczynnik proporcjonalności = 100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6F5A4D">
              <w:rPr>
                <w:bCs/>
                <w:color w:val="000000"/>
                <w:sz w:val="18"/>
                <w:szCs w:val="18"/>
              </w:rPr>
              <w:t>– waga kryterium marży do materiałów dla napraw = 5%</w:t>
            </w:r>
          </w:p>
        </w:tc>
      </w:tr>
      <w:tr w:rsidR="00EC6222" w:rsidRPr="006F5A4D" w:rsidTr="00EC6222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Czas reakcji (zgodnie z § 6 ust. 8 umowy)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15%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Proporcje matematyczne wg wzoru:</w:t>
            </w:r>
          </w:p>
          <w:p w:rsidR="00EC6222" w:rsidRPr="006F5A4D" w:rsidRDefault="00EC6222" w:rsidP="005D1080">
            <w:pPr>
              <w:tabs>
                <w:tab w:val="left" w:pos="990"/>
              </w:tabs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PCR= ( PCR </w:t>
            </w:r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 xml:space="preserve">max </w:t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/ PCR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)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Pr="006F5A4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proofErr w:type="spellStart"/>
            <w:r w:rsidRPr="006F5A4D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</w:p>
          <w:p w:rsidR="00EC6222" w:rsidRPr="006F5A4D" w:rsidRDefault="00EC6222" w:rsidP="0039515B">
            <w:pPr>
              <w:tabs>
                <w:tab w:val="left" w:pos="990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gdzie: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  <w:t xml:space="preserve">PCR </w:t>
            </w:r>
            <w:r w:rsidRPr="006F5A4D">
              <w:rPr>
                <w:color w:val="000000"/>
                <w:sz w:val="18"/>
                <w:szCs w:val="18"/>
              </w:rPr>
              <w:t xml:space="preserve">– ilość punktów przyznana danemu kryterium </w:t>
            </w:r>
            <w:r w:rsidRPr="006F5A4D">
              <w:rPr>
                <w:color w:val="000000"/>
                <w:sz w:val="18"/>
                <w:szCs w:val="18"/>
              </w:rPr>
              <w:br/>
            </w:r>
            <w:r w:rsidRPr="006F5A4D">
              <w:rPr>
                <w:b/>
                <w:color w:val="000000"/>
                <w:sz w:val="18"/>
                <w:szCs w:val="18"/>
              </w:rPr>
              <w:t xml:space="preserve">PCR </w:t>
            </w:r>
            <w:r w:rsidRPr="006F5A4D">
              <w:rPr>
                <w:b/>
                <w:color w:val="000000"/>
                <w:position w:val="-5"/>
                <w:sz w:val="18"/>
                <w:szCs w:val="18"/>
                <w:vertAlign w:val="subscript"/>
              </w:rPr>
              <w:t>max</w:t>
            </w:r>
            <w:r w:rsidRPr="006F5A4D">
              <w:rPr>
                <w:color w:val="000000"/>
                <w:sz w:val="18"/>
                <w:szCs w:val="18"/>
              </w:rPr>
              <w:t xml:space="preserve"> – najkrótszy czas reakcji spośród badanych ofert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b/>
                <w:sz w:val="18"/>
              </w:rPr>
              <w:t xml:space="preserve">PCR </w:t>
            </w:r>
            <w:proofErr w:type="spellStart"/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>bad</w:t>
            </w:r>
            <w:proofErr w:type="spellEnd"/>
            <w:r w:rsidRPr="006F5A4D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6F5A4D">
              <w:rPr>
                <w:rFonts w:ascii="Times New Roman" w:hAnsi="Times New Roman"/>
                <w:sz w:val="18"/>
              </w:rPr>
              <w:t>– czas reakcji w badanej ofercie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proofErr w:type="spellStart"/>
            <w:r w:rsidRPr="006F5A4D">
              <w:rPr>
                <w:rFonts w:ascii="Times New Roman" w:hAnsi="Times New Roman"/>
                <w:b/>
                <w:sz w:val="18"/>
              </w:rPr>
              <w:t>K</w:t>
            </w:r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>p</w:t>
            </w:r>
            <w:proofErr w:type="spellEnd"/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 xml:space="preserve"> </w:t>
            </w:r>
            <w:r w:rsidRPr="006F5A4D">
              <w:rPr>
                <w:rFonts w:ascii="Times New Roman" w:hAnsi="Times New Roman"/>
                <w:sz w:val="18"/>
              </w:rPr>
              <w:t xml:space="preserve">   – współczynnik proporcjonalności = 100 </w:t>
            </w:r>
            <w:r w:rsidRPr="006F5A4D">
              <w:rPr>
                <w:rFonts w:ascii="Times New Roman" w:hAnsi="Times New Roman"/>
                <w:sz w:val="18"/>
              </w:rPr>
              <w:br/>
            </w:r>
            <w:r w:rsidRPr="006F5A4D">
              <w:rPr>
                <w:rFonts w:ascii="Times New Roman" w:hAnsi="Times New Roman"/>
                <w:b/>
                <w:sz w:val="18"/>
              </w:rPr>
              <w:t>W</w:t>
            </w:r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 xml:space="preserve">G   </w:t>
            </w:r>
            <w:r w:rsidRPr="006F5A4D">
              <w:rPr>
                <w:rFonts w:ascii="Times New Roman" w:hAnsi="Times New Roman"/>
                <w:sz w:val="18"/>
              </w:rPr>
              <w:t>– waga kryterium czasu reakcji = 15%</w:t>
            </w:r>
          </w:p>
          <w:p w:rsidR="00EC6222" w:rsidRPr="006F5A4D" w:rsidRDefault="00EC6222" w:rsidP="005D1080">
            <w:pPr>
              <w:pStyle w:val="Tekstpodstawowy21"/>
              <w:spacing w:before="0"/>
              <w:rPr>
                <w:rFonts w:cs="Times New Roman"/>
                <w:sz w:val="18"/>
                <w:szCs w:val="18"/>
                <w:u w:val="single"/>
              </w:rPr>
            </w:pPr>
            <w:r w:rsidRPr="006F5A4D">
              <w:rPr>
                <w:rFonts w:cs="Times New Roman"/>
                <w:sz w:val="18"/>
                <w:szCs w:val="18"/>
                <w:u w:val="single"/>
              </w:rPr>
              <w:t>UWAGA:</w:t>
            </w:r>
          </w:p>
          <w:p w:rsidR="00EC6222" w:rsidRPr="006F5A4D" w:rsidRDefault="00EC6222" w:rsidP="005D1080">
            <w:pPr>
              <w:pStyle w:val="Tekstpodstawowy21"/>
              <w:spacing w:before="0"/>
              <w:rPr>
                <w:rFonts w:cs="Times New Roman"/>
                <w:sz w:val="18"/>
                <w:szCs w:val="18"/>
              </w:rPr>
            </w:pPr>
            <w:r w:rsidRPr="006F5A4D">
              <w:rPr>
                <w:rFonts w:cs="Times New Roman"/>
                <w:b w:val="0"/>
                <w:sz w:val="18"/>
                <w:szCs w:val="18"/>
              </w:rPr>
              <w:t xml:space="preserve">1. Zamawiający wymaga podania czasu w pełnych okresach 5-cio minutowych, przy czym czas ten nie może być dłuższy niż 60 minut – wskazanie okresu dłuższego spowoduje odrzucenie oferty. </w:t>
            </w:r>
          </w:p>
          <w:p w:rsidR="00EC6222" w:rsidRPr="006F5A4D" w:rsidRDefault="00EC6222" w:rsidP="005D1080">
            <w:pPr>
              <w:pStyle w:val="Tekstpodstawowy32"/>
              <w:rPr>
                <w:rFonts w:cs="Times New Roman"/>
                <w:bCs/>
                <w:i w:val="0"/>
                <w:sz w:val="18"/>
                <w:szCs w:val="18"/>
              </w:rPr>
            </w:pPr>
            <w:r w:rsidRPr="006F5A4D">
              <w:rPr>
                <w:rFonts w:cs="Times New Roman"/>
                <w:bCs/>
                <w:i w:val="0"/>
                <w:sz w:val="18"/>
                <w:szCs w:val="18"/>
              </w:rPr>
              <w:t xml:space="preserve">2. Niepodanie w ofercie okresu będzie traktowane jako zaoferowanie 60 minut. 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b/>
              </w:rPr>
            </w:pPr>
            <w:r w:rsidRPr="006F5A4D">
              <w:rPr>
                <w:rFonts w:ascii="Times New Roman" w:hAnsi="Times New Roman"/>
                <w:sz w:val="18"/>
              </w:rPr>
              <w:t>Podanie w ofercie czasu mieszczącego się pomiędzy pełnymi okresami 5-cio minutowymi, będzie traktowane przy ocenie jako podanie dłuższego czasu w pełnych okresach 5-cio minutowych, lecz do umowy zostanie wprowadzona wartość zgodna z ofertą.</w:t>
            </w:r>
          </w:p>
        </w:tc>
      </w:tr>
      <w:tr w:rsidR="00EC6222" w:rsidRPr="006F5A4D" w:rsidTr="00EC6222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Gwarancja dla wykonanych napraw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2" w:rsidRPr="006F5A4D" w:rsidRDefault="00EC6222" w:rsidP="005D108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F5A4D"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222" w:rsidRPr="006F5A4D" w:rsidRDefault="00EC6222" w:rsidP="0039515B">
            <w:pPr>
              <w:tabs>
                <w:tab w:val="left" w:pos="990"/>
              </w:tabs>
              <w:spacing w:after="120" w:line="240" w:lineRule="auto"/>
              <w:rPr>
                <w:b/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>Proporcje matematyczne wg wzoru:</w:t>
            </w:r>
          </w:p>
          <w:p w:rsidR="00EC6222" w:rsidRPr="0039515B" w:rsidRDefault="0039515B" w:rsidP="0039515B">
            <w:pPr>
              <w:tabs>
                <w:tab w:val="left" w:pos="990"/>
              </w:tabs>
              <w:spacing w:after="120"/>
              <w:rPr>
                <w:b/>
                <w:color w:val="000000"/>
                <w:sz w:val="18"/>
                <w:szCs w:val="18"/>
              </w:rPr>
            </w:pPr>
            <w:r w:rsidRPr="0039515B">
              <w:rPr>
                <w:b/>
                <w:color w:val="000000"/>
                <w:sz w:val="18"/>
                <w:szCs w:val="18"/>
              </w:rPr>
              <w:t xml:space="preserve">PG= ( </w:t>
            </w:r>
            <w:proofErr w:type="spellStart"/>
            <w:r w:rsidRPr="0039515B">
              <w:rPr>
                <w:b/>
                <w:color w:val="000000"/>
                <w:sz w:val="18"/>
                <w:szCs w:val="18"/>
              </w:rPr>
              <w:t>PG</w:t>
            </w:r>
            <w:r w:rsidRPr="0039515B">
              <w:rPr>
                <w:b/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39515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C6222" w:rsidRPr="0039515B">
              <w:rPr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 w:rsidR="00EC6222" w:rsidRPr="0039515B">
              <w:rPr>
                <w:b/>
                <w:color w:val="000000"/>
                <w:sz w:val="18"/>
                <w:szCs w:val="18"/>
              </w:rPr>
              <w:t>PG</w:t>
            </w:r>
            <w:r w:rsidRPr="0039515B">
              <w:rPr>
                <w:b/>
                <w:color w:val="000000"/>
                <w:sz w:val="18"/>
                <w:szCs w:val="18"/>
                <w:vertAlign w:val="subscript"/>
              </w:rPr>
              <w:t>max</w:t>
            </w:r>
            <w:proofErr w:type="spellEnd"/>
            <w:r w:rsidRPr="0039515B">
              <w:rPr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EC6222" w:rsidRPr="0039515B">
              <w:rPr>
                <w:b/>
                <w:color w:val="000000"/>
                <w:sz w:val="18"/>
                <w:szCs w:val="18"/>
              </w:rPr>
              <w:t xml:space="preserve">) </w:t>
            </w:r>
            <w:r w:rsidR="00EC6222"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r w:rsidR="00EC6222" w:rsidRPr="0039515B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6222" w:rsidRPr="0039515B">
              <w:rPr>
                <w:b/>
                <w:color w:val="000000"/>
                <w:sz w:val="18"/>
                <w:szCs w:val="18"/>
              </w:rPr>
              <w:t>Kp</w:t>
            </w:r>
            <w:proofErr w:type="spellEnd"/>
            <w:r w:rsidR="00EC6222" w:rsidRPr="0039515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C6222" w:rsidRPr="006F5A4D">
              <w:rPr>
                <w:b/>
                <w:color w:val="000000"/>
                <w:sz w:val="18"/>
                <w:szCs w:val="18"/>
              </w:rPr>
              <w:sym w:font="Symbol" w:char="F0B4"/>
            </w:r>
            <w:proofErr w:type="spellStart"/>
            <w:r w:rsidR="00EC6222" w:rsidRPr="0039515B">
              <w:rPr>
                <w:b/>
                <w:color w:val="000000"/>
                <w:sz w:val="18"/>
                <w:szCs w:val="18"/>
              </w:rPr>
              <w:t>Wc</w:t>
            </w:r>
            <w:proofErr w:type="spellEnd"/>
          </w:p>
          <w:p w:rsidR="00EC6222" w:rsidRPr="006F5A4D" w:rsidRDefault="00EC6222" w:rsidP="005D1080">
            <w:pPr>
              <w:tabs>
                <w:tab w:val="left" w:pos="990"/>
              </w:tabs>
              <w:rPr>
                <w:color w:val="000000"/>
                <w:sz w:val="18"/>
                <w:szCs w:val="18"/>
              </w:rPr>
            </w:pPr>
            <w:r w:rsidRPr="006F5A4D">
              <w:rPr>
                <w:b/>
                <w:color w:val="000000"/>
                <w:sz w:val="18"/>
                <w:szCs w:val="18"/>
              </w:rPr>
              <w:t xml:space="preserve">gdzie: </w:t>
            </w:r>
            <w:r w:rsidRPr="006F5A4D">
              <w:rPr>
                <w:b/>
                <w:color w:val="000000"/>
                <w:sz w:val="18"/>
                <w:szCs w:val="18"/>
              </w:rPr>
              <w:br/>
              <w:t xml:space="preserve">PG </w:t>
            </w:r>
            <w:r w:rsidRPr="006F5A4D">
              <w:rPr>
                <w:color w:val="000000"/>
                <w:sz w:val="18"/>
                <w:szCs w:val="18"/>
              </w:rPr>
              <w:t xml:space="preserve">– ilość punktów przyznana danemu kryterium </w:t>
            </w:r>
            <w:r w:rsidRPr="006F5A4D">
              <w:rPr>
                <w:color w:val="000000"/>
                <w:sz w:val="18"/>
                <w:szCs w:val="18"/>
              </w:rPr>
              <w:br/>
            </w:r>
            <w:r w:rsidRPr="006F5A4D">
              <w:rPr>
                <w:b/>
                <w:color w:val="000000"/>
                <w:sz w:val="18"/>
                <w:szCs w:val="18"/>
              </w:rPr>
              <w:t>PG</w:t>
            </w:r>
            <w:r w:rsidRPr="006F5A4D">
              <w:rPr>
                <w:b/>
                <w:color w:val="000000"/>
                <w:position w:val="-5"/>
                <w:sz w:val="18"/>
                <w:szCs w:val="18"/>
                <w:vertAlign w:val="subscript"/>
              </w:rPr>
              <w:t>max</w:t>
            </w:r>
            <w:r w:rsidRPr="006F5A4D">
              <w:rPr>
                <w:color w:val="000000"/>
                <w:sz w:val="18"/>
                <w:szCs w:val="18"/>
              </w:rPr>
              <w:t xml:space="preserve"> – najdłuższy okres gwarancji spośród badanych ofert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proofErr w:type="spellStart"/>
            <w:r w:rsidRPr="006F5A4D">
              <w:rPr>
                <w:rFonts w:ascii="Times New Roman" w:hAnsi="Times New Roman"/>
                <w:b/>
                <w:sz w:val="18"/>
              </w:rPr>
              <w:t>PG</w:t>
            </w:r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>bad</w:t>
            </w:r>
            <w:proofErr w:type="spellEnd"/>
            <w:r w:rsidRPr="006F5A4D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6F5A4D">
              <w:rPr>
                <w:rFonts w:ascii="Times New Roman" w:hAnsi="Times New Roman"/>
                <w:sz w:val="18"/>
              </w:rPr>
              <w:t>– okres gwarancji w badanej ofercie</w:t>
            </w:r>
          </w:p>
          <w:p w:rsidR="00EC6222" w:rsidRPr="006F5A4D" w:rsidRDefault="00EC6222" w:rsidP="005D1080">
            <w:pPr>
              <w:pStyle w:val="Bezodstpw"/>
              <w:rPr>
                <w:rFonts w:ascii="Times New Roman" w:hAnsi="Times New Roman"/>
                <w:sz w:val="18"/>
              </w:rPr>
            </w:pPr>
            <w:proofErr w:type="spellStart"/>
            <w:r w:rsidRPr="006F5A4D">
              <w:rPr>
                <w:rFonts w:ascii="Times New Roman" w:hAnsi="Times New Roman"/>
                <w:b/>
                <w:sz w:val="18"/>
              </w:rPr>
              <w:t>K</w:t>
            </w:r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>p</w:t>
            </w:r>
            <w:proofErr w:type="spellEnd"/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 xml:space="preserve"> </w:t>
            </w:r>
            <w:r w:rsidRPr="006F5A4D">
              <w:rPr>
                <w:rFonts w:ascii="Times New Roman" w:hAnsi="Times New Roman"/>
                <w:sz w:val="18"/>
              </w:rPr>
              <w:t xml:space="preserve">   – współczynnik proporcjonalności = 100 </w:t>
            </w:r>
            <w:r w:rsidRPr="006F5A4D">
              <w:rPr>
                <w:rFonts w:ascii="Times New Roman" w:hAnsi="Times New Roman"/>
                <w:sz w:val="18"/>
              </w:rPr>
              <w:br/>
            </w:r>
            <w:r w:rsidRPr="006F5A4D">
              <w:rPr>
                <w:rFonts w:ascii="Times New Roman" w:hAnsi="Times New Roman"/>
                <w:b/>
                <w:sz w:val="18"/>
              </w:rPr>
              <w:t>W</w:t>
            </w:r>
            <w:r w:rsidRPr="006F5A4D">
              <w:rPr>
                <w:rFonts w:ascii="Times New Roman" w:hAnsi="Times New Roman"/>
                <w:b/>
                <w:sz w:val="18"/>
                <w:vertAlign w:val="subscript"/>
              </w:rPr>
              <w:t xml:space="preserve">G   </w:t>
            </w:r>
            <w:r w:rsidRPr="006F5A4D">
              <w:rPr>
                <w:rFonts w:ascii="Times New Roman" w:hAnsi="Times New Roman"/>
                <w:sz w:val="18"/>
              </w:rPr>
              <w:t>– waga kryterium okresu gwarancji = 10%</w:t>
            </w:r>
          </w:p>
          <w:p w:rsidR="00EC6222" w:rsidRPr="006F5A4D" w:rsidRDefault="00EC6222" w:rsidP="005D1080">
            <w:pPr>
              <w:pStyle w:val="Tekstpodstawowy21"/>
              <w:spacing w:before="0"/>
              <w:rPr>
                <w:rFonts w:cs="Times New Roman"/>
                <w:sz w:val="18"/>
                <w:szCs w:val="18"/>
                <w:u w:val="single"/>
              </w:rPr>
            </w:pPr>
            <w:r w:rsidRPr="006F5A4D">
              <w:rPr>
                <w:rFonts w:cs="Times New Roman"/>
                <w:sz w:val="18"/>
                <w:szCs w:val="18"/>
                <w:u w:val="single"/>
              </w:rPr>
              <w:t>UWAGA:</w:t>
            </w:r>
          </w:p>
          <w:p w:rsidR="00EC6222" w:rsidRPr="006F5A4D" w:rsidRDefault="00EC6222" w:rsidP="00EC6222">
            <w:pPr>
              <w:pStyle w:val="Bezodstpw"/>
              <w:numPr>
                <w:ilvl w:val="1"/>
                <w:numId w:val="20"/>
              </w:numPr>
              <w:tabs>
                <w:tab w:val="clear" w:pos="1788"/>
                <w:tab w:val="num" w:pos="497"/>
              </w:tabs>
              <w:ind w:hanging="1575"/>
              <w:jc w:val="both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sz w:val="18"/>
              </w:rPr>
              <w:t>Zamawiający wymaga podania okresu w pełnych miesiącach, przy czym podanie wartości pośrednich będzie traktowane przy ocenie jako podanie krótszego okresu w pełnych miesiącach (zaokrąglenie w dół), lecz do umowy zostanie wprowadzona wartość zgodna z ofertą.</w:t>
            </w:r>
          </w:p>
          <w:p w:rsidR="00EC6222" w:rsidRPr="006F5A4D" w:rsidRDefault="00EC6222" w:rsidP="00EC6222">
            <w:pPr>
              <w:pStyle w:val="Bezodstpw"/>
              <w:numPr>
                <w:ilvl w:val="1"/>
                <w:numId w:val="20"/>
              </w:numPr>
              <w:tabs>
                <w:tab w:val="clear" w:pos="1788"/>
                <w:tab w:val="num" w:pos="497"/>
              </w:tabs>
              <w:ind w:hanging="1575"/>
              <w:jc w:val="both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sz w:val="18"/>
              </w:rPr>
              <w:t>Okres gwarancji nie może być krótszy niż 12 miesięcy – wskazanie okresu krótszego niż 12 m-</w:t>
            </w:r>
            <w:proofErr w:type="spellStart"/>
            <w:r w:rsidRPr="006F5A4D">
              <w:rPr>
                <w:rFonts w:ascii="Times New Roman" w:hAnsi="Times New Roman"/>
                <w:sz w:val="18"/>
              </w:rPr>
              <w:t>cy</w:t>
            </w:r>
            <w:proofErr w:type="spellEnd"/>
            <w:r w:rsidRPr="006F5A4D">
              <w:rPr>
                <w:rFonts w:ascii="Times New Roman" w:hAnsi="Times New Roman"/>
                <w:sz w:val="18"/>
              </w:rPr>
              <w:t xml:space="preserve"> spowoduje odrzucenie oferty.</w:t>
            </w:r>
          </w:p>
          <w:p w:rsidR="00EC6222" w:rsidRPr="006F5A4D" w:rsidRDefault="00EC6222" w:rsidP="00EC6222">
            <w:pPr>
              <w:pStyle w:val="Bezodstpw"/>
              <w:numPr>
                <w:ilvl w:val="1"/>
                <w:numId w:val="20"/>
              </w:numPr>
              <w:tabs>
                <w:tab w:val="clear" w:pos="1788"/>
                <w:tab w:val="num" w:pos="497"/>
              </w:tabs>
              <w:ind w:hanging="1575"/>
              <w:jc w:val="both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sz w:val="18"/>
              </w:rPr>
              <w:t>Niepodanie w ofercie okresu będzie traktowane jako zaoferowanie 12 miesięcy gwarancji.</w:t>
            </w:r>
          </w:p>
          <w:p w:rsidR="00EC6222" w:rsidRPr="006F5A4D" w:rsidRDefault="00EC6222" w:rsidP="00EC6222">
            <w:pPr>
              <w:pStyle w:val="Bezodstpw"/>
              <w:numPr>
                <w:ilvl w:val="1"/>
                <w:numId w:val="20"/>
              </w:numPr>
              <w:tabs>
                <w:tab w:val="clear" w:pos="1788"/>
                <w:tab w:val="num" w:pos="497"/>
              </w:tabs>
              <w:ind w:hanging="1575"/>
              <w:jc w:val="both"/>
              <w:rPr>
                <w:rFonts w:ascii="Times New Roman" w:hAnsi="Times New Roman"/>
                <w:sz w:val="18"/>
              </w:rPr>
            </w:pPr>
            <w:r w:rsidRPr="006F5A4D">
              <w:rPr>
                <w:rFonts w:ascii="Times New Roman" w:hAnsi="Times New Roman"/>
                <w:sz w:val="18"/>
              </w:rPr>
              <w:t xml:space="preserve">Okres dłuższy niż 36 miesięcy będzie traktowany dla potrzeb obliczenia punktacji jako 36 miesięcy, lecz do umowy zostanie wprowadzona wartość zgodna </w:t>
            </w:r>
            <w:r w:rsidRPr="006F5A4D">
              <w:rPr>
                <w:rFonts w:ascii="Times New Roman" w:hAnsi="Times New Roman"/>
                <w:sz w:val="18"/>
              </w:rPr>
              <w:br/>
              <w:t>z ofertą.</w:t>
            </w:r>
          </w:p>
        </w:tc>
      </w:tr>
    </w:tbl>
    <w:p w:rsidR="00EC6222" w:rsidRDefault="00EC6222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161BDC" w:rsidRDefault="007053EE" w:rsidP="004A0880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4C2AA2" w:rsidRPr="00037244" w:rsidRDefault="004C2AA2" w:rsidP="004C2A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kompetencji lub uprawnień do prowadzenia określonej działalności zawodowej, o ile wynika to z odrębnych przepisów:</w:t>
            </w:r>
          </w:p>
          <w:p w:rsidR="004C2AA2" w:rsidRDefault="004C2AA2" w:rsidP="004C2AA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Zamawiający uzna warunek za spełniony, jeżeli Wykonawca</w:t>
            </w:r>
            <w:r>
              <w:rPr>
                <w:rFonts w:eastAsia="Times New Roman" w:cs="Calibri"/>
                <w:lang w:eastAsia="pl-PL"/>
              </w:rPr>
              <w:t xml:space="preserve"> oświadczy w formularzu ofertowym,</w:t>
            </w:r>
            <w:r w:rsidR="00275D69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że</w:t>
            </w: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posiada odpowiednie uprawnienia i kompetencje.</w:t>
            </w:r>
          </w:p>
          <w:p w:rsidR="004C2AA2" w:rsidRPr="00037244" w:rsidRDefault="004C2AA2" w:rsidP="004C2AA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</w:p>
          <w:p w:rsidR="004C2AA2" w:rsidRPr="00162765" w:rsidRDefault="004C2AA2" w:rsidP="004C2AA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>Sytuacji ekonomicznej i finansowej:</w:t>
            </w:r>
          </w:p>
          <w:p w:rsidR="00B9130B" w:rsidRPr="00B9130B" w:rsidRDefault="00B9130B" w:rsidP="00B9130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Calibri"/>
                <w:vanish/>
                <w:lang w:eastAsia="pl-PL"/>
              </w:rPr>
            </w:pPr>
          </w:p>
          <w:p w:rsidR="00B9130B" w:rsidRPr="00B9130B" w:rsidRDefault="00B9130B" w:rsidP="00B9130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Calibri"/>
                <w:vanish/>
                <w:lang w:eastAsia="pl-PL"/>
              </w:rPr>
            </w:pPr>
          </w:p>
          <w:p w:rsidR="00B9130B" w:rsidRPr="00B9130B" w:rsidRDefault="00B9130B" w:rsidP="00B9130B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1134" w:hanging="425"/>
              <w:rPr>
                <w:rFonts w:eastAsia="Times New Roman" w:cs="Calibri"/>
                <w:lang w:eastAsia="pl-PL"/>
              </w:rPr>
            </w:pPr>
            <w:r w:rsidRPr="00B9130B">
              <w:t>Wykonawca będzie posiadał na potrzeby realizacji przedmiotu zamówienia ubezpieczenie od odpowiedzialności cywilnej w zakresie prowadzonej działalności gospodarczej na kwotę nie mniejszą niż 100</w:t>
            </w:r>
            <w:r>
              <w:t>.</w:t>
            </w:r>
            <w:r w:rsidRPr="00B9130B">
              <w:t>000 zł</w:t>
            </w:r>
            <w:r w:rsidR="00921FB6">
              <w:t>.</w:t>
            </w:r>
            <w:r>
              <w:t xml:space="preserve"> </w:t>
            </w:r>
            <w:r>
              <w:br/>
            </w:r>
            <w:r w:rsidR="004A0880" w:rsidRPr="00B9130B">
              <w:t xml:space="preserve">Zamawiający uzna warunek za spełniony, jeżeli </w:t>
            </w:r>
            <w:r w:rsidRPr="00B9130B">
              <w:t>Wykonawca</w:t>
            </w:r>
            <w:r w:rsidR="004A0880" w:rsidRPr="00B9130B">
              <w:rPr>
                <w:rFonts w:eastAsia="Times New Roman" w:cs="Calibri"/>
                <w:lang w:eastAsia="pl-PL"/>
              </w:rPr>
              <w:t xml:space="preserve"> oświadczy w formularzu ofertowym, że</w:t>
            </w:r>
            <w:r w:rsidR="004A0880">
              <w:rPr>
                <w:rFonts w:eastAsia="Times New Roman" w:cs="Calibri"/>
                <w:lang w:eastAsia="pl-PL"/>
              </w:rPr>
              <w:t xml:space="preserve"> spełni powyższy warunek</w:t>
            </w:r>
            <w:r w:rsidR="00051494">
              <w:rPr>
                <w:rFonts w:eastAsia="Times New Roman" w:cs="Calibri"/>
                <w:lang w:eastAsia="pl-PL"/>
              </w:rPr>
              <w:t>.</w:t>
            </w:r>
            <w:r w:rsidR="00051494">
              <w:rPr>
                <w:rFonts w:eastAsia="Times New Roman" w:cs="Calibri"/>
                <w:lang w:eastAsia="pl-PL"/>
              </w:rPr>
              <w:br/>
            </w:r>
            <w:r w:rsidR="00051494" w:rsidRPr="00921FB6">
              <w:rPr>
                <w:rFonts w:asciiTheme="minorHAnsi" w:eastAsia="Times New Roman" w:hAnsiTheme="minorHAnsi" w:cstheme="minorHAnsi"/>
                <w:szCs w:val="20"/>
              </w:rPr>
              <w:lastRenderedPageBreak/>
              <w:t>Wykonawca przedłoży Zamawiającemu przed podpisaniem umowy - w terminie do 3 dni roboczych od daty wezwania przez Zamawiającego –</w:t>
            </w:r>
            <w:r w:rsidR="00051494">
              <w:rPr>
                <w:rFonts w:eastAsia="Times New Roman" w:cs="Calibri"/>
                <w:lang w:eastAsia="pl-PL"/>
              </w:rPr>
              <w:t xml:space="preserve"> </w:t>
            </w:r>
            <w:r w:rsidR="004A0880" w:rsidRPr="004A0880">
              <w:t>kserokopię, poświadczoną za zgodność z oryginałem, dokumentu ubezpieczenia Wykonawcy od odpowiedzialności cywilnej w zakresie prowadzonej działalności gospodarczej nie mniejszą niż 100 000 zł</w:t>
            </w:r>
            <w:r>
              <w:t>.</w:t>
            </w:r>
            <w:r w:rsidR="00051494">
              <w:br/>
            </w:r>
            <w:r w:rsidR="00051494" w:rsidRPr="00921FB6">
              <w:rPr>
                <w:rFonts w:asciiTheme="minorHAnsi" w:hAnsiTheme="minorHAnsi" w:cstheme="minorHAnsi"/>
                <w:b/>
                <w:i/>
                <w:iCs/>
                <w:szCs w:val="24"/>
                <w:u w:val="single"/>
              </w:rPr>
              <w:t>Brak przedłożenia wymienionych dokumentów w określonym powyżej terminie skutkuje nie zawarciem umowy z Wykonawcą</w:t>
            </w:r>
            <w:r w:rsidR="00051494" w:rsidRPr="00921FB6">
              <w:rPr>
                <w:rFonts w:asciiTheme="minorHAnsi" w:hAnsiTheme="minorHAnsi" w:cstheme="minorHAnsi"/>
                <w:b/>
                <w:i/>
                <w:iCs/>
                <w:szCs w:val="24"/>
              </w:rPr>
              <w:t>.</w:t>
            </w:r>
          </w:p>
          <w:p w:rsidR="00B9130B" w:rsidRDefault="00B9130B" w:rsidP="00B9130B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1134" w:hanging="425"/>
              <w:jc w:val="both"/>
              <w:rPr>
                <w:rFonts w:eastAsia="Times New Roman" w:cs="Calibri"/>
                <w:lang w:eastAsia="pl-PL"/>
              </w:rPr>
            </w:pPr>
            <w:r w:rsidRPr="00B9130B">
              <w:rPr>
                <w:rFonts w:eastAsia="Times New Roman" w:cs="Calibri"/>
                <w:lang w:eastAsia="pl-PL"/>
              </w:rPr>
              <w:t xml:space="preserve">Zamawiający uzna warunek za spełniony, jeżeli Wykonawca oświadczy w formularzu ofertowym, że jego sytuacja ekonomiczna i finansowa pozwala na realizację zadania. </w:t>
            </w:r>
          </w:p>
          <w:p w:rsidR="00A20E9A" w:rsidRDefault="00A20E9A" w:rsidP="00A20E9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B9130B" w:rsidRDefault="00A20E9A" w:rsidP="00B913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Zdolności technicznej lub zawodowej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B9130B" w:rsidRPr="00B9130B" w:rsidRDefault="00B9130B" w:rsidP="00B9130B">
            <w:pPr>
              <w:spacing w:after="0" w:line="240" w:lineRule="auto"/>
              <w:ind w:left="708"/>
              <w:jc w:val="both"/>
              <w:rPr>
                <w:rFonts w:eastAsia="Times New Roman" w:cs="Calibri"/>
                <w:lang w:eastAsia="pl-PL"/>
              </w:rPr>
            </w:pPr>
            <w:r w:rsidRPr="00B9130B">
              <w:rPr>
                <w:szCs w:val="20"/>
              </w:rPr>
              <w:t xml:space="preserve">Zamawiający uzna warunek za spełniony, jeżeli </w:t>
            </w:r>
            <w:r w:rsidRPr="00037244">
              <w:rPr>
                <w:rFonts w:eastAsia="Times New Roman" w:cs="Calibri"/>
                <w:lang w:eastAsia="pl-PL"/>
              </w:rPr>
              <w:t>Wykonawca</w:t>
            </w:r>
            <w:r>
              <w:rPr>
                <w:rFonts w:eastAsia="Times New Roman" w:cs="Calibri"/>
                <w:lang w:eastAsia="pl-PL"/>
              </w:rPr>
              <w:t xml:space="preserve"> oświadczy w formularzu ofertowym</w:t>
            </w:r>
            <w:r w:rsidRPr="00B9130B">
              <w:rPr>
                <w:szCs w:val="20"/>
              </w:rPr>
              <w:t>, że:</w:t>
            </w:r>
          </w:p>
          <w:p w:rsidR="00B9130B" w:rsidRPr="00B9130B" w:rsidRDefault="00B9130B" w:rsidP="00B9130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vanish/>
                <w:lang w:eastAsia="pl-PL"/>
              </w:rPr>
            </w:pPr>
          </w:p>
          <w:p w:rsidR="00B9130B" w:rsidRPr="00B9130B" w:rsidRDefault="00B9130B" w:rsidP="00B9130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vanish/>
                <w:lang w:eastAsia="pl-PL"/>
              </w:rPr>
            </w:pPr>
          </w:p>
          <w:p w:rsidR="00B9130B" w:rsidRPr="00B9130B" w:rsidRDefault="00B9130B" w:rsidP="00B9130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vanish/>
                <w:lang w:eastAsia="pl-PL"/>
              </w:rPr>
            </w:pPr>
          </w:p>
          <w:p w:rsidR="00B9130B" w:rsidRPr="004A0880" w:rsidRDefault="004A0880" w:rsidP="00B9130B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1141"/>
              <w:jc w:val="both"/>
              <w:rPr>
                <w:rFonts w:eastAsia="Times New Roman" w:cs="Calibri"/>
                <w:lang w:eastAsia="pl-PL"/>
              </w:rPr>
            </w:pPr>
            <w:r w:rsidRPr="004A0880">
              <w:t>dysponuje minimum czteroma osobami</w:t>
            </w:r>
            <w:r>
              <w:t>,</w:t>
            </w:r>
            <w:r w:rsidRPr="004A0880">
              <w:t xml:space="preserve"> przewidzianymi do realizacji przedmiotu zamówienia, które posiadają świadectwo kwalifikacyjne uprawniającej do zajmowani się eksploatacją urządzeń dźwigowych oraz uprawnienia do eksploatacji urządzeń elektrycznych do 1 </w:t>
            </w:r>
            <w:proofErr w:type="spellStart"/>
            <w:r w:rsidRPr="004A0880">
              <w:t>kV</w:t>
            </w:r>
            <w:proofErr w:type="spellEnd"/>
          </w:p>
          <w:p w:rsidR="00051494" w:rsidRPr="009873E6" w:rsidRDefault="004A0880" w:rsidP="00051494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1141"/>
              <w:jc w:val="both"/>
              <w:rPr>
                <w:rFonts w:eastAsia="Times New Roman" w:cs="Calibri"/>
                <w:lang w:eastAsia="pl-PL"/>
              </w:rPr>
            </w:pPr>
            <w:r w:rsidRPr="004A0880">
              <w:t>dysponuje minimum dwiema osobami, przewidzianymi do realizacji przedmiotu zamówienia, które posiadają świadectwo kwalifikacyjne w zakresie eksploatacji „E” i dozoru „D” uprawniające do wykonywania pomiarów elektrycznych</w:t>
            </w:r>
          </w:p>
          <w:p w:rsidR="004A0880" w:rsidRPr="004A0880" w:rsidRDefault="004A0880" w:rsidP="00B9130B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1141"/>
              <w:jc w:val="both"/>
              <w:rPr>
                <w:rFonts w:eastAsia="Times New Roman" w:cs="Calibri"/>
                <w:lang w:eastAsia="pl-PL"/>
              </w:rPr>
            </w:pPr>
            <w:r w:rsidRPr="004A0880">
              <w:rPr>
                <w:szCs w:val="20"/>
              </w:rPr>
              <w:t xml:space="preserve">dysponuje narzędziami specjalistycznymi, wymaganymi do konserwacji i napraw zgodnie z zaleceniami producenta, odpowiednimi do typów urządzeń dźwigowych występujących w </w:t>
            </w:r>
            <w:r>
              <w:rPr>
                <w:szCs w:val="20"/>
              </w:rPr>
              <w:t>przedmiocie zamówienia</w:t>
            </w:r>
          </w:p>
          <w:p w:rsidR="004A0880" w:rsidRPr="004A0880" w:rsidRDefault="004A0880" w:rsidP="00B9130B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1141"/>
              <w:jc w:val="both"/>
              <w:rPr>
                <w:rFonts w:eastAsia="Times New Roman" w:cs="Calibri"/>
                <w:lang w:eastAsia="pl-PL"/>
              </w:rPr>
            </w:pPr>
            <w:r w:rsidRPr="004A0880">
              <w:rPr>
                <w:szCs w:val="20"/>
              </w:rPr>
              <w:t>dysponuje narzędziami i oprogramowaniem pozwalającym na skuteczną diagnostykę i monitoring układu sterowania, a także zmianę parametrów pracy dźwigu, aktualizację oprogramowania i jego konfigurację (np. zwiększenie czasu otwarcia drzwi, przeprogramowanie modułów łączności, kalibrację wagi itp.), odpowiednimi do typów urządzeń dźwigowych występujących w</w:t>
            </w:r>
            <w:r>
              <w:rPr>
                <w:szCs w:val="20"/>
              </w:rPr>
              <w:t xml:space="preserve"> przedmiocie zamówienia</w:t>
            </w:r>
          </w:p>
          <w:p w:rsidR="004A0880" w:rsidRPr="00FA32A8" w:rsidRDefault="004A0880" w:rsidP="00B9130B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1141"/>
              <w:jc w:val="both"/>
              <w:rPr>
                <w:rFonts w:eastAsia="Times New Roman" w:cs="Calibri"/>
                <w:lang w:eastAsia="pl-PL"/>
              </w:rPr>
            </w:pPr>
            <w:r w:rsidRPr="004A0880">
              <w:rPr>
                <w:szCs w:val="20"/>
              </w:rPr>
              <w:t xml:space="preserve">dysponuje zapasem części zamiennych pozwalającym na szybkie przywrócenie dźwigu do </w:t>
            </w:r>
            <w:r w:rsidR="00627BB7">
              <w:rPr>
                <w:szCs w:val="20"/>
              </w:rPr>
              <w:t xml:space="preserve">poprawnego </w:t>
            </w:r>
            <w:r w:rsidRPr="004A0880">
              <w:rPr>
                <w:szCs w:val="20"/>
              </w:rPr>
              <w:t>działania</w:t>
            </w:r>
          </w:p>
          <w:p w:rsidR="00FA32A8" w:rsidRDefault="00FA32A8" w:rsidP="00B9130B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1141"/>
              <w:jc w:val="both"/>
              <w:rPr>
                <w:rFonts w:eastAsia="Times New Roman" w:cs="Calibri"/>
                <w:lang w:eastAsia="pl-PL"/>
              </w:rPr>
            </w:pPr>
            <w:r w:rsidRPr="00921FB6">
              <w:rPr>
                <w:rFonts w:asciiTheme="minorHAnsi" w:eastAsia="Times New Roman" w:hAnsiTheme="minorHAnsi" w:cstheme="minorHAnsi"/>
                <w:szCs w:val="20"/>
              </w:rPr>
              <w:t>Wykonawca przedłoży Zamawiającemu przed podpisaniem umowy - w terminie do 3 dni roboczych od daty wezwania przez Zamawiającego – wykaz osób przewidzianych do wykonywania czynności serwisowych wraz z kserokopiami dokumentów posiadanych przez te osoby, poświadczony</w:t>
            </w:r>
            <w:r>
              <w:rPr>
                <w:rFonts w:asciiTheme="minorHAnsi" w:eastAsia="Times New Roman" w:hAnsiTheme="minorHAnsi" w:cstheme="minorHAnsi"/>
                <w:szCs w:val="20"/>
              </w:rPr>
              <w:t>mi</w:t>
            </w:r>
            <w:r w:rsidRPr="00921FB6">
              <w:rPr>
                <w:rFonts w:asciiTheme="minorHAnsi" w:eastAsia="Times New Roman" w:hAnsiTheme="minorHAnsi" w:cstheme="minorHAnsi"/>
                <w:szCs w:val="20"/>
              </w:rPr>
              <w:t xml:space="preserve"> za zgodność z oryginałem, które potwierdzają </w:t>
            </w:r>
            <w:r w:rsidRPr="00921FB6">
              <w:rPr>
                <w:rFonts w:asciiTheme="minorHAnsi" w:hAnsiTheme="minorHAnsi" w:cstheme="minorHAnsi"/>
                <w:szCs w:val="20"/>
              </w:rPr>
              <w:t>ważne kwalifikacje dozoru i eksploatacji urządzeń, instalacji i sieci elektroenergetycznych o napięciu do 1kV (lub wyższym), zgodnie z powyższymi wymaganiami.</w:t>
            </w:r>
            <w:r>
              <w:rPr>
                <w:rFonts w:asciiTheme="minorHAnsi" w:hAnsiTheme="minorHAnsi" w:cstheme="minorHAnsi"/>
                <w:szCs w:val="20"/>
              </w:rPr>
              <w:br/>
            </w:r>
            <w:r w:rsidRPr="00921FB6">
              <w:rPr>
                <w:rFonts w:asciiTheme="minorHAnsi" w:hAnsiTheme="minorHAnsi" w:cstheme="minorHAnsi"/>
                <w:b/>
                <w:i/>
                <w:iCs/>
                <w:szCs w:val="24"/>
                <w:u w:val="single"/>
              </w:rPr>
              <w:t>Brak przedłożenia wymienionych dokumentów w określonym powyżej terminie skutkuje nie zawarciem umowy z Wykonawcą</w:t>
            </w:r>
            <w:r w:rsidRPr="00921FB6">
              <w:rPr>
                <w:rFonts w:asciiTheme="minorHAnsi" w:hAnsiTheme="minorHAnsi" w:cstheme="minorHAnsi"/>
                <w:b/>
                <w:i/>
                <w:iCs/>
                <w:szCs w:val="24"/>
              </w:rPr>
              <w:t>.</w:t>
            </w:r>
          </w:p>
          <w:p w:rsidR="00921FB6" w:rsidRDefault="00921FB6" w:rsidP="00FA32A8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20E9A" w:rsidRPr="0069196E" w:rsidRDefault="00A20E9A" w:rsidP="00A20E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Udzielenia gwarancji na wykonane </w:t>
            </w:r>
            <w:r w:rsidR="004A0880">
              <w:rPr>
                <w:rFonts w:eastAsia="Times New Roman" w:cs="Calibri"/>
                <w:lang w:eastAsia="pl-PL"/>
              </w:rPr>
              <w:t>napraw</w:t>
            </w:r>
            <w:r>
              <w:rPr>
                <w:rFonts w:eastAsia="Times New Roman" w:cs="Calibri"/>
                <w:lang w:eastAsia="pl-PL"/>
              </w:rPr>
              <w:t>y:</w:t>
            </w:r>
          </w:p>
          <w:p w:rsidR="007053EE" w:rsidRPr="00161BDC" w:rsidRDefault="00A20E9A" w:rsidP="004A0880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Zamawiający uzna warunek za spełniony, jeżeli wykonawca udzieli zamawiającemu gwarancji na okres minimum </w:t>
            </w:r>
            <w:r w:rsidR="004A0880">
              <w:rPr>
                <w:rFonts w:eastAsia="Times New Roman" w:cs="Calibri"/>
                <w:lang w:eastAsia="pl-PL"/>
              </w:rPr>
              <w:t>12</w:t>
            </w:r>
            <w:r>
              <w:rPr>
                <w:rFonts w:eastAsia="Times New Roman" w:cs="Calibri"/>
                <w:lang w:eastAsia="pl-PL"/>
              </w:rPr>
              <w:t xml:space="preserve"> m-</w:t>
            </w:r>
            <w:proofErr w:type="spellStart"/>
            <w:r>
              <w:rPr>
                <w:rFonts w:eastAsia="Times New Roman" w:cs="Calibri"/>
                <w:lang w:eastAsia="pl-PL"/>
              </w:rPr>
              <w:t>cy</w:t>
            </w:r>
            <w:proofErr w:type="spellEnd"/>
            <w:r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102545" w:rsidRDefault="00102545" w:rsidP="00051494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411E2A" w:rsidRPr="00FB0F42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B0F42">
              <w:rPr>
                <w:rFonts w:eastAsia="Times New Roman" w:cs="Calibri"/>
                <w:lang w:eastAsia="pl-PL"/>
              </w:rPr>
              <w:t>Oferta sporządzona</w:t>
            </w:r>
            <w:r w:rsidR="00B524C6">
              <w:rPr>
                <w:rFonts w:eastAsia="Times New Roman" w:cs="Calibri"/>
                <w:lang w:eastAsia="pl-PL"/>
              </w:rPr>
              <w:t xml:space="preserve"> z wykorzystaniem Formularza ofertowego, stanowiącego Załącznik Nr 4 i przekazana Zamawiającemu w formie papierowej względnie</w:t>
            </w:r>
            <w:r w:rsidR="00927AC1">
              <w:rPr>
                <w:rFonts w:eastAsia="Times New Roman" w:cs="Calibri"/>
                <w:lang w:eastAsia="pl-PL"/>
              </w:rPr>
              <w:t xml:space="preserve"> elektronicznie</w:t>
            </w:r>
            <w:r w:rsidR="00B524C6">
              <w:rPr>
                <w:rFonts w:eastAsia="Times New Roman" w:cs="Calibri"/>
                <w:lang w:eastAsia="pl-PL"/>
              </w:rPr>
              <w:t xml:space="preserve"> </w:t>
            </w:r>
            <w:r w:rsidR="00275D69">
              <w:rPr>
                <w:rFonts w:eastAsia="Times New Roman" w:cs="Calibri"/>
                <w:lang w:eastAsia="pl-PL"/>
              </w:rPr>
              <w:t xml:space="preserve">poprzez </w:t>
            </w:r>
            <w:r w:rsidRPr="00FB0F42">
              <w:rPr>
                <w:rFonts w:eastAsia="Times New Roman" w:cs="Calibri"/>
                <w:lang w:eastAsia="pl-PL"/>
              </w:rPr>
              <w:t>platform</w:t>
            </w:r>
            <w:r w:rsidR="00B524C6">
              <w:rPr>
                <w:rFonts w:eastAsia="Times New Roman" w:cs="Calibri"/>
                <w:lang w:eastAsia="pl-PL"/>
              </w:rPr>
              <w:t>ę</w:t>
            </w:r>
            <w:r w:rsidRPr="00FB0F42">
              <w:rPr>
                <w:rFonts w:eastAsia="Times New Roman" w:cs="Calibri"/>
                <w:lang w:eastAsia="pl-PL"/>
              </w:rPr>
              <w:t xml:space="preserve"> zakupow</w:t>
            </w:r>
            <w:r w:rsidR="00B524C6">
              <w:rPr>
                <w:rFonts w:eastAsia="Times New Roman" w:cs="Calibri"/>
                <w:lang w:eastAsia="pl-PL"/>
              </w:rPr>
              <w:t>ą</w:t>
            </w:r>
            <w:r w:rsidRPr="00FB0F42">
              <w:rPr>
                <w:rFonts w:eastAsia="Times New Roman" w:cs="Calibri"/>
                <w:lang w:eastAsia="pl-PL"/>
              </w:rPr>
              <w:t xml:space="preserve"> Open </w:t>
            </w:r>
            <w:proofErr w:type="spellStart"/>
            <w:r w:rsidR="00275D69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B524C6">
              <w:rPr>
                <w:rFonts w:eastAsia="Times New Roman" w:cs="Calibri"/>
                <w:lang w:eastAsia="pl-PL"/>
              </w:rPr>
              <w:t xml:space="preserve"> jako załącznik</w:t>
            </w:r>
            <w:r w:rsidR="00927AC1">
              <w:rPr>
                <w:rFonts w:eastAsia="Times New Roman" w:cs="Calibri"/>
                <w:lang w:eastAsia="pl-PL"/>
              </w:rPr>
              <w:t xml:space="preserve"> (skan)</w:t>
            </w:r>
            <w:r w:rsidR="00B524C6">
              <w:rPr>
                <w:rFonts w:eastAsia="Times New Roman" w:cs="Calibri"/>
                <w:lang w:eastAsia="pl-PL"/>
              </w:rPr>
              <w:t xml:space="preserve"> </w:t>
            </w:r>
            <w:r w:rsidR="00666DDE">
              <w:rPr>
                <w:rFonts w:eastAsia="Times New Roman" w:cs="Calibri"/>
                <w:lang w:eastAsia="pl-PL"/>
              </w:rPr>
              <w:t>-</w:t>
            </w:r>
            <w:r w:rsidR="00275D69">
              <w:rPr>
                <w:rFonts w:eastAsia="Times New Roman" w:cs="Calibri"/>
                <w:lang w:eastAsia="pl-PL"/>
              </w:rPr>
              <w:t xml:space="preserve"> zgodnie z</w:t>
            </w:r>
            <w:r w:rsidR="00666DDE">
              <w:rPr>
                <w:rFonts w:eastAsia="Times New Roman" w:cs="Calibri"/>
                <w:lang w:eastAsia="pl-PL"/>
              </w:rPr>
              <w:t xml:space="preserve"> warunkami zawartymi w p. VI oraz zgodnie z zawartością</w:t>
            </w:r>
            <w:r w:rsidR="00275D69">
              <w:rPr>
                <w:rFonts w:eastAsia="Times New Roman" w:cs="Calibri"/>
                <w:lang w:eastAsia="pl-PL"/>
              </w:rPr>
              <w:t xml:space="preserve"> </w:t>
            </w:r>
            <w:r w:rsidR="00666DDE" w:rsidRPr="00FB0F42">
              <w:rPr>
                <w:rFonts w:eastAsia="Times New Roman" w:cs="Calibri"/>
                <w:lang w:eastAsia="pl-PL"/>
              </w:rPr>
              <w:t>formularz</w:t>
            </w:r>
            <w:r w:rsidR="00666DDE">
              <w:rPr>
                <w:rFonts w:eastAsia="Times New Roman" w:cs="Calibri"/>
                <w:lang w:eastAsia="pl-PL"/>
              </w:rPr>
              <w:t>a ofertowego</w:t>
            </w:r>
            <w:r w:rsidR="00666DDE" w:rsidRPr="00FB0F42">
              <w:rPr>
                <w:rFonts w:eastAsia="Times New Roman" w:cs="Calibri"/>
                <w:lang w:eastAsia="pl-PL"/>
              </w:rPr>
              <w:t xml:space="preserve"> </w:t>
            </w:r>
            <w:r w:rsidR="00275D69">
              <w:rPr>
                <w:rFonts w:eastAsia="Times New Roman" w:cs="Calibri"/>
                <w:lang w:eastAsia="pl-PL"/>
              </w:rPr>
              <w:t>dla podmiotowego postępowania</w:t>
            </w:r>
            <w:r w:rsidRPr="00FB0F42">
              <w:rPr>
                <w:rFonts w:eastAsia="Times New Roman" w:cs="Calibri"/>
                <w:lang w:eastAsia="pl-PL"/>
              </w:rPr>
              <w:t>.</w:t>
            </w:r>
          </w:p>
          <w:p w:rsidR="00666DDE" w:rsidRPr="00666DDE" w:rsidRDefault="00411E2A" w:rsidP="00666D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051494">
              <w:rPr>
                <w:rFonts w:eastAsia="Times New Roman" w:cs="Calibri"/>
                <w:lang w:eastAsia="pl-PL"/>
              </w:rPr>
              <w:t xml:space="preserve">Polisa ubezpieczenia od odpowiedzialności cywilnej na sumę </w:t>
            </w:r>
            <w:r w:rsidR="00051494">
              <w:rPr>
                <w:rFonts w:eastAsia="Times New Roman" w:cs="Calibri"/>
                <w:lang w:eastAsia="pl-PL"/>
              </w:rPr>
              <w:t xml:space="preserve">minimum 100 000 </w:t>
            </w:r>
            <w:r w:rsidRPr="00051494">
              <w:rPr>
                <w:rFonts w:eastAsia="Times New Roman" w:cs="Calibri"/>
                <w:lang w:eastAsia="pl-PL"/>
              </w:rPr>
              <w:t>zł</w:t>
            </w:r>
            <w:r w:rsidR="00051494">
              <w:rPr>
                <w:rFonts w:eastAsia="Times New Roman" w:cs="Calibri"/>
                <w:lang w:eastAsia="pl-PL"/>
              </w:rPr>
              <w:t xml:space="preserve">, </w:t>
            </w:r>
          </w:p>
          <w:p w:rsidR="00411E2A" w:rsidRPr="00D47322" w:rsidRDefault="00666DDE" w:rsidP="00666DDE">
            <w:pPr>
              <w:spacing w:after="0" w:line="240" w:lineRule="auto"/>
              <w:ind w:left="709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</w:t>
            </w:r>
            <w:r w:rsidR="00051494">
              <w:rPr>
                <w:rFonts w:eastAsia="Times New Roman" w:cs="Calibri"/>
                <w:lang w:eastAsia="pl-PL"/>
              </w:rPr>
              <w:t>kładana</w:t>
            </w:r>
            <w:r>
              <w:rPr>
                <w:rFonts w:eastAsia="Times New Roman" w:cs="Calibri"/>
                <w:lang w:eastAsia="pl-PL"/>
              </w:rPr>
              <w:t xml:space="preserve"> w formie kserokopii</w:t>
            </w:r>
            <w:r w:rsidR="00051494">
              <w:rPr>
                <w:rFonts w:eastAsia="Times New Roman" w:cs="Calibri"/>
                <w:lang w:eastAsia="pl-PL"/>
              </w:rPr>
              <w:t xml:space="preserve"> przez Wykonawcę przed podpisaniem umowy (wg p. VI.2.1.).</w:t>
            </w:r>
          </w:p>
          <w:p w:rsidR="00411E2A" w:rsidRPr="003002EA" w:rsidRDefault="00411E2A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3002EA">
              <w:rPr>
                <w:rFonts w:eastAsia="Times New Roman" w:cs="Calibri"/>
                <w:strike/>
                <w:lang w:eastAsia="pl-PL"/>
              </w:rPr>
              <w:t>Wykaz dostaw/usług/robót budowlanych sporządzony zgodnie ze wzorem stanowiącym załącznik nr 4 do zapytania ofertowego.*</w:t>
            </w:r>
          </w:p>
          <w:p w:rsidR="00411E2A" w:rsidRDefault="00666DDE" w:rsidP="00411E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W</w:t>
            </w:r>
            <w:r w:rsidRPr="00921FB6">
              <w:rPr>
                <w:rFonts w:asciiTheme="minorHAnsi" w:eastAsia="Times New Roman" w:hAnsiTheme="minorHAnsi" w:cstheme="minorHAnsi"/>
                <w:szCs w:val="20"/>
              </w:rPr>
              <w:t>ykaz osób przewidzianych do wykonywania czynności serwisowych wraz z kserokopiami dokumentów posiadanych przez te osoby, poświadczony</w:t>
            </w:r>
            <w:r>
              <w:rPr>
                <w:rFonts w:asciiTheme="minorHAnsi" w:eastAsia="Times New Roman" w:hAnsiTheme="minorHAnsi" w:cstheme="minorHAnsi"/>
                <w:szCs w:val="20"/>
              </w:rPr>
              <w:t>mi</w:t>
            </w:r>
            <w:r w:rsidRPr="00921FB6">
              <w:rPr>
                <w:rFonts w:asciiTheme="minorHAnsi" w:eastAsia="Times New Roman" w:hAnsiTheme="minorHAnsi" w:cstheme="minorHAnsi"/>
                <w:szCs w:val="20"/>
              </w:rPr>
              <w:t xml:space="preserve"> za zgodność z oryginałem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FA32A8">
              <w:rPr>
                <w:rFonts w:asciiTheme="minorHAnsi" w:eastAsia="Times New Roman" w:hAnsiTheme="minorHAnsi" w:cstheme="minorHAnsi"/>
                <w:szCs w:val="20"/>
              </w:rPr>
              <w:t>(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wg </w:t>
            </w:r>
            <w:r w:rsidR="00FA32A8">
              <w:rPr>
                <w:rFonts w:eastAsia="Times New Roman" w:cs="Calibri"/>
                <w:lang w:eastAsia="pl-PL"/>
              </w:rPr>
              <w:t>p. VI.3.1. i 3.2.), składane przez Wykonawcę przed podpisaniem umowy</w:t>
            </w:r>
            <w:r w:rsidR="00FA32A8">
              <w:rPr>
                <w:rFonts w:asciiTheme="minorHAnsi" w:eastAsia="Times New Roman" w:hAnsiTheme="minorHAnsi" w:cstheme="minorHAnsi"/>
                <w:szCs w:val="20"/>
              </w:rPr>
              <w:t xml:space="preserve">(wg </w:t>
            </w:r>
            <w:r w:rsidR="00FA32A8">
              <w:rPr>
                <w:rFonts w:eastAsia="Times New Roman" w:cs="Calibri"/>
                <w:lang w:eastAsia="pl-PL"/>
              </w:rPr>
              <w:t>p. VI.3.6.).</w:t>
            </w:r>
          </w:p>
          <w:p w:rsidR="00990181" w:rsidRDefault="00990181" w:rsidP="0099018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W przypadku gdy Wykonawcę reprezentuje pełnomocnik wymagane jest  </w:t>
            </w:r>
            <w:r w:rsidR="00411E2A" w:rsidRPr="00D47322">
              <w:rPr>
                <w:rFonts w:eastAsia="Times New Roman" w:cs="Calibri"/>
                <w:lang w:eastAsia="pl-PL"/>
              </w:rPr>
              <w:t xml:space="preserve">Pełnomocnictwo określające jego zakres – </w:t>
            </w:r>
            <w:r>
              <w:rPr>
                <w:rFonts w:eastAsia="Times New Roman" w:cs="Calibri"/>
                <w:lang w:eastAsia="pl-PL"/>
              </w:rPr>
              <w:t>skan jako załącznik do oferty</w:t>
            </w:r>
            <w:r w:rsidR="00411E2A" w:rsidRPr="00990181">
              <w:rPr>
                <w:rFonts w:eastAsia="Times New Roman" w:cs="Calibri"/>
                <w:lang w:eastAsia="pl-PL"/>
              </w:rPr>
              <w:t>.</w:t>
            </w:r>
          </w:p>
          <w:p w:rsidR="007053EE" w:rsidRPr="00742009" w:rsidRDefault="00990181" w:rsidP="00411E2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990181">
              <w:rPr>
                <w:rFonts w:eastAsia="Times New Roman" w:cs="Calibri"/>
                <w:sz w:val="20"/>
                <w:lang w:eastAsia="pl-PL"/>
              </w:rPr>
              <w:t>(Zamawiający może żądać Pełnomocnictwa w oryginale, albo kopii poświadczonej za zgodność z oryginałem przez Notariusza, w ramach czynności wyboru najkorzystniejszej oferty)</w:t>
            </w:r>
            <w:r w:rsidR="00411E2A" w:rsidRPr="00990181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lastRenderedPageBreak/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411E2A" w:rsidRPr="00D47322" w:rsidRDefault="00411E2A" w:rsidP="00411E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Wykonawca podaje cenę oferty w odpowiedniej części Formularza ofert</w:t>
            </w:r>
            <w:r>
              <w:rPr>
                <w:rFonts w:eastAsia="Times New Roman" w:cs="Calibri"/>
                <w:lang w:eastAsia="pl-PL"/>
              </w:rPr>
              <w:t>owego</w:t>
            </w:r>
            <w:r w:rsidR="00590C80">
              <w:rPr>
                <w:rFonts w:eastAsia="Times New Roman" w:cs="Calibri"/>
                <w:lang w:eastAsia="pl-PL"/>
              </w:rPr>
              <w:t>,</w:t>
            </w:r>
            <w:r w:rsidR="00B524C6">
              <w:rPr>
                <w:rFonts w:eastAsia="Times New Roman" w:cs="Calibri"/>
                <w:lang w:eastAsia="pl-PL"/>
              </w:rPr>
              <w:t xml:space="preserve"> a</w:t>
            </w:r>
            <w:r w:rsidR="00590C80">
              <w:rPr>
                <w:rFonts w:eastAsia="Times New Roman" w:cs="Calibri"/>
                <w:lang w:eastAsia="pl-PL"/>
              </w:rPr>
              <w:t xml:space="preserve"> na platformie zakupowej </w:t>
            </w:r>
            <w:r w:rsidR="00590C80" w:rsidRPr="0040229A">
              <w:rPr>
                <w:rFonts w:eastAsia="Times New Roman" w:cs="Calibri"/>
                <w:lang w:eastAsia="pl-PL"/>
              </w:rPr>
              <w:t xml:space="preserve">Open </w:t>
            </w:r>
            <w:proofErr w:type="spellStart"/>
            <w:r w:rsidR="00590C80" w:rsidRPr="0040229A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B524C6">
              <w:rPr>
                <w:rFonts w:eastAsia="Times New Roman" w:cs="Calibri"/>
                <w:lang w:eastAsia="pl-PL"/>
              </w:rPr>
              <w:t xml:space="preserve"> przy pozycji „Cena”</w:t>
            </w:r>
            <w:r w:rsidR="00B524C6" w:rsidRPr="00D47322">
              <w:rPr>
                <w:rFonts w:eastAsia="Times New Roman" w:cs="Calibri"/>
                <w:lang w:eastAsia="pl-PL"/>
              </w:rPr>
              <w:t xml:space="preserve"> </w:t>
            </w:r>
            <w:r w:rsidR="00FA32A8">
              <w:rPr>
                <w:rFonts w:eastAsia="Times New Roman" w:cs="Calibri"/>
                <w:lang w:eastAsia="pl-PL"/>
              </w:rPr>
              <w:t xml:space="preserve">, z </w:t>
            </w:r>
            <w:r w:rsidR="00590C80">
              <w:rPr>
                <w:rFonts w:eastAsia="Times New Roman" w:cs="Calibri"/>
                <w:lang w:eastAsia="pl-PL"/>
              </w:rPr>
              <w:t>do</w:t>
            </w:r>
            <w:r w:rsidR="00FA32A8">
              <w:rPr>
                <w:rFonts w:eastAsia="Times New Roman" w:cs="Calibri"/>
                <w:lang w:eastAsia="pl-PL"/>
              </w:rPr>
              <w:t xml:space="preserve">łączeniem tabeli obliczeniowej wg wzorca stanowiącego Załącznik nr 3 - </w:t>
            </w:r>
            <w:r w:rsidR="00FA32A8" w:rsidRPr="00FA32A8">
              <w:rPr>
                <w:rFonts w:eastAsia="Times New Roman" w:cs="Calibri"/>
                <w:lang w:eastAsia="pl-PL"/>
              </w:rPr>
              <w:t>Wycena wg urządzeń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411E2A" w:rsidRDefault="00411E2A" w:rsidP="00411E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 (</w:t>
            </w:r>
            <w:r w:rsidRPr="00D47322">
              <w:rPr>
                <w:rFonts w:eastAsia="Times New Roman" w:cs="Calibri"/>
                <w:lang w:eastAsia="pl-PL"/>
              </w:rPr>
              <w:t xml:space="preserve">w tym w załączniku nr 1 – </w:t>
            </w:r>
            <w:r w:rsidR="00FA32A8">
              <w:rPr>
                <w:rFonts w:eastAsia="Times New Roman" w:cs="Calibri"/>
                <w:lang w:eastAsia="pl-PL"/>
              </w:rPr>
              <w:t>S</w:t>
            </w:r>
            <w:r w:rsidRPr="00D47322">
              <w:rPr>
                <w:rFonts w:eastAsia="Times New Roman" w:cs="Calibri"/>
                <w:lang w:eastAsia="pl-PL"/>
              </w:rPr>
              <w:t>zczegółowy opis przedmiotu zamówienia).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</w:tc>
      </w:tr>
    </w:tbl>
    <w:p w:rsidR="007053EE" w:rsidRPr="00D47322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  <w:p w:rsidR="00E02078" w:rsidRPr="00E02078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7053EE" w:rsidRPr="00D47322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7053EE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>
              <w:rPr>
                <w:rFonts w:eastAsia="Times New Roman" w:cs="Calibri"/>
                <w:lang w:eastAsia="pl-PL"/>
              </w:rPr>
              <w:t xml:space="preserve"> nie udzielił wyjaśnień lub 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III pkt 4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E02078" w:rsidRPr="00D47322" w:rsidRDefault="00E02078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podlegającego wykluczeniu na podstawie art. 24 ust. 1 ustawy PZP</w:t>
            </w:r>
          </w:p>
        </w:tc>
      </w:tr>
    </w:tbl>
    <w:p w:rsidR="007053EE" w:rsidRPr="00D47322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 złożona przez Wykonawcę wykluczonego z postępowania,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  <w:p w:rsidR="007053EE" w:rsidRPr="00411E2A" w:rsidRDefault="007053EE" w:rsidP="001F3CB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A21597">
              <w:rPr>
                <w:rFonts w:eastAsia="Times New Roman" w:cs="Calibri"/>
                <w:strike/>
                <w:lang w:eastAsia="pl-PL"/>
              </w:rPr>
              <w:t>oferta nie została zabezpieczona wadium.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A2FBB" w:rsidRPr="00AA41FC" w:rsidTr="00FA2FBB">
        <w:tc>
          <w:tcPr>
            <w:tcW w:w="10606" w:type="dxa"/>
          </w:tcPr>
          <w:p w:rsidR="00FA2FBB" w:rsidRPr="00D47322" w:rsidRDefault="00FA2FBB" w:rsidP="001F3CBA">
            <w:p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411E2A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11E2A"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B524C6" w:rsidRDefault="00411E2A" w:rsidP="00411E2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Ofertę </w:t>
            </w:r>
            <w:r w:rsidR="00B524C6">
              <w:rPr>
                <w:rFonts w:eastAsia="Times New Roman" w:cs="Calibri"/>
                <w:lang w:eastAsia="pl-PL"/>
              </w:rPr>
              <w:t>można</w:t>
            </w:r>
            <w:r w:rsidRPr="0088546A">
              <w:rPr>
                <w:rFonts w:eastAsia="Times New Roman" w:cs="Calibri"/>
                <w:lang w:eastAsia="pl-PL"/>
              </w:rPr>
              <w:t xml:space="preserve"> złożyć</w:t>
            </w:r>
            <w:r w:rsidR="00B524C6">
              <w:rPr>
                <w:rFonts w:eastAsia="Times New Roman" w:cs="Calibri"/>
                <w:lang w:eastAsia="pl-PL"/>
              </w:rPr>
              <w:t>:</w:t>
            </w:r>
            <w:r w:rsidRPr="0088546A">
              <w:rPr>
                <w:rFonts w:eastAsia="Times New Roman" w:cs="Calibri"/>
                <w:lang w:eastAsia="pl-PL"/>
              </w:rPr>
              <w:t xml:space="preserve"> </w:t>
            </w:r>
          </w:p>
          <w:p w:rsidR="00F8253B" w:rsidRDefault="00411E2A" w:rsidP="00B524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524C6">
              <w:rPr>
                <w:rFonts w:eastAsia="Times New Roman" w:cs="Calibri"/>
                <w:lang w:eastAsia="pl-PL"/>
              </w:rPr>
              <w:t xml:space="preserve">elektronicznie – poprzez platformę zakupową Open </w:t>
            </w:r>
            <w:proofErr w:type="spellStart"/>
            <w:r w:rsidRPr="00B524C6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Pr="00B524C6">
              <w:rPr>
                <w:rFonts w:eastAsia="Times New Roman" w:cs="Calibri"/>
                <w:lang w:eastAsia="pl-PL"/>
              </w:rPr>
              <w:t>;</w:t>
            </w:r>
          </w:p>
          <w:p w:rsidR="00B524C6" w:rsidRPr="00B524C6" w:rsidRDefault="00B524C6" w:rsidP="00B524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pisemnie – wg opisu w p. IV</w:t>
            </w:r>
            <w:r w:rsidR="006302D4">
              <w:rPr>
                <w:rFonts w:eastAsia="Times New Roman" w:cs="Calibri"/>
                <w:lang w:eastAsia="pl-PL"/>
              </w:rPr>
              <w:t>. 7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411E2A">
        <w:trPr>
          <w:trHeight w:val="826"/>
        </w:trPr>
        <w:tc>
          <w:tcPr>
            <w:tcW w:w="10606" w:type="dxa"/>
          </w:tcPr>
          <w:p w:rsidR="007053EE" w:rsidRPr="00D47322" w:rsidRDefault="007053EE" w:rsidP="00381B4D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Zamawiający </w:t>
            </w:r>
            <w:r w:rsidR="00381B4D">
              <w:rPr>
                <w:rFonts w:eastAsia="Times New Roman" w:cs="Calibri"/>
                <w:lang w:eastAsia="pl-PL"/>
              </w:rPr>
              <w:t>wymaga</w:t>
            </w:r>
            <w:r>
              <w:rPr>
                <w:rFonts w:eastAsia="Times New Roman" w:cs="Calibri"/>
                <w:lang w:eastAsia="pl-PL"/>
              </w:rPr>
              <w:t xml:space="preserve"> od Wykonawcy, którego oferta została wybrana jako najkorzystniejsza</w:t>
            </w:r>
            <w:r w:rsidR="00381B4D">
              <w:rPr>
                <w:rFonts w:eastAsia="Times New Roman" w:cs="Calibri"/>
                <w:lang w:eastAsia="pl-PL"/>
              </w:rPr>
              <w:t>,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381B4D">
              <w:rPr>
                <w:rFonts w:eastAsia="Times New Roman" w:cs="Calibri"/>
                <w:lang w:eastAsia="pl-PL"/>
              </w:rPr>
              <w:t>prze</w:t>
            </w:r>
            <w:r>
              <w:rPr>
                <w:rFonts w:eastAsia="Times New Roman" w:cs="Calibri"/>
                <w:lang w:eastAsia="pl-PL"/>
              </w:rPr>
              <w:t>kaza</w:t>
            </w:r>
            <w:r w:rsidR="00381B4D">
              <w:rPr>
                <w:rFonts w:eastAsia="Times New Roman" w:cs="Calibri"/>
                <w:lang w:eastAsia="pl-PL"/>
              </w:rPr>
              <w:t>nia</w:t>
            </w:r>
            <w:r>
              <w:rPr>
                <w:rFonts w:eastAsia="Times New Roman" w:cs="Calibri"/>
                <w:lang w:eastAsia="pl-PL"/>
              </w:rPr>
              <w:t xml:space="preserve"> Zamawiającemu</w:t>
            </w:r>
            <w:r w:rsidR="00381B4D">
              <w:rPr>
                <w:rFonts w:eastAsia="Times New Roman" w:cs="Calibri"/>
                <w:lang w:eastAsia="pl-PL"/>
              </w:rPr>
              <w:t xml:space="preserve"> przed podpisaniem umowy dokumentów, o których mowa w części VI i VII  oraz może wymagać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381B4D">
              <w:rPr>
                <w:rFonts w:eastAsia="Times New Roman" w:cs="Calibri"/>
                <w:lang w:eastAsia="pl-PL"/>
              </w:rPr>
              <w:t xml:space="preserve">okazania do wglądu </w:t>
            </w:r>
            <w:r>
              <w:rPr>
                <w:rFonts w:eastAsia="Times New Roman" w:cs="Calibri"/>
                <w:lang w:eastAsia="pl-PL"/>
              </w:rPr>
              <w:t>oryginał</w:t>
            </w:r>
            <w:r w:rsidR="00381B4D">
              <w:rPr>
                <w:rFonts w:eastAsia="Times New Roman" w:cs="Calibri"/>
                <w:lang w:eastAsia="pl-PL"/>
              </w:rPr>
              <w:t>ów tych</w:t>
            </w:r>
            <w:r>
              <w:rPr>
                <w:rFonts w:eastAsia="Times New Roman" w:cs="Calibri"/>
                <w:lang w:eastAsia="pl-PL"/>
              </w:rPr>
              <w:t xml:space="preserve">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FA32A8" w:rsidTr="001F3CBA">
        <w:tc>
          <w:tcPr>
            <w:tcW w:w="10606" w:type="dxa"/>
          </w:tcPr>
          <w:p w:rsidR="007053EE" w:rsidRPr="00FA32A8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A32A8">
              <w:rPr>
                <w:rFonts w:eastAsia="Times New Roman" w:cs="Calibri"/>
                <w:lang w:eastAsia="pl-PL"/>
              </w:rPr>
              <w:t xml:space="preserve">Załącznik nr 1 </w:t>
            </w:r>
            <w:r w:rsidR="008A4E64" w:rsidRPr="00FA32A8">
              <w:rPr>
                <w:rFonts w:eastAsia="Times New Roman" w:cs="Calibri"/>
                <w:lang w:eastAsia="pl-PL"/>
              </w:rPr>
              <w:t xml:space="preserve">    </w:t>
            </w:r>
            <w:r w:rsidR="00DC3CED" w:rsidRPr="00FA32A8">
              <w:rPr>
                <w:rFonts w:eastAsia="Times New Roman" w:cs="Calibri"/>
                <w:lang w:eastAsia="pl-PL"/>
              </w:rPr>
              <w:t>–</w:t>
            </w:r>
            <w:r w:rsidRPr="00FA32A8">
              <w:rPr>
                <w:rFonts w:eastAsia="Times New Roman" w:cs="Calibri"/>
                <w:lang w:eastAsia="pl-PL"/>
              </w:rPr>
              <w:t xml:space="preserve"> </w:t>
            </w:r>
            <w:r w:rsidR="00DC3CED" w:rsidRPr="00FA32A8">
              <w:rPr>
                <w:rFonts w:eastAsia="Times New Roman" w:cs="Calibri"/>
                <w:lang w:eastAsia="pl-PL"/>
              </w:rPr>
              <w:t>Szczegółowy o</w:t>
            </w:r>
            <w:r w:rsidRPr="00FA32A8">
              <w:rPr>
                <w:rFonts w:eastAsia="Times New Roman" w:cs="Calibri"/>
                <w:lang w:eastAsia="pl-PL"/>
              </w:rPr>
              <w:t>pis przedmiotu zamówienia</w:t>
            </w:r>
          </w:p>
          <w:p w:rsidR="008B688E" w:rsidRPr="00FA32A8" w:rsidRDefault="00DC3CED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A32A8">
              <w:rPr>
                <w:rFonts w:eastAsia="Times New Roman" w:cs="Calibri"/>
                <w:lang w:eastAsia="pl-PL"/>
              </w:rPr>
              <w:t xml:space="preserve">Załącznik nr 2 </w:t>
            </w:r>
            <w:r w:rsidR="008A4E64" w:rsidRPr="00FA32A8">
              <w:rPr>
                <w:rFonts w:eastAsia="Times New Roman" w:cs="Calibri"/>
                <w:lang w:eastAsia="pl-PL"/>
              </w:rPr>
              <w:t xml:space="preserve">    </w:t>
            </w:r>
            <w:r w:rsidRPr="00FA32A8">
              <w:rPr>
                <w:rFonts w:eastAsia="Times New Roman" w:cs="Calibri"/>
                <w:lang w:eastAsia="pl-PL"/>
              </w:rPr>
              <w:t xml:space="preserve">– </w:t>
            </w:r>
            <w:r w:rsidR="008F57FB" w:rsidRPr="00FA32A8">
              <w:rPr>
                <w:rFonts w:eastAsia="Times New Roman" w:cs="Calibri"/>
                <w:lang w:eastAsia="pl-PL"/>
              </w:rPr>
              <w:t>Projekt umowy</w:t>
            </w:r>
          </w:p>
          <w:p w:rsidR="00DC3CED" w:rsidRPr="00FA32A8" w:rsidRDefault="00DC3CED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A32A8">
              <w:rPr>
                <w:rFonts w:eastAsia="Times New Roman" w:cs="Calibri"/>
                <w:lang w:eastAsia="pl-PL"/>
              </w:rPr>
              <w:t xml:space="preserve">Załącznik nr 3 </w:t>
            </w:r>
            <w:r w:rsidR="008A4E64" w:rsidRPr="00FA32A8">
              <w:rPr>
                <w:rFonts w:eastAsia="Times New Roman" w:cs="Calibri"/>
                <w:lang w:eastAsia="pl-PL"/>
              </w:rPr>
              <w:t xml:space="preserve">    </w:t>
            </w:r>
            <w:r w:rsidR="00936B47" w:rsidRPr="00FA32A8">
              <w:rPr>
                <w:rFonts w:eastAsia="Times New Roman" w:cs="Calibri"/>
                <w:lang w:eastAsia="pl-PL"/>
              </w:rPr>
              <w:t>–</w:t>
            </w:r>
            <w:r w:rsidRPr="00FA32A8">
              <w:rPr>
                <w:rFonts w:eastAsia="Times New Roman" w:cs="Calibri"/>
                <w:lang w:eastAsia="pl-PL"/>
              </w:rPr>
              <w:t xml:space="preserve"> </w:t>
            </w:r>
            <w:r w:rsidR="00FA32A8" w:rsidRPr="00FA32A8">
              <w:rPr>
                <w:rFonts w:eastAsia="Times New Roman" w:cs="Calibri"/>
                <w:lang w:eastAsia="pl-PL"/>
              </w:rPr>
              <w:t>Wycena wg urządzeń</w:t>
            </w:r>
          </w:p>
          <w:p w:rsidR="007053EE" w:rsidRPr="00FA32A8" w:rsidRDefault="009873E6" w:rsidP="009873E6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A32A8">
              <w:rPr>
                <w:rFonts w:eastAsia="Times New Roman" w:cs="Calibri"/>
                <w:lang w:eastAsia="pl-PL"/>
              </w:rPr>
              <w:t xml:space="preserve">Załącznik nr </w:t>
            </w:r>
            <w:r>
              <w:rPr>
                <w:rFonts w:eastAsia="Times New Roman" w:cs="Calibri"/>
                <w:lang w:eastAsia="pl-PL"/>
              </w:rPr>
              <w:t>4</w:t>
            </w:r>
            <w:r w:rsidRPr="00FA32A8">
              <w:rPr>
                <w:rFonts w:eastAsia="Times New Roman" w:cs="Calibri"/>
                <w:lang w:eastAsia="pl-PL"/>
              </w:rPr>
              <w:t xml:space="preserve">     –</w:t>
            </w:r>
            <w:r>
              <w:rPr>
                <w:rFonts w:eastAsia="Times New Roman" w:cs="Calibri"/>
                <w:lang w:eastAsia="pl-PL"/>
              </w:rPr>
              <w:t xml:space="preserve"> Formularz ofertowy</w:t>
            </w:r>
          </w:p>
        </w:tc>
      </w:tr>
    </w:tbl>
    <w:p w:rsidR="008A4E64" w:rsidRPr="00FA32A8" w:rsidRDefault="008A4E64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FA32A8" w:rsidRDefault="008A4E64" w:rsidP="008A4E64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Calibri"/>
          <w:sz w:val="20"/>
          <w:lang w:eastAsia="pl-PL"/>
        </w:rPr>
      </w:pPr>
      <w:r w:rsidRPr="00FA32A8">
        <w:rPr>
          <w:rFonts w:eastAsia="Times New Roman" w:cs="Calibri"/>
          <w:sz w:val="20"/>
          <w:lang w:eastAsia="pl-PL"/>
        </w:rPr>
        <w:t>(</w:t>
      </w:r>
      <w:r w:rsidR="007053EE" w:rsidRPr="00FA32A8">
        <w:rPr>
          <w:rFonts w:eastAsia="Times New Roman" w:cs="Calibri"/>
          <w:sz w:val="20"/>
          <w:lang w:eastAsia="pl-PL"/>
        </w:rPr>
        <w:t>*- wypełnić jeżeli dotyczy lub niepotrzebne skreślić</w:t>
      </w:r>
      <w:r w:rsidRPr="00FA32A8">
        <w:rPr>
          <w:rFonts w:eastAsia="Times New Roman" w:cs="Calibri"/>
          <w:sz w:val="20"/>
          <w:lang w:eastAsia="pl-PL"/>
        </w:rPr>
        <w:t>)</w:t>
      </w:r>
    </w:p>
    <w:p w:rsidR="00411E2A" w:rsidRDefault="00411E2A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ab/>
      </w:r>
      <w:r>
        <w:rPr>
          <w:rFonts w:eastAsia="Times New Roman" w:cs="Calibri"/>
          <w:b/>
          <w:sz w:val="24"/>
          <w:szCs w:val="24"/>
          <w:lang w:eastAsia="pl-PL"/>
        </w:rPr>
        <w:tab/>
      </w:r>
      <w:r w:rsidR="00DC3CED">
        <w:rPr>
          <w:rFonts w:eastAsia="Times New Roman" w:cs="Calibri"/>
          <w:b/>
          <w:sz w:val="24"/>
          <w:szCs w:val="24"/>
          <w:lang w:eastAsia="pl-PL"/>
        </w:rPr>
        <w:t>Przemysław Tomkowiak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……………………………………………………………………….</w:t>
      </w:r>
    </w:p>
    <w:p w:rsidR="008C0597" w:rsidRPr="006302D4" w:rsidRDefault="007053EE" w:rsidP="006302D4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  <w:r w:rsidRPr="00E656EE">
        <w:rPr>
          <w:rFonts w:eastAsia="Times New Roman" w:cs="Calibri"/>
          <w:lang w:eastAsia="pl-PL"/>
        </w:rPr>
        <w:t>(podpis pracownika jednostki prowadzącej zapytanie)</w:t>
      </w:r>
    </w:p>
    <w:sectPr w:rsidR="008C0597" w:rsidRPr="006302D4" w:rsidSect="000723DB">
      <w:headerReference w:type="default" r:id="rId13"/>
      <w:pgSz w:w="11906" w:h="16838"/>
      <w:pgMar w:top="720" w:right="720" w:bottom="851" w:left="720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D3" w:rsidRDefault="00552CD3">
      <w:pPr>
        <w:spacing w:after="0" w:line="240" w:lineRule="auto"/>
      </w:pPr>
      <w:r>
        <w:separator/>
      </w:r>
    </w:p>
  </w:endnote>
  <w:endnote w:type="continuationSeparator" w:id="0">
    <w:p w:rsidR="00552CD3" w:rsidRDefault="0055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D3" w:rsidRDefault="00552CD3">
      <w:pPr>
        <w:spacing w:after="0" w:line="240" w:lineRule="auto"/>
      </w:pPr>
      <w:r>
        <w:separator/>
      </w:r>
    </w:p>
  </w:footnote>
  <w:footnote w:type="continuationSeparator" w:id="0">
    <w:p w:rsidR="00552CD3" w:rsidRDefault="0055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92" w:rsidRPr="00502492" w:rsidRDefault="007A0805" w:rsidP="0050249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x-none"/>
      </w:rPr>
    </w:pPr>
    <w:r w:rsidRPr="00502492">
      <w:rPr>
        <w:rFonts w:ascii="Times New Roman" w:eastAsia="Times New Roman" w:hAnsi="Times New Roman"/>
        <w:sz w:val="20"/>
        <w:szCs w:val="20"/>
        <w:lang w:val="x-none" w:eastAsia="x-none"/>
      </w:rPr>
      <w:t xml:space="preserve">Załącznik nr </w:t>
    </w:r>
    <w:r>
      <w:rPr>
        <w:rFonts w:ascii="Times New Roman" w:eastAsia="Times New Roman" w:hAnsi="Times New Roman"/>
        <w:sz w:val="20"/>
        <w:szCs w:val="20"/>
        <w:lang w:eastAsia="x-none"/>
      </w:rPr>
      <w:t>10</w:t>
    </w:r>
  </w:p>
  <w:p w:rsidR="00502492" w:rsidRPr="00116EA9" w:rsidRDefault="007A0805" w:rsidP="000723DB">
    <w:pPr>
      <w:keepNext/>
      <w:pBdr>
        <w:bottom w:val="single" w:sz="4" w:space="1" w:color="auto"/>
      </w:pBdr>
      <w:spacing w:after="0" w:line="240" w:lineRule="auto"/>
      <w:jc w:val="right"/>
      <w:outlineLvl w:val="0"/>
      <w:rPr>
        <w:rFonts w:eastAsia="Times New Roman" w:cs="Arial"/>
        <w:bCs/>
        <w:i/>
        <w:iCs/>
        <w:lang w:eastAsia="pl-PL"/>
      </w:rPr>
    </w:pPr>
    <w:r w:rsidRPr="00502492">
      <w:rPr>
        <w:rFonts w:ascii="Times New Roman" w:eastAsia="Times New Roman" w:hAnsi="Times New Roman"/>
        <w:sz w:val="20"/>
        <w:szCs w:val="20"/>
        <w:lang w:val="x-none" w:eastAsia="pl-PL"/>
      </w:rPr>
      <w:t>do Regulaminu udzielania zamówień publicznych w U</w:t>
    </w:r>
    <w:r w:rsidR="00116EA9">
      <w:rPr>
        <w:rFonts w:ascii="Times New Roman" w:eastAsia="Times New Roman" w:hAnsi="Times New Roman"/>
        <w:sz w:val="20"/>
        <w:szCs w:val="20"/>
        <w:lang w:eastAsia="pl-PL"/>
      </w:rPr>
      <w:t>MP</w:t>
    </w:r>
  </w:p>
  <w:p w:rsidR="00BB1821" w:rsidRDefault="00E40C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6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4">
    <w:nsid w:val="226C488F"/>
    <w:multiLevelType w:val="hybridMultilevel"/>
    <w:tmpl w:val="E0A4930E"/>
    <w:lvl w:ilvl="0" w:tplc="F91A044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435ED9"/>
    <w:multiLevelType w:val="hybridMultilevel"/>
    <w:tmpl w:val="6E32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13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183799"/>
    <w:multiLevelType w:val="hybridMultilevel"/>
    <w:tmpl w:val="4054242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E1007"/>
    <w:multiLevelType w:val="hybridMultilevel"/>
    <w:tmpl w:val="29F02BD8"/>
    <w:lvl w:ilvl="0" w:tplc="FA368A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667C6721"/>
    <w:multiLevelType w:val="hybridMultilevel"/>
    <w:tmpl w:val="3A14A4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9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5"/>
  </w:num>
  <w:num w:numId="11">
    <w:abstractNumId w:val="16"/>
  </w:num>
  <w:num w:numId="12">
    <w:abstractNumId w:val="8"/>
  </w:num>
  <w:num w:numId="13">
    <w:abstractNumId w:val="12"/>
  </w:num>
  <w:num w:numId="14">
    <w:abstractNumId w:val="21"/>
  </w:num>
  <w:num w:numId="15">
    <w:abstractNumId w:val="23"/>
  </w:num>
  <w:num w:numId="16">
    <w:abstractNumId w:val="4"/>
  </w:num>
  <w:num w:numId="17">
    <w:abstractNumId w:val="14"/>
  </w:num>
  <w:num w:numId="18">
    <w:abstractNumId w:val="0"/>
  </w:num>
  <w:num w:numId="19">
    <w:abstractNumId w:val="13"/>
  </w:num>
  <w:num w:numId="20">
    <w:abstractNumId w:val="19"/>
  </w:num>
  <w:num w:numId="21">
    <w:abstractNumId w:val="22"/>
  </w:num>
  <w:num w:numId="22">
    <w:abstractNumId w:val="10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EE"/>
    <w:rsid w:val="00010FAC"/>
    <w:rsid w:val="00051494"/>
    <w:rsid w:val="000657CA"/>
    <w:rsid w:val="000723DB"/>
    <w:rsid w:val="000836AA"/>
    <w:rsid w:val="00102545"/>
    <w:rsid w:val="00105F6C"/>
    <w:rsid w:val="00112A54"/>
    <w:rsid w:val="00116EA9"/>
    <w:rsid w:val="00120E64"/>
    <w:rsid w:val="001313F7"/>
    <w:rsid w:val="00152731"/>
    <w:rsid w:val="00161BDC"/>
    <w:rsid w:val="001724C3"/>
    <w:rsid w:val="001B677E"/>
    <w:rsid w:val="001D6394"/>
    <w:rsid w:val="00237652"/>
    <w:rsid w:val="00275D69"/>
    <w:rsid w:val="002853C4"/>
    <w:rsid w:val="002979DC"/>
    <w:rsid w:val="002B40B4"/>
    <w:rsid w:val="00340CF5"/>
    <w:rsid w:val="00343320"/>
    <w:rsid w:val="00374DAA"/>
    <w:rsid w:val="00381B4D"/>
    <w:rsid w:val="0039515B"/>
    <w:rsid w:val="00411E2A"/>
    <w:rsid w:val="00444B68"/>
    <w:rsid w:val="00464BAA"/>
    <w:rsid w:val="00481C8B"/>
    <w:rsid w:val="004909CD"/>
    <w:rsid w:val="004A0880"/>
    <w:rsid w:val="004C2AA2"/>
    <w:rsid w:val="004F623F"/>
    <w:rsid w:val="004F659B"/>
    <w:rsid w:val="00520F40"/>
    <w:rsid w:val="00552CD3"/>
    <w:rsid w:val="00590C80"/>
    <w:rsid w:val="005A61BC"/>
    <w:rsid w:val="00616D37"/>
    <w:rsid w:val="00627BB7"/>
    <w:rsid w:val="006302D4"/>
    <w:rsid w:val="00641E00"/>
    <w:rsid w:val="00666DDE"/>
    <w:rsid w:val="00692DF4"/>
    <w:rsid w:val="006E40EE"/>
    <w:rsid w:val="007053EE"/>
    <w:rsid w:val="00733A03"/>
    <w:rsid w:val="007423D2"/>
    <w:rsid w:val="00751A05"/>
    <w:rsid w:val="007A0805"/>
    <w:rsid w:val="007B1FA2"/>
    <w:rsid w:val="007D5F49"/>
    <w:rsid w:val="007F6FCE"/>
    <w:rsid w:val="008916B7"/>
    <w:rsid w:val="008A4E64"/>
    <w:rsid w:val="008B688E"/>
    <w:rsid w:val="008C0597"/>
    <w:rsid w:val="008F57FB"/>
    <w:rsid w:val="009162CB"/>
    <w:rsid w:val="00921FB6"/>
    <w:rsid w:val="00927AC1"/>
    <w:rsid w:val="00936B47"/>
    <w:rsid w:val="009445D7"/>
    <w:rsid w:val="009873E6"/>
    <w:rsid w:val="00990181"/>
    <w:rsid w:val="00A06050"/>
    <w:rsid w:val="00A20E9A"/>
    <w:rsid w:val="00A21597"/>
    <w:rsid w:val="00A36215"/>
    <w:rsid w:val="00A84414"/>
    <w:rsid w:val="00A85137"/>
    <w:rsid w:val="00AA5277"/>
    <w:rsid w:val="00B524C6"/>
    <w:rsid w:val="00B71ED5"/>
    <w:rsid w:val="00B9130B"/>
    <w:rsid w:val="00BB431B"/>
    <w:rsid w:val="00BF66A9"/>
    <w:rsid w:val="00C0031F"/>
    <w:rsid w:val="00C015F9"/>
    <w:rsid w:val="00C13E0A"/>
    <w:rsid w:val="00C44B27"/>
    <w:rsid w:val="00C65246"/>
    <w:rsid w:val="00C80ACD"/>
    <w:rsid w:val="00C95D47"/>
    <w:rsid w:val="00CC6CB0"/>
    <w:rsid w:val="00D1516A"/>
    <w:rsid w:val="00D17951"/>
    <w:rsid w:val="00D34A2C"/>
    <w:rsid w:val="00D35DFD"/>
    <w:rsid w:val="00D45685"/>
    <w:rsid w:val="00D70CA8"/>
    <w:rsid w:val="00D8333F"/>
    <w:rsid w:val="00D9307B"/>
    <w:rsid w:val="00DA3F83"/>
    <w:rsid w:val="00DC3CED"/>
    <w:rsid w:val="00DD059C"/>
    <w:rsid w:val="00DD512B"/>
    <w:rsid w:val="00DF5C98"/>
    <w:rsid w:val="00E02078"/>
    <w:rsid w:val="00E40C9E"/>
    <w:rsid w:val="00E52CAA"/>
    <w:rsid w:val="00EC2CC6"/>
    <w:rsid w:val="00EC6222"/>
    <w:rsid w:val="00F26101"/>
    <w:rsid w:val="00F27A17"/>
    <w:rsid w:val="00F8253B"/>
    <w:rsid w:val="00FA2FBB"/>
    <w:rsid w:val="00FA32A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20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3DB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C622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Bezodstpw">
    <w:name w:val="No Spacing"/>
    <w:uiPriority w:val="1"/>
    <w:qFormat/>
    <w:rsid w:val="00EC6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2">
    <w:name w:val="Tekst podstawowy 32"/>
    <w:basedOn w:val="Normalny"/>
    <w:rsid w:val="00EC622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20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3DB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C622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Bezodstpw">
    <w:name w:val="No Spacing"/>
    <w:uiPriority w:val="1"/>
    <w:qFormat/>
    <w:rsid w:val="00EC6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2">
    <w:name w:val="Tekst podstawowy 32"/>
    <w:basedOn w:val="Normalny"/>
    <w:rsid w:val="00EC622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zarzynski@ump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tomkowiak@ump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tum@ump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4702-78DB-416B-913A-72FA4185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 Tomkowiak</cp:lastModifiedBy>
  <cp:revision>48</cp:revision>
  <cp:lastPrinted>2019-08-13T07:16:00Z</cp:lastPrinted>
  <dcterms:created xsi:type="dcterms:W3CDTF">2017-10-26T10:52:00Z</dcterms:created>
  <dcterms:modified xsi:type="dcterms:W3CDTF">2019-12-02T13:47:00Z</dcterms:modified>
</cp:coreProperties>
</file>