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1533E66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B2A3E">
        <w:rPr>
          <w:rFonts w:ascii="Arial" w:hAnsi="Arial" w:cs="Arial"/>
          <w:b w:val="0"/>
          <w:i/>
          <w:sz w:val="20"/>
          <w:szCs w:val="20"/>
        </w:rPr>
        <w:t>31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793CC320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DD7970" w:rsidRPr="00DD7970">
        <w:rPr>
          <w:rFonts w:ascii="Arial" w:hAnsi="Arial" w:cs="Arial"/>
          <w:b/>
          <w:i/>
          <w:iCs/>
          <w:sz w:val="22"/>
          <w:szCs w:val="22"/>
        </w:rPr>
        <w:t>Poprawa bezpieczeństwa  na  przejściach dla pieszych  na terenie Gminy Kartuzy</w:t>
      </w:r>
      <w:r w:rsidR="00DD7970">
        <w:rPr>
          <w:rFonts w:ascii="Arial" w:hAnsi="Arial" w:cs="Arial"/>
          <w:b/>
          <w:i/>
          <w:iCs/>
          <w:sz w:val="22"/>
          <w:szCs w:val="22"/>
        </w:rPr>
        <w:t>.</w:t>
      </w:r>
      <w:bookmarkStart w:id="1" w:name="_GoBack"/>
      <w:bookmarkEnd w:id="1"/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41541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456EBF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821" w14:textId="77777777" w:rsidR="00CF784B" w:rsidRDefault="00CF784B">
      <w:r>
        <w:separator/>
      </w:r>
    </w:p>
  </w:endnote>
  <w:endnote w:type="continuationSeparator" w:id="0">
    <w:p w14:paraId="3DF72D78" w14:textId="77777777" w:rsidR="00CF784B" w:rsidRDefault="00C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FE0" w14:textId="77777777" w:rsidR="00CF784B" w:rsidRDefault="00CF784B">
      <w:r>
        <w:separator/>
      </w:r>
    </w:p>
  </w:footnote>
  <w:footnote w:type="continuationSeparator" w:id="0">
    <w:p w14:paraId="3F08D481" w14:textId="77777777" w:rsidR="00CF784B" w:rsidRDefault="00C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FB7A22D" w:rsidR="00BC3ECE" w:rsidRDefault="00B4589C" w:rsidP="00DD797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19516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B2A3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DD797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7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59E0128" w:rsidR="00BC3ECE" w:rsidRPr="00A927AB" w:rsidRDefault="00B4589C" w:rsidP="00456EBF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95162"/>
    <w:rsid w:val="001E0686"/>
    <w:rsid w:val="0021196E"/>
    <w:rsid w:val="00267C0D"/>
    <w:rsid w:val="002B1E87"/>
    <w:rsid w:val="002E6109"/>
    <w:rsid w:val="00351E68"/>
    <w:rsid w:val="00444B75"/>
    <w:rsid w:val="00456EBF"/>
    <w:rsid w:val="004A0F1C"/>
    <w:rsid w:val="0055100E"/>
    <w:rsid w:val="0065128F"/>
    <w:rsid w:val="006C2731"/>
    <w:rsid w:val="00873C31"/>
    <w:rsid w:val="008B2A3E"/>
    <w:rsid w:val="008F16BC"/>
    <w:rsid w:val="009246E7"/>
    <w:rsid w:val="00A927AB"/>
    <w:rsid w:val="00B4589C"/>
    <w:rsid w:val="00BC3ECE"/>
    <w:rsid w:val="00CB4A1D"/>
    <w:rsid w:val="00CF784B"/>
    <w:rsid w:val="00DC346D"/>
    <w:rsid w:val="00DD7970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C33D-A452-4523-A63A-008A4AC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25</cp:revision>
  <cp:lastPrinted>2021-05-11T08:18:00Z</cp:lastPrinted>
  <dcterms:created xsi:type="dcterms:W3CDTF">2020-12-17T17:45:00Z</dcterms:created>
  <dcterms:modified xsi:type="dcterms:W3CDTF">2021-11-04T11:01:00Z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