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6851C61E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D71F68" w:rsidRPr="00D71F68">
        <w:rPr>
          <w:rFonts w:ascii="Arial" w:hAnsi="Arial" w:cs="Arial"/>
          <w:b/>
          <w:sz w:val="21"/>
          <w:szCs w:val="21"/>
        </w:rPr>
        <w:t>wprowadzenie stałej organizacji ruchu na ul. Ogrodowej w Lusowie - remont drogi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 xml:space="preserve">podać mającą zastosowanie podstawę wykluczenia spośród wymienionych w art. 108 ust. 1 pkt 1, 2, 5 lub 6 ustawy </w:t>
      </w:r>
      <w:proofErr w:type="spellStart"/>
      <w:r w:rsidR="00F35DF4" w:rsidRPr="00F35DF4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54E0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600FEC"/>
    <w:rsid w:val="00602C97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24263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0B34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F9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1F6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3</cp:revision>
  <cp:lastPrinted>2022-04-28T12:49:00Z</cp:lastPrinted>
  <dcterms:created xsi:type="dcterms:W3CDTF">2024-10-21T10:24:00Z</dcterms:created>
  <dcterms:modified xsi:type="dcterms:W3CDTF">2024-10-21T10:25:00Z</dcterms:modified>
</cp:coreProperties>
</file>