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ADAF" w14:textId="481FF0E1" w:rsidR="00F922DB" w:rsidRPr="00366B09" w:rsidRDefault="00F922D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6153449D" w14:textId="77777777" w:rsidR="00F922DB" w:rsidRPr="00366B09" w:rsidRDefault="00F922DB" w:rsidP="006E17D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66B09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7D0029A1" w14:textId="52520069" w:rsidR="00F922DB" w:rsidRPr="00366B09" w:rsidRDefault="00F922DB" w:rsidP="00EF6F38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1.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83117F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Sukcesywne dostawy </w:t>
      </w:r>
      <w:r w:rsidR="00EF6F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materiałów opatrunkowych</w:t>
      </w:r>
      <w:r w:rsidR="00B3228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F274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r referencyjny: </w:t>
      </w:r>
      <w:r w:rsidR="00D87E3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C76E97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="00EF6F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7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816EAA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4</w:t>
      </w:r>
    </w:p>
    <w:p w14:paraId="55925FFE" w14:textId="77777777" w:rsidR="00F922DB" w:rsidRPr="00366B09" w:rsidRDefault="00F922DB" w:rsidP="00EF6F38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366B09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366B09" w14:paraId="48F45F4F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6B798610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366B0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3018F825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FEE9CE6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F9388F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24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1779867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60AE2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61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508AC2AB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297B1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3F93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40AEC8E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65AF2E8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5B7D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0C54CF0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221CC91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1AD5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608730F7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98391C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A5A9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C6A0577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D6E552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4FEA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2944" w:rsidRPr="00366B09" w14:paraId="190562B9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4A6073EE" w14:textId="77777777" w:rsidR="00342944" w:rsidRPr="00366B09" w:rsidRDefault="0034294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C5929" w14:textId="77777777" w:rsidR="00342944" w:rsidRPr="00366B09" w:rsidRDefault="0034294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528BD0DD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EA90B2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B17D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3941F7CF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8D8A0E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27A7E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DD6C7F5" w14:textId="77777777" w:rsidR="00694DCF" w:rsidRPr="00366B09" w:rsidRDefault="00694DCF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auto"/>
          <w:sz w:val="24"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366B09" w14:paraId="655EFA80" w14:textId="77777777" w:rsidTr="00366B09">
        <w:trPr>
          <w:trHeight w:val="1932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1FCA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06C6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2FCAD7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2296E98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897DD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FAE6C5D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218006E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957A9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4C8D1FA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03AB2C" w14:textId="77777777" w:rsidR="00633ED1" w:rsidRPr="00366B09" w:rsidRDefault="00633ED1">
            <w:pPr>
              <w:tabs>
                <w:tab w:val="left" w:pos="90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70CA939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8D1B8A" w14:textId="77777777" w:rsidR="00633ED1" w:rsidRPr="00366B09" w:rsidRDefault="00633ED1">
            <w:pPr>
              <w:tabs>
                <w:tab w:val="left" w:pos="720"/>
                <w:tab w:val="left" w:pos="9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0E6657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073A5F1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</w:tr>
      <w:tr w:rsidR="00633ED1" w:rsidRPr="00366B09" w14:paraId="75EB125B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BCF817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8639EF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96CC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ED7F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2F4E0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D1710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366B09" w14:paraId="0CA3641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8F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80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75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F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A37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F01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1D1B6884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EB92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2DBD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5C24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988F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8ABA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E72C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20E147B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82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BC7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C35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986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9DC0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0F3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916C6D" w14:textId="29821649" w:rsidR="00EF6F38" w:rsidRDefault="002A666C" w:rsidP="00EF6F38">
      <w:pPr>
        <w:pStyle w:val="Nagwek8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Termin realizacji zamówienia: </w:t>
      </w:r>
    </w:p>
    <w:p w14:paraId="369F1152" w14:textId="6F7D2215" w:rsidR="00EF6F38" w:rsidRDefault="00EF6F38" w:rsidP="00EF6F38">
      <w:pPr>
        <w:pStyle w:val="Nagwek80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- 24 miesiące od daty zawarcia umowy -</w:t>
      </w:r>
      <w:r w:rsidRPr="00667FCC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zadanie nr 1 i 2</w:t>
      </w:r>
    </w:p>
    <w:p w14:paraId="0F6856ED" w14:textId="77777777" w:rsidR="00EF6F38" w:rsidRPr="00131E54" w:rsidRDefault="00EF6F38" w:rsidP="00EF6F38">
      <w:pPr>
        <w:pStyle w:val="Textbody"/>
      </w:pPr>
      <w:r>
        <w:rPr>
          <w:rFonts w:ascii="Calibri" w:hAnsi="Calibri" w:cs="Calibri"/>
          <w:b/>
          <w:bCs/>
          <w:color w:val="auto"/>
          <w:szCs w:val="24"/>
        </w:rPr>
        <w:t>- 13 miesięcy od daty zawarcia umowy - zadanie nr 3</w:t>
      </w:r>
    </w:p>
    <w:p w14:paraId="29CA4E0A" w14:textId="1B6FB6C5" w:rsidR="00F922DB" w:rsidRPr="00366B09" w:rsidRDefault="000A397F" w:rsidP="00EF6F38">
      <w:pPr>
        <w:pStyle w:val="Standard"/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Warunki płatności: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5120AC2D" w14:textId="4FDB3A4E" w:rsidR="00F922DB" w:rsidRPr="00366B09" w:rsidRDefault="000A397F" w:rsidP="00EF6F3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6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Rodzaj przedsiębiorstwa jakim jest Wykonawca 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</w:t>
      </w:r>
      <w:r w:rsidR="0062587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AC0A86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:</w:t>
      </w:r>
    </w:p>
    <w:p w14:paraId="6D7A0C5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7E3774AF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084681E" w14:textId="10D70B66" w:rsidR="00F922DB" w:rsidRPr="00366B09" w:rsidRDefault="00F922DB" w:rsidP="0047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150"/>
        </w:tabs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  <w:r w:rsidR="0047040A" w:rsidRPr="00366B09">
        <w:rPr>
          <w:rFonts w:asciiTheme="minorHAnsi" w:hAnsiTheme="minorHAnsi" w:cstheme="minorHAnsi"/>
          <w:b/>
          <w:sz w:val="24"/>
          <w:szCs w:val="24"/>
        </w:rPr>
        <w:tab/>
      </w:r>
    </w:p>
    <w:p w14:paraId="629B1B3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736F0DE6" w14:textId="77777777" w:rsidR="00F922DB" w:rsidRPr="00366B09" w:rsidRDefault="000A397F" w:rsidP="00EF6F3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Niniejszym oświadczam, że:</w:t>
      </w:r>
    </w:p>
    <w:p w14:paraId="06752E5D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warunkami zamówienia i przyjmuję je bez zastrzeżeń;</w:t>
      </w:r>
    </w:p>
    <w:p w14:paraId="5880585C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postanowieniami załączonego do SWZ wzoru umowy i przyjmuję go bez zastrzeżeń;</w:t>
      </w:r>
    </w:p>
    <w:p w14:paraId="4ECAB290" w14:textId="6D78859C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 xml:space="preserve">jestem związany niniejszą ofertą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przez okres </w:t>
      </w: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 dni, licząc</w:t>
      </w:r>
      <w:r w:rsidRPr="00366B09">
        <w:rPr>
          <w:rFonts w:asciiTheme="minorHAnsi" w:hAnsiTheme="minorHAnsi" w:cstheme="minorHAnsi"/>
          <w:sz w:val="24"/>
          <w:szCs w:val="24"/>
        </w:rPr>
        <w:t xml:space="preserve"> od dnia składania ofert podanego w</w:t>
      </w:r>
      <w:r w:rsidR="00EF6F38">
        <w:rPr>
          <w:rFonts w:asciiTheme="minorHAnsi" w:hAnsiTheme="minorHAnsi" w:cstheme="minorHAnsi"/>
          <w:sz w:val="24"/>
          <w:szCs w:val="24"/>
        </w:rPr>
        <w:t> </w:t>
      </w:r>
      <w:r w:rsidRPr="00366B09">
        <w:rPr>
          <w:rFonts w:asciiTheme="minorHAnsi" w:hAnsiTheme="minorHAnsi" w:cstheme="minorHAnsi"/>
          <w:sz w:val="24"/>
          <w:szCs w:val="24"/>
        </w:rPr>
        <w:t>SWZ.</w:t>
      </w:r>
    </w:p>
    <w:p w14:paraId="513122CA" w14:textId="3F3A56A5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color w:val="auto"/>
          <w:sz w:val="24"/>
          <w:szCs w:val="24"/>
        </w:rPr>
        <w:t>UWAGA: Załączniki nr 2</w:t>
      </w:r>
      <w:r w:rsidR="007976EF" w:rsidRPr="00366B09">
        <w:rPr>
          <w:rFonts w:asciiTheme="minorHAnsi" w:hAnsiTheme="minorHAnsi" w:cstheme="minorHAnsi"/>
          <w:color w:val="auto"/>
          <w:sz w:val="24"/>
          <w:szCs w:val="24"/>
        </w:rPr>
        <w:t>.1-2.</w:t>
      </w:r>
      <w:r w:rsidR="00EF6F38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do SWZ – Formularz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cenow</w:t>
      </w:r>
      <w:r w:rsidR="00AC0A86" w:rsidRPr="00366B0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stanowi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integralną część Formularza Oferty, nie podlega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ją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65108F79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75D0AF8" w14:textId="3942CAEC" w:rsidR="00F922DB" w:rsidRPr="00366B09" w:rsidRDefault="000A397F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8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366B09" w14:paraId="6303A9FC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7AA927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B82DF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711D4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366B09" w14:paraId="3A5696B5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9D1CB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62543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6B33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478C048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0610B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9AD2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A21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96DFB9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11A1E2" w14:textId="33A12547" w:rsidR="00F922DB" w:rsidRPr="00366B09" w:rsidRDefault="000A397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Ogólnodostępna i bezpłatna baza, z której Zamawiający może samodzielnie pozyskać dokumenty, o których mowa w Rozdziale XII </w:t>
      </w:r>
      <w:proofErr w:type="spellStart"/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ppkt</w:t>
      </w:r>
      <w:proofErr w:type="spellEnd"/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3.2 SWZ:</w:t>
      </w:r>
    </w:p>
    <w:p w14:paraId="637C4799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31D39306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9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366B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BC09E0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lastRenderedPageBreak/>
        <w:t>inna: ……………………………………………………………….</w:t>
      </w:r>
    </w:p>
    <w:p w14:paraId="74D38ECB" w14:textId="77777777" w:rsidR="00F922DB" w:rsidRPr="00366B09" w:rsidRDefault="00F922DB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7319F954" w14:textId="0F735137" w:rsidR="00F922DB" w:rsidRPr="00366B09" w:rsidRDefault="001A5CC7">
      <w:pPr>
        <w:autoSpaceDE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0A397F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67F07D2" w14:textId="77777777" w:rsidR="00F922DB" w:rsidRPr="00366B09" w:rsidRDefault="00F922DB">
      <w:pPr>
        <w:autoSpaceDE w:val="0"/>
        <w:jc w:val="both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</w:p>
    <w:p w14:paraId="125BEA52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6B38F5E5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033E558B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j/w przypis 2.</w:t>
      </w:r>
    </w:p>
    <w:p w14:paraId="09647903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4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wypełnić dla każdego podmiotu osobno.</w:t>
      </w:r>
    </w:p>
    <w:p w14:paraId="6E830E74" w14:textId="4127FC8E" w:rsidR="00F922DB" w:rsidRPr="00366B09" w:rsidRDefault="00F922DB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  <w:r w:rsidR="00AA768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ab/>
        <w:t>Rozporządzenie Parlamentu Europejskiego i Rady (UE) 2016/679 z dnia 27 kwietnia 2016 r. w</w:t>
      </w:r>
      <w:r w:rsidR="00366B09">
        <w:rPr>
          <w:rFonts w:asciiTheme="minorHAnsi" w:hAnsiTheme="minorHAnsi" w:cstheme="minorHAnsi"/>
          <w:i/>
          <w:sz w:val="24"/>
          <w:szCs w:val="24"/>
        </w:rPr>
        <w:t> </w:t>
      </w:r>
      <w:r w:rsidRPr="00366B09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CE68F9" w14:textId="372B33C2" w:rsidR="00F922DB" w:rsidRPr="00366B09" w:rsidRDefault="00F922DB">
      <w:pPr>
        <w:tabs>
          <w:tab w:val="left" w:pos="700"/>
        </w:tabs>
        <w:spacing w:after="140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0329B8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ab/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W </w:t>
      </w:r>
      <w:r w:rsidR="0047040A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przypadku,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9DF84A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04B14EF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B6EFDF3" w14:textId="77777777" w:rsidR="00E40419" w:rsidRPr="00366B09" w:rsidRDefault="00E40419" w:rsidP="00E4041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2C11270C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366B09" w:rsidSect="00A836E6">
      <w:headerReference w:type="default" r:id="rId10"/>
      <w:footerReference w:type="default" r:id="rId11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6DB4" w14:textId="77777777" w:rsidR="00585456" w:rsidRDefault="00585456">
      <w:r>
        <w:separator/>
      </w:r>
    </w:p>
  </w:endnote>
  <w:endnote w:type="continuationSeparator" w:id="0">
    <w:p w14:paraId="222069D2" w14:textId="77777777" w:rsidR="00585456" w:rsidRDefault="005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BA0E2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847EA99" w14:textId="258DAA00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65-046 Zielona Góra ul. Zyty 26, Sąd Rejonowy w Zielonej Górze VIII Wydział Gospodarczy Krajowego Rejestru Sądowego Rejestr przedsiębiorców nr KRS 0000 596211,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59FFCA05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9E48" w14:textId="77777777" w:rsidR="00585456" w:rsidRDefault="00585456">
      <w:r>
        <w:separator/>
      </w:r>
    </w:p>
  </w:footnote>
  <w:footnote w:type="continuationSeparator" w:id="0">
    <w:p w14:paraId="6D5D1160" w14:textId="77777777" w:rsidR="00585456" w:rsidRDefault="005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8B8A" w14:textId="24591EAD" w:rsidR="00F922DB" w:rsidRDefault="00E964F5">
    <w:pPr>
      <w:jc w:val="center"/>
    </w:pPr>
    <w:r>
      <w:rPr>
        <w:b/>
        <w:bCs/>
        <w:noProof/>
        <w:lang w:eastAsia="pl-PL"/>
      </w:rPr>
      <w:drawing>
        <wp:inline distT="0" distB="0" distL="0" distR="0" wp14:anchorId="1DAED53E" wp14:editId="78CF704C">
          <wp:extent cx="4486275" cy="600075"/>
          <wp:effectExtent l="0" t="0" r="0" b="0"/>
          <wp:docPr id="1" name="Obraz 1" descr="Logo Szpital Uniwersytecki im. Karola Marcinkowskiego w Zielonej Górze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 Uniwersytecki im. Karola Marcinkowskiego w Zielonej Górze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771118747">
    <w:abstractNumId w:val="0"/>
  </w:num>
  <w:num w:numId="2" w16cid:durableId="5486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1321E1"/>
    <w:rsid w:val="0014720B"/>
    <w:rsid w:val="001A5CC7"/>
    <w:rsid w:val="001B0BDF"/>
    <w:rsid w:val="001C3FF3"/>
    <w:rsid w:val="002136C7"/>
    <w:rsid w:val="00273529"/>
    <w:rsid w:val="0027750C"/>
    <w:rsid w:val="00297E09"/>
    <w:rsid w:val="002A4393"/>
    <w:rsid w:val="002A5F18"/>
    <w:rsid w:val="002A666C"/>
    <w:rsid w:val="002C231C"/>
    <w:rsid w:val="002F34E4"/>
    <w:rsid w:val="00324F88"/>
    <w:rsid w:val="00342944"/>
    <w:rsid w:val="00366B09"/>
    <w:rsid w:val="003A5107"/>
    <w:rsid w:val="003D12D4"/>
    <w:rsid w:val="0043345C"/>
    <w:rsid w:val="00443C38"/>
    <w:rsid w:val="0047040A"/>
    <w:rsid w:val="0055105C"/>
    <w:rsid w:val="00585456"/>
    <w:rsid w:val="005937EC"/>
    <w:rsid w:val="005C2558"/>
    <w:rsid w:val="0060105C"/>
    <w:rsid w:val="00611D1B"/>
    <w:rsid w:val="0062587D"/>
    <w:rsid w:val="00633ED1"/>
    <w:rsid w:val="006513A6"/>
    <w:rsid w:val="00694DCF"/>
    <w:rsid w:val="006E17D5"/>
    <w:rsid w:val="006F3595"/>
    <w:rsid w:val="006F699A"/>
    <w:rsid w:val="007528A3"/>
    <w:rsid w:val="007976EF"/>
    <w:rsid w:val="007F7051"/>
    <w:rsid w:val="0080311C"/>
    <w:rsid w:val="00816EAA"/>
    <w:rsid w:val="0083117F"/>
    <w:rsid w:val="008A1F45"/>
    <w:rsid w:val="00914A9F"/>
    <w:rsid w:val="009928B5"/>
    <w:rsid w:val="009B14A9"/>
    <w:rsid w:val="009B73FD"/>
    <w:rsid w:val="00A23B32"/>
    <w:rsid w:val="00A836E6"/>
    <w:rsid w:val="00AA768D"/>
    <w:rsid w:val="00AC0A86"/>
    <w:rsid w:val="00B32283"/>
    <w:rsid w:val="00B82D34"/>
    <w:rsid w:val="00BE40A4"/>
    <w:rsid w:val="00C32A04"/>
    <w:rsid w:val="00C60C5A"/>
    <w:rsid w:val="00C76E97"/>
    <w:rsid w:val="00C8406D"/>
    <w:rsid w:val="00CD5F72"/>
    <w:rsid w:val="00CF2743"/>
    <w:rsid w:val="00D87E33"/>
    <w:rsid w:val="00D91BF2"/>
    <w:rsid w:val="00DC62CC"/>
    <w:rsid w:val="00E40419"/>
    <w:rsid w:val="00E434DF"/>
    <w:rsid w:val="00E964F5"/>
    <w:rsid w:val="00EF6F38"/>
    <w:rsid w:val="00F922DB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8EED2"/>
  <w15:chartTrackingRefBased/>
  <w15:docId w15:val="{B6B595A4-E340-45C8-ACAF-D5F86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?t:lb=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E1CE-2987-47D3-BEF5-5DC7EF3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3</cp:revision>
  <cp:lastPrinted>2021-08-05T06:22:00Z</cp:lastPrinted>
  <dcterms:created xsi:type="dcterms:W3CDTF">2024-12-02T12:28:00Z</dcterms:created>
  <dcterms:modified xsi:type="dcterms:W3CDTF">2024-12-06T12:19:00Z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