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7A807" w14:textId="77777777" w:rsidR="00EB1CBE" w:rsidRDefault="00EB1CBE" w:rsidP="00EB1CBE">
      <w:pPr>
        <w:keepNext/>
        <w:spacing w:after="0" w:line="240" w:lineRule="auto"/>
        <w:jc w:val="both"/>
        <w:rPr>
          <w:rFonts w:ascii="Tahoma" w:hAnsi="Tahoma" w:cs="Tahoma"/>
          <w:b/>
          <w:bCs/>
          <w:sz w:val="18"/>
          <w:szCs w:val="18"/>
        </w:rPr>
      </w:pPr>
    </w:p>
    <w:p w14:paraId="51B33B21" w14:textId="77777777" w:rsidR="00ED7C5D" w:rsidRPr="00F15995" w:rsidRDefault="00ED7C5D" w:rsidP="00ED7C5D">
      <w:pPr>
        <w:spacing w:after="0"/>
        <w:jc w:val="both"/>
        <w:rPr>
          <w:rFonts w:ascii="Tahoma" w:hAnsi="Tahoma" w:cs="Tahoma"/>
          <w:b/>
          <w:sz w:val="20"/>
          <w:szCs w:val="20"/>
        </w:rPr>
      </w:pPr>
      <w:r>
        <w:rPr>
          <w:rFonts w:ascii="Tahoma" w:hAnsi="Tahoma" w:cs="Tahoma"/>
          <w:sz w:val="16"/>
          <w:szCs w:val="16"/>
        </w:rPr>
        <w:t>145</w:t>
      </w:r>
      <w:r w:rsidRPr="00B1782F">
        <w:rPr>
          <w:rFonts w:ascii="Tahoma" w:hAnsi="Tahoma" w:cs="Tahoma"/>
          <w:sz w:val="16"/>
          <w:szCs w:val="16"/>
        </w:rPr>
        <w:t>/PN/ZP</w:t>
      </w:r>
      <w:r w:rsidRPr="00012858">
        <w:rPr>
          <w:rFonts w:ascii="Tahoma" w:hAnsi="Tahoma" w:cs="Tahoma"/>
          <w:sz w:val="16"/>
          <w:szCs w:val="16"/>
        </w:rPr>
        <w:t>/D/</w:t>
      </w:r>
      <w:r w:rsidRPr="00915939">
        <w:rPr>
          <w:rFonts w:ascii="Tahoma" w:hAnsi="Tahoma" w:cs="Tahoma"/>
          <w:sz w:val="16"/>
          <w:szCs w:val="16"/>
        </w:rPr>
        <w:t>20</w:t>
      </w:r>
      <w:r>
        <w:rPr>
          <w:rFonts w:ascii="Tahoma" w:hAnsi="Tahoma" w:cs="Tahoma"/>
          <w:sz w:val="16"/>
          <w:szCs w:val="16"/>
        </w:rPr>
        <w:t>20</w:t>
      </w:r>
      <w:r w:rsidRPr="00915939">
        <w:rPr>
          <w:rFonts w:ascii="Tahoma" w:hAnsi="Tahoma" w:cs="Tahoma"/>
          <w:sz w:val="16"/>
          <w:szCs w:val="16"/>
        </w:rPr>
        <w:t xml:space="preserve"> – </w:t>
      </w:r>
      <w:r w:rsidRPr="00B43A4D">
        <w:rPr>
          <w:rFonts w:ascii="Tahoma" w:hAnsi="Tahoma" w:cs="Tahoma"/>
          <w:sz w:val="16"/>
          <w:szCs w:val="16"/>
        </w:rPr>
        <w:t>Dostawa i instalacja sprzętu komput</w:t>
      </w:r>
      <w:r>
        <w:rPr>
          <w:rFonts w:ascii="Tahoma" w:hAnsi="Tahoma" w:cs="Tahoma"/>
          <w:sz w:val="16"/>
          <w:szCs w:val="16"/>
        </w:rPr>
        <w:t xml:space="preserve">erowego wraz z oprogramowaniem </w:t>
      </w:r>
      <w:r w:rsidRPr="00B43A4D">
        <w:rPr>
          <w:rFonts w:ascii="Tahoma" w:hAnsi="Tahoma" w:cs="Tahoma"/>
          <w:sz w:val="16"/>
          <w:szCs w:val="16"/>
        </w:rPr>
        <w:t>na potrzeby realizacji projektu „Wpr</w:t>
      </w:r>
      <w:r>
        <w:rPr>
          <w:rFonts w:ascii="Tahoma" w:hAnsi="Tahoma" w:cs="Tahoma"/>
          <w:sz w:val="16"/>
          <w:szCs w:val="16"/>
        </w:rPr>
        <w:t xml:space="preserve">owadzenie nowoczesnych e-Usług </w:t>
      </w:r>
      <w:r w:rsidRPr="00B43A4D">
        <w:rPr>
          <w:rFonts w:ascii="Tahoma" w:hAnsi="Tahoma" w:cs="Tahoma"/>
          <w:sz w:val="16"/>
          <w:szCs w:val="16"/>
        </w:rPr>
        <w:t>w podmiotach leczniczych nadzorowanych przez Ministra Zdrowia”</w:t>
      </w:r>
    </w:p>
    <w:p w14:paraId="1A9574CE" w14:textId="77777777" w:rsidR="00ED7C5D" w:rsidRDefault="00ED7C5D" w:rsidP="00EB1CBE">
      <w:pPr>
        <w:keepNext/>
        <w:spacing w:after="0" w:line="240" w:lineRule="auto"/>
        <w:jc w:val="both"/>
        <w:rPr>
          <w:rFonts w:ascii="Tahoma" w:hAnsi="Tahoma" w:cs="Tahoma"/>
          <w:b/>
          <w:bCs/>
          <w:sz w:val="18"/>
          <w:szCs w:val="18"/>
        </w:rPr>
      </w:pPr>
    </w:p>
    <w:p w14:paraId="25008501" w14:textId="339AAC7A" w:rsidR="00EB1CBE" w:rsidRPr="00EB1CBE" w:rsidRDefault="00EB1CBE" w:rsidP="00EB1CBE">
      <w:pPr>
        <w:keepNext/>
        <w:spacing w:after="0" w:line="240" w:lineRule="auto"/>
        <w:jc w:val="both"/>
        <w:rPr>
          <w:rFonts w:ascii="Tahoma" w:hAnsi="Tahoma" w:cs="Tahoma"/>
          <w:b/>
          <w:bCs/>
          <w:sz w:val="18"/>
          <w:szCs w:val="18"/>
        </w:rPr>
      </w:pPr>
      <w:r>
        <w:rPr>
          <w:rFonts w:ascii="Tahoma" w:hAnsi="Tahoma" w:cs="Tahoma"/>
          <w:b/>
          <w:bCs/>
          <w:sz w:val="18"/>
          <w:szCs w:val="18"/>
        </w:rPr>
        <w:t>Załącznik 3 do OPZ</w:t>
      </w:r>
      <w:r w:rsidR="00ED7C5D">
        <w:rPr>
          <w:rFonts w:ascii="Tahoma" w:hAnsi="Tahoma" w:cs="Tahoma"/>
          <w:b/>
          <w:bCs/>
          <w:sz w:val="18"/>
          <w:szCs w:val="18"/>
        </w:rPr>
        <w:t xml:space="preserve"> - </w:t>
      </w:r>
      <w:r w:rsidRPr="00EB1CBE">
        <w:rPr>
          <w:rFonts w:ascii="Tahoma" w:hAnsi="Tahoma" w:cs="Tahoma"/>
          <w:b/>
          <w:bCs/>
          <w:sz w:val="18"/>
          <w:szCs w:val="18"/>
        </w:rPr>
        <w:t>Wymagania na dostawę i instalację Macierzy – 1 sztuka</w:t>
      </w:r>
    </w:p>
    <w:p w14:paraId="1FFB2B4A" w14:textId="77777777" w:rsidR="00EB1CBE" w:rsidRPr="00EB1CBE" w:rsidRDefault="00EB1CBE" w:rsidP="00EB1CBE">
      <w:pPr>
        <w:spacing w:after="0" w:line="240" w:lineRule="auto"/>
        <w:jc w:val="both"/>
        <w:rPr>
          <w:rFonts w:ascii="Tahoma" w:hAnsi="Tahoma" w:cs="Tahoma"/>
          <w:sz w:val="18"/>
          <w:szCs w:val="18"/>
        </w:rPr>
      </w:pPr>
    </w:p>
    <w:p w14:paraId="01B88B01" w14:textId="77777777" w:rsidR="00EB1CBE" w:rsidRPr="00EB1CBE" w:rsidRDefault="00EB1CBE" w:rsidP="00EB1CBE">
      <w:pPr>
        <w:spacing w:after="0" w:line="240" w:lineRule="auto"/>
        <w:jc w:val="both"/>
        <w:rPr>
          <w:rFonts w:ascii="Tahoma" w:hAnsi="Tahoma" w:cs="Tahoma"/>
          <w:color w:val="00000A"/>
          <w:sz w:val="18"/>
          <w:szCs w:val="18"/>
        </w:rPr>
      </w:pPr>
      <w:r w:rsidRPr="00EB1CBE">
        <w:rPr>
          <w:rFonts w:ascii="Tahoma" w:hAnsi="Tahoma" w:cs="Tahoma"/>
          <w:color w:val="00000A"/>
          <w:sz w:val="18"/>
          <w:szCs w:val="18"/>
        </w:rPr>
        <w:t>Do obowiązków Wykonawcy w ramach niniejszego zadania należy dostawa macierzy do siedziby Zamawiającego, spełniających minimalne wymagania techniczne i funkcjonalne określone poniżej oraz ich instalacja i konfiguracja.</w:t>
      </w:r>
    </w:p>
    <w:p w14:paraId="1FB96607" w14:textId="77777777" w:rsidR="00EB1CBE" w:rsidRPr="00EB1CBE" w:rsidRDefault="00EB1CBE" w:rsidP="00EB1CBE">
      <w:pPr>
        <w:spacing w:after="0" w:line="240" w:lineRule="auto"/>
        <w:jc w:val="both"/>
        <w:rPr>
          <w:rFonts w:ascii="Tahoma" w:hAnsi="Tahoma" w:cs="Tahoma"/>
          <w:color w:val="00000A"/>
          <w:sz w:val="18"/>
          <w:szCs w:val="18"/>
        </w:rPr>
      </w:pPr>
    </w:p>
    <w:p w14:paraId="268BEB05" w14:textId="77777777" w:rsidR="00EB1CBE" w:rsidRPr="00EB1CBE" w:rsidRDefault="00EB1CBE" w:rsidP="00EB1CBE">
      <w:pPr>
        <w:pStyle w:val="Akapitzlist"/>
        <w:numPr>
          <w:ilvl w:val="0"/>
          <w:numId w:val="1"/>
        </w:numPr>
        <w:suppressAutoHyphens/>
        <w:spacing w:line="360" w:lineRule="auto"/>
        <w:jc w:val="both"/>
        <w:rPr>
          <w:rFonts w:ascii="Tahoma" w:hAnsi="Tahoma" w:cs="Tahoma"/>
          <w:sz w:val="18"/>
          <w:szCs w:val="18"/>
        </w:rPr>
      </w:pPr>
      <w:r w:rsidRPr="00EB1CBE">
        <w:rPr>
          <w:rFonts w:ascii="Tahoma" w:eastAsia="Calibri" w:hAnsi="Tahoma" w:cs="Tahoma"/>
          <w:b/>
          <w:color w:val="00000A"/>
          <w:sz w:val="18"/>
          <w:szCs w:val="18"/>
        </w:rPr>
        <w:t>Wymagane minimalne parametry techniczne:</w:t>
      </w:r>
      <w:r w:rsidRPr="00EB1CBE">
        <w:rPr>
          <w:rFonts w:ascii="Tahoma" w:hAnsi="Tahoma" w:cs="Tahoma"/>
          <w:sz w:val="18"/>
          <w:szCs w:val="18"/>
        </w:rPr>
        <w:tab/>
      </w:r>
    </w:p>
    <w:p w14:paraId="60C3EC71" w14:textId="77777777" w:rsidR="00EB1CBE" w:rsidRPr="00EB1CBE" w:rsidRDefault="00EB1CBE" w:rsidP="00EB1CBE">
      <w:pPr>
        <w:pStyle w:val="Default"/>
        <w:jc w:val="both"/>
        <w:rPr>
          <w:rFonts w:ascii="Tahoma" w:hAnsi="Tahoma" w:cs="Tahoma"/>
          <w:b/>
          <w:color w:val="00000A"/>
          <w:sz w:val="18"/>
          <w:szCs w:val="18"/>
        </w:rPr>
      </w:pPr>
      <w:r w:rsidRPr="00EB1CBE">
        <w:rPr>
          <w:rFonts w:ascii="Tahoma" w:hAnsi="Tahoma" w:cs="Tahoma"/>
          <w:b/>
          <w:color w:val="00000A"/>
          <w:sz w:val="18"/>
          <w:szCs w:val="18"/>
        </w:rPr>
        <w:t>Ogólne:</w:t>
      </w:r>
    </w:p>
    <w:p w14:paraId="57528BC8" w14:textId="77777777" w:rsidR="00EB1CBE" w:rsidRPr="00EB1CBE" w:rsidRDefault="00EB1CBE" w:rsidP="00EB1CBE">
      <w:pPr>
        <w:pStyle w:val="Default"/>
        <w:jc w:val="both"/>
        <w:rPr>
          <w:rFonts w:ascii="Tahoma" w:hAnsi="Tahoma" w:cs="Tahoma"/>
          <w:color w:val="00000A"/>
          <w:sz w:val="18"/>
          <w:szCs w:val="18"/>
        </w:rPr>
      </w:pPr>
      <w:r w:rsidRPr="00EB1CBE">
        <w:rPr>
          <w:rFonts w:ascii="Tahoma" w:hAnsi="Tahoma" w:cs="Tahoma"/>
          <w:color w:val="00000A"/>
          <w:sz w:val="18"/>
          <w:szCs w:val="18"/>
        </w:rPr>
        <w:t>System musi być dostarczony ze wszystkimi komponentami do instalacji w standardowej szafie rack 19” z zajętością maks. 4U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260 dysków wykonanych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hotplug dla dysków NL-SAS SAS i SSD oraz w rozmiarze 2U dla 12 dysków 3,5” typu hotplug SAS, NL-SAS,SSD oraz 3U/4U dla 60 dysków typu hotplug SAS, NL-SAS, SSD-SAS; Wymaga się aby macierz umożliwiała jednoczesne podłączenie i użycie dowolnego rodzaju i kombinacji wyżej wymienionych półek dyskowych (tj. 24 HDD 2,5” + 12 HDD 3,5 + 60HDD)</w:t>
      </w:r>
    </w:p>
    <w:p w14:paraId="14C9649B" w14:textId="77777777" w:rsidR="00EB1CBE" w:rsidRPr="00EB1CBE" w:rsidRDefault="00EB1CBE" w:rsidP="00EB1CBE">
      <w:pPr>
        <w:pStyle w:val="Default"/>
        <w:jc w:val="both"/>
        <w:rPr>
          <w:rFonts w:ascii="Tahoma" w:hAnsi="Tahoma" w:cs="Tahoma"/>
          <w:b/>
          <w:color w:val="00000A"/>
          <w:sz w:val="18"/>
          <w:szCs w:val="18"/>
        </w:rPr>
      </w:pPr>
    </w:p>
    <w:p w14:paraId="0D2545D5" w14:textId="77777777" w:rsidR="00EB1CBE" w:rsidRPr="00EB1CBE" w:rsidRDefault="00EB1CBE" w:rsidP="00EB1CBE">
      <w:pPr>
        <w:pStyle w:val="Default"/>
        <w:jc w:val="both"/>
        <w:rPr>
          <w:rFonts w:ascii="Tahoma" w:hAnsi="Tahoma" w:cs="Tahoma"/>
          <w:b/>
          <w:color w:val="00000A"/>
          <w:sz w:val="18"/>
          <w:szCs w:val="18"/>
        </w:rPr>
      </w:pPr>
      <w:r w:rsidRPr="00EB1CBE">
        <w:rPr>
          <w:rFonts w:ascii="Tahoma" w:hAnsi="Tahoma" w:cs="Tahoma"/>
          <w:b/>
          <w:color w:val="00000A"/>
          <w:sz w:val="18"/>
          <w:szCs w:val="18"/>
        </w:rPr>
        <w:t>Pojemność:</w:t>
      </w:r>
    </w:p>
    <w:p w14:paraId="69F4C6B5" w14:textId="77777777" w:rsidR="00EB1CBE" w:rsidRPr="00EB1CBE" w:rsidRDefault="00EB1CBE" w:rsidP="00EB1CBE">
      <w:pPr>
        <w:pStyle w:val="Default"/>
        <w:jc w:val="both"/>
        <w:rPr>
          <w:rFonts w:ascii="Tahoma" w:hAnsi="Tahoma" w:cs="Tahoma"/>
          <w:color w:val="00000A"/>
          <w:sz w:val="18"/>
          <w:szCs w:val="18"/>
        </w:rPr>
      </w:pPr>
      <w:r w:rsidRPr="00EB1CBE">
        <w:rPr>
          <w:rFonts w:ascii="Tahoma" w:hAnsi="Tahoma" w:cs="Tahoma"/>
          <w:color w:val="00000A"/>
          <w:sz w:val="18"/>
          <w:szCs w:val="18"/>
        </w:rPr>
        <w:t>Pojemność dostarczonej macierzy:</w:t>
      </w:r>
    </w:p>
    <w:p w14:paraId="6E77EEC9" w14:textId="77777777" w:rsidR="00EB1CBE" w:rsidRPr="00EB1CBE" w:rsidRDefault="00EB1CBE" w:rsidP="00EB1CBE">
      <w:pPr>
        <w:pStyle w:val="Default"/>
        <w:jc w:val="both"/>
        <w:rPr>
          <w:rFonts w:ascii="Tahoma" w:hAnsi="Tahoma" w:cs="Tahoma"/>
          <w:color w:val="00000A"/>
          <w:sz w:val="18"/>
          <w:szCs w:val="18"/>
        </w:rPr>
      </w:pPr>
      <w:r w:rsidRPr="00EB1CBE">
        <w:rPr>
          <w:rFonts w:ascii="Tahoma" w:hAnsi="Tahoma" w:cs="Tahoma"/>
          <w:color w:val="00000A"/>
          <w:sz w:val="18"/>
          <w:szCs w:val="18"/>
        </w:rPr>
        <w:t>15,6TB realizowana na dyskach SAS SSD 12G 1,92TB lub mniejszych (RAID-6 + Hot-spare dedykowany dla każdej grupy raid)</w:t>
      </w:r>
    </w:p>
    <w:p w14:paraId="0A10777B" w14:textId="77777777" w:rsidR="00EB1CBE" w:rsidRPr="00EB1CBE" w:rsidRDefault="00EB1CBE" w:rsidP="00EB1CBE">
      <w:pPr>
        <w:pStyle w:val="Default"/>
        <w:jc w:val="both"/>
        <w:rPr>
          <w:rFonts w:ascii="Tahoma" w:hAnsi="Tahoma" w:cs="Tahoma"/>
          <w:color w:val="00000A"/>
          <w:sz w:val="18"/>
          <w:szCs w:val="18"/>
        </w:rPr>
      </w:pPr>
      <w:r w:rsidRPr="00EB1CBE">
        <w:rPr>
          <w:rFonts w:ascii="Tahoma" w:hAnsi="Tahoma" w:cs="Tahoma"/>
          <w:color w:val="00000A"/>
          <w:sz w:val="18"/>
          <w:szCs w:val="18"/>
        </w:rPr>
        <w:t>19,2TB realizowana na dyskach SAS 12G 10k RPM 2,4TB lub mniejszych (RAID-6 + Hot-spare dedykowany dla każdej grupy raid)</w:t>
      </w:r>
    </w:p>
    <w:p w14:paraId="34C450B9" w14:textId="77777777" w:rsidR="00EB1CBE" w:rsidRPr="00EB1CBE" w:rsidRDefault="00EB1CBE" w:rsidP="00EB1CBE">
      <w:pPr>
        <w:pStyle w:val="Default"/>
        <w:jc w:val="both"/>
        <w:rPr>
          <w:rFonts w:ascii="Tahoma" w:hAnsi="Tahoma" w:cs="Tahoma"/>
          <w:color w:val="00000A"/>
          <w:sz w:val="18"/>
          <w:szCs w:val="18"/>
        </w:rPr>
      </w:pPr>
      <w:r w:rsidRPr="00EB1CBE">
        <w:rPr>
          <w:rFonts w:ascii="Tahoma" w:hAnsi="Tahoma" w:cs="Tahoma"/>
          <w:color w:val="00000A"/>
          <w:sz w:val="18"/>
          <w:szCs w:val="18"/>
        </w:rPr>
        <w:t>80,0TB realizowana na dyskach NL-SAS 10TB lub mniejszych (RAID-6 + Hot-spare dedykowany dla każdej grupy raid)</w:t>
      </w:r>
    </w:p>
    <w:p w14:paraId="6A599508" w14:textId="77777777" w:rsidR="00EB1CBE" w:rsidRPr="00EB1CBE" w:rsidRDefault="00EB1CBE" w:rsidP="00EB1CBE">
      <w:pPr>
        <w:pStyle w:val="Default"/>
        <w:jc w:val="both"/>
        <w:rPr>
          <w:rFonts w:ascii="Tahoma" w:hAnsi="Tahoma" w:cs="Tahoma"/>
          <w:b/>
          <w:color w:val="00000A"/>
          <w:sz w:val="18"/>
          <w:szCs w:val="18"/>
        </w:rPr>
      </w:pPr>
    </w:p>
    <w:p w14:paraId="09B74D38" w14:textId="77777777" w:rsidR="00EB1CBE" w:rsidRPr="00EB1CBE" w:rsidRDefault="00EB1CBE" w:rsidP="00EB1CBE">
      <w:pPr>
        <w:pStyle w:val="Default"/>
        <w:jc w:val="both"/>
        <w:rPr>
          <w:rFonts w:ascii="Tahoma" w:hAnsi="Tahoma" w:cs="Tahoma"/>
          <w:b/>
          <w:color w:val="00000A"/>
          <w:sz w:val="18"/>
          <w:szCs w:val="18"/>
        </w:rPr>
      </w:pPr>
      <w:r w:rsidRPr="00EB1CBE">
        <w:rPr>
          <w:rFonts w:ascii="Tahoma" w:hAnsi="Tahoma" w:cs="Tahoma"/>
          <w:b/>
          <w:color w:val="00000A"/>
          <w:sz w:val="18"/>
          <w:szCs w:val="18"/>
        </w:rPr>
        <w:t>Kontrolery:</w:t>
      </w:r>
    </w:p>
    <w:p w14:paraId="581A13BE"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Kontrolery macierzy muszą obsługiwać tryb pracy w układzie active-active lub mesh-active,  macierz musi być dostarczona z zainstalowanymi minimum 2 kontrolerami;</w:t>
      </w:r>
    </w:p>
    <w:p w14:paraId="7B7434EA"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Każdy z kontrolerów macierzy musi posiadać po minimum 64 GB pamięci podręcznej Cache – kontrolery muszą obsługiwać między sobą mechanizm lustrzanej kopii danych (cache mirror) przeznaczonych do zapisu;</w:t>
      </w:r>
    </w:p>
    <w:p w14:paraId="341EED7E"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 xml:space="preserve">Macierz musi obsługiwać rozbudowę pamięci podręcznej cache dla operacji  odczytu o minimum 800GB poprzez instalację dodatkowych modułów pamięci w kontrolerach lub wykorzystanie pojemności zainstalowanych dysków SSD, </w:t>
      </w:r>
    </w:p>
    <w:p w14:paraId="2189D79D"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W przypadku awarii zasilania dane nie zapisane na dyski, przechowywane w pamięci podręcznej Cache dla zapisów muszą być zabezpieczone metodą trwałego zapisu na dysk.</w:t>
      </w:r>
    </w:p>
    <w:p w14:paraId="40215789"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Kontrolery muszą posiadać możliwość ich wymiany bez konieczności wyłączania zasilania całego urządzenia;</w:t>
      </w:r>
    </w:p>
    <w:p w14:paraId="5A27F0C5"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Kontrolery macierzy obsługują funkcjonalność kompresji danych.</w:t>
      </w:r>
    </w:p>
    <w:p w14:paraId="494C92C7"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Kontrolery macierzy obsługują funkcjonalność deduplikacji w trybie in-line.</w:t>
      </w:r>
    </w:p>
    <w:p w14:paraId="19A7B4A3"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Macierz musi obsługiwać wymianę kontrolera RAID bez utraty danych zapisanych na dyskach.</w:t>
      </w:r>
    </w:p>
    <w:p w14:paraId="51C98A9C"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Każdy z kontrolerów RAID powinien posiadać dedykowany minimum 2 interfejsy RJ-45 Ethernet obsługujący połączenia z prędkością minimum 1Gb/s dla zdalnej  komunikacji z oprogramowaniem zarządzają</w:t>
      </w:r>
      <w:r w:rsidRPr="00EB1CBE">
        <w:rPr>
          <w:rFonts w:ascii="Tahoma" w:hAnsi="Tahoma" w:cs="Tahoma"/>
          <w:color w:val="00000A"/>
          <w:sz w:val="18"/>
          <w:szCs w:val="18"/>
        </w:rPr>
        <w:lastRenderedPageBreak/>
        <w:t>cym i konfiguracyjnym macierzy.</w:t>
      </w:r>
    </w:p>
    <w:p w14:paraId="3BD761C2"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Kontrolery macierzy muszą być oparte o procesor wykonany w technologii wielordzeniowej z minimum 4 rdzeniami,</w:t>
      </w:r>
    </w:p>
    <w:p w14:paraId="50CE1635"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Kontrolery macierzy muszą obsługiwać do 130 grup dyskowych w całym rozwiązaniu, bez konieczności wymiany dostarczonych kontrolerów</w:t>
      </w:r>
    </w:p>
    <w:p w14:paraId="0D36DB14"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Oferowana macierz musi mieć wyprowadzone 4 porty FC 16Gb/s do dołączenia serwerów bezpośrednio lub do dołączenia do sieci SAN, na każdy kontroler RAID.</w:t>
      </w:r>
    </w:p>
    <w:p w14:paraId="0C7F505B"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Macierz musi umożliwiać dołożenie dodatkowych portów do transmisji danych:</w:t>
      </w:r>
    </w:p>
    <w:p w14:paraId="0B3A6E7B" w14:textId="77777777" w:rsidR="00EB1CBE" w:rsidRPr="00EB1CBE" w:rsidRDefault="00EB1CBE" w:rsidP="00EB1CBE">
      <w:pPr>
        <w:pStyle w:val="Default"/>
        <w:numPr>
          <w:ilvl w:val="1"/>
          <w:numId w:val="2"/>
        </w:numPr>
        <w:jc w:val="both"/>
        <w:rPr>
          <w:rFonts w:ascii="Tahoma" w:hAnsi="Tahoma" w:cs="Tahoma"/>
          <w:color w:val="00000A"/>
          <w:sz w:val="18"/>
          <w:szCs w:val="18"/>
        </w:rPr>
      </w:pPr>
      <w:r w:rsidRPr="00EB1CBE">
        <w:rPr>
          <w:rFonts w:ascii="Tahoma" w:hAnsi="Tahoma" w:cs="Tahoma"/>
          <w:color w:val="00000A"/>
          <w:sz w:val="18"/>
          <w:szCs w:val="18"/>
        </w:rPr>
        <w:t>4 x FC 16Gb/s,</w:t>
      </w:r>
    </w:p>
    <w:p w14:paraId="5BAD19BB" w14:textId="77777777" w:rsidR="00EB1CBE" w:rsidRPr="00EB1CBE" w:rsidRDefault="00EB1CBE" w:rsidP="00EB1CBE">
      <w:pPr>
        <w:pStyle w:val="Default"/>
        <w:numPr>
          <w:ilvl w:val="1"/>
          <w:numId w:val="2"/>
        </w:numPr>
        <w:jc w:val="both"/>
        <w:rPr>
          <w:rFonts w:ascii="Tahoma" w:hAnsi="Tahoma" w:cs="Tahoma"/>
          <w:color w:val="00000A"/>
          <w:sz w:val="18"/>
          <w:szCs w:val="18"/>
        </w:rPr>
      </w:pPr>
      <w:r w:rsidRPr="00EB1CBE">
        <w:rPr>
          <w:rFonts w:ascii="Tahoma" w:hAnsi="Tahoma" w:cs="Tahoma"/>
          <w:color w:val="00000A"/>
          <w:sz w:val="18"/>
          <w:szCs w:val="18"/>
        </w:rPr>
        <w:t>2 x FC 16Gb/s,</w:t>
      </w:r>
    </w:p>
    <w:p w14:paraId="1AC10BDA" w14:textId="77777777" w:rsidR="00EB1CBE" w:rsidRPr="00EB1CBE" w:rsidRDefault="00EB1CBE" w:rsidP="00EB1CBE">
      <w:pPr>
        <w:pStyle w:val="Default"/>
        <w:numPr>
          <w:ilvl w:val="1"/>
          <w:numId w:val="2"/>
        </w:numPr>
        <w:jc w:val="both"/>
        <w:rPr>
          <w:rFonts w:ascii="Tahoma" w:hAnsi="Tahoma" w:cs="Tahoma"/>
          <w:color w:val="00000A"/>
          <w:sz w:val="18"/>
          <w:szCs w:val="18"/>
        </w:rPr>
      </w:pPr>
      <w:r w:rsidRPr="00EB1CBE">
        <w:rPr>
          <w:rFonts w:ascii="Tahoma" w:hAnsi="Tahoma" w:cs="Tahoma"/>
          <w:color w:val="00000A"/>
          <w:sz w:val="18"/>
          <w:szCs w:val="18"/>
        </w:rPr>
        <w:t>2 x FC 32Gb/s,</w:t>
      </w:r>
    </w:p>
    <w:p w14:paraId="7AF079C4" w14:textId="77777777" w:rsidR="00EB1CBE" w:rsidRPr="00EB1CBE" w:rsidRDefault="00EB1CBE" w:rsidP="00EB1CBE">
      <w:pPr>
        <w:pStyle w:val="Default"/>
        <w:numPr>
          <w:ilvl w:val="1"/>
          <w:numId w:val="2"/>
        </w:numPr>
        <w:jc w:val="both"/>
        <w:rPr>
          <w:rFonts w:ascii="Tahoma" w:hAnsi="Tahoma" w:cs="Tahoma"/>
          <w:color w:val="00000A"/>
          <w:sz w:val="18"/>
          <w:szCs w:val="18"/>
        </w:rPr>
      </w:pPr>
      <w:r w:rsidRPr="00EB1CBE">
        <w:rPr>
          <w:rFonts w:ascii="Tahoma" w:hAnsi="Tahoma" w:cs="Tahoma"/>
          <w:color w:val="00000A"/>
          <w:sz w:val="18"/>
          <w:szCs w:val="18"/>
        </w:rPr>
        <w:t>2 x iSCSI 1Gb/s,</w:t>
      </w:r>
    </w:p>
    <w:p w14:paraId="767C50A8" w14:textId="77777777" w:rsidR="00EB1CBE" w:rsidRPr="00EB1CBE" w:rsidRDefault="00EB1CBE" w:rsidP="00EB1CBE">
      <w:pPr>
        <w:pStyle w:val="Default"/>
        <w:numPr>
          <w:ilvl w:val="1"/>
          <w:numId w:val="2"/>
        </w:numPr>
        <w:jc w:val="both"/>
        <w:rPr>
          <w:rFonts w:ascii="Tahoma" w:hAnsi="Tahoma" w:cs="Tahoma"/>
          <w:color w:val="00000A"/>
          <w:sz w:val="18"/>
          <w:szCs w:val="18"/>
        </w:rPr>
      </w:pPr>
      <w:r w:rsidRPr="00EB1CBE">
        <w:rPr>
          <w:rFonts w:ascii="Tahoma" w:hAnsi="Tahoma" w:cs="Tahoma"/>
          <w:color w:val="00000A"/>
          <w:sz w:val="18"/>
          <w:szCs w:val="18"/>
        </w:rPr>
        <w:t>2 x iSCSI 10Gb/s,</w:t>
      </w:r>
    </w:p>
    <w:p w14:paraId="1A2F31FF" w14:textId="77777777" w:rsidR="00EB1CBE" w:rsidRPr="00EB1CBE" w:rsidRDefault="00EB1CBE" w:rsidP="00EB1CBE">
      <w:pPr>
        <w:pStyle w:val="Default"/>
        <w:numPr>
          <w:ilvl w:val="1"/>
          <w:numId w:val="2"/>
        </w:numPr>
        <w:jc w:val="both"/>
        <w:rPr>
          <w:rFonts w:ascii="Tahoma" w:hAnsi="Tahoma" w:cs="Tahoma"/>
          <w:color w:val="00000A"/>
          <w:sz w:val="18"/>
          <w:szCs w:val="18"/>
        </w:rPr>
      </w:pPr>
      <w:r w:rsidRPr="00EB1CBE">
        <w:rPr>
          <w:rFonts w:ascii="Tahoma" w:hAnsi="Tahoma" w:cs="Tahoma"/>
          <w:color w:val="00000A"/>
          <w:sz w:val="18"/>
          <w:szCs w:val="18"/>
        </w:rPr>
        <w:t>2 x SAS 12GB/s</w:t>
      </w:r>
    </w:p>
    <w:p w14:paraId="1F9DCBF2"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Dołożenie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03A5C142"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Macierz musi umożliwiać wymianę portów do transmisji danych obsługujących protokoły: FC 32Gb/s, iSCSI 1Gb/s, iSCSI 10Gb/s, SAS 12GB/s</w:t>
      </w:r>
    </w:p>
    <w:p w14:paraId="08F3B940" w14:textId="77777777" w:rsidR="00EB1CBE" w:rsidRPr="00EB1CBE" w:rsidRDefault="00EB1CBE" w:rsidP="00EB1CBE">
      <w:pPr>
        <w:pStyle w:val="Default"/>
        <w:numPr>
          <w:ilvl w:val="0"/>
          <w:numId w:val="2"/>
        </w:numPr>
        <w:jc w:val="both"/>
        <w:rPr>
          <w:rFonts w:ascii="Tahoma" w:hAnsi="Tahoma" w:cs="Tahoma"/>
          <w:color w:val="00000A"/>
          <w:sz w:val="18"/>
          <w:szCs w:val="18"/>
        </w:rPr>
      </w:pPr>
      <w:r w:rsidRPr="00EB1CBE">
        <w:rPr>
          <w:rFonts w:ascii="Tahoma" w:hAnsi="Tahoma" w:cs="Tahoma"/>
          <w:color w:val="00000A"/>
          <w:sz w:val="18"/>
          <w:szCs w:val="18"/>
        </w:rPr>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09168F8A"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posiada obsługę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 . – nie jest wymagane dostarczenie tej funkcjonalności – opcja rozbudowy</w:t>
      </w:r>
    </w:p>
    <w:p w14:paraId="418D58F4" w14:textId="77777777" w:rsidR="00EB1CBE" w:rsidRPr="00EB1CBE" w:rsidRDefault="00EB1CBE" w:rsidP="00EB1CBE">
      <w:pPr>
        <w:pStyle w:val="Default"/>
        <w:jc w:val="both"/>
        <w:rPr>
          <w:rFonts w:ascii="Tahoma" w:hAnsi="Tahoma" w:cs="Tahoma"/>
          <w:color w:val="00000A"/>
          <w:sz w:val="18"/>
          <w:szCs w:val="18"/>
        </w:rPr>
      </w:pPr>
    </w:p>
    <w:p w14:paraId="669A6ED7" w14:textId="77777777" w:rsidR="00EB1CBE" w:rsidRPr="00EB1CBE" w:rsidRDefault="00EB1CBE" w:rsidP="00EB1CBE">
      <w:pPr>
        <w:pStyle w:val="Default"/>
        <w:jc w:val="both"/>
        <w:rPr>
          <w:rFonts w:ascii="Tahoma" w:hAnsi="Tahoma" w:cs="Tahoma"/>
          <w:b/>
          <w:color w:val="00000A"/>
          <w:sz w:val="18"/>
          <w:szCs w:val="18"/>
        </w:rPr>
      </w:pPr>
      <w:r w:rsidRPr="00EB1CBE">
        <w:rPr>
          <w:rFonts w:ascii="Tahoma" w:hAnsi="Tahoma" w:cs="Tahoma"/>
          <w:b/>
          <w:color w:val="00000A"/>
          <w:sz w:val="18"/>
          <w:szCs w:val="18"/>
        </w:rPr>
        <w:t>Poziomy RAID:</w:t>
      </w:r>
    </w:p>
    <w:p w14:paraId="4D9B2504" w14:textId="77777777" w:rsidR="00EB1CBE" w:rsidRPr="00EB1CBE" w:rsidRDefault="00EB1CBE" w:rsidP="00EB1CBE">
      <w:pPr>
        <w:pStyle w:val="Default"/>
        <w:numPr>
          <w:ilvl w:val="0"/>
          <w:numId w:val="3"/>
        </w:numPr>
        <w:jc w:val="both"/>
        <w:rPr>
          <w:rFonts w:ascii="Tahoma" w:hAnsi="Tahoma" w:cs="Tahoma"/>
          <w:color w:val="00000A"/>
          <w:sz w:val="18"/>
          <w:szCs w:val="18"/>
        </w:rPr>
      </w:pPr>
      <w:r w:rsidRPr="00EB1CBE">
        <w:rPr>
          <w:rFonts w:ascii="Tahoma" w:hAnsi="Tahoma" w:cs="Tahoma"/>
          <w:color w:val="00000A"/>
          <w:sz w:val="18"/>
          <w:szCs w:val="18"/>
        </w:rPr>
        <w:t>Macierz musi zapewniać poziom zabezpieczenia danych na dyskach definiowany poziomami RAID:</w:t>
      </w:r>
    </w:p>
    <w:p w14:paraId="53E7EE68" w14:textId="77777777" w:rsidR="00EB1CBE" w:rsidRPr="00EB1CBE" w:rsidRDefault="00EB1CBE" w:rsidP="00EB1CBE">
      <w:pPr>
        <w:pStyle w:val="Default"/>
        <w:numPr>
          <w:ilvl w:val="1"/>
          <w:numId w:val="3"/>
        </w:numPr>
        <w:jc w:val="both"/>
        <w:rPr>
          <w:rFonts w:ascii="Tahoma" w:hAnsi="Tahoma" w:cs="Tahoma"/>
          <w:color w:val="00000A"/>
          <w:sz w:val="18"/>
          <w:szCs w:val="18"/>
        </w:rPr>
      </w:pPr>
      <w:r w:rsidRPr="00EB1CBE">
        <w:rPr>
          <w:rFonts w:ascii="Tahoma" w:hAnsi="Tahoma" w:cs="Tahoma"/>
          <w:color w:val="00000A"/>
          <w:sz w:val="18"/>
          <w:szCs w:val="18"/>
        </w:rPr>
        <w:t>Raid-0</w:t>
      </w:r>
    </w:p>
    <w:p w14:paraId="03B1F177" w14:textId="77777777" w:rsidR="00EB1CBE" w:rsidRPr="00EB1CBE" w:rsidRDefault="00EB1CBE" w:rsidP="00EB1CBE">
      <w:pPr>
        <w:pStyle w:val="Default"/>
        <w:numPr>
          <w:ilvl w:val="1"/>
          <w:numId w:val="3"/>
        </w:numPr>
        <w:jc w:val="both"/>
        <w:rPr>
          <w:rFonts w:ascii="Tahoma" w:hAnsi="Tahoma" w:cs="Tahoma"/>
          <w:color w:val="00000A"/>
          <w:sz w:val="18"/>
          <w:szCs w:val="18"/>
        </w:rPr>
      </w:pPr>
      <w:r w:rsidRPr="00EB1CBE">
        <w:rPr>
          <w:rFonts w:ascii="Tahoma" w:hAnsi="Tahoma" w:cs="Tahoma"/>
          <w:color w:val="00000A"/>
          <w:sz w:val="18"/>
          <w:szCs w:val="18"/>
        </w:rPr>
        <w:t>Raid-1</w:t>
      </w:r>
    </w:p>
    <w:p w14:paraId="5C890200" w14:textId="77777777" w:rsidR="00EB1CBE" w:rsidRPr="00EB1CBE" w:rsidRDefault="00EB1CBE" w:rsidP="00EB1CBE">
      <w:pPr>
        <w:pStyle w:val="Default"/>
        <w:numPr>
          <w:ilvl w:val="1"/>
          <w:numId w:val="3"/>
        </w:numPr>
        <w:jc w:val="both"/>
        <w:rPr>
          <w:rFonts w:ascii="Tahoma" w:hAnsi="Tahoma" w:cs="Tahoma"/>
          <w:color w:val="00000A"/>
          <w:sz w:val="18"/>
          <w:szCs w:val="18"/>
        </w:rPr>
      </w:pPr>
      <w:r w:rsidRPr="00EB1CBE">
        <w:rPr>
          <w:rFonts w:ascii="Tahoma" w:hAnsi="Tahoma" w:cs="Tahoma"/>
          <w:color w:val="00000A"/>
          <w:sz w:val="18"/>
          <w:szCs w:val="18"/>
        </w:rPr>
        <w:t>Raid-10</w:t>
      </w:r>
    </w:p>
    <w:p w14:paraId="0F1E9471" w14:textId="77777777" w:rsidR="00EB1CBE" w:rsidRPr="00EB1CBE" w:rsidRDefault="00EB1CBE" w:rsidP="00EB1CBE">
      <w:pPr>
        <w:pStyle w:val="Default"/>
        <w:numPr>
          <w:ilvl w:val="1"/>
          <w:numId w:val="3"/>
        </w:numPr>
        <w:jc w:val="both"/>
        <w:rPr>
          <w:rFonts w:ascii="Tahoma" w:hAnsi="Tahoma" w:cs="Tahoma"/>
          <w:color w:val="00000A"/>
          <w:sz w:val="18"/>
          <w:szCs w:val="18"/>
        </w:rPr>
      </w:pPr>
      <w:r w:rsidRPr="00EB1CBE">
        <w:rPr>
          <w:rFonts w:ascii="Tahoma" w:hAnsi="Tahoma" w:cs="Tahoma"/>
          <w:color w:val="00000A"/>
          <w:sz w:val="18"/>
          <w:szCs w:val="18"/>
        </w:rPr>
        <w:t>Raid-5</w:t>
      </w:r>
    </w:p>
    <w:p w14:paraId="23316FBF" w14:textId="77777777" w:rsidR="00EB1CBE" w:rsidRPr="00EB1CBE" w:rsidRDefault="00EB1CBE" w:rsidP="00EB1CBE">
      <w:pPr>
        <w:pStyle w:val="Default"/>
        <w:numPr>
          <w:ilvl w:val="1"/>
          <w:numId w:val="3"/>
        </w:numPr>
        <w:jc w:val="both"/>
        <w:rPr>
          <w:rFonts w:ascii="Tahoma" w:hAnsi="Tahoma" w:cs="Tahoma"/>
          <w:color w:val="00000A"/>
          <w:sz w:val="18"/>
          <w:szCs w:val="18"/>
        </w:rPr>
      </w:pPr>
      <w:r w:rsidRPr="00EB1CBE">
        <w:rPr>
          <w:rFonts w:ascii="Tahoma" w:hAnsi="Tahoma" w:cs="Tahoma"/>
          <w:color w:val="00000A"/>
          <w:sz w:val="18"/>
          <w:szCs w:val="18"/>
        </w:rPr>
        <w:t>Raid-50</w:t>
      </w:r>
    </w:p>
    <w:p w14:paraId="3A98AACF" w14:textId="77777777" w:rsidR="00EB1CBE" w:rsidRPr="00EB1CBE" w:rsidRDefault="00EB1CBE" w:rsidP="00EB1CBE">
      <w:pPr>
        <w:pStyle w:val="Default"/>
        <w:numPr>
          <w:ilvl w:val="1"/>
          <w:numId w:val="3"/>
        </w:numPr>
        <w:jc w:val="both"/>
        <w:rPr>
          <w:rFonts w:ascii="Tahoma" w:hAnsi="Tahoma" w:cs="Tahoma"/>
          <w:color w:val="00000A"/>
          <w:sz w:val="18"/>
          <w:szCs w:val="18"/>
        </w:rPr>
      </w:pPr>
      <w:r w:rsidRPr="00EB1CBE">
        <w:rPr>
          <w:rFonts w:ascii="Tahoma" w:hAnsi="Tahoma" w:cs="Tahoma"/>
          <w:color w:val="00000A"/>
          <w:sz w:val="18"/>
          <w:szCs w:val="18"/>
        </w:rPr>
        <w:t>Raid-6</w:t>
      </w:r>
    </w:p>
    <w:p w14:paraId="0DDD986D" w14:textId="77777777" w:rsidR="00EB1CBE" w:rsidRPr="00EB1CBE" w:rsidRDefault="00EB1CBE" w:rsidP="00EB1CBE">
      <w:pPr>
        <w:pStyle w:val="Default"/>
        <w:jc w:val="both"/>
        <w:rPr>
          <w:rFonts w:ascii="Tahoma" w:hAnsi="Tahoma" w:cs="Tahoma"/>
          <w:b/>
          <w:color w:val="00000A"/>
          <w:sz w:val="18"/>
          <w:szCs w:val="18"/>
        </w:rPr>
      </w:pPr>
      <w:r w:rsidRPr="00EB1CBE">
        <w:rPr>
          <w:rFonts w:ascii="Tahoma" w:hAnsi="Tahoma" w:cs="Tahoma"/>
          <w:b/>
          <w:color w:val="00000A"/>
          <w:sz w:val="18"/>
          <w:szCs w:val="18"/>
        </w:rPr>
        <w:t>Dyski:</w:t>
      </w:r>
    </w:p>
    <w:p w14:paraId="092D3D2E" w14:textId="77777777" w:rsidR="00EB1CBE" w:rsidRPr="00EB1CBE" w:rsidRDefault="00EB1CBE" w:rsidP="00EB1CBE">
      <w:pPr>
        <w:pStyle w:val="Default"/>
        <w:numPr>
          <w:ilvl w:val="0"/>
          <w:numId w:val="3"/>
        </w:numPr>
        <w:jc w:val="both"/>
        <w:rPr>
          <w:rFonts w:ascii="Tahoma" w:hAnsi="Tahoma" w:cs="Tahoma"/>
          <w:color w:val="00000A"/>
          <w:sz w:val="18"/>
          <w:szCs w:val="18"/>
        </w:rPr>
      </w:pPr>
      <w:r w:rsidRPr="00EB1CBE">
        <w:rPr>
          <w:rFonts w:ascii="Tahoma" w:hAnsi="Tahoma" w:cs="Tahoma"/>
          <w:color w:val="00000A"/>
          <w:sz w:val="18"/>
          <w:szCs w:val="18"/>
        </w:rPr>
        <w:t>Oferowana macierz musi wspierać dyski hot-plug:</w:t>
      </w:r>
    </w:p>
    <w:p w14:paraId="2790CE4D" w14:textId="77777777" w:rsidR="00EB1CBE" w:rsidRPr="00EB1CBE" w:rsidRDefault="00EB1CBE" w:rsidP="00EB1CBE">
      <w:pPr>
        <w:pStyle w:val="Default"/>
        <w:numPr>
          <w:ilvl w:val="1"/>
          <w:numId w:val="3"/>
        </w:numPr>
        <w:jc w:val="both"/>
        <w:rPr>
          <w:rFonts w:ascii="Tahoma" w:hAnsi="Tahoma" w:cs="Tahoma"/>
          <w:color w:val="00000A"/>
          <w:sz w:val="18"/>
          <w:szCs w:val="18"/>
        </w:rPr>
      </w:pPr>
      <w:r w:rsidRPr="00EB1CBE">
        <w:rPr>
          <w:rFonts w:ascii="Tahoma" w:hAnsi="Tahoma" w:cs="Tahoma"/>
          <w:color w:val="00000A"/>
          <w:sz w:val="18"/>
          <w:szCs w:val="18"/>
        </w:rPr>
        <w:t>dyski elektroniczne SSD i mechaniczne HDD z interfejsami SAS12Gb/s</w:t>
      </w:r>
    </w:p>
    <w:p w14:paraId="79472979" w14:textId="77777777" w:rsidR="00EB1CBE" w:rsidRPr="00EB1CBE" w:rsidRDefault="00EB1CBE" w:rsidP="00EB1CBE">
      <w:pPr>
        <w:pStyle w:val="Default"/>
        <w:numPr>
          <w:ilvl w:val="1"/>
          <w:numId w:val="3"/>
        </w:numPr>
        <w:jc w:val="both"/>
        <w:rPr>
          <w:rFonts w:ascii="Tahoma" w:hAnsi="Tahoma" w:cs="Tahoma"/>
          <w:color w:val="00000A"/>
          <w:sz w:val="18"/>
          <w:szCs w:val="18"/>
        </w:rPr>
      </w:pPr>
      <w:r w:rsidRPr="00EB1CBE">
        <w:rPr>
          <w:rFonts w:ascii="Tahoma" w:hAnsi="Tahoma" w:cs="Tahoma"/>
          <w:color w:val="00000A"/>
          <w:sz w:val="18"/>
          <w:szCs w:val="18"/>
        </w:rPr>
        <w:t>dyski mechaniczne HDD o prędkości obrotowej 7,2 krpm, 10 krpm oraz 15k rpm,</w:t>
      </w:r>
    </w:p>
    <w:p w14:paraId="3A0F0E6E" w14:textId="77777777" w:rsidR="00EB1CBE" w:rsidRPr="00EB1CBE" w:rsidRDefault="00EB1CBE" w:rsidP="00EB1CBE">
      <w:pPr>
        <w:pStyle w:val="Default"/>
        <w:numPr>
          <w:ilvl w:val="0"/>
          <w:numId w:val="3"/>
        </w:numPr>
        <w:jc w:val="both"/>
        <w:rPr>
          <w:rFonts w:ascii="Tahoma" w:hAnsi="Tahoma" w:cs="Tahoma"/>
          <w:color w:val="00000A"/>
          <w:sz w:val="18"/>
          <w:szCs w:val="18"/>
        </w:rPr>
      </w:pPr>
      <w:r w:rsidRPr="00EB1CBE">
        <w:rPr>
          <w:rFonts w:ascii="Tahoma" w:hAnsi="Tahoma" w:cs="Tahoma"/>
          <w:color w:val="00000A"/>
          <w:sz w:val="18"/>
          <w:szCs w:val="18"/>
        </w:rPr>
        <w:t>Macierz musi obsługiwać mieszaną konfigurację dysków hot-plug SSD i HDD w rozmiarach 2,5” i 3,5” zainstalowanych w dowolnym module rozwiązania;</w:t>
      </w:r>
    </w:p>
    <w:p w14:paraId="6EA95505" w14:textId="77777777" w:rsidR="00EB1CBE" w:rsidRPr="00EB1CBE" w:rsidRDefault="00EB1CBE" w:rsidP="00EB1CBE">
      <w:pPr>
        <w:pStyle w:val="Default"/>
        <w:numPr>
          <w:ilvl w:val="0"/>
          <w:numId w:val="3"/>
        </w:numPr>
        <w:jc w:val="both"/>
        <w:rPr>
          <w:rFonts w:ascii="Tahoma" w:hAnsi="Tahoma" w:cs="Tahoma"/>
          <w:color w:val="00000A"/>
          <w:sz w:val="18"/>
          <w:szCs w:val="18"/>
        </w:rPr>
      </w:pPr>
      <w:r w:rsidRPr="00EB1CBE">
        <w:rPr>
          <w:rFonts w:ascii="Tahoma" w:hAnsi="Tahoma" w:cs="Tahoma"/>
          <w:color w:val="00000A"/>
          <w:sz w:val="18"/>
          <w:szCs w:val="18"/>
        </w:rPr>
        <w:t>Wszystkie dyski wspierane przez oferowany model macierzy muszą być wykonane w technologii hot-plug i posiadać podwójne porty SAS obsługujące tryb pracy full-duplex</w:t>
      </w:r>
    </w:p>
    <w:p w14:paraId="712F9075" w14:textId="77777777" w:rsidR="00EB1CBE" w:rsidRPr="00EB1CBE" w:rsidRDefault="00EB1CBE" w:rsidP="00EB1CBE">
      <w:pPr>
        <w:pStyle w:val="Default"/>
        <w:numPr>
          <w:ilvl w:val="0"/>
          <w:numId w:val="3"/>
        </w:numPr>
        <w:jc w:val="both"/>
        <w:rPr>
          <w:rFonts w:ascii="Tahoma" w:hAnsi="Tahoma" w:cs="Tahoma"/>
          <w:color w:val="00000A"/>
          <w:sz w:val="18"/>
          <w:szCs w:val="18"/>
        </w:rPr>
      </w:pPr>
      <w:r w:rsidRPr="00EB1CBE">
        <w:rPr>
          <w:rFonts w:ascii="Tahoma" w:hAnsi="Tahoma" w:cs="Tahoma"/>
          <w:color w:val="00000A"/>
          <w:sz w:val="18"/>
          <w:szCs w:val="18"/>
        </w:rPr>
        <w:t>Macierz musi obsługiwać min. 260 dysków SAS SSD w całym rozwiązaniu, bez konieczności dokupowania/wymiany żadnych innych elementów sprzętowych czy licencyjnych innych niż same półki dyskowe wraz z dyskami;</w:t>
      </w:r>
    </w:p>
    <w:p w14:paraId="48C5CB12" w14:textId="77777777" w:rsidR="00EB1CBE" w:rsidRPr="00EB1CBE" w:rsidRDefault="00EB1CBE" w:rsidP="00EB1CBE">
      <w:pPr>
        <w:pStyle w:val="Default"/>
        <w:numPr>
          <w:ilvl w:val="0"/>
          <w:numId w:val="3"/>
        </w:numPr>
        <w:jc w:val="both"/>
        <w:rPr>
          <w:rFonts w:ascii="Tahoma" w:hAnsi="Tahoma" w:cs="Tahoma"/>
          <w:color w:val="00000A"/>
          <w:sz w:val="18"/>
          <w:szCs w:val="18"/>
        </w:rPr>
      </w:pPr>
      <w:r w:rsidRPr="00EB1CBE">
        <w:rPr>
          <w:rFonts w:ascii="Tahoma" w:hAnsi="Tahoma" w:cs="Tahoma"/>
          <w:color w:val="00000A"/>
          <w:sz w:val="18"/>
          <w:szCs w:val="18"/>
        </w:rPr>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670C4109" w14:textId="77777777" w:rsidR="00EB1CBE" w:rsidRPr="00EB1CBE" w:rsidRDefault="00EB1CBE" w:rsidP="00EB1CBE">
      <w:pPr>
        <w:pStyle w:val="Default"/>
        <w:numPr>
          <w:ilvl w:val="0"/>
          <w:numId w:val="3"/>
        </w:numPr>
        <w:jc w:val="both"/>
        <w:rPr>
          <w:rFonts w:ascii="Tahoma" w:hAnsi="Tahoma" w:cs="Tahoma"/>
          <w:bCs/>
          <w:color w:val="00000A"/>
          <w:sz w:val="18"/>
          <w:szCs w:val="18"/>
        </w:rPr>
      </w:pPr>
      <w:r w:rsidRPr="00EB1CBE">
        <w:rPr>
          <w:rFonts w:ascii="Tahoma" w:hAnsi="Tahoma" w:cs="Tahoma"/>
          <w:bCs/>
          <w:color w:val="00000A"/>
          <w:sz w:val="18"/>
          <w:szCs w:val="18"/>
        </w:rPr>
        <w:t>Macierz musi umożliwiać skonfigurowanie każdego zainstalowanego dysku hot-plug jako dysk hot-spare (dysk zapasowy)</w:t>
      </w:r>
    </w:p>
    <w:p w14:paraId="5C27EBC1" w14:textId="77777777" w:rsidR="00EB1CBE" w:rsidRPr="00EB1CBE" w:rsidRDefault="00EB1CBE" w:rsidP="00EB1CBE">
      <w:pPr>
        <w:pStyle w:val="Default"/>
        <w:numPr>
          <w:ilvl w:val="1"/>
          <w:numId w:val="3"/>
        </w:numPr>
        <w:jc w:val="both"/>
        <w:rPr>
          <w:rFonts w:ascii="Tahoma" w:hAnsi="Tahoma" w:cs="Tahoma"/>
          <w:bCs/>
          <w:color w:val="00000A"/>
          <w:sz w:val="18"/>
          <w:szCs w:val="18"/>
        </w:rPr>
      </w:pPr>
      <w:r w:rsidRPr="00EB1CBE">
        <w:rPr>
          <w:rFonts w:ascii="Tahoma" w:hAnsi="Tahoma" w:cs="Tahoma"/>
          <w:color w:val="00000A"/>
          <w:sz w:val="18"/>
          <w:szCs w:val="18"/>
        </w:rPr>
        <w:t xml:space="preserve">Macierz posiada możliwość konfiguracji dysku </w:t>
      </w:r>
      <w:r w:rsidRPr="00EB1CBE">
        <w:rPr>
          <w:rFonts w:ascii="Tahoma" w:hAnsi="Tahoma" w:cs="Tahoma"/>
          <w:bCs/>
          <w:color w:val="00000A"/>
          <w:sz w:val="18"/>
          <w:szCs w:val="18"/>
        </w:rPr>
        <w:t>hot-spare dla zabezpieczenia dowolnej grupy dyskowej RAID</w:t>
      </w:r>
    </w:p>
    <w:p w14:paraId="028C4420" w14:textId="77777777" w:rsidR="00EB1CBE" w:rsidRPr="00EB1CBE" w:rsidRDefault="00EB1CBE" w:rsidP="00EB1CBE">
      <w:pPr>
        <w:pStyle w:val="Default"/>
        <w:numPr>
          <w:ilvl w:val="1"/>
          <w:numId w:val="3"/>
        </w:numPr>
        <w:jc w:val="both"/>
        <w:rPr>
          <w:rFonts w:ascii="Tahoma" w:hAnsi="Tahoma" w:cs="Tahoma"/>
          <w:bCs/>
          <w:color w:val="00000A"/>
          <w:sz w:val="18"/>
          <w:szCs w:val="18"/>
        </w:rPr>
      </w:pPr>
      <w:r w:rsidRPr="00EB1CBE">
        <w:rPr>
          <w:rFonts w:ascii="Tahoma" w:hAnsi="Tahoma" w:cs="Tahoma"/>
          <w:color w:val="00000A"/>
          <w:sz w:val="18"/>
          <w:szCs w:val="18"/>
        </w:rPr>
        <w:t>Macierz posiada możliwość konfiguracji dysku hot-spare dedykowanego dla zabezpieczenia tylko wybranej grupy dyskowej RAID</w:t>
      </w:r>
    </w:p>
    <w:p w14:paraId="5A1E4083" w14:textId="77777777" w:rsidR="00EB1CBE" w:rsidRPr="00EB1CBE" w:rsidRDefault="00EB1CBE" w:rsidP="00EB1CBE">
      <w:pPr>
        <w:pStyle w:val="Default"/>
        <w:numPr>
          <w:ilvl w:val="0"/>
          <w:numId w:val="3"/>
        </w:numPr>
        <w:jc w:val="both"/>
        <w:rPr>
          <w:rFonts w:ascii="Tahoma" w:hAnsi="Tahoma" w:cs="Tahoma"/>
          <w:bCs/>
          <w:color w:val="00000A"/>
          <w:sz w:val="18"/>
          <w:szCs w:val="18"/>
        </w:rPr>
      </w:pPr>
      <w:r w:rsidRPr="00EB1CBE">
        <w:rPr>
          <w:rFonts w:ascii="Tahoma" w:hAnsi="Tahoma" w:cs="Tahoma"/>
          <w:bCs/>
          <w:color w:val="00000A"/>
          <w:sz w:val="18"/>
          <w:szCs w:val="18"/>
        </w:rPr>
        <w:t>W przypadku awarii dysku fizycznego i wykorzystania wcześniej skonfigurowanego  dysku zapasowego wymiana uszkodzonego dysku na sprawny nie może powodować powrotnego kopiowania danych z dysku hot-spare na wymieniony dysk (tzw. CopyBackLess).</w:t>
      </w:r>
    </w:p>
    <w:p w14:paraId="559DC6F8" w14:textId="77777777" w:rsidR="00EB1CBE" w:rsidRPr="00EB1CBE" w:rsidRDefault="00EB1CBE" w:rsidP="00EB1CBE">
      <w:pPr>
        <w:pStyle w:val="Default"/>
        <w:numPr>
          <w:ilvl w:val="0"/>
          <w:numId w:val="3"/>
        </w:numPr>
        <w:jc w:val="both"/>
        <w:rPr>
          <w:rFonts w:ascii="Tahoma" w:hAnsi="Tahoma" w:cs="Tahoma"/>
          <w:color w:val="00000A"/>
          <w:sz w:val="18"/>
          <w:szCs w:val="18"/>
        </w:rPr>
      </w:pPr>
      <w:r w:rsidRPr="00EB1CBE">
        <w:rPr>
          <w:rFonts w:ascii="Tahoma" w:hAnsi="Tahoma" w:cs="Tahoma"/>
          <w:bCs/>
          <w:color w:val="00000A"/>
          <w:sz w:val="18"/>
          <w:szCs w:val="18"/>
        </w:rPr>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p w14:paraId="20E6FFB9" w14:textId="77777777" w:rsidR="00EB1CBE" w:rsidRPr="00EB1CBE" w:rsidRDefault="00EB1CBE" w:rsidP="00EB1CBE">
      <w:pPr>
        <w:pStyle w:val="Default"/>
        <w:jc w:val="both"/>
        <w:rPr>
          <w:rFonts w:ascii="Tahoma" w:hAnsi="Tahoma" w:cs="Tahoma"/>
          <w:b/>
          <w:bCs/>
          <w:color w:val="00000A"/>
          <w:sz w:val="18"/>
          <w:szCs w:val="18"/>
        </w:rPr>
      </w:pPr>
    </w:p>
    <w:p w14:paraId="58ED17B3" w14:textId="77777777" w:rsidR="00EB1CBE" w:rsidRPr="00EB1CBE" w:rsidRDefault="00EB1CBE" w:rsidP="00EB1CBE">
      <w:pPr>
        <w:pStyle w:val="Default"/>
        <w:jc w:val="both"/>
        <w:rPr>
          <w:rFonts w:ascii="Tahoma" w:hAnsi="Tahoma" w:cs="Tahoma"/>
          <w:b/>
          <w:bCs/>
          <w:color w:val="00000A"/>
          <w:sz w:val="18"/>
          <w:szCs w:val="18"/>
        </w:rPr>
      </w:pPr>
      <w:r w:rsidRPr="00EB1CBE">
        <w:rPr>
          <w:rFonts w:ascii="Tahoma" w:hAnsi="Tahoma" w:cs="Tahoma"/>
          <w:b/>
          <w:bCs/>
          <w:color w:val="00000A"/>
          <w:sz w:val="18"/>
          <w:szCs w:val="18"/>
        </w:rPr>
        <w:t>Opcje programowe:</w:t>
      </w:r>
    </w:p>
    <w:p w14:paraId="1AB31069"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być wyposażona w system kopii migawkowych umożliwiających wykonanie minimum 2048 kopii migawkowych</w:t>
      </w:r>
    </w:p>
    <w:p w14:paraId="62895293"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 xml:space="preserve">Macierz musi umożliwiać zdefiniowanie min. 8000 woluminów  (LUN) </w:t>
      </w:r>
    </w:p>
    <w:p w14:paraId="4931C7B7"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powinna umożliwiać podłączenie logiczne z serwerami i stacjami poprzez min. 1024 ścieżek logicznych FC</w:t>
      </w:r>
    </w:p>
    <w:p w14:paraId="15C78A0E"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umożliwiać aktualizację oprogramowania wewnętrznego kontrolerów RAID i dysków bez konieczności wyłączania macierzy oraz bez konieczności wyłączania ścieżek logicznych FC/iSCSI dla podłączonych stacji/serwerów</w:t>
      </w:r>
    </w:p>
    <w:p w14:paraId="2307F502"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umożliwiać dokonywanie w trybie on-line (tj. bez wyłączania zasilania i bez przerywania przetwarzania danych w macierzy) operacje: powiększanie grup dyskowych, zwiększanie rozmiaru woluminu, migrowanie woluminu na inną grupę dyskową</w:t>
      </w:r>
    </w:p>
    <w:p w14:paraId="034F10DE" w14:textId="77777777" w:rsidR="00EB1CBE" w:rsidRPr="00EB1CBE" w:rsidRDefault="00EB1CBE" w:rsidP="00EB1CBE">
      <w:pPr>
        <w:pStyle w:val="Default"/>
        <w:numPr>
          <w:ilvl w:val="0"/>
          <w:numId w:val="4"/>
        </w:numPr>
        <w:jc w:val="both"/>
        <w:rPr>
          <w:rFonts w:ascii="Tahoma" w:hAnsi="Tahoma" w:cs="Tahoma"/>
          <w:color w:val="00000A"/>
          <w:sz w:val="18"/>
          <w:szCs w:val="18"/>
          <w:lang w:val="en-US"/>
        </w:rPr>
      </w:pPr>
      <w:r w:rsidRPr="00EB1CBE">
        <w:rPr>
          <w:rFonts w:ascii="Tahoma" w:hAnsi="Tahoma" w:cs="Tahoma"/>
          <w:color w:val="00000A"/>
          <w:sz w:val="18"/>
          <w:szCs w:val="18"/>
          <w:lang w:val="en-US"/>
        </w:rPr>
        <w:t>Macierz musi posiadać wsparcie dla systemów operacyjnych : Microsoft Windows Server 2012R2, 2016, 2019, SuSE Linux Enterprise Server, Red Hat Linux Enterprise Server, HP-UNIX, IBM AIX, SUN Solaris, Vmware Vsphere;</w:t>
      </w:r>
    </w:p>
    <w:p w14:paraId="0B46BE89"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być dostarczona z licencją na oprogramowanie wspierające  technologię typu multipath (obsługa nadmiarowości dla ścieżek transmisji danych pomiędzy macierzą i serwerem)  dla połączeń FC i iSCSI.</w:t>
      </w:r>
    </w:p>
    <w:p w14:paraId="340855DB"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posiadać możliwość uruchamiania mechanizmów zdalnej replikacji danych, w trybie synchronicznym i asynchronicznym, po protokołach FC oraz iSCSI,   bez konieczności stosowania zewnętrznych urządzeń konwersji wymienionych protokołów transmisji. Funkcjonalność replikacji danych musi być zapewniona z poziomu oprogramowania wewnętrznego macierzy, jako tzw. storage-based data replication. Replikacja danych musi być obsługiwana w połączeniu z każdą macierzą z tej samej rodziny urządzeń wspierającą obsługę zdalnej replikacji danych oraz z macierzą Fujitsu DX200 S4 posiadaną przez Zamawiającego. – nie jest wymagane dostarczenie tej funkcjonalności – opcja rozbudowy</w:t>
      </w:r>
    </w:p>
    <w:p w14:paraId="3ED272FD"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posiadać możliwość tworzenia lokalnych tj. w obrębie zasobów macierzy, pełnych kopii danych (tzw. klony danych), kopii przyrostowych oraz kopii lustrzanych (mirror) – nie jest wymagane dostarczenie tej funkcjonalności – opcja rozbudowy</w:t>
      </w:r>
    </w:p>
    <w:p w14:paraId="2A922698"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obsługiwać mechanizm ochrony priorytetów obsługi wybranych zasobów – za taki mechanizm uznaje się funkcję typu ‘cache partitioning’ lub ‘storage partitioning’.</w:t>
      </w:r>
    </w:p>
    <w:p w14:paraId="43DF6CCF"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obsługiwać adresację IP v.4 i IP v.6</w:t>
      </w:r>
    </w:p>
    <w:p w14:paraId="6D5E2800"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Wraz z macierzą należy dostarczyć oprogramowanie lub moduły programowe typu plug-in pozwalające na integracje macierzy w środowiskach Vmware w zakresie obsługi mechanizmów: Vmware VAAI, Vmware VVOL, Vmware MultiPath IO – z subskrypcją do bezpłatnej aktualizacji w całym okresie obowiązywania gwarancji</w:t>
      </w:r>
    </w:p>
    <w:p w14:paraId="503169EE"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 xml:space="preserve">Macierz musi obsługiwać mechanizmy Thin Provisioning, czyli przydziału dla obsługiwanych środowisk woluminów logicznych o sumarycznej pojemności większej od sumy pojemności dysków fizycznych zainstalowanych w macierzy. </w:t>
      </w:r>
    </w:p>
    <w:p w14:paraId="12B9B8E3"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obsługiwać mechanizmy typu AST (Automated Storage Tiering)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być obsługiwać funkcję Quality-of-Services pozwalająca na zagwarantowaniu wydajności dla wybranych zasobów macierzy (woluminów) mierzonej jako maksymalny czas opóźnień operacji I/O wykonywanych przez  serwer/środowisko/aplikację.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 nie jest wymagane dostarczenie tej funkcjonalności – opcja rozbudowy</w:t>
      </w:r>
    </w:p>
    <w:p w14:paraId="79F6A5BE"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wspierać usługi VSS (Volume ShadowCopy Services) w systemach klasy Microsoft Windows Sever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06415C98"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musi obsługiwać mechanizmy migracji danych w trybie online  z innej macierzy tej klasy, z zachowaniem obsługi operacji I/O dla serwerów podłączonych do migrowanej macierzy tj. do migrowanych zasobów LUN</w:t>
      </w:r>
    </w:p>
    <w:p w14:paraId="1489DC5B"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iSCSI. Mechanizm klastra macierzowego musi być obsługiwany dla protokołów FC oraz iSCSI,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w:t>
      </w:r>
      <w:r w:rsidRPr="00EB1CBE">
        <w:rPr>
          <w:rFonts w:ascii="Tahoma" w:hAnsi="Tahoma" w:cs="Tahoma"/>
          <w:bCs/>
          <w:color w:val="00000A"/>
          <w:sz w:val="18"/>
          <w:szCs w:val="18"/>
        </w:rPr>
        <w:t xml:space="preserve">Funkcjonalność ‘klastra macierzowego’ musi pozwalać na automatyczne i ręczne przełączanie obsługi środowisk produkcyjnych z macierzy podstawowej na zapasową w przypadku awarii macierzy podstawowej (tzw. Automated/manual failover). </w:t>
      </w:r>
      <w:r w:rsidRPr="00EB1CBE">
        <w:rPr>
          <w:rFonts w:ascii="Tahoma" w:hAnsi="Tahoma" w:cs="Tahoma"/>
          <w:color w:val="00000A"/>
          <w:sz w:val="18"/>
          <w:szCs w:val="18"/>
        </w:rPr>
        <w:t>– nie jest wymagane dostarczenie tej funkcjonalności – opcja rozbudowy</w:t>
      </w:r>
    </w:p>
    <w:p w14:paraId="07D75E30" w14:textId="77777777" w:rsidR="00EB1CBE" w:rsidRPr="00EB1CBE" w:rsidRDefault="00EB1CBE" w:rsidP="00EB1CBE">
      <w:pPr>
        <w:pStyle w:val="Default"/>
        <w:numPr>
          <w:ilvl w:val="0"/>
          <w:numId w:val="4"/>
        </w:numPr>
        <w:jc w:val="both"/>
        <w:rPr>
          <w:rFonts w:ascii="Tahoma" w:hAnsi="Tahoma" w:cs="Tahoma"/>
          <w:color w:val="00000A"/>
          <w:sz w:val="18"/>
          <w:szCs w:val="18"/>
        </w:rPr>
      </w:pPr>
      <w:r w:rsidRPr="00EB1CBE">
        <w:rPr>
          <w:rFonts w:ascii="Tahoma" w:hAnsi="Tahoma" w:cs="Tahoma"/>
          <w:color w:val="00000A"/>
          <w:sz w:val="18"/>
          <w:szCs w:val="18"/>
        </w:rPr>
        <w:t>Macierz w dostarczonej konfiguracji musi obsługiwać deduplikację i kompresję danych na dyskach wbudowanych w macierzy (nie dopuszcza się główek, kompresji zewnętrznej, programowej itp.) w następujących trybach równocześnie oraz niezależnie na poziomie każdego LUN:</w:t>
      </w:r>
    </w:p>
    <w:p w14:paraId="6C4503B8" w14:textId="77777777" w:rsidR="00EB1CBE" w:rsidRPr="00EB1CBE" w:rsidRDefault="00EB1CBE" w:rsidP="00EB1CBE">
      <w:pPr>
        <w:pStyle w:val="Default"/>
        <w:numPr>
          <w:ilvl w:val="1"/>
          <w:numId w:val="4"/>
        </w:numPr>
        <w:jc w:val="both"/>
        <w:rPr>
          <w:rFonts w:ascii="Tahoma" w:hAnsi="Tahoma" w:cs="Tahoma"/>
          <w:color w:val="00000A"/>
          <w:sz w:val="18"/>
          <w:szCs w:val="18"/>
        </w:rPr>
      </w:pPr>
      <w:r w:rsidRPr="00EB1CBE">
        <w:rPr>
          <w:rFonts w:ascii="Tahoma" w:hAnsi="Tahoma" w:cs="Tahoma"/>
          <w:color w:val="00000A"/>
          <w:sz w:val="18"/>
          <w:szCs w:val="18"/>
        </w:rPr>
        <w:t>Sama deduplikacja  wybranego LUN;</w:t>
      </w:r>
    </w:p>
    <w:p w14:paraId="2EAC9119" w14:textId="77777777" w:rsidR="00EB1CBE" w:rsidRPr="00EB1CBE" w:rsidRDefault="00EB1CBE" w:rsidP="00EB1CBE">
      <w:pPr>
        <w:pStyle w:val="Default"/>
        <w:numPr>
          <w:ilvl w:val="1"/>
          <w:numId w:val="4"/>
        </w:numPr>
        <w:jc w:val="both"/>
        <w:rPr>
          <w:rFonts w:ascii="Tahoma" w:hAnsi="Tahoma" w:cs="Tahoma"/>
          <w:color w:val="00000A"/>
          <w:sz w:val="18"/>
          <w:szCs w:val="18"/>
        </w:rPr>
      </w:pPr>
      <w:r w:rsidRPr="00EB1CBE">
        <w:rPr>
          <w:rFonts w:ascii="Tahoma" w:hAnsi="Tahoma" w:cs="Tahoma"/>
          <w:color w:val="00000A"/>
          <w:sz w:val="18"/>
          <w:szCs w:val="18"/>
        </w:rPr>
        <w:t>Sama kompresja wybranego LUN;</w:t>
      </w:r>
    </w:p>
    <w:p w14:paraId="2D472B19" w14:textId="77777777" w:rsidR="00EB1CBE" w:rsidRPr="00EB1CBE" w:rsidRDefault="00EB1CBE" w:rsidP="00EB1CBE">
      <w:pPr>
        <w:pStyle w:val="Default"/>
        <w:numPr>
          <w:ilvl w:val="1"/>
          <w:numId w:val="4"/>
        </w:numPr>
        <w:jc w:val="both"/>
        <w:rPr>
          <w:rFonts w:ascii="Tahoma" w:hAnsi="Tahoma" w:cs="Tahoma"/>
          <w:color w:val="00000A"/>
          <w:sz w:val="18"/>
          <w:szCs w:val="18"/>
        </w:rPr>
      </w:pPr>
      <w:r w:rsidRPr="00EB1CBE">
        <w:rPr>
          <w:rFonts w:ascii="Tahoma" w:hAnsi="Tahoma" w:cs="Tahoma"/>
          <w:color w:val="00000A"/>
          <w:sz w:val="18"/>
          <w:szCs w:val="18"/>
        </w:rPr>
        <w:t>Kombinacja technologii kompresji i deduplikacji wybranego LUN;</w:t>
      </w:r>
    </w:p>
    <w:p w14:paraId="1E4D2EB5" w14:textId="77777777" w:rsidR="00EB1CBE" w:rsidRPr="00EB1CBE" w:rsidRDefault="00EB1CBE" w:rsidP="00EB1CBE">
      <w:pPr>
        <w:pStyle w:val="Default"/>
        <w:numPr>
          <w:ilvl w:val="1"/>
          <w:numId w:val="4"/>
        </w:numPr>
        <w:jc w:val="both"/>
        <w:rPr>
          <w:rFonts w:ascii="Tahoma" w:hAnsi="Tahoma" w:cs="Tahoma"/>
          <w:color w:val="00000A"/>
          <w:sz w:val="18"/>
          <w:szCs w:val="18"/>
        </w:rPr>
      </w:pPr>
      <w:r w:rsidRPr="00EB1CBE">
        <w:rPr>
          <w:rFonts w:ascii="Tahoma" w:hAnsi="Tahoma" w:cs="Tahoma"/>
          <w:color w:val="00000A"/>
          <w:sz w:val="18"/>
          <w:szCs w:val="18"/>
        </w:rPr>
        <w:t>Brak użycia technologii kompresji i deduplikacji dla wybranego LUN;</w:t>
      </w:r>
    </w:p>
    <w:p w14:paraId="12059A51" w14:textId="77777777" w:rsidR="00EB1CBE" w:rsidRPr="00EB1CBE" w:rsidRDefault="00EB1CBE" w:rsidP="00EB1CBE">
      <w:pPr>
        <w:pStyle w:val="Default"/>
        <w:jc w:val="both"/>
        <w:rPr>
          <w:rFonts w:ascii="Tahoma" w:hAnsi="Tahoma" w:cs="Tahoma"/>
          <w:color w:val="00000A"/>
          <w:sz w:val="18"/>
          <w:szCs w:val="18"/>
        </w:rPr>
      </w:pPr>
    </w:p>
    <w:p w14:paraId="7BFDD09E" w14:textId="77777777" w:rsidR="00EB1CBE" w:rsidRPr="00EB1CBE" w:rsidRDefault="00EB1CBE" w:rsidP="00EB1CBE">
      <w:pPr>
        <w:pStyle w:val="Default"/>
        <w:jc w:val="both"/>
        <w:rPr>
          <w:rFonts w:ascii="Tahoma" w:hAnsi="Tahoma" w:cs="Tahoma"/>
          <w:b/>
          <w:bCs/>
          <w:color w:val="00000A"/>
          <w:sz w:val="18"/>
          <w:szCs w:val="18"/>
        </w:rPr>
      </w:pPr>
      <w:r w:rsidRPr="00EB1CBE">
        <w:rPr>
          <w:rFonts w:ascii="Tahoma" w:hAnsi="Tahoma" w:cs="Tahoma"/>
          <w:b/>
          <w:bCs/>
          <w:color w:val="00000A"/>
          <w:sz w:val="18"/>
          <w:szCs w:val="18"/>
        </w:rPr>
        <w:t>Zarządzanie</w:t>
      </w:r>
    </w:p>
    <w:p w14:paraId="53392A45" w14:textId="77777777" w:rsidR="00EB1CBE" w:rsidRPr="00EB1CBE" w:rsidRDefault="00EB1CBE" w:rsidP="00EB1CBE">
      <w:pPr>
        <w:pStyle w:val="Default"/>
        <w:numPr>
          <w:ilvl w:val="0"/>
          <w:numId w:val="5"/>
        </w:numPr>
        <w:jc w:val="both"/>
        <w:rPr>
          <w:rFonts w:ascii="Tahoma" w:hAnsi="Tahoma" w:cs="Tahoma"/>
          <w:color w:val="00000A"/>
          <w:sz w:val="18"/>
          <w:szCs w:val="18"/>
        </w:rPr>
      </w:pPr>
      <w:r w:rsidRPr="00EB1CBE">
        <w:rPr>
          <w:rFonts w:ascii="Tahoma" w:hAnsi="Tahoma" w:cs="Tahoma"/>
          <w:color w:val="00000A"/>
          <w:sz w:val="18"/>
          <w:szCs w:val="18"/>
        </w:rPr>
        <w:t xml:space="preserve">Oprogramowanie do zarządzania musi być zintegrowane z systemem operacyjnym systemu pamięci masowej </w:t>
      </w:r>
    </w:p>
    <w:p w14:paraId="5317700F" w14:textId="77777777" w:rsidR="00EB1CBE" w:rsidRPr="00EB1CBE" w:rsidRDefault="00EB1CBE" w:rsidP="00EB1CBE">
      <w:pPr>
        <w:pStyle w:val="Default"/>
        <w:numPr>
          <w:ilvl w:val="0"/>
          <w:numId w:val="5"/>
        </w:numPr>
        <w:jc w:val="both"/>
        <w:rPr>
          <w:rFonts w:ascii="Tahoma" w:hAnsi="Tahoma" w:cs="Tahoma"/>
          <w:color w:val="00000A"/>
          <w:sz w:val="18"/>
          <w:szCs w:val="18"/>
        </w:rPr>
      </w:pPr>
      <w:r w:rsidRPr="00EB1CBE">
        <w:rPr>
          <w:rFonts w:ascii="Tahoma" w:hAnsi="Tahoma" w:cs="Tahoma"/>
          <w:color w:val="00000A"/>
          <w:sz w:val="18"/>
          <w:szCs w:val="18"/>
        </w:rPr>
        <w:t xml:space="preserve">Komunikacja z wbudowanym oprogramowaniem zarządzającym macierzą musi być możliwa w trybie graficznym np. poprzez przeglądarkę WWW oraz w trybie tekstowym. </w:t>
      </w:r>
    </w:p>
    <w:p w14:paraId="4532C4DE" w14:textId="77777777" w:rsidR="00EB1CBE" w:rsidRPr="00EB1CBE" w:rsidRDefault="00EB1CBE" w:rsidP="00EB1CBE">
      <w:pPr>
        <w:pStyle w:val="Default"/>
        <w:numPr>
          <w:ilvl w:val="0"/>
          <w:numId w:val="5"/>
        </w:numPr>
        <w:jc w:val="both"/>
        <w:rPr>
          <w:rFonts w:ascii="Tahoma" w:hAnsi="Tahoma" w:cs="Tahoma"/>
          <w:color w:val="00000A"/>
          <w:sz w:val="18"/>
          <w:szCs w:val="18"/>
        </w:rPr>
      </w:pPr>
      <w:r w:rsidRPr="00EB1CBE">
        <w:rPr>
          <w:rFonts w:ascii="Tahoma" w:hAnsi="Tahoma" w:cs="Tahoma"/>
          <w:color w:val="00000A"/>
          <w:sz w:val="18"/>
          <w:szCs w:val="18"/>
        </w:rPr>
        <w:t>Musi być możliwe zdalne zarządzanie macierzą z wykorzystaniem standardowej przeglądarki internetowej (np. Internet Explorer, Google Chrome, Mozilla Firefox) bez konieczności instalacji  żadnych dodatkowych aplikacji na stacji administratora</w:t>
      </w:r>
    </w:p>
    <w:p w14:paraId="47B7552F" w14:textId="77777777" w:rsidR="00EB1CBE" w:rsidRPr="00EB1CBE" w:rsidRDefault="00EB1CBE" w:rsidP="00EB1CBE">
      <w:pPr>
        <w:pStyle w:val="Default"/>
        <w:numPr>
          <w:ilvl w:val="0"/>
          <w:numId w:val="5"/>
        </w:numPr>
        <w:jc w:val="both"/>
        <w:rPr>
          <w:rFonts w:ascii="Tahoma" w:hAnsi="Tahoma" w:cs="Tahoma"/>
          <w:bCs/>
          <w:color w:val="00000A"/>
          <w:sz w:val="18"/>
          <w:szCs w:val="18"/>
        </w:rPr>
      </w:pPr>
      <w:r w:rsidRPr="00EB1CBE">
        <w:rPr>
          <w:rFonts w:ascii="Tahoma" w:hAnsi="Tahoma" w:cs="Tahoma"/>
          <w:color w:val="00000A"/>
          <w:sz w:val="18"/>
          <w:szCs w:val="18"/>
        </w:rPr>
        <w:t>Wbudowane oprogramowanie macierzy musi obsługiwać połączenia z modułem zarządzania macierzy poprzez szyfrowanie komunikacji protokołami: SSL dla komunikacji poprzez przeglądarkę WWW i protokołem SSH dla komunikacji poprzez CLI</w:t>
      </w:r>
    </w:p>
    <w:p w14:paraId="5F4BD26D" w14:textId="77777777" w:rsidR="00EB1CBE" w:rsidRPr="00EB1CBE" w:rsidRDefault="00EB1CBE" w:rsidP="00EB1CBE">
      <w:pPr>
        <w:pStyle w:val="Default"/>
        <w:jc w:val="both"/>
        <w:rPr>
          <w:rFonts w:ascii="Tahoma" w:hAnsi="Tahoma" w:cs="Tahoma"/>
          <w:b/>
          <w:bCs/>
          <w:color w:val="00000A"/>
          <w:sz w:val="18"/>
          <w:szCs w:val="18"/>
        </w:rPr>
      </w:pPr>
    </w:p>
    <w:p w14:paraId="7AD47E14" w14:textId="77777777" w:rsidR="00EB1CBE" w:rsidRPr="00EB1CBE" w:rsidRDefault="00EB1CBE" w:rsidP="00EB1CBE">
      <w:pPr>
        <w:pStyle w:val="Default"/>
        <w:jc w:val="both"/>
        <w:rPr>
          <w:rFonts w:ascii="Tahoma" w:hAnsi="Tahoma" w:cs="Tahoma"/>
          <w:b/>
          <w:bCs/>
          <w:color w:val="00000A"/>
          <w:sz w:val="18"/>
          <w:szCs w:val="18"/>
        </w:rPr>
      </w:pPr>
      <w:r w:rsidRPr="00EB1CBE">
        <w:rPr>
          <w:rFonts w:ascii="Tahoma" w:hAnsi="Tahoma" w:cs="Tahoma"/>
          <w:b/>
          <w:bCs/>
          <w:color w:val="00000A"/>
          <w:sz w:val="18"/>
          <w:szCs w:val="18"/>
        </w:rPr>
        <w:t>Gwarancja i serwis</w:t>
      </w:r>
    </w:p>
    <w:p w14:paraId="44F5C757" w14:textId="7076AE92" w:rsidR="00EB1CBE" w:rsidRPr="00EB1CBE" w:rsidRDefault="00EB1CBE" w:rsidP="00EB1CBE">
      <w:pPr>
        <w:pStyle w:val="Default"/>
        <w:numPr>
          <w:ilvl w:val="0"/>
          <w:numId w:val="6"/>
        </w:numPr>
        <w:jc w:val="both"/>
        <w:rPr>
          <w:rFonts w:ascii="Tahoma" w:hAnsi="Tahoma" w:cs="Tahoma"/>
          <w:color w:val="00000A"/>
          <w:sz w:val="18"/>
          <w:szCs w:val="18"/>
        </w:rPr>
      </w:pPr>
      <w:r w:rsidRPr="00EB1CBE">
        <w:rPr>
          <w:rFonts w:ascii="Tahoma" w:hAnsi="Tahoma" w:cs="Tahoma"/>
          <w:bCs/>
          <w:color w:val="00000A"/>
          <w:sz w:val="18"/>
          <w:szCs w:val="18"/>
        </w:rPr>
        <w:t xml:space="preserve">Całe rozwiązanie musi być objęte minimum </w:t>
      </w:r>
      <w:r w:rsidRPr="00A15080">
        <w:rPr>
          <w:rFonts w:ascii="Tahoma" w:hAnsi="Tahoma" w:cs="Tahoma"/>
          <w:bCs/>
          <w:strike/>
          <w:color w:val="FF0000"/>
          <w:sz w:val="18"/>
          <w:szCs w:val="18"/>
        </w:rPr>
        <w:t>60</w:t>
      </w:r>
      <w:r w:rsidRPr="00EB1CBE">
        <w:rPr>
          <w:rFonts w:ascii="Tahoma" w:hAnsi="Tahoma" w:cs="Tahoma"/>
          <w:bCs/>
          <w:color w:val="00000A"/>
          <w:sz w:val="18"/>
          <w:szCs w:val="18"/>
        </w:rPr>
        <w:t xml:space="preserve"> </w:t>
      </w:r>
      <w:r w:rsidR="00A15080" w:rsidRPr="00A15080">
        <w:rPr>
          <w:rFonts w:ascii="Tahoma" w:hAnsi="Tahoma" w:cs="Tahoma"/>
          <w:bCs/>
          <w:color w:val="FF0000"/>
          <w:sz w:val="18"/>
          <w:szCs w:val="18"/>
        </w:rPr>
        <w:t>12</w:t>
      </w:r>
      <w:r w:rsidR="00A15080">
        <w:rPr>
          <w:rFonts w:ascii="Tahoma" w:hAnsi="Tahoma" w:cs="Tahoma"/>
          <w:bCs/>
          <w:color w:val="00000A"/>
          <w:sz w:val="18"/>
          <w:szCs w:val="18"/>
        </w:rPr>
        <w:t xml:space="preserve"> </w:t>
      </w:r>
      <w:r w:rsidRPr="00EB1CBE">
        <w:rPr>
          <w:rFonts w:ascii="Tahoma" w:hAnsi="Tahoma" w:cs="Tahoma"/>
          <w:bCs/>
          <w:color w:val="00000A"/>
          <w:sz w:val="18"/>
          <w:szCs w:val="18"/>
        </w:rPr>
        <w:t>miesięcznym okresem gwarancji z naprawą miejscu instalacji urządzenia i z gwarantowanym czasem skutecznego zakończenia naprawy najpóźniej w ciągu następnego dnia roboczego od dnia zgłoszenia awarii do organizacji serwisowej producenta macierzy.</w:t>
      </w:r>
    </w:p>
    <w:p w14:paraId="23ED3B09" w14:textId="77777777" w:rsidR="00EB1CBE" w:rsidRPr="00EB1CBE" w:rsidRDefault="00EB1CBE" w:rsidP="00EB1CBE">
      <w:pPr>
        <w:pStyle w:val="Default"/>
        <w:numPr>
          <w:ilvl w:val="0"/>
          <w:numId w:val="6"/>
        </w:numPr>
        <w:jc w:val="both"/>
        <w:rPr>
          <w:rFonts w:ascii="Tahoma" w:hAnsi="Tahoma" w:cs="Tahoma"/>
          <w:color w:val="00000A"/>
          <w:sz w:val="18"/>
          <w:szCs w:val="18"/>
        </w:rPr>
      </w:pPr>
      <w:r w:rsidRPr="00EB1CBE">
        <w:rPr>
          <w:rFonts w:ascii="Tahoma" w:hAnsi="Tahoma" w:cs="Tahoma"/>
          <w:bCs/>
          <w:color w:val="00000A"/>
          <w:sz w:val="18"/>
          <w:szCs w:val="18"/>
        </w:rPr>
        <w:t>Dyski twarde nie podlegają zwrotowi organizacji serwisowej;</w:t>
      </w:r>
    </w:p>
    <w:p w14:paraId="5EFE875C" w14:textId="77777777" w:rsidR="00EB1CBE" w:rsidRPr="00EB1CBE" w:rsidRDefault="00EB1CBE" w:rsidP="00EB1CBE">
      <w:pPr>
        <w:pStyle w:val="Default"/>
        <w:numPr>
          <w:ilvl w:val="0"/>
          <w:numId w:val="6"/>
        </w:numPr>
        <w:jc w:val="both"/>
        <w:rPr>
          <w:rFonts w:ascii="Tahoma" w:hAnsi="Tahoma" w:cs="Tahoma"/>
          <w:bCs/>
          <w:color w:val="00000A"/>
          <w:sz w:val="18"/>
          <w:szCs w:val="18"/>
        </w:rPr>
      </w:pPr>
      <w:r w:rsidRPr="00EB1CBE">
        <w:rPr>
          <w:rFonts w:ascii="Tahoma" w:hAnsi="Tahoma" w:cs="Tahoma"/>
          <w:bCs/>
          <w:color w:val="00000A"/>
          <w:sz w:val="18"/>
          <w:szCs w:val="18"/>
        </w:rPr>
        <w:t xml:space="preserve">Serwis gwarancyjny musi obejmować dostęp do poprawek i nowych wersji oprogramowania wbudowanego, które są elementem zamówienia.    </w:t>
      </w:r>
      <w:bookmarkStart w:id="0" w:name="_GoBack"/>
    </w:p>
    <w:p w14:paraId="659BAC03" w14:textId="77777777" w:rsidR="00EB1CBE" w:rsidRPr="00EB1CBE" w:rsidRDefault="00EB1CBE" w:rsidP="00EB1CBE">
      <w:pPr>
        <w:pStyle w:val="Default"/>
        <w:numPr>
          <w:ilvl w:val="0"/>
          <w:numId w:val="6"/>
        </w:numPr>
        <w:jc w:val="both"/>
        <w:rPr>
          <w:rFonts w:ascii="Tahoma" w:hAnsi="Tahoma" w:cs="Tahoma"/>
          <w:bCs/>
          <w:color w:val="00000A"/>
          <w:sz w:val="18"/>
          <w:szCs w:val="18"/>
        </w:rPr>
      </w:pPr>
      <w:r w:rsidRPr="00EB1CBE">
        <w:rPr>
          <w:rFonts w:ascii="Tahoma" w:hAnsi="Tahoma" w:cs="Tahoma"/>
          <w:bCs/>
          <w:color w:val="00000A"/>
          <w:sz w:val="18"/>
          <w:szCs w:val="18"/>
        </w:rPr>
        <w:t>Po zakończeniu okresu gwarancji musi być za</w:t>
      </w:r>
      <w:bookmarkEnd w:id="0"/>
      <w:r w:rsidRPr="00EB1CBE">
        <w:rPr>
          <w:rFonts w:ascii="Tahoma" w:hAnsi="Tahoma" w:cs="Tahoma"/>
          <w:bCs/>
          <w:color w:val="00000A"/>
          <w:sz w:val="18"/>
          <w:szCs w:val="18"/>
        </w:rPr>
        <w:t xml:space="preserve">pewniony przez producenta rozwiązania bezpłatny dostęp do aktualizacji oprogramowania wewnętrznego oferowanej macierzy oraz do kolejnych wersji oprogramowania zarządzającego w okresie minimum 2 lat. </w:t>
      </w:r>
    </w:p>
    <w:p w14:paraId="2022D5E5" w14:textId="77777777" w:rsidR="00EB1CBE" w:rsidRPr="00EB1CBE" w:rsidRDefault="00EB1CBE" w:rsidP="00EB1CBE">
      <w:pPr>
        <w:pStyle w:val="Default"/>
        <w:numPr>
          <w:ilvl w:val="0"/>
          <w:numId w:val="6"/>
        </w:numPr>
        <w:jc w:val="both"/>
        <w:rPr>
          <w:rFonts w:ascii="Tahoma" w:hAnsi="Tahoma" w:cs="Tahoma"/>
          <w:bCs/>
          <w:color w:val="00000A"/>
          <w:sz w:val="18"/>
          <w:szCs w:val="18"/>
        </w:rPr>
      </w:pPr>
      <w:r w:rsidRPr="00EB1CBE">
        <w:rPr>
          <w:rFonts w:ascii="Tahoma" w:hAnsi="Tahoma" w:cs="Tahoma"/>
          <w:bCs/>
          <w:color w:val="00000A"/>
          <w:sz w:val="18"/>
          <w:szCs w:val="18"/>
        </w:rPr>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14:paraId="73746DC2" w14:textId="77777777" w:rsidR="00EB1CBE" w:rsidRPr="00EB1CBE" w:rsidRDefault="00EB1CBE" w:rsidP="00EB1CBE">
      <w:pPr>
        <w:pStyle w:val="Default"/>
        <w:numPr>
          <w:ilvl w:val="0"/>
          <w:numId w:val="6"/>
        </w:numPr>
        <w:jc w:val="both"/>
        <w:rPr>
          <w:rFonts w:ascii="Tahoma" w:hAnsi="Tahoma" w:cs="Tahoma"/>
          <w:bCs/>
          <w:color w:val="00000A"/>
          <w:sz w:val="18"/>
          <w:szCs w:val="18"/>
        </w:rPr>
      </w:pPr>
      <w:r w:rsidRPr="00EB1CBE">
        <w:rPr>
          <w:rFonts w:ascii="Tahoma" w:hAnsi="Tahoma" w:cs="Tahoma"/>
          <w:bCs/>
          <w:color w:val="00000A"/>
          <w:sz w:val="18"/>
          <w:szCs w:val="18"/>
        </w:rPr>
        <w:t xml:space="preserve">Macierz musi pochodzić z oficjalnego kanału sprzedaży producenta w UE. Nie dopuszcza się użycia macierzy odnawianych, demonstracyjnych lub powystawowych </w:t>
      </w:r>
    </w:p>
    <w:p w14:paraId="54A394D3" w14:textId="77777777" w:rsidR="00EB1CBE" w:rsidRPr="00EB1CBE" w:rsidRDefault="00EB1CBE" w:rsidP="00EB1CBE">
      <w:pPr>
        <w:pStyle w:val="Default"/>
        <w:numPr>
          <w:ilvl w:val="0"/>
          <w:numId w:val="6"/>
        </w:numPr>
        <w:jc w:val="both"/>
        <w:rPr>
          <w:rFonts w:ascii="Tahoma" w:hAnsi="Tahoma" w:cs="Tahoma"/>
          <w:bCs/>
          <w:color w:val="00000A"/>
          <w:sz w:val="18"/>
          <w:szCs w:val="18"/>
        </w:rPr>
      </w:pPr>
      <w:r w:rsidRPr="00EB1CBE">
        <w:rPr>
          <w:rFonts w:ascii="Tahoma" w:hAnsi="Tahoma" w:cs="Tahoma"/>
          <w:bCs/>
          <w:color w:val="00000A"/>
          <w:sz w:val="18"/>
          <w:szCs w:val="18"/>
        </w:rPr>
        <w:t>Urządzenie musi być wykonane zgodnie z europejskimi dyrektywami RoHS i WEEE stanowiącymi o unikaniu i ograniczaniu stosowania substancji szkodliwych dla zdrowia</w:t>
      </w:r>
    </w:p>
    <w:p w14:paraId="22914B54" w14:textId="77777777" w:rsidR="00EB1CBE" w:rsidRPr="00EB1CBE" w:rsidRDefault="00EB1CBE" w:rsidP="00EB1CBE">
      <w:pPr>
        <w:pStyle w:val="Default"/>
        <w:numPr>
          <w:ilvl w:val="0"/>
          <w:numId w:val="6"/>
        </w:numPr>
        <w:jc w:val="both"/>
        <w:rPr>
          <w:rFonts w:ascii="Tahoma" w:hAnsi="Tahoma" w:cs="Tahoma"/>
          <w:bCs/>
          <w:color w:val="00000A"/>
          <w:sz w:val="18"/>
          <w:szCs w:val="18"/>
        </w:rPr>
      </w:pPr>
      <w:r w:rsidRPr="00EB1CBE">
        <w:rPr>
          <w:rFonts w:ascii="Tahoma" w:hAnsi="Tahoma" w:cs="Tahoma"/>
          <w:color w:val="00000A"/>
          <w:sz w:val="18"/>
          <w:szCs w:val="18"/>
        </w:rPr>
        <w:t>Możliwość odpłatnego wydłużenia gwarancji producenta do 7 lat w trybie onsite z gwarantowanym skutecznym zakończeniem naprawy serwera najpóźniej w następnym dniu roboczym od zgłoszenia usterki (podać koszt na dzień składania oferty);</w:t>
      </w:r>
    </w:p>
    <w:p w14:paraId="3B03A5D7" w14:textId="77777777" w:rsidR="00EB1CBE" w:rsidRPr="00EB1CBE" w:rsidRDefault="00EB1CBE" w:rsidP="00EB1CBE">
      <w:pPr>
        <w:pStyle w:val="Default"/>
        <w:numPr>
          <w:ilvl w:val="0"/>
          <w:numId w:val="6"/>
        </w:numPr>
        <w:jc w:val="both"/>
        <w:rPr>
          <w:rFonts w:ascii="Tahoma" w:hAnsi="Tahoma" w:cs="Tahoma"/>
          <w:bCs/>
          <w:color w:val="00000A"/>
          <w:sz w:val="18"/>
          <w:szCs w:val="18"/>
        </w:rPr>
      </w:pPr>
      <w:r w:rsidRPr="00EB1CBE">
        <w:rPr>
          <w:rFonts w:ascii="Tahoma" w:hAnsi="Tahoma" w:cs="Tahoma"/>
          <w:bCs/>
          <w:color w:val="00000A"/>
          <w:sz w:val="18"/>
          <w:szCs w:val="18"/>
        </w:rPr>
        <w:t>Producent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p w14:paraId="15FDF828" w14:textId="77777777" w:rsidR="00EB1CBE" w:rsidRPr="00EB1CBE" w:rsidRDefault="00EB1CBE" w:rsidP="00EB1CBE">
      <w:pPr>
        <w:pStyle w:val="Default"/>
        <w:jc w:val="both"/>
        <w:rPr>
          <w:rFonts w:ascii="Tahoma" w:hAnsi="Tahoma" w:cs="Tahoma"/>
          <w:color w:val="00000A"/>
          <w:sz w:val="18"/>
          <w:szCs w:val="18"/>
        </w:rPr>
      </w:pPr>
    </w:p>
    <w:p w14:paraId="1E4C926B" w14:textId="77777777" w:rsidR="00AE4CA6" w:rsidRPr="00EB1CBE" w:rsidRDefault="00AE4CA6">
      <w:pPr>
        <w:rPr>
          <w:rFonts w:ascii="Tahoma" w:hAnsi="Tahoma" w:cs="Tahoma"/>
          <w:sz w:val="18"/>
          <w:szCs w:val="18"/>
        </w:rPr>
      </w:pPr>
    </w:p>
    <w:p w14:paraId="7A99CD76" w14:textId="77777777" w:rsidR="00AE4CA6" w:rsidRPr="00EB1CBE" w:rsidRDefault="00AE4CA6">
      <w:pPr>
        <w:rPr>
          <w:rFonts w:ascii="Tahoma" w:hAnsi="Tahoma" w:cs="Tahoma"/>
          <w:sz w:val="18"/>
          <w:szCs w:val="18"/>
        </w:rPr>
      </w:pPr>
    </w:p>
    <w:p w14:paraId="796C29B7" w14:textId="77777777" w:rsidR="00AE4CA6" w:rsidRPr="00EB1CBE" w:rsidRDefault="00AE4CA6">
      <w:pPr>
        <w:rPr>
          <w:rFonts w:ascii="Tahoma" w:hAnsi="Tahoma" w:cs="Tahoma"/>
          <w:sz w:val="18"/>
          <w:szCs w:val="18"/>
        </w:rPr>
      </w:pPr>
    </w:p>
    <w:p w14:paraId="45894971" w14:textId="77777777" w:rsidR="00AE4CA6" w:rsidRPr="00EB1CBE" w:rsidRDefault="00AE4CA6">
      <w:pPr>
        <w:rPr>
          <w:rFonts w:ascii="Tahoma" w:hAnsi="Tahoma" w:cs="Tahoma"/>
          <w:sz w:val="18"/>
          <w:szCs w:val="18"/>
        </w:rPr>
      </w:pPr>
    </w:p>
    <w:p w14:paraId="3ED3468C" w14:textId="77777777" w:rsidR="00AE4CA6" w:rsidRPr="00EB1CBE" w:rsidRDefault="00AE4CA6">
      <w:pPr>
        <w:rPr>
          <w:rFonts w:ascii="Tahoma" w:hAnsi="Tahoma" w:cs="Tahoma"/>
          <w:sz w:val="18"/>
          <w:szCs w:val="18"/>
        </w:rPr>
      </w:pPr>
    </w:p>
    <w:p w14:paraId="4A46422C" w14:textId="77777777" w:rsidR="00AE4CA6" w:rsidRPr="00EB1CBE" w:rsidRDefault="00AE4CA6">
      <w:pPr>
        <w:rPr>
          <w:rFonts w:ascii="Tahoma" w:hAnsi="Tahoma" w:cs="Tahoma"/>
          <w:sz w:val="18"/>
          <w:szCs w:val="18"/>
        </w:rPr>
      </w:pPr>
    </w:p>
    <w:p w14:paraId="04657F9C" w14:textId="77777777" w:rsidR="00AE4CA6" w:rsidRPr="00EB1CBE" w:rsidRDefault="00AE4CA6">
      <w:pPr>
        <w:rPr>
          <w:rFonts w:ascii="Tahoma" w:hAnsi="Tahoma" w:cs="Tahoma"/>
          <w:sz w:val="18"/>
          <w:szCs w:val="18"/>
        </w:rPr>
      </w:pPr>
    </w:p>
    <w:p w14:paraId="44DD2D2F" w14:textId="77777777" w:rsidR="00AE4CA6" w:rsidRPr="00EB1CBE" w:rsidRDefault="00AE4CA6">
      <w:pPr>
        <w:rPr>
          <w:rFonts w:ascii="Tahoma" w:hAnsi="Tahoma" w:cs="Tahoma"/>
          <w:sz w:val="18"/>
          <w:szCs w:val="18"/>
        </w:rPr>
      </w:pPr>
    </w:p>
    <w:p w14:paraId="741B2FAD" w14:textId="77777777" w:rsidR="00AE4CA6" w:rsidRPr="00EB1CBE" w:rsidRDefault="00AE4CA6">
      <w:pPr>
        <w:rPr>
          <w:rFonts w:ascii="Tahoma" w:hAnsi="Tahoma" w:cs="Tahoma"/>
          <w:sz w:val="18"/>
          <w:szCs w:val="18"/>
        </w:rPr>
      </w:pPr>
    </w:p>
    <w:p w14:paraId="5200E440" w14:textId="77777777" w:rsidR="00AE4CA6" w:rsidRPr="00EB1CBE" w:rsidRDefault="00AE4CA6">
      <w:pPr>
        <w:rPr>
          <w:rFonts w:ascii="Tahoma" w:hAnsi="Tahoma" w:cs="Tahoma"/>
          <w:sz w:val="18"/>
          <w:szCs w:val="18"/>
        </w:rPr>
      </w:pPr>
    </w:p>
    <w:p w14:paraId="07415461" w14:textId="77777777" w:rsidR="00AE4CA6" w:rsidRPr="00EB1CBE" w:rsidRDefault="00AE4CA6">
      <w:pPr>
        <w:rPr>
          <w:rFonts w:ascii="Tahoma" w:hAnsi="Tahoma" w:cs="Tahoma"/>
          <w:sz w:val="18"/>
          <w:szCs w:val="18"/>
        </w:rPr>
      </w:pPr>
    </w:p>
    <w:p w14:paraId="704EBAA4" w14:textId="77777777" w:rsidR="00AE4CA6" w:rsidRPr="00EB1CBE" w:rsidRDefault="00AE4CA6">
      <w:pPr>
        <w:rPr>
          <w:rFonts w:ascii="Tahoma" w:hAnsi="Tahoma" w:cs="Tahoma"/>
          <w:sz w:val="18"/>
          <w:szCs w:val="18"/>
        </w:rPr>
      </w:pPr>
    </w:p>
    <w:p w14:paraId="175B28A1" w14:textId="77777777" w:rsidR="00AE4CA6" w:rsidRPr="00EB1CBE" w:rsidRDefault="00AE4CA6">
      <w:pPr>
        <w:rPr>
          <w:rFonts w:ascii="Tahoma" w:hAnsi="Tahoma" w:cs="Tahoma"/>
          <w:sz w:val="18"/>
          <w:szCs w:val="18"/>
        </w:rPr>
      </w:pPr>
    </w:p>
    <w:p w14:paraId="1F32767E" w14:textId="77777777" w:rsidR="00AE4CA6" w:rsidRPr="00EB1CBE" w:rsidRDefault="00AE4CA6">
      <w:pPr>
        <w:rPr>
          <w:rFonts w:ascii="Tahoma" w:hAnsi="Tahoma" w:cs="Tahoma"/>
          <w:sz w:val="18"/>
          <w:szCs w:val="18"/>
        </w:rPr>
      </w:pPr>
    </w:p>
    <w:p w14:paraId="6DF8769E" w14:textId="77777777" w:rsidR="00AE4CA6" w:rsidRPr="00EB1CBE" w:rsidRDefault="00AE4CA6">
      <w:pPr>
        <w:rPr>
          <w:rFonts w:ascii="Tahoma" w:hAnsi="Tahoma" w:cs="Tahoma"/>
          <w:sz w:val="18"/>
          <w:szCs w:val="18"/>
        </w:rPr>
      </w:pPr>
    </w:p>
    <w:p w14:paraId="6FEB8A19" w14:textId="77777777" w:rsidR="00AE4CA6" w:rsidRPr="00EB1CBE" w:rsidRDefault="00AE4CA6">
      <w:pPr>
        <w:rPr>
          <w:rFonts w:ascii="Tahoma" w:hAnsi="Tahoma" w:cs="Tahoma"/>
          <w:sz w:val="18"/>
          <w:szCs w:val="18"/>
        </w:rPr>
      </w:pPr>
    </w:p>
    <w:p w14:paraId="3A1DE747" w14:textId="77777777" w:rsidR="00AE4CA6" w:rsidRPr="00EB1CBE" w:rsidRDefault="00AE4CA6">
      <w:pPr>
        <w:rPr>
          <w:rFonts w:ascii="Tahoma" w:hAnsi="Tahoma" w:cs="Tahoma"/>
          <w:sz w:val="18"/>
          <w:szCs w:val="18"/>
        </w:rPr>
      </w:pPr>
    </w:p>
    <w:p w14:paraId="283E74EC" w14:textId="77777777" w:rsidR="00AE4CA6" w:rsidRPr="00EB1CBE" w:rsidRDefault="00AE4CA6">
      <w:pPr>
        <w:tabs>
          <w:tab w:val="left" w:pos="3301"/>
        </w:tabs>
        <w:rPr>
          <w:rFonts w:ascii="Tahoma" w:hAnsi="Tahoma" w:cs="Tahoma"/>
          <w:sz w:val="18"/>
          <w:szCs w:val="18"/>
        </w:rPr>
      </w:pPr>
    </w:p>
    <w:p w14:paraId="7F184B4F" w14:textId="77777777" w:rsidR="00AE4CA6" w:rsidRPr="00EB1CBE" w:rsidRDefault="00AE4CA6">
      <w:pPr>
        <w:rPr>
          <w:rFonts w:ascii="Tahoma" w:hAnsi="Tahoma" w:cs="Tahoma"/>
          <w:sz w:val="18"/>
          <w:szCs w:val="18"/>
        </w:rPr>
      </w:pPr>
    </w:p>
    <w:p w14:paraId="620E2423" w14:textId="77777777" w:rsidR="00AE4CA6" w:rsidRPr="00EB1CBE" w:rsidRDefault="00AE4CA6">
      <w:pPr>
        <w:rPr>
          <w:rFonts w:ascii="Tahoma" w:hAnsi="Tahoma" w:cs="Tahoma"/>
          <w:sz w:val="18"/>
          <w:szCs w:val="18"/>
        </w:rPr>
      </w:pPr>
    </w:p>
    <w:p w14:paraId="538D3818" w14:textId="77777777" w:rsidR="00AE4CA6" w:rsidRPr="00EB1CBE" w:rsidRDefault="00AE4CA6">
      <w:pPr>
        <w:rPr>
          <w:rFonts w:ascii="Tahoma" w:hAnsi="Tahoma" w:cs="Tahoma"/>
          <w:sz w:val="18"/>
          <w:szCs w:val="18"/>
        </w:rPr>
      </w:pPr>
    </w:p>
    <w:p w14:paraId="6BADC157" w14:textId="77777777" w:rsidR="00AE4CA6" w:rsidRPr="00EB1CBE" w:rsidRDefault="00AE4CA6">
      <w:pPr>
        <w:rPr>
          <w:rFonts w:ascii="Tahoma" w:hAnsi="Tahoma" w:cs="Tahoma"/>
          <w:sz w:val="18"/>
          <w:szCs w:val="18"/>
        </w:rPr>
      </w:pPr>
    </w:p>
    <w:p w14:paraId="03DF1188" w14:textId="77777777" w:rsidR="00AE4CA6" w:rsidRPr="00EB1CBE" w:rsidRDefault="00AE4CA6">
      <w:pPr>
        <w:tabs>
          <w:tab w:val="left" w:pos="3333"/>
        </w:tabs>
        <w:rPr>
          <w:rFonts w:ascii="Tahoma" w:hAnsi="Tahoma" w:cs="Tahoma"/>
          <w:sz w:val="18"/>
          <w:szCs w:val="18"/>
        </w:rPr>
      </w:pPr>
    </w:p>
    <w:sectPr w:rsidR="00AE4CA6" w:rsidRPr="00EB1CBE">
      <w:headerReference w:type="default" r:id="rId7"/>
      <w:footerReference w:type="default" r:id="rId8"/>
      <w:pgSz w:w="11906" w:h="16838"/>
      <w:pgMar w:top="1708" w:right="1417" w:bottom="2694" w:left="1417" w:header="712" w:footer="4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35B9C" w14:textId="77777777" w:rsidR="0009200D" w:rsidRDefault="0009200D">
      <w:pPr>
        <w:spacing w:after="0" w:line="240" w:lineRule="auto"/>
      </w:pPr>
      <w:r>
        <w:separator/>
      </w:r>
    </w:p>
  </w:endnote>
  <w:endnote w:type="continuationSeparator" w:id="0">
    <w:p w14:paraId="04798B98" w14:textId="77777777" w:rsidR="0009200D" w:rsidRDefault="0009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8DC7" w14:textId="77777777" w:rsidR="00FC4E2F" w:rsidRDefault="00854D4D">
    <w:pPr>
      <w:pStyle w:val="Stopka"/>
      <w:jc w:val="center"/>
    </w:pPr>
    <w:r>
      <w:rPr>
        <w:noProof/>
        <w:lang w:eastAsia="pl-PL"/>
      </w:rPr>
      <w:drawing>
        <wp:anchor distT="0" distB="0" distL="114300" distR="114300" simplePos="0" relativeHeight="251662336" behindDoc="0" locked="0" layoutInCell="1" allowOverlap="1" wp14:anchorId="03052B4F" wp14:editId="785B2A5F">
          <wp:simplePos x="0" y="0"/>
          <wp:positionH relativeFrom="margin">
            <wp:posOffset>643255</wp:posOffset>
          </wp:positionH>
          <wp:positionV relativeFrom="paragraph">
            <wp:posOffset>-953135</wp:posOffset>
          </wp:positionV>
          <wp:extent cx="4730748" cy="920745"/>
          <wp:effectExtent l="0" t="0" r="0" b="0"/>
          <wp:wrapNone/>
          <wp:docPr id="3" name="Obraz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30748" cy="920745"/>
                  </a:xfrm>
                  <a:prstGeom prst="rect">
                    <a:avLst/>
                  </a:prstGeom>
                  <a:noFill/>
                  <a:ln>
                    <a:noFill/>
                    <a:prstDash/>
                  </a:ln>
                </pic:spPr>
              </pic:pic>
            </a:graphicData>
          </a:graphic>
        </wp:anchor>
      </w:drawing>
    </w:r>
    <w:r>
      <w:fldChar w:fldCharType="begin"/>
    </w:r>
    <w:r>
      <w:instrText xml:space="preserve"> PAGE </w:instrText>
    </w:r>
    <w:r>
      <w:fldChar w:fldCharType="separate"/>
    </w:r>
    <w:r w:rsidR="0009200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EA0A5" w14:textId="77777777" w:rsidR="0009200D" w:rsidRDefault="0009200D">
      <w:pPr>
        <w:spacing w:after="0" w:line="240" w:lineRule="auto"/>
      </w:pPr>
      <w:r>
        <w:rPr>
          <w:color w:val="000000"/>
        </w:rPr>
        <w:separator/>
      </w:r>
    </w:p>
  </w:footnote>
  <w:footnote w:type="continuationSeparator" w:id="0">
    <w:p w14:paraId="4D1D51CA" w14:textId="77777777" w:rsidR="0009200D" w:rsidRDefault="00092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1251" w14:textId="77777777" w:rsidR="00FC4E2F" w:rsidRDefault="00854D4D">
    <w:pPr>
      <w:pStyle w:val="Nagwek"/>
    </w:pPr>
    <w:r>
      <w:rPr>
        <w:rFonts w:cs="Calibri"/>
        <w:b/>
        <w:bCs/>
        <w:noProof/>
        <w:color w:val="8B8178"/>
        <w:sz w:val="18"/>
        <w:szCs w:val="18"/>
        <w:lang w:eastAsia="pl-PL"/>
      </w:rPr>
      <w:drawing>
        <wp:anchor distT="0" distB="0" distL="114300" distR="114300" simplePos="0" relativeHeight="251659264" behindDoc="0" locked="0" layoutInCell="1" allowOverlap="1" wp14:anchorId="10122375" wp14:editId="22E6F78E">
          <wp:simplePos x="0" y="0"/>
          <wp:positionH relativeFrom="column">
            <wp:posOffset>3890010</wp:posOffset>
          </wp:positionH>
          <wp:positionV relativeFrom="paragraph">
            <wp:posOffset>-368230</wp:posOffset>
          </wp:positionV>
          <wp:extent cx="2346960" cy="1485900"/>
          <wp:effectExtent l="0" t="0" r="0" b="0"/>
          <wp:wrapThrough wrapText="bothSides">
            <wp:wrapPolygon edited="0">
              <wp:start x="11571" y="6092"/>
              <wp:lineTo x="4383" y="6646"/>
              <wp:lineTo x="2630" y="7477"/>
              <wp:lineTo x="2630" y="13569"/>
              <wp:lineTo x="4909" y="14123"/>
              <wp:lineTo x="13149" y="14677"/>
              <wp:lineTo x="13851" y="14677"/>
              <wp:lineTo x="17006" y="14123"/>
              <wp:lineTo x="17532" y="13015"/>
              <wp:lineTo x="16305" y="11077"/>
              <wp:lineTo x="17532" y="10523"/>
              <wp:lineTo x="17182" y="6646"/>
              <wp:lineTo x="12448" y="6092"/>
              <wp:lineTo x="11571" y="6092"/>
            </wp:wrapPolygon>
          </wp:wrapThrough>
          <wp:docPr id="2"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6960" cy="1485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11B3C7F9" wp14:editId="390B5694">
          <wp:simplePos x="0" y="0"/>
          <wp:positionH relativeFrom="margin">
            <wp:posOffset>-116840</wp:posOffset>
          </wp:positionH>
          <wp:positionV relativeFrom="margin">
            <wp:posOffset>-652145</wp:posOffset>
          </wp:positionV>
          <wp:extent cx="1334135" cy="617855"/>
          <wp:effectExtent l="0" t="0" r="0" b="0"/>
          <wp:wrapNone/>
          <wp:docPr id="1"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34135" cy="61785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EF7"/>
    <w:multiLevelType w:val="hybridMultilevel"/>
    <w:tmpl w:val="042EC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B4570F"/>
    <w:multiLevelType w:val="hybridMultilevel"/>
    <w:tmpl w:val="2884A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234745"/>
    <w:multiLevelType w:val="hybridMultilevel"/>
    <w:tmpl w:val="C324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3F0EF4"/>
    <w:multiLevelType w:val="hybridMultilevel"/>
    <w:tmpl w:val="5D4E1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B96BF4"/>
    <w:multiLevelType w:val="hybridMultilevel"/>
    <w:tmpl w:val="D772C9C8"/>
    <w:lvl w:ilvl="0" w:tplc="9ABEEA72">
      <w:start w:val="1"/>
      <w:numFmt w:val="upperRoman"/>
      <w:lvlText w:val="%1."/>
      <w:lvlJc w:val="left"/>
      <w:pPr>
        <w:ind w:left="1080" w:hanging="720"/>
      </w:pPr>
      <w:rPr>
        <w:rFonts w:eastAsia="Calibri"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4444FC"/>
    <w:multiLevelType w:val="hybridMultilevel"/>
    <w:tmpl w:val="510EE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A6"/>
    <w:rsid w:val="0009200D"/>
    <w:rsid w:val="003F27A3"/>
    <w:rsid w:val="00540AAE"/>
    <w:rsid w:val="0063221B"/>
    <w:rsid w:val="00854D4D"/>
    <w:rsid w:val="0094790B"/>
    <w:rsid w:val="00A15080"/>
    <w:rsid w:val="00A16887"/>
    <w:rsid w:val="00A3409D"/>
    <w:rsid w:val="00AE4CA6"/>
    <w:rsid w:val="00AE66C4"/>
    <w:rsid w:val="00BC3AA6"/>
    <w:rsid w:val="00DF54F5"/>
    <w:rsid w:val="00E76792"/>
    <w:rsid w:val="00EB1CBE"/>
    <w:rsid w:val="00ED7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CF89"/>
  <w15:docId w15:val="{60D17508-967C-48AD-93EE-0B412C9E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basedOn w:val="Normalny"/>
    <w:link w:val="AkapitzlistZnak"/>
    <w:uiPriority w:val="99"/>
    <w:qFormat/>
    <w:rsid w:val="00EB1CBE"/>
    <w:pPr>
      <w:suppressAutoHyphens w:val="0"/>
      <w:autoSpaceDN/>
      <w:spacing w:after="0" w:line="240" w:lineRule="auto"/>
      <w:ind w:left="720"/>
      <w:contextualSpacing/>
      <w:textAlignment w:val="auto"/>
    </w:pPr>
    <w:rPr>
      <w:rFonts w:ascii="Liberation Serif" w:eastAsia="SimSun" w:hAnsi="Liberation Serif" w:cs="Mangal"/>
      <w:sz w:val="24"/>
      <w:szCs w:val="21"/>
      <w:lang w:eastAsia="zh-CN" w:bidi="hi-IN"/>
    </w:rPr>
  </w:style>
  <w:style w:type="paragraph" w:customStyle="1" w:styleId="Default">
    <w:name w:val="Default"/>
    <w:qFormat/>
    <w:rsid w:val="00EB1CBE"/>
    <w:pPr>
      <w:widowControl w:val="0"/>
      <w:autoSpaceDN/>
      <w:spacing w:after="0" w:line="240" w:lineRule="auto"/>
      <w:textAlignment w:val="auto"/>
    </w:pPr>
    <w:rPr>
      <w:rFonts w:ascii="Liberation Serif" w:eastAsia="SimSun" w:hAnsi="Liberation Serif" w:cs="Arial"/>
      <w:color w:val="000000"/>
      <w:sz w:val="24"/>
      <w:szCs w:val="24"/>
      <w:lang w:eastAsia="zh-CN" w:bidi="hi-IN"/>
    </w:rPr>
  </w:style>
  <w:style w:type="character" w:customStyle="1" w:styleId="AkapitzlistZnak">
    <w:name w:val="Akapit z listą Znak"/>
    <w:link w:val="Akapitzlist"/>
    <w:uiPriority w:val="99"/>
    <w:rsid w:val="00EB1CBE"/>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2485</Words>
  <Characters>14910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Cikoto-Wawrzyniak Iwona</dc:creator>
  <cp:lastModifiedBy>Robert Kazmierczak</cp:lastModifiedBy>
  <cp:revision>3</cp:revision>
  <dcterms:created xsi:type="dcterms:W3CDTF">2020-10-20T13:36:00Z</dcterms:created>
  <dcterms:modified xsi:type="dcterms:W3CDTF">2020-10-20T13:37:00Z</dcterms:modified>
</cp:coreProperties>
</file>