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4D518B">
        <w:rPr>
          <w:rFonts w:cs="Arial"/>
          <w:iCs/>
          <w:sz w:val="20"/>
          <w:szCs w:val="20"/>
          <w:lang w:eastAsia="en-US"/>
        </w:rPr>
        <w:t>7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bookmarkStart w:id="0" w:name="_GoBack"/>
      <w:bookmarkEnd w:id="0"/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963760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4D518B">
        <w:rPr>
          <w:rFonts w:eastAsia="Calibri" w:cs="Arial"/>
          <w:b/>
          <w:sz w:val="28"/>
          <w:szCs w:val="28"/>
          <w:lang w:eastAsia="en-US"/>
        </w:rPr>
        <w:t>Pełnienie nadzoru inwestorskiego nad realizacją robót budowlanych w ramach zadania pn.: Rewitalizacja części miasta Czersk - Remont budynku mieszkalnego przy ul. Transportowców w Czersku</w:t>
      </w:r>
    </w:p>
    <w:p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4D518B">
        <w:rPr>
          <w:rFonts w:cs="Arial"/>
          <w:sz w:val="28"/>
          <w:szCs w:val="28"/>
          <w:vertAlign w:val="superscript"/>
          <w:lang w:eastAsia="en-US"/>
        </w:rPr>
        <w:t>11</w:t>
      </w:r>
      <w:r w:rsidR="00626544">
        <w:rPr>
          <w:rFonts w:cs="Arial"/>
          <w:sz w:val="28"/>
          <w:szCs w:val="28"/>
          <w:vertAlign w:val="superscript"/>
          <w:lang w:eastAsia="en-US"/>
        </w:rPr>
        <w:t xml:space="preserve"> marca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:rsidR="00A7104F" w:rsidRPr="00D55272" w:rsidRDefault="00915605" w:rsidP="00D5527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4D518B" w:rsidRPr="00CB5CA4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4D518B" w:rsidRPr="001A4352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="007268A4" w:rsidRPr="00626544">
        <w:rPr>
          <w:rFonts w:cs="Arial"/>
          <w:sz w:val="20"/>
          <w:szCs w:val="20"/>
        </w:rPr>
        <w:t>.</w:t>
      </w:r>
      <w:r w:rsidR="00D55272" w:rsidRPr="00D55272">
        <w:rPr>
          <w:rFonts w:cs="Arial"/>
          <w:bCs/>
          <w:sz w:val="20"/>
        </w:rPr>
        <w:t xml:space="preserve"> </w:t>
      </w:r>
      <w:r w:rsidR="00D55272" w:rsidRPr="00F55DEF">
        <w:rPr>
          <w:rFonts w:cs="Arial"/>
          <w:bCs/>
          <w:sz w:val="20"/>
        </w:rPr>
        <w:t xml:space="preserve">Zamówienie jest dofinansowane </w:t>
      </w:r>
      <w:r w:rsidR="00D55272" w:rsidRPr="00230482">
        <w:rPr>
          <w:rFonts w:cs="Arial"/>
          <w:bCs/>
          <w:sz w:val="20"/>
        </w:rPr>
        <w:t xml:space="preserve">w ramach Regionalnego Programu Operacyjnego Województwa Pomorskiego na lata 2014-2020, </w:t>
      </w:r>
      <w:r w:rsidR="00D55272" w:rsidRPr="009500B7">
        <w:rPr>
          <w:rFonts w:cs="Arial"/>
          <w:bCs/>
          <w:sz w:val="20"/>
        </w:rPr>
        <w:t>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  <w:r w:rsidR="00D55272">
        <w:rPr>
          <w:rFonts w:cs="Arial"/>
          <w:bCs/>
          <w:sz w:val="20"/>
        </w:rPr>
        <w:t>.</w:t>
      </w:r>
    </w:p>
    <w:p w:rsidR="00F60366" w:rsidRPr="00BC5229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BC5229">
        <w:rPr>
          <w:rFonts w:cs="Arial"/>
          <w:bCs/>
          <w:sz w:val="20"/>
          <w:szCs w:val="20"/>
        </w:rPr>
        <w:t xml:space="preserve">Przedmiot zamówienia szczegółowo został określony w opisie przedmiotu zamówienia, </w:t>
      </w:r>
      <w:r>
        <w:rPr>
          <w:rFonts w:cs="Arial"/>
          <w:bCs/>
          <w:sz w:val="20"/>
          <w:szCs w:val="20"/>
        </w:rPr>
        <w:t>projektowanych postanowieniach u</w:t>
      </w:r>
      <w:r w:rsidRPr="00BC5229">
        <w:rPr>
          <w:rFonts w:cs="Arial"/>
          <w:bCs/>
          <w:sz w:val="20"/>
          <w:szCs w:val="20"/>
        </w:rPr>
        <w:t xml:space="preserve">mowy oraz dokumentacji </w:t>
      </w:r>
      <w:r>
        <w:rPr>
          <w:rFonts w:cs="Arial"/>
          <w:bCs/>
          <w:sz w:val="20"/>
          <w:szCs w:val="20"/>
        </w:rPr>
        <w:t xml:space="preserve">zadania objętego niniejszym nadzorem </w:t>
      </w:r>
      <w:r w:rsidRPr="00BC5229">
        <w:rPr>
          <w:rFonts w:cs="Arial"/>
          <w:bCs/>
          <w:sz w:val="20"/>
          <w:szCs w:val="20"/>
        </w:rPr>
        <w:t xml:space="preserve">(tj. </w:t>
      </w:r>
      <w:r>
        <w:rPr>
          <w:rFonts w:cs="Arial"/>
          <w:bCs/>
          <w:sz w:val="20"/>
          <w:szCs w:val="20"/>
        </w:rPr>
        <w:t>opisie zakresu robót</w:t>
      </w:r>
      <w:r w:rsidRPr="00BC5229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SST</w:t>
      </w:r>
      <w:r w:rsidRPr="00BC5229">
        <w:rPr>
          <w:rFonts w:cs="Arial"/>
          <w:bCs/>
          <w:sz w:val="20"/>
          <w:szCs w:val="20"/>
        </w:rPr>
        <w:t xml:space="preserve"> oraz w dokumentach pomocniczych- przedmiar</w:t>
      </w:r>
      <w:r>
        <w:rPr>
          <w:rFonts w:cs="Arial"/>
          <w:bCs/>
          <w:sz w:val="20"/>
          <w:szCs w:val="20"/>
        </w:rPr>
        <w:t>ze</w:t>
      </w:r>
      <w:r w:rsidRPr="00BC5229">
        <w:rPr>
          <w:rFonts w:cs="Arial"/>
          <w:bCs/>
          <w:sz w:val="20"/>
          <w:szCs w:val="20"/>
        </w:rPr>
        <w:t xml:space="preserve"> robót</w:t>
      </w:r>
      <w:r>
        <w:rPr>
          <w:rFonts w:cs="Arial"/>
          <w:bCs/>
          <w:sz w:val="20"/>
          <w:szCs w:val="20"/>
        </w:rPr>
        <w:t>), stanowiących załączniki do S</w:t>
      </w:r>
      <w:r w:rsidRPr="00BC5229">
        <w:rPr>
          <w:rFonts w:cs="Arial"/>
          <w:bCs/>
          <w:sz w:val="20"/>
          <w:szCs w:val="20"/>
        </w:rPr>
        <w:t>WZ.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626544">
        <w:rPr>
          <w:b/>
          <w:bCs/>
          <w:sz w:val="20"/>
          <w:szCs w:val="20"/>
        </w:rPr>
        <w:t>1</w:t>
      </w:r>
      <w:r w:rsidR="00F60366">
        <w:rPr>
          <w:b/>
          <w:bCs/>
          <w:sz w:val="20"/>
          <w:szCs w:val="20"/>
        </w:rPr>
        <w:t>5.09</w:t>
      </w:r>
      <w:r w:rsidR="00626544">
        <w:rPr>
          <w:b/>
          <w:bCs/>
          <w:sz w:val="20"/>
          <w:szCs w:val="20"/>
        </w:rPr>
        <w:t>.2021 r.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lastRenderedPageBreak/>
        <w:t xml:space="preserve">handlu ludźmi, o którym mowa w </w:t>
      </w:r>
      <w:hyperlink r:id="rId33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p w:rsidR="008C7252" w:rsidRPr="008C7252" w:rsidRDefault="00F60366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5229">
        <w:rPr>
          <w:rFonts w:cs="Arial"/>
          <w:b/>
          <w:sz w:val="20"/>
          <w:szCs w:val="20"/>
        </w:rPr>
        <w:t xml:space="preserve">osobą, która będzie pełnić funkcję inspektora nadzoru robót branży </w:t>
      </w:r>
      <w:r w:rsidR="00626544" w:rsidRPr="00626544">
        <w:rPr>
          <w:rFonts w:cs="Arial"/>
          <w:b/>
          <w:sz w:val="20"/>
          <w:szCs w:val="20"/>
          <w:lang w:eastAsia="en-US"/>
        </w:rPr>
        <w:t>budowlanej, posiadającą uprawnienia budowlane do kierowania robotami budowlanymi w specjalności konstrukcyjno-budowlanej bez ograniczeń,</w:t>
      </w:r>
      <w:r w:rsidR="008C7252" w:rsidRPr="00626544">
        <w:rPr>
          <w:rFonts w:cs="Arial"/>
          <w:sz w:val="20"/>
          <w:szCs w:val="20"/>
          <w:lang w:eastAsia="en-US"/>
        </w:rPr>
        <w:t xml:space="preserve"> </w:t>
      </w:r>
      <w:r w:rsidR="008C7252"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:rsidR="00954BED" w:rsidRPr="00D77755" w:rsidRDefault="00954BED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77755">
        <w:rPr>
          <w:rFonts w:cs="Arial"/>
          <w:sz w:val="20"/>
          <w:szCs w:val="20"/>
          <w:lang w:eastAsia="en-US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</w:t>
      </w:r>
      <w:r w:rsidRPr="00954BED">
        <w:rPr>
          <w:rFonts w:cs="Arial"/>
          <w:color w:val="000000"/>
          <w:sz w:val="20"/>
          <w:szCs w:val="20"/>
          <w:lang w:eastAsia="en-US"/>
        </w:rPr>
        <w:lastRenderedPageBreak/>
        <w:t>technicznych lub zawodowych wykonawcy w inne przedsięwzięcia gospodarcze wykonawcy może mieć negatywny wpływ na realizację zamówienia.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="00626544" w:rsidRPr="00626544">
        <w:rPr>
          <w:rFonts w:cs="Arial"/>
          <w:b/>
          <w:sz w:val="20"/>
          <w:szCs w:val="20"/>
          <w:lang w:eastAsia="en-US"/>
        </w:rPr>
        <w:t>nr 10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:rsidR="00A70B20" w:rsidRPr="00731E3E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u w:val="single"/>
          <w:lang w:eastAsia="en-US"/>
        </w:rPr>
        <w:t>wzywa wykonawcę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lastRenderedPageBreak/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11.1.3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2D154D">
        <w:rPr>
          <w:rFonts w:cs="Arial"/>
          <w:sz w:val="20"/>
          <w:szCs w:val="20"/>
          <w:lang w:eastAsia="en-US"/>
        </w:rPr>
        <w:t xml:space="preserve">w </w:t>
      </w:r>
      <w:r w:rsidR="002D154D" w:rsidRPr="002D154D">
        <w:rPr>
          <w:rFonts w:cs="Arial"/>
          <w:sz w:val="20"/>
          <w:szCs w:val="20"/>
          <w:lang w:eastAsia="en-US"/>
        </w:rPr>
        <w:t xml:space="preserve">§ </w:t>
      </w:r>
      <w:r w:rsidR="00B96FCE" w:rsidRPr="002D154D">
        <w:rPr>
          <w:rFonts w:cs="Arial"/>
          <w:sz w:val="20"/>
          <w:szCs w:val="20"/>
          <w:lang w:eastAsia="en-US"/>
        </w:rPr>
        <w:t>7</w:t>
      </w:r>
      <w:r w:rsidRPr="002D154D">
        <w:rPr>
          <w:rFonts w:cs="Arial"/>
          <w:sz w:val="20"/>
          <w:szCs w:val="20"/>
          <w:lang w:eastAsia="en-US"/>
        </w:rPr>
        <w:t xml:space="preserve"> </w:t>
      </w:r>
      <w:r w:rsidR="00AC6555" w:rsidRPr="002D154D">
        <w:rPr>
          <w:rFonts w:cs="Arial"/>
          <w:sz w:val="20"/>
          <w:szCs w:val="20"/>
          <w:lang w:eastAsia="en-US"/>
        </w:rPr>
        <w:t>PP</w:t>
      </w:r>
      <w:r w:rsidRPr="002D154D">
        <w:rPr>
          <w:rFonts w:cs="Arial"/>
          <w:sz w:val="20"/>
          <w:szCs w:val="20"/>
          <w:lang w:eastAsia="en-US"/>
        </w:rPr>
        <w:t>U.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30</w:t>
      </w:r>
      <w:r w:rsidR="006352D2">
        <w:rPr>
          <w:rFonts w:cs="Arial"/>
          <w:b/>
          <w:sz w:val="20"/>
          <w:szCs w:val="20"/>
          <w:highlight w:val="yellow"/>
          <w:lang w:eastAsia="en-US"/>
        </w:rPr>
        <w:t>.04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B96FCE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04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2D154D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04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lastRenderedPageBreak/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</w:t>
      </w:r>
      <w:r w:rsidRPr="00AA165A">
        <w:rPr>
          <w:rFonts w:cs="Arial"/>
          <w:sz w:val="20"/>
          <w:szCs w:val="20"/>
          <w:lang w:eastAsia="en-US"/>
        </w:rPr>
        <w:lastRenderedPageBreak/>
        <w:t xml:space="preserve">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:rsidR="001646A1" w:rsidRPr="00E059E9" w:rsidRDefault="00635825" w:rsidP="001646A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="001646A1" w:rsidRPr="00E059E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626544">
        <w:rPr>
          <w:rFonts w:cs="Arial"/>
          <w:b/>
          <w:sz w:val="20"/>
          <w:szCs w:val="20"/>
          <w:lang w:eastAsia="en-US"/>
        </w:rPr>
        <w:t>zgodnie z załącznikiem nr 10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:rsidR="00F60366" w:rsidRPr="007E1BE3" w:rsidRDefault="00F60366" w:rsidP="00F60366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budowlanej </w:t>
      </w:r>
      <w:r w:rsidRPr="007E1BE3">
        <w:rPr>
          <w:rFonts w:cs="Arial"/>
          <w:sz w:val="20"/>
          <w:szCs w:val="20"/>
        </w:rPr>
        <w:t xml:space="preserve">nad </w:t>
      </w:r>
      <w:r>
        <w:rPr>
          <w:rFonts w:cs="Arial"/>
          <w:sz w:val="20"/>
          <w:szCs w:val="20"/>
        </w:rPr>
        <w:t>budową, przebudową , rozbudową lub remontem budynku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:rsidR="00F60366" w:rsidRPr="00F60366" w:rsidRDefault="000067FA" w:rsidP="00F6036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F60366">
        <w:rPr>
          <w:rFonts w:cs="Arial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0067FA" w:rsidRPr="00915605" w:rsidTr="00F60366">
        <w:trPr>
          <w:jc w:val="center"/>
        </w:trPr>
        <w:tc>
          <w:tcPr>
            <w:tcW w:w="877" w:type="pct"/>
            <w:shd w:val="clear" w:color="auto" w:fill="D9D9D9"/>
            <w:vAlign w:val="center"/>
          </w:tcPr>
          <w:p w:rsidR="000067FA" w:rsidRPr="00F60366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F60366" w:rsidRPr="00915605" w:rsidTr="00F60366">
        <w:trPr>
          <w:trHeight w:val="1027"/>
          <w:jc w:val="center"/>
        </w:trPr>
        <w:tc>
          <w:tcPr>
            <w:tcW w:w="877" w:type="pct"/>
            <w:vAlign w:val="center"/>
          </w:tcPr>
          <w:p w:rsidR="00F60366" w:rsidRPr="00F60366" w:rsidRDefault="00F60366" w:rsidP="00F60366">
            <w:pPr>
              <w:keepNext/>
              <w:spacing w:after="120" w:line="276" w:lineRule="auto"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482" w:type="pct"/>
            <w:vAlign w:val="center"/>
          </w:tcPr>
          <w:p w:rsidR="00F60366" w:rsidRPr="007E1BE3" w:rsidRDefault="00F60366" w:rsidP="00F60366">
            <w:pPr>
              <w:tabs>
                <w:tab w:val="num" w:pos="0"/>
              </w:tabs>
              <w:spacing w:after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:rsidR="00F60366" w:rsidRPr="007E1BE3" w:rsidRDefault="00F60366" w:rsidP="00F60366">
            <w:pPr>
              <w:tabs>
                <w:tab w:val="num" w:pos="0"/>
              </w:tabs>
              <w:spacing w:after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:rsidR="00F60366" w:rsidRPr="007E1BE3" w:rsidRDefault="00F60366" w:rsidP="00F60366">
            <w:pPr>
              <w:tabs>
                <w:tab w:val="num" w:pos="0"/>
              </w:tabs>
              <w:spacing w:after="120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:rsidR="00F60366" w:rsidRPr="007E1BE3" w:rsidRDefault="00F60366" w:rsidP="00F60366">
            <w:pPr>
              <w:tabs>
                <w:tab w:val="num" w:pos="0"/>
              </w:tabs>
              <w:spacing w:after="120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:rsidR="00F60366" w:rsidRPr="007E1BE3" w:rsidRDefault="00F60366" w:rsidP="00F60366">
            <w:pPr>
              <w:spacing w:after="120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F60366" w:rsidRPr="00915605" w:rsidTr="00F60366">
        <w:trPr>
          <w:cantSplit/>
          <w:trHeight w:val="3823"/>
          <w:jc w:val="center"/>
        </w:trPr>
        <w:tc>
          <w:tcPr>
            <w:tcW w:w="877" w:type="pct"/>
            <w:vAlign w:val="center"/>
          </w:tcPr>
          <w:p w:rsidR="00F60366" w:rsidRPr="00F60366" w:rsidRDefault="00F60366" w:rsidP="00F60366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 budowlanej</w:t>
            </w:r>
          </w:p>
        </w:tc>
        <w:tc>
          <w:tcPr>
            <w:tcW w:w="482" w:type="pct"/>
            <w:vAlign w:val="center"/>
          </w:tcPr>
          <w:p w:rsidR="00F60366" w:rsidRPr="007E1BE3" w:rsidRDefault="00F60366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:rsidR="00F60366" w:rsidRPr="007E1BE3" w:rsidRDefault="00F60366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:rsidR="00F60366" w:rsidRDefault="00F60366" w:rsidP="00F60366">
            <w:pPr>
              <w:tabs>
                <w:tab w:val="num" w:pos="0"/>
              </w:tabs>
              <w:spacing w:after="120"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:rsidR="00F60366" w:rsidRPr="007E1BE3" w:rsidRDefault="00F60366" w:rsidP="00F60366">
            <w:pPr>
              <w:tabs>
                <w:tab w:val="num" w:pos="0"/>
              </w:tabs>
              <w:spacing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:rsidR="00F60366" w:rsidRPr="007E1BE3" w:rsidRDefault="00F60366" w:rsidP="00F6036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:rsidR="00F60366" w:rsidRPr="007E1BE3" w:rsidRDefault="00F60366" w:rsidP="00F6036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adaniach dot. budowy, rozbudowy,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lub remontu 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:rsidR="00F60366" w:rsidRPr="007E1BE3" w:rsidRDefault="00F60366" w:rsidP="00F6036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budowy, rozbudowy,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lub remontu 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:rsidR="00F60366" w:rsidRPr="007E1BE3" w:rsidRDefault="00F60366" w:rsidP="00F6036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:rsidR="00F60366" w:rsidRPr="007E1BE3" w:rsidRDefault="00F60366" w:rsidP="00F6036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:rsidR="00F60366" w:rsidRDefault="00F60366" w:rsidP="00F6036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:rsidR="00F60366" w:rsidRPr="007E1BE3" w:rsidRDefault="00F60366" w:rsidP="00F6036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:rsidR="00C904CE" w:rsidRPr="00915605" w:rsidRDefault="00C904CE" w:rsidP="00F60366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F60366"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F60366" w:rsidRPr="002D154D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F60366" w:rsidRPr="002D154D">
        <w:rPr>
          <w:rFonts w:cs="Arial"/>
          <w:sz w:val="20"/>
          <w:szCs w:val="20"/>
          <w:vertAlign w:val="subscript"/>
          <w:lang w:eastAsia="en-US"/>
        </w:rPr>
        <w:t>D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F60366" w:rsidRPr="002D154D">
        <w:rPr>
          <w:rFonts w:cs="Arial"/>
          <w:sz w:val="20"/>
          <w:szCs w:val="20"/>
        </w:rPr>
        <w:t>Doświadczenie Inspektora nadzoru branży budowlanej nad budową, przebudową , rozbudową lub remontem budynku</w:t>
      </w:r>
      <w:r w:rsidR="00F60366" w:rsidRPr="002D154D">
        <w:rPr>
          <w:rFonts w:cs="Arial"/>
          <w:sz w:val="20"/>
          <w:szCs w:val="20"/>
          <w:lang w:eastAsia="en-US"/>
        </w:rPr>
        <w:t>” (max. 40 pkt).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</w:t>
      </w:r>
      <w:r>
        <w:rPr>
          <w:rFonts w:cs="Arial"/>
          <w:sz w:val="20"/>
          <w:szCs w:val="20"/>
          <w:lang w:eastAsia="en-US"/>
        </w:rPr>
        <w:lastRenderedPageBreak/>
        <w:t xml:space="preserve">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F60366" w:rsidRPr="00765AA7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 xml:space="preserve">związanych z zapobieganiem, przeciwdziałaniem i zwalczaniem COVID-19, innych chorób zakaźnych oraz </w:t>
      </w:r>
      <w:r w:rsidRPr="00DE66C2">
        <w:rPr>
          <w:rFonts w:cs="Arial"/>
          <w:bCs/>
          <w:sz w:val="20"/>
          <w:szCs w:val="20"/>
          <w:lang w:eastAsia="en-US"/>
        </w:rPr>
        <w:lastRenderedPageBreak/>
        <w:t>wywołanych nimi sytuacji kryzysowych, przewiduje się dokonanie zmian w umowie po spełnieniu przesłanek, o których mowa w art. 15r ustawy.</w:t>
      </w:r>
    </w:p>
    <w:p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626544" w:rsidRDefault="00626544" w:rsidP="00F60366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26544" w:rsidRDefault="00626544" w:rsidP="00F60366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:rsidR="00626544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26141A">
        <w:rPr>
          <w:rFonts w:cs="Arial"/>
          <w:sz w:val="20"/>
          <w:szCs w:val="20"/>
        </w:rPr>
        <w:lastRenderedPageBreak/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>wykonujący prawem określone obowiązki z wykorzystaniem aparatu pomocniczego – Urzędu Miejskiego w Czersku</w:t>
      </w:r>
      <w:r>
        <w:rPr>
          <w:rFonts w:cs="Arial"/>
          <w:bCs/>
          <w:sz w:val="20"/>
          <w:szCs w:val="20"/>
        </w:rPr>
        <w:t>. Kontakt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>
        <w:rPr>
          <w:rFonts w:cs="Arial"/>
          <w:bCs/>
          <w:color w:val="000000" w:themeColor="text1"/>
          <w:sz w:val="20"/>
          <w:szCs w:val="20"/>
        </w:rPr>
        <w:br/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e-mail: </w:t>
      </w:r>
      <w:hyperlink r:id="rId59" w:history="1">
        <w:r w:rsidRPr="0084035B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84035B">
        <w:rPr>
          <w:rFonts w:cs="Arial"/>
          <w:bCs/>
          <w:color w:val="000000" w:themeColor="text1"/>
          <w:sz w:val="20"/>
          <w:szCs w:val="20"/>
        </w:rPr>
        <w:t xml:space="preserve">, tel. </w:t>
      </w:r>
      <w:r>
        <w:rPr>
          <w:rFonts w:cs="Arial"/>
          <w:bCs/>
          <w:sz w:val="20"/>
          <w:szCs w:val="20"/>
        </w:rPr>
        <w:t xml:space="preserve">52 395 48 60, fax: 52 395 48 11.  </w:t>
      </w:r>
    </w:p>
    <w:p w:rsidR="00626544" w:rsidRDefault="00626544" w:rsidP="00F60366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:rsidR="00626544" w:rsidRPr="004F2E54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="00F60366" w:rsidRPr="00CB5CA4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F60366" w:rsidRPr="001A4352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Pr="00A25C69">
        <w:rPr>
          <w:rFonts w:cs="Arial"/>
          <w:sz w:val="20"/>
          <w:szCs w:val="20"/>
        </w:rPr>
        <w:t xml:space="preserve"> 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:rsidR="00626544" w:rsidRPr="00A25C69" w:rsidRDefault="00626544" w:rsidP="00F60366">
      <w:p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</w:p>
    <w:p w:rsidR="00626544" w:rsidRPr="00F13B85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:rsidR="00626544" w:rsidRDefault="00626544" w:rsidP="00F6036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626544" w:rsidRPr="00C41149" w:rsidRDefault="00626544" w:rsidP="00F60366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626544" w:rsidRPr="0026141A" w:rsidRDefault="00626544" w:rsidP="00F6036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626544" w:rsidRDefault="00626544" w:rsidP="00F6036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626544" w:rsidRPr="00093666" w:rsidRDefault="00626544" w:rsidP="00F60366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26544" w:rsidRPr="00093666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 xml:space="preserve">przez okres 4 lat od dnia zakończenia postępowania o udzielenie zamówienia </w:t>
      </w:r>
      <w:r>
        <w:rPr>
          <w:rFonts w:cs="Arial"/>
          <w:sz w:val="20"/>
          <w:szCs w:val="20"/>
        </w:rPr>
        <w:t>(</w:t>
      </w:r>
      <w:r w:rsidRPr="002A0748">
        <w:rPr>
          <w:rFonts w:cs="Arial"/>
          <w:sz w:val="20"/>
          <w:szCs w:val="20"/>
        </w:rPr>
        <w:t>a jeżeli czas trwania umowy przekracza 4 lata, okres przechowywania obejmuje cały czas trwania umowy</w:t>
      </w:r>
      <w:r>
        <w:rPr>
          <w:rFonts w:cs="Arial"/>
          <w:sz w:val="20"/>
          <w:szCs w:val="20"/>
        </w:rPr>
        <w:t xml:space="preserve">),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:rsidR="00626544" w:rsidRPr="002A0748" w:rsidRDefault="00626544" w:rsidP="00F60366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:rsidR="00626544" w:rsidRPr="00093666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:rsidR="00626544" w:rsidRDefault="00626544" w:rsidP="00F60366">
      <w:p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:rsidR="00626544" w:rsidRPr="00DB6FEB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:rsidR="00626544" w:rsidRPr="00DB6FEB" w:rsidRDefault="00626544" w:rsidP="00F60366">
      <w:pPr>
        <w:spacing w:line="276" w:lineRule="auto"/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:rsidR="00626544" w:rsidRPr="00DB6FEB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:rsidR="00626544" w:rsidRPr="009A3DB3" w:rsidRDefault="00626544" w:rsidP="00F60366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626544" w:rsidRPr="009A3DB3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:rsidR="00626544" w:rsidRPr="009A3DB3" w:rsidRDefault="00626544" w:rsidP="00F60366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626544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:rsidR="00626544" w:rsidRDefault="00626544" w:rsidP="00F60366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:rsidR="00626544" w:rsidRDefault="00626544" w:rsidP="00F60366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:rsidR="00626544" w:rsidRDefault="00626544" w:rsidP="00F60366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 xml:space="preserve">zgłoszenie </w:t>
      </w:r>
      <w:r w:rsidRPr="004A5AC8">
        <w:rPr>
          <w:rFonts w:cs="Arial"/>
          <w:sz w:val="20"/>
          <w:szCs w:val="20"/>
        </w:rPr>
        <w:lastRenderedPageBreak/>
        <w:t>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:rsidR="00626544" w:rsidRPr="00093666" w:rsidRDefault="00626544" w:rsidP="00F60366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:rsidR="00626544" w:rsidRDefault="00626544" w:rsidP="00F60366">
      <w:pPr>
        <w:spacing w:line="276" w:lineRule="auto"/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:rsidR="00626544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:rsidR="00626544" w:rsidRDefault="00626544" w:rsidP="00F60366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:rsidR="00626544" w:rsidRDefault="00626544" w:rsidP="00F60366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:rsidR="00626544" w:rsidRDefault="00626544" w:rsidP="00F60366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:rsidR="00626544" w:rsidRPr="00F13B85" w:rsidRDefault="00626544" w:rsidP="00F60366">
      <w:pPr>
        <w:spacing w:line="276" w:lineRule="auto"/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:rsidR="00626544" w:rsidRPr="007B14C9" w:rsidRDefault="00626544" w:rsidP="00F60366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:rsidR="00626544" w:rsidRDefault="00626544" w:rsidP="00F60366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626544" w:rsidRPr="00F13B85" w:rsidRDefault="00626544" w:rsidP="00F60366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:rsidR="00626544" w:rsidRDefault="00626544" w:rsidP="00F60366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626544" w:rsidRDefault="00626544" w:rsidP="00F60366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:rsidR="00D9033F" w:rsidRPr="00022B84" w:rsidRDefault="00626544" w:rsidP="00F60366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</w:t>
      </w:r>
    </w:p>
    <w:p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:rsidR="00626544" w:rsidRPr="00022B84" w:rsidRDefault="00B16700" w:rsidP="00022B8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9E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626544">
        <w:rPr>
          <w:rFonts w:ascii="Arial" w:eastAsia="Times New Roman" w:hAnsi="Arial" w:cs="Arial"/>
          <w:bCs/>
          <w:sz w:val="20"/>
          <w:szCs w:val="20"/>
        </w:rPr>
        <w:t>10</w:t>
      </w:r>
      <w:r w:rsidRPr="00E059E9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E059E9">
        <w:rPr>
          <w:rFonts w:cs="Arial"/>
          <w:bCs/>
          <w:sz w:val="20"/>
          <w:szCs w:val="20"/>
        </w:rPr>
        <w:t xml:space="preserve">   </w:t>
      </w:r>
      <w:r w:rsidRPr="00E059E9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E059E9">
        <w:rPr>
          <w:rFonts w:ascii="Arial" w:hAnsi="Arial" w:cs="Arial"/>
          <w:sz w:val="20"/>
          <w:szCs w:val="20"/>
        </w:rPr>
        <w:t>Pzp</w:t>
      </w:r>
      <w:proofErr w:type="spellEnd"/>
      <w:r w:rsidRPr="00E059E9">
        <w:rPr>
          <w:rFonts w:ascii="Arial" w:hAnsi="Arial" w:cs="Arial"/>
          <w:sz w:val="20"/>
          <w:szCs w:val="20"/>
        </w:rPr>
        <w:t xml:space="preserve"> </w:t>
      </w:r>
      <w:r w:rsidRPr="00E059E9">
        <w:rPr>
          <w:rFonts w:ascii="Arial" w:hAnsi="Arial" w:cs="Arial"/>
          <w:b/>
          <w:sz w:val="20"/>
          <w:szCs w:val="20"/>
        </w:rPr>
        <w:t>(</w:t>
      </w:r>
      <w:r w:rsidR="007B14C9" w:rsidRPr="007B14C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jeżeli dot.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>złożyć wraz</w:t>
      </w:r>
      <w:r w:rsidR="007B14C9"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z ofertą)</w:t>
      </w:r>
    </w:p>
    <w:p w:rsidR="00915605" w:rsidRPr="00915605" w:rsidRDefault="00F60366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:rsidR="00CA20F9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opis zakresu prac</w:t>
      </w:r>
      <w:r w:rsidR="00E059E9">
        <w:rPr>
          <w:rFonts w:cs="Arial"/>
          <w:bCs/>
          <w:sz w:val="20"/>
          <w:szCs w:val="20"/>
          <w:lang w:eastAsia="en-US"/>
        </w:rPr>
        <w:t>.</w:t>
      </w:r>
    </w:p>
    <w:p w:rsidR="002E7DA5" w:rsidRDefault="00E059E9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SST.</w:t>
      </w:r>
    </w:p>
    <w:p w:rsidR="00F62967" w:rsidRPr="00505AB0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</w:t>
      </w:r>
      <w:r w:rsidR="00F62967">
        <w:rPr>
          <w:rFonts w:cs="Arial"/>
          <w:bCs/>
          <w:sz w:val="20"/>
          <w:szCs w:val="20"/>
          <w:lang w:eastAsia="en-US"/>
        </w:rPr>
        <w:t xml:space="preserve">rzedmiar </w:t>
      </w:r>
      <w:r w:rsidR="00E059E9">
        <w:rPr>
          <w:rFonts w:cs="Arial"/>
          <w:bCs/>
          <w:sz w:val="20"/>
          <w:szCs w:val="20"/>
          <w:lang w:eastAsia="en-US"/>
        </w:rPr>
        <w:t>robót.</w:t>
      </w:r>
    </w:p>
    <w:sectPr w:rsidR="00F62967" w:rsidRPr="00505AB0" w:rsidSect="00626544">
      <w:footerReference w:type="default" r:id="rId62"/>
      <w:headerReference w:type="first" r:id="rId63"/>
      <w:footerReference w:type="first" r:id="rId64"/>
      <w:pgSz w:w="11906" w:h="16838" w:code="9"/>
      <w:pgMar w:top="1952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E7" w:rsidRDefault="00261FE7">
      <w:r>
        <w:separator/>
      </w:r>
    </w:p>
  </w:endnote>
  <w:endnote w:type="continuationSeparator" w:id="0">
    <w:p w:rsidR="00261FE7" w:rsidRDefault="002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9195692" wp14:editId="2C1AE446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79CB83B" wp14:editId="0254AAFF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E7" w:rsidRDefault="00261FE7">
      <w:r>
        <w:separator/>
      </w:r>
    </w:p>
  </w:footnote>
  <w:footnote w:type="continuationSeparator" w:id="0">
    <w:p w:rsidR="00261FE7" w:rsidRDefault="0026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63190E" w:rsidRDefault="00626544" w:rsidP="006319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B424FA" wp14:editId="7FFB529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24"/>
    <w:lvlOverride w:ilvl="1">
      <w:lvl w:ilvl="1">
        <w:numFmt w:val="lowerLetter"/>
        <w:lvlText w:val="%2."/>
        <w:lvlJc w:val="left"/>
      </w:lvl>
    </w:lvlOverride>
  </w:num>
  <w:num w:numId="11">
    <w:abstractNumId w:val="25"/>
  </w:num>
  <w:num w:numId="12">
    <w:abstractNumId w:val="29"/>
  </w:num>
  <w:num w:numId="13">
    <w:abstractNumId w:val="4"/>
  </w:num>
  <w:num w:numId="14">
    <w:abstractNumId w:val="3"/>
  </w:num>
  <w:num w:numId="15">
    <w:abstractNumId w:val="31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0"/>
  </w:num>
  <w:num w:numId="26">
    <w:abstractNumId w:val="5"/>
  </w:num>
  <w:num w:numId="27">
    <w:abstractNumId w:val="28"/>
  </w:num>
  <w:num w:numId="28">
    <w:abstractNumId w:val="19"/>
  </w:num>
  <w:num w:numId="29">
    <w:abstractNumId w:val="1"/>
  </w:num>
  <w:num w:numId="30">
    <w:abstractNumId w:val="9"/>
  </w:num>
  <w:num w:numId="31">
    <w:abstractNumId w:val="32"/>
  </w:num>
  <w:num w:numId="32">
    <w:abstractNumId w:val="33"/>
  </w:num>
  <w:num w:numId="33">
    <w:abstractNumId w:val="7"/>
  </w:num>
  <w:num w:numId="34">
    <w:abstractNumId w:val="15"/>
  </w:num>
  <w:num w:numId="3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B210F"/>
    <w:rsid w:val="001B2893"/>
    <w:rsid w:val="001B4FDC"/>
    <w:rsid w:val="001C0A54"/>
    <w:rsid w:val="001C5CC3"/>
    <w:rsid w:val="001D1E2B"/>
    <w:rsid w:val="00220CFE"/>
    <w:rsid w:val="00222CBD"/>
    <w:rsid w:val="00224C75"/>
    <w:rsid w:val="00241C1F"/>
    <w:rsid w:val="002425AE"/>
    <w:rsid w:val="00261CDB"/>
    <w:rsid w:val="00261FE7"/>
    <w:rsid w:val="00267AF9"/>
    <w:rsid w:val="0029707B"/>
    <w:rsid w:val="002A1B7A"/>
    <w:rsid w:val="002A6F3E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B70BD"/>
    <w:rsid w:val="004C2060"/>
    <w:rsid w:val="004D518B"/>
    <w:rsid w:val="004E7337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43874"/>
    <w:rsid w:val="00B51607"/>
    <w:rsid w:val="00B6637D"/>
    <w:rsid w:val="00B74DBA"/>
    <w:rsid w:val="00B800D4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904CE"/>
    <w:rsid w:val="00C9301D"/>
    <w:rsid w:val="00C9306F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10CB-5093-4D88-9E7D-8768F046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3591</TotalTime>
  <Pages>22</Pages>
  <Words>9513</Words>
  <Characters>57081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265</cp:revision>
  <cp:lastPrinted>2021-03-09T08:09:00Z</cp:lastPrinted>
  <dcterms:created xsi:type="dcterms:W3CDTF">2020-01-30T07:13:00Z</dcterms:created>
  <dcterms:modified xsi:type="dcterms:W3CDTF">2021-03-10T08:12:00Z</dcterms:modified>
</cp:coreProperties>
</file>