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0" w:rsidRPr="00763870" w:rsidRDefault="00763870" w:rsidP="00763870">
      <w:r w:rsidRPr="00763870">
        <w:t xml:space="preserve">Dotyczy: </w:t>
      </w:r>
      <w:r w:rsidR="008F213A">
        <w:tab/>
      </w:r>
      <w:r w:rsidRPr="00763870">
        <w:t>Dostawa skanera rezonansu magnetycznego 3T</w:t>
      </w:r>
      <w:r w:rsidR="008F213A">
        <w:t xml:space="preserve"> dla potrzeb Gdańskiego Uniwersytetu Medycznego</w:t>
      </w:r>
    </w:p>
    <w:p w:rsidR="00763870" w:rsidRDefault="00763870" w:rsidP="00DE54E8">
      <w:pPr>
        <w:jc w:val="center"/>
        <w:rPr>
          <w:b/>
        </w:rPr>
      </w:pPr>
    </w:p>
    <w:p w:rsidR="005430DB" w:rsidRDefault="005430DB" w:rsidP="00DE54E8">
      <w:pPr>
        <w:jc w:val="center"/>
        <w:rPr>
          <w:b/>
        </w:rPr>
      </w:pPr>
    </w:p>
    <w:p w:rsidR="008E4608" w:rsidRDefault="00DE54E8" w:rsidP="00DE54E8">
      <w:pPr>
        <w:jc w:val="center"/>
        <w:rPr>
          <w:b/>
        </w:rPr>
      </w:pPr>
      <w:r w:rsidRPr="00DE54E8">
        <w:rPr>
          <w:b/>
        </w:rPr>
        <w:t>OPIS PRZEDMIOTU ZAMÓWIENIA</w:t>
      </w:r>
    </w:p>
    <w:p w:rsidR="008E4608" w:rsidRPr="003C3EC9" w:rsidRDefault="00493CC8" w:rsidP="00493CC8">
      <w:pPr>
        <w:rPr>
          <w:b/>
          <w:color w:val="00B050"/>
        </w:rPr>
      </w:pPr>
      <w:r w:rsidRPr="003C3EC9">
        <w:rPr>
          <w:b/>
          <w:color w:val="00B050"/>
        </w:rPr>
        <w:t xml:space="preserve">MODYFIKACJA Z DNIA 17.08.2020 r. </w:t>
      </w:r>
    </w:p>
    <w:p w:rsidR="00B17D7B" w:rsidRDefault="00B17D7B"/>
    <w:tbl>
      <w:tblPr>
        <w:tblW w:w="1375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124"/>
        <w:gridCol w:w="2269"/>
        <w:gridCol w:w="2283"/>
      </w:tblGrid>
      <w:tr w:rsidR="00B17D7B">
        <w:trPr>
          <w:trHeight w:val="340"/>
          <w:tblHeader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L. p.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Opis parametru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CCCC"/>
            <w:tcMar>
              <w:left w:w="60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b/>
                <w:bCs/>
              </w:rPr>
              <w:t>Parametr oferowany</w:t>
            </w: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</w:rPr>
              <w:t>1. CERTYFIKATY I DOKUMENTY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Certyfikat CE (podać nr certyfikatu), oznakowanie znakiem CE - jeśli dotyczy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Powiadomienie/ zgłoszenie/ przeniesienie wysłane do Prezesa Urzędu Rejestracji Produktów Leczniczych, Wyrobów Medycznych i Produktów Biobójczych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Producent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after="58"/>
              <w:jc w:val="both"/>
            </w:pPr>
            <w:r>
              <w:t>Kraj pochodzenia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2F5F84" w:rsidRDefault="009401C7">
            <w:pPr>
              <w:spacing w:after="58"/>
              <w:jc w:val="both"/>
              <w:rPr>
                <w:color w:val="auto"/>
              </w:rPr>
            </w:pPr>
            <w:r w:rsidRPr="002F5F84">
              <w:rPr>
                <w:color w:val="auto"/>
              </w:rPr>
              <w:t>Urządzenie</w:t>
            </w:r>
            <w:r w:rsidR="004C71DC" w:rsidRPr="002F5F84">
              <w:rPr>
                <w:color w:val="auto"/>
              </w:rPr>
              <w:t>:</w:t>
            </w:r>
            <w:r w:rsidRPr="002F5F84">
              <w:rPr>
                <w:color w:val="auto"/>
              </w:rPr>
              <w:t xml:space="preserve"> </w:t>
            </w:r>
            <w:r w:rsidR="004C71DC" w:rsidRPr="002F5F84">
              <w:rPr>
                <w:color w:val="auto"/>
              </w:rPr>
              <w:t xml:space="preserve">typ, </w:t>
            </w:r>
            <w:r w:rsidRPr="002F5F84">
              <w:rPr>
                <w:color w:val="auto"/>
              </w:rPr>
              <w:t>model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1.6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2F5F84" w:rsidRDefault="004C71DC">
            <w:pPr>
              <w:spacing w:after="58"/>
              <w:jc w:val="both"/>
              <w:rPr>
                <w:color w:val="auto"/>
              </w:rPr>
            </w:pPr>
            <w:r w:rsidRPr="002F5F84">
              <w:rPr>
                <w:color w:val="auto"/>
              </w:rPr>
              <w:t>Aparat nowy,</w:t>
            </w:r>
            <w:r w:rsidR="00B8391B">
              <w:rPr>
                <w:color w:val="auto"/>
              </w:rPr>
              <w:t xml:space="preserve"> </w:t>
            </w:r>
            <w:r w:rsidRPr="002F5F84">
              <w:rPr>
                <w:color w:val="auto"/>
              </w:rPr>
              <w:t>nie starszy niż wyprodukowany w 2020, lub pochodzący z bieżącej produkcji.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B17D7B" w:rsidRDefault="009401C7">
            <w:pPr>
              <w:spacing w:after="58"/>
              <w:ind w:left="-120"/>
              <w:jc w:val="center"/>
            </w:pPr>
            <w:r>
              <w:t>TAK, 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2. MAGNES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Indukcja pola magnetycznego B</w:t>
            </w:r>
            <w:r>
              <w:rPr>
                <w:vertAlign w:val="subscript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3 T;</w:t>
            </w:r>
          </w:p>
          <w:p w:rsidR="00B17D7B" w:rsidRDefault="009401C7">
            <w:pPr>
              <w:spacing w:before="40" w:after="40"/>
            </w:pPr>
            <w:r>
              <w:t>podać wartość [T]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Zamknięty system chłodzenia magnesu ciekłym helem w technologii „zero-</w:t>
            </w:r>
            <w:proofErr w:type="spellStart"/>
            <w:r>
              <w:t>boil</w:t>
            </w:r>
            <w:proofErr w:type="spellEnd"/>
            <w:r>
              <w:t>-off”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Zużycie helu przy typowej pracy klinicznej z wyłączeniem ubytków przy pracach serwisowych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0,01l/godz.;</w:t>
            </w:r>
          </w:p>
          <w:p w:rsidR="00B17D7B" w:rsidRDefault="009401C7">
            <w:pPr>
              <w:spacing w:before="40" w:after="40"/>
            </w:pPr>
            <w:r>
              <w:t>podać wartość [l/rok]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Aktywne ekranowanie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pola rozproszonego 5 Gauss (0,5 </w:t>
            </w:r>
            <w:proofErr w:type="spellStart"/>
            <w:r>
              <w:rPr>
                <w:rFonts w:ascii="Times New Roman" w:hAnsi="Times New Roman"/>
                <w:sz w:val="20"/>
              </w:rPr>
              <w:t>mT</w:t>
            </w:r>
            <w:proofErr w:type="spellEnd"/>
            <w:r>
              <w:rPr>
                <w:rFonts w:ascii="Times New Roman" w:hAnsi="Times New Roman"/>
                <w:sz w:val="20"/>
              </w:rPr>
              <w:t>) w płaszczyźnie x/y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3,0 m;</w:t>
            </w:r>
          </w:p>
          <w:p w:rsidR="00B17D7B" w:rsidRDefault="009401C7">
            <w:pPr>
              <w:spacing w:before="40" w:after="40"/>
            </w:pPr>
            <w:r>
              <w:t>podać wartość [m]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pola rozproszonego 5 Gauss (0,5 </w:t>
            </w:r>
            <w:proofErr w:type="spellStart"/>
            <w:r>
              <w:rPr>
                <w:rFonts w:ascii="Times New Roman" w:hAnsi="Times New Roman"/>
                <w:sz w:val="20"/>
              </w:rPr>
              <w:t>mT</w:t>
            </w:r>
            <w:proofErr w:type="spellEnd"/>
            <w:r>
              <w:rPr>
                <w:rFonts w:ascii="Times New Roman" w:hAnsi="Times New Roman"/>
                <w:sz w:val="20"/>
              </w:rPr>
              <w:t>) w osi z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≤ 5,5 m;</w:t>
            </w:r>
          </w:p>
          <w:p w:rsidR="00B17D7B" w:rsidRDefault="009401C7">
            <w:pPr>
              <w:spacing w:before="40" w:after="40"/>
            </w:pPr>
            <w:r>
              <w:t>podać wartość [m]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małej kuli o średnicy 10 cm: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≤ 0,02 </w:t>
            </w:r>
            <w:proofErr w:type="spellStart"/>
            <w:r>
              <w:t>ppm</w:t>
            </w:r>
            <w:proofErr w:type="spellEnd"/>
            <w:r>
              <w:t>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2.8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30 cm: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≤ 0,15 </w:t>
            </w:r>
            <w:proofErr w:type="spellStart"/>
            <w:r>
              <w:t>ppm</w:t>
            </w:r>
            <w:proofErr w:type="spellEnd"/>
            <w:r>
              <w:t>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 xml:space="preserve">]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40 cm.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≤ 0,37 </w:t>
            </w:r>
            <w:proofErr w:type="spellStart"/>
            <w:r>
              <w:t>ppm</w:t>
            </w:r>
            <w:proofErr w:type="spellEnd"/>
            <w:r>
              <w:t xml:space="preserve">; 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Homogeniczność pola magnetycznego – wartość typowa, mierzona metodą VRMS (Volume Root-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>) w dużej kuli o średnicy 50 cm.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≤ 2,4 </w:t>
            </w:r>
            <w:proofErr w:type="spellStart"/>
            <w:r>
              <w:t>ppm</w:t>
            </w:r>
            <w:proofErr w:type="spellEnd"/>
            <w:r>
              <w:t xml:space="preserve">; 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Wartość najmniejsza – </w:t>
            </w:r>
            <w:r w:rsidR="00DB1EA1">
              <w:t>3</w:t>
            </w:r>
            <w:r>
              <w:t xml:space="preserve"> pkt.</w:t>
            </w:r>
          </w:p>
          <w:p w:rsidR="00B17D7B" w:rsidRDefault="009401C7">
            <w:pPr>
              <w:spacing w:before="40" w:after="40"/>
            </w:pPr>
            <w:r>
              <w:t>Pozostałe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 w:rsidRPr="00C41353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2.11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Sprzętowa korekta homogeniczności pola wyższego rzędu, po wprowadzeniu do magnesu pacjenta i cewek odbiorczych – technologia High Order </w:t>
            </w:r>
            <w:proofErr w:type="spellStart"/>
            <w:r>
              <w:t>Shim</w:t>
            </w:r>
            <w:proofErr w:type="spellEnd"/>
            <w:r>
              <w:t>, Advanced 2</w:t>
            </w:r>
            <w:r>
              <w:rPr>
                <w:vertAlign w:val="superscript"/>
              </w:rPr>
              <w:t>nd</w:t>
            </w:r>
            <w:r>
              <w:t xml:space="preserve"> Order </w:t>
            </w:r>
            <w:proofErr w:type="spellStart"/>
            <w:r>
              <w:t>Shim</w:t>
            </w:r>
            <w:proofErr w:type="spellEnd"/>
            <w:r>
              <w:t xml:space="preserve">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  <w:r>
              <w:br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C41353" w:rsidRPr="003C3EC9" w:rsidRDefault="00C41353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2</w:t>
            </w:r>
            <w:r w:rsidRPr="003C3EC9">
              <w:rPr>
                <w:color w:val="00B050"/>
                <w:vertAlign w:val="superscript"/>
              </w:rPr>
              <w:t>nd</w:t>
            </w:r>
            <w:r w:rsidRPr="003C3EC9">
              <w:rPr>
                <w:color w:val="00B050"/>
              </w:rPr>
              <w:t xml:space="preserve"> Order Shim – 0pkt</w:t>
            </w:r>
          </w:p>
          <w:p w:rsidR="00C41353" w:rsidRPr="00C41353" w:rsidRDefault="00C41353">
            <w:pPr>
              <w:spacing w:before="40" w:after="40"/>
              <w:rPr>
                <w:strike/>
                <w:lang w:val="en-US"/>
              </w:rPr>
            </w:pPr>
            <w:r w:rsidRPr="003C3EC9">
              <w:rPr>
                <w:color w:val="00B050"/>
                <w:lang w:val="en-US"/>
              </w:rPr>
              <w:t>3</w:t>
            </w:r>
            <w:r w:rsidRPr="003C3EC9">
              <w:rPr>
                <w:color w:val="00B050"/>
                <w:vertAlign w:val="superscript"/>
                <w:lang w:val="en-US"/>
              </w:rPr>
              <w:t>rd</w:t>
            </w:r>
            <w:r w:rsidRPr="003C3EC9">
              <w:rPr>
                <w:color w:val="00B050"/>
                <w:lang w:val="en-US"/>
              </w:rPr>
              <w:t xml:space="preserve"> Order Shim</w:t>
            </w:r>
            <w:r w:rsidR="00CA6F36" w:rsidRPr="003C3EC9">
              <w:rPr>
                <w:color w:val="00B050"/>
                <w:lang w:val="en-US"/>
              </w:rPr>
              <w:t xml:space="preserve"> -5 </w:t>
            </w:r>
            <w:proofErr w:type="spellStart"/>
            <w:r w:rsidRPr="003C3EC9">
              <w:rPr>
                <w:color w:val="00B050"/>
                <w:lang w:val="en-US"/>
              </w:rPr>
              <w:t>pkt</w:t>
            </w:r>
            <w:proofErr w:type="spellEnd"/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Gwarantowana warto</w:t>
            </w:r>
            <w:r>
              <w:rPr>
                <w:rFonts w:eastAsia="TimesNewRoman"/>
                <w:color w:val="000000" w:themeColor="text1"/>
              </w:rPr>
              <w:t xml:space="preserve">ść </w:t>
            </w:r>
            <w:r>
              <w:rPr>
                <w:color w:val="000000" w:themeColor="text1"/>
              </w:rPr>
              <w:t>krótkotrwałych zmian jednorodno</w:t>
            </w:r>
            <w:r>
              <w:rPr>
                <w:rFonts w:eastAsia="TimesNewRoman"/>
                <w:color w:val="000000" w:themeColor="text1"/>
              </w:rPr>
              <w:t>ś</w:t>
            </w:r>
            <w:r>
              <w:rPr>
                <w:color w:val="000000" w:themeColor="text1"/>
              </w:rPr>
              <w:t>ci pola magnetycznego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rFonts w:eastAsia="TimesNewRoman"/>
                <w:color w:val="000000" w:themeColor="text1"/>
              </w:rPr>
              <w:t>≤ 0,1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ppm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godz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B17D7B" w:rsidRDefault="009401C7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t>podać wartość [</w:t>
            </w:r>
            <w:proofErr w:type="spellStart"/>
            <w:r>
              <w:t>ppm</w:t>
            </w:r>
            <w:proofErr w:type="spellEnd"/>
            <w:r>
              <w:t>/</w:t>
            </w:r>
            <w:proofErr w:type="spellStart"/>
            <w:r>
              <w:t>godz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color w:val="000000" w:themeColor="text1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3.       SYSTEM GRADIENTOWY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Maksymalna amplituda gradientów w każdej osi dla max </w:t>
            </w:r>
            <w:proofErr w:type="spellStart"/>
            <w:r>
              <w:t>FoV</w:t>
            </w:r>
            <w:proofErr w:type="spellEnd"/>
            <w:r>
              <w:t xml:space="preserve"> (gradient nie efektywny)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60 </w:t>
            </w:r>
            <w:proofErr w:type="spellStart"/>
            <w:r>
              <w:t>mT</w:t>
            </w:r>
            <w:proofErr w:type="spellEnd"/>
            <w:r>
              <w:t>/m;</w:t>
            </w:r>
          </w:p>
          <w:p w:rsidR="00B17D7B" w:rsidRDefault="009401C7">
            <w:pPr>
              <w:spacing w:before="40" w:after="40"/>
            </w:pPr>
            <w:r>
              <w:t>podać wartość [</w:t>
            </w:r>
            <w:proofErr w:type="spellStart"/>
            <w:r>
              <w:t>mT</w:t>
            </w:r>
            <w:proofErr w:type="spellEnd"/>
            <w:r>
              <w:t>/m]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10 pkt.</w:t>
            </w:r>
          </w:p>
          <w:p w:rsidR="00B17D7B" w:rsidRDefault="009401C7">
            <w:pPr>
              <w:spacing w:before="40" w:after="40"/>
            </w:pPr>
            <w:r>
              <w:t>Wartość najmniejsza 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Maksymalna szybkość narastania gradientów (</w:t>
            </w:r>
            <w:proofErr w:type="spellStart"/>
            <w:r>
              <w:rPr>
                <w:rFonts w:ascii="Times New Roman" w:hAnsi="Times New Roman"/>
                <w:sz w:val="20"/>
              </w:rPr>
              <w:t>slew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rate</w:t>
            </w:r>
            <w:proofErr w:type="spellEnd"/>
            <w:r>
              <w:rPr>
                <w:rFonts w:ascii="Times New Roman" w:hAnsi="Times New Roman"/>
                <w:sz w:val="20"/>
              </w:rPr>
              <w:t>) w każdej osi, dla amplitudy podanej w pkt. 2.1.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200 T/m/s;</w:t>
            </w:r>
          </w:p>
          <w:p w:rsidR="00B17D7B" w:rsidRDefault="009401C7">
            <w:pPr>
              <w:spacing w:before="40" w:after="40"/>
            </w:pPr>
            <w:r>
              <w:t>podać wartość [T/m/s]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Wartości podane w pkt. 2.1. i 2.2. uzyskiwane jednocześnie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4.     SYSTEM RF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Tor nadawczy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4.1.1.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Moc wyjściowa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≥ 30 kW;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podać wartość [kW]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Wartość największa – 2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Wartość najmniejsza – 0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 xml:space="preserve">Pozostałe – </w:t>
            </w:r>
            <w:r w:rsidRPr="003C3EC9">
              <w:rPr>
                <w:strike/>
                <w:color w:val="00B050"/>
              </w:rPr>
              <w:lastRenderedPageBreak/>
              <w:t>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strike/>
                <w:color w:val="FF000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4.1.2.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nadawczy sygnału MR wyposażony w technologię wielokanałowej transmisji dla optymalizacji jednorodności pola B</w:t>
            </w:r>
            <w:r>
              <w:rPr>
                <w:vertAlign w:val="subscript"/>
              </w:rPr>
              <w:t>1</w:t>
            </w:r>
            <w:r>
              <w:t xml:space="preserve"> – technologia </w:t>
            </w:r>
            <w:proofErr w:type="spellStart"/>
            <w:r>
              <w:t>MultiTransmit</w:t>
            </w:r>
            <w:proofErr w:type="spellEnd"/>
            <w:r>
              <w:t xml:space="preserve">, </w:t>
            </w:r>
            <w:proofErr w:type="spellStart"/>
            <w:r>
              <w:t>MultiDrive</w:t>
            </w:r>
            <w:proofErr w:type="spellEnd"/>
            <w:r>
              <w:t xml:space="preserve">, </w:t>
            </w:r>
            <w:proofErr w:type="spellStart"/>
            <w:r>
              <w:t>TimTX</w:t>
            </w:r>
            <w:proofErr w:type="spellEnd"/>
            <w:r>
              <w:t xml:space="preserve"> </w:t>
            </w:r>
            <w:proofErr w:type="spellStart"/>
            <w:r>
              <w:t>TrueForm</w:t>
            </w:r>
            <w:proofErr w:type="spellEnd"/>
            <w:r>
              <w:t>,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Tak;</w:t>
            </w:r>
          </w:p>
          <w:p w:rsidR="00B17D7B" w:rsidRDefault="009401C7">
            <w:pPr>
              <w:spacing w:before="40" w:after="40"/>
            </w:pPr>
            <w:r>
              <w:t>podać nazwę technologii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4.1.3.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Tor nadawczy sygnału MR pomiędzy maszynownią a pomieszczeniem badań zbudowany w optycznej technologii cyfrowej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Tak/Nie;</w:t>
            </w:r>
          </w:p>
          <w:p w:rsidR="00B17D7B" w:rsidRPr="003C3EC9" w:rsidRDefault="009401C7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Tak – 2 pkt.</w:t>
            </w:r>
          </w:p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C41353" w:rsidRDefault="00B17D7B">
            <w:pPr>
              <w:spacing w:before="40" w:after="40"/>
              <w:rPr>
                <w:strike/>
                <w:color w:val="FF000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Tor odbiorczy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eastAsia="ja-JP"/>
              </w:rPr>
            </w:pPr>
            <w:r>
              <w:t xml:space="preserve">Maksymalna liczba kanałów (elementów odbiorczych wykorzystywanych w maksymalnym obszarze badania, z </w:t>
            </w:r>
            <w:r>
              <w:rPr>
                <w:lang w:eastAsia="ja-JP"/>
              </w:rPr>
              <w:t xml:space="preserve">przesuwem stołu pacjenta) </w:t>
            </w:r>
            <w:r>
              <w:t>≥ 146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146;</w:t>
            </w:r>
          </w:p>
          <w:p w:rsidR="00B17D7B" w:rsidRDefault="009401C7">
            <w:pPr>
              <w:spacing w:before="40" w:after="40"/>
            </w:pPr>
            <w: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kanałów – 6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kanałów–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9401C7">
            <w:pPr>
              <w:snapToGrid w:val="0"/>
              <w:spacing w:before="40" w:after="40"/>
            </w:pPr>
            <w:r>
              <w:t>Maksymalna liczba rzeczywistych niezależnych równoległych cyfrowych kanałów odbiorczych (odbiornika) z pełną ścieżką cyfrową (przedwzmacniacz, przetwornik analogowo-cyfrowy, wejście w rekonstruktorze) ≥ 64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</w:t>
            </w:r>
            <w:r w:rsidRPr="001C12E4">
              <w:rPr>
                <w:strike/>
                <w:color w:val="FF0000"/>
              </w:rPr>
              <w:t>64</w:t>
            </w:r>
            <w:r>
              <w:t>;</w:t>
            </w:r>
            <w:r w:rsidR="001C12E4" w:rsidRPr="001C12E4">
              <w:rPr>
                <w:color w:val="FF0000"/>
              </w:rPr>
              <w:t>128</w:t>
            </w:r>
          </w:p>
          <w:p w:rsidR="00B17D7B" w:rsidRDefault="009401C7">
            <w:pPr>
              <w:spacing w:before="40" w:after="40"/>
            </w:pPr>
            <w: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kanałów –</w:t>
            </w:r>
            <w:r w:rsidRPr="00C41353">
              <w:rPr>
                <w:strike/>
                <w:color w:val="FF0000"/>
              </w:rPr>
              <w:t xml:space="preserve"> 6</w:t>
            </w:r>
            <w:r w:rsidRPr="00C41353">
              <w:rPr>
                <w:color w:val="FF0000"/>
              </w:rPr>
              <w:t xml:space="preserve"> </w:t>
            </w:r>
            <w:r w:rsidR="00C41353" w:rsidRPr="00C41353">
              <w:rPr>
                <w:color w:val="FF0000"/>
              </w:rPr>
              <w:t>10</w:t>
            </w:r>
            <w:r w:rsidR="00CA6F36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kanałów–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Dynamika odbiornika, z automatyczną kontrolą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≥ 160 </w:t>
            </w:r>
            <w:proofErr w:type="spellStart"/>
            <w:r>
              <w:t>dB</w:t>
            </w:r>
            <w:proofErr w:type="spellEnd"/>
            <w:r>
              <w:t>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Rozdzielczość odbiornika</w:t>
            </w:r>
          </w:p>
          <w:p w:rsidR="00B17D7B" w:rsidRDefault="00B17D7B">
            <w:pPr>
              <w:snapToGrid w:val="0"/>
              <w:spacing w:before="40" w:after="40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16 bit;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[bit]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Szerokość pasma przenoszenia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1 MHz;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[MHz]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4.2.6.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Tor odbiorczy sygnału MR pomiędzy pomieszczeniem badań a maszynownią zbudowany w optycznej technologii cyfrowej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Tak;</w:t>
            </w:r>
          </w:p>
          <w:p w:rsidR="00B17D7B" w:rsidRDefault="009401C7">
            <w:pPr>
              <w:spacing w:before="40" w:after="40"/>
            </w:pPr>
            <w: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5.         CEWKI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Tekstdymka"/>
              <w:snapToGri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nadawczo-odbiorcza </w:t>
            </w:r>
            <w:r>
              <w:rPr>
                <w:b/>
                <w:bCs/>
              </w:rPr>
              <w:t>ogólnego przeznaczenia</w:t>
            </w:r>
            <w:r>
              <w:t xml:space="preserve"> zabudowana w tunelu pacjenta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  <w:bCs/>
              </w:rPr>
              <w:t>do badań głowy i szyi</w:t>
            </w:r>
            <w:r>
              <w:t xml:space="preserve"> z możliwością zmiany kąt ułożenia głowy pacjenta w przynajmniej 3 </w:t>
            </w:r>
            <w:r>
              <w:lastRenderedPageBreak/>
              <w:t xml:space="preserve">pozycjach, posiadająca w badanym obszarze min. 20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 xml:space="preserve">podać nazwę cewki i </w:t>
            </w:r>
            <w:r>
              <w:lastRenderedPageBreak/>
              <w:t>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 xml:space="preserve">Cewka wyposażona w zintegrowany dodatkowy </w:t>
            </w:r>
            <w:r>
              <w:lastRenderedPageBreak/>
              <w:t>element służący do redukcji lokalnych niejednorodności pola B0 w obszarze szyjnym, spowodowanych obecnością pacjenta w aparacie</w:t>
            </w:r>
          </w:p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 w:rsidP="001C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  <w:bCs/>
              </w:rPr>
              <w:t>do zaawansowanych badań w obszarze głowy</w:t>
            </w:r>
            <w:r>
              <w:t xml:space="preserve"> posiadająca min. 48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2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</w:rPr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kręgosłupa</w:t>
            </w:r>
            <w:r>
              <w:t xml:space="preserve">, z automatycznym przesuwem stołu pacjenta sterowanym automatycznie z protokołu badania, bez repozycjonowania pacjenta i przekładania lub przełączania cewek, posiadająca min. 32 elementy obrazujące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3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 xml:space="preserve">Najmniejsza liczba elementów obrazujących </w:t>
            </w:r>
            <w:r>
              <w:t>– 0 pkt.</w:t>
            </w:r>
          </w:p>
          <w:p w:rsidR="00B17D7B" w:rsidRDefault="009401C7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centralnego układu nerwowego</w:t>
            </w:r>
            <w:r>
              <w:t xml:space="preserve"> (głowa i cały kręgosłup), z automatycznym przesuwem stołu pacjenta sterowanym automatycznie z protokołu badania, bez repozycjonowania pacjenta i przekładania lub przełączania cewek, posiadająca min. 50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tułowia</w:t>
            </w:r>
            <w:r>
              <w:t xml:space="preserve"> w zakresie min. 60 cm w osi Z (klatka piersiowa, jama brzuszna, miednica), z automatycznym przesuwem stołu pacjenta, sterowanym automatycznie z protokołu badania, bez repozycjonowania pacjenta i przekładania lub przełączania cewek, posiadająca w badanym </w:t>
            </w:r>
            <w:r>
              <w:lastRenderedPageBreak/>
              <w:t xml:space="preserve">obszarze min. 36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  <w:r>
              <w:br/>
            </w:r>
            <w:r>
              <w:lastRenderedPageBreak/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Największa liczba elementów obrazujących– 3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Najmniejsza liczba elementów obrazujących </w:t>
            </w:r>
            <w:r>
              <w:rPr>
                <w:color w:val="000000" w:themeColor="text1"/>
              </w:rPr>
              <w:lastRenderedPageBreak/>
              <w:t>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przeznaczona </w:t>
            </w:r>
            <w:r>
              <w:rPr>
                <w:b/>
              </w:rPr>
              <w:t>do badań obu całych kończyn dolnych</w:t>
            </w:r>
            <w:r>
              <w:t xml:space="preserve">, z przesuwem stołu pacjenta, sterowanym automatycznie z protokołu badania, bez repozycjonowania pacjenta i przekładania lub przełączania cewek, dedykowana do badań tego obszaru anatomicznego z podstawką zmniejszającą nacisk na kończyny dolne oraz o długości min. 85cm, posiadająca w badanym obszarze min. 30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 podać nazwę cewki oraz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9401C7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90313E" w:rsidRPr="003C3EC9" w:rsidRDefault="0090313E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Największa długość cewki – 3 pkt.</w:t>
            </w:r>
          </w:p>
          <w:p w:rsidR="0090313E" w:rsidRPr="003C3EC9" w:rsidRDefault="0090313E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Najmniejsza długość cewki – 0 pkt</w:t>
            </w:r>
          </w:p>
          <w:p w:rsidR="0090313E" w:rsidRPr="003C3EC9" w:rsidRDefault="0090313E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Pr="003C3EC9" w:rsidRDefault="00B17D7B">
            <w:pPr>
              <w:spacing w:before="40" w:after="40"/>
              <w:rPr>
                <w:color w:val="00B050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typu matrycowego lub zestaw cewek, przeznaczona </w:t>
            </w:r>
            <w:r>
              <w:rPr>
                <w:b/>
                <w:bCs/>
              </w:rPr>
              <w:t>do badań całego ciała</w:t>
            </w:r>
            <w:r>
              <w:t xml:space="preserve"> z przesuwem stołu pacjenta, sterowanym automatycznie z protokołu badania, bez repozycjonowania pacjenta i przekładania lub przełączania cewek, posiadająca w badanym obszarze min. 100 elementów obrazujących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lub zestawu cewek i liczbę elementów obrazujących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3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przeznaczona </w:t>
            </w:r>
            <w:r>
              <w:rPr>
                <w:b/>
                <w:bCs/>
              </w:rPr>
              <w:t>do badań mammograficznych diagnostycznych</w:t>
            </w:r>
            <w:r>
              <w:t xml:space="preserve">, posiadająca w badanym obszarze min. 16 elementów obrazujących (kanałów odbiorczych)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Tak.</w:t>
            </w:r>
          </w:p>
          <w:p w:rsidR="00B17D7B" w:rsidRDefault="009401C7">
            <w:pPr>
              <w:snapToGrid w:val="0"/>
              <w:spacing w:before="40" w:after="40"/>
            </w:pPr>
            <w:r>
              <w:t xml:space="preserve">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Największa liczba elementów obrazujących– 2 pkt.</w:t>
            </w:r>
          </w:p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liczba elementów obrazujących – 0 pkt.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sztywna z elastycznymi końcówkami przeznaczona </w:t>
            </w:r>
            <w:r>
              <w:rPr>
                <w:b/>
                <w:bCs/>
              </w:rPr>
              <w:t>do badań barku</w:t>
            </w:r>
            <w:r>
              <w:t xml:space="preserve">, posiadająca w badanym obszarze min. 16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Cewka </w:t>
            </w:r>
            <w:r w:rsidR="00624572">
              <w:t xml:space="preserve">sztywna </w:t>
            </w:r>
            <w:r>
              <w:t xml:space="preserve">z możliwą  zmienną geometrią </w:t>
            </w:r>
          </w:p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sztywna, przeznaczona </w:t>
            </w:r>
            <w:r>
              <w:rPr>
                <w:b/>
                <w:bCs/>
              </w:rPr>
              <w:t>do badań stawu kolanowego</w:t>
            </w:r>
            <w:r>
              <w:t xml:space="preserve">, posiadająca w badanym obszarze min. 18 elementów obrazujących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5.12.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elastyczna, przeznaczona </w:t>
            </w:r>
            <w:r>
              <w:rPr>
                <w:b/>
                <w:bCs/>
              </w:rPr>
              <w:t>do badań nadgarstka</w:t>
            </w:r>
            <w:r>
              <w:t xml:space="preserve">, posiadająca w badanym obszarze min. 16 elementy obrazujące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Cewka wielokanałowa sztywna lub elastyczna, przeznaczona </w:t>
            </w:r>
            <w:r>
              <w:rPr>
                <w:b/>
                <w:bCs/>
              </w:rPr>
              <w:t>do badań stawu skokowego</w:t>
            </w:r>
            <w:r>
              <w:t xml:space="preserve">, posiadająca w badanym obszarze min. 16 elementy obrazujące jednocześnie i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nazwę cewki i liczbę jej elementów obrazujących [n]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5.14.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Zestaw minimum dwóch elastycznych cewek </w:t>
            </w:r>
            <w:proofErr w:type="spellStart"/>
            <w:r>
              <w:t>płachtowych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do zastosowań uniwersalnych</w:t>
            </w:r>
            <w:r>
              <w:t xml:space="preserve">, każda w różnym rozmiarze, każda posiadająca w badanym obszarze min. 16 elementów obrazujących jednocześnie, każda pozwalająca na akwizycje równoległe typu ASSET, </w:t>
            </w:r>
            <w:proofErr w:type="spellStart"/>
            <w:r>
              <w:t>iPAT</w:t>
            </w:r>
            <w:proofErr w:type="spellEnd"/>
            <w:r>
              <w:t>, SENSE, SPEEDER lub zgodnie z nomenklaturą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nazwy cewek, liczbę elementów obrazujących [n] oraz wymiary każdej z nich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C41353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C41353">
            <w:pPr>
              <w:snapToGrid w:val="0"/>
              <w:spacing w:before="40" w:after="40"/>
            </w:pPr>
            <w:r>
              <w:t>5.15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C41353" w:rsidP="00A563C9">
            <w:pPr>
              <w:snapToGrid w:val="0"/>
              <w:spacing w:before="40" w:after="40"/>
            </w:pPr>
            <w:r>
              <w:t xml:space="preserve">Cewka </w:t>
            </w:r>
            <w:r w:rsidR="00A563C9">
              <w:t>elastyczna (typu AIR lub zgodnie z nomenklaturą producenta), posiadająca wymiar 50x50cm i co najmniej 30 elementów. Cewka pozwalająca na wykonanie badania przez (360 stopni) owinięcie cewki wokół badanej kończyny.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C41353" w:rsidRDefault="00A563C9">
            <w:pPr>
              <w:snapToGrid w:val="0"/>
              <w:spacing w:before="40" w:after="40"/>
            </w:pPr>
            <w:r>
              <w:t>Tak/Nie</w:t>
            </w:r>
          </w:p>
          <w:p w:rsidR="00A563C9" w:rsidRDefault="00A563C9">
            <w:pPr>
              <w:snapToGrid w:val="0"/>
              <w:spacing w:before="40" w:after="40"/>
            </w:pPr>
            <w:r>
              <w:t>Jeżeli Tak,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41353" w:rsidRDefault="00A563C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 – 3 pkt</w:t>
            </w:r>
          </w:p>
          <w:p w:rsidR="00A563C9" w:rsidRDefault="00A563C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41353" w:rsidRDefault="00C41353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6. POZYCJONOWANIE I NADZÓR PACJENTA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Stół pacjenta odłączany w pełni autonomiczny, tj. pozwalający na przygotowanie pacjentów do badania poza pracownią i/lub ewakuację w sytuacjach krytycznych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Stół odłączany w pełni zmotoryzowany </w:t>
            </w:r>
            <w:proofErr w:type="spellStart"/>
            <w:r>
              <w:t>eDrive</w:t>
            </w:r>
            <w:proofErr w:type="spellEnd"/>
            <w:r>
              <w:t xml:space="preserve"> lub wg. nazwy producenta – 2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Obciążenie płyty stołu, łącznie z ruchem pionowym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≥ 250 kg;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[kg]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Badanie dużych obszarów ciała w zakresie większym niż maksymalne statyczne </w:t>
            </w:r>
            <w:proofErr w:type="spellStart"/>
            <w:r>
              <w:t>FoV</w:t>
            </w:r>
            <w:proofErr w:type="spellEnd"/>
            <w:r>
              <w:t>, z krokowym przesuwem stołu pacjenta, inicjowanym automatycznie z protokołu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Badanie dużych obszarów ciała w zakresie większym niż maksymalne statyczne </w:t>
            </w:r>
            <w:proofErr w:type="spellStart"/>
            <w:r>
              <w:t>FoV</w:t>
            </w:r>
            <w:proofErr w:type="spellEnd"/>
            <w:r>
              <w:t>, z ciągłym (nie krokowym) przesuwem stołu pacjenta podczas akwizycji danych, inicjowanym automatycznie z protokołu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1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6.5.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Zakres badania bez konieczności repozycjonowania pacjenta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200 cm;</w:t>
            </w:r>
          </w:p>
          <w:p w:rsidR="00B17D7B" w:rsidRDefault="009401C7">
            <w:pPr>
              <w:snapToGrid w:val="0"/>
              <w:spacing w:before="40" w:after="40"/>
            </w:pPr>
            <w:r>
              <w:t>podać wartość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System monitorowania pacjenta (EKG, puls) – dla wypracowania sygnałów synchronizujących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C585D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System monitorowania oddechu wbudowany w cewkę do badania kręgosłupa </w:t>
            </w:r>
            <w:r w:rsidR="001C585D">
              <w:rPr>
                <w:lang w:eastAsia="ja-JP"/>
              </w:rPr>
              <w:t xml:space="preserve">- </w:t>
            </w:r>
            <w:r>
              <w:rPr>
                <w:lang w:eastAsia="ja-JP"/>
              </w:rPr>
              <w:t>możliwość uzyskania krzywej oddech</w:t>
            </w:r>
            <w:r w:rsidR="001C585D">
              <w:rPr>
                <w:lang w:eastAsia="ja-JP"/>
              </w:rPr>
              <w:t>owej przed rozpoczęciem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Sygnalizacja dodatkowa (np. „gruszka”, przycisk)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Tak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Średnica otworu </w:t>
            </w:r>
            <w:proofErr w:type="spellStart"/>
            <w:r>
              <w:rPr>
                <w:rFonts w:ascii="Times New Roman" w:hAnsi="Times New Roman"/>
                <w:sz w:val="20"/>
              </w:rPr>
              <w:t>gantry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aparatu (magnes z systemem „</w:t>
            </w:r>
            <w:proofErr w:type="spellStart"/>
            <w:r>
              <w:rPr>
                <w:rFonts w:ascii="Times New Roman" w:hAnsi="Times New Roman"/>
                <w:sz w:val="20"/>
              </w:rPr>
              <w:t>shim</w:t>
            </w:r>
            <w:proofErr w:type="spellEnd"/>
            <w:r>
              <w:rPr>
                <w:rFonts w:ascii="Times New Roman" w:hAnsi="Times New Roman"/>
                <w:sz w:val="20"/>
              </w:rPr>
              <w:t>”, cewkami gradientowymi, zintegrowaną cewką nadawczo-odbiorczą ogólnego zastosowania i obudowami)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≥ 70 cm;</w:t>
            </w:r>
          </w:p>
          <w:p w:rsidR="00B17D7B" w:rsidRDefault="009401C7">
            <w:pPr>
              <w:spacing w:before="40" w:after="40"/>
            </w:pPr>
            <w:r>
              <w:t>podać wartość 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b/>
                <w:bCs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Regulowana wentylacja wnętrza tunelu </w:t>
            </w:r>
            <w:proofErr w:type="spellStart"/>
            <w:r>
              <w:t>gantry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Oświetlenie wnętrza tunelu </w:t>
            </w:r>
            <w:proofErr w:type="spellStart"/>
            <w:r>
              <w:t>gantry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Dwa identyczne funkcjonalnie panele sterujące umieszczone po obu stronach obudowy </w:t>
            </w:r>
            <w:proofErr w:type="spellStart"/>
            <w:r>
              <w:t>gantry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Wyświetlacze dotykowe umieszczone po obu stronach obudowy </w:t>
            </w:r>
            <w:proofErr w:type="spellStart"/>
            <w:r>
              <w:t>gantry</w:t>
            </w:r>
            <w:proofErr w:type="spellEnd"/>
            <w:r>
              <w:t xml:space="preserve"> i zintegrowane z nią, umożliwiające sterowanie aparatem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 xml:space="preserve">Możliwość dokonania szybkiego zaprogramowania środka </w:t>
            </w:r>
            <w:r w:rsidR="001C585D">
              <w:t>obszaru skanowania</w:t>
            </w:r>
            <w:r>
              <w:t xml:space="preserve"> za pomocą aktywnej listwy dotykowej umieszczonej wzdłuż blatu stołu lub rozwiązanie równoważne </w:t>
            </w:r>
            <w:proofErr w:type="spellStart"/>
            <w:r>
              <w:t>np.panel</w:t>
            </w:r>
            <w:proofErr w:type="spellEnd"/>
            <w:r>
              <w:t xml:space="preserve"> dotykowy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Opisać rozwiązanie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proofErr w:type="spellStart"/>
            <w:r>
              <w:t>Centrator</w:t>
            </w:r>
            <w:proofErr w:type="spellEnd"/>
            <w:r>
              <w:t xml:space="preserve"> laserowy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Kamera TV do obserwacji pacjenta w tunelu </w:t>
            </w:r>
            <w:proofErr w:type="spellStart"/>
            <w:r>
              <w:t>gantry</w:t>
            </w:r>
            <w:proofErr w:type="spellEnd"/>
            <w:r>
              <w:rPr>
                <w:lang w:eastAsia="ja-JP"/>
              </w:rPr>
              <w:t xml:space="preserve"> z monitorem </w:t>
            </w:r>
            <w:r>
              <w:rPr>
                <w:lang w:eastAsia="ja-JP"/>
              </w:rPr>
              <w:br/>
              <w:t>w pomieszczeniu operatorskim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Dwukierunkowy interkom do komunikacji z pacjentem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6.18.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Słuchawki tłumiące hałas dla pacjenta z możliwością podłączenia odsłuchu np. muzyki i komunikacji z pacjentem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7.       APLIKACJE KLINICZNE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neurologiczne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 </w:t>
            </w: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Rutynowe badania morfologiczne obszaru głowy, kręgosłupa i rdzenia kręgowego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Badania przepływu płynu mózgowo-rdzeniowego wraz z oceną ilościową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r>
              <w:rPr>
                <w:lang w:eastAsia="ja-JP"/>
              </w:rPr>
              <w:t>Dedykowane oprogramowanie umożliwiające zautomatyzowane przeprowadzanie pozycjonowania badań mózgu w sposób nadzorowany przez skaner (</w:t>
            </w:r>
            <w:proofErr w:type="spellStart"/>
            <w:r>
              <w:rPr>
                <w:lang w:eastAsia="ja-JP"/>
              </w:rPr>
              <w:t>AutoAlign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ReadyBrain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AIRx</w:t>
            </w:r>
            <w:proofErr w:type="spellEnd"/>
            <w:r>
              <w:rPr>
                <w:lang w:eastAsia="ja-JP"/>
              </w:rPr>
              <w:t xml:space="preserve"> lub odpowiednio do nomenklatury producenta)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pStyle w:val="Tretekstu"/>
              <w:rPr>
                <w:rFonts w:ascii="Times New Roman" w:eastAsia="Times New Roman" w:hAnsi="Times New Roman"/>
                <w:b w:val="0"/>
                <w:lang w:eastAsia="ja-JP"/>
              </w:rPr>
            </w:pPr>
            <w:r>
              <w:rPr>
                <w:rFonts w:ascii="Times New Roman" w:eastAsia="Times New Roman" w:hAnsi="Times New Roman"/>
                <w:b w:val="0"/>
                <w:lang w:eastAsia="ja-JP"/>
              </w:rPr>
              <w:t>Możliwość wybrania 10 lub więcej celów pozycjonowania warstw – 3 pkt.</w:t>
            </w:r>
          </w:p>
          <w:p w:rsidR="00B17D7B" w:rsidRDefault="009401C7">
            <w:pPr>
              <w:pStyle w:val="Tretekstu"/>
              <w:rPr>
                <w:rFonts w:ascii="Times New Roman" w:eastAsia="Times New Roman" w:hAnsi="Times New Roman"/>
                <w:b w:val="0"/>
                <w:lang w:eastAsia="ja-JP"/>
              </w:rPr>
            </w:pPr>
            <w:r>
              <w:rPr>
                <w:rFonts w:ascii="Times New Roman" w:eastAsia="Times New Roman" w:hAnsi="Times New Roman"/>
                <w:b w:val="0"/>
                <w:lang w:eastAsia="ja-JP"/>
              </w:rPr>
              <w:t>Algorytm pozycjonowania warstw oparty o analizę sieci neuronowych ( AI ) – 3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 xml:space="preserve"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Engine, </w:t>
            </w:r>
            <w:proofErr w:type="spellStart"/>
            <w:r>
              <w:rPr>
                <w:lang w:eastAsia="ja-JP"/>
              </w:rPr>
              <w:t>ReadyBrain</w:t>
            </w:r>
            <w:proofErr w:type="spellEnd"/>
            <w:r>
              <w:rPr>
                <w:lang w:eastAsia="ja-JP"/>
              </w:rPr>
              <w:t xml:space="preserve">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napToGrid w:val="0"/>
              <w:spacing w:before="40" w:after="40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 (</w:t>
            </w:r>
            <w:proofErr w:type="spellStart"/>
            <w:r>
              <w:rPr>
                <w:lang w:eastAsia="ja-JP"/>
              </w:rPr>
              <w:t>Spine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Specjalna sekwencja akwizycyjna, pozwalająca na uzyskanie danych umożliwiających rekonstruowanie obrazów T1, T2, FLAIR, STIR ze zmiennymi parametrami TE, TR i TI oraz otrzymywanie kolorowych map parametrycznych T1, T2, PD (MAGIC, MDME TSE lub odpowiednik) Analiza uzyskanych danych możliwa po zakończeniu akwizycji. Opracowanie badania możliwe na konsoli operatora lub na konsoli lekarskiej.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r>
              <w:t xml:space="preserve">Specjalna sekwencja akwizycyjna MR </w:t>
            </w:r>
            <w:proofErr w:type="spellStart"/>
            <w:r>
              <w:t>Fingerprinting</w:t>
            </w:r>
            <w:proofErr w:type="spellEnd"/>
            <w:r>
              <w:t>, pozwalająca na generowanie ilościowych danych wieloparametrycznych z pojedynczej akwizycji, dopasowująca je do biblioteki referencyjnej oraz tłumacząca je na mapy ilościowe T1 i T2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4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dyfuzji</w:t>
            </w:r>
            <w:r>
              <w:rPr>
                <w:lang w:eastAsia="ja-JP"/>
              </w:rPr>
              <w:t xml:space="preserve"> (DWI)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w oparciu o 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z wysoką rozdzielczością (non-single-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>, np. sekwencjami typu PSIF-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, FASE 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Maksymalna wartość współczynnika b w DWI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10 000 s/mm</w:t>
            </w:r>
            <w:r>
              <w:rPr>
                <w:vertAlign w:val="superscript"/>
                <w:lang w:eastAsia="ja-JP"/>
              </w:rPr>
              <w:t>2</w:t>
            </w:r>
            <w:r>
              <w:t>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[s/mm</w:t>
            </w:r>
            <w:r>
              <w:rPr>
                <w:vertAlign w:val="superscript"/>
                <w:lang w:eastAsia="ja-JP"/>
              </w:rPr>
              <w:t>2</w:t>
            </w:r>
            <w:r>
              <w:rPr>
                <w:lang w:eastAsia="ja-JP"/>
              </w:rPr>
              <w:t>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generowanie map ADC (</w:t>
            </w:r>
            <w:proofErr w:type="spellStart"/>
            <w:r>
              <w:rPr>
                <w:lang w:eastAsia="ja-JP"/>
              </w:rPr>
              <w:t>Apparent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Diffusion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Coef</w:t>
            </w:r>
            <w:proofErr w:type="spellEnd"/>
            <w:r>
              <w:rPr>
                <w:lang w:eastAsia="ja-JP"/>
              </w:rPr>
              <w:t xml:space="preserve">.) na konsoli podstawowej przy badaniach DWI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podatności, na styku tkanki miękkiej i powietrza w badaniach DWI (RESOLVE, DWI Propeller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DWI w oparciu o EPI w ograniczonym i powiększonym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>, możliwe dzięki technologii selektywnego pobudzania fragmentu obrazowanej warstwy lub objętości (</w:t>
            </w:r>
            <w:proofErr w:type="spellStart"/>
            <w:r>
              <w:rPr>
                <w:lang w:eastAsia="ja-JP"/>
              </w:rPr>
              <w:t>ZOOMit</w:t>
            </w:r>
            <w:proofErr w:type="spellEnd"/>
            <w:r>
              <w:rPr>
                <w:lang w:eastAsia="ja-JP"/>
              </w:rPr>
              <w:t xml:space="preserve"> PRO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służąca do drastycznej redukcji czasu akwizycji oraz zwiększenia rozdzielczości przestrzennej i dyfuzyjnej w badaniach DWI polegająca na pobudzeniu i odczycie wielu warstw jednocześnie bez utraty SNR wynikającego z pod-próbkowania, działająca w oparciu o wielopasmowy impuls pobudzający połączony z zaawansowaną ultraszybką akwizycją równoległą (</w:t>
            </w:r>
            <w:proofErr w:type="spellStart"/>
            <w:r>
              <w:rPr>
                <w:lang w:eastAsia="ja-JP"/>
              </w:rPr>
              <w:t>Simultaneous</w:t>
            </w:r>
            <w:proofErr w:type="spellEnd"/>
            <w:r>
              <w:rPr>
                <w:lang w:eastAsia="ja-JP"/>
              </w:rPr>
              <w:t xml:space="preserve"> Multi-</w:t>
            </w:r>
            <w:proofErr w:type="spellStart"/>
            <w:r>
              <w:rPr>
                <w:lang w:eastAsia="ja-JP"/>
              </w:rPr>
              <w:t>Slice</w:t>
            </w:r>
            <w:proofErr w:type="spellEnd"/>
            <w:r>
              <w:rPr>
                <w:lang w:eastAsia="ja-JP"/>
              </w:rPr>
              <w:t xml:space="preserve">, SMS-DWI, </w:t>
            </w:r>
            <w:proofErr w:type="spellStart"/>
            <w:r>
              <w:rPr>
                <w:lang w:eastAsia="ja-JP"/>
              </w:rPr>
              <w:t>HyperBand</w:t>
            </w:r>
            <w:proofErr w:type="spellEnd"/>
            <w:r>
              <w:rPr>
                <w:lang w:eastAsia="ja-JP"/>
              </w:rPr>
              <w:t xml:space="preserve"> lub zgodnie z nomenklaturą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  <w:rPr>
                <w:color w:val="FF0000"/>
              </w:rPr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Specjalna aplikacja pozwalająca na kalkulacje obrazów DWI zależnych o wartości współczynnika b z zakresu co najmniej 100 – 2000 s/mm2 na podstawie akwizycji DWI, Aplikacja działająca po zakończeniu akwizycji (MAGIC DWI</w:t>
            </w:r>
            <w:r w:rsidR="00801EBE">
              <w:rPr>
                <w:lang w:eastAsia="ja-JP"/>
              </w:rPr>
              <w:t xml:space="preserve">, </w:t>
            </w:r>
            <w:proofErr w:type="spellStart"/>
            <w:r w:rsidR="00801EBE">
              <w:rPr>
                <w:lang w:eastAsia="ja-JP"/>
              </w:rPr>
              <w:t>Calculated</w:t>
            </w:r>
            <w:proofErr w:type="spellEnd"/>
            <w:r w:rsidR="00801EBE">
              <w:rPr>
                <w:lang w:eastAsia="ja-JP"/>
              </w:rPr>
              <w:t xml:space="preserve"> DWI</w:t>
            </w:r>
            <w:r>
              <w:rPr>
                <w:lang w:eastAsia="ja-JP"/>
              </w:rPr>
              <w:t xml:space="preserve"> lub odpowiednik), zintegrowana z konsolą operatorską (interfejsem użytkownika).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b/>
                <w:bCs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tensora dyfuzji</w:t>
            </w:r>
            <w:r>
              <w:rPr>
                <w:lang w:eastAsia="ja-JP"/>
              </w:rPr>
              <w:t xml:space="preserve"> (DTI)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DTI w oparciu o Single 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Pomiary dyfuzji kierunkowej z różnymi wartościami współczynnika b w DTI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fr-FR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Maksymalna liczba kierunków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t>≥ 128</w:t>
            </w:r>
            <w:r>
              <w:rPr>
                <w:lang w:eastAsia="ja-JP"/>
              </w:rPr>
              <w:t>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[n]</w:t>
            </w:r>
          </w:p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Wartość największa – 2 pkt.</w:t>
            </w:r>
          </w:p>
          <w:p w:rsidR="00B17D7B" w:rsidRDefault="009401C7">
            <w:pPr>
              <w:spacing w:before="40" w:after="40"/>
            </w:pPr>
            <w:r>
              <w:t>Wartość najmniejsza – 0 pkt.</w:t>
            </w:r>
          </w:p>
          <w:p w:rsidR="00B17D7B" w:rsidRDefault="009401C7">
            <w:pPr>
              <w:spacing w:before="40" w:after="40"/>
            </w:pPr>
            <w:r>
              <w:t xml:space="preserve">Pozostałe – </w:t>
            </w:r>
            <w:r>
              <w:lastRenderedPageBreak/>
              <w:t>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perfuzji</w:t>
            </w:r>
            <w:r>
              <w:rPr>
                <w:lang w:eastAsia="ja-JP"/>
              </w:rPr>
              <w:t xml:space="preserve"> (PWI)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t>Perfuzja z wykorzystaniem technik DCE, DSC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PWI w oparciu o 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EPI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generowanie map MTT, CBV i CBF na konsoli</w:t>
            </w:r>
            <w:r w:rsidR="00131B75">
              <w:rPr>
                <w:lang w:eastAsia="ja-JP"/>
              </w:rPr>
              <w:t xml:space="preserve"> podstawowej przy badaniach PWI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7.4.4.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perfuzja 2D lub 3D</w:t>
            </w:r>
            <w:r>
              <w:t xml:space="preserve"> </w:t>
            </w:r>
            <w:r>
              <w:rPr>
                <w:lang w:eastAsia="ja-JP"/>
              </w:rPr>
              <w:t>mózgu typu ASL (</w:t>
            </w:r>
            <w:proofErr w:type="spellStart"/>
            <w:r>
              <w:rPr>
                <w:lang w:eastAsia="ja-JP"/>
              </w:rPr>
              <w:t>Arterial</w:t>
            </w:r>
            <w:proofErr w:type="spellEnd"/>
            <w:r>
              <w:rPr>
                <w:lang w:eastAsia="ja-JP"/>
              </w:rPr>
              <w:t xml:space="preserve"> Spin </w:t>
            </w:r>
            <w:proofErr w:type="spellStart"/>
            <w:r>
              <w:rPr>
                <w:lang w:eastAsia="ja-JP"/>
              </w:rPr>
              <w:t>Labeling</w:t>
            </w:r>
            <w:proofErr w:type="spellEnd"/>
            <w:r>
              <w:rPr>
                <w:lang w:eastAsia="ja-JP"/>
              </w:rPr>
              <w:t xml:space="preserve">) </w:t>
            </w:r>
            <w:r>
              <w:t xml:space="preserve">wykorzystująca co najmniej technikę </w:t>
            </w:r>
            <w:proofErr w:type="spellStart"/>
            <w:r>
              <w:t>pCASL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podać nazwę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Obrazowanie podatności magnetycznej</w:t>
            </w:r>
            <w:r>
              <w:rPr>
                <w:lang w:eastAsia="ja-JP"/>
              </w:rPr>
              <w:t xml:space="preserve"> (SWI)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Obrazowanie ważone podatnością magnetyczną tkanki (SWI) – </w:t>
            </w:r>
            <w:proofErr w:type="spellStart"/>
            <w:r>
              <w:rPr>
                <w:lang w:eastAsia="ja-JP"/>
              </w:rPr>
              <w:t>Susceptibility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Weighted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>, SWAN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Spektroskopia </w:t>
            </w:r>
            <w:r>
              <w:rPr>
                <w:lang w:eastAsia="ja-JP"/>
              </w:rPr>
              <w:t>(MRS)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Single </w:t>
            </w:r>
            <w:proofErr w:type="spellStart"/>
            <w:r>
              <w:rPr>
                <w:lang w:eastAsia="ja-JP"/>
              </w:rPr>
              <w:t>Voxel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Spectroscopy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SVS MRS)</w:t>
            </w:r>
            <w:r>
              <w:rPr>
                <w:lang w:eastAsia="ja-JP"/>
              </w:rPr>
              <w:br/>
              <w:t xml:space="preserve"> z zastosowaniem techniki STEAM i PRESS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2D </w:t>
            </w:r>
            <w:proofErr w:type="spellStart"/>
            <w:r>
              <w:rPr>
                <w:lang w:eastAsia="ja-JP"/>
              </w:rPr>
              <w:t>Chemical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Shift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2DCSI 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Spektroskopia protonowa typu 3D </w:t>
            </w:r>
            <w:proofErr w:type="spellStart"/>
            <w:r>
              <w:rPr>
                <w:lang w:eastAsia="ja-JP"/>
              </w:rPr>
              <w:t>Chemical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Shift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 xml:space="preserve">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>H 3DCSI MRS)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rPr>
                <w:color w:val="000000" w:themeColor="text1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mózgu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prostaty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serca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7.6.7.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Badania spektroskopowe piersi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Badania funkcjonalne</w:t>
            </w:r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b/>
                <w:lang w:eastAsia="ja-JP"/>
              </w:rPr>
            </w:pPr>
            <w:r>
              <w:t>Badania funkcjonalne mózgu (</w:t>
            </w:r>
            <w:proofErr w:type="spellStart"/>
            <w:r>
              <w:t>fMRI</w:t>
            </w:r>
            <w:proofErr w:type="spellEnd"/>
            <w:r>
              <w:t>) w oparciu o techniki BOLD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Nawigator 3D retrospektywny dla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mózgu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val="en-US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Nawigator 3D prospektywny dla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mózgu dokonujący automatycznej korekcji artefaktów ruchowych w czasie rzeczywistym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Tworzenie map aktywacji</w:t>
            </w:r>
            <w:r w:rsidR="00131B75">
              <w:rPr>
                <w:lang w:eastAsia="ja-JP"/>
              </w:rPr>
              <w:t xml:space="preserve"> (t-test) w czasie rzeczywistym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Wyzwalanie sekwencji obrazujących z zewnętrznego urządzenia (</w:t>
            </w:r>
            <w:proofErr w:type="spellStart"/>
            <w:r>
              <w:rPr>
                <w:lang w:eastAsia="ja-JP"/>
              </w:rPr>
              <w:t>trigger</w:t>
            </w:r>
            <w:proofErr w:type="spellEnd"/>
            <w:r>
              <w:rPr>
                <w:lang w:eastAsia="ja-JP"/>
              </w:rPr>
              <w:t xml:space="preserve"> in)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Wysyłanie przez skaner sygnału synchronizacji do zewnętrznego urządzenia (</w:t>
            </w:r>
            <w:proofErr w:type="spellStart"/>
            <w:r>
              <w:rPr>
                <w:lang w:eastAsia="ja-JP"/>
              </w:rPr>
              <w:t>trigger</w:t>
            </w:r>
            <w:proofErr w:type="spellEnd"/>
            <w:r>
              <w:rPr>
                <w:lang w:eastAsia="ja-JP"/>
              </w:rPr>
              <w:t xml:space="preserve"> out)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Budowanie własnych paradygmatów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Aplikacje do zaawansowanego </w:t>
            </w:r>
            <w:proofErr w:type="spellStart"/>
            <w:r>
              <w:rPr>
                <w:lang w:eastAsia="ja-JP"/>
              </w:rPr>
              <w:t>postprocessingu</w:t>
            </w:r>
            <w:proofErr w:type="spellEnd"/>
            <w:r>
              <w:rPr>
                <w:lang w:eastAsia="ja-JP"/>
              </w:rPr>
              <w:t xml:space="preserve"> badań czynnościowych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 typu Brain </w:t>
            </w:r>
            <w:proofErr w:type="spellStart"/>
            <w:r>
              <w:rPr>
                <w:lang w:eastAsia="ja-JP"/>
              </w:rPr>
              <w:t>Wave</w:t>
            </w:r>
            <w:proofErr w:type="spellEnd"/>
            <w:r>
              <w:rPr>
                <w:lang w:eastAsia="ja-JP"/>
              </w:rPr>
              <w:t xml:space="preserve"> PA, </w:t>
            </w:r>
            <w:proofErr w:type="spellStart"/>
            <w:r>
              <w:rPr>
                <w:lang w:eastAsia="ja-JP"/>
              </w:rPr>
              <w:t>syngo.Neuro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  <w:r>
              <w:rPr>
                <w:lang w:eastAsia="ja-JP"/>
              </w:rPr>
              <w:t xml:space="preserve">, BOLD </w:t>
            </w:r>
            <w:proofErr w:type="spellStart"/>
            <w:r>
              <w:rPr>
                <w:lang w:eastAsia="ja-JP"/>
              </w:rPr>
              <w:t>Specialist</w:t>
            </w:r>
            <w:proofErr w:type="spellEnd"/>
            <w:r>
              <w:rPr>
                <w:lang w:eastAsia="ja-JP"/>
              </w:rPr>
              <w:t xml:space="preserve">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podać nazwę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7.7.9.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 xml:space="preserve">Korekcja zniekształceń geometrycznych EPI (EPI </w:t>
            </w:r>
            <w:proofErr w:type="spellStart"/>
            <w:r>
              <w:t>Distortion</w:t>
            </w:r>
            <w:proofErr w:type="spellEnd"/>
            <w:r>
              <w:t>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Angiografia </w:t>
            </w:r>
            <w:r>
              <w:rPr>
                <w:lang w:eastAsia="ja-JP"/>
              </w:rPr>
              <w:t>(MRA)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Bezkontrastowa</w:t>
            </w:r>
            <w:proofErr w:type="spellEnd"/>
            <w:r>
              <w:rPr>
                <w:lang w:val="en-US" w:eastAsia="ja-JP"/>
              </w:rPr>
              <w:t xml:space="preserve"> MRA </w:t>
            </w:r>
            <w:proofErr w:type="spellStart"/>
            <w:r>
              <w:rPr>
                <w:lang w:val="en-US" w:eastAsia="ja-JP"/>
              </w:rPr>
              <w:t>techniką</w:t>
            </w:r>
            <w:proofErr w:type="spellEnd"/>
            <w:r>
              <w:rPr>
                <w:lang w:val="en-US" w:eastAsia="ja-JP"/>
              </w:rPr>
              <w:t xml:space="preserve"> Time-of-Flight MRA (</w:t>
            </w:r>
            <w:proofErr w:type="spellStart"/>
            <w:r>
              <w:rPr>
                <w:lang w:val="en-US" w:eastAsia="ja-JP"/>
              </w:rPr>
              <w:t>ToF</w:t>
            </w:r>
            <w:proofErr w:type="spellEnd"/>
            <w:r>
              <w:rPr>
                <w:lang w:val="en-US" w:eastAsia="ja-JP"/>
              </w:rPr>
              <w:t>) 2D i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Contrast</w:t>
            </w:r>
            <w:proofErr w:type="spellEnd"/>
            <w:r>
              <w:rPr>
                <w:lang w:eastAsia="ja-JP"/>
              </w:rPr>
              <w:t xml:space="preserve"> MRA (PC) 2D i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  <w:rPr>
                <w:lang w:eastAsia="ja-JP"/>
              </w:rPr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innego typu niż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PC, przeznaczona do obrazowania tętniczych i żylnych naczyń abdominalnych – INHANCE, NATIVE, TRANCE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7.8.4.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Bezkontrastowa</w:t>
            </w:r>
            <w:proofErr w:type="spellEnd"/>
            <w:r>
              <w:rPr>
                <w:lang w:eastAsia="ja-JP"/>
              </w:rPr>
              <w:t xml:space="preserve"> MRA techniką innego typu niż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PC, przeznaczona do obrazowania tętniczych i żylnych naczyń peryferyjnych z wysoką rozdzielczością przestrzenną – INHANCE, NATIVE, TRANCE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Kontrastowe MRA (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Dynamiczne 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 xml:space="preserve">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Dynamiczne </w:t>
            </w:r>
            <w:proofErr w:type="spellStart"/>
            <w:r>
              <w:rPr>
                <w:lang w:eastAsia="ja-JP"/>
              </w:rPr>
              <w:t>ceMRA</w:t>
            </w:r>
            <w:proofErr w:type="spellEnd"/>
            <w:r>
              <w:rPr>
                <w:lang w:eastAsia="ja-JP"/>
              </w:rPr>
              <w:t xml:space="preserve">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7.8.8.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Automatyczne śledzenie napływu środka kontrastowego – </w:t>
            </w:r>
            <w:proofErr w:type="spellStart"/>
            <w:r>
              <w:rPr>
                <w:lang w:eastAsia="ja-JP"/>
              </w:rPr>
              <w:t>SmartPrep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Care</w:t>
            </w:r>
            <w:proofErr w:type="spellEnd"/>
            <w:r>
              <w:rPr>
                <w:lang w:eastAsia="ja-JP"/>
              </w:rPr>
              <w:t xml:space="preserve"> Bolus, Bolus Trak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B17D7B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lastRenderedPageBreak/>
              <w:t>7.8.9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Techniki </w:t>
            </w:r>
            <w:proofErr w:type="spellStart"/>
            <w:r>
              <w:rPr>
                <w:lang w:eastAsia="ja-JP"/>
              </w:rPr>
              <w:t>bezkontrastowej</w:t>
            </w:r>
            <w:proofErr w:type="spellEnd"/>
            <w:r>
              <w:rPr>
                <w:lang w:eastAsia="ja-JP"/>
              </w:rPr>
              <w:t xml:space="preserve"> angiografii (inne niż  ww. </w:t>
            </w:r>
            <w:proofErr w:type="spellStart"/>
            <w:r>
              <w:rPr>
                <w:lang w:eastAsia="ja-JP"/>
              </w:rPr>
              <w:t>ToF</w:t>
            </w:r>
            <w:proofErr w:type="spellEnd"/>
            <w:r>
              <w:rPr>
                <w:lang w:eastAsia="ja-JP"/>
              </w:rPr>
              <w:t xml:space="preserve"> i PC oraz inne niż techniki opisane w punktach powyżej m.in. INHANCE, NATIVE, TRANCE), przeznaczone do obrazowania dużych obszarów tętniczych naczyń peryferyjnych z wysoką rozdzielczością przestrzenną pozwalające na analizę wzmocnienia patologicznego w guzach, odporne na zakłócenia – QISS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B17D7B" w:rsidRDefault="009401C7">
            <w:pPr>
              <w:snapToGrid w:val="0"/>
              <w:spacing w:before="40" w:after="40"/>
            </w:pPr>
            <w:r>
              <w:t>Tak/Nie;</w:t>
            </w:r>
          </w:p>
          <w:p w:rsidR="00B17D7B" w:rsidRDefault="009401C7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9401C7">
            <w:pPr>
              <w:spacing w:before="40" w:after="40"/>
            </w:pPr>
            <w:r>
              <w:t>Tak – 2 pkt.</w:t>
            </w:r>
          </w:p>
          <w:p w:rsidR="00B17D7B" w:rsidRDefault="009401C7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17D7B" w:rsidRDefault="00B17D7B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7.8.10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 w:rsidRPr="007A15F5">
              <w:rPr>
                <w:lang w:eastAsia="ja-JP"/>
              </w:rPr>
              <w:t>Specjalna sekwencja 3D pracująca z parametrem TE ≤ 20 µs, widocznym w parametrach sekwencji, możliwa do wykonania co najmniej na jednej z zaoferowanych cewek wielokanałowych.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Tak – </w:t>
            </w:r>
            <w:r w:rsidRPr="003C3EC9">
              <w:rPr>
                <w:strike/>
                <w:color w:val="00B050"/>
              </w:rPr>
              <w:t>2 pkt.</w:t>
            </w:r>
            <w:r w:rsidR="00643D5E" w:rsidRPr="003C3EC9">
              <w:rPr>
                <w:strike/>
                <w:color w:val="00B050"/>
              </w:rPr>
              <w:t xml:space="preserve"> </w:t>
            </w:r>
            <w:r w:rsidR="00643D5E" w:rsidRPr="003C3EC9">
              <w:rPr>
                <w:color w:val="00B050"/>
              </w:rPr>
              <w:t>4 pkt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Badania kardiologiczne </w:t>
            </w:r>
            <w:r>
              <w:rPr>
                <w:lang w:eastAsia="ja-JP"/>
              </w:rPr>
              <w:t>(CMR)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Podstawowe protokoły do badań </w:t>
            </w:r>
            <w:r>
              <w:rPr>
                <w:lang w:eastAsia="ja-JP"/>
              </w:rPr>
              <w:t>CMR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Badania CMR z tłumieniem sygnału krwi (Dark Blood </w:t>
            </w:r>
            <w:proofErr w:type="spellStart"/>
            <w:r>
              <w:t>Imaging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First-Pass </w:t>
            </w:r>
            <w:proofErr w:type="spellStart"/>
            <w:r>
              <w:t>Perfusion</w:t>
            </w:r>
            <w:proofErr w:type="spellEnd"/>
            <w:r>
              <w:t xml:space="preserve"> (perfuzja pierwszego przejścia)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proofErr w:type="spellStart"/>
            <w:r>
              <w:t>Delayed</w:t>
            </w:r>
            <w:proofErr w:type="spellEnd"/>
            <w:r>
              <w:t xml:space="preserve"> Enhancement 2D (ocena opóźnionego wzmocnienia kontrastowego 2D)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iCs/>
              </w:rPr>
            </w:pPr>
            <w:proofErr w:type="spellStart"/>
            <w:r>
              <w:t>Delayed</w:t>
            </w:r>
            <w:proofErr w:type="spellEnd"/>
            <w:r>
              <w:t xml:space="preserve"> Enhancement  3D (ocena opóźnionego wzmocnienia kontrastowego 3D)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Obrazowanie tętnic wieńcowych (SSFP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, 3D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, 3D </w:t>
            </w:r>
            <w:proofErr w:type="spellStart"/>
            <w:r>
              <w:t>Heart</w:t>
            </w:r>
            <w:proofErr w:type="spellEnd"/>
            <w:r>
              <w:t xml:space="preserve">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>Nawigator kardiologiczny (bramkowanie w oparciu o monitorowanie ruchu przepony)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Sekwencje do wykrywania koncentracji żelaza w mięśniu sercowym i innych tkankach wraz z oprogramowaniem </w:t>
            </w:r>
            <w:proofErr w:type="spellStart"/>
            <w:r>
              <w:t>postprocessingowym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</w:pPr>
            <w:r>
              <w:t xml:space="preserve">Sekwencje do analizy ilościowej przepływów krwi w sercu i naczyniach (2d </w:t>
            </w:r>
            <w:proofErr w:type="spellStart"/>
            <w:r>
              <w:t>qflow</w:t>
            </w:r>
            <w:proofErr w:type="spellEnd"/>
            <w:r>
              <w:t xml:space="preserve"> oraz 4d </w:t>
            </w:r>
            <w:proofErr w:type="spellStart"/>
            <w:r>
              <w:t>flow</w:t>
            </w:r>
            <w:proofErr w:type="spellEnd"/>
            <w: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iCs/>
              </w:rPr>
            </w:pPr>
            <w:r>
              <w:t>Dedykowane oprogramowanie umożliwiające pikselową kwantyfikację tkanki mięśnia sercowego typu T1, T2 i prezentację wyników w formie kolorowych map parametrycznych T1, T2 serca, działające z automatyczną korekcją ruchu, służące do obrazowania obrzęku mięśnia sercowego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7.9.11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Dedykowane oprogramowanie umożliwiające zautomatyzowane przeprowadzanie badań serca - </w:t>
            </w:r>
            <w:proofErr w:type="spellStart"/>
            <w:r>
              <w:rPr>
                <w:lang w:eastAsia="ja-JP"/>
              </w:rPr>
              <w:t>Cardiac</w:t>
            </w:r>
            <w:proofErr w:type="spellEnd"/>
            <w:r>
              <w:rPr>
                <w:lang w:eastAsia="ja-JP"/>
              </w:rPr>
              <w:t xml:space="preserve"> DOT Engine. Badanie przeprowadzone w sposób ograniczający ilość kroków i wyposażone co najmniej w następujące mechanizmy takie jak: 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instrukcje dla użytkownika „krok po kroku” zintegrowane z procedurą badania,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obrazy i wskazówki tekstowe wyświetlane dla każdego kroku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- automatyczne propagowanie zaplanowanych warstw do wszystkich sekwencji w tych samych płaszczyznach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automatyczne komendy głosowe dla pacjenta przy badaniach na wstrzymanym oddechu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automatyczna lokalizacja tzw. </w:t>
            </w:r>
            <w:r w:rsidR="00C648A5">
              <w:rPr>
                <w:lang w:eastAsia="ja-JP"/>
              </w:rPr>
              <w:t>Nawigatora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automatyczny dobór optymalnej cewki do danej sekwencji/badania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automatyczne rekonstrukcje, np. dla sekwencji </w:t>
            </w:r>
            <w:proofErr w:type="spellStart"/>
            <w:r>
              <w:rPr>
                <w:lang w:eastAsia="ja-JP"/>
              </w:rPr>
              <w:t>angio</w:t>
            </w:r>
            <w:proofErr w:type="spellEnd"/>
            <w:r>
              <w:rPr>
                <w:lang w:eastAsia="ja-JP"/>
              </w:rPr>
              <w:t>, 3D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wyświetlanie krzywych bramkowanie (EKG, oddechowego, </w:t>
            </w:r>
            <w:proofErr w:type="spellStart"/>
            <w:r>
              <w:rPr>
                <w:lang w:eastAsia="ja-JP"/>
              </w:rPr>
              <w:t>obwodowego-PG</w:t>
            </w:r>
            <w:proofErr w:type="spellEnd"/>
            <w:r>
              <w:rPr>
                <w:lang w:eastAsia="ja-JP"/>
              </w:rPr>
              <w:t>) na aparacie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- automatyczną optymalizację sekwencji na wstrzymanym oddechu</w:t>
            </w:r>
          </w:p>
          <w:p w:rsidR="007A15F5" w:rsidRDefault="007A15F5" w:rsidP="007A15F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 xml:space="preserve">- wyświetlanie rozmiaru </w:t>
            </w:r>
            <w:proofErr w:type="spellStart"/>
            <w:r>
              <w:rPr>
                <w:lang w:eastAsia="ja-JP"/>
              </w:rPr>
              <w:t>pixela</w:t>
            </w:r>
            <w:proofErr w:type="spellEnd"/>
            <w:r>
              <w:rPr>
                <w:lang w:eastAsia="ja-JP"/>
              </w:rPr>
              <w:t xml:space="preserve"> oraz </w:t>
            </w:r>
            <w:proofErr w:type="spellStart"/>
            <w:r>
              <w:rPr>
                <w:lang w:eastAsia="ja-JP"/>
              </w:rPr>
              <w:t>bandwidth</w:t>
            </w:r>
            <w:proofErr w:type="spellEnd"/>
            <w:r>
              <w:rPr>
                <w:lang w:eastAsia="ja-JP"/>
              </w:rPr>
              <w:t xml:space="preserve"> (potrzebne przy planowaniu sekwencji lub badań naukowych)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4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AF1C61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lastRenderedPageBreak/>
              <w:t>7.9.12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AF1C61" w:rsidRPr="003C3EC9" w:rsidRDefault="00AF1C61" w:rsidP="007A15F5">
            <w:pPr>
              <w:snapToGrid w:val="0"/>
              <w:rPr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 xml:space="preserve">Technika przyspieszająca obrazowanie funkcjonalne typu </w:t>
            </w:r>
            <w:proofErr w:type="spellStart"/>
            <w:r w:rsidRPr="003C3EC9">
              <w:rPr>
                <w:color w:val="00B050"/>
                <w:lang w:eastAsia="ja-JP"/>
              </w:rPr>
              <w:t>Cine</w:t>
            </w:r>
            <w:proofErr w:type="spellEnd"/>
            <w:r w:rsidRPr="003C3EC9">
              <w:rPr>
                <w:color w:val="00B050"/>
                <w:lang w:eastAsia="ja-JP"/>
              </w:rPr>
              <w:t>, bazująca na numerycznych metodach skompresowanego próbkowania i rekonstrukcji iteracyjnej, umożliwiającej poprawę rozdzielczości przestrzennej lub czasowej znacznie skracając czas skanowania (</w:t>
            </w:r>
            <w:proofErr w:type="spellStart"/>
            <w:r w:rsidRPr="003C3EC9">
              <w:rPr>
                <w:color w:val="00B050"/>
                <w:lang w:eastAsia="ja-JP"/>
              </w:rPr>
              <w:t>Compressed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Sensing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Cardiac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 </w:t>
            </w:r>
            <w:proofErr w:type="spellStart"/>
            <w:r w:rsidRPr="003C3EC9">
              <w:rPr>
                <w:color w:val="00B050"/>
                <w:lang w:eastAsia="ja-JP"/>
              </w:rPr>
              <w:t>Cine</w:t>
            </w:r>
            <w:proofErr w:type="spellEnd"/>
            <w:r w:rsidRPr="003C3EC9">
              <w:rPr>
                <w:color w:val="00B050"/>
                <w:lang w:eastAsia="ja-JP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Tak/Nie</w:t>
            </w:r>
          </w:p>
          <w:p w:rsidR="00AF1C61" w:rsidRPr="003C3EC9" w:rsidRDefault="00AF1C61" w:rsidP="007A15F5">
            <w:pPr>
              <w:snapToGrid w:val="0"/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F1C61" w:rsidRPr="003C3EC9" w:rsidRDefault="005A3676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Tak – 2</w:t>
            </w:r>
            <w:r w:rsidR="00AF1C61" w:rsidRPr="003C3EC9">
              <w:rPr>
                <w:color w:val="00B050"/>
              </w:rPr>
              <w:t xml:space="preserve"> pkt</w:t>
            </w:r>
          </w:p>
          <w:p w:rsidR="00AF1C61" w:rsidRPr="003C3EC9" w:rsidRDefault="00AF1C6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F1C61" w:rsidRDefault="00AF1C61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w obszarze abdominalnym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xl42"/>
              <w:snapToGrid w:val="0"/>
              <w:spacing w:before="40" w:after="40"/>
              <w:textAlignment w:val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Pakiet do dynamicznych badań wątroby – LAVA, VIBE, THRIVE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Cholangiografia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dyfuzyjne w obszarze abdominalnym – REVEAL, DWIBS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Nawigator 2D</w:t>
            </w:r>
            <w:r>
              <w:t xml:space="preserve"> prospektywny</w:t>
            </w:r>
            <w:r>
              <w:rPr>
                <w:lang w:eastAsia="ja-JP"/>
              </w:rPr>
              <w:t xml:space="preserve">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7.10.5.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Dedykowana sekwencja do przeprowadzania badań kontrastowych, dynamicznych w trybie akwizycji ciągłej ze swobodnym oddechem pacjenta z retrospektywną i automatyczną rekonstrukcją faz badania na podstawie uzyskanych pomiarów ciągłych oraz z eksportem wybranych faz lub wszystkich danych dynamicznych (</w:t>
            </w:r>
            <w:proofErr w:type="spellStart"/>
            <w:r>
              <w:rPr>
                <w:lang w:eastAsia="ja-JP"/>
              </w:rPr>
              <w:t>Compressed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Sensing</w:t>
            </w:r>
            <w:proofErr w:type="spellEnd"/>
            <w:r>
              <w:rPr>
                <w:lang w:eastAsia="ja-JP"/>
              </w:rPr>
              <w:t xml:space="preserve"> GRASP-VIBE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Dedykowana sekwencja do przeprowadzania badań 3D tułowia niewrażliwych na artefakty ruchowe bez konieczności wstrzymywania oddechu przez pacjenta opartą o mechanizm radialnej akwizycji przestrzeni k (STAR-VIBE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7.10.7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r>
              <w:rPr>
                <w:lang w:eastAsia="ja-JP"/>
              </w:rPr>
              <w:t>Dedykowane oprogramowanie umożliwiające zautomatyzowane przeprowadzanie badań wątroby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wątroby na podstawie jego cech anatomicznych wraz z mapowaniem parametrycznym (</w:t>
            </w:r>
            <w:proofErr w:type="spellStart"/>
            <w:r>
              <w:rPr>
                <w:lang w:eastAsia="ja-JP"/>
              </w:rPr>
              <w:t>LiverLab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Dot</w:t>
            </w:r>
            <w:proofErr w:type="spellEnd"/>
            <w:r>
              <w:rPr>
                <w:lang w:eastAsia="ja-JP"/>
              </w:rPr>
              <w:t xml:space="preserve"> Engine lub równoważne zgodnie z nomenklaturą producenta.)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3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7.10.8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Dedykowana sekwencja obrazująca umożliwiająca wykonywanie bardzo szybkich badań dynamicznych 4D wątroby o wysokiej rozdzielczości przestrzennej i czasowej, pozwalająca na uchwycenie wielu momentów czasowych fazy tętniczej (TWIST-VIBE, DISCO lub odpowiednio do nomenklatury producenta)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ortopedyczne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Podstawowe i zaawansowane protokoły i sekwencje pomiarowe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barku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nadgarstka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stawu kolanowego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Badania stawu skokowego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Mapowanie parametryczne tkanki, w tym chrząstki stawu, pozwalające na otrzymanie map parametrycznych dla właściwości T1, T2, T2*, R2 i R2* obrazowanej tkanki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służąca do drastycznej redukcji czasu akwizycji oraz zwiększenia rozdzielczości przestrzennej w badaniach TSE/FSE polegająca na pobudzeniu i odczycie wielu warstw jednocześnie bez utraty SNR wynikającego z pod-próbkowania, działająca w oparciu o wielopasmowy impuls pobudzający połączony z zaawansowaną ultraszybką akwizycją równoległą z możliwością wykorzystania co najmniej w badaniach głowy, kręgosłupa, stawów oraz piersi (</w:t>
            </w:r>
            <w:proofErr w:type="spellStart"/>
            <w:r>
              <w:rPr>
                <w:lang w:eastAsia="ja-JP"/>
              </w:rPr>
              <w:t>Simultaneous</w:t>
            </w:r>
            <w:proofErr w:type="spellEnd"/>
            <w:r>
              <w:rPr>
                <w:lang w:eastAsia="ja-JP"/>
              </w:rPr>
              <w:t xml:space="preserve"> Multi-</w:t>
            </w:r>
            <w:proofErr w:type="spellStart"/>
            <w:r>
              <w:rPr>
                <w:lang w:eastAsia="ja-JP"/>
              </w:rPr>
              <w:t>Slice</w:t>
            </w:r>
            <w:proofErr w:type="spellEnd"/>
            <w:r>
              <w:rPr>
                <w:lang w:eastAsia="ja-JP"/>
              </w:rPr>
              <w:t xml:space="preserve"> TSE, SMS-TSE, lub zgodnie z nomenklaturą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Badania piersi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Pakiet do szybkiego, dynamicznego obrazowania z wysoką rozdzielczością piersi, pozwalający na wykorzystanie technik równoległych (VIEWS+VIBE, VIBRANT, THRIVE+BLISS lub odpowiednio do </w:t>
            </w:r>
            <w:r>
              <w:rPr>
                <w:lang w:eastAsia="ja-JP"/>
              </w:rPr>
              <w:lastRenderedPageBreak/>
              <w:t>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7.13.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Badanie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DWI dla całego ciała (</w:t>
            </w:r>
            <w:proofErr w:type="spellStart"/>
            <w:r>
              <w:rPr>
                <w:lang w:eastAsia="ja-JP"/>
              </w:rPr>
              <w:t>whole</w:t>
            </w:r>
            <w:proofErr w:type="spellEnd"/>
            <w:r>
              <w:rPr>
                <w:lang w:eastAsia="ja-JP"/>
              </w:rPr>
              <w:t xml:space="preserve"> body DWI)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obrazowania T1-ważone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obrazowania STIR całego ciała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całego ciała za pomocą oprogramowania pozwalającego na uzyskanie podczas jednej akwizycji obrazów typu ,,in-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>, out-of-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water-only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fat-only</w:t>
            </w:r>
            <w:proofErr w:type="spellEnd"/>
            <w:r>
              <w:rPr>
                <w:lang w:eastAsia="ja-JP"/>
              </w:rPr>
              <w:t>’’ (IDEAL, DIXON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Obrazowanie równoległe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równoległe w oparciu o algorytmy na bazie rekonstrukcji obrazów (SENSE)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Maksymalny współczynnik przyspieszenia dla obrazowania równoległego </w:t>
            </w:r>
            <w:r>
              <w:rPr>
                <w:lang w:eastAsia="ja-JP"/>
              </w:rPr>
              <w:br/>
              <w:t>w jednym kierunku lub w dwóch kierunkach jednocześnie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≥ 8;</w:t>
            </w:r>
          </w:p>
          <w:p w:rsidR="007A15F5" w:rsidRDefault="007A15F5" w:rsidP="007A15F5">
            <w:pPr>
              <w:spacing w:before="40" w:after="40"/>
              <w:rPr>
                <w:u w:val="single"/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Techniki redukcji artefaktów ruchowych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T1</w:t>
            </w:r>
            <w:r>
              <w:rPr>
                <w:lang w:eastAsia="ja-JP"/>
              </w:rPr>
              <w:br/>
              <w:t>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T2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bCs/>
              </w:rPr>
              <w:t>7.15.3.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FLAIR - 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redukcji artefaktów ruchowych wspierająca obrazowanie ważone PD (BLADE, Propeller 3.0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Techniki spektralnej saturacji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7.16.1.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Częstotliwościowo selektywna saturacja tłuszczu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7.16.2.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Częstotliwościowo selektywna saturacja wody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7.17.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Bramkowanie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oddechowe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oddechowe retrospektywne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EKG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Cs/>
              </w:rPr>
            </w:pPr>
            <w:r>
              <w:rPr>
                <w:bCs/>
              </w:rPr>
              <w:t>7.17.4.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Bramkowanie EKG retrospektywne.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8. SEKWENCJE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8.1.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Spin Echo (SE)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Inversion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Recovery</w:t>
            </w:r>
            <w:proofErr w:type="spellEnd"/>
            <w:r>
              <w:rPr>
                <w:lang w:eastAsia="ja-JP"/>
              </w:rPr>
              <w:t xml:space="preserve"> (IR)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Gradient Echo (GRE)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2D i 3D SPGR, FLASH, T1-FFE lub odpowiednik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GRASS, FISP, FFE lub odpowiednik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Fast GRE z impulsami preparacyjnymi (</w:t>
            </w:r>
            <w:proofErr w:type="spellStart"/>
            <w:r>
              <w:rPr>
                <w:lang w:eastAsia="ja-JP"/>
              </w:rPr>
              <w:t>TurboFLASH</w:t>
            </w:r>
            <w:proofErr w:type="spellEnd"/>
            <w:r>
              <w:rPr>
                <w:lang w:eastAsia="ja-JP"/>
              </w:rPr>
              <w:t>, MPGRASS, TFE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Szybkie 3D GRE z </w:t>
            </w:r>
            <w:proofErr w:type="spellStart"/>
            <w:r>
              <w:rPr>
                <w:lang w:eastAsia="ja-JP"/>
              </w:rPr>
              <w:t>quick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saturation</w:t>
            </w:r>
            <w:proofErr w:type="spellEnd"/>
            <w:r>
              <w:rPr>
                <w:lang w:eastAsia="ja-JP"/>
              </w:rPr>
              <w:t xml:space="preserve"> (tj. tylko jeden impuls saturacji tłuszczu na cykl kodowania 3D) dla wysokorozdzielczego obrazowania 3D w obszarze brzucha przy zatrzymanym oddechu (VIBE, LAVA, THRIVE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val="sv-SE" w:eastAsia="ja-JP"/>
              </w:rPr>
            </w:pPr>
            <w:r>
              <w:rPr>
                <w:lang w:val="sv-SE" w:eastAsia="ja-JP"/>
              </w:rPr>
              <w:t>2D i 3D GRE z full transverse rephasing (TrueFISP, Balanced FFE, FIESTA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2D i 3D GRE z </w:t>
            </w:r>
            <w:proofErr w:type="spellStart"/>
            <w:r>
              <w:rPr>
                <w:lang w:eastAsia="ja-JP"/>
              </w:rPr>
              <w:t>full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transverse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rephasing</w:t>
            </w:r>
            <w:proofErr w:type="spellEnd"/>
            <w:r>
              <w:rPr>
                <w:lang w:eastAsia="ja-JP"/>
              </w:rPr>
              <w:t xml:space="preserve"> w kombinacji ze spektralną saturacją tłuszczu (</w:t>
            </w:r>
            <w:proofErr w:type="spellStart"/>
            <w:r>
              <w:rPr>
                <w:lang w:eastAsia="ja-JP"/>
              </w:rPr>
              <w:t>TrueFISP</w:t>
            </w:r>
            <w:proofErr w:type="spellEnd"/>
            <w:r>
              <w:rPr>
                <w:lang w:eastAsia="ja-JP"/>
              </w:rPr>
              <w:t xml:space="preserve"> with </w:t>
            </w:r>
            <w:proofErr w:type="spellStart"/>
            <w:r>
              <w:rPr>
                <w:lang w:eastAsia="ja-JP"/>
              </w:rPr>
              <w:t>Fat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Saturation</w:t>
            </w:r>
            <w:proofErr w:type="spellEnd"/>
            <w:r>
              <w:rPr>
                <w:lang w:eastAsia="ja-JP"/>
              </w:rPr>
              <w:t xml:space="preserve">, 3D </w:t>
            </w:r>
            <w:proofErr w:type="spellStart"/>
            <w:r>
              <w:rPr>
                <w:lang w:eastAsia="ja-JP"/>
              </w:rPr>
              <w:t>FatSat</w:t>
            </w:r>
            <w:proofErr w:type="spellEnd"/>
            <w:r>
              <w:rPr>
                <w:lang w:eastAsia="ja-JP"/>
              </w:rPr>
              <w:t xml:space="preserve"> FIESTA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2D i 3D GRE z RF-</w:t>
            </w:r>
            <w:proofErr w:type="spellStart"/>
            <w:r>
              <w:rPr>
                <w:lang w:eastAsia="ja-JP"/>
              </w:rPr>
              <w:t>rephasing</w:t>
            </w:r>
            <w:proofErr w:type="spellEnd"/>
            <w:r>
              <w:rPr>
                <w:lang w:eastAsia="ja-JP"/>
              </w:rPr>
              <w:t xml:space="preserve"> (PSIF, SSFP, T2-FFE lub odpowiedniki)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val="en-US" w:eastAsia="ja-JP"/>
              </w:rPr>
            </w:pPr>
            <w:r>
              <w:rPr>
                <w:lang w:val="en-US" w:eastAsia="ja-JP"/>
              </w:rPr>
              <w:t>Turbo Spin Echo, Fast Spin Echo (TSE, FSE)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Multi-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Single-</w:t>
            </w:r>
            <w:proofErr w:type="spellStart"/>
            <w:r>
              <w:rPr>
                <w:lang w:eastAsia="ja-JP"/>
              </w:rPr>
              <w:t>Shot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8.14.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Turbo IR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Izotropowe sekwencje 3D pozwalające w </w:t>
            </w:r>
            <w:proofErr w:type="spellStart"/>
            <w:r>
              <w:rPr>
                <w:lang w:eastAsia="ja-JP"/>
              </w:rPr>
              <w:t>postprocessingu</w:t>
            </w:r>
            <w:proofErr w:type="spellEnd"/>
            <w:r>
              <w:rPr>
                <w:lang w:eastAsia="ja-JP"/>
              </w:rPr>
              <w:t xml:space="preserve"> 3D na uzyskanie rekonstrukcji dowolnej płaszczyzny bez straty jakości (SPACE, BRAVO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Pakiet oprogramowania pozwalający na uzyskanie podczas jednej akwizycji obrazów typu ,,in-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>, out-of-</w:t>
            </w:r>
            <w:proofErr w:type="spellStart"/>
            <w:r>
              <w:rPr>
                <w:lang w:eastAsia="ja-JP"/>
              </w:rPr>
              <w:t>phase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water-only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fat-only</w:t>
            </w:r>
            <w:proofErr w:type="spellEnd"/>
            <w:r>
              <w:rPr>
                <w:lang w:eastAsia="ja-JP"/>
              </w:rPr>
              <w:t>’’ (IDEAL, DIXON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Sekwencja </w:t>
            </w:r>
            <w:proofErr w:type="spellStart"/>
            <w:r>
              <w:rPr>
                <w:lang w:eastAsia="ja-JP"/>
              </w:rPr>
              <w:t>Steady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State</w:t>
            </w:r>
            <w:proofErr w:type="spellEnd"/>
            <w:r>
              <w:rPr>
                <w:lang w:eastAsia="ja-JP"/>
              </w:rPr>
              <w:t xml:space="preserve"> 3D do badań drobnych struktur OUN (typu FIESTA-C, 3D CISS lub równoważne)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8.18.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Sekwencja </w:t>
            </w:r>
            <w:proofErr w:type="spellStart"/>
            <w:r>
              <w:rPr>
                <w:lang w:eastAsia="ja-JP"/>
              </w:rPr>
              <w:t>Steady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State</w:t>
            </w:r>
            <w:proofErr w:type="spellEnd"/>
            <w:r>
              <w:rPr>
                <w:lang w:eastAsia="ja-JP"/>
              </w:rPr>
              <w:t xml:space="preserve"> 3D do różnicowania chrząstki od płynu w badaniach stawów (typu 3D DESS lub równoważne)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Tak/Nie;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>jeżeli tak –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9. PARAMETRY SKANOWANIA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Parametry pola widzenia</w:t>
            </w:r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w płaszczyźnie poprzecznej X/Y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50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największa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najmniejsza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Maks.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  <w:r>
              <w:rPr>
                <w:lang w:eastAsia="ja-JP"/>
              </w:rPr>
              <w:t xml:space="preserve"> w osi podłużnej z (statycznie, bez przesuwu stołu pacjenta)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≥ </w:t>
            </w:r>
            <w:r>
              <w:rPr>
                <w:lang w:eastAsia="ja-JP"/>
              </w:rPr>
              <w:t>50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</w:t>
            </w:r>
            <w:proofErr w:type="spellStart"/>
            <w:r>
              <w:rPr>
                <w:lang w:eastAsia="ja-JP"/>
              </w:rPr>
              <w:t>FoV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1,0 cm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[cm]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Parametry akwizycyjne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akwizycyjna 1024 x 1024, bez interpolacji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rozmiar [n x 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grubość warstwy dla </w:t>
            </w:r>
            <w:proofErr w:type="spellStart"/>
            <w:r>
              <w:rPr>
                <w:lang w:eastAsia="ja-JP"/>
              </w:rPr>
              <w:t>skanów</w:t>
            </w:r>
            <w:proofErr w:type="spellEnd"/>
            <w:r>
              <w:rPr>
                <w:lang w:eastAsia="ja-JP"/>
              </w:rPr>
              <w:t xml:space="preserve"> 2D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0,1 mm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[mm]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9.2.3.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Min. grubość warstwy dla </w:t>
            </w:r>
            <w:proofErr w:type="spellStart"/>
            <w:r>
              <w:rPr>
                <w:lang w:eastAsia="ja-JP"/>
              </w:rPr>
              <w:t>skanów</w:t>
            </w:r>
            <w:proofErr w:type="spellEnd"/>
            <w:r>
              <w:rPr>
                <w:lang w:eastAsia="ja-JP"/>
              </w:rPr>
              <w:t xml:space="preserve">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0,1 mm</w:t>
            </w:r>
            <w:r>
              <w:t>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podać wartość </w:t>
            </w:r>
            <w:r>
              <w:rPr>
                <w:lang w:eastAsia="ja-JP"/>
              </w:rPr>
              <w:t>[mm]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Wartość najmniejsza – 2 pkt.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TR dla 3D GRE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strike/>
                <w:color w:val="00B050"/>
                <w:lang w:eastAsia="ja-JP"/>
              </w:rPr>
              <w:t>≤ 2,0 ms: podać wartość  [ms]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>≤ 1,1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najmniejsza –</w:t>
            </w:r>
            <w:r w:rsidR="0018162B" w:rsidRPr="003C3EC9">
              <w:rPr>
                <w:color w:val="00B050"/>
              </w:rPr>
              <w:t xml:space="preserve"> 2</w:t>
            </w:r>
            <w:r w:rsidRPr="003C3EC9">
              <w:rPr>
                <w:color w:val="00B050"/>
              </w:rPr>
              <w:t xml:space="preserve"> pkt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0 pkt</w:t>
            </w:r>
          </w:p>
          <w:p w:rsidR="00153B31" w:rsidRPr="003C3EC9" w:rsidRDefault="00153B31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TE dla 3D GRE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strike/>
                <w:color w:val="00B050"/>
                <w:lang w:eastAsia="ja-JP"/>
              </w:rPr>
              <w:t>≤ 0,29 ms: podać wartość  [ms]</w:t>
            </w:r>
          </w:p>
          <w:p w:rsidR="00153B31" w:rsidRPr="003C3EC9" w:rsidRDefault="00153B31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3C3EC9">
              <w:rPr>
                <w:color w:val="00B050"/>
                <w:lang w:eastAsia="ja-JP"/>
              </w:rPr>
              <w:t>≤ 0,22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53B31" w:rsidRPr="003C3EC9" w:rsidRDefault="007A15F5" w:rsidP="00153B31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 xml:space="preserve"> </w:t>
            </w:r>
            <w:r w:rsidR="00153B31" w:rsidRPr="003C3EC9">
              <w:rPr>
                <w:strike/>
                <w:color w:val="00B050"/>
              </w:rPr>
              <w:t>Bez punktacji</w:t>
            </w:r>
          </w:p>
          <w:p w:rsidR="00153B31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najmniejsza –</w:t>
            </w:r>
            <w:r w:rsidR="0018162B" w:rsidRPr="003C3EC9">
              <w:rPr>
                <w:color w:val="00B050"/>
              </w:rPr>
              <w:t xml:space="preserve"> 2</w:t>
            </w:r>
            <w:r w:rsidRPr="003C3EC9">
              <w:rPr>
                <w:color w:val="00B050"/>
              </w:rPr>
              <w:t xml:space="preserve"> pkt</w:t>
            </w:r>
          </w:p>
          <w:p w:rsidR="00153B31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0 pkt</w:t>
            </w:r>
          </w:p>
          <w:p w:rsidR="007A15F5" w:rsidRPr="003C3EC9" w:rsidRDefault="00153B31" w:rsidP="00153B31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Pozostałe proporcjonalnie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Min TR dla EPI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≤ 10 ms: podać wartość  [ms]</w:t>
            </w:r>
            <w:r w:rsidRPr="003C3EC9">
              <w:rPr>
                <w:strike/>
                <w:color w:val="00B050"/>
                <w:lang w:eastAsia="ja-JP"/>
              </w:rPr>
              <w:t>Wartość najmniejsza – 2 pkt</w:t>
            </w:r>
            <w:r w:rsidRPr="003C3EC9">
              <w:rPr>
                <w:color w:val="00B050"/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Pozostałe – proporcjonalnie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Wartość najmniejsza </w:t>
            </w:r>
            <w:r w:rsidRPr="003C3EC9">
              <w:rPr>
                <w:color w:val="00B050"/>
              </w:rPr>
              <w:t>–</w:t>
            </w:r>
            <w:r w:rsidRPr="003C3EC9">
              <w:rPr>
                <w:strike/>
                <w:color w:val="00B050"/>
              </w:rPr>
              <w:t xml:space="preserve"> 2 pkt.</w:t>
            </w:r>
            <w:r w:rsidR="0018162B" w:rsidRPr="003C3EC9">
              <w:rPr>
                <w:strike/>
                <w:color w:val="00B050"/>
              </w:rPr>
              <w:t xml:space="preserve"> </w:t>
            </w:r>
            <w:r w:rsidR="005A3676" w:rsidRPr="003C3EC9">
              <w:rPr>
                <w:color w:val="00B050"/>
              </w:rPr>
              <w:t>4</w:t>
            </w:r>
            <w:r w:rsidR="0018162B" w:rsidRPr="003C3EC9">
              <w:rPr>
                <w:color w:val="00B050"/>
              </w:rPr>
              <w:t>pkt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 TE dla EPI (256x256 matryca)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≤ 2,4 ms: podać wartość  [ms]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Wartość najmniejsza </w:t>
            </w:r>
            <w:r w:rsidRPr="003C3EC9">
              <w:rPr>
                <w:color w:val="00B050"/>
              </w:rPr>
              <w:t>–</w:t>
            </w:r>
            <w:r w:rsidR="0018162B" w:rsidRPr="003C3EC9">
              <w:rPr>
                <w:strike/>
                <w:color w:val="00B050"/>
              </w:rPr>
              <w:t xml:space="preserve">2 pkt. </w:t>
            </w:r>
            <w:r w:rsidR="005A3676" w:rsidRPr="003C3EC9">
              <w:rPr>
                <w:color w:val="00B050"/>
              </w:rPr>
              <w:t>4</w:t>
            </w:r>
            <w:r w:rsidR="0018162B" w:rsidRPr="003C3EC9">
              <w:rPr>
                <w:color w:val="00B050"/>
              </w:rPr>
              <w:t>pkt</w:t>
            </w:r>
          </w:p>
          <w:p w:rsidR="007A15F5" w:rsidRDefault="007A15F5" w:rsidP="007A15F5">
            <w:pPr>
              <w:spacing w:before="40" w:after="40"/>
            </w:pPr>
            <w:r>
              <w:t>Wartość największa – 0 pkt.</w:t>
            </w:r>
          </w:p>
          <w:p w:rsidR="007A15F5" w:rsidRDefault="007A15F5" w:rsidP="007A15F5">
            <w:pPr>
              <w:spacing w:before="40" w:after="40"/>
            </w:pPr>
            <w:r>
              <w:t>Pozostałe –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9.2.8.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Specjalna sekwencja 3D pracująca z parametrem TE = 0 ms, widocznym w parametrach sekwencji, możliwa do wykonania co najmniej na jednej z zaoferowanych cewek wielokanałowych.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2156A4" w:rsidRPr="003C3EC9" w:rsidRDefault="002156A4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ZTE – (TE≤20µs) – 2 pkt</w:t>
            </w:r>
          </w:p>
          <w:p w:rsidR="002156A4" w:rsidRPr="002156A4" w:rsidRDefault="002156A4" w:rsidP="002156A4">
            <w:pPr>
              <w:spacing w:before="40" w:after="40"/>
              <w:rPr>
                <w:strike/>
                <w:color w:val="FF0000"/>
              </w:rPr>
            </w:pPr>
            <w:r w:rsidRPr="003C3EC9">
              <w:rPr>
                <w:color w:val="00B050"/>
              </w:rPr>
              <w:t>UHE (TE≤400µs)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10. KONSOLA OPERATORSKA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10.1.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Komputer sterujący</w:t>
            </w:r>
            <w:r>
              <w:rPr>
                <w:lang w:eastAsia="ja-JP"/>
              </w:rPr>
              <w:t xml:space="preserve"> (procesor, system operacyjny)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opisać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Pojemność dysku dla obrazów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128 GB;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[GB]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Archiwizacja obrazów na dyskach CD-R i DVD z dogrywaniem przeglądarki DICOM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  <w:r>
              <w:rPr>
                <w:lang w:eastAsia="ja-JP"/>
              </w:rPr>
              <w:b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Liczba obrazów w matrycy min. 256x256 bez kompresji możliwych do archiwizacji na HD ≥ 110 000.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110 000;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2156A4" w:rsidRPr="003C3EC9" w:rsidRDefault="002156A4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2 pkt.</w:t>
            </w:r>
          </w:p>
          <w:p w:rsidR="002156A4" w:rsidRPr="003C3EC9" w:rsidRDefault="002156A4" w:rsidP="007A15F5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Wartość najmniejsza – 0 pkt </w:t>
            </w:r>
          </w:p>
          <w:p w:rsidR="002156A4" w:rsidRPr="003C3EC9" w:rsidRDefault="002156A4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  <w:r w:rsidRPr="003C3EC9">
              <w:rPr>
                <w:strike/>
                <w:color w:val="00B05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b/>
                <w:lang w:eastAsia="ja-JP"/>
              </w:rPr>
              <w:t>Komputer obrazowy</w:t>
            </w:r>
            <w:r>
              <w:rPr>
                <w:lang w:eastAsia="ja-JP"/>
              </w:rPr>
              <w:t xml:space="preserve"> (procesor, system operacyjny)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opisać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s-ES"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rekonstrukcyjna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1024x1024;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[n x n]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Szybkość rekonstrukcji dla obrazów w matrycy 256 x 256 przy 100% FOV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20 000 obrazów/s;</w:t>
            </w:r>
          </w:p>
          <w:p w:rsidR="007A15F5" w:rsidRDefault="007A15F5" w:rsidP="007A15F5">
            <w:pPr>
              <w:spacing w:before="40" w:after="40"/>
              <w:rPr>
                <w:u w:val="single"/>
                <w:lang w:eastAsia="ja-JP"/>
              </w:rPr>
            </w:pPr>
            <w:r>
              <w:rPr>
                <w:lang w:eastAsia="ja-JP"/>
              </w:rPr>
              <w:t>podać wartość [</w:t>
            </w:r>
            <w:proofErr w:type="spellStart"/>
            <w:r>
              <w:rPr>
                <w:lang w:eastAsia="ja-JP"/>
              </w:rPr>
              <w:t>obr</w:t>
            </w:r>
            <w:proofErr w:type="spellEnd"/>
            <w:r>
              <w:rPr>
                <w:lang w:eastAsia="ja-JP"/>
              </w:rPr>
              <w:t>./s]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3C3EC9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strike/>
                <w:color w:val="00B050"/>
              </w:rPr>
              <w:t>Bez punktacji</w:t>
            </w:r>
          </w:p>
          <w:p w:rsidR="002156A4" w:rsidRPr="003C3EC9" w:rsidRDefault="002156A4" w:rsidP="002156A4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>Wartość największa – 2 pkt.</w:t>
            </w:r>
          </w:p>
          <w:p w:rsidR="002156A4" w:rsidRPr="003C3EC9" w:rsidRDefault="002156A4" w:rsidP="002156A4">
            <w:pPr>
              <w:spacing w:before="40" w:after="40"/>
              <w:rPr>
                <w:color w:val="00B050"/>
              </w:rPr>
            </w:pPr>
            <w:r w:rsidRPr="003C3EC9">
              <w:rPr>
                <w:color w:val="00B050"/>
              </w:rPr>
              <w:t xml:space="preserve">Wartość najmniejsza – 0 pkt </w:t>
            </w:r>
          </w:p>
          <w:p w:rsidR="002156A4" w:rsidRPr="003C3EC9" w:rsidRDefault="002156A4" w:rsidP="002156A4">
            <w:pPr>
              <w:spacing w:before="40" w:after="40"/>
              <w:rPr>
                <w:strike/>
                <w:color w:val="00B050"/>
              </w:rPr>
            </w:pPr>
            <w:r w:rsidRPr="003C3EC9">
              <w:rPr>
                <w:color w:val="00B050"/>
              </w:rPr>
              <w:t>Pozostałe proporcjonalnie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Równoczesne </w:t>
            </w:r>
            <w:proofErr w:type="spellStart"/>
            <w:r>
              <w:rPr>
                <w:lang w:eastAsia="ja-JP"/>
              </w:rPr>
              <w:t>skany</w:t>
            </w:r>
            <w:proofErr w:type="spellEnd"/>
            <w:r>
              <w:rPr>
                <w:lang w:eastAsia="ja-JP"/>
              </w:rPr>
              <w:t xml:space="preserve"> i rekonstrukcja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Proces rekonstrukcji obrazów wspomagany algorytmami bazującymi na mechanizmach sztucznej inteligencji zastosowanymi do operacji na danych </w:t>
            </w:r>
            <w:r w:rsidRPr="001276DD">
              <w:rPr>
                <w:strike/>
                <w:color w:val="00B050"/>
                <w:lang w:eastAsia="ja-JP"/>
              </w:rPr>
              <w:t>„</w:t>
            </w:r>
            <w:proofErr w:type="spellStart"/>
            <w:r w:rsidRPr="001276DD">
              <w:rPr>
                <w:strike/>
                <w:color w:val="00B050"/>
                <w:lang w:eastAsia="ja-JP"/>
              </w:rPr>
              <w:t>raw</w:t>
            </w:r>
            <w:proofErr w:type="spellEnd"/>
            <w:r w:rsidRPr="001276DD">
              <w:rPr>
                <w:strike/>
                <w:color w:val="00B050"/>
                <w:lang w:eastAsia="ja-JP"/>
              </w:rPr>
              <w:t xml:space="preserve"> data”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w celu uzyskania obrazów o zwiększonym SNR (bez artefaktów pochodzących od szumu </w:t>
            </w:r>
            <w:r w:rsidRPr="001276DD">
              <w:rPr>
                <w:strike/>
                <w:color w:val="00B050"/>
                <w:lang w:eastAsia="ja-JP"/>
              </w:rPr>
              <w:t>oraz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 w:rsidR="008E4608" w:rsidRPr="001276DD">
              <w:rPr>
                <w:color w:val="00B050"/>
                <w:lang w:eastAsia="ja-JP"/>
              </w:rPr>
              <w:t xml:space="preserve">lub </w:t>
            </w:r>
            <w:r>
              <w:rPr>
                <w:lang w:eastAsia="ja-JP"/>
              </w:rPr>
              <w:t>artefaktów od anatomii leżącej poza FOV)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jeśli Tak - 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4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Monitor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Technologia LCD / TFT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Przekątna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19”;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wartość [”]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10.3.3.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Matryca monitora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≥ 1280x1024;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rozmiar [n x m]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Biurko, na którym umieszczone zostaną komputery operatora, strzykawka.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Oprogramowanie kliniczne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badań z kontrastem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MPR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MIP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Rekonstrukcje 3D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Rekonstrukcje SSD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Oprogramowanie do analizy wyników spektroskopii protonowej (</w:t>
            </w:r>
            <w:r>
              <w:rPr>
                <w:vertAlign w:val="superscript"/>
                <w:lang w:eastAsia="ja-JP"/>
              </w:rPr>
              <w:t>1</w:t>
            </w:r>
            <w:r>
              <w:rPr>
                <w:lang w:eastAsia="ja-JP"/>
              </w:rPr>
              <w:t xml:space="preserve">H MRS) typu SVS i CSI 2D i 3D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2D i 3D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131B7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zainstalowane na konsoli podstawowej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planowania badania np. całego ciała (</w:t>
            </w:r>
            <w:proofErr w:type="spellStart"/>
            <w:r>
              <w:rPr>
                <w:lang w:eastAsia="ja-JP"/>
              </w:rPr>
              <w:t>Whole</w:t>
            </w:r>
            <w:proofErr w:type="spellEnd"/>
            <w:r>
              <w:rPr>
                <w:lang w:eastAsia="ja-JP"/>
              </w:rPr>
              <w:t xml:space="preserve"> Body </w:t>
            </w:r>
            <w:proofErr w:type="spellStart"/>
            <w:r>
              <w:rPr>
                <w:lang w:eastAsia="ja-JP"/>
              </w:rPr>
              <w:t>Imaging</w:t>
            </w:r>
            <w:proofErr w:type="spellEnd"/>
            <w:r>
              <w:rPr>
                <w:lang w:eastAsia="ja-JP"/>
              </w:rPr>
              <w:t>) pozwalające na ustawienie protokołów badania dla wszystkich kroków jednorazowo (Planning Suite lub odpowiednio do nomenklatury producenta)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nazwę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10.4.10.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Traktografia</w:t>
            </w:r>
            <w:proofErr w:type="spellEnd"/>
            <w:r>
              <w:rPr>
                <w:lang w:eastAsia="ja-JP"/>
              </w:rPr>
              <w:t xml:space="preserve"> tensora dyfuzji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Praca w sieci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SEND/RECEIVE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QUERY/RETRIEVE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DICOM PRINT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DICOM 3.0 – Storage </w:t>
            </w:r>
            <w:proofErr w:type="spellStart"/>
            <w:r>
              <w:rPr>
                <w:lang w:eastAsia="ja-JP"/>
              </w:rPr>
              <w:t>Commitment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DICOM 3.0 – </w:t>
            </w:r>
            <w:proofErr w:type="spellStart"/>
            <w:r>
              <w:rPr>
                <w:lang w:eastAsia="ja-JP"/>
              </w:rPr>
              <w:t>Modality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Worklist</w:t>
            </w:r>
            <w:proofErr w:type="spellEnd"/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10.5.6.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DICOM 3.0 – MPPS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10.5.7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Podłączenie rezonansu wraz konsolami lekarskimi do systemu PACS / RIS posiadanego przez Zamawiającego z zapewnieniem licencji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11. KONSOLE LEKARSKIE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11.1.1.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nowego serwera aplikacyjnego z możliwością wykorzystania wspólnej puli aplikacji zaawansowanych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opisać zaoferowany wariant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11.1.2.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System musi pracować w oparciu o model licencji zdalnych (klient-serwer), umożliwiając zainstalowanie oprogramowania klienckiego na dowolnej liczbie stacji klienckich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Minimalne parametry serwera aplikacyjnego: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pamięć RAM: min. 192 GB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wbudowana macierz w konfiguracji RAID Level 5 lub równoważnej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pojemność macierzy: min. 5 000 GB netto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napęd optyczny: DVD RW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rPr>
                <w:lang w:eastAsia="ja-JP"/>
              </w:rPr>
            </w:pPr>
            <w:r>
              <w:rPr>
                <w:lang w:eastAsia="ja-JP"/>
              </w:rPr>
              <w:t>możliwość obsługi min. 12 użytkowników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parametry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  <w:lang w:eastAsia="ja-JP"/>
              </w:rPr>
              <w:t>Sześć stanowisk lekarskich, każde wyposażone w min. 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color w:val="000000" w:themeColor="text1"/>
                <w:lang w:eastAsia="ja-JP"/>
              </w:rPr>
              <w:t xml:space="preserve">2 kolorowe monitory diagnostyczne, o min. przekątnej 24” i rozdzielczości nie mniejszej niż 2.3MP, 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color w:val="000000" w:themeColor="text1"/>
                <w:lang w:eastAsia="ja-JP"/>
              </w:rPr>
              <w:t>1 monitor opisowy o min. rozdzielczości 1920 x 1080 pikseli, przekątnej min. 21”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3"/>
              </w:numPr>
              <w:suppressAutoHyphens/>
              <w:spacing w:before="40" w:after="40" w:line="276" w:lineRule="auto"/>
            </w:pPr>
            <w:r>
              <w:rPr>
                <w:lang w:eastAsia="ja-JP"/>
              </w:rPr>
              <w:t>komputer PC o parametrach: min. 8 GB RAM, dysk min 250 GB, Windows 10 Pro lub równoważny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podać parametry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10 stanowisk lekarskich – 4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8 stanowisk lekarskich – 2 pkt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>Dostawa 6 stanowisk lekarskich– 0 pkt.</w:t>
            </w:r>
          </w:p>
          <w:p w:rsidR="007A15F5" w:rsidRDefault="007A15F5" w:rsidP="007A15F5">
            <w:pPr>
              <w:spacing w:before="40" w:after="40"/>
              <w:rPr>
                <w:strike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zdalnej pracy stacji klienckiej diagnostycznej na serwerze, wraz z dostępem do dowolnej aplikacji klinicznej, bez konieczności ściągania badania na stację kliencką.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wszystkich aplikacji w oparciu o model pływających licencji.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ściągnięcia i instalacji klienta na komputerze PC mającym dostęp do serwera aplikacyjnego.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Dostęp z każdego stanowiska lekarskiego do wspólnego serwera aplikacyjnego zawierającego bieżące badania MR, CT oraz zaawansowane aplikacje do ich analizy.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Dostęp natychmiastowy, nie wymagający ręcznego przesyłania badań </w:t>
            </w:r>
            <w:r>
              <w:rPr>
                <w:lang w:eastAsia="ja-JP"/>
              </w:rPr>
              <w:lastRenderedPageBreak/>
              <w:t>pomiędzy serwerami.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11.1.8.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Analiza bieżących badań diagnostycznych CT/MR oraz wczytywanych z serwera PACS i z płyt przynoszonych przez pacjentów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Wsparcie techniczne w zakresie serwera aplikacyjnego obejmujące aktualizacje oprogramowania diagnostycznego (</w:t>
            </w:r>
            <w:proofErr w:type="spellStart"/>
            <w:r>
              <w:rPr>
                <w:lang w:eastAsia="ja-JP"/>
              </w:rPr>
              <w:t>update</w:t>
            </w:r>
            <w:proofErr w:type="spellEnd"/>
            <w:r>
              <w:rPr>
                <w:lang w:eastAsia="ja-JP"/>
              </w:rPr>
              <w:t>/</w:t>
            </w:r>
            <w:proofErr w:type="spellStart"/>
            <w:r>
              <w:rPr>
                <w:lang w:eastAsia="ja-JP"/>
              </w:rPr>
              <w:t>hotfix</w:t>
            </w:r>
            <w:proofErr w:type="spellEnd"/>
            <w:r>
              <w:rPr>
                <w:lang w:eastAsia="ja-JP"/>
              </w:rPr>
              <w:t xml:space="preserve">), modernizacje oprogramowania diagnostycznego (coroczne </w:t>
            </w:r>
            <w:proofErr w:type="spellStart"/>
            <w:r>
              <w:rPr>
                <w:lang w:eastAsia="ja-JP"/>
              </w:rPr>
              <w:t>upgrady</w:t>
            </w:r>
            <w:proofErr w:type="spellEnd"/>
            <w:r>
              <w:rPr>
                <w:lang w:eastAsia="ja-JP"/>
              </w:rPr>
              <w:t xml:space="preserve"> do najnowszej i aktualnej wersji oprogramowania).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Bez punktacji</w:t>
            </w:r>
            <w:r>
              <w:rPr>
                <w:lang w:eastAsia="ja-JP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integracji z innymi serwerami aplikacyjnymi posiadanymi przez Zamawiającego w zakresie bezpiecznego i uwiarygodnionego łączenia się stacji lekarskiej z serwerem w innej lokalizacji i zdalnej pracy nie wymagającej wysyłania badań poza lokalizację serwera.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integracji z innymi serwerami aplikacyjnymi posiadanymi przez Zamawiającego w zakresie wspólnej puli aplikacji zaawansowanych, </w:t>
            </w:r>
            <w:proofErr w:type="spellStart"/>
            <w:r>
              <w:rPr>
                <w:lang w:eastAsia="ja-JP"/>
              </w:rPr>
              <w:t>tj</w:t>
            </w:r>
            <w:proofErr w:type="spellEnd"/>
            <w:r>
              <w:rPr>
                <w:lang w:eastAsia="ja-JP"/>
              </w:rPr>
              <w:t>, możliwości korzystania z pływających licencji pomiędzy serwerami.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 przypadku wykorzystania istniejącego serwera aplikacyjnego, możliwość wykorzystania licencji aplikacji CT/MR posiadanych przez Zamawiającego, w wymogach w których zostało to dopuszczone.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11.1.12.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instalacji w obrębie serwera aplikacyjnego aplikacji firm trzecich, w pełni zintegrowanych z oprogramowaniem serwera aplikacyjnego (instalacja aplikacji w bezpiecznym środowisku serwera aplikacyjnego), pozwalająca na natychmiastowe otwieranie z dowolnego stanowiska klienckiego dowolnego badania dostępnego w ramach serwera aplikacyjnego z stosowną aplikacją firm trzecich, bez konieczności przesyłania badania do odrębnej stacji.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Możliwość instalacji aplikacji w wersjach testowych, czasowych lub w innym elastycznym planie subskrypcyjnym.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Dostępność zaawansowanych aplikacji do oceny badań CT/MR, min. 3 aplikacje, np. firm: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Neurosuite</w:t>
            </w:r>
            <w:proofErr w:type="spellEnd"/>
            <w:r>
              <w:rPr>
                <w:lang w:eastAsia="ja-JP"/>
              </w:rPr>
              <w:t xml:space="preserve"> firmy </w:t>
            </w:r>
            <w:proofErr w:type="spellStart"/>
            <w:r>
              <w:rPr>
                <w:lang w:eastAsia="ja-JP"/>
              </w:rPr>
              <w:t>mint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Cercare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Medical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SyMRI</w:t>
            </w:r>
            <w:proofErr w:type="spellEnd"/>
            <w:r>
              <w:rPr>
                <w:lang w:eastAsia="ja-JP"/>
              </w:rPr>
              <w:t xml:space="preserve"> NEURO firmy </w:t>
            </w:r>
            <w:proofErr w:type="spellStart"/>
            <w:r>
              <w:rPr>
                <w:lang w:eastAsia="ja-JP"/>
              </w:rPr>
              <w:t>SyntheticMR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Mimics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inPrint</w:t>
            </w:r>
            <w:proofErr w:type="spellEnd"/>
            <w:r>
              <w:rPr>
                <w:lang w:eastAsia="ja-JP"/>
              </w:rPr>
              <w:t xml:space="preserve">  firmy </w:t>
            </w:r>
            <w:proofErr w:type="spellStart"/>
            <w:r>
              <w:rPr>
                <w:lang w:eastAsia="ja-JP"/>
              </w:rPr>
              <w:t>Materialise</w:t>
            </w:r>
            <w:proofErr w:type="spellEnd"/>
            <w:r>
              <w:rPr>
                <w:lang w:eastAsia="ja-JP"/>
              </w:rPr>
              <w:t xml:space="preserve">,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5"/>
              </w:numPr>
              <w:suppressAutoHyphens/>
              <w:spacing w:before="40" w:after="40"/>
              <w:ind w:left="416" w:hanging="284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mint Lesion  </w:t>
            </w:r>
            <w:proofErr w:type="spellStart"/>
            <w:r>
              <w:rPr>
                <w:lang w:val="en-US" w:eastAsia="ja-JP"/>
              </w:rPr>
              <w:t>firmy</w:t>
            </w:r>
            <w:proofErr w:type="spellEnd"/>
            <w:r>
              <w:rPr>
                <w:lang w:val="en-US" w:eastAsia="ja-JP"/>
              </w:rPr>
              <w:t xml:space="preserve"> mint medical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  <w:r w:rsidR="002156A4" w:rsidRPr="001276DD">
              <w:rPr>
                <w:color w:val="00B050"/>
                <w:lang w:eastAsia="ja-JP"/>
              </w:rPr>
              <w:t>/Nie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1276DD" w:rsidRDefault="002156A4" w:rsidP="007A15F5">
            <w:pPr>
              <w:spacing w:before="40" w:after="40"/>
              <w:rPr>
                <w:color w:val="00B050"/>
              </w:rPr>
            </w:pPr>
            <w:r w:rsidRPr="001276DD">
              <w:rPr>
                <w:color w:val="00B050"/>
              </w:rPr>
              <w:t>Tak – 1pkt</w:t>
            </w:r>
          </w:p>
          <w:p w:rsidR="002156A4" w:rsidRDefault="002156A4" w:rsidP="007A15F5">
            <w:pPr>
              <w:spacing w:before="40" w:after="40"/>
            </w:pPr>
            <w:r w:rsidRPr="001276DD">
              <w:rPr>
                <w:color w:val="00B050"/>
              </w:rPr>
              <w:t>Nie – 0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11.2.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Podstawowe aplikacje konsol lekarskich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11.2.1.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Jednoczesna prezentacja i odczyt, z synchronizacją przestrzenną, danych obrazowych CT i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Jednoczesne ładowanie min 4 zestawów danych tego samego pacjenta, również z różnych modalności (itp. z CT i MR)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Funkcjonalność 2D, 3D dla obrazów w standardzie DICOM 3.0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11.2.4.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Rekonstrukcje MIP, MPR, VRT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Rekonstrukcje 3D typu </w:t>
            </w:r>
            <w:proofErr w:type="spellStart"/>
            <w:r>
              <w:rPr>
                <w:lang w:eastAsia="ja-JP"/>
              </w:rPr>
              <w:t>Cinematic</w:t>
            </w:r>
            <w:proofErr w:type="spellEnd"/>
            <w:r>
              <w:rPr>
                <w:lang w:eastAsia="ja-JP"/>
              </w:rPr>
              <w:t xml:space="preserve"> Rendering, bazujące na dokładnej fizycznej symulacji oddziaływania światła z materią, realizujące </w:t>
            </w:r>
            <w:proofErr w:type="spellStart"/>
            <w:r>
              <w:rPr>
                <w:lang w:eastAsia="ja-JP"/>
              </w:rPr>
              <w:t>fotorealistyczny</w:t>
            </w:r>
            <w:proofErr w:type="spellEnd"/>
            <w:r>
              <w:rPr>
                <w:lang w:eastAsia="ja-JP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Technika stosująca: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oświetlanie każdego piksela bardzo dużą ilością źródeł światła z dowolnego kierunku, 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rozpraszanie/pochłanianie fotonów, </w:t>
            </w:r>
          </w:p>
          <w:p w:rsidR="007A15F5" w:rsidRDefault="007A15F5" w:rsidP="007A15F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40" w:after="40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użycie algorytmów numerycznych </w:t>
            </w:r>
            <w:proofErr w:type="spellStart"/>
            <w:r>
              <w:rPr>
                <w:lang w:eastAsia="ja-JP"/>
              </w:rPr>
              <w:t>MonteCarlo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Rekonstrukcja wprowadzona na rynek w ostatnich 4 latach, inna niż adaptacja parametrów typowej rekonstrukcji VRT.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jeżeli tak – na każdym stanowisku; podać nazwę aplikacji/ funkcjonalności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 – 1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Nie – 0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11.2.6.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Pomiary geometryczne (odległości, kąty)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Zapamiętanie wykonanych pomiarów i adnotacji wraz z towarzyszącymi im informacjami w rejestrze znalezisk badania z możliwością zapisu w archiwum badania wraz z wykonanymi pomiarami i towarzyszącymi obrazami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Wizualizacja badań: CT, MR, PET, USG, RTG, Angiografia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bookmarkStart w:id="0" w:name="__DdeLink__28200_152611649"/>
            <w:bookmarkEnd w:id="0"/>
            <w:r>
              <w:rPr>
                <w:lang w:eastAsia="ja-JP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11.2.9.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Podstawowa ocena badań PET z możliwością wyznaczenia wychwytu SUV w oparciu o zdefiniowany obszar zainteresowania (ROI)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jeżeli tak –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Nie – 0 pkt.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11.2.10.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Automatyczny import badań poprzednich z archiwum PACS na potrzeby porównania z badaniem bieżącym bez udziału użytkownika konsoli w tle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załadowanie obrazów w predefiniowane segmenty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lastRenderedPageBreak/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11.2.12.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Automatyczna synchronizacja wyświetlanych serii badania niezależna od grubości warstw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fuzji obrazów z tomografii komputerowej, rezonansu magnetycznego, medycyny nuklearnej, PET łącznie z badaniami funkcjonalnymi MR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Automatyczne oznaczanie kręgów kręgosłupa w badaniach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11.2.15.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Dedykowane procedury wyświetlania i opracowywania badań MR: badań różnych obszarów ciała oraz badań naczyniowych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11.3.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Zaawansowane aplikacje konsol lekarskich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-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badań MR z kontrastem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11.3.2.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Narzędzia opracowywania badań MR: </w:t>
            </w:r>
          </w:p>
          <w:p w:rsidR="007A15F5" w:rsidRDefault="007A15F5" w:rsidP="007A15F5">
            <w:pPr>
              <w:numPr>
                <w:ilvl w:val="0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filtr obrazów MR </w:t>
            </w:r>
          </w:p>
          <w:p w:rsidR="007A15F5" w:rsidRDefault="007A15F5" w:rsidP="007A15F5">
            <w:pPr>
              <w:numPr>
                <w:ilvl w:val="0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operacje na obrazach MR: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subtrakcja obrazów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elastyczna korekcja artefaktów ruchowych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średnia arytmetyczna, 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dodawanie,</w:t>
            </w:r>
          </w:p>
          <w:p w:rsidR="007A15F5" w:rsidRDefault="007A15F5" w:rsidP="007A15F5">
            <w:pPr>
              <w:numPr>
                <w:ilvl w:val="1"/>
                <w:numId w:val="2"/>
              </w:num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dzielenie, iloczyn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Funkcjonalność dostępna na dowolnym etapie oceny badań, na dowolnej stacji lekarskiej.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jeżeli tak –</w:t>
            </w: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val="en-US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Oprogramowanie do analizy wyników spektroskopii protonowej (1H MRS) typu SVS i CSI 2D i 3D, z automatyczną eliminacją </w:t>
            </w:r>
            <w:proofErr w:type="spellStart"/>
            <w:r>
              <w:rPr>
                <w:lang w:eastAsia="ja-JP"/>
              </w:rPr>
              <w:t>wokseli</w:t>
            </w:r>
            <w:proofErr w:type="spellEnd"/>
            <w:r>
              <w:rPr>
                <w:lang w:eastAsia="ja-JP"/>
              </w:rPr>
              <w:t xml:space="preserve"> o jakości progu zdefiniowanego przez użytkownika, pozwalająca na analizę wstępną w postaci m.in. filtrowanie sygnału, usuwanie sygnału wody, korekcja fazy. </w:t>
            </w:r>
          </w:p>
          <w:p w:rsidR="007A15F5" w:rsidRDefault="007A15F5" w:rsidP="007A15F5">
            <w:r>
              <w:rPr>
                <w:lang w:eastAsia="ja-JP"/>
              </w:rPr>
              <w:t xml:space="preserve">Dostawa nowej licencji pływającej na serwer aplikacyjny lub dostawa </w:t>
            </w:r>
            <w:r>
              <w:rPr>
                <w:lang w:eastAsia="ja-JP"/>
              </w:rPr>
              <w:lastRenderedPageBreak/>
              <w:t>licencji wraz z  zewnętrzną stacją diagnostyczną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Tak; 1</w:t>
            </w:r>
            <w:r>
              <w:rPr>
                <w:color w:val="FF0000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licencja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 xml:space="preserve">11.3.5.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ilościowej analizy badań MR perfuzji </w:t>
            </w:r>
            <w:proofErr w:type="spellStart"/>
            <w:r>
              <w:rPr>
                <w:lang w:eastAsia="ja-JP"/>
              </w:rPr>
              <w:t>neuro</w:t>
            </w:r>
            <w:proofErr w:type="spellEnd"/>
            <w:r>
              <w:rPr>
                <w:lang w:eastAsia="ja-JP"/>
              </w:rPr>
              <w:t>, w szczególności kalkulacja i prezentacja w kolorze wskaźników MTT, TTP, CBV i CBF.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Możliwość obliczania obszaru niedopasowania perfuzji i dyfuzji w badaniach perfuzji </w:t>
            </w:r>
            <w:proofErr w:type="spellStart"/>
            <w:r>
              <w:rPr>
                <w:lang w:eastAsia="ja-JP"/>
              </w:rPr>
              <w:t>neuro</w:t>
            </w:r>
            <w:proofErr w:type="spellEnd"/>
            <w:r>
              <w:rPr>
                <w:lang w:eastAsia="ja-JP"/>
              </w:rPr>
              <w:t xml:space="preserve"> MR.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color w:val="FF0000"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Oprogramowania do zaawansowanej analizy perfuzji guzów mózgu w szczególności kalkulacja i prezentacja w kolorze wskaźników MTT, CBV, CBF i MTT oraz analiza porównawcza badań z oceną progresji; wykresy </w:t>
            </w:r>
            <w:proofErr w:type="spellStart"/>
            <w:r>
              <w:rPr>
                <w:lang w:eastAsia="ja-JP"/>
              </w:rPr>
              <w:t>time-intensity</w:t>
            </w:r>
            <w:proofErr w:type="spellEnd"/>
            <w:r>
              <w:rPr>
                <w:lang w:eastAsia="ja-JP"/>
              </w:rPr>
              <w:t xml:space="preserve"> dla zestawów danych dynamicznych DCS (</w:t>
            </w:r>
            <w:proofErr w:type="spellStart"/>
            <w:r>
              <w:rPr>
                <w:lang w:eastAsia="ja-JP"/>
              </w:rPr>
              <w:t>Dynamic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Susceptibility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Contrast</w:t>
            </w:r>
            <w:proofErr w:type="spellEnd"/>
            <w:r>
              <w:rPr>
                <w:lang w:eastAsia="ja-JP"/>
              </w:rPr>
              <w:t>).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zaawansowanej oceny badań mózgu z użyciem danych MPRAGE: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automatycznej segmentacji mózgu,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automatycznego wyznaczania objętości poszczególnych struktur,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wyznaczania map odchyleń statusu mózgu w odniesieniu  do danych referencyjnych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obsługa badań porównawczych w celu oceny atrofii mózgu w przypadku chorób neurodegeneracyjnych</w:t>
            </w:r>
          </w:p>
          <w:p w:rsidR="007A15F5" w:rsidRDefault="007A15F5" w:rsidP="007A15F5">
            <w:pPr>
              <w:suppressAutoHyphens/>
              <w:spacing w:before="40" w:after="40"/>
              <w:contextualSpacing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 na każdym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zaawansowanej analizy badań onkologicznych MR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tkanki, zawierające: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mechanizmy trójwymiarowej segmentacji zmian,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mechanizmy wyznaczania objętości zmian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analizowania wczesnej odpowiedzi na terapię w oparciu o badania dyfuzji MR, umożliwiające obliczanie histogramów, tworzenia trendów śledzonych zmian. Możliwość graficznej prezentacji w postaci histogramu wyniku segmentacji lub obszaru zainteresowania, wizualizacja zmian ilościowych, np. zmian rozmiaru albo objętości guza między różnymi punktami czasowymi badania MR. Oprogramowanie </w:t>
            </w:r>
            <w:proofErr w:type="spellStart"/>
            <w:r>
              <w:rPr>
                <w:lang w:eastAsia="ja-JP"/>
              </w:rPr>
              <w:t>OncoTrend</w:t>
            </w:r>
            <w:proofErr w:type="spellEnd"/>
            <w:r>
              <w:rPr>
                <w:lang w:eastAsia="ja-JP"/>
              </w:rPr>
              <w:t xml:space="preserve"> lub równoważne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</w:pPr>
            <w:r>
              <w:t xml:space="preserve">jeżeli tak – </w:t>
            </w:r>
            <w:r>
              <w:rPr>
                <w:lang w:eastAsia="ja-JP"/>
              </w:rPr>
              <w:t>2 licencje jednoczasowe lub pływające opisać nazwę aplikacji/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funkcjonalności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2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11.3.11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wieloparametrycznych badań MR prostaty, realizujące: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jednoczesne przeglądanie serii anatomicznych, dyfuzji, serii dynamicznych T1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automatyczne wyznaczanie objętości gruczołu prostaty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dedykowany raport zawierający:</w:t>
            </w:r>
          </w:p>
          <w:p w:rsidR="007A15F5" w:rsidRDefault="007A15F5" w:rsidP="007A15F5">
            <w:pPr>
              <w:pStyle w:val="Akapitzlist3"/>
              <w:numPr>
                <w:ilvl w:val="1"/>
                <w:numId w:val="1"/>
              </w:numPr>
              <w:suppressAutoHyphens w:val="0"/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  <w:t xml:space="preserve">listę znalezisk, pomiarów, zdjęć </w:t>
            </w:r>
          </w:p>
          <w:p w:rsidR="007A15F5" w:rsidRDefault="007A15F5" w:rsidP="007A15F5">
            <w:pPr>
              <w:pStyle w:val="Akapitzlist3"/>
              <w:numPr>
                <w:ilvl w:val="1"/>
                <w:numId w:val="1"/>
              </w:numPr>
              <w:suppressAutoHyphens w:val="0"/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ja-JP"/>
              </w:rPr>
              <w:t>czytelną wizualizację adresowaną dla urologów, na potrzeby wykonywania biopsji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raportowanie zgodne z PIRADS v2.</w:t>
            </w:r>
          </w:p>
          <w:p w:rsidR="007A15F5" w:rsidRDefault="007A15F5" w:rsidP="007A15F5">
            <w:p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badań MR piersi, realizujące: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jednoczesne przeglądanie serii anatomicznych, serii dynamicznych z kontrastem </w:t>
            </w:r>
          </w:p>
          <w:p w:rsidR="007A15F5" w:rsidRDefault="007A15F5" w:rsidP="007A15F5">
            <w:pPr>
              <w:suppressAutoHyphens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Tak/Nie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11.3.13.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parametrycznej analizy dynamiki obrazów MR piersi, realizujące: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model </w:t>
            </w:r>
            <w:proofErr w:type="spellStart"/>
            <w:r>
              <w:rPr>
                <w:lang w:val="en-US" w:eastAsia="ja-JP"/>
              </w:rPr>
              <w:t>jakościowy</w:t>
            </w:r>
            <w:proofErr w:type="spellEnd"/>
            <w:r>
              <w:rPr>
                <w:lang w:val="en-US" w:eastAsia="ja-JP"/>
              </w:rPr>
              <w:t>:  wash-in, wash-out, PEI (Positive Enhancement Integral)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analiza krzywej (on-the-</w:t>
            </w:r>
            <w:proofErr w:type="spellStart"/>
            <w:r>
              <w:rPr>
                <w:lang w:eastAsia="ja-JP"/>
              </w:rPr>
              <w:t>fly</w:t>
            </w:r>
            <w:proofErr w:type="spellEnd"/>
            <w:r>
              <w:rPr>
                <w:lang w:eastAsia="ja-JP"/>
              </w:rPr>
              <w:t xml:space="preserve">), na podstawie obszaru zainteresowania (ROI)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prezentacja analizy obrazów MR piersi ze statystyką wolumetryczną oraz krzywymi czasowymi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Aplikacja do analizy perfuzji T1, pozwalające uzyskać pomiary wzmocnienia względnego, wzmocnienia maksymalnego, czasu do wykrycia wartości szczytowej (TTP), przepuszczalności (</w:t>
            </w:r>
            <w:proofErr w:type="spellStart"/>
            <w:r>
              <w:rPr>
                <w:lang w:eastAsia="ja-JP"/>
              </w:rPr>
              <w:t>ktrans</w:t>
            </w:r>
            <w:proofErr w:type="spellEnd"/>
            <w:r>
              <w:rPr>
                <w:lang w:eastAsia="ja-JP"/>
              </w:rPr>
              <w:t xml:space="preserve">) i prędkość napływu środka kontrastowego, wizualizacja  4D badań dynamicznych organów, w których perfuzja może być opisana modelem </w:t>
            </w:r>
            <w:proofErr w:type="spellStart"/>
            <w:r>
              <w:rPr>
                <w:lang w:eastAsia="ja-JP"/>
              </w:rPr>
              <w:t>Tofts</w:t>
            </w:r>
            <w:proofErr w:type="spellEnd"/>
            <w:r>
              <w:rPr>
                <w:lang w:eastAsia="ja-JP"/>
              </w:rPr>
              <w:t>, np. prostaty.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 xml:space="preserve">11.3.15.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badań DTI z możliwością generowania i prezentacji map DTI (np. FA) i oraz generowania i prezentacji </w:t>
            </w:r>
            <w:proofErr w:type="spellStart"/>
            <w:r>
              <w:rPr>
                <w:lang w:eastAsia="ja-JP"/>
              </w:rPr>
              <w:t>traktografii</w:t>
            </w:r>
            <w:proofErr w:type="spellEnd"/>
            <w:r>
              <w:rPr>
                <w:lang w:eastAsia="ja-JP"/>
              </w:rPr>
              <w:t xml:space="preserve"> tensora dyfuzji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1 licencja jednoczasowa lub pływająca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Oprogramowanie do analizy badań </w:t>
            </w:r>
            <w:proofErr w:type="spellStart"/>
            <w:r>
              <w:rPr>
                <w:lang w:eastAsia="ja-JP"/>
              </w:rPr>
              <w:t>fMRI</w:t>
            </w:r>
            <w:proofErr w:type="spellEnd"/>
          </w:p>
          <w:p w:rsidR="007A15F5" w:rsidRDefault="007A15F5" w:rsidP="007A15F5">
            <w:r>
              <w:rPr>
                <w:lang w:eastAsia="ja-JP"/>
              </w:rPr>
              <w:t>Dostawa now</w:t>
            </w:r>
            <w:r>
              <w:t>ej licencji pływającej na serwer aplikacyjny lub dostawa licencji wraz z  zewnętrzną stacją diagnostyczną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Tak; 1 licencja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11.3.17.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do analizy badań MR serca, zawierający dedykowany </w:t>
            </w:r>
            <w:proofErr w:type="spellStart"/>
            <w:r>
              <w:rPr>
                <w:lang w:eastAsia="ja-JP"/>
              </w:rPr>
              <w:t>workflow</w:t>
            </w:r>
            <w:proofErr w:type="spellEnd"/>
            <w:r>
              <w:rPr>
                <w:lang w:eastAsia="ja-JP"/>
              </w:rPr>
              <w:t xml:space="preserve"> umożliwiający przeglądanie i ocenę obrazów: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czynnościowych (funkcjonalnych),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dynamicznych,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obrazów charakterystyki tkanki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danych przepływu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oraz narzędzia do pomiarów ilościowych objętości tkanki mięśnia sercowego.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11.3.18.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badań serca MR z możliwością obliczania frakcji wyrzutowej i masy mięśnia sercowego lewej i prawej komory serca.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11.3.19.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ilościowej przepływów w sercu i naczyniach w badaniach MR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3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11.3.20.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analizy badań perfuzji serca MR z możliwością półautomatycznego obliczania parametrów perfuzji mięśnia sercowego.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 w:rsidRPr="001276DD">
              <w:rPr>
                <w:strike/>
                <w:color w:val="00B050"/>
                <w:lang w:eastAsia="ja-JP"/>
              </w:rPr>
              <w:t>1</w:t>
            </w:r>
            <w:r w:rsidRPr="001276DD">
              <w:rPr>
                <w:color w:val="00B050"/>
                <w:lang w:eastAsia="ja-JP"/>
              </w:rPr>
              <w:t xml:space="preserve"> </w:t>
            </w:r>
            <w:r w:rsidR="00BC6FDD" w:rsidRPr="001276DD">
              <w:rPr>
                <w:color w:val="00B050"/>
                <w:lang w:eastAsia="ja-JP"/>
              </w:rPr>
              <w:t xml:space="preserve">3 </w:t>
            </w:r>
            <w:r w:rsidR="00BC6FDD">
              <w:rPr>
                <w:lang w:eastAsia="ja-JP"/>
              </w:rPr>
              <w:t>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Bez punktacji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do oceny struktury naczyniowej w badaniach MR z: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rozwinięciem wzdłuż linii centralnej naczynia,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pomiarem średnicy, pola przekroju w płaszczyźnie prostopadłej, światła naczynia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wyznaczaniem stopnia </w:t>
            </w:r>
            <w:proofErr w:type="spellStart"/>
            <w:r>
              <w:rPr>
                <w:lang w:eastAsia="ja-JP"/>
              </w:rPr>
              <w:t>stenozy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zintegrowane z serwerem aplikacyjnym do dystrybucji prototypów aplikacji MR, dystrybuowanych przez Dział Rozwoju Aplikacji Wykonawcy lub aplikacji udostępnianych przez inne szpitale.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Pełna integracja oprogramowania klinicznego oraz prototypowego, </w:t>
            </w:r>
            <w:r>
              <w:rPr>
                <w:lang w:eastAsia="ja-JP"/>
              </w:rPr>
              <w:lastRenderedPageBreak/>
              <w:t xml:space="preserve">umożliwiająca bezpośredni dostęp z aplikacji klienckiej serwera aplikacyjnego do badań z użyciem oprogramowania prototypowego. 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Czytelne oznaczenie aplikacji prototypowych: ‘Nie do zastosowań klinicznych’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Tak, podać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  <w:vAlign w:val="center"/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Zestaw dedykowanych aplikacji prototypowych, umożliwiający: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 xml:space="preserve">szybka ocena badań dyfuzji całego ciała (WB DWI).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 xml:space="preserve">Składanie serii DWI, kalkulacja map </w:t>
            </w:r>
            <w:proofErr w:type="spellStart"/>
            <w:r>
              <w:rPr>
                <w:lang w:eastAsia="ja-JP"/>
              </w:rPr>
              <w:t>computed</w:t>
            </w:r>
            <w:proofErr w:type="spellEnd"/>
            <w:r>
              <w:rPr>
                <w:lang w:eastAsia="ja-JP"/>
              </w:rPr>
              <w:t xml:space="preserve"> b-</w:t>
            </w:r>
            <w:proofErr w:type="spellStart"/>
            <w:r>
              <w:rPr>
                <w:lang w:eastAsia="ja-JP"/>
              </w:rPr>
              <w:t>value</w:t>
            </w:r>
            <w:proofErr w:type="spellEnd"/>
            <w:r>
              <w:rPr>
                <w:lang w:eastAsia="ja-JP"/>
              </w:rPr>
              <w:t xml:space="preserve"> z normalizacją do badań poprzednich. Segmentacja objętościowa o zadanym progu, analiza statystyczna, analiza na bazie histogramu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r>
              <w:rPr>
                <w:lang w:eastAsia="ja-JP"/>
              </w:rPr>
              <w:t>zaawansowana ocena dyfuzji (modele IVIM and DKI)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contextualSpacing/>
            </w:pPr>
            <w:proofErr w:type="spellStart"/>
            <w:r>
              <w:rPr>
                <w:lang w:eastAsia="ja-JP"/>
              </w:rPr>
              <w:t>deformowalna</w:t>
            </w:r>
            <w:proofErr w:type="spellEnd"/>
            <w:r>
              <w:rPr>
                <w:lang w:eastAsia="ja-JP"/>
              </w:rPr>
              <w:t xml:space="preserve"> elastyczna rejestracja 3D badań MR, na potrzeby porównywania badań tkanek miękkich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>segmentacja struktur anatomicznych w oparciu o badania CT/MR na potrzeby wydruków 3D. Eksport w formacie .</w:t>
            </w:r>
            <w:proofErr w:type="spellStart"/>
            <w:r>
              <w:rPr>
                <w:lang w:eastAsia="ja-JP"/>
              </w:rPr>
              <w:t>stl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>ocena ryzyka chorób układu krążenia. Ilościowa analiza tłuszczu w jamie brzusznej i osierdziowej, wyznaczanie objętości tłuszczu, tworzenie histogramów oraz inne pomiary, takie jak obwód talii lub średnice pacjenta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</w:pPr>
            <w:r>
              <w:rPr>
                <w:lang w:eastAsia="ja-JP"/>
              </w:rPr>
              <w:t xml:space="preserve">wyznaczanie koncentracji żelaza w badaniach </w:t>
            </w:r>
            <w:proofErr w:type="spellStart"/>
            <w:r>
              <w:rPr>
                <w:lang w:eastAsia="ja-JP"/>
              </w:rPr>
              <w:t>dwuenergetycznych</w:t>
            </w:r>
            <w:proofErr w:type="spellEnd"/>
            <w:r>
              <w:rPr>
                <w:lang w:eastAsia="ja-JP"/>
              </w:rPr>
              <w:t xml:space="preserve"> na potrzeby oceny hemochromatozy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</w:pPr>
            <w:r>
              <w:t xml:space="preserve">jeżeli tak – </w:t>
            </w:r>
            <w:r>
              <w:rPr>
                <w:lang w:eastAsia="ja-JP"/>
              </w:rPr>
              <w:t>na 1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6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 xml:space="preserve">Oprogramowanie zintegrowane z serwerem aplikacyjnym dające możliwość natychmiastowego dostępu na oddziałach do badań dostępnych w ramach serwera aplikacyjnego (serwer dystrybucyjny umożliwiający otwierania badań z poziomu przeglądarek internetowych IE, SAFARI, ANDROID) także na urządzeniach przenośnych np. </w:t>
            </w:r>
            <w:proofErr w:type="spellStart"/>
            <w:r>
              <w:rPr>
                <w:lang w:eastAsia="ja-JP"/>
              </w:rPr>
              <w:t>iPad</w:t>
            </w:r>
            <w:proofErr w:type="spellEnd"/>
            <w:r>
              <w:rPr>
                <w:lang w:eastAsia="ja-JP"/>
              </w:rPr>
              <w:t>.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Oprogramowanie umożliwiające podstawowe funkcjonalności do analizy obrazów: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rekonstrukcje VRT, MIP, MPR 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zmiana okna wyświetlania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biblioteka układu wyświetlania (</w:t>
            </w:r>
            <w:proofErr w:type="spellStart"/>
            <w:r>
              <w:rPr>
                <w:lang w:eastAsia="ja-JP"/>
              </w:rPr>
              <w:t>layouty</w:t>
            </w:r>
            <w:proofErr w:type="spellEnd"/>
            <w:r>
              <w:rPr>
                <w:lang w:eastAsia="ja-JP"/>
              </w:rPr>
              <w:t>)</w:t>
            </w:r>
          </w:p>
          <w:p w:rsidR="007A15F5" w:rsidRDefault="007A15F5" w:rsidP="007A15F5">
            <w:pPr>
              <w:numPr>
                <w:ilvl w:val="0"/>
                <w:numId w:val="1"/>
              </w:numPr>
              <w:suppressAutoHyphens/>
              <w:spacing w:before="40" w:after="40"/>
              <w:ind w:left="653" w:hanging="28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podstawowe</w:t>
            </w:r>
            <w:r>
              <w:t xml:space="preserve"> pomiary na obrazach: odległości, kąty, zaznaczenie-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>Tak</w:t>
            </w:r>
            <w:r>
              <w:t>/Nie;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 xml:space="preserve">jeżeli tak – </w:t>
            </w:r>
            <w:r>
              <w:rPr>
                <w:lang w:eastAsia="ja-JP"/>
              </w:rPr>
              <w:t>na 1 stanowisku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Tak – 1 pkt.</w:t>
            </w:r>
          </w:p>
          <w:p w:rsidR="007A15F5" w:rsidRDefault="007A15F5" w:rsidP="007A15F5">
            <w:pPr>
              <w:spacing w:before="40" w:after="40"/>
            </w:pPr>
            <w:r>
              <w:t>Nie – 0 pkt.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kardiologicznych/naczyniowych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tętnic wieńcowych z funkcją: automatycznego wyodrębniania (segmentacji) mięśnia serca, rozwinięcia wzdłuż linii centralnej naczynia, pomiaru przekroju, pola i średnicy światła naczynia i automatycznego pomiaru stopnia </w:t>
            </w:r>
            <w:proofErr w:type="spellStart"/>
            <w:r>
              <w:t>stenozy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beforeAutospacing="1" w:after="40" w:line="252" w:lineRule="auto"/>
            </w:pPr>
            <w:r>
              <w:lastRenderedPageBreak/>
              <w:t xml:space="preserve">ocena parametrów czynnościowych lewej oraz prawej komory serca z pomiarem m.in.: objętości skurczowej, wyrzutowej, rozkurczowej, frakcji wyrzutowej, grubości ściany lub kurczliwości odcinkowej oraz wizualizacją w 2D parametrów funkcjonalnych w postaci 17-segmentowego diagramu AHA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beforeAutospacing="1" w:after="40" w:line="252" w:lineRule="auto"/>
            </w:pPr>
            <w:r>
              <w:t xml:space="preserve">ocena zwapnień naczyń wieńcowych typu </w:t>
            </w:r>
            <w:proofErr w:type="spellStart"/>
            <w:r>
              <w:t>Calcium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tętnic obwodowych (rozwinięcie wzdłuż linii centralnej naczynia, pomiary średnicy pola przekroju i automatyczne wyznaczanie </w:t>
            </w:r>
            <w:proofErr w:type="spellStart"/>
            <w:r>
              <w:t>stenoz</w:t>
            </w:r>
            <w:proofErr w:type="spellEnd"/>
          </w:p>
          <w:p w:rsidR="007A15F5" w:rsidRDefault="007A15F5" w:rsidP="007A15F5">
            <w:pPr>
              <w:spacing w:after="40" w:line="252" w:lineRule="auto"/>
            </w:pPr>
            <w:r>
              <w:t>Dostawa nowych licencji lub wykorzystanie licencji posiadanych przez Zamawiającego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lastRenderedPageBreak/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  <w:rPr>
                <w:lang w:eastAsia="ja-JP"/>
              </w:rPr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onkologicznych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automatyczna segmentacja i prezentacja w 3D zmian w badaniach CT narządów miąższowych, w tym w wątrobie oraz w węzłach chłonnych wraz z automatycznym pomiarem zmiany zgodnie z RECIST 1,1 WHO i jej objętości 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automatyczna detekcja zmian guzkowych w miąższu płuc i </w:t>
            </w:r>
            <w:proofErr w:type="spellStart"/>
            <w:r>
              <w:t>podopłucnowych</w:t>
            </w:r>
            <w:proofErr w:type="spellEnd"/>
            <w:r>
              <w:t xml:space="preserve"> typu CAD</w:t>
            </w:r>
          </w:p>
          <w:p w:rsidR="007A15F5" w:rsidRDefault="007A15F5" w:rsidP="007A15F5">
            <w:pPr>
              <w:spacing w:after="40" w:line="252" w:lineRule="auto"/>
              <w:rPr>
                <w:sz w:val="24"/>
                <w:szCs w:val="24"/>
              </w:rPr>
            </w:pPr>
            <w: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after="40" w:line="252" w:lineRule="auto"/>
            </w:pPr>
            <w:r>
              <w:t>Funkcjonalności dla dokładnej oceny badań neurologicznych CT: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 xml:space="preserve">ocena badań perfuzji mózgu umożliwiająca ocenę ilościową i jakościową (mapy barwne) co najmniej następujących parametrów: </w:t>
            </w:r>
            <w:proofErr w:type="spellStart"/>
            <w:r>
              <w:t>rBF</w:t>
            </w:r>
            <w:proofErr w:type="spellEnd"/>
            <w:r>
              <w:t xml:space="preserve"> (miejscowy przepływ krwi), </w:t>
            </w:r>
            <w:proofErr w:type="spellStart"/>
            <w:r>
              <w:t>rBV</w:t>
            </w:r>
            <w:proofErr w:type="spellEnd"/>
            <w:r>
              <w:t xml:space="preserve"> (miejscowa objętość krwi) oraz TTP (czas do szczytu krzywej wzmocnienia) i MTT (średni czas przejścia).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>oprogramowanie do automatycznej segmentacji 3D i oceny krwiaków w mózgu z serii bez kontrastu wraz z obliczaniem objętości krwiaka oraz jego krótkiej i długiej osi</w:t>
            </w:r>
          </w:p>
          <w:p w:rsidR="007A15F5" w:rsidRDefault="007A15F5" w:rsidP="007A15F5">
            <w:pPr>
              <w:pStyle w:val="Akapitzlist"/>
              <w:numPr>
                <w:ilvl w:val="0"/>
                <w:numId w:val="1"/>
              </w:numPr>
              <w:spacing w:after="40" w:line="252" w:lineRule="auto"/>
            </w:pPr>
            <w:r>
              <w:t>oprogramowanie do segmentacji 3D i oceny tętniaków w mózgu z serii z kontrastem wraz z obliczaniem objętości tętniaka, minimalnej i maksymalnej długości tętniaka oraz maksymalnej i minimalnej średnicy szyjki tętniaka</w:t>
            </w:r>
          </w:p>
          <w:p w:rsidR="007A15F5" w:rsidRDefault="007A15F5" w:rsidP="007A15F5">
            <w:pPr>
              <w:spacing w:after="40" w:line="252" w:lineRule="auto"/>
            </w:pPr>
            <w:r>
              <w:t>Dostawa nowych licencji lub wykorzystanie licencji posiadanych przez Zamawiającego.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napToGrid w:val="0"/>
              <w:spacing w:before="40" w:after="40" w:line="252" w:lineRule="auto"/>
            </w:pPr>
            <w:r>
              <w:rPr>
                <w:lang w:eastAsia="ja-JP"/>
              </w:rPr>
              <w:t>2 licencje jednoczasowe lub pływające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11.3.28.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Środowisko programistyczne służące do tworzenia i modyfikowania </w:t>
            </w:r>
            <w:r>
              <w:lastRenderedPageBreak/>
              <w:t xml:space="preserve">sekwencji i algorytmów rekonstrukcji (IDEA, ORCHESTRA </w:t>
            </w:r>
            <w:r>
              <w:rPr>
                <w:lang w:eastAsia="ja-JP"/>
              </w:rPr>
              <w:t>lub odpowiednio do nomenklatury producenta</w:t>
            </w:r>
            <w:r>
              <w:t>)</w:t>
            </w:r>
            <w:r w:rsidR="00AF1C61">
              <w:t xml:space="preserve"> </w:t>
            </w:r>
            <w:r w:rsidR="00AF1C61" w:rsidRPr="00F62AA4">
              <w:rPr>
                <w:color w:val="00B050"/>
              </w:rPr>
              <w:t>(prosimy o uwzględnienie szkolenia dla przynajmniej 4 uczestników)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11.3.29.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Oprogramowanie </w:t>
            </w:r>
            <w:proofErr w:type="spellStart"/>
            <w:r>
              <w:t>syntheticMR</w:t>
            </w:r>
            <w:proofErr w:type="spellEnd"/>
            <w:r>
              <w:t xml:space="preserve"> do analizy sekwencji  MAGIC, MDME lub odpowiednik wg nomenklatury producenta), które generuje obrazy ważone kontrastem w oparciu o pomiary właściwości tkanek z jednej akwizycji. Oprogramowanie pozwala na utworzenie zestawu obrazów T1, T2, FLAIR, PD i STIR oraz mapy czasów relaksacji T1, T2, koncentracji </w:t>
            </w:r>
            <w:proofErr w:type="spellStart"/>
            <w:r>
              <w:t>mieliny</w:t>
            </w:r>
            <w:proofErr w:type="spellEnd"/>
            <w: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Tak,</w:t>
            </w:r>
            <w:r>
              <w:rPr>
                <w:lang w:eastAsia="ja-JP"/>
              </w:rPr>
              <w:t xml:space="preserve"> 1 licencja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11.3.30.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Oprogramowanie CIRCLE CVI służące do podstawowej analizy badań serca MR wraz z pakietem do opracowywania badań 4D </w:t>
            </w:r>
            <w:proofErr w:type="spellStart"/>
            <w:r>
              <w:t>Flow</w:t>
            </w:r>
            <w:proofErr w:type="spellEnd"/>
            <w:r>
              <w:t xml:space="preserve"> i </w:t>
            </w:r>
            <w:r w:rsidR="00BC6FDD">
              <w:t>oceny ilościowej perfuzji serca</w:t>
            </w:r>
          </w:p>
          <w:p w:rsidR="00BC6FDD" w:rsidRDefault="00BC6FDD" w:rsidP="007A15F5">
            <w:r w:rsidRPr="00237D65">
              <w:rPr>
                <w:color w:val="00B050"/>
              </w:rPr>
              <w:t>Dostawa dodatkowej licencji, niezależnej od ilości licencji wymaganych w punktach 11.3.18 – 11.3.20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Autospacing="1" w:after="40" w:line="252" w:lineRule="auto"/>
            </w:pPr>
            <w:r>
              <w:t>Tak, 1 licencja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b/>
                <w:bCs/>
                <w:lang w:eastAsia="ja-JP"/>
              </w:rPr>
              <w:t>12. WYPOSAŻENIE PRACOWNI</w:t>
            </w:r>
          </w:p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lang w:eastAsia="ja-JP"/>
              </w:rPr>
              <w:t xml:space="preserve">Kabina RF (1 okno, 1 drzwi) z dostawą, montażem i wykończeniem wnętrza o najwyższym stopniu tłumienia akustycznego. </w:t>
            </w:r>
            <w:r>
              <w:rPr>
                <w:color w:val="000000" w:themeColor="text1"/>
                <w:lang w:eastAsia="ja-JP"/>
              </w:rPr>
              <w:t xml:space="preserve">Kabina wyposażona w szafkę / -ki na dostarczane cewki, zapewniającą ich bezpieczne i ergonomiczne przechowywanie. Kabina wyposażona w gniazda zasilania 230V / 50Hz (min 8 gniazd), gniazda gazów medycznych (standard AGA) – tlen, próżnia, powietrze; przepusty i filtry do podłączenia okablowania </w:t>
            </w:r>
            <w:proofErr w:type="spellStart"/>
            <w:r>
              <w:rPr>
                <w:color w:val="000000" w:themeColor="text1"/>
                <w:lang w:eastAsia="ja-JP"/>
              </w:rPr>
              <w:t>wstrzykiwaczy</w:t>
            </w:r>
            <w:proofErr w:type="spellEnd"/>
            <w:r>
              <w:rPr>
                <w:color w:val="000000" w:themeColor="text1"/>
                <w:lang w:eastAsia="ja-JP"/>
              </w:rPr>
              <w:t xml:space="preserve"> kontrastu, kardiomonitora, oświetlenie podstawowe, wyłączniki awaryjne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 xml:space="preserve">Dwugłowicowy automatyczny </w:t>
            </w:r>
            <w:proofErr w:type="spellStart"/>
            <w:r>
              <w:rPr>
                <w:lang w:eastAsia="ja-JP"/>
              </w:rPr>
              <w:t>wstrzykiwacz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bezwkładowy</w:t>
            </w:r>
            <w:proofErr w:type="spellEnd"/>
            <w:r>
              <w:rPr>
                <w:lang w:eastAsia="ja-JP"/>
              </w:rPr>
              <w:t xml:space="preserve"> do podawania środka kontrastowego, zapewniający brak zakłóceń ze skanerem w polu </w:t>
            </w:r>
            <w:r>
              <w:t xml:space="preserve">≥ </w:t>
            </w:r>
            <w:r>
              <w:rPr>
                <w:lang w:eastAsia="ja-JP"/>
              </w:rPr>
              <w:t>3T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lang w:eastAsia="ja-JP"/>
              </w:rPr>
              <w:t>Tak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  <w:p w:rsidR="007A15F5" w:rsidRDefault="007A15F5" w:rsidP="007A15F5">
            <w:pPr>
              <w:spacing w:before="40" w:after="40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>Gaśnica niemagnetyczna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Niemagnetyczna leżanka do transportu chorych leżących z pneumatyczną lub hydrauliczną regulacją wysokości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</w:rPr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Niemagnetyczny wózek do transportu chorych w pozycji siedzącej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Kardiomonitor pracujący w środowisku MR wyposażony w czujniki wraz z niemagnetycznym stojakiem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 xml:space="preserve"> 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Zestaw fantomów do kalibracji systemu i oferowanych cewek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Zestaw audio do odsłuchu muzyki przez pacjenta w trakcie badania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12.10.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Wykonanie graficznej aranżacji pracowni rezonansu magnetycznego (np. </w:t>
            </w:r>
            <w:r>
              <w:lastRenderedPageBreak/>
              <w:t xml:space="preserve">tapety, zdjęcia na ścianach pracowni oraz korelujące z nimi motywy graficzne na rezonansie magnetycznym) w uzgodnieniu z Zamawiającym. 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12.11.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 xml:space="preserve">Zestaw urządzeń potrzebnych do wykonywania badań funkcjonalnych mózgu </w:t>
            </w:r>
            <w:proofErr w:type="spellStart"/>
            <w:r>
              <w:t>fMRI</w:t>
            </w:r>
            <w:proofErr w:type="spellEnd"/>
            <w:r>
              <w:t xml:space="preserve"> składający się co najmniej z: urządzenie do prezentacji audiowizualnej bodźców wewnątrz skanera, urządzenie do synchronizacji bodźców, urządzenie do odbierania odpowiedzi od </w:t>
            </w:r>
            <w:bookmarkStart w:id="1" w:name="_GoBack1"/>
            <w:bookmarkEnd w:id="1"/>
            <w:r>
              <w:t>pacjenta (joysticki), oprogramowanie do prezentacji bodźców, komputer dedykowany do oprogramowania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Tak;</w:t>
            </w:r>
          </w:p>
          <w:p w:rsidR="007A15F5" w:rsidRDefault="007A15F5" w:rsidP="007A15F5">
            <w:pPr>
              <w:snapToGrid w:val="0"/>
              <w:spacing w:before="40" w:after="40"/>
            </w:pPr>
            <w:r>
              <w:t xml:space="preserve"> podać typ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13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13. WYMAGANIA UZUPEŁNIAJĄCE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Aparat MR oraz wszystkie elementy składowe i wyposażenie fabrycznie nowe, z bieżącej produkcji, nie powystawowe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Tak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Rok produkcji aparatu MR </w:t>
            </w:r>
            <w:r>
              <w:rPr>
                <w:bCs/>
              </w:rPr>
              <w:t xml:space="preserve">oraz wszystkich elementów składowych i </w:t>
            </w:r>
            <w:r w:rsidRPr="00C27EEF">
              <w:rPr>
                <w:bCs/>
                <w:color w:val="auto"/>
              </w:rPr>
              <w:t xml:space="preserve">wyposażenia </w:t>
            </w:r>
            <w:r w:rsidR="004C1A4A" w:rsidRPr="00C27EEF">
              <w:rPr>
                <w:color w:val="auto"/>
              </w:rPr>
              <w:t>nie starszy niż 2020 lub z bieżącej produkcji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napToGrid w:val="0"/>
              <w:spacing w:before="40" w:after="40"/>
              <w:rPr>
                <w:strike/>
                <w:color w:val="00B050"/>
              </w:rPr>
            </w:pPr>
            <w:r w:rsidRPr="00237D65">
              <w:rPr>
                <w:strike/>
                <w:color w:val="00B050"/>
              </w:rPr>
              <w:t>13.3.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>Uzupełnienie helu w magnesie do maksymalnego poziomu eksploatacyjnego zalecanego przez producenta przed przekazaniem uruchomionego systemu do eksploatacji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>Tak;</w:t>
            </w:r>
          </w:p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  <w:lang w:eastAsia="ja-JP"/>
              </w:rPr>
            </w:pPr>
            <w:r w:rsidRPr="00237D65">
              <w:rPr>
                <w:strike/>
                <w:color w:val="00B050"/>
                <w:lang w:eastAsia="ja-JP"/>
              </w:rPr>
              <w:t xml:space="preserve">Min. 85%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237D65">
              <w:rPr>
                <w:strike/>
                <w:color w:val="00B050"/>
              </w:rP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Pr="00AF1C61" w:rsidRDefault="007A15F5" w:rsidP="007A15F5">
            <w:pPr>
              <w:spacing w:before="40" w:after="40"/>
              <w:rPr>
                <w:strike/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13.4.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Instrukcja obsługi w języku polskim w formie papierowej i elektronicznej do wszystkich oferowanych składowych systemu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FD18DC" w:rsidTr="008E460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napToGrid w:val="0"/>
              <w:spacing w:before="40" w:after="40"/>
            </w:pPr>
            <w:r>
              <w:t>13.5.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Okres gwarancji min. 36 miesięcy od daty podpisania przez strony protokołu końcowego uruchomienia aparatu </w:t>
            </w:r>
            <w:r w:rsidR="00D71E9B">
              <w:rPr>
                <w:bCs/>
                <w:lang w:eastAsia="ja-JP"/>
              </w:rPr>
              <w:t>.</w:t>
            </w:r>
          </w:p>
          <w:p w:rsidR="00D71E9B" w:rsidRPr="00AF1C61" w:rsidRDefault="00D71E9B" w:rsidP="007A15F5">
            <w:pPr>
              <w:spacing w:before="40" w:after="40"/>
              <w:rPr>
                <w:bCs/>
                <w:strike/>
                <w:lang w:eastAsia="ja-JP"/>
              </w:rPr>
            </w:pPr>
            <w:r w:rsidRPr="00237D65">
              <w:rPr>
                <w:rFonts w:cs="Calibri"/>
                <w:b/>
                <w:i/>
                <w:strike/>
                <w:color w:val="00B050"/>
              </w:rPr>
              <w:t>Okres gwarancji jest jednym z kryteriów oceny ofert.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FD18DC" w:rsidRDefault="00FD18DC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4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B2839" w:rsidRDefault="002B2839" w:rsidP="007A15F5">
            <w:pPr>
              <w:spacing w:before="40" w:after="40"/>
            </w:pPr>
          </w:p>
          <w:p w:rsidR="00FD18DC" w:rsidRDefault="00FD18DC" w:rsidP="007A15F5">
            <w:pPr>
              <w:spacing w:before="40" w:after="40"/>
            </w:pPr>
            <w:r>
              <w:t>Podać w miesiącach ……………………….</w:t>
            </w: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13.6.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 ramach gwarancji, przeglądy okresowe w całym okresie jej trwania zgodnie z zaleceniami producenta, wraz z wszystkimi częściami niezbędnymi do wykonania przeglądu.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13.7.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Wykonanie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pomiarów </w:t>
            </w:r>
            <w:r>
              <w:rPr>
                <w:rFonts w:ascii="Times New Roman" w:hAnsi="Times New Roman"/>
                <w:sz w:val="20"/>
              </w:rPr>
              <w:t>natężenia pola magnetycznego oraz testów wszystkich systemów aparatu.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13.8.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rPr>
                <w:color w:val="000000"/>
              </w:rPr>
              <w:t>Przeszkolenie personelu technicznego w zakresie podstawowej obsługi, eksploatacji, konserwacji</w:t>
            </w:r>
            <w:r>
              <w:t xml:space="preserve"> i przeszkolenie personelu pracowni z zakresu bezpiecznej pracy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13.9.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</w:pPr>
            <w:r>
              <w:t xml:space="preserve">Szkolenia aplikacyjne dla lekarzy, fizyków i techników w siedzibie zamawiającego w wymiarze min. 15 </w:t>
            </w:r>
            <w:r>
              <w:rPr>
                <w:color w:val="000000" w:themeColor="text1"/>
              </w:rPr>
              <w:t>dni w okresie gwarancji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Tak;</w:t>
            </w:r>
          </w:p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Podać ilość dni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≥16 dni - 2 pkt</w:t>
            </w:r>
          </w:p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t>&lt;16 dni - 0 pkt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13.10.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Możliwość przeprowadzania zdalnej diagnostyki serwisowej aparatu MR 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za pomocą sieci teleinformatycznej, poprzez zestawiane pod kontrolą Zamawiającego, chronione regułami VPN łącze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lastRenderedPageBreak/>
              <w:t>13.11.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Dokumentacja powykonawcza wykonania prac instalacyjnych w 2 egzemplarzach w formie papierowej i 1 egzemplarz w formie elektronicznej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Wszystkie oferowane urządzenia muszą być oznakowanie znakiem CE. </w:t>
            </w:r>
          </w:p>
          <w:p w:rsidR="007A15F5" w:rsidRDefault="007A15F5" w:rsidP="007A15F5">
            <w:pPr>
              <w:pStyle w:val="AbsatzTableFormat"/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Oznakowanie CE rezonansu magnetycznego należy potwierdzić certyfikatem CE lub deklaracją zgodności (które należy złożyć w odpowiedzi na wezwanie Zamawiającego)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13.13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Autoryzowany serwis gwarancyjny i</w:t>
            </w:r>
            <w:r w:rsidR="0082345B">
              <w:t xml:space="preserve"> pogwarancyjny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bCs/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t>13.14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jc w:val="both"/>
            </w:pPr>
            <w:r>
              <w:t>Wraz z urządzeniem dostarczone: wykaz autoryzowanych punktów serwisowych na terenie kraju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813532" w:rsidRDefault="00813532" w:rsidP="007A15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Maksymalny pobór mocy urządzenia &lt;150kVA</w:t>
            </w:r>
          </w:p>
          <w:p w:rsidR="007A15F5" w:rsidRDefault="007A15F5" w:rsidP="007A15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Wykorzystanie przygotowanej przez Zamawiającego infrastruktury (zasilanie MR, system chłodzenia MR i pomieszczenia technicznego, awaryjny wyrzut helu), a w przypadku konieczności zmian lub modernizacji – w koszcie oferty</w:t>
            </w:r>
          </w:p>
          <w:p w:rsidR="00813532" w:rsidRDefault="00813532" w:rsidP="007A15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813532" w:rsidRDefault="00813532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 xml:space="preserve">Podać w </w:t>
            </w:r>
            <w:proofErr w:type="spellStart"/>
            <w:r>
              <w:rPr>
                <w:color w:val="000000" w:themeColor="text1"/>
                <w:lang w:eastAsia="ja-JP"/>
              </w:rPr>
              <w:t>kVA</w:t>
            </w:r>
            <w:proofErr w:type="spellEnd"/>
          </w:p>
          <w:p w:rsidR="00813532" w:rsidRDefault="00813532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</w:p>
          <w:p w:rsidR="007A15F5" w:rsidRDefault="007A15F5" w:rsidP="007A15F5">
            <w:pPr>
              <w:spacing w:before="40" w:after="40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wartość mocy potrzebnej do zasilania MR – 5pkt</w:t>
            </w:r>
          </w:p>
          <w:p w:rsidR="007A15F5" w:rsidRDefault="007A15F5" w:rsidP="007A15F5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Najmniejsza wartość mocy chłodzenia aparatu MR – 5 pkt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pPr>
              <w:snapToGrid w:val="0"/>
              <w:spacing w:before="40" w:after="40"/>
            </w:pPr>
            <w:r>
              <w:rPr>
                <w:color w:val="000000" w:themeColor="text1"/>
              </w:rPr>
              <w:t>13.16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F34157" w:rsidP="007A15F5">
            <w:pPr>
              <w:jc w:val="both"/>
              <w:rPr>
                <w:color w:val="000000" w:themeColor="text1"/>
              </w:rPr>
            </w:pPr>
            <w:bookmarkStart w:id="2" w:name="_GoBack"/>
            <w:r w:rsidRPr="00237D65">
              <w:rPr>
                <w:color w:val="00B050"/>
              </w:rPr>
              <w:t xml:space="preserve">1. </w:t>
            </w:r>
            <w:bookmarkEnd w:id="2"/>
            <w:r w:rsidR="007A15F5">
              <w:t>Szkolenia aplikacyjne dla lekarzy, fizyków i techników poza siedzibą zamawiającego w wymiarze min. 30 osobo</w:t>
            </w:r>
            <w:r w:rsidR="007A15F5">
              <w:rPr>
                <w:color w:val="000000" w:themeColor="text1"/>
              </w:rPr>
              <w:t>dni w okresie gwarancji</w:t>
            </w:r>
            <w:r>
              <w:rPr>
                <w:color w:val="000000" w:themeColor="text1"/>
              </w:rPr>
              <w:t xml:space="preserve"> </w:t>
            </w:r>
          </w:p>
          <w:p w:rsidR="00F34157" w:rsidRPr="00237D65" w:rsidRDefault="00F34157" w:rsidP="007A15F5">
            <w:pPr>
              <w:jc w:val="both"/>
              <w:rPr>
                <w:color w:val="00B050"/>
              </w:rPr>
            </w:pPr>
            <w:r w:rsidRPr="00237D65">
              <w:rPr>
                <w:color w:val="00B050"/>
              </w:rPr>
              <w:t>Lub</w:t>
            </w:r>
          </w:p>
          <w:p w:rsidR="00F34157" w:rsidRDefault="00F34157" w:rsidP="00F34157">
            <w:pPr>
              <w:jc w:val="both"/>
            </w:pPr>
            <w:r w:rsidRPr="00237D65">
              <w:rPr>
                <w:color w:val="00B050"/>
              </w:rPr>
              <w:t>2. Szkolenia/Kursy zdalne dla lekarzy, fizyków i techników w wymiarze minimum 30 dni bez limitu uczestników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Pr="00237D65" w:rsidRDefault="007A15F5" w:rsidP="007A15F5">
            <w:pPr>
              <w:spacing w:before="40" w:after="40"/>
              <w:rPr>
                <w:strike/>
                <w:color w:val="00B050"/>
              </w:rPr>
            </w:pPr>
            <w:r w:rsidRPr="00237D65">
              <w:rPr>
                <w:strike/>
                <w:color w:val="00B050"/>
                <w:lang w:eastAsia="ja-JP"/>
              </w:rPr>
              <w:t>Tak</w:t>
            </w:r>
            <w:r w:rsidR="0048756D" w:rsidRPr="00237D65">
              <w:rPr>
                <w:strike/>
                <w:color w:val="00B050"/>
                <w:lang w:eastAsia="ja-JP"/>
              </w:rPr>
              <w:t xml:space="preserve"> </w:t>
            </w:r>
            <w:r w:rsidR="00F34157" w:rsidRPr="00237D65">
              <w:rPr>
                <w:color w:val="00B050"/>
                <w:lang w:eastAsia="ja-JP"/>
              </w:rPr>
              <w:t>Podać 1 lub 2 oraz oferowaną długość szkoleń w osobodniach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</w:pPr>
            <w:r>
              <w:t>≥32 osobodni - 2 pkt</w:t>
            </w:r>
          </w:p>
          <w:p w:rsidR="007A15F5" w:rsidRDefault="007A15F5" w:rsidP="007A15F5">
            <w:pPr>
              <w:spacing w:before="40" w:after="40"/>
            </w:pPr>
            <w:r>
              <w:rPr>
                <w:color w:val="000000" w:themeColor="text1"/>
              </w:rPr>
              <w:t xml:space="preserve">&lt;32 osobodni - 0 pkt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spacing w:before="40" w:after="40"/>
              <w:rPr>
                <w:color w:val="FF0000"/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13.17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 xml:space="preserve">Koszt pełnej obsługi serwisowej w okresie gwarancji; obejmującej przeglądy, w tym przegląd w ostatnim miesiącu gwarancji i naprawy gwarancyjne; zawarty w cenie przedmiotu zamówienia. </w:t>
            </w:r>
          </w:p>
          <w:p w:rsidR="007A15F5" w:rsidRDefault="007A15F5" w:rsidP="007A15F5">
            <w:r>
              <w:t>Podać zalecaną przez producenta częstość przeglądów w okresie gwarancji i po gwarancji.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13.18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Zagwarantowanie dostępności serwisu, oprogramowania i części zamiennych przez co najmniej 10 lat od daty dostawy.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13.19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Paszport techniczny z informacjami zawierającymi datę zainstalowania urządzenia i termin następnego przeglądu (jeżeli wymagany)</w:t>
            </w:r>
          </w:p>
          <w:p w:rsidR="007A15F5" w:rsidRDefault="007A15F5" w:rsidP="007A15F5">
            <w:r>
              <w:t>Dostarczyć wraz z dostawą przedmiotu zamówienia.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  <w:tr w:rsidR="007A15F5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t>13.20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F34157">
            <w:r>
              <w:t xml:space="preserve">Czas usunięcia przez serwis Wykonawcy do usterki w ciągu </w:t>
            </w:r>
            <w:r w:rsidRPr="00F34157">
              <w:rPr>
                <w:strike/>
                <w:color w:val="FF0000"/>
              </w:rPr>
              <w:t>5</w:t>
            </w:r>
            <w:r>
              <w:t xml:space="preserve"> </w:t>
            </w:r>
            <w:r w:rsidR="00F34157">
              <w:rPr>
                <w:color w:val="FF0000"/>
              </w:rPr>
              <w:t xml:space="preserve"> 7 </w:t>
            </w:r>
            <w:r>
              <w:t>dni roboczych od momentu zgłoszenia awarii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  <w:right w:w="65" w:type="dxa"/>
            </w:tcMar>
          </w:tcPr>
          <w:p w:rsidR="007A15F5" w:rsidRDefault="007A15F5" w:rsidP="007A15F5">
            <w:r>
              <w:rPr>
                <w:lang w:eastAsia="ja-JP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r>
              <w:t>Bez punktacji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15F5" w:rsidRDefault="007A15F5" w:rsidP="007A15F5">
            <w:pPr>
              <w:rPr>
                <w:lang w:eastAsia="ja-JP"/>
              </w:rPr>
            </w:pPr>
          </w:p>
        </w:tc>
      </w:tr>
    </w:tbl>
    <w:p w:rsidR="00B17D7B" w:rsidRDefault="00B17D7B"/>
    <w:p w:rsidR="00883F2C" w:rsidRDefault="00883F2C"/>
    <w:p w:rsidR="006E2595" w:rsidRPr="00F34EAE" w:rsidRDefault="00F34EAE" w:rsidP="00F34EAE">
      <w:pPr>
        <w:pStyle w:val="Tekstpodstawowywcity2"/>
        <w:spacing w:after="0" w:line="240" w:lineRule="auto"/>
        <w:ind w:left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6E2595" w:rsidRPr="00F34EAE">
        <w:rPr>
          <w:i/>
        </w:rPr>
        <w:t>…………………………..…..................……..........………………...</w:t>
      </w:r>
    </w:p>
    <w:p w:rsidR="006E2595" w:rsidRPr="00F34EAE" w:rsidRDefault="00F34EAE" w:rsidP="00F34EAE">
      <w:pPr>
        <w:pStyle w:val="Nagwek1"/>
        <w:ind w:left="4248" w:firstLine="708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 xml:space="preserve">                         </w:t>
      </w:r>
      <w:r w:rsidR="006E2595" w:rsidRPr="00F34EAE">
        <w:rPr>
          <w:rFonts w:ascii="Times New Roman" w:hAnsi="Times New Roman"/>
          <w:b w:val="0"/>
          <w:color w:val="auto"/>
          <w:sz w:val="20"/>
        </w:rPr>
        <w:t>podpis i pieczątka imienna osoby/</w:t>
      </w:r>
      <w:proofErr w:type="spellStart"/>
      <w:r w:rsidR="006E2595" w:rsidRPr="00F34EAE">
        <w:rPr>
          <w:rFonts w:ascii="Times New Roman" w:hAnsi="Times New Roman"/>
          <w:b w:val="0"/>
          <w:color w:val="auto"/>
          <w:sz w:val="20"/>
        </w:rPr>
        <w:t>ób</w:t>
      </w:r>
      <w:proofErr w:type="spellEnd"/>
      <w:r w:rsidR="006E2595" w:rsidRPr="00F34EAE">
        <w:rPr>
          <w:rFonts w:ascii="Times New Roman" w:hAnsi="Times New Roman"/>
          <w:b w:val="0"/>
          <w:color w:val="auto"/>
          <w:sz w:val="20"/>
        </w:rPr>
        <w:t xml:space="preserve"> upoważnionej/</w:t>
      </w:r>
      <w:proofErr w:type="spellStart"/>
      <w:r w:rsidR="006E2595" w:rsidRPr="00F34EAE">
        <w:rPr>
          <w:rFonts w:ascii="Times New Roman" w:hAnsi="Times New Roman"/>
          <w:b w:val="0"/>
          <w:color w:val="auto"/>
          <w:sz w:val="20"/>
        </w:rPr>
        <w:t>nych</w:t>
      </w:r>
      <w:proofErr w:type="spellEnd"/>
    </w:p>
    <w:p w:rsidR="006E2595" w:rsidRPr="00F34EAE" w:rsidRDefault="00F34EAE" w:rsidP="00F34EAE">
      <w:pPr>
        <w:jc w:val="center"/>
      </w:pPr>
      <w:r>
        <w:t xml:space="preserve">                                                                                                                           </w:t>
      </w:r>
      <w:r w:rsidR="006E2595" w:rsidRPr="00F34EAE">
        <w:t>do występowania w imieniu wykonawcy</w:t>
      </w:r>
    </w:p>
    <w:sectPr w:rsidR="006E2595" w:rsidRPr="00F34EAE" w:rsidSect="00A52932">
      <w:headerReference w:type="default" r:id="rId9"/>
      <w:footerReference w:type="default" r:id="rId10"/>
      <w:pgSz w:w="16838" w:h="11906" w:orient="landscape" w:code="9"/>
      <w:pgMar w:top="1128" w:right="1418" w:bottom="1134" w:left="1418" w:header="425" w:footer="4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3E" w:rsidRDefault="008C063E" w:rsidP="004C71DC">
      <w:r>
        <w:separator/>
      </w:r>
    </w:p>
  </w:endnote>
  <w:endnote w:type="continuationSeparator" w:id="0">
    <w:p w:rsidR="008C063E" w:rsidRDefault="008C063E" w:rsidP="004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Inspira">
    <w:altName w:val="Times New Roman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123072871"/>
      <w:docPartObj>
        <w:docPartGallery w:val="Page Numbers (Bottom of Page)"/>
        <w:docPartUnique/>
      </w:docPartObj>
    </w:sdtPr>
    <w:sdtEndPr/>
    <w:sdtContent>
      <w:p w:rsidR="001C12E4" w:rsidRDefault="001C12E4" w:rsidP="00E8034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</w:p>
      <w:p w:rsidR="001C12E4" w:rsidRPr="00E80342" w:rsidRDefault="001C12E4" w:rsidP="00E8034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E8034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80342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E80342">
          <w:rPr>
            <w:sz w:val="18"/>
            <w:szCs w:val="18"/>
          </w:rPr>
          <w:instrText>PAGE    \* MERGEFORMAT</w:instrText>
        </w:r>
        <w:r w:rsidRPr="00E80342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237D65" w:rsidRPr="00237D65">
          <w:rPr>
            <w:rFonts w:asciiTheme="majorHAnsi" w:eastAsiaTheme="majorEastAsia" w:hAnsiTheme="majorHAnsi" w:cstheme="majorBidi"/>
            <w:noProof/>
            <w:sz w:val="18"/>
            <w:szCs w:val="18"/>
          </w:rPr>
          <w:t>32</w:t>
        </w:r>
        <w:r w:rsidRPr="00E8034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3E" w:rsidRDefault="008C063E" w:rsidP="004C71DC">
      <w:r>
        <w:separator/>
      </w:r>
    </w:p>
  </w:footnote>
  <w:footnote w:type="continuationSeparator" w:id="0">
    <w:p w:rsidR="008C063E" w:rsidRDefault="008C063E" w:rsidP="004C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4" w:rsidRPr="005C19CE" w:rsidRDefault="001C12E4" w:rsidP="005C19CE">
    <w:pPr>
      <w:pStyle w:val="Nagwek"/>
      <w:spacing w:before="0" w:after="0"/>
      <w:rPr>
        <w:rFonts w:asciiTheme="minorHAnsi" w:hAnsiTheme="minorHAnsi"/>
        <w:b/>
        <w:sz w:val="20"/>
        <w:szCs w:val="20"/>
      </w:rPr>
    </w:pPr>
    <w:r w:rsidRPr="005C19CE">
      <w:rPr>
        <w:rFonts w:asciiTheme="minorHAnsi" w:hAnsiTheme="minorHAnsi"/>
        <w:b/>
        <w:sz w:val="20"/>
        <w:szCs w:val="20"/>
      </w:rPr>
      <w:t>Postępowanie nr ZP/67/2020</w:t>
    </w:r>
  </w:p>
  <w:p w:rsidR="001C12E4" w:rsidRPr="005C19CE" w:rsidRDefault="001C12E4" w:rsidP="005C19CE">
    <w:pPr>
      <w:pStyle w:val="Tretekstu"/>
      <w:jc w:val="left"/>
      <w:rPr>
        <w:rFonts w:asciiTheme="minorHAnsi" w:hAnsiTheme="minorHAnsi"/>
      </w:rPr>
    </w:pPr>
    <w:r w:rsidRPr="005C19CE">
      <w:rPr>
        <w:rFonts w:asciiTheme="minorHAnsi" w:hAnsiTheme="minorHAnsi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53A"/>
    <w:multiLevelType w:val="multilevel"/>
    <w:tmpl w:val="115C4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18419C"/>
    <w:multiLevelType w:val="multilevel"/>
    <w:tmpl w:val="94B44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66B5D63"/>
    <w:multiLevelType w:val="multilevel"/>
    <w:tmpl w:val="EA64B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D86481"/>
    <w:multiLevelType w:val="multilevel"/>
    <w:tmpl w:val="F648D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314298"/>
    <w:multiLevelType w:val="multilevel"/>
    <w:tmpl w:val="06A8B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5B3D81"/>
    <w:multiLevelType w:val="multilevel"/>
    <w:tmpl w:val="973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rM0MzezNDcyMzRS0lEKTi0uzszPAykwrgUAcoHh3ywAAAA="/>
  </w:docVars>
  <w:rsids>
    <w:rsidRoot w:val="00B17D7B"/>
    <w:rsid w:val="000A4F14"/>
    <w:rsid w:val="000C247F"/>
    <w:rsid w:val="001276DD"/>
    <w:rsid w:val="00130E17"/>
    <w:rsid w:val="00131AEB"/>
    <w:rsid w:val="00131B75"/>
    <w:rsid w:val="00143A9D"/>
    <w:rsid w:val="00153B31"/>
    <w:rsid w:val="00163FF8"/>
    <w:rsid w:val="0018162B"/>
    <w:rsid w:val="001C12E4"/>
    <w:rsid w:val="001C585D"/>
    <w:rsid w:val="002156A4"/>
    <w:rsid w:val="00224A9D"/>
    <w:rsid w:val="00237D65"/>
    <w:rsid w:val="002B2839"/>
    <w:rsid w:val="002F5F84"/>
    <w:rsid w:val="003C3EC9"/>
    <w:rsid w:val="003C7E2C"/>
    <w:rsid w:val="004138BC"/>
    <w:rsid w:val="0045605F"/>
    <w:rsid w:val="0048756D"/>
    <w:rsid w:val="00493CC8"/>
    <w:rsid w:val="004C1A4A"/>
    <w:rsid w:val="004C6F63"/>
    <w:rsid w:val="004C71DC"/>
    <w:rsid w:val="004F1026"/>
    <w:rsid w:val="005430DB"/>
    <w:rsid w:val="005A3676"/>
    <w:rsid w:val="005C19CE"/>
    <w:rsid w:val="005D368E"/>
    <w:rsid w:val="00624572"/>
    <w:rsid w:val="00643D5E"/>
    <w:rsid w:val="006E2595"/>
    <w:rsid w:val="00763870"/>
    <w:rsid w:val="00784877"/>
    <w:rsid w:val="007A15F5"/>
    <w:rsid w:val="00801EBE"/>
    <w:rsid w:val="00813532"/>
    <w:rsid w:val="00817DFD"/>
    <w:rsid w:val="0082345B"/>
    <w:rsid w:val="008700F3"/>
    <w:rsid w:val="00883F2C"/>
    <w:rsid w:val="008C063E"/>
    <w:rsid w:val="008E4608"/>
    <w:rsid w:val="008F213A"/>
    <w:rsid w:val="0090313E"/>
    <w:rsid w:val="00917449"/>
    <w:rsid w:val="009401C7"/>
    <w:rsid w:val="0096768A"/>
    <w:rsid w:val="009C76FA"/>
    <w:rsid w:val="00A52932"/>
    <w:rsid w:val="00A563C9"/>
    <w:rsid w:val="00A76C68"/>
    <w:rsid w:val="00AD4447"/>
    <w:rsid w:val="00AF1C61"/>
    <w:rsid w:val="00B17D7B"/>
    <w:rsid w:val="00B40C04"/>
    <w:rsid w:val="00B8391B"/>
    <w:rsid w:val="00BC6FDD"/>
    <w:rsid w:val="00C168F0"/>
    <w:rsid w:val="00C27EEF"/>
    <w:rsid w:val="00C41353"/>
    <w:rsid w:val="00C55DDB"/>
    <w:rsid w:val="00C56819"/>
    <w:rsid w:val="00C648A5"/>
    <w:rsid w:val="00C92CB4"/>
    <w:rsid w:val="00CA6F36"/>
    <w:rsid w:val="00CD0C4D"/>
    <w:rsid w:val="00D71E9B"/>
    <w:rsid w:val="00DB1EA1"/>
    <w:rsid w:val="00DB24CC"/>
    <w:rsid w:val="00DB327E"/>
    <w:rsid w:val="00DE54E8"/>
    <w:rsid w:val="00E80342"/>
    <w:rsid w:val="00EE7171"/>
    <w:rsid w:val="00F15AD1"/>
    <w:rsid w:val="00F34157"/>
    <w:rsid w:val="00F34EAE"/>
    <w:rsid w:val="00F62AA4"/>
    <w:rsid w:val="00F726DB"/>
    <w:rsid w:val="00F92EE2"/>
    <w:rsid w:val="00FC059F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113D"/>
    <w:pPr>
      <w:keepNext/>
      <w:suppressAutoHyphens/>
      <w:jc w:val="center"/>
      <w:outlineLvl w:val="0"/>
    </w:pPr>
    <w:rPr>
      <w:rFonts w:ascii="Arial" w:eastAsia="MS Mincho" w:hAnsi="Arial"/>
      <w:b/>
      <w:sz w:val="24"/>
    </w:rPr>
  </w:style>
  <w:style w:type="paragraph" w:styleId="Nagwek2">
    <w:name w:val="heading 2"/>
    <w:basedOn w:val="Normalny"/>
    <w:link w:val="Nagwek2Znak"/>
    <w:qFormat/>
    <w:rsid w:val="004B113D"/>
    <w:pPr>
      <w:keepNext/>
      <w:suppressAutoHyphens/>
      <w:outlineLvl w:val="1"/>
    </w:pPr>
    <w:rPr>
      <w:rFonts w:ascii="Arial" w:eastAsia="MS Mincho" w:hAnsi="Arial"/>
      <w:b/>
      <w:sz w:val="22"/>
    </w:rPr>
  </w:style>
  <w:style w:type="paragraph" w:styleId="Nagwek3">
    <w:name w:val="heading 3"/>
    <w:basedOn w:val="Normalny"/>
    <w:link w:val="Nagwek3Znak"/>
    <w:qFormat/>
    <w:rsid w:val="004B113D"/>
    <w:pPr>
      <w:keepNext/>
      <w:tabs>
        <w:tab w:val="left" w:pos="0"/>
      </w:tabs>
      <w:suppressAutoHyphens/>
      <w:outlineLvl w:val="2"/>
    </w:pPr>
    <w:rPr>
      <w:rFonts w:ascii="Arial" w:eastAsia="MS Mincho" w:hAnsi="Arial"/>
      <w:b/>
      <w:sz w:val="24"/>
    </w:rPr>
  </w:style>
  <w:style w:type="paragraph" w:styleId="Nagwek4">
    <w:name w:val="heading 4"/>
    <w:basedOn w:val="Normalny"/>
    <w:link w:val="Nagwek4Znak"/>
    <w:qFormat/>
    <w:rsid w:val="004B113D"/>
    <w:pPr>
      <w:keepNext/>
      <w:tabs>
        <w:tab w:val="left" w:pos="0"/>
      </w:tabs>
      <w:suppressAutoHyphens/>
      <w:outlineLvl w:val="3"/>
    </w:pPr>
    <w:rPr>
      <w:rFonts w:ascii="Arial" w:eastAsia="MS Mincho" w:hAnsi="Arial"/>
      <w:b/>
      <w:color w:val="000000"/>
      <w:sz w:val="22"/>
    </w:rPr>
  </w:style>
  <w:style w:type="paragraph" w:styleId="Nagwek5">
    <w:name w:val="heading 5"/>
    <w:basedOn w:val="Normalny"/>
    <w:link w:val="Nagwek5Znak"/>
    <w:qFormat/>
    <w:rsid w:val="004B113D"/>
    <w:pPr>
      <w:keepNext/>
      <w:suppressAutoHyphens/>
      <w:jc w:val="center"/>
      <w:outlineLvl w:val="4"/>
    </w:pPr>
    <w:rPr>
      <w:rFonts w:ascii="Arial" w:eastAsia="MS Mincho" w:hAnsi="Arial"/>
      <w:b/>
      <w:sz w:val="22"/>
    </w:rPr>
  </w:style>
  <w:style w:type="paragraph" w:styleId="Nagwek6">
    <w:name w:val="heading 6"/>
    <w:basedOn w:val="Normalny"/>
    <w:link w:val="Nagwek6Znak"/>
    <w:qFormat/>
    <w:rsid w:val="004B113D"/>
    <w:pPr>
      <w:keepNext/>
      <w:tabs>
        <w:tab w:val="left" w:pos="0"/>
      </w:tabs>
      <w:suppressAutoHyphens/>
      <w:outlineLvl w:val="5"/>
    </w:pPr>
    <w:rPr>
      <w:rFonts w:ascii="Arial" w:eastAsia="MS Mincho" w:hAnsi="Arial"/>
      <w:b/>
      <w:color w:val="0000FF"/>
      <w:sz w:val="22"/>
    </w:rPr>
  </w:style>
  <w:style w:type="paragraph" w:styleId="Nagwek7">
    <w:name w:val="heading 7"/>
    <w:basedOn w:val="Normalny"/>
    <w:link w:val="Nagwek7Znak"/>
    <w:qFormat/>
    <w:rsid w:val="004B113D"/>
    <w:pPr>
      <w:keepNext/>
      <w:tabs>
        <w:tab w:val="left" w:pos="0"/>
      </w:tabs>
      <w:suppressAutoHyphens/>
      <w:jc w:val="center"/>
      <w:outlineLvl w:val="6"/>
    </w:pPr>
    <w:rPr>
      <w:rFonts w:ascii="Arial" w:eastAsia="MS Mincho" w:hAnsi="Arial"/>
      <w:b/>
      <w:color w:val="FF0000"/>
      <w:sz w:val="24"/>
    </w:rPr>
  </w:style>
  <w:style w:type="paragraph" w:styleId="Nagwek8">
    <w:name w:val="heading 8"/>
    <w:basedOn w:val="Normalny"/>
    <w:link w:val="Nagwek8Znak"/>
    <w:qFormat/>
    <w:rsid w:val="004B113D"/>
    <w:pPr>
      <w:keepNext/>
      <w:tabs>
        <w:tab w:val="left" w:pos="0"/>
      </w:tabs>
      <w:suppressAutoHyphens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link w:val="Nagwek9Znak"/>
    <w:qFormat/>
    <w:rsid w:val="004B113D"/>
    <w:pPr>
      <w:keepNext/>
      <w:suppressAutoHyphens/>
      <w:jc w:val="center"/>
      <w:outlineLvl w:val="8"/>
    </w:pPr>
    <w:rPr>
      <w:rFonts w:ascii="GE Inspira" w:eastAsia="MS Mincho" w:hAnsi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B113D"/>
    <w:rPr>
      <w:rFonts w:ascii="Arial" w:eastAsia="MS Mincho" w:hAnsi="Arial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B113D"/>
    <w:rPr>
      <w:rFonts w:ascii="Arial" w:eastAsia="MS Mincho" w:hAnsi="Arial" w:cs="Times New Roman"/>
      <w:b/>
      <w:color w:val="0000F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B113D"/>
    <w:rPr>
      <w:rFonts w:ascii="Arial" w:eastAsia="MS Mincho" w:hAnsi="Arial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B113D"/>
    <w:rPr>
      <w:rFonts w:ascii="Times New Roman" w:eastAsia="MS Mincho" w:hAnsi="Times New Roman" w:cs="Times New Roman"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B113D"/>
    <w:rPr>
      <w:rFonts w:ascii="GE Inspira" w:eastAsia="MS Mincho" w:hAnsi="GE Inspir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4B113D"/>
  </w:style>
  <w:style w:type="character" w:customStyle="1" w:styleId="StopkaZnak">
    <w:name w:val="Stopka Znak"/>
    <w:basedOn w:val="Domylnaczcionkaakapitu"/>
    <w:link w:val="Stopka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4B113D"/>
    <w:rPr>
      <w:color w:val="0000FF"/>
      <w:u w:val="single"/>
    </w:rPr>
  </w:style>
  <w:style w:type="character" w:customStyle="1" w:styleId="WW8Num3z0">
    <w:name w:val="WW8Num3z0"/>
    <w:qFormat/>
    <w:rsid w:val="004B113D"/>
    <w:rPr>
      <w:rFonts w:ascii="StarSymbol" w:hAnsi="StarSymbol"/>
    </w:rPr>
  </w:style>
  <w:style w:type="character" w:customStyle="1" w:styleId="WW-Domylnaczcionkaakapitu">
    <w:name w:val="WW-Domyślna czcionka akapitu"/>
    <w:qFormat/>
    <w:rsid w:val="004B113D"/>
  </w:style>
  <w:style w:type="character" w:customStyle="1" w:styleId="WW-WW8Num3z0">
    <w:name w:val="WW-WW8Num3z0"/>
    <w:qFormat/>
    <w:rsid w:val="004B113D"/>
    <w:rPr>
      <w:rFonts w:ascii="StarSymbol" w:hAnsi="StarSymbol"/>
    </w:rPr>
  </w:style>
  <w:style w:type="character" w:customStyle="1" w:styleId="WW-Absatz-Standardschriftart">
    <w:name w:val="WW-Absatz-Standardschriftart"/>
    <w:qFormat/>
    <w:rsid w:val="004B113D"/>
  </w:style>
  <w:style w:type="character" w:customStyle="1" w:styleId="WW8Num2z0">
    <w:name w:val="WW8Num2z0"/>
    <w:qFormat/>
    <w:rsid w:val="004B113D"/>
    <w:rPr>
      <w:rFonts w:ascii="Times New Roman" w:hAnsi="Times New Roman"/>
    </w:rPr>
  </w:style>
  <w:style w:type="character" w:customStyle="1" w:styleId="WW8Num7z0">
    <w:name w:val="WW8Num7z0"/>
    <w:qFormat/>
    <w:rsid w:val="004B113D"/>
    <w:rPr>
      <w:rFonts w:ascii="Arial" w:hAnsi="Arial"/>
    </w:rPr>
  </w:style>
  <w:style w:type="character" w:customStyle="1" w:styleId="WW8Num8z0">
    <w:name w:val="WW8Num8z0"/>
    <w:qFormat/>
    <w:rsid w:val="004B113D"/>
    <w:rPr>
      <w:rFonts w:ascii="Times New Roman" w:hAnsi="Times New Roman"/>
      <w:sz w:val="22"/>
    </w:rPr>
  </w:style>
  <w:style w:type="character" w:customStyle="1" w:styleId="WW8Num8z1">
    <w:name w:val="WW8Num8z1"/>
    <w:qFormat/>
    <w:rsid w:val="004B113D"/>
    <w:rPr>
      <w:rFonts w:ascii="Courier New" w:hAnsi="Courier New"/>
    </w:rPr>
  </w:style>
  <w:style w:type="character" w:customStyle="1" w:styleId="WW8Num8z2">
    <w:name w:val="WW8Num8z2"/>
    <w:qFormat/>
    <w:rsid w:val="004B113D"/>
    <w:rPr>
      <w:rFonts w:ascii="Wingdings" w:hAnsi="Wingdings"/>
    </w:rPr>
  </w:style>
  <w:style w:type="character" w:customStyle="1" w:styleId="WW8Num8z3">
    <w:name w:val="WW8Num8z3"/>
    <w:qFormat/>
    <w:rsid w:val="004B113D"/>
    <w:rPr>
      <w:rFonts w:ascii="Symbol" w:hAnsi="Symbol"/>
    </w:rPr>
  </w:style>
  <w:style w:type="character" w:customStyle="1" w:styleId="WW8Num11z0">
    <w:name w:val="WW8Num11z0"/>
    <w:qFormat/>
    <w:rsid w:val="004B113D"/>
    <w:rPr>
      <w:rFonts w:ascii="Times New Roman" w:hAnsi="Times New Roman"/>
      <w:sz w:val="24"/>
      <w:u w:val="none"/>
    </w:rPr>
  </w:style>
  <w:style w:type="character" w:customStyle="1" w:styleId="WW8Num13z0">
    <w:name w:val="WW8Num13z0"/>
    <w:qFormat/>
    <w:rsid w:val="004B113D"/>
    <w:rPr>
      <w:rFonts w:ascii="Arial" w:hAnsi="Arial"/>
    </w:rPr>
  </w:style>
  <w:style w:type="character" w:customStyle="1" w:styleId="WW8Num14z0">
    <w:name w:val="WW8Num14z0"/>
    <w:qFormat/>
    <w:rsid w:val="004B113D"/>
    <w:rPr>
      <w:rFonts w:ascii="Times New Roman" w:hAnsi="Times New Roman"/>
    </w:rPr>
  </w:style>
  <w:style w:type="character" w:customStyle="1" w:styleId="WW8Num14z1">
    <w:name w:val="WW8Num14z1"/>
    <w:qFormat/>
    <w:rsid w:val="004B113D"/>
    <w:rPr>
      <w:rFonts w:ascii="Courier New" w:hAnsi="Courier New"/>
    </w:rPr>
  </w:style>
  <w:style w:type="character" w:customStyle="1" w:styleId="WW8Num14z2">
    <w:name w:val="WW8Num14z2"/>
    <w:qFormat/>
    <w:rsid w:val="004B113D"/>
    <w:rPr>
      <w:rFonts w:ascii="Wingdings" w:hAnsi="Wingdings"/>
    </w:rPr>
  </w:style>
  <w:style w:type="character" w:customStyle="1" w:styleId="WW8Num14z3">
    <w:name w:val="WW8Num14z3"/>
    <w:qFormat/>
    <w:rsid w:val="004B113D"/>
    <w:rPr>
      <w:rFonts w:ascii="Symbol" w:hAnsi="Symbol"/>
    </w:rPr>
  </w:style>
  <w:style w:type="character" w:customStyle="1" w:styleId="WW-DefaultParagraphFont">
    <w:name w:val="WW-Default Paragraph Font"/>
    <w:qFormat/>
    <w:rsid w:val="004B113D"/>
  </w:style>
  <w:style w:type="character" w:customStyle="1" w:styleId="WW-Absatz-Standardschriftart1">
    <w:name w:val="WW-Absatz-Standardschriftart1"/>
    <w:qFormat/>
    <w:rsid w:val="004B113D"/>
  </w:style>
  <w:style w:type="character" w:customStyle="1" w:styleId="WW-Domylnaczcionkaakapitu1">
    <w:name w:val="WW-Domyślna czcionka akapitu1"/>
    <w:qFormat/>
    <w:rsid w:val="004B113D"/>
  </w:style>
  <w:style w:type="character" w:customStyle="1" w:styleId="Domyslnaczcionkaakapitu">
    <w:name w:val="Domyslna czcionka akapitu"/>
    <w:qFormat/>
    <w:rsid w:val="004B113D"/>
  </w:style>
  <w:style w:type="character" w:customStyle="1" w:styleId="WW-WW8Num3z01">
    <w:name w:val="WW-WW8Num3z01"/>
    <w:qFormat/>
    <w:rsid w:val="004B113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4B113D"/>
    <w:rPr>
      <w:rFonts w:ascii="Symbol" w:hAnsi="Symbol"/>
    </w:rPr>
  </w:style>
  <w:style w:type="character" w:customStyle="1" w:styleId="WW8Num5z1">
    <w:name w:val="WW8Num5z1"/>
    <w:qFormat/>
    <w:rsid w:val="004B113D"/>
  </w:style>
  <w:style w:type="character" w:customStyle="1" w:styleId="WW8Num6z0">
    <w:name w:val="WW8Num6z0"/>
    <w:qFormat/>
    <w:rsid w:val="004B113D"/>
    <w:rPr>
      <w:rFonts w:ascii="Symbol" w:hAnsi="Symbol"/>
    </w:rPr>
  </w:style>
  <w:style w:type="character" w:customStyle="1" w:styleId="WW8Num7z1">
    <w:name w:val="WW8Num7z1"/>
    <w:qFormat/>
    <w:rsid w:val="004B113D"/>
  </w:style>
  <w:style w:type="character" w:customStyle="1" w:styleId="WW-WW8Num8z1">
    <w:name w:val="WW-WW8Num8z1"/>
    <w:qFormat/>
    <w:rsid w:val="004B113D"/>
  </w:style>
  <w:style w:type="character" w:customStyle="1" w:styleId="WW8Num10z0">
    <w:name w:val="WW8Num10z0"/>
    <w:qFormat/>
    <w:rsid w:val="004B113D"/>
    <w:rPr>
      <w:rFonts w:ascii="Times New Roman" w:hAnsi="Times New Roman"/>
      <w:b/>
    </w:rPr>
  </w:style>
  <w:style w:type="character" w:customStyle="1" w:styleId="WW8Num11z1">
    <w:name w:val="WW8Num11z1"/>
    <w:qFormat/>
    <w:rsid w:val="004B113D"/>
  </w:style>
  <w:style w:type="character" w:customStyle="1" w:styleId="WW8Num12z0">
    <w:name w:val="WW8Num12z0"/>
    <w:qFormat/>
    <w:rsid w:val="004B113D"/>
    <w:rPr>
      <w:rFonts w:ascii="Times New Roman" w:hAnsi="Times New Roman"/>
    </w:rPr>
  </w:style>
  <w:style w:type="character" w:customStyle="1" w:styleId="WW-WW8Num13z0">
    <w:name w:val="WW-WW8Num13z0"/>
    <w:qFormat/>
    <w:rsid w:val="004B113D"/>
    <w:rPr>
      <w:rFonts w:ascii="Symbol" w:hAnsi="Symbol"/>
    </w:rPr>
  </w:style>
  <w:style w:type="character" w:customStyle="1" w:styleId="WW8Num21z0">
    <w:name w:val="WW8Num21z0"/>
    <w:qFormat/>
    <w:rsid w:val="004B113D"/>
    <w:rPr>
      <w:rFonts w:ascii="Times New Roman" w:hAnsi="Times New Roman"/>
      <w:b/>
    </w:rPr>
  </w:style>
  <w:style w:type="character" w:customStyle="1" w:styleId="WW8Num23z0">
    <w:name w:val="WW8Num23z0"/>
    <w:qFormat/>
    <w:rsid w:val="004B113D"/>
    <w:rPr>
      <w:rFonts w:ascii="Symbol" w:hAnsi="Symbol"/>
    </w:rPr>
  </w:style>
  <w:style w:type="character" w:customStyle="1" w:styleId="WW8Num24z0">
    <w:name w:val="WW8Num24z0"/>
    <w:qFormat/>
    <w:rsid w:val="004B113D"/>
    <w:rPr>
      <w:rFonts w:ascii="Times New Roman" w:hAnsi="Times New Roman"/>
    </w:rPr>
  </w:style>
  <w:style w:type="character" w:customStyle="1" w:styleId="WW8Num25z1">
    <w:name w:val="WW8Num25z1"/>
    <w:qFormat/>
    <w:rsid w:val="004B113D"/>
  </w:style>
  <w:style w:type="character" w:customStyle="1" w:styleId="WW8Num26z0">
    <w:name w:val="WW8Num26z0"/>
    <w:qFormat/>
    <w:rsid w:val="004B113D"/>
    <w:rPr>
      <w:rFonts w:ascii="Times New Roman" w:hAnsi="Times New Roman"/>
    </w:rPr>
  </w:style>
  <w:style w:type="character" w:customStyle="1" w:styleId="WW8Num26z1">
    <w:name w:val="WW8Num26z1"/>
    <w:qFormat/>
    <w:rsid w:val="004B113D"/>
    <w:rPr>
      <w:rFonts w:ascii="Courier New" w:hAnsi="Courier New"/>
    </w:rPr>
  </w:style>
  <w:style w:type="character" w:customStyle="1" w:styleId="WW8Num26z2">
    <w:name w:val="WW8Num26z2"/>
    <w:qFormat/>
    <w:rsid w:val="004B113D"/>
    <w:rPr>
      <w:rFonts w:ascii="Wingdings" w:hAnsi="Wingdings"/>
    </w:rPr>
  </w:style>
  <w:style w:type="character" w:customStyle="1" w:styleId="WW8Num26z3">
    <w:name w:val="WW8Num26z3"/>
    <w:qFormat/>
    <w:rsid w:val="004B113D"/>
    <w:rPr>
      <w:rFonts w:ascii="Symbol" w:hAnsi="Symbol"/>
    </w:rPr>
  </w:style>
  <w:style w:type="character" w:customStyle="1" w:styleId="WW8NumSt1z0">
    <w:name w:val="WW8NumSt1z0"/>
    <w:qFormat/>
    <w:rsid w:val="004B113D"/>
    <w:rPr>
      <w:rFonts w:ascii="Symbol" w:hAnsi="Symbol"/>
    </w:rPr>
  </w:style>
  <w:style w:type="character" w:customStyle="1" w:styleId="WW-WW8Num2z0">
    <w:name w:val="WW-WW8Num2z0"/>
    <w:qFormat/>
    <w:rsid w:val="004B113D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qFormat/>
    <w:rsid w:val="004B113D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4B113D"/>
    <w:rPr>
      <w:rFonts w:ascii="Arial" w:eastAsia="MS Mincho" w:hAnsi="Arial" w:cs="Times New Roman"/>
      <w:b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qFormat/>
    <w:rsid w:val="004B113D"/>
    <w:rPr>
      <w:rFonts w:ascii="Times New Roman" w:eastAsia="MS Mincho" w:hAnsi="Times New Roman" w:cs="Lucida Sans Unicode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B113D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B113D"/>
    <w:rPr>
      <w:rFonts w:ascii="Tahoma" w:eastAsia="MS Mincho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B1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815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3"/>
    <w:qFormat/>
    <w:locked/>
    <w:rsid w:val="009815B3"/>
    <w:rPr>
      <w:rFonts w:ascii="Calibri" w:eastAsia="Calibri" w:hAnsi="Calibri" w:cs="Times New Roman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1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qFormat/>
    <w:rsid w:val="00521077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F1AC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2A6A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  <w:sz w:val="20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Times New Roman" w:hAnsi="Times New Roman"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B113D"/>
    <w:pPr>
      <w:suppressAutoHyphens/>
      <w:jc w:val="center"/>
    </w:pPr>
    <w:rPr>
      <w:rFonts w:ascii="Arial" w:eastAsia="MS Mincho" w:hAnsi="Arial"/>
      <w:b/>
    </w:rPr>
  </w:style>
  <w:style w:type="paragraph" w:styleId="Lista">
    <w:name w:val="List"/>
    <w:basedOn w:val="Tretekstu"/>
    <w:rsid w:val="004B113D"/>
    <w:rPr>
      <w:rFonts w:cs="Lucida Sans Unicode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Gwka">
    <w:name w:val="Główka"/>
    <w:basedOn w:val="Normalny"/>
    <w:uiPriority w:val="99"/>
    <w:rsid w:val="004B1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113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">
    <w:name w:val="WW-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">
    <w:name w:val="WW-Nagłówek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qFormat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1">
    <w:name w:val="WW-Nagłówek1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qFormat/>
    <w:rsid w:val="004B113D"/>
    <w:pPr>
      <w:keepNext/>
      <w:suppressAutoHyphens/>
      <w:spacing w:before="240" w:after="120"/>
    </w:pPr>
    <w:rPr>
      <w:rFonts w:ascii="Albany" w:hAnsi="Albany"/>
      <w:sz w:val="28"/>
    </w:rPr>
  </w:style>
  <w:style w:type="paragraph" w:customStyle="1" w:styleId="Naglwekstrony">
    <w:name w:val="Naglówek strony"/>
    <w:basedOn w:val="Normalny"/>
    <w:qFormat/>
    <w:rsid w:val="004B113D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qFormat/>
    <w:rsid w:val="004B113D"/>
    <w:pPr>
      <w:suppressAutoHyphens/>
    </w:pPr>
    <w:rPr>
      <w:rFonts w:ascii="Arial" w:eastAsia="MS Mincho" w:hAnsi="Arial"/>
      <w:sz w:val="22"/>
    </w:rPr>
  </w:style>
  <w:style w:type="paragraph" w:customStyle="1" w:styleId="Wcicietrecitekstu">
    <w:name w:val="Wcięcie treści tekstu"/>
    <w:basedOn w:val="Normalny"/>
    <w:link w:val="TekstpodstawowywcityZnak"/>
    <w:rsid w:val="004B113D"/>
    <w:pPr>
      <w:suppressAutoHyphens/>
    </w:pPr>
    <w:rPr>
      <w:rFonts w:ascii="Arial" w:eastAsia="MS Mincho" w:hAnsi="Arial"/>
      <w:b/>
      <w:sz w:val="22"/>
    </w:rPr>
  </w:style>
  <w:style w:type="paragraph" w:customStyle="1" w:styleId="Zawartoramki">
    <w:name w:val="Zawartość ramki"/>
    <w:basedOn w:val="Tretekstu"/>
    <w:qFormat/>
    <w:rsid w:val="004B113D"/>
  </w:style>
  <w:style w:type="paragraph" w:customStyle="1" w:styleId="WW-Zawartoramki">
    <w:name w:val="WW-Zawartość ramki"/>
    <w:basedOn w:val="Tretekstu"/>
    <w:qFormat/>
    <w:rsid w:val="004B113D"/>
  </w:style>
  <w:style w:type="paragraph" w:customStyle="1" w:styleId="WW-Zawartoramki1">
    <w:name w:val="WW-Zawartość ramki1"/>
    <w:basedOn w:val="Tretekstu"/>
    <w:qFormat/>
    <w:rsid w:val="004B113D"/>
  </w:style>
  <w:style w:type="paragraph" w:customStyle="1" w:styleId="WW-Zawartoramki11">
    <w:name w:val="WW-Zawartość ramki11"/>
    <w:basedOn w:val="Tretekstu"/>
    <w:qFormat/>
    <w:rsid w:val="004B113D"/>
  </w:style>
  <w:style w:type="paragraph" w:customStyle="1" w:styleId="Zawartotabeli">
    <w:name w:val="Zawartość tabeli"/>
    <w:basedOn w:val="Tretekstu"/>
    <w:qFormat/>
    <w:rsid w:val="004B113D"/>
    <w:pPr>
      <w:suppressLineNumbers/>
    </w:pPr>
  </w:style>
  <w:style w:type="paragraph" w:customStyle="1" w:styleId="WW-Zawartotabeli">
    <w:name w:val="WW-Zawartość tabeli"/>
    <w:basedOn w:val="Tretekstu"/>
    <w:qFormat/>
    <w:rsid w:val="004B113D"/>
    <w:pPr>
      <w:suppressLineNumbers/>
    </w:pPr>
  </w:style>
  <w:style w:type="paragraph" w:customStyle="1" w:styleId="WW-Zawartotabeli1">
    <w:name w:val="WW-Zawartość tabeli1"/>
    <w:basedOn w:val="Tretekstu"/>
    <w:qFormat/>
    <w:rsid w:val="004B113D"/>
    <w:pPr>
      <w:suppressLineNumbers/>
    </w:pPr>
  </w:style>
  <w:style w:type="paragraph" w:customStyle="1" w:styleId="WW-Zawartotabeli11">
    <w:name w:val="WW-Zawartość tabeli11"/>
    <w:basedOn w:val="Tretekstu"/>
    <w:qFormat/>
    <w:rsid w:val="004B113D"/>
    <w:pPr>
      <w:suppressLineNumbers/>
    </w:pPr>
  </w:style>
  <w:style w:type="paragraph" w:customStyle="1" w:styleId="Tytutabeli">
    <w:name w:val="Tytuł tabeli"/>
    <w:basedOn w:val="WW-Zawartotabeli11"/>
    <w:qFormat/>
    <w:rsid w:val="004B113D"/>
    <w:rPr>
      <w:i/>
    </w:rPr>
  </w:style>
  <w:style w:type="paragraph" w:customStyle="1" w:styleId="WW-BlockText">
    <w:name w:val="WW-Block Text"/>
    <w:basedOn w:val="Normalny"/>
    <w:qFormat/>
    <w:rsid w:val="004B113D"/>
    <w:pPr>
      <w:tabs>
        <w:tab w:val="left" w:pos="851"/>
      </w:tabs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qFormat/>
    <w:rsid w:val="004B113D"/>
    <w:pPr>
      <w:suppressAutoHyphens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qFormat/>
    <w:rsid w:val="004B113D"/>
    <w:pPr>
      <w:suppressAutoHyphens/>
    </w:pPr>
    <w:rPr>
      <w:rFonts w:eastAsia="MS Mincho"/>
    </w:rPr>
  </w:style>
  <w:style w:type="paragraph" w:customStyle="1" w:styleId="WW-BodyText2">
    <w:name w:val="WW-Body Text 2"/>
    <w:basedOn w:val="Normalny"/>
    <w:qFormat/>
    <w:rsid w:val="004B113D"/>
    <w:pPr>
      <w:suppressAutoHyphens/>
    </w:pPr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qFormat/>
    <w:rsid w:val="004B113D"/>
    <w:pPr>
      <w:suppressAutoHyphens/>
      <w:jc w:val="center"/>
    </w:pPr>
    <w:rPr>
      <w:rFonts w:ascii="GE Inspira" w:eastAsia="MS Mincho" w:hAnsi="GE Inspira"/>
      <w:sz w:val="18"/>
    </w:rPr>
  </w:style>
  <w:style w:type="paragraph" w:customStyle="1" w:styleId="Nagwektabeli">
    <w:name w:val="Nagłówek tabeli"/>
    <w:basedOn w:val="Zawartotabeli"/>
    <w:qFormat/>
    <w:rsid w:val="004B113D"/>
    <w:rPr>
      <w:bCs/>
      <w:i/>
      <w:iCs/>
    </w:rPr>
  </w:style>
  <w:style w:type="paragraph" w:customStyle="1" w:styleId="WW-Nagwektabeli">
    <w:name w:val="WW-Nagłówek tabeli"/>
    <w:basedOn w:val="WW-Zawartotabeli"/>
    <w:qFormat/>
    <w:rsid w:val="004B113D"/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4B113D"/>
    <w:rPr>
      <w:bCs/>
      <w:i/>
      <w:iCs/>
    </w:rPr>
  </w:style>
  <w:style w:type="paragraph" w:customStyle="1" w:styleId="WW-Tekstblokowy">
    <w:name w:val="WW-Tekst blokowy"/>
    <w:basedOn w:val="Normalny"/>
    <w:qFormat/>
    <w:rsid w:val="004B113D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4B113D"/>
    <w:pPr>
      <w:suppressAutoHyphens/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qFormat/>
    <w:rsid w:val="004B113D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qFormat/>
    <w:rsid w:val="004B113D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4B11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qFormat/>
    <w:rsid w:val="004B113D"/>
    <w:pPr>
      <w:suppressAutoHyphens/>
      <w:ind w:left="720"/>
      <w:contextualSpacing/>
    </w:pPr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4B11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B113D"/>
  </w:style>
  <w:style w:type="paragraph" w:styleId="NormalnyWeb">
    <w:name w:val="Normal (Web)"/>
    <w:basedOn w:val="Normalny"/>
    <w:uiPriority w:val="99"/>
    <w:unhideWhenUsed/>
    <w:qFormat/>
    <w:rsid w:val="004B113D"/>
    <w:rPr>
      <w:rFonts w:eastAsiaTheme="minorHAnsi"/>
      <w:sz w:val="24"/>
      <w:szCs w:val="24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B113D"/>
    <w:rPr>
      <w:b/>
      <w:bCs/>
    </w:rPr>
  </w:style>
  <w:style w:type="paragraph" w:customStyle="1" w:styleId="Akapitzlist3">
    <w:name w:val="Akapit z listą3"/>
    <w:basedOn w:val="Normalny"/>
    <w:link w:val="ListParagraphChar"/>
    <w:qFormat/>
    <w:rsid w:val="009815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zh-CN"/>
    </w:rPr>
  </w:style>
  <w:style w:type="paragraph" w:customStyle="1" w:styleId="Bezodstpw1">
    <w:name w:val="Bez odstępów1"/>
    <w:qFormat/>
    <w:rsid w:val="00075872"/>
    <w:pPr>
      <w:spacing w:line="240" w:lineRule="auto"/>
    </w:pPr>
    <w:rPr>
      <w:rFonts w:ascii="Cambria" w:eastAsia="Times New Roman" w:hAnsi="Cambria" w:cs="Cambria"/>
      <w:color w:val="00000A"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1077"/>
  </w:style>
  <w:style w:type="paragraph" w:styleId="HTML-wstpniesformatowany">
    <w:name w:val="HTML Preformatted"/>
    <w:basedOn w:val="Normalny"/>
    <w:uiPriority w:val="99"/>
    <w:unhideWhenUsed/>
    <w:qFormat/>
    <w:rsid w:val="001F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59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113D"/>
    <w:pPr>
      <w:keepNext/>
      <w:suppressAutoHyphens/>
      <w:jc w:val="center"/>
      <w:outlineLvl w:val="0"/>
    </w:pPr>
    <w:rPr>
      <w:rFonts w:ascii="Arial" w:eastAsia="MS Mincho" w:hAnsi="Arial"/>
      <w:b/>
      <w:sz w:val="24"/>
    </w:rPr>
  </w:style>
  <w:style w:type="paragraph" w:styleId="Nagwek2">
    <w:name w:val="heading 2"/>
    <w:basedOn w:val="Normalny"/>
    <w:link w:val="Nagwek2Znak"/>
    <w:qFormat/>
    <w:rsid w:val="004B113D"/>
    <w:pPr>
      <w:keepNext/>
      <w:suppressAutoHyphens/>
      <w:outlineLvl w:val="1"/>
    </w:pPr>
    <w:rPr>
      <w:rFonts w:ascii="Arial" w:eastAsia="MS Mincho" w:hAnsi="Arial"/>
      <w:b/>
      <w:sz w:val="22"/>
    </w:rPr>
  </w:style>
  <w:style w:type="paragraph" w:styleId="Nagwek3">
    <w:name w:val="heading 3"/>
    <w:basedOn w:val="Normalny"/>
    <w:link w:val="Nagwek3Znak"/>
    <w:qFormat/>
    <w:rsid w:val="004B113D"/>
    <w:pPr>
      <w:keepNext/>
      <w:tabs>
        <w:tab w:val="left" w:pos="0"/>
      </w:tabs>
      <w:suppressAutoHyphens/>
      <w:outlineLvl w:val="2"/>
    </w:pPr>
    <w:rPr>
      <w:rFonts w:ascii="Arial" w:eastAsia="MS Mincho" w:hAnsi="Arial"/>
      <w:b/>
      <w:sz w:val="24"/>
    </w:rPr>
  </w:style>
  <w:style w:type="paragraph" w:styleId="Nagwek4">
    <w:name w:val="heading 4"/>
    <w:basedOn w:val="Normalny"/>
    <w:link w:val="Nagwek4Znak"/>
    <w:qFormat/>
    <w:rsid w:val="004B113D"/>
    <w:pPr>
      <w:keepNext/>
      <w:tabs>
        <w:tab w:val="left" w:pos="0"/>
      </w:tabs>
      <w:suppressAutoHyphens/>
      <w:outlineLvl w:val="3"/>
    </w:pPr>
    <w:rPr>
      <w:rFonts w:ascii="Arial" w:eastAsia="MS Mincho" w:hAnsi="Arial"/>
      <w:b/>
      <w:color w:val="000000"/>
      <w:sz w:val="22"/>
    </w:rPr>
  </w:style>
  <w:style w:type="paragraph" w:styleId="Nagwek5">
    <w:name w:val="heading 5"/>
    <w:basedOn w:val="Normalny"/>
    <w:link w:val="Nagwek5Znak"/>
    <w:qFormat/>
    <w:rsid w:val="004B113D"/>
    <w:pPr>
      <w:keepNext/>
      <w:suppressAutoHyphens/>
      <w:jc w:val="center"/>
      <w:outlineLvl w:val="4"/>
    </w:pPr>
    <w:rPr>
      <w:rFonts w:ascii="Arial" w:eastAsia="MS Mincho" w:hAnsi="Arial"/>
      <w:b/>
      <w:sz w:val="22"/>
    </w:rPr>
  </w:style>
  <w:style w:type="paragraph" w:styleId="Nagwek6">
    <w:name w:val="heading 6"/>
    <w:basedOn w:val="Normalny"/>
    <w:link w:val="Nagwek6Znak"/>
    <w:qFormat/>
    <w:rsid w:val="004B113D"/>
    <w:pPr>
      <w:keepNext/>
      <w:tabs>
        <w:tab w:val="left" w:pos="0"/>
      </w:tabs>
      <w:suppressAutoHyphens/>
      <w:outlineLvl w:val="5"/>
    </w:pPr>
    <w:rPr>
      <w:rFonts w:ascii="Arial" w:eastAsia="MS Mincho" w:hAnsi="Arial"/>
      <w:b/>
      <w:color w:val="0000FF"/>
      <w:sz w:val="22"/>
    </w:rPr>
  </w:style>
  <w:style w:type="paragraph" w:styleId="Nagwek7">
    <w:name w:val="heading 7"/>
    <w:basedOn w:val="Normalny"/>
    <w:link w:val="Nagwek7Znak"/>
    <w:qFormat/>
    <w:rsid w:val="004B113D"/>
    <w:pPr>
      <w:keepNext/>
      <w:tabs>
        <w:tab w:val="left" w:pos="0"/>
      </w:tabs>
      <w:suppressAutoHyphens/>
      <w:jc w:val="center"/>
      <w:outlineLvl w:val="6"/>
    </w:pPr>
    <w:rPr>
      <w:rFonts w:ascii="Arial" w:eastAsia="MS Mincho" w:hAnsi="Arial"/>
      <w:b/>
      <w:color w:val="FF0000"/>
      <w:sz w:val="24"/>
    </w:rPr>
  </w:style>
  <w:style w:type="paragraph" w:styleId="Nagwek8">
    <w:name w:val="heading 8"/>
    <w:basedOn w:val="Normalny"/>
    <w:link w:val="Nagwek8Znak"/>
    <w:qFormat/>
    <w:rsid w:val="004B113D"/>
    <w:pPr>
      <w:keepNext/>
      <w:tabs>
        <w:tab w:val="left" w:pos="0"/>
      </w:tabs>
      <w:suppressAutoHyphens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link w:val="Nagwek9Znak"/>
    <w:qFormat/>
    <w:rsid w:val="004B113D"/>
    <w:pPr>
      <w:keepNext/>
      <w:suppressAutoHyphens/>
      <w:jc w:val="center"/>
      <w:outlineLvl w:val="8"/>
    </w:pPr>
    <w:rPr>
      <w:rFonts w:ascii="GE Inspira" w:eastAsia="MS Mincho" w:hAnsi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B113D"/>
    <w:rPr>
      <w:rFonts w:ascii="Arial" w:eastAsia="MS Mincho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B113D"/>
    <w:rPr>
      <w:rFonts w:ascii="Arial" w:eastAsia="MS Mincho" w:hAnsi="Arial" w:cs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B113D"/>
    <w:rPr>
      <w:rFonts w:ascii="Arial" w:eastAsia="MS Mincho" w:hAnsi="Arial" w:cs="Times New Roman"/>
      <w:b/>
      <w:color w:val="0000FF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B113D"/>
    <w:rPr>
      <w:rFonts w:ascii="Arial" w:eastAsia="MS Mincho" w:hAnsi="Arial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B113D"/>
    <w:rPr>
      <w:rFonts w:ascii="Times New Roman" w:eastAsia="MS Mincho" w:hAnsi="Times New Roman" w:cs="Times New Roman"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B113D"/>
    <w:rPr>
      <w:rFonts w:ascii="GE Inspira" w:eastAsia="MS Mincho" w:hAnsi="GE Inspir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4B113D"/>
  </w:style>
  <w:style w:type="character" w:customStyle="1" w:styleId="StopkaZnak">
    <w:name w:val="Stopka Znak"/>
    <w:basedOn w:val="Domylnaczcionkaakapitu"/>
    <w:link w:val="Stopka"/>
    <w:uiPriority w:val="99"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4B113D"/>
    <w:rPr>
      <w:color w:val="0000FF"/>
      <w:u w:val="single"/>
    </w:rPr>
  </w:style>
  <w:style w:type="character" w:customStyle="1" w:styleId="WW8Num3z0">
    <w:name w:val="WW8Num3z0"/>
    <w:qFormat/>
    <w:rsid w:val="004B113D"/>
    <w:rPr>
      <w:rFonts w:ascii="StarSymbol" w:hAnsi="StarSymbol"/>
    </w:rPr>
  </w:style>
  <w:style w:type="character" w:customStyle="1" w:styleId="WW-Domylnaczcionkaakapitu">
    <w:name w:val="WW-Domyślna czcionka akapitu"/>
    <w:qFormat/>
    <w:rsid w:val="004B113D"/>
  </w:style>
  <w:style w:type="character" w:customStyle="1" w:styleId="WW-WW8Num3z0">
    <w:name w:val="WW-WW8Num3z0"/>
    <w:qFormat/>
    <w:rsid w:val="004B113D"/>
    <w:rPr>
      <w:rFonts w:ascii="StarSymbol" w:hAnsi="StarSymbol"/>
    </w:rPr>
  </w:style>
  <w:style w:type="character" w:customStyle="1" w:styleId="WW-Absatz-Standardschriftart">
    <w:name w:val="WW-Absatz-Standardschriftart"/>
    <w:qFormat/>
    <w:rsid w:val="004B113D"/>
  </w:style>
  <w:style w:type="character" w:customStyle="1" w:styleId="WW8Num2z0">
    <w:name w:val="WW8Num2z0"/>
    <w:qFormat/>
    <w:rsid w:val="004B113D"/>
    <w:rPr>
      <w:rFonts w:ascii="Times New Roman" w:hAnsi="Times New Roman"/>
    </w:rPr>
  </w:style>
  <w:style w:type="character" w:customStyle="1" w:styleId="WW8Num7z0">
    <w:name w:val="WW8Num7z0"/>
    <w:qFormat/>
    <w:rsid w:val="004B113D"/>
    <w:rPr>
      <w:rFonts w:ascii="Arial" w:hAnsi="Arial"/>
    </w:rPr>
  </w:style>
  <w:style w:type="character" w:customStyle="1" w:styleId="WW8Num8z0">
    <w:name w:val="WW8Num8z0"/>
    <w:qFormat/>
    <w:rsid w:val="004B113D"/>
    <w:rPr>
      <w:rFonts w:ascii="Times New Roman" w:hAnsi="Times New Roman"/>
      <w:sz w:val="22"/>
    </w:rPr>
  </w:style>
  <w:style w:type="character" w:customStyle="1" w:styleId="WW8Num8z1">
    <w:name w:val="WW8Num8z1"/>
    <w:qFormat/>
    <w:rsid w:val="004B113D"/>
    <w:rPr>
      <w:rFonts w:ascii="Courier New" w:hAnsi="Courier New"/>
    </w:rPr>
  </w:style>
  <w:style w:type="character" w:customStyle="1" w:styleId="WW8Num8z2">
    <w:name w:val="WW8Num8z2"/>
    <w:qFormat/>
    <w:rsid w:val="004B113D"/>
    <w:rPr>
      <w:rFonts w:ascii="Wingdings" w:hAnsi="Wingdings"/>
    </w:rPr>
  </w:style>
  <w:style w:type="character" w:customStyle="1" w:styleId="WW8Num8z3">
    <w:name w:val="WW8Num8z3"/>
    <w:qFormat/>
    <w:rsid w:val="004B113D"/>
    <w:rPr>
      <w:rFonts w:ascii="Symbol" w:hAnsi="Symbol"/>
    </w:rPr>
  </w:style>
  <w:style w:type="character" w:customStyle="1" w:styleId="WW8Num11z0">
    <w:name w:val="WW8Num11z0"/>
    <w:qFormat/>
    <w:rsid w:val="004B113D"/>
    <w:rPr>
      <w:rFonts w:ascii="Times New Roman" w:hAnsi="Times New Roman"/>
      <w:sz w:val="24"/>
      <w:u w:val="none"/>
    </w:rPr>
  </w:style>
  <w:style w:type="character" w:customStyle="1" w:styleId="WW8Num13z0">
    <w:name w:val="WW8Num13z0"/>
    <w:qFormat/>
    <w:rsid w:val="004B113D"/>
    <w:rPr>
      <w:rFonts w:ascii="Arial" w:hAnsi="Arial"/>
    </w:rPr>
  </w:style>
  <w:style w:type="character" w:customStyle="1" w:styleId="WW8Num14z0">
    <w:name w:val="WW8Num14z0"/>
    <w:qFormat/>
    <w:rsid w:val="004B113D"/>
    <w:rPr>
      <w:rFonts w:ascii="Times New Roman" w:hAnsi="Times New Roman"/>
    </w:rPr>
  </w:style>
  <w:style w:type="character" w:customStyle="1" w:styleId="WW8Num14z1">
    <w:name w:val="WW8Num14z1"/>
    <w:qFormat/>
    <w:rsid w:val="004B113D"/>
    <w:rPr>
      <w:rFonts w:ascii="Courier New" w:hAnsi="Courier New"/>
    </w:rPr>
  </w:style>
  <w:style w:type="character" w:customStyle="1" w:styleId="WW8Num14z2">
    <w:name w:val="WW8Num14z2"/>
    <w:qFormat/>
    <w:rsid w:val="004B113D"/>
    <w:rPr>
      <w:rFonts w:ascii="Wingdings" w:hAnsi="Wingdings"/>
    </w:rPr>
  </w:style>
  <w:style w:type="character" w:customStyle="1" w:styleId="WW8Num14z3">
    <w:name w:val="WW8Num14z3"/>
    <w:qFormat/>
    <w:rsid w:val="004B113D"/>
    <w:rPr>
      <w:rFonts w:ascii="Symbol" w:hAnsi="Symbol"/>
    </w:rPr>
  </w:style>
  <w:style w:type="character" w:customStyle="1" w:styleId="WW-DefaultParagraphFont">
    <w:name w:val="WW-Default Paragraph Font"/>
    <w:qFormat/>
    <w:rsid w:val="004B113D"/>
  </w:style>
  <w:style w:type="character" w:customStyle="1" w:styleId="WW-Absatz-Standardschriftart1">
    <w:name w:val="WW-Absatz-Standardschriftart1"/>
    <w:qFormat/>
    <w:rsid w:val="004B113D"/>
  </w:style>
  <w:style w:type="character" w:customStyle="1" w:styleId="WW-Domylnaczcionkaakapitu1">
    <w:name w:val="WW-Domyślna czcionka akapitu1"/>
    <w:qFormat/>
    <w:rsid w:val="004B113D"/>
  </w:style>
  <w:style w:type="character" w:customStyle="1" w:styleId="Domyslnaczcionkaakapitu">
    <w:name w:val="Domyslna czcionka akapitu"/>
    <w:qFormat/>
    <w:rsid w:val="004B113D"/>
  </w:style>
  <w:style w:type="character" w:customStyle="1" w:styleId="WW-WW8Num3z01">
    <w:name w:val="WW-WW8Num3z01"/>
    <w:qFormat/>
    <w:rsid w:val="004B113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4B113D"/>
    <w:rPr>
      <w:rFonts w:ascii="Symbol" w:hAnsi="Symbol"/>
    </w:rPr>
  </w:style>
  <w:style w:type="character" w:customStyle="1" w:styleId="WW8Num5z1">
    <w:name w:val="WW8Num5z1"/>
    <w:qFormat/>
    <w:rsid w:val="004B113D"/>
  </w:style>
  <w:style w:type="character" w:customStyle="1" w:styleId="WW8Num6z0">
    <w:name w:val="WW8Num6z0"/>
    <w:qFormat/>
    <w:rsid w:val="004B113D"/>
    <w:rPr>
      <w:rFonts w:ascii="Symbol" w:hAnsi="Symbol"/>
    </w:rPr>
  </w:style>
  <w:style w:type="character" w:customStyle="1" w:styleId="WW8Num7z1">
    <w:name w:val="WW8Num7z1"/>
    <w:qFormat/>
    <w:rsid w:val="004B113D"/>
  </w:style>
  <w:style w:type="character" w:customStyle="1" w:styleId="WW-WW8Num8z1">
    <w:name w:val="WW-WW8Num8z1"/>
    <w:qFormat/>
    <w:rsid w:val="004B113D"/>
  </w:style>
  <w:style w:type="character" w:customStyle="1" w:styleId="WW8Num10z0">
    <w:name w:val="WW8Num10z0"/>
    <w:qFormat/>
    <w:rsid w:val="004B113D"/>
    <w:rPr>
      <w:rFonts w:ascii="Times New Roman" w:hAnsi="Times New Roman"/>
      <w:b/>
    </w:rPr>
  </w:style>
  <w:style w:type="character" w:customStyle="1" w:styleId="WW8Num11z1">
    <w:name w:val="WW8Num11z1"/>
    <w:qFormat/>
    <w:rsid w:val="004B113D"/>
  </w:style>
  <w:style w:type="character" w:customStyle="1" w:styleId="WW8Num12z0">
    <w:name w:val="WW8Num12z0"/>
    <w:qFormat/>
    <w:rsid w:val="004B113D"/>
    <w:rPr>
      <w:rFonts w:ascii="Times New Roman" w:hAnsi="Times New Roman"/>
    </w:rPr>
  </w:style>
  <w:style w:type="character" w:customStyle="1" w:styleId="WW-WW8Num13z0">
    <w:name w:val="WW-WW8Num13z0"/>
    <w:qFormat/>
    <w:rsid w:val="004B113D"/>
    <w:rPr>
      <w:rFonts w:ascii="Symbol" w:hAnsi="Symbol"/>
    </w:rPr>
  </w:style>
  <w:style w:type="character" w:customStyle="1" w:styleId="WW8Num21z0">
    <w:name w:val="WW8Num21z0"/>
    <w:qFormat/>
    <w:rsid w:val="004B113D"/>
    <w:rPr>
      <w:rFonts w:ascii="Times New Roman" w:hAnsi="Times New Roman"/>
      <w:b/>
    </w:rPr>
  </w:style>
  <w:style w:type="character" w:customStyle="1" w:styleId="WW8Num23z0">
    <w:name w:val="WW8Num23z0"/>
    <w:qFormat/>
    <w:rsid w:val="004B113D"/>
    <w:rPr>
      <w:rFonts w:ascii="Symbol" w:hAnsi="Symbol"/>
    </w:rPr>
  </w:style>
  <w:style w:type="character" w:customStyle="1" w:styleId="WW8Num24z0">
    <w:name w:val="WW8Num24z0"/>
    <w:qFormat/>
    <w:rsid w:val="004B113D"/>
    <w:rPr>
      <w:rFonts w:ascii="Times New Roman" w:hAnsi="Times New Roman"/>
    </w:rPr>
  </w:style>
  <w:style w:type="character" w:customStyle="1" w:styleId="WW8Num25z1">
    <w:name w:val="WW8Num25z1"/>
    <w:qFormat/>
    <w:rsid w:val="004B113D"/>
  </w:style>
  <w:style w:type="character" w:customStyle="1" w:styleId="WW8Num26z0">
    <w:name w:val="WW8Num26z0"/>
    <w:qFormat/>
    <w:rsid w:val="004B113D"/>
    <w:rPr>
      <w:rFonts w:ascii="Times New Roman" w:hAnsi="Times New Roman"/>
    </w:rPr>
  </w:style>
  <w:style w:type="character" w:customStyle="1" w:styleId="WW8Num26z1">
    <w:name w:val="WW8Num26z1"/>
    <w:qFormat/>
    <w:rsid w:val="004B113D"/>
    <w:rPr>
      <w:rFonts w:ascii="Courier New" w:hAnsi="Courier New"/>
    </w:rPr>
  </w:style>
  <w:style w:type="character" w:customStyle="1" w:styleId="WW8Num26z2">
    <w:name w:val="WW8Num26z2"/>
    <w:qFormat/>
    <w:rsid w:val="004B113D"/>
    <w:rPr>
      <w:rFonts w:ascii="Wingdings" w:hAnsi="Wingdings"/>
    </w:rPr>
  </w:style>
  <w:style w:type="character" w:customStyle="1" w:styleId="WW8Num26z3">
    <w:name w:val="WW8Num26z3"/>
    <w:qFormat/>
    <w:rsid w:val="004B113D"/>
    <w:rPr>
      <w:rFonts w:ascii="Symbol" w:hAnsi="Symbol"/>
    </w:rPr>
  </w:style>
  <w:style w:type="character" w:customStyle="1" w:styleId="WW8NumSt1z0">
    <w:name w:val="WW8NumSt1z0"/>
    <w:qFormat/>
    <w:rsid w:val="004B113D"/>
    <w:rPr>
      <w:rFonts w:ascii="Symbol" w:hAnsi="Symbol"/>
    </w:rPr>
  </w:style>
  <w:style w:type="character" w:customStyle="1" w:styleId="WW-WW8Num2z0">
    <w:name w:val="WW-WW8Num2z0"/>
    <w:qFormat/>
    <w:rsid w:val="004B113D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qFormat/>
    <w:rsid w:val="004B113D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4B113D"/>
    <w:rPr>
      <w:rFonts w:ascii="Arial" w:eastAsia="MS Mincho" w:hAnsi="Arial" w:cs="Times New Roman"/>
      <w:b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qFormat/>
    <w:rsid w:val="004B113D"/>
    <w:rPr>
      <w:rFonts w:ascii="Times New Roman" w:eastAsia="MS Mincho" w:hAnsi="Times New Roman" w:cs="Lucida Sans Unicode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B113D"/>
    <w:rPr>
      <w:rFonts w:ascii="Arial" w:eastAsia="MS Mincho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B113D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B113D"/>
    <w:rPr>
      <w:rFonts w:ascii="Tahoma" w:eastAsia="MS Mincho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B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B11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815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3"/>
    <w:qFormat/>
    <w:locked/>
    <w:rsid w:val="009815B3"/>
    <w:rPr>
      <w:rFonts w:ascii="Calibri" w:eastAsia="Calibri" w:hAnsi="Calibri" w:cs="Times New Roman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1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qFormat/>
    <w:rsid w:val="00521077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F1AC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2A6A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  <w:sz w:val="20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Times New Roman" w:hAnsi="Times New Roman"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B113D"/>
    <w:pPr>
      <w:suppressAutoHyphens/>
      <w:jc w:val="center"/>
    </w:pPr>
    <w:rPr>
      <w:rFonts w:ascii="Arial" w:eastAsia="MS Mincho" w:hAnsi="Arial"/>
      <w:b/>
    </w:rPr>
  </w:style>
  <w:style w:type="paragraph" w:styleId="Lista">
    <w:name w:val="List"/>
    <w:basedOn w:val="Tretekstu"/>
    <w:rsid w:val="004B113D"/>
    <w:rPr>
      <w:rFonts w:cs="Lucida Sans Unicode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Gwka">
    <w:name w:val="Główka"/>
    <w:basedOn w:val="Normalny"/>
    <w:uiPriority w:val="99"/>
    <w:rsid w:val="004B1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113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">
    <w:name w:val="WW-Indeks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">
    <w:name w:val="WW-Nagłówek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qFormat/>
    <w:rsid w:val="004B113D"/>
    <w:pPr>
      <w:suppressLineNumbers/>
      <w:suppressAutoHyphen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qFormat/>
    <w:rsid w:val="004B113D"/>
    <w:pPr>
      <w:suppressLineNumbers/>
      <w:suppressAutoHyphens/>
    </w:pPr>
    <w:rPr>
      <w:rFonts w:eastAsia="MS Mincho" w:cs="Lucida Sans Unicode"/>
    </w:rPr>
  </w:style>
  <w:style w:type="paragraph" w:customStyle="1" w:styleId="WW-Nagwek1">
    <w:name w:val="WW-Nagłówek1"/>
    <w:basedOn w:val="Normalny"/>
    <w:qFormat/>
    <w:rsid w:val="004B113D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qFormat/>
    <w:rsid w:val="004B113D"/>
    <w:pPr>
      <w:keepNext/>
      <w:suppressAutoHyphens/>
      <w:spacing w:before="240" w:after="120"/>
    </w:pPr>
    <w:rPr>
      <w:rFonts w:ascii="Albany" w:hAnsi="Albany"/>
      <w:sz w:val="28"/>
    </w:rPr>
  </w:style>
  <w:style w:type="paragraph" w:customStyle="1" w:styleId="Naglwekstrony">
    <w:name w:val="Naglówek strony"/>
    <w:basedOn w:val="Normalny"/>
    <w:qFormat/>
    <w:rsid w:val="004B113D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qFormat/>
    <w:rsid w:val="004B113D"/>
    <w:pPr>
      <w:suppressAutoHyphens/>
    </w:pPr>
    <w:rPr>
      <w:rFonts w:ascii="Arial" w:eastAsia="MS Mincho" w:hAnsi="Arial"/>
      <w:sz w:val="22"/>
    </w:rPr>
  </w:style>
  <w:style w:type="paragraph" w:customStyle="1" w:styleId="Wcicietrecitekstu">
    <w:name w:val="Wcięcie treści tekstu"/>
    <w:basedOn w:val="Normalny"/>
    <w:link w:val="TekstpodstawowywcityZnak"/>
    <w:rsid w:val="004B113D"/>
    <w:pPr>
      <w:suppressAutoHyphens/>
    </w:pPr>
    <w:rPr>
      <w:rFonts w:ascii="Arial" w:eastAsia="MS Mincho" w:hAnsi="Arial"/>
      <w:b/>
      <w:sz w:val="22"/>
    </w:rPr>
  </w:style>
  <w:style w:type="paragraph" w:customStyle="1" w:styleId="Zawartoramki">
    <w:name w:val="Zawartość ramki"/>
    <w:basedOn w:val="Tretekstu"/>
    <w:qFormat/>
    <w:rsid w:val="004B113D"/>
  </w:style>
  <w:style w:type="paragraph" w:customStyle="1" w:styleId="WW-Zawartoramki">
    <w:name w:val="WW-Zawartość ramki"/>
    <w:basedOn w:val="Tretekstu"/>
    <w:qFormat/>
    <w:rsid w:val="004B113D"/>
  </w:style>
  <w:style w:type="paragraph" w:customStyle="1" w:styleId="WW-Zawartoramki1">
    <w:name w:val="WW-Zawartość ramki1"/>
    <w:basedOn w:val="Tretekstu"/>
    <w:qFormat/>
    <w:rsid w:val="004B113D"/>
  </w:style>
  <w:style w:type="paragraph" w:customStyle="1" w:styleId="WW-Zawartoramki11">
    <w:name w:val="WW-Zawartość ramki11"/>
    <w:basedOn w:val="Tretekstu"/>
    <w:qFormat/>
    <w:rsid w:val="004B113D"/>
  </w:style>
  <w:style w:type="paragraph" w:customStyle="1" w:styleId="Zawartotabeli">
    <w:name w:val="Zawartość tabeli"/>
    <w:basedOn w:val="Tretekstu"/>
    <w:qFormat/>
    <w:rsid w:val="004B113D"/>
    <w:pPr>
      <w:suppressLineNumbers/>
    </w:pPr>
  </w:style>
  <w:style w:type="paragraph" w:customStyle="1" w:styleId="WW-Zawartotabeli">
    <w:name w:val="WW-Zawartość tabeli"/>
    <w:basedOn w:val="Tretekstu"/>
    <w:qFormat/>
    <w:rsid w:val="004B113D"/>
    <w:pPr>
      <w:suppressLineNumbers/>
    </w:pPr>
  </w:style>
  <w:style w:type="paragraph" w:customStyle="1" w:styleId="WW-Zawartotabeli1">
    <w:name w:val="WW-Zawartość tabeli1"/>
    <w:basedOn w:val="Tretekstu"/>
    <w:qFormat/>
    <w:rsid w:val="004B113D"/>
    <w:pPr>
      <w:suppressLineNumbers/>
    </w:pPr>
  </w:style>
  <w:style w:type="paragraph" w:customStyle="1" w:styleId="WW-Zawartotabeli11">
    <w:name w:val="WW-Zawartość tabeli11"/>
    <w:basedOn w:val="Tretekstu"/>
    <w:qFormat/>
    <w:rsid w:val="004B113D"/>
    <w:pPr>
      <w:suppressLineNumbers/>
    </w:pPr>
  </w:style>
  <w:style w:type="paragraph" w:customStyle="1" w:styleId="Tytutabeli">
    <w:name w:val="Tytuł tabeli"/>
    <w:basedOn w:val="WW-Zawartotabeli11"/>
    <w:qFormat/>
    <w:rsid w:val="004B113D"/>
    <w:rPr>
      <w:i/>
    </w:rPr>
  </w:style>
  <w:style w:type="paragraph" w:customStyle="1" w:styleId="WW-BlockText">
    <w:name w:val="WW-Block Text"/>
    <w:basedOn w:val="Normalny"/>
    <w:qFormat/>
    <w:rsid w:val="004B113D"/>
    <w:pPr>
      <w:tabs>
        <w:tab w:val="left" w:pos="851"/>
      </w:tabs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qFormat/>
    <w:rsid w:val="004B113D"/>
    <w:pPr>
      <w:suppressAutoHyphens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qFormat/>
    <w:rsid w:val="004B113D"/>
    <w:pPr>
      <w:suppressAutoHyphens/>
    </w:pPr>
    <w:rPr>
      <w:rFonts w:eastAsia="MS Mincho"/>
    </w:rPr>
  </w:style>
  <w:style w:type="paragraph" w:customStyle="1" w:styleId="WW-BodyText2">
    <w:name w:val="WW-Body Text 2"/>
    <w:basedOn w:val="Normalny"/>
    <w:qFormat/>
    <w:rsid w:val="004B113D"/>
    <w:pPr>
      <w:suppressAutoHyphens/>
    </w:pPr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qFormat/>
    <w:rsid w:val="004B113D"/>
    <w:pPr>
      <w:suppressAutoHyphens/>
      <w:jc w:val="center"/>
    </w:pPr>
    <w:rPr>
      <w:rFonts w:ascii="GE Inspira" w:eastAsia="MS Mincho" w:hAnsi="GE Inspira"/>
      <w:sz w:val="18"/>
    </w:rPr>
  </w:style>
  <w:style w:type="paragraph" w:customStyle="1" w:styleId="Nagwektabeli">
    <w:name w:val="Nagłówek tabeli"/>
    <w:basedOn w:val="Zawartotabeli"/>
    <w:qFormat/>
    <w:rsid w:val="004B113D"/>
    <w:rPr>
      <w:bCs/>
      <w:i/>
      <w:iCs/>
    </w:rPr>
  </w:style>
  <w:style w:type="paragraph" w:customStyle="1" w:styleId="WW-Nagwektabeli">
    <w:name w:val="WW-Nagłówek tabeli"/>
    <w:basedOn w:val="WW-Zawartotabeli"/>
    <w:qFormat/>
    <w:rsid w:val="004B113D"/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4B113D"/>
    <w:rPr>
      <w:bCs/>
      <w:i/>
      <w:iCs/>
    </w:rPr>
  </w:style>
  <w:style w:type="paragraph" w:customStyle="1" w:styleId="WW-Tekstblokowy">
    <w:name w:val="WW-Tekst blokowy"/>
    <w:basedOn w:val="Normalny"/>
    <w:qFormat/>
    <w:rsid w:val="004B113D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4B113D"/>
    <w:pPr>
      <w:suppressAutoHyphens/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qFormat/>
    <w:rsid w:val="004B113D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qFormat/>
    <w:rsid w:val="004B113D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4B11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qFormat/>
    <w:rsid w:val="004B113D"/>
    <w:pPr>
      <w:suppressAutoHyphens/>
      <w:ind w:left="720"/>
      <w:contextualSpacing/>
    </w:pPr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4B11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B113D"/>
  </w:style>
  <w:style w:type="paragraph" w:styleId="NormalnyWeb">
    <w:name w:val="Normal (Web)"/>
    <w:basedOn w:val="Normalny"/>
    <w:uiPriority w:val="99"/>
    <w:unhideWhenUsed/>
    <w:qFormat/>
    <w:rsid w:val="004B113D"/>
    <w:rPr>
      <w:rFonts w:eastAsiaTheme="minorHAnsi"/>
      <w:sz w:val="24"/>
      <w:szCs w:val="24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B113D"/>
    <w:rPr>
      <w:b/>
      <w:bCs/>
    </w:rPr>
  </w:style>
  <w:style w:type="paragraph" w:customStyle="1" w:styleId="Akapitzlist3">
    <w:name w:val="Akapit z listą3"/>
    <w:basedOn w:val="Normalny"/>
    <w:link w:val="ListParagraphChar"/>
    <w:qFormat/>
    <w:rsid w:val="009815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zh-CN"/>
    </w:rPr>
  </w:style>
  <w:style w:type="paragraph" w:customStyle="1" w:styleId="Bezodstpw1">
    <w:name w:val="Bez odstępów1"/>
    <w:qFormat/>
    <w:rsid w:val="00075872"/>
    <w:pPr>
      <w:spacing w:line="240" w:lineRule="auto"/>
    </w:pPr>
    <w:rPr>
      <w:rFonts w:ascii="Cambria" w:eastAsia="Times New Roman" w:hAnsi="Cambria" w:cs="Cambria"/>
      <w:color w:val="00000A"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1077"/>
  </w:style>
  <w:style w:type="paragraph" w:styleId="HTML-wstpniesformatowany">
    <w:name w:val="HTML Preformatted"/>
    <w:basedOn w:val="Normalny"/>
    <w:uiPriority w:val="99"/>
    <w:unhideWhenUsed/>
    <w:qFormat/>
    <w:rsid w:val="001F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595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E1F7-3560-4AF4-B8A5-EF4CCD8F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9219</Words>
  <Characters>55317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Asia</cp:lastModifiedBy>
  <cp:revision>8</cp:revision>
  <cp:lastPrinted>2020-07-13T11:43:00Z</cp:lastPrinted>
  <dcterms:created xsi:type="dcterms:W3CDTF">2020-08-17T09:48:00Z</dcterms:created>
  <dcterms:modified xsi:type="dcterms:W3CDTF">2020-08-17T12:42:00Z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 Confidentiality">
    <vt:lpwstr>Unrestricted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