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0E17BEED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1F5BF6">
        <w:rPr>
          <w:rFonts w:ascii="Book Antiqua" w:hAnsi="Book Antiqua"/>
          <w:sz w:val="20"/>
          <w:szCs w:val="20"/>
        </w:rPr>
        <w:t>21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FE41ED">
        <w:rPr>
          <w:rFonts w:ascii="Book Antiqua" w:hAnsi="Book Antiqua"/>
          <w:sz w:val="20"/>
          <w:szCs w:val="20"/>
        </w:rPr>
        <w:t>10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6EF19C80" w14:textId="7E409191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</w:p>
    <w:p w14:paraId="642F32B6" w14:textId="77777777"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C2579" w14:textId="77777777" w:rsidR="00F63EFB" w:rsidRPr="003441C5" w:rsidRDefault="00F63EFB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25245CB4" w14:textId="77777777" w:rsidR="00F63EFB" w:rsidRPr="003441C5" w:rsidRDefault="00F63EFB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6CCE1662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FE41ED">
        <w:rPr>
          <w:rFonts w:ascii="Book Antiqua" w:hAnsi="Book Antiqua"/>
          <w:b/>
        </w:rPr>
        <w:t>4</w:t>
      </w:r>
      <w:r w:rsidR="001F5BF6">
        <w:rPr>
          <w:rFonts w:ascii="Book Antiqua" w:hAnsi="Book Antiqua"/>
          <w:b/>
        </w:rPr>
        <w:t>5</w:t>
      </w:r>
      <w:r w:rsidR="00096C37">
        <w:rPr>
          <w:rFonts w:ascii="Book Antiqua" w:hAnsi="Book Antiqua"/>
          <w:b/>
        </w:rPr>
        <w:t>/2020</w:t>
      </w:r>
    </w:p>
    <w:p w14:paraId="5E1C06B9" w14:textId="77777777" w:rsidR="00F63EFB" w:rsidRPr="003032F4" w:rsidRDefault="00F63EFB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7CD7D2D4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2191D64D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1F5BF6">
        <w:rPr>
          <w:rFonts w:ascii="Book Antiqua" w:hAnsi="Book Antiqua"/>
          <w:i/>
          <w:color w:val="000000"/>
        </w:rPr>
        <w:t>freza i</w:t>
      </w:r>
      <w:r w:rsidR="00FE41ED">
        <w:rPr>
          <w:rFonts w:ascii="Book Antiqua" w:hAnsi="Book Antiqua"/>
          <w:i/>
          <w:color w:val="000000"/>
        </w:rPr>
        <w:t xml:space="preserve"> prasy wulkanizującej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65EA8CC2" w14:textId="77777777" w:rsidR="00B23B06" w:rsidRPr="00B23B0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B23B06">
        <w:rPr>
          <w:rFonts w:ascii="Book Antiqua" w:hAnsi="Book Antiqua"/>
        </w:rPr>
        <w:t>9</w:t>
      </w:r>
      <w:r w:rsidR="00FE41ED">
        <w:rPr>
          <w:rFonts w:ascii="Book Antiqua" w:hAnsi="Book Antiqua"/>
        </w:rPr>
        <w:t xml:space="preserve"> tygodni dla części 1</w:t>
      </w:r>
      <w:r w:rsidR="00B23B06">
        <w:rPr>
          <w:rFonts w:ascii="Book Antiqua" w:hAnsi="Book Antiqua"/>
        </w:rPr>
        <w:t>,</w:t>
      </w:r>
      <w:r w:rsidR="00FE41ED">
        <w:rPr>
          <w:rFonts w:ascii="Book Antiqua" w:hAnsi="Book Antiqua"/>
        </w:rPr>
        <w:t xml:space="preserve"> </w:t>
      </w:r>
    </w:p>
    <w:p w14:paraId="5F6C133F" w14:textId="0C93F598" w:rsidR="00DF12C5" w:rsidRPr="00804026" w:rsidRDefault="00FE41ED" w:rsidP="00B23B06">
      <w:pPr>
        <w:pStyle w:val="Akapitzlist"/>
        <w:suppressAutoHyphens w:val="0"/>
        <w:spacing w:after="0" w:line="360" w:lineRule="auto"/>
        <w:ind w:left="3261"/>
        <w:jc w:val="both"/>
        <w:rPr>
          <w:rFonts w:ascii="Book Antiqua" w:hAnsi="Book Antiqua" w:cs="Book Antiqua"/>
          <w:dstrike/>
          <w:lang w:eastAsia="pl-PL"/>
        </w:rPr>
      </w:pPr>
      <w:r>
        <w:rPr>
          <w:rFonts w:ascii="Book Antiqua" w:hAnsi="Book Antiqua"/>
        </w:rPr>
        <w:t xml:space="preserve">do 4 tygodni dla części 2 </w:t>
      </w:r>
      <w:r w:rsidR="00B0249A" w:rsidRPr="00DF12C5">
        <w:rPr>
          <w:rFonts w:ascii="Book Antiqua" w:hAnsi="Book Antiqua" w:cs="Book Antiqua"/>
        </w:rPr>
        <w:t xml:space="preserve">od dnia </w:t>
      </w:r>
      <w:r w:rsidR="00B0249A">
        <w:rPr>
          <w:rFonts w:ascii="Book Antiqua" w:hAnsi="Book Antiqua" w:cs="Book Antiqua"/>
        </w:rPr>
        <w:t>zawarcia umowy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490B68D7" w:rsidR="0084284B" w:rsidRPr="0084284B" w:rsidRDefault="00143BEB" w:rsidP="00795F4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1F5BF6">
        <w:rPr>
          <w:rFonts w:ascii="Book Antiqua" w:hAnsi="Book Antiqua"/>
          <w:color w:val="000000"/>
        </w:rPr>
        <w:t>freza i</w:t>
      </w:r>
      <w:r w:rsidR="00FE41ED">
        <w:rPr>
          <w:rFonts w:ascii="Book Antiqua" w:hAnsi="Book Antiqua"/>
          <w:color w:val="000000"/>
        </w:rPr>
        <w:t xml:space="preserve"> </w:t>
      </w:r>
      <w:r w:rsidR="00FE41ED" w:rsidRPr="00FE41ED">
        <w:rPr>
          <w:rFonts w:ascii="Book Antiqua" w:hAnsi="Book Antiqua"/>
          <w:color w:val="000000"/>
        </w:rPr>
        <w:t xml:space="preserve">prasy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="00F66AF9">
        <w:rPr>
          <w:rFonts w:ascii="Book Antiqua" w:hAnsi="Book Antiqua" w:cs="Book Antiqua"/>
          <w:szCs w:val="22"/>
        </w:rPr>
        <w:t xml:space="preserve">Katedry </w:t>
      </w:r>
      <w:r w:rsidR="00FE41ED">
        <w:rPr>
          <w:rFonts w:ascii="Book Antiqua" w:hAnsi="Book Antiqua" w:cs="Book Antiqua"/>
          <w:szCs w:val="22"/>
        </w:rPr>
        <w:t>Inżynierii Materiałów Polimerowych</w:t>
      </w:r>
      <w:r w:rsidR="00F66AF9" w:rsidRPr="0084284B">
        <w:rPr>
          <w:rFonts w:ascii="Book Antiqua" w:hAnsi="Book Antiqua" w:cs="Book Antiqua"/>
          <w:lang w:eastAsia="pl-PL"/>
        </w:rPr>
        <w:t xml:space="preserve"> z UKW</w:t>
      </w:r>
      <w:r w:rsidR="00F66AF9">
        <w:rPr>
          <w:rFonts w:ascii="Book Antiqua" w:hAnsi="Book Antiqua" w:cs="Book Antiqua"/>
          <w:lang w:eastAsia="pl-PL"/>
        </w:rPr>
        <w:t>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  <w:r w:rsidR="00FE41ED" w:rsidRPr="006B5410">
        <w:rPr>
          <w:rFonts w:ascii="Book Antiqua" w:hAnsi="Book Antiqua"/>
          <w:bCs/>
        </w:rPr>
        <w:t xml:space="preserve">Zamawiający podzielił zamówienie na </w:t>
      </w:r>
      <w:r w:rsidR="001F5BF6">
        <w:rPr>
          <w:rFonts w:ascii="Book Antiqua" w:hAnsi="Book Antiqua"/>
          <w:bCs/>
        </w:rPr>
        <w:t>2</w:t>
      </w:r>
      <w:r w:rsidR="00FE41ED" w:rsidRPr="001A705B">
        <w:rPr>
          <w:rFonts w:ascii="Book Antiqua" w:hAnsi="Book Antiqua"/>
        </w:rPr>
        <w:t xml:space="preserve"> części</w:t>
      </w:r>
      <w:r w:rsidR="00FE41ED" w:rsidRPr="006B5410">
        <w:rPr>
          <w:rFonts w:ascii="Book Antiqua" w:hAnsi="Book Antiqua"/>
          <w:bCs/>
        </w:rPr>
        <w:t xml:space="preserve">, z których każda będzie oceniana oddzielnie. </w:t>
      </w:r>
      <w:r w:rsidR="00FE41ED" w:rsidRPr="006B5410">
        <w:rPr>
          <w:rFonts w:ascii="Book Antiqua" w:hAnsi="Book Antiqua" w:cs="Arial"/>
        </w:rPr>
        <w:t>Zamawiający dopuszcza możliwość składania ofert częściowych, z zastrzeżeniem, iż oferta w każdej części winna być pełna</w:t>
      </w:r>
    </w:p>
    <w:p w14:paraId="14116D59" w14:textId="54714D1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3C6B39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24EDF456" w14:textId="5230CA58" w:rsidR="003D7AB1" w:rsidRPr="00925E79" w:rsidRDefault="003D7AB1" w:rsidP="003D7AB1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 xml:space="preserve">cy wymaga zaoferowania minimum </w:t>
      </w:r>
      <w:r w:rsidR="00FE41ED">
        <w:rPr>
          <w:rFonts w:ascii="Book Antiqua" w:hAnsi="Book Antiqua" w:cs="Book Antiqua"/>
          <w:lang w:eastAsia="pl-PL"/>
        </w:rPr>
        <w:t>24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całość przedmiotu zamówienia</w:t>
      </w:r>
      <w:r>
        <w:rPr>
          <w:rFonts w:ascii="Book Antiqua" w:hAnsi="Book Antiqua" w:cs="Book Antiqua"/>
          <w:lang w:eastAsia="pl-PL"/>
        </w:rPr>
        <w:t>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77777777" w:rsidR="00696D34" w:rsidRPr="003600F8" w:rsidRDefault="00696D34" w:rsidP="00C6220C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6668F1D7" w14:textId="49DF4430" w:rsidR="00143BEB" w:rsidRPr="00A238E3" w:rsidRDefault="00143BEB" w:rsidP="001470B2">
      <w:pPr>
        <w:pStyle w:val="Akapitzlist"/>
        <w:numPr>
          <w:ilvl w:val="0"/>
          <w:numId w:val="42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B04FB0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00A5D26F" w14:textId="77777777" w:rsidR="001F5BF6" w:rsidRPr="00EB47BC" w:rsidRDefault="001F5BF6" w:rsidP="001F5BF6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14:paraId="74868EA3" w14:textId="77777777" w:rsidR="001F5BF6" w:rsidRPr="003600F8" w:rsidRDefault="001F5BF6" w:rsidP="001F5BF6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>za każdy rozpoczęty dzień opóźnienia w wykonaniu przed</w:t>
      </w:r>
      <w:r>
        <w:rPr>
          <w:rFonts w:ascii="Book Antiqua" w:hAnsi="Book Antiqua" w:cs="Book Antiqua"/>
          <w:sz w:val="20"/>
          <w:szCs w:val="20"/>
        </w:rPr>
        <w:t>miotu zamówienia - w wysokości 1</w:t>
      </w:r>
      <w:r w:rsidRPr="003600F8">
        <w:rPr>
          <w:rFonts w:ascii="Book Antiqua" w:hAnsi="Book Antiqua" w:cs="Book Antiqua"/>
          <w:sz w:val="20"/>
          <w:szCs w:val="20"/>
        </w:rPr>
        <w:t xml:space="preserve">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14:paraId="2A83D64E" w14:textId="77777777" w:rsidR="001F5BF6" w:rsidRPr="001F5BF6" w:rsidRDefault="001F5BF6" w:rsidP="002F79AF">
      <w:pPr>
        <w:numPr>
          <w:ilvl w:val="1"/>
          <w:numId w:val="3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1F5BF6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1 % wartości oferty netto, </w:t>
      </w:r>
    </w:p>
    <w:p w14:paraId="5B3E6D34" w14:textId="0C6C1C3C" w:rsidR="001B3F06" w:rsidRPr="001F5BF6" w:rsidRDefault="001F5BF6" w:rsidP="002F79AF">
      <w:pPr>
        <w:numPr>
          <w:ilvl w:val="1"/>
          <w:numId w:val="3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1F5BF6">
        <w:rPr>
          <w:rFonts w:ascii="Book Antiqua" w:hAnsi="Book Antiqua" w:cs="Book Antiqua"/>
          <w:sz w:val="20"/>
        </w:rPr>
        <w:t>10 %wynagrodzenia netto w razie odstąpienia od wykonania przedmiotu zamówienia przez Zamawiającego z przyczyn leżących po stronie Wykonawcy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C6220C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356DFB06" w:rsidR="00C73DC5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3523599E" w:rsidR="00872BE6" w:rsidRPr="00B8210A" w:rsidRDefault="003D7AB1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3D7AB1" w:rsidRPr="00B8210A" w14:paraId="649BFDEC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0F97" w14:textId="326A0FAF" w:rsidR="003D7AB1" w:rsidRPr="00EA1E43" w:rsidRDefault="003D7AB1" w:rsidP="003D7AB1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8BCD7" w14:textId="58572042" w:rsidR="003D7AB1" w:rsidRPr="00B8210A" w:rsidRDefault="003D7AB1" w:rsidP="003D7AB1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6BA9" w14:textId="217D62FD" w:rsidR="003D7AB1" w:rsidRDefault="003D7AB1" w:rsidP="003D7AB1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6AFB96A3" w14:textId="77777777" w:rsidR="00C6220C" w:rsidRDefault="00C6220C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1370D72D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34579F26" w14:textId="77777777" w:rsidR="003D7AB1" w:rsidRPr="003D7AB1" w:rsidRDefault="003D7AB1" w:rsidP="003D7AB1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20813A1E" w14:textId="77777777" w:rsidR="003D7AB1" w:rsidRPr="003D7AB1" w:rsidRDefault="003D7AB1" w:rsidP="003D7AB1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189F450D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3128C762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0475D545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3783634D" w14:textId="77777777" w:rsidR="003D7AB1" w:rsidRPr="003D7AB1" w:rsidRDefault="003D7AB1" w:rsidP="003D7AB1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46855365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lastRenderedPageBreak/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03DD1C0B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14:paraId="54897702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3D7AB1">
        <w:rPr>
          <w:rFonts w:ascii="Book Antiqua" w:hAnsi="Book Antiqua" w:cs="Book Antiqua"/>
          <w:sz w:val="20"/>
          <w:szCs w:val="20"/>
        </w:rPr>
        <w:t>x 100 pkt x 20%</w:t>
      </w:r>
    </w:p>
    <w:p w14:paraId="38A77D97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0C89D8FC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1F55E7D5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3DAB9744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7AD6F114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22EB8341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4017192C" w14:textId="77777777" w:rsidR="003D7AB1" w:rsidRPr="003D7AB1" w:rsidRDefault="003D7AB1" w:rsidP="00CB0A1C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14:paraId="512D8E8A" w14:textId="77777777" w:rsidR="003D7AB1" w:rsidRPr="003D7AB1" w:rsidRDefault="003D7AB1" w:rsidP="003D7AB1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14:paraId="5BC23101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43DECA48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5502FA9B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6E54ECF7" w14:textId="77777777" w:rsidR="003D7AB1" w:rsidRPr="00BB3261" w:rsidRDefault="003D7AB1" w:rsidP="00C6220C">
      <w:pPr>
        <w:pStyle w:val="Tekstpodstawowywcity"/>
        <w:tabs>
          <w:tab w:val="left" w:pos="284"/>
        </w:tabs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13FB1CE0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F66AF9">
        <w:rPr>
          <w:rFonts w:ascii="Book Antiqua" w:hAnsi="Book Antiqua"/>
          <w:shd w:val="clear" w:color="auto" w:fill="FFFFFF"/>
        </w:rPr>
        <w:t xml:space="preserve"> lub opatrzyć elektronicznym podpisem kwalifikowanym.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</w:t>
      </w:r>
      <w:r w:rsidRPr="00407685">
        <w:rPr>
          <w:rFonts w:ascii="Book Antiqua" w:hAnsi="Book Antiqua" w:cs="Book Antiqua"/>
          <w:lang w:eastAsia="pl-PL"/>
        </w:rPr>
        <w:lastRenderedPageBreak/>
        <w:t xml:space="preserve">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1FD8641E" w:rsidR="000A531A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p w14:paraId="4B85A2C6" w14:textId="77777777" w:rsidR="001470B2" w:rsidRDefault="001470B2" w:rsidP="001470B2">
      <w:pPr>
        <w:pStyle w:val="Akapitzlist"/>
        <w:suppressAutoHyphens w:val="0"/>
        <w:spacing w:after="0" w:line="360" w:lineRule="auto"/>
        <w:ind w:left="851"/>
        <w:jc w:val="both"/>
        <w:rPr>
          <w:rFonts w:ascii="Book Antiqua" w:hAnsi="Book Antiqua" w:cs="Book Antiqua"/>
          <w:lang w:eastAsia="pl-PL"/>
        </w:rPr>
      </w:pP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4EA52297" w:rsidR="000A531A" w:rsidRPr="00767573" w:rsidRDefault="00E0576D" w:rsidP="001F5BF6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r w:rsidRPr="00E0576D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29</w:t>
            </w:r>
            <w:r w:rsidR="000A531A" w:rsidRPr="00E0576D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</w:t>
            </w:r>
            <w:r w:rsidR="00FE41ED" w:rsidRPr="00E0576D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0A531A" w:rsidRPr="00E0576D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 w:rsidR="00FA778B" w:rsidRPr="00E0576D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E0576D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1F035835" w:rsidR="000A531A" w:rsidRDefault="000A531A" w:rsidP="001470B2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470B2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77777777" w:rsidR="000A531A" w:rsidRDefault="000A531A" w:rsidP="007241FD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14:paraId="3825A18F" w14:textId="26CAD91C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660B80">
        <w:rPr>
          <w:rFonts w:ascii="Book Antiqua" w:hAnsi="Book Antiqua"/>
          <w:sz w:val="20"/>
          <w:u w:val="single"/>
          <w:shd w:val="clear" w:color="auto" w:fill="FFFFFF"/>
        </w:rPr>
        <w:t xml:space="preserve"> lub opatrzone elektronicznym podpisem kwalifikowanym</w:t>
      </w:r>
      <w:r w:rsidR="00660B80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623C55B1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FE41ED">
        <w:rPr>
          <w:rFonts w:ascii="Book Antiqua" w:hAnsi="Book Antiqua" w:cs="Arial"/>
          <w:sz w:val="18"/>
          <w:szCs w:val="20"/>
        </w:rPr>
        <w:t>4</w:t>
      </w:r>
      <w:r w:rsidR="001F5BF6">
        <w:rPr>
          <w:rFonts w:ascii="Book Antiqua" w:hAnsi="Book Antiqua" w:cs="Arial"/>
          <w:sz w:val="18"/>
          <w:szCs w:val="20"/>
        </w:rPr>
        <w:t>5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20653B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20653B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20653B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20653B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77777777" w:rsidR="003D7AB1" w:rsidRPr="00177EA5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3D7AB1" w:rsidRPr="0030201B">
        <w:rPr>
          <w:rFonts w:ascii="Book Antiqua" w:hAnsi="Book Antiqua"/>
          <w:color w:val="000000"/>
          <w:sz w:val="20"/>
          <w:szCs w:val="20"/>
          <w:shd w:val="clear" w:color="auto" w:fill="FFFFFF"/>
        </w:rPr>
        <w:t>Jarosław Mikita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3D7AB1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3D7AB1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:</w:t>
      </w:r>
      <w:r w:rsidR="003D7AB1" w:rsidRPr="0030201B">
        <w:rPr>
          <w:rFonts w:ascii="Book Antiqua" w:hAnsi="Book Antiqua" w:cs="Book Antiqua"/>
          <w:sz w:val="16"/>
          <w:szCs w:val="16"/>
          <w:lang w:val="de-DE"/>
        </w:rPr>
        <w:t xml:space="preserve"> </w:t>
      </w:r>
      <w:r w:rsidR="003D7AB1" w:rsidRPr="0030201B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</w:rPr>
        <w:t>jmikita@ukw.edu.pl</w:t>
      </w:r>
    </w:p>
    <w:p w14:paraId="1EA01DD1" w14:textId="77777777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>Agnieszka Pladwig</w:t>
      </w:r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9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1EE5859B" w14:textId="39C178D8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423ABB71" w14:textId="77777777" w:rsidR="00B23B06" w:rsidRDefault="00B23B06" w:rsidP="00B23B06">
      <w:pPr>
        <w:spacing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Kanclerz UKW</w:t>
      </w:r>
    </w:p>
    <w:p w14:paraId="6235B6D7" w14:textId="77777777" w:rsidR="00B23B06" w:rsidRDefault="00B23B06" w:rsidP="00B23B06">
      <w:pPr>
        <w:spacing w:line="360" w:lineRule="auto"/>
        <w:jc w:val="right"/>
        <w:rPr>
          <w:rFonts w:ascii="Book Antiqua" w:hAnsi="Book Antiqua" w:cs="Book Antiqua"/>
          <w:sz w:val="20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4E45C43E" w14:textId="77777777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05DE08B4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FE41ED">
        <w:rPr>
          <w:rFonts w:ascii="Book Antiqua" w:hAnsi="Book Antiqua"/>
          <w:b/>
          <w:sz w:val="22"/>
          <w:szCs w:val="22"/>
        </w:rPr>
        <w:t>4</w:t>
      </w:r>
      <w:r w:rsidR="001F5BF6">
        <w:rPr>
          <w:rFonts w:ascii="Book Antiqua" w:hAnsi="Book Antiqua"/>
          <w:b/>
          <w:sz w:val="22"/>
          <w:szCs w:val="22"/>
        </w:rPr>
        <w:t>5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524537D8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FE41ED" w:rsidRPr="00FE41ED">
        <w:rPr>
          <w:rFonts w:ascii="Book Antiqua" w:hAnsi="Book Antiqua" w:cs="Book Antiqua"/>
          <w:i/>
          <w:iCs/>
          <w:sz w:val="20"/>
        </w:rPr>
        <w:t xml:space="preserve">Dostawa </w:t>
      </w:r>
      <w:r w:rsidR="00FE41ED" w:rsidRPr="00FE41ED">
        <w:rPr>
          <w:rFonts w:ascii="Book Antiqua" w:hAnsi="Book Antiqua"/>
          <w:i/>
          <w:color w:val="000000"/>
          <w:sz w:val="20"/>
        </w:rPr>
        <w:t xml:space="preserve">freza </w:t>
      </w:r>
      <w:r w:rsidR="001F5BF6">
        <w:rPr>
          <w:rFonts w:ascii="Book Antiqua" w:hAnsi="Book Antiqua"/>
          <w:i/>
          <w:color w:val="000000"/>
          <w:sz w:val="20"/>
        </w:rPr>
        <w:t xml:space="preserve">i </w:t>
      </w:r>
      <w:r w:rsidR="00FE41ED" w:rsidRPr="00FE41ED">
        <w:rPr>
          <w:rFonts w:ascii="Book Antiqua" w:hAnsi="Book Antiqua"/>
          <w:i/>
          <w:color w:val="000000"/>
          <w:sz w:val="20"/>
        </w:rPr>
        <w:t>prasy wulkanizującej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0D677F9A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 w:rsidR="00FE41ED">
        <w:rPr>
          <w:rFonts w:ascii="Book Antiqua" w:hAnsi="Book Antiqua"/>
          <w:bCs/>
          <w:sz w:val="21"/>
          <w:szCs w:val="21"/>
        </w:rPr>
        <w:t>tygodni</w:t>
      </w:r>
    </w:p>
    <w:p w14:paraId="33562103" w14:textId="69546E1E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1470B2">
        <w:rPr>
          <w:rFonts w:ascii="Book Antiqua" w:hAnsi="Book Antiqua" w:cs="Book Antiqua"/>
          <w:sz w:val="21"/>
          <w:szCs w:val="21"/>
        </w:rPr>
        <w:t>zawarcia 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EB7A7A">
        <w:rPr>
          <w:rFonts w:ascii="Book Antiqua" w:hAnsi="Book Antiqua" w:cs="Book Antiqua"/>
          <w:b/>
          <w:bCs/>
          <w:sz w:val="21"/>
          <w:szCs w:val="21"/>
        </w:rPr>
        <w:t>4</w:t>
      </w:r>
      <w:r w:rsidR="001F5BF6">
        <w:rPr>
          <w:rFonts w:ascii="Book Antiqua" w:hAnsi="Book Antiqua" w:cs="Book Antiqua"/>
          <w:b/>
          <w:bCs/>
          <w:sz w:val="21"/>
          <w:szCs w:val="21"/>
        </w:rPr>
        <w:t>5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5215B8FD" w14:textId="77777777" w:rsidR="00EB7A7A" w:rsidRDefault="00EB7A7A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75226471" w14:textId="45F316CC" w:rsidR="00EB7A7A" w:rsidRPr="00872BE6" w:rsidRDefault="00EB7A7A" w:rsidP="00EB7A7A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u w:val="single"/>
        </w:rPr>
        <w:t>Część 2</w:t>
      </w:r>
    </w:p>
    <w:p w14:paraId="437427FB" w14:textId="77777777" w:rsidR="00EB7A7A" w:rsidRPr="00872BE6" w:rsidRDefault="00EB7A7A" w:rsidP="00EB7A7A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5A2E956F" w14:textId="77777777" w:rsidR="00EB7A7A" w:rsidRPr="003441C5" w:rsidRDefault="00EB7A7A" w:rsidP="00EB7A7A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4827A794" w14:textId="77777777" w:rsidR="00EB7A7A" w:rsidRPr="003441C5" w:rsidRDefault="00EB7A7A" w:rsidP="00EB7A7A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3454B3F4" w14:textId="77777777" w:rsidR="00EB7A7A" w:rsidRPr="003441C5" w:rsidRDefault="00EB7A7A" w:rsidP="00EB7A7A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08873A7" w14:textId="77777777" w:rsidR="00EB7A7A" w:rsidRPr="003441C5" w:rsidRDefault="00EB7A7A" w:rsidP="00EB7A7A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7DC9A99A" w14:textId="77777777" w:rsidR="00EB7A7A" w:rsidRDefault="00EB7A7A" w:rsidP="00EB7A7A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3C7C7447" w14:textId="77777777" w:rsidR="00EB7A7A" w:rsidRDefault="00EB7A7A" w:rsidP="00EB7A7A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0D85A109" w14:textId="77777777" w:rsidR="00EB7A7A" w:rsidRPr="00872BE6" w:rsidRDefault="00EB7A7A" w:rsidP="00EB7A7A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A7F968F" w14:textId="77777777" w:rsidR="00EB7A7A" w:rsidRPr="00872BE6" w:rsidRDefault="00EB7A7A" w:rsidP="00EB7A7A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6BBFBFF1" w14:textId="77777777" w:rsidR="00EB7A7A" w:rsidRPr="00677C77" w:rsidRDefault="00EB7A7A" w:rsidP="00EB7A7A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lastRenderedPageBreak/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>tygodni</w:t>
      </w:r>
    </w:p>
    <w:p w14:paraId="36337225" w14:textId="5E10191E" w:rsidR="00EB7A7A" w:rsidRDefault="00EB7A7A" w:rsidP="00EB7A7A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>
        <w:rPr>
          <w:rFonts w:ascii="Book Antiqua" w:hAnsi="Book Antiqua" w:cs="Book Antiqua"/>
          <w:sz w:val="21"/>
          <w:szCs w:val="21"/>
        </w:rPr>
        <w:t>zawarcia 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4</w:t>
      </w:r>
      <w:r w:rsidR="001F5BF6">
        <w:rPr>
          <w:rFonts w:ascii="Book Antiqua" w:hAnsi="Book Antiqua" w:cs="Book Antiqua"/>
          <w:b/>
          <w:bCs/>
          <w:sz w:val="21"/>
          <w:szCs w:val="21"/>
        </w:rPr>
        <w:t>5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057E8AE4" w14:textId="77777777" w:rsidR="00EB7A7A" w:rsidRPr="003441C5" w:rsidRDefault="00EB7A7A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1C8E233C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EB7A7A">
        <w:rPr>
          <w:rFonts w:ascii="Book Antiqua" w:hAnsi="Book Antiqua" w:cs="Book Antiqua"/>
        </w:rPr>
        <w:t>4</w:t>
      </w:r>
      <w:r w:rsidR="001F5BF6">
        <w:rPr>
          <w:rFonts w:ascii="Book Antiqua" w:hAnsi="Book Antiqua" w:cs="Book Antiqua"/>
        </w:rPr>
        <w:t>5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4C2A5514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EB7A7A">
        <w:rPr>
          <w:rFonts w:ascii="Book Antiqua" w:hAnsi="Book Antiqua" w:cs="Book Antiqua"/>
        </w:rPr>
        <w:t>4</w:t>
      </w:r>
      <w:r w:rsidR="001F5BF6">
        <w:rPr>
          <w:rFonts w:ascii="Book Antiqua" w:hAnsi="Book Antiqua" w:cs="Book Antiqua"/>
        </w:rPr>
        <w:t>5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26194A2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011354A5" w:rsidR="00D07F6A" w:rsidRDefault="00D07F6A">
      <w:pPr>
        <w:rPr>
          <w:rFonts w:ascii="Century Gothic" w:hAnsi="Century Gothic" w:cs="Arial"/>
          <w:i/>
          <w:sz w:val="22"/>
          <w:szCs w:val="20"/>
        </w:rPr>
      </w:pPr>
    </w:p>
    <w:sectPr w:rsidR="00D07F6A" w:rsidSect="004705EE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081B9" w14:textId="77777777" w:rsidR="002D3C13" w:rsidRDefault="002D3C13" w:rsidP="00883F61">
      <w:r>
        <w:separator/>
      </w:r>
    </w:p>
  </w:endnote>
  <w:endnote w:type="continuationSeparator" w:id="0">
    <w:p w14:paraId="3AE1A836" w14:textId="77777777" w:rsidR="002D3C13" w:rsidRDefault="002D3C13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425D61CF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76D">
          <w:rPr>
            <w:noProof/>
          </w:rPr>
          <w:t>8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736AF" w14:textId="77777777" w:rsidR="002D3C13" w:rsidRDefault="002D3C13" w:rsidP="00883F61">
      <w:r>
        <w:separator/>
      </w:r>
    </w:p>
  </w:footnote>
  <w:footnote w:type="continuationSeparator" w:id="0">
    <w:p w14:paraId="426F4AF0" w14:textId="77777777" w:rsidR="002D3C13" w:rsidRDefault="002D3C13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0F1C13C3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FE41ED">
      <w:rPr>
        <w:rFonts w:asciiTheme="minorHAnsi" w:hAnsiTheme="minorHAnsi"/>
        <w:sz w:val="18"/>
        <w:szCs w:val="16"/>
      </w:rPr>
      <w:t>4</w:t>
    </w:r>
    <w:r w:rsidR="001F5BF6">
      <w:rPr>
        <w:rFonts w:asciiTheme="minorHAnsi" w:hAnsiTheme="minorHAnsi"/>
        <w:sz w:val="18"/>
        <w:szCs w:val="16"/>
      </w:rPr>
      <w:t>5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11CFA"/>
    <w:multiLevelType w:val="hybridMultilevel"/>
    <w:tmpl w:val="A7888770"/>
    <w:lvl w:ilvl="0" w:tplc="41802B60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11790"/>
    <w:multiLevelType w:val="hybridMultilevel"/>
    <w:tmpl w:val="A340426C"/>
    <w:lvl w:ilvl="0" w:tplc="7BEA3E0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22"/>
  </w:num>
  <w:num w:numId="5">
    <w:abstractNumId w:val="33"/>
  </w:num>
  <w:num w:numId="6">
    <w:abstractNumId w:val="8"/>
  </w:num>
  <w:num w:numId="7">
    <w:abstractNumId w:val="19"/>
  </w:num>
  <w:num w:numId="8">
    <w:abstractNumId w:val="41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3"/>
  </w:num>
  <w:num w:numId="15">
    <w:abstractNumId w:val="32"/>
  </w:num>
  <w:num w:numId="16">
    <w:abstractNumId w:val="5"/>
  </w:num>
  <w:num w:numId="17">
    <w:abstractNumId w:val="2"/>
  </w:num>
  <w:num w:numId="18">
    <w:abstractNumId w:val="12"/>
  </w:num>
  <w:num w:numId="19">
    <w:abstractNumId w:val="34"/>
  </w:num>
  <w:num w:numId="20">
    <w:abstractNumId w:val="13"/>
  </w:num>
  <w:num w:numId="21">
    <w:abstractNumId w:val="27"/>
  </w:num>
  <w:num w:numId="22">
    <w:abstractNumId w:val="21"/>
  </w:num>
  <w:num w:numId="23">
    <w:abstractNumId w:val="40"/>
  </w:num>
  <w:num w:numId="24">
    <w:abstractNumId w:val="6"/>
  </w:num>
  <w:num w:numId="25">
    <w:abstractNumId w:val="20"/>
  </w:num>
  <w:num w:numId="26">
    <w:abstractNumId w:val="29"/>
  </w:num>
  <w:num w:numId="27">
    <w:abstractNumId w:val="31"/>
  </w:num>
  <w:num w:numId="28">
    <w:abstractNumId w:val="28"/>
  </w:num>
  <w:num w:numId="29">
    <w:abstractNumId w:val="26"/>
  </w:num>
  <w:num w:numId="30">
    <w:abstractNumId w:val="36"/>
  </w:num>
  <w:num w:numId="31">
    <w:abstractNumId w:val="1"/>
  </w:num>
  <w:num w:numId="32">
    <w:abstractNumId w:val="17"/>
  </w:num>
  <w:num w:numId="33">
    <w:abstractNumId w:val="42"/>
  </w:num>
  <w:num w:numId="34">
    <w:abstractNumId w:val="39"/>
  </w:num>
  <w:num w:numId="35">
    <w:abstractNumId w:val="35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4"/>
  </w:num>
  <w:num w:numId="39">
    <w:abstractNumId w:val="25"/>
  </w:num>
  <w:num w:numId="40">
    <w:abstractNumId w:val="3"/>
  </w:num>
  <w:num w:numId="41">
    <w:abstractNumId w:val="37"/>
  </w:num>
  <w:num w:numId="42">
    <w:abstractNumId w:val="18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4577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0C66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02898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37922"/>
    <w:rsid w:val="001416F1"/>
    <w:rsid w:val="0014303C"/>
    <w:rsid w:val="001430E5"/>
    <w:rsid w:val="00143BEB"/>
    <w:rsid w:val="001470B2"/>
    <w:rsid w:val="00150387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B3F06"/>
    <w:rsid w:val="001C5588"/>
    <w:rsid w:val="001C65A4"/>
    <w:rsid w:val="001C7170"/>
    <w:rsid w:val="001C7987"/>
    <w:rsid w:val="001D2426"/>
    <w:rsid w:val="001D3051"/>
    <w:rsid w:val="001E226A"/>
    <w:rsid w:val="001E2304"/>
    <w:rsid w:val="001E691A"/>
    <w:rsid w:val="001F0BF8"/>
    <w:rsid w:val="001F5BF6"/>
    <w:rsid w:val="001F5C87"/>
    <w:rsid w:val="00202DE8"/>
    <w:rsid w:val="00203103"/>
    <w:rsid w:val="00204473"/>
    <w:rsid w:val="0020653B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3C13"/>
    <w:rsid w:val="002D42AE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2EAC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0142"/>
    <w:rsid w:val="003B1EC3"/>
    <w:rsid w:val="003B1F88"/>
    <w:rsid w:val="003B5273"/>
    <w:rsid w:val="003C05EB"/>
    <w:rsid w:val="003C15DD"/>
    <w:rsid w:val="003C4533"/>
    <w:rsid w:val="003C50E9"/>
    <w:rsid w:val="003C6B39"/>
    <w:rsid w:val="003C6D76"/>
    <w:rsid w:val="003C741A"/>
    <w:rsid w:val="003C78B2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432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3DFE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294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60B80"/>
    <w:rsid w:val="006639CC"/>
    <w:rsid w:val="00677C77"/>
    <w:rsid w:val="00680EA1"/>
    <w:rsid w:val="00682031"/>
    <w:rsid w:val="00684D4D"/>
    <w:rsid w:val="0068566B"/>
    <w:rsid w:val="00686CFC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956FD"/>
    <w:rsid w:val="007A1850"/>
    <w:rsid w:val="007A2785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027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3D59"/>
    <w:rsid w:val="00856C2E"/>
    <w:rsid w:val="00864708"/>
    <w:rsid w:val="00864D31"/>
    <w:rsid w:val="00864E31"/>
    <w:rsid w:val="008667E9"/>
    <w:rsid w:val="00872BE6"/>
    <w:rsid w:val="00883E7A"/>
    <w:rsid w:val="00883F61"/>
    <w:rsid w:val="00895215"/>
    <w:rsid w:val="008A2420"/>
    <w:rsid w:val="008C0CE2"/>
    <w:rsid w:val="008C2282"/>
    <w:rsid w:val="008C4EC5"/>
    <w:rsid w:val="008D1223"/>
    <w:rsid w:val="008D2A21"/>
    <w:rsid w:val="008D3DEA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1E96"/>
    <w:rsid w:val="00977047"/>
    <w:rsid w:val="0098026F"/>
    <w:rsid w:val="00980C68"/>
    <w:rsid w:val="009923C4"/>
    <w:rsid w:val="00993872"/>
    <w:rsid w:val="00993C02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0751D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5BF8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249A"/>
    <w:rsid w:val="00B044AB"/>
    <w:rsid w:val="00B04B98"/>
    <w:rsid w:val="00B04FB0"/>
    <w:rsid w:val="00B17DBD"/>
    <w:rsid w:val="00B228D5"/>
    <w:rsid w:val="00B23B06"/>
    <w:rsid w:val="00B26952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220C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97E86"/>
    <w:rsid w:val="00CA40BC"/>
    <w:rsid w:val="00CA4EDF"/>
    <w:rsid w:val="00CA67BF"/>
    <w:rsid w:val="00CB0A1C"/>
    <w:rsid w:val="00CB111F"/>
    <w:rsid w:val="00CB2561"/>
    <w:rsid w:val="00CB279E"/>
    <w:rsid w:val="00CB56BD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07F6A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83FCD"/>
    <w:rsid w:val="00D90727"/>
    <w:rsid w:val="00D9211A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0576D"/>
    <w:rsid w:val="00E130F0"/>
    <w:rsid w:val="00E137A7"/>
    <w:rsid w:val="00E138FC"/>
    <w:rsid w:val="00E16F4E"/>
    <w:rsid w:val="00E16FB2"/>
    <w:rsid w:val="00E21492"/>
    <w:rsid w:val="00E22FA2"/>
    <w:rsid w:val="00E235F2"/>
    <w:rsid w:val="00E32785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17D4"/>
    <w:rsid w:val="00E96017"/>
    <w:rsid w:val="00EA022A"/>
    <w:rsid w:val="00EA1536"/>
    <w:rsid w:val="00EA3637"/>
    <w:rsid w:val="00EA67D9"/>
    <w:rsid w:val="00EA7C74"/>
    <w:rsid w:val="00EB2F8A"/>
    <w:rsid w:val="00EB33E4"/>
    <w:rsid w:val="00EB7A7A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29F4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63EFB"/>
    <w:rsid w:val="00F66AF9"/>
    <w:rsid w:val="00F7161C"/>
    <w:rsid w:val="00F749E2"/>
    <w:rsid w:val="00F80B76"/>
    <w:rsid w:val="00F8255E"/>
    <w:rsid w:val="00F85E5E"/>
    <w:rsid w:val="00F86604"/>
    <w:rsid w:val="00F87497"/>
    <w:rsid w:val="00F91409"/>
    <w:rsid w:val="00FA279C"/>
    <w:rsid w:val="00FA333F"/>
    <w:rsid w:val="00FA3D25"/>
    <w:rsid w:val="00FA47B5"/>
    <w:rsid w:val="00FA63DB"/>
    <w:rsid w:val="00FA778B"/>
    <w:rsid w:val="00FB2048"/>
    <w:rsid w:val="00FB7FB1"/>
    <w:rsid w:val="00FC4D95"/>
    <w:rsid w:val="00FC6CEF"/>
    <w:rsid w:val="00FD2CD7"/>
    <w:rsid w:val="00FD5211"/>
    <w:rsid w:val="00FD7624"/>
    <w:rsid w:val="00FE41ED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8B977-81DB-42D1-816B-26DE1046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2410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4</cp:revision>
  <cp:lastPrinted>2020-05-20T07:35:00Z</cp:lastPrinted>
  <dcterms:created xsi:type="dcterms:W3CDTF">2020-10-19T10:45:00Z</dcterms:created>
  <dcterms:modified xsi:type="dcterms:W3CDTF">2020-10-21T08:17:00Z</dcterms:modified>
</cp:coreProperties>
</file>