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r w:rsidR="008865C0">
        <w:rPr>
          <w:rFonts w:ascii="Times New Roman" w:eastAsia="Times New Roman" w:hAnsi="Times New Roman" w:cs="Times New Roman"/>
          <w:sz w:val="24"/>
          <w:szCs w:val="24"/>
          <w:lang w:eastAsia="pl-PL"/>
        </w:rPr>
        <w:t>t.j.Dz.U. z 2021 r. poz. 1129</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CE4071" w:rsidRPr="00CE4071">
        <w:rPr>
          <w:rFonts w:ascii="Times New Roman" w:eastAsia="Times New Roman" w:hAnsi="Times New Roman" w:cs="Times New Roman"/>
          <w:b/>
          <w:sz w:val="24"/>
          <w:szCs w:val="24"/>
          <w:lang w:eastAsia="pl-PL"/>
        </w:rPr>
        <w:t>dla części ….. „………………….”</w:t>
      </w:r>
      <w:r w:rsidR="00CE4071">
        <w:rPr>
          <w:rFonts w:ascii="Times New Roman" w:eastAsia="Times New Roman" w:hAnsi="Times New Roman" w:cs="Times New Roman"/>
          <w:sz w:val="24"/>
          <w:szCs w:val="24"/>
          <w:lang w:eastAsia="pl-PL"/>
        </w:rPr>
        <w:t xml:space="preserve"> </w:t>
      </w:r>
      <w:r w:rsidR="00BD2F98">
        <w:rPr>
          <w:rFonts w:ascii="Times New Roman" w:eastAsia="Times New Roman" w:hAnsi="Times New Roman" w:cs="Times New Roman"/>
          <w:sz w:val="24"/>
          <w:szCs w:val="24"/>
          <w:lang w:eastAsia="pl-PL"/>
        </w:rPr>
        <w:t xml:space="preserve">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A862FF">
        <w:rPr>
          <w:rFonts w:ascii="Times New Roman" w:hAnsi="Times New Roman"/>
          <w:b/>
        </w:rPr>
        <w:t>Przebudowa dróg na terenie</w:t>
      </w:r>
      <w:r w:rsidR="008865C0">
        <w:rPr>
          <w:rFonts w:ascii="Times New Roman" w:hAnsi="Times New Roman"/>
          <w:b/>
        </w:rPr>
        <w:t xml:space="preserve"> </w:t>
      </w:r>
      <w:r w:rsidR="00A862FF">
        <w:rPr>
          <w:rFonts w:ascii="Times New Roman" w:hAnsi="Times New Roman"/>
          <w:b/>
        </w:rPr>
        <w:t>Gminy</w:t>
      </w:r>
      <w:r w:rsidR="008865C0">
        <w:rPr>
          <w:rFonts w:ascii="Times New Roman" w:hAnsi="Times New Roman"/>
          <w:b/>
        </w:rPr>
        <w:t xml:space="preserve"> Białobrzegi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opisującej część …. „……………………”,</w:t>
      </w:r>
      <w:r w:rsidR="00781868" w:rsidRPr="00DF11C3">
        <w:rPr>
          <w:rFonts w:ascii="Times New Roman" w:eastAsia="Times New Roman" w:hAnsi="Times New Roman" w:cs="Times New Roman"/>
          <w:sz w:val="24"/>
          <w:szCs w:val="24"/>
          <w:lang w:eastAsia="pl-PL"/>
        </w:rPr>
        <w:t xml:space="preserve">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bookmarkStart w:id="0" w:name="_GoBack"/>
      <w:r w:rsidR="000F4F7B" w:rsidRPr="008C67A2">
        <w:rPr>
          <w:rFonts w:ascii="Times New Roman" w:eastAsia="Times New Roman" w:hAnsi="Times New Roman" w:cs="Times New Roman"/>
          <w:b/>
          <w:sz w:val="24"/>
          <w:szCs w:val="24"/>
          <w:lang w:eastAsia="pl-PL"/>
        </w:rPr>
        <w:t xml:space="preserve">okresie </w:t>
      </w:r>
      <w:r w:rsidR="00A862FF" w:rsidRPr="008C67A2">
        <w:rPr>
          <w:rFonts w:ascii="Times New Roman" w:eastAsia="Times New Roman" w:hAnsi="Times New Roman" w:cs="Times New Roman"/>
          <w:b/>
          <w:sz w:val="24"/>
          <w:szCs w:val="24"/>
          <w:lang w:eastAsia="pl-PL"/>
        </w:rPr>
        <w:t>…..</w:t>
      </w:r>
      <w:r w:rsidR="000F4F7B" w:rsidRPr="008C67A2">
        <w:rPr>
          <w:rFonts w:ascii="Times New Roman" w:eastAsia="Times New Roman" w:hAnsi="Times New Roman" w:cs="Times New Roman"/>
          <w:b/>
          <w:sz w:val="24"/>
          <w:szCs w:val="24"/>
          <w:lang w:eastAsia="pl-PL"/>
        </w:rPr>
        <w:t xml:space="preserve"> </w:t>
      </w:r>
      <w:bookmarkEnd w:id="0"/>
      <w:r w:rsidR="008C67A2">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w:t>
      </w:r>
      <w:r w:rsidRPr="00382B5C">
        <w:rPr>
          <w:rFonts w:ascii="Times New Roman" w:eastAsia="Times New Roman" w:hAnsi="Times New Roman" w:cs="Times New Roman"/>
          <w:sz w:val="24"/>
          <w:szCs w:val="24"/>
          <w:lang w:eastAsia="pl-PL"/>
        </w:rPr>
        <w:lastRenderedPageBreak/>
        <w:t>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w:t>
      </w:r>
      <w:r w:rsidRPr="00382B5C">
        <w:rPr>
          <w:rFonts w:ascii="Times New Roman" w:eastAsia="Times New Roman" w:hAnsi="Times New Roman" w:cs="Times New Roman"/>
          <w:sz w:val="24"/>
          <w:szCs w:val="24"/>
          <w:lang w:eastAsia="pl-PL"/>
        </w:rPr>
        <w:lastRenderedPageBreak/>
        <w:t>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lastRenderedPageBreak/>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Wykonawca, Podwykonawca lub dalszy Podwykonawca przedłoży wraz z kopią umowy o podwykonawstwo odpis z Krajowego Rejestru Sądowego Podwykonawcy lub dalszego </w:t>
      </w:r>
      <w:r w:rsidRPr="00D94CA2">
        <w:rPr>
          <w:rFonts w:ascii="Times New Roman" w:eastAsia="Times New Roman" w:hAnsi="Times New Roman" w:cs="Times New Roman"/>
          <w:sz w:val="24"/>
          <w:szCs w:val="24"/>
          <w:lang w:eastAsia="pl-PL"/>
        </w:rPr>
        <w:lastRenderedPageBreak/>
        <w:t>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wymaga zatrudnienia przez Wykonawcę lub Podwykonawcę na podstawie umowy o pracę, osób wykonujących czynności w zakresie realizacji przedmiotu </w:t>
      </w:r>
      <w:r w:rsidRPr="00060B7F">
        <w:rPr>
          <w:rFonts w:ascii="Times New Roman" w:eastAsia="Times New Roman" w:hAnsi="Times New Roman" w:cs="Times New Roman"/>
          <w:sz w:val="24"/>
          <w:szCs w:val="24"/>
          <w:lang w:eastAsia="pl-PL"/>
        </w:rPr>
        <w:lastRenderedPageBreak/>
        <w:t>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Wykonawca nie przedstawił Zamawiającemu umowy z Podwykonawcą zgodnie z umową, zawarł umowę z Podwykonawcą z naruszeniem ustaleń, o których mowa w </w:t>
      </w:r>
      <w:r w:rsidRPr="00505B63">
        <w:rPr>
          <w:rFonts w:ascii="Times New Roman" w:eastAsia="Times New Roman" w:hAnsi="Times New Roman" w:cs="Times New Roman"/>
          <w:sz w:val="24"/>
          <w:szCs w:val="24"/>
          <w:lang w:eastAsia="pl-PL"/>
        </w:rPr>
        <w:lastRenderedPageBreak/>
        <w:t>§10,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Pzp,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w:t>
      </w:r>
      <w:r w:rsidRPr="00716ACE">
        <w:rPr>
          <w:rFonts w:ascii="Times New Roman" w:eastAsia="Times New Roman" w:hAnsi="Times New Roman" w:cs="Times New Roman"/>
        </w:rPr>
        <w:lastRenderedPageBreak/>
        <w:t>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istotnych lub nieistotnych odstą</w:t>
      </w:r>
      <w:r w:rsidRPr="00716ACE">
        <w:rPr>
          <w:rFonts w:ascii="Times New Roman" w:eastAsia="Times New Roman" w:hAnsi="Times New Roman" w:cs="Times New Roman"/>
        </w:rPr>
        <w:t>pień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lastRenderedPageBreak/>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8C67A2">
          <w:rPr>
            <w:noProof/>
          </w:rPr>
          <w:t>3</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D70A87">
      <w:rPr>
        <w:rFonts w:ascii="Times New Roman" w:eastAsiaTheme="majorEastAsia" w:hAnsi="Times New Roman" w:cs="Times New Roman"/>
      </w:rPr>
      <w:t>21</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30B88"/>
    <w:rsid w:val="00931ACB"/>
    <w:rsid w:val="009368F3"/>
    <w:rsid w:val="00955D82"/>
    <w:rsid w:val="00976DAF"/>
    <w:rsid w:val="00984E63"/>
    <w:rsid w:val="009C1CEC"/>
    <w:rsid w:val="009E3578"/>
    <w:rsid w:val="00A113C6"/>
    <w:rsid w:val="00A862FF"/>
    <w:rsid w:val="00AC3AC0"/>
    <w:rsid w:val="00AF4EDA"/>
    <w:rsid w:val="00B03B9C"/>
    <w:rsid w:val="00B86C40"/>
    <w:rsid w:val="00B95AD1"/>
    <w:rsid w:val="00BD2F98"/>
    <w:rsid w:val="00BF7FEF"/>
    <w:rsid w:val="00C468A3"/>
    <w:rsid w:val="00C723CA"/>
    <w:rsid w:val="00CA5E82"/>
    <w:rsid w:val="00CC1AB9"/>
    <w:rsid w:val="00CC2D44"/>
    <w:rsid w:val="00CE4071"/>
    <w:rsid w:val="00D0566D"/>
    <w:rsid w:val="00D54A5C"/>
    <w:rsid w:val="00D70A87"/>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B269387-B942-4C94-B43F-482446D7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ADD1-061B-4CE5-B73E-C497B80E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9452</Words>
  <Characters>56717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5</cp:revision>
  <dcterms:created xsi:type="dcterms:W3CDTF">2022-09-14T12:06:00Z</dcterms:created>
  <dcterms:modified xsi:type="dcterms:W3CDTF">2022-09-16T11:38:00Z</dcterms:modified>
</cp:coreProperties>
</file>