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80" w:firstLine="0"/>
        <w:jc w:val="both"/>
        <w:spacing w:after="0"/>
      </w:pPr>
      <w:r>
        <w:rPr>
          <w:rFonts w:ascii="Arial" w:hAnsi="Arial" w:cs="Arial"/>
          <w:b/>
          <w:bCs/>
          <w:sz w:val="24"/>
          <w:szCs w:val="24"/>
          <w:highlight w:val="none"/>
        </w:rPr>
        <w:t xml:space="preserve">Załącznik nr 1C</w:t>
      </w:r>
      <w:r>
        <w:rPr>
          <w:rFonts w:ascii="Arial" w:hAnsi="Arial" w:cs="Arial"/>
          <w:b/>
          <w:bCs/>
          <w:sz w:val="24"/>
          <w:szCs w:val="24"/>
          <w:highlight w:val="none"/>
        </w:rPr>
      </w:r>
      <w:r/>
    </w:p>
    <w:p>
      <w:pPr>
        <w:pStyle w:val="1_636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Parametry oceniane</w:t>
      </w:r>
      <w:r>
        <w:rPr>
          <w:rFonts w:ascii="Arial" w:hAnsi="Arial" w:cs="Arial"/>
          <w:sz w:val="28"/>
          <w:szCs w:val="28"/>
        </w:rPr>
      </w:r>
      <w:r/>
    </w:p>
    <w:p>
      <w:pPr>
        <w:jc w:val="both"/>
        <w:spacing w:after="0"/>
      </w:pPr>
      <w:r>
        <w:rPr>
          <w:rFonts w:ascii="Arial" w:hAnsi="Arial" w:cs="Arial"/>
          <w:sz w:val="20"/>
          <w:highlight w:val="none"/>
        </w:rPr>
      </w:r>
      <w:r>
        <w:rPr>
          <w:rFonts w:ascii="Arial" w:hAnsi="Arial" w:cs="Arial"/>
          <w:sz w:val="20"/>
          <w:szCs w:val="20"/>
          <w:highlight w:val="none"/>
        </w:rPr>
      </w:r>
      <w:r/>
    </w:p>
    <w:p>
      <w:pPr>
        <w:jc w:val="both"/>
        <w:spacing w:after="0"/>
      </w:pPr>
      <w:r>
        <w:rPr>
          <w:rFonts w:ascii="Arial" w:hAnsi="Arial" w:cs="Arial"/>
          <w:sz w:val="20"/>
          <w:highlight w:val="none"/>
        </w:rPr>
      </w:r>
      <w:r>
        <w:rPr>
          <w:rFonts w:ascii="Arial" w:hAnsi="Arial" w:cs="Arial"/>
          <w:sz w:val="20"/>
          <w:szCs w:val="20"/>
          <w:highlight w:val="none"/>
        </w:rPr>
      </w:r>
      <w:r/>
    </w:p>
    <w:p>
      <w:pPr>
        <w:jc w:val="both"/>
        <w:spacing w:after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Pakiet 1</w:t>
      </w:r>
      <w:r>
        <w:rPr>
          <w:rFonts w:ascii="Arial" w:hAnsi="Arial" w:cs="Arial"/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</w:p>
    <w:p>
      <w:pPr>
        <w:pStyle w:val="1_636"/>
      </w:pPr>
      <w:r>
        <w:rPr>
          <w:rFonts w:ascii="Arial" w:hAnsi="Arial" w:cs="Arial"/>
          <w:b w:val="0"/>
          <w:sz w:val="16"/>
          <w:szCs w:val="16"/>
        </w:rPr>
      </w:r>
      <w:r>
        <w:rPr>
          <w:rFonts w:ascii="Arial" w:hAnsi="Arial" w:cs="Arial"/>
          <w:b w:val="0"/>
          <w:sz w:val="16"/>
          <w:szCs w:val="16"/>
        </w:rPr>
      </w:r>
      <w:r/>
    </w:p>
    <w:p>
      <w:pPr>
        <w:pStyle w:val="1_636"/>
        <w:numPr>
          <w:ilvl w:val="0"/>
          <w:numId w:val="1"/>
        </w:numPr>
      </w:pPr>
      <w:r>
        <w:rPr>
          <w:rFonts w:ascii="Arial" w:hAnsi="Arial" w:cs="Arial"/>
          <w:sz w:val="22"/>
          <w:szCs w:val="26"/>
        </w:rPr>
        <w:t xml:space="preserve">CENA:  60%</w:t>
      </w:r>
      <w:r>
        <w:rPr>
          <w:rFonts w:ascii="Arial" w:hAnsi="Arial" w:cs="Arial"/>
          <w:sz w:val="22"/>
          <w:szCs w:val="26"/>
        </w:rPr>
      </w:r>
      <w:r/>
    </w:p>
    <w:p>
      <w:pPr>
        <w:pStyle w:val="1_636"/>
        <w:numPr>
          <w:ilvl w:val="0"/>
          <w:numId w:val="1"/>
        </w:numPr>
      </w:pPr>
      <w:r>
        <w:rPr>
          <w:rFonts w:ascii="Arial" w:hAnsi="Arial" w:cs="Arial"/>
          <w:sz w:val="22"/>
          <w:szCs w:val="26"/>
        </w:rPr>
        <w:t xml:space="preserve">JAKOŚĆ: 40%</w:t>
      </w:r>
      <w:r>
        <w:rPr>
          <w:rFonts w:ascii="Arial" w:hAnsi="Arial" w:cs="Arial"/>
          <w:sz w:val="22"/>
          <w:szCs w:val="26"/>
        </w:rPr>
      </w:r>
      <w:r/>
    </w:p>
    <w:p>
      <w:pPr>
        <w:pStyle w:val="1_636"/>
        <w:ind w:left="360"/>
      </w:pPr>
      <w:r>
        <w:rPr>
          <w:rFonts w:ascii="Arial" w:hAnsi="Arial" w:cs="Arial"/>
          <w:b w:val="0"/>
          <w:sz w:val="22"/>
          <w:szCs w:val="26"/>
        </w:rPr>
      </w:r>
      <w:r>
        <w:rPr>
          <w:rFonts w:ascii="Arial" w:hAnsi="Arial" w:cs="Arial"/>
          <w:b w:val="0"/>
          <w:sz w:val="22"/>
          <w:szCs w:val="26"/>
        </w:rPr>
      </w:r>
      <w:r/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698"/>
        <w:gridCol w:w="6259"/>
        <w:gridCol w:w="1133"/>
        <w:gridCol w:w="1132"/>
        <w:gridCol w:w="1234"/>
      </w:tblGrid>
      <w:tr>
        <w:trPr/>
        <w:tc>
          <w:tcPr>
            <w:tcW w:w="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Lp.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</w:r>
            <w:r/>
          </w:p>
        </w:tc>
        <w:tc>
          <w:tcPr>
            <w:tcW w:w="62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Parametr oceniany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Punkty – ilość możliwa do uzyskania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Punkty – ilość uzyskana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Wartość uzyskanych punktów w %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</w:r>
            <w:r/>
          </w:p>
        </w:tc>
      </w:tr>
      <w:tr>
        <w:trPr/>
        <w:tc>
          <w:tcPr>
            <w:tcW w:w="698" w:type="dxa"/>
            <w:vMerge w:val="restart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W w:w="6259" w:type="dxa"/>
            <w:textDirection w:val="lrTb"/>
            <w:noWrap w:val="false"/>
          </w:tcPr>
          <w:p>
            <w:r>
              <w:t xml:space="preserve">Możliwość wykonania pomia</w:t>
            </w:r>
            <w:r>
              <w:t xml:space="preserve">ru wszystkich parametrów w </w:t>
            </w:r>
            <w:r>
              <w:t xml:space="preserve">próbce o maksymalnej objętości </w:t>
            </w:r>
            <w:r>
              <w:t xml:space="preserve"> </w:t>
            </w:r>
            <w:r>
              <w:t xml:space="preserve">45 </w:t>
            </w:r>
            <w:r>
              <w:rPr>
                <w:rFonts w:cstheme="minorHAnsi"/>
              </w:rPr>
              <w:t xml:space="preserve">µ</w:t>
            </w:r>
            <w:r>
              <w:t xml:space="preserve">l</w:t>
            </w:r>
            <w:r/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tcW w:w="1132" w:type="dxa"/>
            <w:textDirection w:val="lrTb"/>
            <w:noWrap w:val="false"/>
          </w:tcPr>
          <w:p>
            <w:r/>
            <w:r/>
            <w:r/>
          </w:p>
        </w:tc>
        <w:tc>
          <w:tcPr>
            <w:tcW w:w="1234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698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6259" w:type="dxa"/>
            <w:textDirection w:val="lrTb"/>
            <w:noWrap w:val="false"/>
          </w:tcPr>
          <w:p>
            <w:r>
              <w:t xml:space="preserve">Brak możliwości wykonania pomia</w:t>
            </w:r>
            <w:r>
              <w:t xml:space="preserve">ru wszystkich parametrów w </w:t>
            </w:r>
            <w:r>
              <w:t xml:space="preserve">próbce o maksymalnej objętości</w:t>
            </w:r>
            <w:r>
              <w:t xml:space="preserve"> </w:t>
            </w:r>
            <w:r>
              <w:t xml:space="preserve"> 45 </w:t>
            </w:r>
            <w:r>
              <w:rPr>
                <w:rFonts w:cstheme="minorHAnsi"/>
              </w:rPr>
              <w:t xml:space="preserve">µ</w:t>
            </w:r>
            <w:r>
              <w:t xml:space="preserve">l</w:t>
            </w:r>
            <w:r/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  <w:r/>
          </w:p>
        </w:tc>
        <w:tc>
          <w:tcPr>
            <w:tcW w:w="1132" w:type="dxa"/>
            <w:textDirection w:val="lrTb"/>
            <w:noWrap w:val="false"/>
          </w:tcPr>
          <w:p>
            <w:r/>
            <w:r/>
            <w:r/>
          </w:p>
        </w:tc>
        <w:tc>
          <w:tcPr>
            <w:tcW w:w="1234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698" w:type="dxa"/>
            <w:vMerge w:val="restart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  <w:tc>
          <w:tcPr>
            <w:tcW w:w="6259" w:type="dxa"/>
            <w:textDirection w:val="lrTb"/>
            <w:noWrap w:val="false"/>
          </w:tcPr>
          <w:p>
            <w:r>
              <w:t xml:space="preserve">Możliwość </w:t>
            </w:r>
            <w:r>
              <w:t xml:space="preserve">przeniesienia odczynników/materiałów zużywalnych do analizatora backup</w:t>
            </w:r>
            <w:r>
              <w:t xml:space="preserve">, w każdym momencie,</w:t>
            </w:r>
            <w:r>
              <w:t xml:space="preserve"> bez utraty pozostałych w nich testów</w:t>
            </w:r>
            <w:r/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tcW w:w="1132" w:type="dxa"/>
            <w:textDirection w:val="lrTb"/>
            <w:noWrap w:val="false"/>
          </w:tcPr>
          <w:p>
            <w:r/>
            <w:r/>
            <w:r/>
          </w:p>
        </w:tc>
        <w:tc>
          <w:tcPr>
            <w:tcW w:w="1234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698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6259" w:type="dxa"/>
            <w:textDirection w:val="lrTb"/>
            <w:noWrap w:val="false"/>
          </w:tcPr>
          <w:p>
            <w:r>
              <w:t xml:space="preserve">Brak możliwości </w:t>
            </w:r>
            <w:r>
              <w:t xml:space="preserve">przeniesienia odczynników/materiałów zużywalnych do analizatora backup</w:t>
            </w:r>
            <w:r>
              <w:t xml:space="preserve">, w każdym momencie, </w:t>
            </w:r>
            <w:r>
              <w:t xml:space="preserve">bez utraty pozostałych w nich testów</w:t>
            </w:r>
            <w:r/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  <w:r/>
          </w:p>
        </w:tc>
        <w:tc>
          <w:tcPr>
            <w:tcW w:w="1132" w:type="dxa"/>
            <w:textDirection w:val="lrTb"/>
            <w:noWrap w:val="false"/>
          </w:tcPr>
          <w:p>
            <w:r/>
            <w:r/>
            <w:r/>
          </w:p>
        </w:tc>
        <w:tc>
          <w:tcPr>
            <w:tcW w:w="1234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698" w:type="dxa"/>
            <w:vMerge w:val="restart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W w:w="6259" w:type="dxa"/>
            <w:textDirection w:val="lrTb"/>
            <w:noWrap w:val="false"/>
          </w:tcPr>
          <w:p>
            <w:r>
              <w:t xml:space="preserve">Czas </w:t>
            </w:r>
            <w:r>
              <w:t xml:space="preserve">od rozpoczęcia procedury pomiarowej do momentu jej zakończenia wynikiem umożliwiającego podanie kolejnej próbki nie dłuższy niż 60 sekund</w:t>
            </w:r>
            <w:r/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tcW w:w="1132" w:type="dxa"/>
            <w:textDirection w:val="lrTb"/>
            <w:noWrap w:val="false"/>
          </w:tcPr>
          <w:p>
            <w:r/>
            <w:r/>
            <w:r/>
          </w:p>
        </w:tc>
        <w:tc>
          <w:tcPr>
            <w:tcW w:w="1234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698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6259" w:type="dxa"/>
            <w:textDirection w:val="lrTb"/>
            <w:noWrap w:val="false"/>
          </w:tcPr>
          <w:p>
            <w:r>
              <w:t xml:space="preserve">Czas </w:t>
            </w:r>
            <w:r>
              <w:t xml:space="preserve">od rozpoczęcia procedury pomiarowej do momentu jej zakończenia wynikiem umożliwiającego podanie kolejnej próbki</w:t>
            </w:r>
            <w:r>
              <w:t xml:space="preserve"> powyżej 6</w:t>
            </w:r>
            <w:r>
              <w:t xml:space="preserve">0 sekund</w:t>
            </w:r>
            <w:r/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  <w:r/>
          </w:p>
        </w:tc>
        <w:tc>
          <w:tcPr>
            <w:tcW w:w="1132" w:type="dxa"/>
            <w:textDirection w:val="lrTb"/>
            <w:noWrap w:val="false"/>
          </w:tcPr>
          <w:p>
            <w:r/>
            <w:r/>
            <w:r/>
          </w:p>
        </w:tc>
        <w:tc>
          <w:tcPr>
            <w:tcW w:w="1234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698" w:type="dxa"/>
            <w:vMerge w:val="restart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  <w:tc>
          <w:tcPr>
            <w:tcW w:w="6259" w:type="dxa"/>
            <w:textDirection w:val="lrTb"/>
            <w:noWrap w:val="false"/>
          </w:tcPr>
          <w:p>
            <w:r>
              <w:t xml:space="preserve">Oddzielna kaseta sensorowa z możliwością manualnego wypłukiwania skrzepów</w:t>
            </w:r>
            <w:r/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tcW w:w="1132" w:type="dxa"/>
            <w:textDirection w:val="lrTb"/>
            <w:noWrap w:val="false"/>
          </w:tcPr>
          <w:p>
            <w:r/>
            <w:r/>
            <w:r/>
          </w:p>
        </w:tc>
        <w:tc>
          <w:tcPr>
            <w:tcW w:w="1234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698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6259" w:type="dxa"/>
            <w:textDirection w:val="lrTb"/>
            <w:noWrap w:val="false"/>
          </w:tcPr>
          <w:p>
            <w:r>
              <w:t xml:space="preserve">Brak oddzielnej kasety sensorowej z opcją manualnego wypłukiwania skrzepów </w:t>
            </w:r>
            <w:r/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  <w:r/>
          </w:p>
        </w:tc>
        <w:tc>
          <w:tcPr>
            <w:tcW w:w="1132" w:type="dxa"/>
            <w:textDirection w:val="lrTb"/>
            <w:noWrap w:val="false"/>
          </w:tcPr>
          <w:p>
            <w:r/>
            <w:r/>
            <w:r/>
          </w:p>
        </w:tc>
        <w:tc>
          <w:tcPr>
            <w:tcW w:w="1234" w:type="dxa"/>
            <w:textDirection w:val="lrTb"/>
            <w:noWrap w:val="false"/>
          </w:tcPr>
          <w:p>
            <w:r/>
            <w:r/>
            <w:r/>
          </w:p>
        </w:tc>
      </w:tr>
    </w:tbl>
    <w:p>
      <w:pPr>
        <w:rPr>
          <w:rFonts w:ascii="Arial" w:hAnsi="Arial" w:cs="Arial"/>
          <w:b w:val="0"/>
          <w:bCs w:val="0"/>
          <w:sz w:val="22"/>
          <w:szCs w:val="22"/>
          <w:highlight w:val="none"/>
        </w:rPr>
      </w:pPr>
      <w:r/>
      <w:r/>
      <w:r/>
    </w:p>
    <w:p>
      <w:r/>
      <w:r/>
    </w:p>
    <w:p>
      <w:r/>
      <w:r/>
    </w:p>
    <w:p>
      <w:pPr>
        <w:ind w:left="426"/>
        <w:jc w:val="both"/>
        <w:spacing w:after="0" w:line="240" w:lineRule="auto"/>
      </w:pPr>
      <w:r>
        <w:rPr>
          <w:rFonts w:ascii="Calibri" w:hAnsi="Calibri"/>
          <w:sz w:val="20"/>
          <w:szCs w:val="20"/>
        </w:rPr>
        <w:t xml:space="preserve">…………………………., ……………………………..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………………………………………………………………………</w:t>
      </w:r>
      <w:r>
        <w:rPr>
          <w:rFonts w:ascii="Calibri" w:hAnsi="Calibri"/>
          <w:sz w:val="20"/>
          <w:szCs w:val="20"/>
          <w:highlight w:val="none"/>
        </w:rPr>
      </w:r>
      <w:r/>
    </w:p>
    <w:p>
      <w:pPr>
        <w:ind w:left="426"/>
        <w:jc w:val="both"/>
        <w:spacing w:after="0" w:line="240" w:lineRule="auto"/>
      </w:pPr>
      <w:r>
        <w:rPr>
          <w:rFonts w:ascii="Calibri" w:hAnsi="Calibri"/>
          <w:sz w:val="20"/>
          <w:szCs w:val="20"/>
        </w:rPr>
        <w:t xml:space="preserve">(</w:t>
      </w:r>
      <w:r>
        <w:rPr>
          <w:rFonts w:ascii="Calibri" w:hAnsi="Calibri"/>
          <w:sz w:val="20"/>
          <w:szCs w:val="20"/>
        </w:rPr>
        <w:t xml:space="preserve">miejscowość)                  (Data</w:t>
      </w:r>
      <w:r>
        <w:rPr>
          <w:rFonts w:ascii="Calibri" w:hAnsi="Calibri"/>
          <w:sz w:val="20"/>
          <w:szCs w:val="20"/>
        </w:rPr>
        <w:t xml:space="preserve">)               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(Imię i nazwisko oraz podpis osoby/ osób wpisanych </w:t>
        <w:tab/>
        <w:tab/>
        <w:tab/>
        <w:tab/>
        <w:tab/>
        <w:tab/>
        <w:tab/>
        <w:t xml:space="preserve">w rejestrach , </w:t>
      </w:r>
      <w:r>
        <w:rPr>
          <w:rFonts w:ascii="Calibri" w:hAnsi="Calibri"/>
          <w:sz w:val="20"/>
          <w:szCs w:val="20"/>
        </w:rPr>
        <w:t xml:space="preserve">uprawnionych do </w:t>
      </w:r>
      <w:r>
        <w:rPr>
          <w:rFonts w:ascii="Calibri" w:hAnsi="Calibri"/>
          <w:sz w:val="20"/>
          <w:szCs w:val="20"/>
        </w:rPr>
        <w:t xml:space="preserve">zaciągania</w:t>
      </w:r>
      <w:r>
        <w:rPr>
          <w:rFonts w:ascii="Calibri" w:hAnsi="Calibri"/>
          <w:sz w:val="20"/>
          <w:szCs w:val="20"/>
        </w:rPr>
        <w:t xml:space="preserve"> zobowiązań </w:t>
        <w:tab/>
        <w:tab/>
        <w:tab/>
        <w:tab/>
        <w:tab/>
        <w:tab/>
        <w:tab/>
        <w:tab/>
        <w:tab/>
        <w:t xml:space="preserve">w imieniu oferenta)</w:t>
      </w:r>
      <w:r>
        <w:rPr>
          <w:rFonts w:ascii="Calibri" w:hAnsi="Calibri"/>
          <w:sz w:val="20"/>
          <w:szCs w:val="20"/>
        </w:rPr>
      </w:r>
      <w:r/>
    </w:p>
    <w:p>
      <w:pPr>
        <w:rPr>
          <w:rFonts w:ascii="Calibri" w:hAnsi="Calibri" w:cs="Arial"/>
          <w:bCs/>
          <w:sz w:val="20"/>
          <w:szCs w:val="20"/>
          <w:highlight w:val="none"/>
        </w:rPr>
      </w:pP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basedOn w:val="601"/>
    <w:uiPriority w:val="1"/>
    <w:qFormat/>
    <w:pPr>
      <w:spacing w:after="0" w:line="240" w:lineRule="auto"/>
    </w:pPr>
  </w:style>
  <w:style w:type="paragraph" w:styleId="605">
    <w:name w:val="List Paragraph"/>
    <w:basedOn w:val="601"/>
    <w:uiPriority w:val="34"/>
    <w:qFormat/>
    <w:pPr>
      <w:contextualSpacing/>
      <w:ind w:left="720"/>
    </w:pPr>
  </w:style>
  <w:style w:type="character" w:styleId="610" w:default="1">
    <w:name w:val="Default Paragraph Font"/>
    <w:uiPriority w:val="1"/>
    <w:semiHidden/>
    <w:unhideWhenUsed/>
  </w:style>
  <w:style w:type="paragraph" w:styleId="1_636" w:customStyle="1">
    <w:name w:val="Body Text"/>
    <w:basedOn w:val="603"/>
    <w:link w:val="60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pl-PL" w:eastAsia="pl-PL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2023-04-11T12:27:38Z</dcterms:modified>
</cp:coreProperties>
</file>