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2B0855A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184B4FE7" w:rsidR="00414CAE" w:rsidRPr="0083108D" w:rsidRDefault="004A55ED" w:rsidP="0083108D">
      <w:pPr>
        <w:spacing w:before="240" w:after="240" w:line="360" w:lineRule="auto"/>
        <w:rPr>
          <w:rFonts w:ascii="Arial" w:hAnsi="Arial" w:cs="Arial"/>
          <w:b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3D32B4">
        <w:rPr>
          <w:rFonts w:ascii="Arial" w:hAnsi="Arial" w:cs="Arial"/>
          <w:b/>
          <w:bCs/>
        </w:rPr>
        <w:t>9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483AF7">
        <w:rPr>
          <w:rFonts w:ascii="Arial" w:hAnsi="Arial" w:cs="Arial"/>
          <w:b/>
        </w:rPr>
        <w:t>s</w:t>
      </w:r>
      <w:r w:rsidR="0083108D" w:rsidRPr="0083108D">
        <w:rPr>
          <w:rFonts w:ascii="Arial" w:hAnsi="Arial" w:cs="Arial"/>
          <w:b/>
        </w:rPr>
        <w:t>ystem</w:t>
      </w:r>
      <w:r w:rsidR="0083108D">
        <w:rPr>
          <w:rFonts w:ascii="Arial" w:hAnsi="Arial" w:cs="Arial"/>
          <w:b/>
        </w:rPr>
        <w:t>u</w:t>
      </w:r>
      <w:r w:rsidR="0083108D" w:rsidRPr="0083108D">
        <w:rPr>
          <w:rFonts w:ascii="Arial" w:hAnsi="Arial" w:cs="Arial"/>
          <w:b/>
        </w:rPr>
        <w:t xml:space="preserve"> do oznaczania błonnika</w:t>
      </w:r>
      <w:r w:rsidR="0083108D">
        <w:rPr>
          <w:rFonts w:ascii="Arial" w:hAnsi="Arial" w:cs="Arial"/>
          <w:b/>
        </w:rPr>
        <w:t xml:space="preserve"> </w:t>
      </w:r>
      <w:r w:rsidR="0083108D" w:rsidRPr="0083108D">
        <w:rPr>
          <w:rFonts w:ascii="Arial" w:hAnsi="Arial" w:cs="Arial"/>
          <w:b/>
        </w:rPr>
        <w:t>pokarmowego</w:t>
      </w:r>
      <w:r w:rsidR="0083108D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 xml:space="preserve">(liczba </w:t>
      </w:r>
      <w:r w:rsidR="0083108D">
        <w:rPr>
          <w:rFonts w:ascii="Arial" w:hAnsi="Arial" w:cs="Arial"/>
        </w:rPr>
        <w:br/>
      </w:r>
      <w:r w:rsidR="00414CAE" w:rsidRPr="007D00C6">
        <w:rPr>
          <w:rFonts w:ascii="Arial" w:hAnsi="Arial" w:cs="Arial"/>
        </w:rPr>
        <w:t>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83108D" w:rsidRPr="0083108D">
        <w:rPr>
          <w:rFonts w:ascii="Arial" w:hAnsi="Arial" w:cs="Arial"/>
        </w:rPr>
        <w:t>Al. Mar. J. Piłsudskiego 8/12, 81-378 Gdynia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4D83714D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83108D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I do SWZ Formularz warunków technicznych. Formularz dotyczy dostawy systemu do oznaczania błonnika pokarmowego (liczba &#10;szt.: 1 szt.)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BA3B94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BA3B94" w:rsidRPr="004A55ED" w:rsidRDefault="00BA3B94" w:rsidP="00BA3B9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F5C554" w14:textId="5625BB30" w:rsidR="00464B8E" w:rsidRPr="00834D90" w:rsidRDefault="00BA3B94" w:rsidP="00464B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System do oznaczania błonnika pokarmowego </w:t>
            </w:r>
            <w:r w:rsidR="007B7630" w:rsidRPr="00834D90">
              <w:rPr>
                <w:rFonts w:ascii="Arial" w:hAnsi="Arial" w:cs="Arial"/>
                <w:sz w:val="20"/>
                <w:szCs w:val="20"/>
              </w:rPr>
              <w:t xml:space="preserve">(całkowitego, rozpuszczalnego i nierozpuszczalnego) </w:t>
            </w:r>
            <w:r w:rsidR="00DB6496" w:rsidRPr="00834D90">
              <w:rPr>
                <w:rFonts w:ascii="Arial" w:hAnsi="Arial" w:cs="Arial"/>
                <w:sz w:val="20"/>
                <w:szCs w:val="20"/>
              </w:rPr>
              <w:t xml:space="preserve">zawierający </w:t>
            </w:r>
            <w:r w:rsidRPr="00834D90">
              <w:rPr>
                <w:rFonts w:ascii="Arial" w:hAnsi="Arial" w:cs="Arial"/>
                <w:sz w:val="20"/>
                <w:szCs w:val="20"/>
              </w:rPr>
              <w:t>moduł filtracyjny</w:t>
            </w:r>
            <w:r w:rsidR="00464B8E" w:rsidRPr="00834D90">
              <w:rPr>
                <w:rFonts w:ascii="Arial" w:hAnsi="Arial" w:cs="Arial"/>
                <w:sz w:val="20"/>
                <w:szCs w:val="20"/>
              </w:rPr>
              <w:t xml:space="preserve">, z funkcją inkubacji oraz filtracji, </w:t>
            </w:r>
          </w:p>
          <w:p w14:paraId="443C7D97" w14:textId="4F31DCA9" w:rsidR="00BA3B94" w:rsidRPr="00834D90" w:rsidRDefault="00464B8E" w:rsidP="00BA3B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do ilościowej oceny zawartości błonnika pokarmowego w żywności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69227A62" w:rsidR="00BA3B94" w:rsidRPr="00834D90" w:rsidRDefault="00BA3B94" w:rsidP="00BA3B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32EB" w14:textId="009CB1F7" w:rsidR="00BA3B94" w:rsidRPr="002336E1" w:rsidRDefault="00BA3B94" w:rsidP="00BA3B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336E1">
              <w:object w:dxaOrig="1440" w:dyaOrig="1440" w14:anchorId="6ABDED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221" w:shapeid="_x0000_i1069"/>
              </w:object>
            </w:r>
          </w:p>
          <w:p w14:paraId="37AF0F34" w14:textId="29C8695D" w:rsidR="00BA3B94" w:rsidRPr="002336E1" w:rsidRDefault="00BA3B94" w:rsidP="00BA3B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336E1">
              <w:object w:dxaOrig="1440" w:dyaOrig="1440" w14:anchorId="1355B02C">
                <v:shape id="_x0000_i1071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221" w:shapeid="_x0000_i1071"/>
              </w:object>
            </w:r>
          </w:p>
        </w:tc>
      </w:tr>
      <w:tr w:rsidR="003B3775" w:rsidRPr="007D00C6" w14:paraId="2BBD698D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B1FF" w14:textId="77777777" w:rsidR="003B3775" w:rsidRPr="004A55ED" w:rsidRDefault="003B3775" w:rsidP="003B37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FC674B" w14:textId="61B5C10E" w:rsidR="003B3775" w:rsidRPr="00834D90" w:rsidRDefault="003B3775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Wydajność filtracji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3720E" w14:textId="7C91F8C6" w:rsidR="003B3775" w:rsidRPr="00834D90" w:rsidRDefault="003B3775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równoczesna filtracja 6 próbek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E6D4" w14:textId="5BEA096B" w:rsidR="003B3775" w:rsidRDefault="003B3775" w:rsidP="003B37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B8045C6">
                <v:shape id="_x0000_i1073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411" w:shapeid="_x0000_i1073"/>
              </w:object>
            </w:r>
          </w:p>
          <w:p w14:paraId="3F0B3357" w14:textId="4CEB1145" w:rsidR="003B3775" w:rsidRPr="00F52BAA" w:rsidRDefault="003B3775" w:rsidP="003B37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23018C95">
                <v:shape id="_x0000_i1075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411" w:shapeid="_x0000_i1075"/>
              </w:object>
            </w:r>
          </w:p>
        </w:tc>
      </w:tr>
      <w:tr w:rsidR="00137917" w:rsidRPr="007D00C6" w14:paraId="37B30334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E340" w14:textId="77777777" w:rsidR="00137917" w:rsidRPr="004A55ED" w:rsidRDefault="00137917" w:rsidP="003B37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61BB6F" w14:textId="4ABA8FF1" w:rsidR="00137917" w:rsidRPr="00834D90" w:rsidRDefault="00137917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Szybkość filtracji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237B" w14:textId="77777777" w:rsidR="007A7FFC" w:rsidRPr="00834D90" w:rsidRDefault="00137917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nie gorsza niż</w:t>
            </w:r>
            <w:r w:rsidR="007A7FFC" w:rsidRPr="00834D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60591A" w14:textId="20A53D9A" w:rsidR="00137917" w:rsidRPr="00834D90" w:rsidRDefault="00137917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100 ml roztworu po reakcji enzymatycznej / 2 - 4 min (w zależności od typu próbki)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F97E" w14:textId="5581D2B7" w:rsidR="00137917" w:rsidRDefault="00156E43" w:rsidP="0013791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- szybkość filtracj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0473B19" w14:textId="6A72576C" w:rsidR="00137917" w:rsidRDefault="00137917" w:rsidP="0013791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A7FFC" w:rsidRPr="007D00C6" w14:paraId="07679F92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25B" w14:textId="77777777" w:rsidR="007A7FFC" w:rsidRPr="004A55ED" w:rsidRDefault="007A7FFC" w:rsidP="003B37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2F3193" w14:textId="318BA930" w:rsidR="007A7FFC" w:rsidRPr="00834D90" w:rsidRDefault="007A7FFC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Powtarzalność</w:t>
            </w:r>
            <w:r w:rsidR="007201CE" w:rsidRPr="00834D90">
              <w:rPr>
                <w:rFonts w:ascii="Arial" w:hAnsi="Arial" w:cs="Arial"/>
                <w:sz w:val="20"/>
                <w:szCs w:val="20"/>
              </w:rPr>
              <w:t xml:space="preserve"> wyników (odchylenie standardowe)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D068" w14:textId="2B35787C" w:rsidR="007A7FFC" w:rsidRPr="00834D90" w:rsidRDefault="007A7FFC" w:rsidP="003B37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&lt; 0,5%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77B" w14:textId="7CFBB214" w:rsidR="007A7FFC" w:rsidRDefault="00156E43" w:rsidP="007A7F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- powtarzalność wyników (odchylenie standardowe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81174D" w14:textId="28D1A50F" w:rsidR="007A7FFC" w:rsidRDefault="007A7FFC" w:rsidP="007A7F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73DA3" w:rsidRPr="007D00C6" w14:paraId="3AB55869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AC62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6320A4" w14:textId="28272384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Łaźnia wodna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02C6" w14:textId="008A5187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umożliwia inkubację równocześnie 12 próbek w partii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7E64" w14:textId="718898EA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DE6E64">
                <v:shape id="_x0000_i1077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41111" w:shapeid="_x0000_i1077"/>
              </w:object>
            </w:r>
          </w:p>
          <w:p w14:paraId="25BF65E9" w14:textId="26EC1088" w:rsidR="00F73DA3" w:rsidRDefault="00F73DA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233DCCB2">
                <v:shape id="_x0000_i1079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41111" w:shapeid="_x0000_i1079"/>
              </w:object>
            </w:r>
          </w:p>
        </w:tc>
      </w:tr>
      <w:tr w:rsidR="00F73DA3" w:rsidRPr="007D00C6" w14:paraId="2B1E19A7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D87F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575E79" w14:textId="01531226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Zakres temperatur pracy łaźni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DB99" w14:textId="19A98285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nie gorszy niż: </w:t>
            </w:r>
          </w:p>
          <w:p w14:paraId="30D015BC" w14:textId="369CCF0C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od temperatury pokojowej do 80°C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7C23" w14:textId="5CF488DD" w:rsidR="00F73DA3" w:rsidRDefault="00156E4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pracy łaźni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DE959A" w14:textId="3F9105FC" w:rsidR="00F73DA3" w:rsidRDefault="00F73DA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73DA3" w:rsidRPr="007D00C6" w14:paraId="3A599894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5E70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CECC59" w14:textId="23414873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Dokładność pomiaru temperatury w łaźni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679B" w14:textId="1700EB61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nie gorsza niż: </w:t>
            </w:r>
          </w:p>
          <w:p w14:paraId="28824E1F" w14:textId="580280B1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± 0,1°C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E8B1" w14:textId="15B4B2B3" w:rsidR="00F73DA3" w:rsidRDefault="00156E4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temperatury w łaźni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9FBC24C" w14:textId="15D4A7B1" w:rsidR="00F73DA3" w:rsidRDefault="00F73DA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73DA3" w:rsidRPr="007D00C6" w14:paraId="63732F9B" w14:textId="77777777" w:rsidTr="00711BE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C439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597BA" w14:textId="1C4875A3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Częstotliwość wytrząsania w łaźni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2F69" w14:textId="1952B185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 xml:space="preserve">nie gorsza niż: </w:t>
            </w:r>
          </w:p>
          <w:p w14:paraId="317A65F4" w14:textId="1C627250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0-150 ruchów/ min.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01BF" w14:textId="478BA79A" w:rsidR="00F73DA3" w:rsidRDefault="00156E4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wytrząsania w łaźni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FA62200" w14:textId="68B5CC8F" w:rsidR="00F73DA3" w:rsidRDefault="00F73DA3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73DA3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373D5A9E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Wykonywanie analizy oznaczania zawartości błonnika całkowitego w sposób zgodny z  uznanymi metodami enzymatycznymi, w tym metodami zatwierdzonymi przez AOAC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338EA44A" w:rsidR="00F73DA3" w:rsidRPr="00763956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63956">
              <w:object w:dxaOrig="1440" w:dyaOrig="1440" w14:anchorId="1157CCED">
                <v:shape id="_x0000_i1081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22" w:shapeid="_x0000_i1081"/>
              </w:object>
            </w:r>
          </w:p>
          <w:p w14:paraId="7F7DC8A9" w14:textId="0EF73F86" w:rsidR="00F73DA3" w:rsidRPr="00763956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63956">
              <w:object w:dxaOrig="1440" w:dyaOrig="1440" w14:anchorId="705D6CF9">
                <v:shape id="_x0000_i1083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22" w:shapeid="_x0000_i1083"/>
              </w:object>
            </w:r>
          </w:p>
        </w:tc>
      </w:tr>
      <w:tr w:rsidR="00F73DA3" w:rsidRPr="007D00C6" w14:paraId="68E1088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4A77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EB6490" w14:textId="4AF818DC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Możliwość pracy z tyglami P3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DBE09" w14:textId="50FDED1E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EED8" w14:textId="2D1FB16D" w:rsidR="00F73DA3" w:rsidRPr="00763956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63956">
              <w:object w:dxaOrig="1440" w:dyaOrig="1440" w14:anchorId="387E8538">
                <v:shape id="_x0000_i1085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222" w:shapeid="_x0000_i1085"/>
              </w:object>
            </w:r>
          </w:p>
          <w:p w14:paraId="59F00AF4" w14:textId="2535FA60" w:rsidR="00F73DA3" w:rsidRPr="00763956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63956">
              <w:object w:dxaOrig="1440" w:dyaOrig="1440" w14:anchorId="68C98FB5">
                <v:shape id="_x0000_i1087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222" w:shapeid="_x0000_i1087"/>
              </w:object>
            </w:r>
          </w:p>
        </w:tc>
      </w:tr>
      <w:tr w:rsidR="00F73DA3" w:rsidRPr="007D00C6" w14:paraId="3AEF37DF" w14:textId="77777777" w:rsidTr="00EE557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2DA012" w14:textId="16E539A5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 zestawie z aparatem znajduje się co najmniej:</w:t>
            </w:r>
          </w:p>
          <w:p w14:paraId="7247E0E9" w14:textId="72E13F69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24 szt. – kolb inkubacyjnych;</w:t>
            </w:r>
          </w:p>
          <w:p w14:paraId="4A8C3471" w14:textId="464AA27E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12 szt. – tygli P2;</w:t>
            </w:r>
          </w:p>
          <w:p w14:paraId="7FC4BF2B" w14:textId="3848A5A6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1 szt. - stojak na 6 tygli;</w:t>
            </w:r>
          </w:p>
          <w:p w14:paraId="71CE3E1B" w14:textId="462A3BBF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1 szt. - kosz na 12 kolb inkubacyjnych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2622BC49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1CF80B6">
                <v:shape id="_x0000_i1089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3" w:shapeid="_x0000_i1089"/>
              </w:object>
            </w:r>
          </w:p>
          <w:p w14:paraId="55E12FAF" w14:textId="1E009E0D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8997B8">
                <v:shape id="_x0000_i1091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3" w:shapeid="_x0000_i1091"/>
              </w:object>
            </w:r>
          </w:p>
        </w:tc>
      </w:tr>
      <w:tr w:rsidR="00F73DA3" w:rsidRPr="007D00C6" w14:paraId="414CB1E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0E26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9E8C38" w14:textId="35FE1610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Zasilenie aparatu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ED99" w14:textId="1D4A889B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210-230 V, 50-60 </w:t>
            </w:r>
            <w:proofErr w:type="spellStart"/>
            <w:r w:rsidRPr="00834D90">
              <w:rPr>
                <w:rFonts w:ascii="Arial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BBA9" w14:textId="76F631D8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58DB548">
                <v:shape id="_x0000_i1093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31" w:shapeid="_x0000_i1093"/>
              </w:object>
            </w:r>
          </w:p>
          <w:p w14:paraId="6A28FBB1" w14:textId="58946E3E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8706560">
                <v:shape id="_x0000_i1095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31" w:shapeid="_x0000_i1095"/>
              </w:object>
            </w:r>
          </w:p>
        </w:tc>
      </w:tr>
      <w:tr w:rsidR="00F73DA3" w:rsidRPr="007D00C6" w14:paraId="02A48F20" w14:textId="77777777" w:rsidTr="00763956">
        <w:trPr>
          <w:trHeight w:val="8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6182CBD4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Dostawa, wniesienie, pierwsze uruchomienie i przeszkolenie personelu w zakresie obsługi sprzętu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71D27382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17C1" w14:textId="72C99B7D" w:rsidR="00483AF7" w:rsidRPr="00763956" w:rsidRDefault="00483AF7" w:rsidP="00483AF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63956">
              <w:object w:dxaOrig="1440" w:dyaOrig="1440" w14:anchorId="5450FF11">
                <v:shape id="_x0000_i1137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223" w:shapeid="_x0000_i1137"/>
              </w:object>
            </w:r>
          </w:p>
          <w:p w14:paraId="17F73B24" w14:textId="25D4EA4B" w:rsidR="00F73DA3" w:rsidRPr="00763956" w:rsidRDefault="00483AF7" w:rsidP="00483AF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63956">
              <w:object w:dxaOrig="1440" w:dyaOrig="1440" w14:anchorId="42560498">
                <v:shape id="_x0000_i1136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223" w:shapeid="_x0000_i1136"/>
              </w:object>
            </w:r>
          </w:p>
        </w:tc>
      </w:tr>
      <w:tr w:rsidR="00F73DA3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F73DA3" w:rsidRPr="00834D90" w:rsidRDefault="00F73DA3" w:rsidP="00F73D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245A0DE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01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40" w:name="TAK142" w:shapeid="_x0000_i1101"/>
              </w:object>
            </w:r>
          </w:p>
          <w:p w14:paraId="51F8CFE4" w14:textId="3C08D8A1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03" type="#_x0000_t75" alt="Wykonawca zaznacza NIE jeżeli zaoferowany sprzęt nie spełnia wymagań określonych w kolumnie nr 2 i 3" style="width:108.3pt;height:17.85pt" o:ole="">
                  <v:imagedata r:id="rId41" o:title=""/>
                </v:shape>
                <w:control r:id="rId42" w:name="CheckBox1142" w:shapeid="_x0000_i1103"/>
              </w:object>
            </w:r>
          </w:p>
        </w:tc>
      </w:tr>
      <w:tr w:rsidR="00F73DA3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E3ACD7B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Instrukcja obsługi w języku polskim,  wydrukowana, dostarczona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15EAFE63" w:rsidR="00F73DA3" w:rsidRPr="00834D90" w:rsidRDefault="00F73DA3" w:rsidP="00F73D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38E5CE42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105" type="#_x0000_t75" alt="Wykonawca zaznacza TAK jeżeli zaoferowany sprzęt spełnia wymaganie określone w kolumnie nr 2 i 3" style="width:47.25pt;height:17.85pt" o:ole="">
                  <v:imagedata r:id="rId43" o:title=""/>
                </v:shape>
                <w:control r:id="rId44" w:name="TAK141" w:shapeid="_x0000_i1105"/>
              </w:object>
            </w:r>
          </w:p>
          <w:p w14:paraId="7942A396" w14:textId="465395B1" w:rsidR="00F73DA3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107" type="#_x0000_t75" alt="Wykonawca zaznacza NIE jeżeli zaoferowany sprzęt nie spełnia wymagań określonych w kolumnie nr 2 i 3" style="width:108.3pt;height:17.85pt" o:ole="">
                  <v:imagedata r:id="rId45" o:title=""/>
                </v:shape>
                <w:control r:id="rId46" w:name="CheckBox1141" w:shapeid="_x0000_i1107"/>
              </w:object>
            </w:r>
          </w:p>
        </w:tc>
      </w:tr>
      <w:tr w:rsidR="00F73DA3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D90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54804AFF" w:rsidR="00F73DA3" w:rsidRPr="00834D90" w:rsidRDefault="00F73DA3" w:rsidP="00F73DA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4D90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834D90" w:rsidRPr="00834D90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Pr="00834D90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1910D3E1" w:rsidR="00F73DA3" w:rsidRPr="00483AF7" w:rsidRDefault="00483AF7" w:rsidP="00F73DA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AF7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 w:rsidRPr="00483AF7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483AF7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Pr="00483AF7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Pr="00483AF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483AF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483AF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483AF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483AF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483AF7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F73DA3" w:rsidRPr="007D00C6" w:rsidRDefault="00F73DA3" w:rsidP="00F73D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73DA3" w:rsidRPr="007D00C6" w14:paraId="20F94A1A" w14:textId="77777777" w:rsidTr="00C75A4F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F73DA3" w:rsidRPr="004A55ED" w:rsidRDefault="00F73DA3" w:rsidP="00F73D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F73DA3" w:rsidRPr="00C75A4F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Wykonawca oznaczy miejsce dostawy sprzętu i dostarczony sprzęt w ramach realizacji reform, inwestycji i przedsięwzięć, </w:t>
            </w:r>
            <w:r w:rsidRPr="00C75A4F">
              <w:rPr>
                <w:rFonts w:ascii="Arial" w:hAnsi="Arial" w:cs="Arial"/>
                <w:sz w:val="20"/>
                <w:szCs w:val="20"/>
              </w:rPr>
              <w:lastRenderedPageBreak/>
              <w:t>zgodnie ze Strategią Promocji i Informacji Krajowego Planu Odbudowy i Zwiększania Odporności.</w:t>
            </w:r>
          </w:p>
          <w:p w14:paraId="123116EF" w14:textId="77777777" w:rsidR="00F73DA3" w:rsidRPr="00C75A4F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75A4F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75A4F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29523B26" w14:textId="62D0E14A" w:rsidR="00F73DA3" w:rsidRPr="008D3CD7" w:rsidRDefault="00F73DA3" w:rsidP="00F73DA3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47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F73DA3" w:rsidRPr="00C75A4F" w:rsidRDefault="00F73DA3" w:rsidP="00F73D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lastRenderedPageBreak/>
              <w:t>miejsce dostawy sprzętu zostanie oznakowane tablicą o wymiarach 80x40 cm;</w:t>
            </w:r>
          </w:p>
          <w:p w14:paraId="52B3DEC5" w14:textId="482F9760" w:rsidR="00F73DA3" w:rsidRPr="008D3CD7" w:rsidRDefault="00F73DA3" w:rsidP="00F73DA3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lastRenderedPageBreak/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19D25F74" w:rsidR="00F73DA3" w:rsidRPr="00C75A4F" w:rsidRDefault="00F73DA3" w:rsidP="00F73DA3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lastRenderedPageBreak/>
              <w:object w:dxaOrig="1440" w:dyaOrig="1440" w14:anchorId="028B05AA">
                <v:shape id="_x0000_i1109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22111" w:shapeid="_x0000_i1109"/>
              </w:object>
            </w:r>
            <w:r w:rsidRPr="00C75A4F">
              <w:rPr>
                <w:rFonts w:ascii="Arial" w:hAnsi="Arial" w:cs="Arial"/>
              </w:rPr>
              <w:object w:dxaOrig="1440" w:dyaOrig="1440" w14:anchorId="2A65062D">
                <v:shape id="_x0000_i1111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21111" w:shapeid="_x0000_i1111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77777777" w:rsidR="00C75A4F" w:rsidRPr="007D00C6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RPr="007D00C6" w:rsidSect="008C065F">
      <w:headerReference w:type="default" r:id="rId52"/>
      <w:footerReference w:type="default" r:id="rId53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E52F9E" w:rsidRDefault="00763956">
        <w:pPr>
          <w:pStyle w:val="Stopka"/>
          <w:jc w:val="right"/>
        </w:pPr>
      </w:p>
    </w:sdtContent>
  </w:sdt>
  <w:p w14:paraId="0F192CB9" w14:textId="7B2F7586" w:rsidR="00E52F9E" w:rsidRDefault="00E52F9E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E52F9E" w:rsidRDefault="00E52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0C45ADD5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483AF7">
      <w:rPr>
        <w:rFonts w:ascii="Arial" w:hAnsi="Arial" w:cs="Arial"/>
        <w:b/>
        <w:lang w:eastAsia="pl-PL"/>
      </w:rPr>
      <w:t>7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6222D0BB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3D32B4">
      <w:rPr>
        <w:rFonts w:ascii="Arial" w:hAnsi="Arial" w:cs="Arial"/>
        <w:b/>
        <w:lang w:eastAsia="pl-PL"/>
      </w:rPr>
      <w:t>I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984">
    <w:abstractNumId w:val="0"/>
  </w:num>
  <w:num w:numId="2" w16cid:durableId="1875195813">
    <w:abstractNumId w:val="1"/>
  </w:num>
  <w:num w:numId="3" w16cid:durableId="211969293">
    <w:abstractNumId w:val="2"/>
  </w:num>
  <w:num w:numId="4" w16cid:durableId="1769353699">
    <w:abstractNumId w:val="12"/>
  </w:num>
  <w:num w:numId="5" w16cid:durableId="1658074361">
    <w:abstractNumId w:val="15"/>
  </w:num>
  <w:num w:numId="6" w16cid:durableId="930897717">
    <w:abstractNumId w:val="9"/>
  </w:num>
  <w:num w:numId="7" w16cid:durableId="1459492170">
    <w:abstractNumId w:val="24"/>
  </w:num>
  <w:num w:numId="8" w16cid:durableId="2024283863">
    <w:abstractNumId w:val="27"/>
  </w:num>
  <w:num w:numId="9" w16cid:durableId="1249849539">
    <w:abstractNumId w:val="20"/>
  </w:num>
  <w:num w:numId="10" w16cid:durableId="420835181">
    <w:abstractNumId w:val="22"/>
  </w:num>
  <w:num w:numId="11" w16cid:durableId="356322094">
    <w:abstractNumId w:val="3"/>
  </w:num>
  <w:num w:numId="12" w16cid:durableId="932203050">
    <w:abstractNumId w:val="25"/>
  </w:num>
  <w:num w:numId="13" w16cid:durableId="26413963">
    <w:abstractNumId w:val="14"/>
  </w:num>
  <w:num w:numId="14" w16cid:durableId="211621307">
    <w:abstractNumId w:val="4"/>
  </w:num>
  <w:num w:numId="15" w16cid:durableId="358121254">
    <w:abstractNumId w:val="32"/>
  </w:num>
  <w:num w:numId="16" w16cid:durableId="1703046678">
    <w:abstractNumId w:val="13"/>
  </w:num>
  <w:num w:numId="17" w16cid:durableId="1612393259">
    <w:abstractNumId w:val="10"/>
  </w:num>
  <w:num w:numId="18" w16cid:durableId="380398198">
    <w:abstractNumId w:val="7"/>
  </w:num>
  <w:num w:numId="19" w16cid:durableId="1448237166">
    <w:abstractNumId w:val="23"/>
  </w:num>
  <w:num w:numId="20" w16cid:durableId="1336104038">
    <w:abstractNumId w:val="31"/>
  </w:num>
  <w:num w:numId="21" w16cid:durableId="1539050121">
    <w:abstractNumId w:val="6"/>
  </w:num>
  <w:num w:numId="22" w16cid:durableId="349379817">
    <w:abstractNumId w:val="30"/>
  </w:num>
  <w:num w:numId="23" w16cid:durableId="1329023375">
    <w:abstractNumId w:val="16"/>
  </w:num>
  <w:num w:numId="24" w16cid:durableId="240338352">
    <w:abstractNumId w:val="18"/>
  </w:num>
  <w:num w:numId="25" w16cid:durableId="1477912072">
    <w:abstractNumId w:val="29"/>
  </w:num>
  <w:num w:numId="26" w16cid:durableId="1473980287">
    <w:abstractNumId w:val="19"/>
  </w:num>
  <w:num w:numId="27" w16cid:durableId="2127770383">
    <w:abstractNumId w:val="26"/>
  </w:num>
  <w:num w:numId="28" w16cid:durableId="1010644886">
    <w:abstractNumId w:val="5"/>
  </w:num>
  <w:num w:numId="29" w16cid:durableId="148330201">
    <w:abstractNumId w:val="17"/>
  </w:num>
  <w:num w:numId="30" w16cid:durableId="1512181785">
    <w:abstractNumId w:val="28"/>
  </w:num>
  <w:num w:numId="31" w16cid:durableId="1417675832">
    <w:abstractNumId w:val="21"/>
  </w:num>
  <w:num w:numId="32" w16cid:durableId="1682052648">
    <w:abstractNumId w:val="11"/>
  </w:num>
  <w:num w:numId="33" w16cid:durableId="87759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0CA0"/>
    <w:rsid w:val="00053027"/>
    <w:rsid w:val="00055D35"/>
    <w:rsid w:val="00066724"/>
    <w:rsid w:val="000833B3"/>
    <w:rsid w:val="000A53F0"/>
    <w:rsid w:val="000E3F5D"/>
    <w:rsid w:val="000F5CD8"/>
    <w:rsid w:val="001001E1"/>
    <w:rsid w:val="00135EA6"/>
    <w:rsid w:val="00137917"/>
    <w:rsid w:val="00143906"/>
    <w:rsid w:val="001505BD"/>
    <w:rsid w:val="00150793"/>
    <w:rsid w:val="00156E43"/>
    <w:rsid w:val="00184411"/>
    <w:rsid w:val="001B2A15"/>
    <w:rsid w:val="001C2C88"/>
    <w:rsid w:val="001D20E8"/>
    <w:rsid w:val="001F3CA2"/>
    <w:rsid w:val="00213C2C"/>
    <w:rsid w:val="00225372"/>
    <w:rsid w:val="002336E1"/>
    <w:rsid w:val="00233EBD"/>
    <w:rsid w:val="00234BEF"/>
    <w:rsid w:val="0024620A"/>
    <w:rsid w:val="00246985"/>
    <w:rsid w:val="00255EC1"/>
    <w:rsid w:val="00261170"/>
    <w:rsid w:val="00273418"/>
    <w:rsid w:val="00277C79"/>
    <w:rsid w:val="00282F5A"/>
    <w:rsid w:val="00283B0A"/>
    <w:rsid w:val="0029119E"/>
    <w:rsid w:val="002A0891"/>
    <w:rsid w:val="002C2D2E"/>
    <w:rsid w:val="002F5777"/>
    <w:rsid w:val="00300B48"/>
    <w:rsid w:val="00302DF2"/>
    <w:rsid w:val="003043FA"/>
    <w:rsid w:val="00305028"/>
    <w:rsid w:val="00310CFD"/>
    <w:rsid w:val="0031231B"/>
    <w:rsid w:val="00312ECC"/>
    <w:rsid w:val="00317246"/>
    <w:rsid w:val="0032039A"/>
    <w:rsid w:val="00321953"/>
    <w:rsid w:val="00323A0F"/>
    <w:rsid w:val="00340A34"/>
    <w:rsid w:val="0036404E"/>
    <w:rsid w:val="0037254C"/>
    <w:rsid w:val="0037544F"/>
    <w:rsid w:val="003A4958"/>
    <w:rsid w:val="003B3775"/>
    <w:rsid w:val="003D32B4"/>
    <w:rsid w:val="003D6EDF"/>
    <w:rsid w:val="003E60A5"/>
    <w:rsid w:val="004008C0"/>
    <w:rsid w:val="00400E15"/>
    <w:rsid w:val="00410C25"/>
    <w:rsid w:val="0041136E"/>
    <w:rsid w:val="00414CAE"/>
    <w:rsid w:val="00416086"/>
    <w:rsid w:val="00417B54"/>
    <w:rsid w:val="004543FC"/>
    <w:rsid w:val="00464B8E"/>
    <w:rsid w:val="00482577"/>
    <w:rsid w:val="00483AF7"/>
    <w:rsid w:val="00497EF8"/>
    <w:rsid w:val="004A405D"/>
    <w:rsid w:val="004A55ED"/>
    <w:rsid w:val="004B00BF"/>
    <w:rsid w:val="004B2FDE"/>
    <w:rsid w:val="004D6502"/>
    <w:rsid w:val="004E7B2C"/>
    <w:rsid w:val="004F2D4A"/>
    <w:rsid w:val="004F5ED1"/>
    <w:rsid w:val="005012D7"/>
    <w:rsid w:val="00505447"/>
    <w:rsid w:val="00514D0F"/>
    <w:rsid w:val="0051684E"/>
    <w:rsid w:val="00516BFA"/>
    <w:rsid w:val="005317E3"/>
    <w:rsid w:val="00551725"/>
    <w:rsid w:val="00594E24"/>
    <w:rsid w:val="005A5367"/>
    <w:rsid w:val="005B097F"/>
    <w:rsid w:val="005D1899"/>
    <w:rsid w:val="005F2836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80718"/>
    <w:rsid w:val="00696B7B"/>
    <w:rsid w:val="006A63FC"/>
    <w:rsid w:val="006B2308"/>
    <w:rsid w:val="006C007B"/>
    <w:rsid w:val="006C1684"/>
    <w:rsid w:val="006D285C"/>
    <w:rsid w:val="006E1F44"/>
    <w:rsid w:val="006E5F5E"/>
    <w:rsid w:val="00701B5F"/>
    <w:rsid w:val="007026AC"/>
    <w:rsid w:val="00706DA7"/>
    <w:rsid w:val="00715CC4"/>
    <w:rsid w:val="007201CE"/>
    <w:rsid w:val="0073058D"/>
    <w:rsid w:val="0073487A"/>
    <w:rsid w:val="00761F17"/>
    <w:rsid w:val="00763956"/>
    <w:rsid w:val="00764B0D"/>
    <w:rsid w:val="00767C04"/>
    <w:rsid w:val="00791810"/>
    <w:rsid w:val="00792A14"/>
    <w:rsid w:val="007979D2"/>
    <w:rsid w:val="007A641A"/>
    <w:rsid w:val="007A7FFC"/>
    <w:rsid w:val="007B4133"/>
    <w:rsid w:val="007B538C"/>
    <w:rsid w:val="007B7630"/>
    <w:rsid w:val="007D00C6"/>
    <w:rsid w:val="007D00D2"/>
    <w:rsid w:val="007D4DAA"/>
    <w:rsid w:val="007D5167"/>
    <w:rsid w:val="00800782"/>
    <w:rsid w:val="00806633"/>
    <w:rsid w:val="00810D00"/>
    <w:rsid w:val="00817B85"/>
    <w:rsid w:val="0083108D"/>
    <w:rsid w:val="00832DA9"/>
    <w:rsid w:val="00833E17"/>
    <w:rsid w:val="00834D90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3328A"/>
    <w:rsid w:val="00943D13"/>
    <w:rsid w:val="00962D6C"/>
    <w:rsid w:val="00973626"/>
    <w:rsid w:val="009743CD"/>
    <w:rsid w:val="009909B3"/>
    <w:rsid w:val="009915CB"/>
    <w:rsid w:val="009919B2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75BF0"/>
    <w:rsid w:val="00A82F54"/>
    <w:rsid w:val="00A950E1"/>
    <w:rsid w:val="00AB3065"/>
    <w:rsid w:val="00AB5C6C"/>
    <w:rsid w:val="00AD0F22"/>
    <w:rsid w:val="00AE15EB"/>
    <w:rsid w:val="00AE34B5"/>
    <w:rsid w:val="00AE4F4A"/>
    <w:rsid w:val="00AF44DE"/>
    <w:rsid w:val="00B07926"/>
    <w:rsid w:val="00B118C2"/>
    <w:rsid w:val="00B22EAE"/>
    <w:rsid w:val="00B23C9C"/>
    <w:rsid w:val="00B62A9B"/>
    <w:rsid w:val="00B90059"/>
    <w:rsid w:val="00B96FF5"/>
    <w:rsid w:val="00BA3B94"/>
    <w:rsid w:val="00BB61AD"/>
    <w:rsid w:val="00BB7D19"/>
    <w:rsid w:val="00BC06C2"/>
    <w:rsid w:val="00BC5A42"/>
    <w:rsid w:val="00BC610A"/>
    <w:rsid w:val="00BE69DB"/>
    <w:rsid w:val="00C023DA"/>
    <w:rsid w:val="00C20F0C"/>
    <w:rsid w:val="00C25645"/>
    <w:rsid w:val="00C27D60"/>
    <w:rsid w:val="00C316A8"/>
    <w:rsid w:val="00C5784A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4762F"/>
    <w:rsid w:val="00D535F2"/>
    <w:rsid w:val="00D83430"/>
    <w:rsid w:val="00DA0191"/>
    <w:rsid w:val="00DB420A"/>
    <w:rsid w:val="00DB6496"/>
    <w:rsid w:val="00DB65AD"/>
    <w:rsid w:val="00DB78ED"/>
    <w:rsid w:val="00DD7919"/>
    <w:rsid w:val="00E01C9E"/>
    <w:rsid w:val="00E23C6F"/>
    <w:rsid w:val="00E40388"/>
    <w:rsid w:val="00E44CD4"/>
    <w:rsid w:val="00E52297"/>
    <w:rsid w:val="00E52F9E"/>
    <w:rsid w:val="00E54942"/>
    <w:rsid w:val="00E63F3A"/>
    <w:rsid w:val="00E667C8"/>
    <w:rsid w:val="00E72DB8"/>
    <w:rsid w:val="00E90888"/>
    <w:rsid w:val="00E96284"/>
    <w:rsid w:val="00EB6D5A"/>
    <w:rsid w:val="00EC4B86"/>
    <w:rsid w:val="00ED3577"/>
    <w:rsid w:val="00EE1144"/>
    <w:rsid w:val="00EE3D20"/>
    <w:rsid w:val="00EE557C"/>
    <w:rsid w:val="00EF7122"/>
    <w:rsid w:val="00F14BEB"/>
    <w:rsid w:val="00F2006F"/>
    <w:rsid w:val="00F21633"/>
    <w:rsid w:val="00F3465E"/>
    <w:rsid w:val="00F46A37"/>
    <w:rsid w:val="00F52BAA"/>
    <w:rsid w:val="00F61DAE"/>
    <w:rsid w:val="00F73DA3"/>
    <w:rsid w:val="00F76A37"/>
    <w:rsid w:val="00F80E7D"/>
    <w:rsid w:val="00F95EA8"/>
    <w:rsid w:val="00F96F95"/>
    <w:rsid w:val="00FA18EF"/>
    <w:rsid w:val="00FA4F89"/>
    <w:rsid w:val="00FA6D31"/>
    <w:rsid w:val="00FB1C58"/>
    <w:rsid w:val="00FB2037"/>
    <w:rsid w:val="00FB44BE"/>
    <w:rsid w:val="00FE011D"/>
    <w:rsid w:val="00FF129A"/>
    <w:rsid w:val="00FF1BD9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hyperlink" Target="https://www.gov.pl/web/planodbudowy/strategia-promocji-i-informacji-kpo" TargetMode="External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9931-5856-445F-A51A-6CE1D9B1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SWZ formularz warunków technicznych</vt:lpstr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SWZ formularz warunków technicznych</dc:title>
  <dc:creator>Katarzyna Niedźwiedzka-Rozkosz</dc:creator>
  <cp:keywords>sprzęt laboratoryjny KPO</cp:keywords>
  <cp:lastModifiedBy>Beata Chojecka</cp:lastModifiedBy>
  <cp:revision>4</cp:revision>
  <cp:lastPrinted>2023-07-07T13:01:00Z</cp:lastPrinted>
  <dcterms:created xsi:type="dcterms:W3CDTF">2024-10-17T17:52:00Z</dcterms:created>
  <dcterms:modified xsi:type="dcterms:W3CDTF">2024-10-22T10:40:00Z</dcterms:modified>
</cp:coreProperties>
</file>