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61405603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CC5FB1">
        <w:rPr>
          <w:rFonts w:cs="Calibri"/>
          <w:b/>
          <w:szCs w:val="24"/>
        </w:rPr>
        <w:t>ZP.271.1</w:t>
      </w:r>
      <w:r w:rsidR="00BB38F7">
        <w:rPr>
          <w:rFonts w:cs="Calibri"/>
          <w:b/>
          <w:szCs w:val="24"/>
        </w:rPr>
        <w:t>7</w:t>
      </w:r>
      <w:r w:rsidR="00CC5FB1">
        <w:rPr>
          <w:rFonts w:cs="Calibri"/>
          <w:b/>
          <w:szCs w:val="24"/>
        </w:rPr>
        <w:t>.2023.ŁP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B38F7">
        <w:rPr>
          <w:rFonts w:cs="Calibri"/>
          <w:b/>
          <w:szCs w:val="24"/>
        </w:rPr>
        <w:t>6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173B6366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B38F7" w:rsidRPr="00BB38F7">
        <w:rPr>
          <w:rFonts w:cs="Calibri"/>
          <w:b/>
          <w:szCs w:val="24"/>
        </w:rPr>
        <w:t>Prowadzenie bankowej obsługi budżetu gminy Konstantynów Łódzki oraz jego jednostek działających w formie jednostek budżetowych w latach 2024-2028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854C8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182113"/>
    <w:rsid w:val="001F4842"/>
    <w:rsid w:val="00303506"/>
    <w:rsid w:val="004056C7"/>
    <w:rsid w:val="005E2C47"/>
    <w:rsid w:val="006B69C8"/>
    <w:rsid w:val="006D3897"/>
    <w:rsid w:val="007C43D5"/>
    <w:rsid w:val="007C4719"/>
    <w:rsid w:val="007D4C24"/>
    <w:rsid w:val="008424AC"/>
    <w:rsid w:val="00854C83"/>
    <w:rsid w:val="00921C42"/>
    <w:rsid w:val="00961DF9"/>
    <w:rsid w:val="00981BFE"/>
    <w:rsid w:val="00AB5194"/>
    <w:rsid w:val="00AC3A04"/>
    <w:rsid w:val="00B67FF7"/>
    <w:rsid w:val="00BB38F7"/>
    <w:rsid w:val="00C043F2"/>
    <w:rsid w:val="00C44C54"/>
    <w:rsid w:val="00CC5FB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22</cp:revision>
  <dcterms:created xsi:type="dcterms:W3CDTF">2022-01-27T12:08:00Z</dcterms:created>
  <dcterms:modified xsi:type="dcterms:W3CDTF">2023-08-29T11:08:00Z</dcterms:modified>
</cp:coreProperties>
</file>