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4F" w:rsidRDefault="007F5313" w:rsidP="00630C4F">
      <w:pPr>
        <w:ind w:firstLine="6804"/>
        <w:rPr>
          <w:rFonts w:ascii="Arial" w:hAnsi="Arial" w:cs="Arial"/>
          <w:szCs w:val="24"/>
        </w:rPr>
      </w:pPr>
      <w:r w:rsidRPr="004E420C">
        <w:rPr>
          <w:rFonts w:ascii="Arial" w:hAnsi="Arial" w:cs="Arial"/>
          <w:szCs w:val="24"/>
        </w:rPr>
        <w:tab/>
        <w:t xml:space="preserve">       </w:t>
      </w:r>
    </w:p>
    <w:p w:rsidR="00630C4F" w:rsidRPr="00630C4F" w:rsidRDefault="00630C4F" w:rsidP="00630C4F">
      <w:pPr>
        <w:rPr>
          <w:b/>
          <w:szCs w:val="24"/>
        </w:rPr>
      </w:pPr>
      <w:r w:rsidRPr="00630C4F">
        <w:rPr>
          <w:b/>
          <w:szCs w:val="24"/>
        </w:rPr>
        <w:t xml:space="preserve">METODYKA: Analiza sensoryczna  (analiza </w:t>
      </w:r>
      <w:proofErr w:type="spellStart"/>
      <w:r w:rsidRPr="00630C4F">
        <w:rPr>
          <w:b/>
          <w:szCs w:val="24"/>
        </w:rPr>
        <w:t>hedoniczna</w:t>
      </w:r>
      <w:proofErr w:type="spellEnd"/>
      <w:r w:rsidRPr="00630C4F">
        <w:rPr>
          <w:b/>
          <w:szCs w:val="24"/>
        </w:rPr>
        <w:t xml:space="preserve">) </w:t>
      </w:r>
    </w:p>
    <w:p w:rsidR="00630C4F" w:rsidRPr="00630C4F" w:rsidRDefault="00630C4F" w:rsidP="00630C4F">
      <w:pPr>
        <w:rPr>
          <w:szCs w:val="24"/>
        </w:rPr>
      </w:pPr>
    </w:p>
    <w:p w:rsidR="00630C4F" w:rsidRDefault="00630C4F" w:rsidP="00630C4F">
      <w:pPr>
        <w:rPr>
          <w:b/>
          <w:szCs w:val="24"/>
        </w:rPr>
      </w:pPr>
      <w:r w:rsidRPr="00630C4F">
        <w:rPr>
          <w:b/>
          <w:szCs w:val="24"/>
        </w:rPr>
        <w:t>A – WARUNKI DEGUSTACJI</w:t>
      </w:r>
    </w:p>
    <w:p w:rsidR="009F328D" w:rsidRPr="00630C4F" w:rsidRDefault="009F328D" w:rsidP="00630C4F">
      <w:pPr>
        <w:rPr>
          <w:b/>
          <w:szCs w:val="24"/>
        </w:rPr>
      </w:pPr>
    </w:p>
    <w:p w:rsidR="00630C4F" w:rsidRPr="00630C4F" w:rsidRDefault="00630C4F" w:rsidP="00630C4F">
      <w:pPr>
        <w:rPr>
          <w:b/>
          <w:szCs w:val="24"/>
        </w:rPr>
      </w:pPr>
      <w:r w:rsidRPr="00630C4F">
        <w:rPr>
          <w:b/>
          <w:szCs w:val="24"/>
        </w:rPr>
        <w:t>OCENIAJĄCY</w:t>
      </w:r>
    </w:p>
    <w:p w:rsidR="00630C4F" w:rsidRDefault="00630C4F" w:rsidP="00630C4F">
      <w:pPr>
        <w:rPr>
          <w:szCs w:val="24"/>
        </w:rPr>
      </w:pPr>
      <w:r w:rsidRPr="00630C4F">
        <w:rPr>
          <w:szCs w:val="24"/>
        </w:rPr>
        <w:t xml:space="preserve">Panel  oceniających  stanowi  minimum  45  osób,  których  płeć  i  wiek  są  znane.  Są  oni  konsumentami  ocenianych  produktów  (częstotliwość  konsumpcji  jest  znana),  osobami  nie  przeszkolonymi  w  zakresie analiz sensorycznych. Badanie wykonano zgodnie z normą ISO 11136:2014. </w:t>
      </w:r>
    </w:p>
    <w:p w:rsidR="009F328D" w:rsidRPr="00630C4F" w:rsidRDefault="009F328D" w:rsidP="00630C4F">
      <w:pPr>
        <w:rPr>
          <w:szCs w:val="24"/>
        </w:rPr>
      </w:pPr>
    </w:p>
    <w:p w:rsidR="00630C4F" w:rsidRPr="00630C4F" w:rsidRDefault="00630C4F" w:rsidP="00630C4F">
      <w:pPr>
        <w:rPr>
          <w:b/>
          <w:szCs w:val="24"/>
        </w:rPr>
      </w:pPr>
      <w:r w:rsidRPr="00630C4F">
        <w:rPr>
          <w:b/>
          <w:szCs w:val="24"/>
        </w:rPr>
        <w:t>SALA DEGUSTACYJNA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>Degustacje  są  przeprowadzane  w  pomieszczeniu  zgodnym z normą PN-EN ISO 8589:2010.</w:t>
      </w:r>
    </w:p>
    <w:p w:rsidR="00630C4F" w:rsidRDefault="00630C4F" w:rsidP="00630C4F">
      <w:pPr>
        <w:rPr>
          <w:szCs w:val="24"/>
        </w:rPr>
      </w:pPr>
      <w:r w:rsidRPr="00630C4F">
        <w:rPr>
          <w:szCs w:val="24"/>
        </w:rPr>
        <w:t>Produkty prezentuje się w świetle białym.</w:t>
      </w:r>
    </w:p>
    <w:p w:rsidR="009F328D" w:rsidRPr="00630C4F" w:rsidRDefault="009F328D" w:rsidP="00630C4F">
      <w:pPr>
        <w:rPr>
          <w:szCs w:val="24"/>
        </w:rPr>
      </w:pPr>
    </w:p>
    <w:p w:rsidR="00630C4F" w:rsidRPr="00630C4F" w:rsidRDefault="00630C4F" w:rsidP="00630C4F">
      <w:pPr>
        <w:rPr>
          <w:b/>
          <w:szCs w:val="24"/>
        </w:rPr>
      </w:pPr>
      <w:r w:rsidRPr="00630C4F">
        <w:rPr>
          <w:b/>
          <w:szCs w:val="24"/>
        </w:rPr>
        <w:t>KARTA OCENY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 xml:space="preserve">Każdy  oceniający  wypełnia  kwestionariusz,  oceniając  </w:t>
      </w:r>
      <w:proofErr w:type="spellStart"/>
      <w:r w:rsidRPr="00630C4F">
        <w:rPr>
          <w:szCs w:val="24"/>
        </w:rPr>
        <w:t>pożądalność</w:t>
      </w:r>
      <w:proofErr w:type="spellEnd"/>
      <w:r w:rsidRPr="00630C4F">
        <w:rPr>
          <w:szCs w:val="24"/>
        </w:rPr>
        <w:t xml:space="preserve">  ogólną  każdego  z  produktów 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>według skali od 1 do 9. Poszczególnym punktom skali odpowiadają następujące określenia: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 xml:space="preserve">1) Nie do zaakceptowania  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 xml:space="preserve">2) Bardzo mi nie odpowiada 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 xml:space="preserve">3) Nie odpowiada 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 xml:space="preserve">4) Raczej mi nie odpowiada   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 xml:space="preserve">5) Obojętne (ani mi odpowiada, ani nie odpowiada) 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>6) Raczej mi odpowiada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>7) Odpowiada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>8) Bardzo mi odpowiada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>9) Wyśmienite</w:t>
      </w:r>
    </w:p>
    <w:p w:rsidR="00630C4F" w:rsidRDefault="00630C4F" w:rsidP="00630C4F">
      <w:pPr>
        <w:rPr>
          <w:szCs w:val="24"/>
        </w:rPr>
      </w:pPr>
      <w:r w:rsidRPr="00630C4F">
        <w:rPr>
          <w:szCs w:val="24"/>
        </w:rPr>
        <w:t>Oceniający określa również opisowo, co mu odpowiada, a co nie w badanych produktach.</w:t>
      </w:r>
    </w:p>
    <w:p w:rsidR="009F328D" w:rsidRPr="00630C4F" w:rsidRDefault="009F328D" w:rsidP="00630C4F">
      <w:pPr>
        <w:rPr>
          <w:szCs w:val="24"/>
        </w:rPr>
      </w:pPr>
    </w:p>
    <w:p w:rsidR="00630C4F" w:rsidRPr="00630C4F" w:rsidRDefault="00630C4F" w:rsidP="00630C4F">
      <w:pPr>
        <w:rPr>
          <w:b/>
          <w:szCs w:val="24"/>
        </w:rPr>
      </w:pPr>
      <w:r w:rsidRPr="00630C4F">
        <w:rPr>
          <w:b/>
          <w:szCs w:val="24"/>
        </w:rPr>
        <w:t>SEANS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 xml:space="preserve">Porównywane produkty są przedstawiane oceniającym w sposób anonimowy, zakodowane za pomocą </w:t>
      </w:r>
      <w:proofErr w:type="spellStart"/>
      <w:r w:rsidRPr="00630C4F">
        <w:rPr>
          <w:szCs w:val="24"/>
        </w:rPr>
        <w:t>trójcyfrowego</w:t>
      </w:r>
      <w:proofErr w:type="spellEnd"/>
      <w:r w:rsidRPr="00630C4F">
        <w:rPr>
          <w:szCs w:val="24"/>
        </w:rPr>
        <w:t xml:space="preserve">  numeru.  Przedstawia  się  je  w  różnych  sekwencjach  (</w:t>
      </w:r>
      <w:proofErr w:type="spellStart"/>
      <w:r w:rsidRPr="00630C4F">
        <w:rPr>
          <w:szCs w:val="24"/>
        </w:rPr>
        <w:t>Latin</w:t>
      </w:r>
      <w:proofErr w:type="spellEnd"/>
      <w:r w:rsidRPr="00630C4F">
        <w:rPr>
          <w:szCs w:val="24"/>
        </w:rPr>
        <w:t xml:space="preserve">  </w:t>
      </w:r>
      <w:proofErr w:type="spellStart"/>
      <w:r w:rsidRPr="00630C4F">
        <w:rPr>
          <w:szCs w:val="24"/>
        </w:rPr>
        <w:t>square</w:t>
      </w:r>
      <w:proofErr w:type="spellEnd"/>
      <w:r w:rsidRPr="00630C4F">
        <w:rPr>
          <w:szCs w:val="24"/>
        </w:rPr>
        <w:t>)  i  w  tych  samych warunkach   (temperatura,   ilość,   ewentualna   obróbka   termiczna,   ewentualna   ilość   dodanych składników)  dla  wszystkich  członków  zespołu  oceniającego.  Degustatorzy  mają  do  dyspozycji  wodę mineralną.</w:t>
      </w:r>
    </w:p>
    <w:p w:rsidR="00630C4F" w:rsidRPr="00630C4F" w:rsidRDefault="00630C4F" w:rsidP="00630C4F">
      <w:pPr>
        <w:rPr>
          <w:b/>
          <w:szCs w:val="24"/>
        </w:rPr>
      </w:pPr>
    </w:p>
    <w:p w:rsidR="00630C4F" w:rsidRPr="00630C4F" w:rsidRDefault="00630C4F" w:rsidP="00630C4F">
      <w:pPr>
        <w:rPr>
          <w:b/>
          <w:szCs w:val="24"/>
        </w:rPr>
      </w:pPr>
      <w:r w:rsidRPr="00630C4F">
        <w:rPr>
          <w:b/>
          <w:szCs w:val="24"/>
        </w:rPr>
        <w:t>B – OSZACOWANIE WYNIKÓW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>Otrzymane wyniki są opracowywane za pomocą programu do analiz sensorycznych.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>Zgodność ocen z rozkładem normalnym jest sprawdzana za pomocą testu chi-kwadrat. Stosuje się: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 xml:space="preserve">- jeśli hipoteza normalności rozkładu jest akceptowana: </w:t>
      </w:r>
    </w:p>
    <w:p w:rsidR="00630C4F" w:rsidRPr="00630C4F" w:rsidRDefault="00630C4F" w:rsidP="00630C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C4F">
        <w:rPr>
          <w:rFonts w:ascii="Times New Roman" w:hAnsi="Times New Roman" w:cs="Times New Roman"/>
          <w:sz w:val="24"/>
          <w:szCs w:val="24"/>
        </w:rPr>
        <w:t xml:space="preserve">test Studenta (2 produkty) </w:t>
      </w:r>
    </w:p>
    <w:p w:rsidR="00630C4F" w:rsidRPr="00630C4F" w:rsidRDefault="00630C4F" w:rsidP="00630C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C4F">
        <w:rPr>
          <w:rFonts w:ascii="Times New Roman" w:hAnsi="Times New Roman" w:cs="Times New Roman"/>
          <w:sz w:val="24"/>
          <w:szCs w:val="24"/>
        </w:rPr>
        <w:t>analiza wariancji (więcej niż 2 produkty)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 xml:space="preserve">- jeśli hipoteza normalności rozkładu jest odrzucana: </w:t>
      </w:r>
    </w:p>
    <w:p w:rsidR="00630C4F" w:rsidRPr="00630C4F" w:rsidRDefault="00630C4F" w:rsidP="00630C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C4F">
        <w:rPr>
          <w:rFonts w:ascii="Times New Roman" w:hAnsi="Times New Roman" w:cs="Times New Roman"/>
          <w:sz w:val="24"/>
          <w:szCs w:val="24"/>
        </w:rPr>
        <w:t xml:space="preserve">test </w:t>
      </w:r>
      <w:proofErr w:type="spellStart"/>
      <w:r w:rsidRPr="00630C4F">
        <w:rPr>
          <w:rFonts w:ascii="Times New Roman" w:hAnsi="Times New Roman" w:cs="Times New Roman"/>
          <w:sz w:val="24"/>
          <w:szCs w:val="24"/>
        </w:rPr>
        <w:t>Wilcoxon’a</w:t>
      </w:r>
      <w:proofErr w:type="spellEnd"/>
      <w:r w:rsidRPr="00630C4F">
        <w:rPr>
          <w:rFonts w:ascii="Times New Roman" w:hAnsi="Times New Roman" w:cs="Times New Roman"/>
          <w:sz w:val="24"/>
          <w:szCs w:val="24"/>
        </w:rPr>
        <w:t xml:space="preserve"> (2 produkty)</w:t>
      </w:r>
    </w:p>
    <w:p w:rsidR="00630C4F" w:rsidRPr="00630C4F" w:rsidRDefault="00630C4F" w:rsidP="00630C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C4F">
        <w:rPr>
          <w:rFonts w:ascii="Times New Roman" w:hAnsi="Times New Roman" w:cs="Times New Roman"/>
          <w:sz w:val="24"/>
          <w:szCs w:val="24"/>
        </w:rPr>
        <w:t xml:space="preserve">test </w:t>
      </w:r>
      <w:proofErr w:type="spellStart"/>
      <w:r w:rsidRPr="00630C4F">
        <w:rPr>
          <w:rFonts w:ascii="Times New Roman" w:hAnsi="Times New Roman" w:cs="Times New Roman"/>
          <w:sz w:val="24"/>
          <w:szCs w:val="24"/>
        </w:rPr>
        <w:t>Friedman’a</w:t>
      </w:r>
      <w:proofErr w:type="spellEnd"/>
      <w:r w:rsidRPr="00630C4F">
        <w:rPr>
          <w:rFonts w:ascii="Times New Roman" w:hAnsi="Times New Roman" w:cs="Times New Roman"/>
          <w:sz w:val="24"/>
          <w:szCs w:val="24"/>
        </w:rPr>
        <w:t xml:space="preserve"> (więcej niż 2 produkty)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lastRenderedPageBreak/>
        <w:t>Tabele wyników zawierają: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>-      średnią ocen,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>-      odchylenia standardowe, które informują o rozproszeniu ocen wokół średniej,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>-      istotność różnic.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>Poziom istotności równy 1% pozwala na stwierdzenie z 99% prawdopodobieństwem, czy otrzymane przez produkty wartości są różne pod względem badanej cechy.</w:t>
      </w:r>
    </w:p>
    <w:p w:rsidR="00630C4F" w:rsidRDefault="00630C4F" w:rsidP="00630C4F">
      <w:pPr>
        <w:rPr>
          <w:szCs w:val="24"/>
        </w:rPr>
      </w:pPr>
      <w:r w:rsidRPr="00630C4F">
        <w:rPr>
          <w:szCs w:val="24"/>
        </w:rPr>
        <w:t>Poziom istotności równy 5% pozwala na wyciągnięcie wniosku o ewentualnej różnicy między wartościami z 95% prawdopodobieństwem.</w:t>
      </w:r>
    </w:p>
    <w:p w:rsidR="009F328D" w:rsidRPr="00630C4F" w:rsidRDefault="009F328D" w:rsidP="00630C4F">
      <w:pPr>
        <w:rPr>
          <w:szCs w:val="24"/>
        </w:rPr>
      </w:pPr>
    </w:p>
    <w:p w:rsidR="00630C4F" w:rsidRPr="00630C4F" w:rsidRDefault="00630C4F" w:rsidP="00630C4F">
      <w:pPr>
        <w:rPr>
          <w:b/>
          <w:szCs w:val="24"/>
        </w:rPr>
      </w:pPr>
      <w:r w:rsidRPr="00630C4F">
        <w:rPr>
          <w:b/>
          <w:szCs w:val="24"/>
        </w:rPr>
        <w:t xml:space="preserve">C – MIEJSCE  PRZEPROWADZENIA TESTU </w:t>
      </w:r>
    </w:p>
    <w:p w:rsidR="00630C4F" w:rsidRDefault="00630C4F" w:rsidP="00630C4F">
      <w:pPr>
        <w:rPr>
          <w:szCs w:val="24"/>
        </w:rPr>
      </w:pPr>
      <w:r w:rsidRPr="00630C4F">
        <w:rPr>
          <w:szCs w:val="24"/>
        </w:rPr>
        <w:t>Test jest realizowany w laboratorium.</w:t>
      </w:r>
    </w:p>
    <w:p w:rsidR="009F328D" w:rsidRPr="00630C4F" w:rsidRDefault="009F328D" w:rsidP="00630C4F">
      <w:pPr>
        <w:rPr>
          <w:szCs w:val="24"/>
        </w:rPr>
      </w:pPr>
    </w:p>
    <w:p w:rsidR="00630C4F" w:rsidRPr="00630C4F" w:rsidRDefault="00630C4F" w:rsidP="00630C4F">
      <w:pPr>
        <w:rPr>
          <w:b/>
          <w:szCs w:val="24"/>
        </w:rPr>
      </w:pPr>
      <w:r w:rsidRPr="00630C4F">
        <w:rPr>
          <w:b/>
          <w:szCs w:val="24"/>
        </w:rPr>
        <w:t>D – SPRAWOZDANIE Z BADAŃ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>Sprawozdanie z badań zawiera: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>1. Wizualna ocena opakowań</w:t>
      </w:r>
    </w:p>
    <w:p w:rsidR="00630C4F" w:rsidRPr="00630C4F" w:rsidRDefault="00630C4F" w:rsidP="00630C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0C4F">
        <w:rPr>
          <w:rFonts w:ascii="Times New Roman" w:hAnsi="Times New Roman" w:cs="Times New Roman"/>
          <w:sz w:val="24"/>
          <w:szCs w:val="24"/>
        </w:rPr>
        <w:t xml:space="preserve">zdjęcia opakowań tak aby był widoczny przód </w:t>
      </w:r>
      <w:proofErr w:type="spellStart"/>
      <w:r w:rsidRPr="00630C4F">
        <w:rPr>
          <w:rFonts w:ascii="Times New Roman" w:hAnsi="Times New Roman" w:cs="Times New Roman"/>
          <w:sz w:val="24"/>
          <w:szCs w:val="24"/>
        </w:rPr>
        <w:t>opkowania</w:t>
      </w:r>
      <w:proofErr w:type="spellEnd"/>
      <w:r w:rsidRPr="00630C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C4F">
        <w:rPr>
          <w:rFonts w:ascii="Times New Roman" w:hAnsi="Times New Roman" w:cs="Times New Roman"/>
          <w:sz w:val="24"/>
          <w:szCs w:val="24"/>
        </w:rPr>
        <w:t>składnki</w:t>
      </w:r>
      <w:proofErr w:type="spellEnd"/>
      <w:r w:rsidRPr="00630C4F">
        <w:rPr>
          <w:rFonts w:ascii="Times New Roman" w:hAnsi="Times New Roman" w:cs="Times New Roman"/>
          <w:sz w:val="24"/>
          <w:szCs w:val="24"/>
        </w:rPr>
        <w:t>, wartość odżywcza, kod EAN, gramatura, data i numer partii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>2. Wyniki i wnioski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>3.Karta zlecenia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>4. Zdjęcia produktów do degustacji i ich opakowań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>5.Metodyka badań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>6.Charakterystyka i skład panelu</w:t>
      </w:r>
    </w:p>
    <w:p w:rsidR="00630C4F" w:rsidRPr="00630C4F" w:rsidRDefault="00630C4F" w:rsidP="00630C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0C4F">
        <w:rPr>
          <w:rFonts w:ascii="Times New Roman" w:hAnsi="Times New Roman" w:cs="Times New Roman"/>
          <w:sz w:val="24"/>
          <w:szCs w:val="24"/>
        </w:rPr>
        <w:t>całkowita liczba osób</w:t>
      </w:r>
    </w:p>
    <w:p w:rsidR="00630C4F" w:rsidRPr="00630C4F" w:rsidRDefault="00630C4F" w:rsidP="00630C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0C4F">
        <w:rPr>
          <w:rFonts w:ascii="Times New Roman" w:hAnsi="Times New Roman" w:cs="Times New Roman"/>
          <w:sz w:val="24"/>
          <w:szCs w:val="24"/>
        </w:rPr>
        <w:t>podział na płeć</w:t>
      </w:r>
    </w:p>
    <w:p w:rsidR="00630C4F" w:rsidRPr="00630C4F" w:rsidRDefault="00630C4F" w:rsidP="00630C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0C4F">
        <w:rPr>
          <w:rFonts w:ascii="Times New Roman" w:hAnsi="Times New Roman" w:cs="Times New Roman"/>
          <w:sz w:val="24"/>
          <w:szCs w:val="24"/>
        </w:rPr>
        <w:t>podział na przedziały wiekowe</w:t>
      </w:r>
    </w:p>
    <w:p w:rsidR="00630C4F" w:rsidRPr="00630C4F" w:rsidRDefault="00630C4F" w:rsidP="00630C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0C4F">
        <w:rPr>
          <w:rFonts w:ascii="Times New Roman" w:hAnsi="Times New Roman" w:cs="Times New Roman"/>
          <w:sz w:val="24"/>
          <w:szCs w:val="24"/>
        </w:rPr>
        <w:t>podział na kategorie społeczno-zawodowe</w:t>
      </w:r>
    </w:p>
    <w:p w:rsidR="00630C4F" w:rsidRPr="00630C4F" w:rsidRDefault="00630C4F" w:rsidP="00630C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0C4F">
        <w:rPr>
          <w:rFonts w:ascii="Times New Roman" w:hAnsi="Times New Roman" w:cs="Times New Roman"/>
          <w:sz w:val="24"/>
          <w:szCs w:val="24"/>
        </w:rPr>
        <w:t>częstotliwość konsumpcji produktu</w:t>
      </w:r>
    </w:p>
    <w:p w:rsidR="00630C4F" w:rsidRPr="00630C4F" w:rsidRDefault="00630C4F" w:rsidP="00630C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0C4F">
        <w:rPr>
          <w:rFonts w:ascii="Times New Roman" w:hAnsi="Times New Roman" w:cs="Times New Roman"/>
          <w:sz w:val="24"/>
          <w:szCs w:val="24"/>
        </w:rPr>
        <w:t>godziny degustacji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>7.Tabele wyników w tym wniosek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>8.Histogramy</w:t>
      </w:r>
    </w:p>
    <w:p w:rsidR="00630C4F" w:rsidRPr="00630C4F" w:rsidRDefault="00630C4F" w:rsidP="00630C4F">
      <w:pPr>
        <w:rPr>
          <w:szCs w:val="24"/>
        </w:rPr>
      </w:pPr>
      <w:r w:rsidRPr="00630C4F">
        <w:rPr>
          <w:szCs w:val="24"/>
        </w:rPr>
        <w:t>9.Komentarze oceniających  z podziałem na:</w:t>
      </w:r>
    </w:p>
    <w:p w:rsidR="00630C4F" w:rsidRPr="00630C4F" w:rsidRDefault="00630C4F" w:rsidP="00630C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0C4F">
        <w:rPr>
          <w:rFonts w:ascii="Times New Roman" w:hAnsi="Times New Roman" w:cs="Times New Roman"/>
          <w:sz w:val="24"/>
          <w:szCs w:val="24"/>
        </w:rPr>
        <w:t>wygląd</w:t>
      </w:r>
    </w:p>
    <w:p w:rsidR="00630C4F" w:rsidRPr="00630C4F" w:rsidRDefault="00630C4F" w:rsidP="00630C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0C4F">
        <w:rPr>
          <w:rFonts w:ascii="Times New Roman" w:hAnsi="Times New Roman" w:cs="Times New Roman"/>
          <w:sz w:val="24"/>
          <w:szCs w:val="24"/>
        </w:rPr>
        <w:t>zapach</w:t>
      </w:r>
    </w:p>
    <w:p w:rsidR="00630C4F" w:rsidRPr="00630C4F" w:rsidRDefault="00630C4F" w:rsidP="00630C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0C4F">
        <w:rPr>
          <w:rFonts w:ascii="Times New Roman" w:hAnsi="Times New Roman" w:cs="Times New Roman"/>
          <w:sz w:val="24"/>
          <w:szCs w:val="24"/>
        </w:rPr>
        <w:t>smak</w:t>
      </w:r>
    </w:p>
    <w:p w:rsidR="00630C4F" w:rsidRPr="00630C4F" w:rsidRDefault="00630C4F" w:rsidP="00630C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0C4F">
        <w:rPr>
          <w:rFonts w:ascii="Times New Roman" w:hAnsi="Times New Roman" w:cs="Times New Roman"/>
          <w:sz w:val="24"/>
          <w:szCs w:val="24"/>
        </w:rPr>
        <w:t>tekstura</w:t>
      </w:r>
    </w:p>
    <w:p w:rsidR="007F5313" w:rsidRPr="00630C4F" w:rsidRDefault="007F5313" w:rsidP="007F5313">
      <w:pPr>
        <w:spacing w:line="360" w:lineRule="auto"/>
        <w:ind w:firstLine="5940"/>
        <w:rPr>
          <w:szCs w:val="24"/>
        </w:rPr>
      </w:pPr>
    </w:p>
    <w:p w:rsidR="00F81266" w:rsidRPr="00F81266" w:rsidRDefault="00F81266">
      <w:pPr>
        <w:rPr>
          <w:szCs w:val="24"/>
        </w:rPr>
      </w:pPr>
    </w:p>
    <w:sectPr w:rsidR="00F81266" w:rsidRPr="00F81266" w:rsidSect="00EE61F9">
      <w:headerReference w:type="default" r:id="rId7"/>
      <w:footerReference w:type="default" r:id="rId8"/>
      <w:pgSz w:w="11906" w:h="16838" w:code="9"/>
      <w:pgMar w:top="567" w:right="851" w:bottom="794" w:left="1219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2AD" w:rsidRDefault="003E22AD">
      <w:r>
        <w:separator/>
      </w:r>
    </w:p>
  </w:endnote>
  <w:endnote w:type="continuationSeparator" w:id="0">
    <w:p w:rsidR="003E22AD" w:rsidRDefault="003E2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F9" w:rsidRDefault="00EE61F9">
    <w:pPr>
      <w:pStyle w:val="Stopka"/>
      <w:tabs>
        <w:tab w:val="left" w:pos="1980"/>
      </w:tabs>
      <w:rPr>
        <w:rFonts w:ascii="Arial Narrow" w:hAnsi="Arial Narrow"/>
        <w:sz w:val="16"/>
        <w:szCs w:val="16"/>
      </w:rPr>
    </w:pPr>
    <w:r w:rsidRPr="001E7A77">
      <w:rPr>
        <w:rFonts w:ascii="Arial Narrow" w:hAnsi="Arial Narrow"/>
        <w:sz w:val="16"/>
        <w:szCs w:val="16"/>
      </w:rPr>
      <w:t xml:space="preserve">                                   </w:t>
    </w:r>
  </w:p>
  <w:p w:rsidR="007F5313" w:rsidRDefault="007F5313" w:rsidP="007F5313">
    <w:pPr>
      <w:rPr>
        <w:rFonts w:ascii="Arial Narrow" w:hAnsi="Arial Narrow"/>
        <w:sz w:val="16"/>
        <w:szCs w:val="16"/>
      </w:rPr>
    </w:pPr>
  </w:p>
  <w:p w:rsidR="0057016B" w:rsidRDefault="00DD3CE0" w:rsidP="0057016B">
    <w:pPr>
      <w:pStyle w:val="Stopka"/>
    </w:pPr>
    <w:r>
      <w:rPr>
        <w:rFonts w:ascii="Helv" w:hAnsi="Helv" w:cs="Helv"/>
        <w:color w:val="000000"/>
        <w:sz w:val="16"/>
        <w:szCs w:val="16"/>
      </w:rPr>
      <w:t>SCA PR Polska S</w:t>
    </w:r>
    <w:r w:rsidR="0057016B">
      <w:rPr>
        <w:rFonts w:ascii="Helv" w:hAnsi="Helv" w:cs="Helv"/>
        <w:color w:val="000000"/>
        <w:sz w:val="16"/>
        <w:szCs w:val="16"/>
      </w:rPr>
      <w:t>p. z o.o. ul. św. Mikołaja 5, Swadzim, 62-080 Tarnowo Podgórne Sąd Rejonowy Poznań - Nowe Miasto i Wilda w Poznaniu VIII Wydział Gospodarczy Krajowego Rejestru Sądowego KRS 0000044594, REGON 631030739, NI</w:t>
    </w:r>
    <w:r w:rsidR="0046049B">
      <w:rPr>
        <w:rFonts w:ascii="Helv" w:hAnsi="Helv" w:cs="Helv"/>
        <w:color w:val="000000"/>
        <w:sz w:val="16"/>
        <w:szCs w:val="16"/>
      </w:rPr>
      <w:t>P 7821977018 Kapitał zakładowy 8</w:t>
    </w:r>
    <w:r w:rsidR="0057016B">
      <w:rPr>
        <w:rFonts w:ascii="Helv" w:hAnsi="Helv" w:cs="Helv"/>
        <w:color w:val="000000"/>
        <w:sz w:val="16"/>
        <w:szCs w:val="16"/>
      </w:rPr>
      <w:t>3 000 000,00 zł</w:t>
    </w:r>
  </w:p>
  <w:p w:rsidR="00EE61F9" w:rsidRDefault="00EE61F9">
    <w:pPr>
      <w:pStyle w:val="Stopka"/>
      <w:tabs>
        <w:tab w:val="left" w:pos="1980"/>
      </w:tabs>
      <w:rPr>
        <w:rFonts w:ascii="Arial Narrow" w:hAnsi="Arial Narrow"/>
        <w:sz w:val="16"/>
        <w:szCs w:val="16"/>
      </w:rPr>
    </w:pPr>
  </w:p>
  <w:p w:rsidR="00EE61F9" w:rsidRPr="001E5773" w:rsidRDefault="00EE61F9" w:rsidP="00EE61F9">
    <w:pPr>
      <w:pStyle w:val="Stopka"/>
      <w:tabs>
        <w:tab w:val="left" w:pos="1980"/>
      </w:tabs>
      <w:jc w:val="both"/>
      <w:rPr>
        <w:rFonts w:ascii="Arial Narrow" w:hAnsi="Arial Narrow"/>
        <w:sz w:val="16"/>
        <w:szCs w:val="16"/>
      </w:rPr>
    </w:pPr>
    <w:r w:rsidRPr="001E5773"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2AD" w:rsidRDefault="003E22AD">
      <w:r>
        <w:separator/>
      </w:r>
    </w:p>
  </w:footnote>
  <w:footnote w:type="continuationSeparator" w:id="0">
    <w:p w:rsidR="003E22AD" w:rsidRDefault="003E2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F9" w:rsidRDefault="00951EE8" w:rsidP="00EE61F9">
    <w:pPr>
      <w:pStyle w:val="Nagwek"/>
      <w:tabs>
        <w:tab w:val="clear" w:pos="4536"/>
        <w:tab w:val="center" w:pos="6720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-183515</wp:posOffset>
          </wp:positionH>
          <wp:positionV relativeFrom="margin">
            <wp:posOffset>-1405890</wp:posOffset>
          </wp:positionV>
          <wp:extent cx="2933700" cy="923925"/>
          <wp:effectExtent l="19050" t="0" r="0" b="0"/>
          <wp:wrapSquare wrapText="bothSides"/>
          <wp:docPr id="1" name="Obraz 7" descr="nowe_logo_inter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we_logo_intermarch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5398135</wp:posOffset>
          </wp:positionH>
          <wp:positionV relativeFrom="margin">
            <wp:posOffset>-1282065</wp:posOffset>
          </wp:positionV>
          <wp:extent cx="847725" cy="638175"/>
          <wp:effectExtent l="19050" t="0" r="9525" b="0"/>
          <wp:wrapSquare wrapText="bothSides"/>
          <wp:docPr id="2" name="Obraz 8" descr="nowe_logo_Grupy_Muszkiete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we_logo_Grupy_Muszkieterów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61F9" w:rsidRDefault="00EE61F9" w:rsidP="00EE61F9">
    <w:pPr>
      <w:pStyle w:val="Nagwek"/>
      <w:rPr>
        <w:rFonts w:ascii="Arial Narrow" w:hAnsi="Arial Narrow"/>
        <w:b/>
      </w:rPr>
    </w:pPr>
    <w:r>
      <w:rPr>
        <w:rFonts w:ascii="Arial Narrow" w:hAnsi="Arial Narrow"/>
        <w:b/>
      </w:rPr>
      <w:t xml:space="preserve">                                                           </w:t>
    </w:r>
  </w:p>
  <w:p w:rsidR="00EE61F9" w:rsidRDefault="00EE61F9">
    <w:pPr>
      <w:pStyle w:val="Nagwek"/>
    </w:pPr>
    <w:r>
      <w:t xml:space="preserve">                                  </w:t>
    </w:r>
  </w:p>
  <w:p w:rsidR="00EE61F9" w:rsidRDefault="00EE61F9">
    <w:pPr>
      <w:pStyle w:val="Nagwek"/>
    </w:pPr>
  </w:p>
  <w:p w:rsidR="00EE61F9" w:rsidRDefault="00EE61F9">
    <w:pPr>
      <w:pStyle w:val="Nagwek"/>
    </w:pPr>
  </w:p>
  <w:p w:rsidR="00EE61F9" w:rsidRDefault="00EE61F9" w:rsidP="00EE61F9">
    <w:pPr>
      <w:pStyle w:val="Nagwek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CAE"/>
    <w:multiLevelType w:val="hybridMultilevel"/>
    <w:tmpl w:val="E54C3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C0E86"/>
    <w:multiLevelType w:val="hybridMultilevel"/>
    <w:tmpl w:val="A7F28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03E58"/>
    <w:multiLevelType w:val="hybridMultilevel"/>
    <w:tmpl w:val="E69C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95B6D"/>
    <w:multiLevelType w:val="hybridMultilevel"/>
    <w:tmpl w:val="D586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313"/>
    <w:rsid w:val="000273AE"/>
    <w:rsid w:val="000A3EE4"/>
    <w:rsid w:val="000B0B33"/>
    <w:rsid w:val="001F1390"/>
    <w:rsid w:val="002559BE"/>
    <w:rsid w:val="002A5486"/>
    <w:rsid w:val="00342CE4"/>
    <w:rsid w:val="003637A1"/>
    <w:rsid w:val="00375786"/>
    <w:rsid w:val="003E22AD"/>
    <w:rsid w:val="003E4665"/>
    <w:rsid w:val="00420E6B"/>
    <w:rsid w:val="004254E1"/>
    <w:rsid w:val="00455CD1"/>
    <w:rsid w:val="0046049B"/>
    <w:rsid w:val="00462589"/>
    <w:rsid w:val="00462DCA"/>
    <w:rsid w:val="00475272"/>
    <w:rsid w:val="00494B93"/>
    <w:rsid w:val="0057016B"/>
    <w:rsid w:val="0061397A"/>
    <w:rsid w:val="00630C4F"/>
    <w:rsid w:val="00683353"/>
    <w:rsid w:val="006A5F19"/>
    <w:rsid w:val="006F463A"/>
    <w:rsid w:val="007027EC"/>
    <w:rsid w:val="0071144E"/>
    <w:rsid w:val="00722A89"/>
    <w:rsid w:val="00775EBE"/>
    <w:rsid w:val="007D2385"/>
    <w:rsid w:val="007E5AE6"/>
    <w:rsid w:val="007F5313"/>
    <w:rsid w:val="008354A8"/>
    <w:rsid w:val="0087403C"/>
    <w:rsid w:val="00951EE8"/>
    <w:rsid w:val="009577B9"/>
    <w:rsid w:val="00957DC9"/>
    <w:rsid w:val="00990F68"/>
    <w:rsid w:val="00997331"/>
    <w:rsid w:val="009F328D"/>
    <w:rsid w:val="00B16776"/>
    <w:rsid w:val="00B518BE"/>
    <w:rsid w:val="00BC5DA7"/>
    <w:rsid w:val="00BE4176"/>
    <w:rsid w:val="00C41EC0"/>
    <w:rsid w:val="00C7195D"/>
    <w:rsid w:val="00C727E9"/>
    <w:rsid w:val="00CD4516"/>
    <w:rsid w:val="00CF0F4E"/>
    <w:rsid w:val="00DD3CE0"/>
    <w:rsid w:val="00E03B98"/>
    <w:rsid w:val="00E53E5D"/>
    <w:rsid w:val="00E9328B"/>
    <w:rsid w:val="00EC159E"/>
    <w:rsid w:val="00ED2DF8"/>
    <w:rsid w:val="00EE61F9"/>
    <w:rsid w:val="00F03CDE"/>
    <w:rsid w:val="00F368E1"/>
    <w:rsid w:val="00F81266"/>
    <w:rsid w:val="00F95605"/>
    <w:rsid w:val="00F977E3"/>
    <w:rsid w:val="00FE3317"/>
    <w:rsid w:val="00FF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5313"/>
    <w:pPr>
      <w:widowControl w:val="0"/>
      <w:suppressAutoHyphens/>
      <w:overflowPunct w:val="0"/>
      <w:autoSpaceDE w:val="0"/>
      <w:autoSpaceDN w:val="0"/>
      <w:adjustRightInd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53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F531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313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462589"/>
    <w:pPr>
      <w:widowControl/>
      <w:suppressAutoHyphens w:val="0"/>
      <w:overflowPunct/>
      <w:autoSpaceDE/>
      <w:autoSpaceDN/>
      <w:adjustRightInd/>
      <w:ind w:firstLine="708"/>
      <w:jc w:val="center"/>
    </w:pPr>
    <w:rPr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2589"/>
    <w:rPr>
      <w:bCs/>
      <w:sz w:val="28"/>
    </w:rPr>
  </w:style>
  <w:style w:type="character" w:customStyle="1" w:styleId="StopkaZnak">
    <w:name w:val="Stopka Znak"/>
    <w:basedOn w:val="Domylnaczcionkaakapitu"/>
    <w:link w:val="Stopka"/>
    <w:rsid w:val="0057016B"/>
    <w:rPr>
      <w:sz w:val="24"/>
    </w:rPr>
  </w:style>
  <w:style w:type="paragraph" w:styleId="Akapitzlist">
    <w:name w:val="List Paragraph"/>
    <w:basedOn w:val="Normalny"/>
    <w:uiPriority w:val="34"/>
    <w:qFormat/>
    <w:rsid w:val="00630C4F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408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 PR Sp</vt:lpstr>
    </vt:vector>
  </TitlesOfParts>
  <Company>Hewlett-Packard Company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 PR Sp</dc:title>
  <dc:creator>user</dc:creator>
  <cp:lastModifiedBy>lsobolewski</cp:lastModifiedBy>
  <cp:revision>30</cp:revision>
  <cp:lastPrinted>2019-01-28T14:39:00Z</cp:lastPrinted>
  <dcterms:created xsi:type="dcterms:W3CDTF">2014-10-28T14:20:00Z</dcterms:created>
  <dcterms:modified xsi:type="dcterms:W3CDTF">2019-08-28T09:53:00Z</dcterms:modified>
</cp:coreProperties>
</file>