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CC9E" w14:textId="77777777" w:rsidR="00E4517F" w:rsidRPr="00DE440D" w:rsidRDefault="00E4517F" w:rsidP="00E4517F">
      <w:pPr>
        <w:rPr>
          <w:rFonts w:cstheme="minorHAnsi"/>
        </w:rPr>
      </w:pPr>
      <w:r w:rsidRPr="00DE440D">
        <w:rPr>
          <w:rFonts w:cstheme="minorHAnsi"/>
        </w:rPr>
        <w:t xml:space="preserve">Dotyczy postępowania: 29/DIR/UŁ/2023 Rozbudowa budynku Centrum Wychowania Fizycznego i Sportu Uniwersytetu Łódzkiego przy ul. </w:t>
      </w:r>
      <w:proofErr w:type="spellStart"/>
      <w:r w:rsidRPr="00DE440D">
        <w:rPr>
          <w:rFonts w:cstheme="minorHAnsi"/>
        </w:rPr>
        <w:t>Styrskiej</w:t>
      </w:r>
      <w:proofErr w:type="spellEnd"/>
      <w:r w:rsidRPr="00DE440D">
        <w:rPr>
          <w:rFonts w:cstheme="minorHAnsi"/>
        </w:rPr>
        <w:t xml:space="preserve"> 20/24 w Łodzi</w:t>
      </w:r>
    </w:p>
    <w:p w14:paraId="42961F35" w14:textId="0222BA42" w:rsidR="00D46C4C" w:rsidRPr="00DE440D" w:rsidRDefault="00D46C4C" w:rsidP="00D46C4C">
      <w:pPr>
        <w:pStyle w:val="Akapitzlist"/>
        <w:rPr>
          <w:rFonts w:cstheme="minorHAnsi"/>
          <w:b/>
          <w:bCs/>
          <w:shd w:val="clear" w:color="auto" w:fill="FFFFFF"/>
        </w:rPr>
      </w:pPr>
      <w:r w:rsidRPr="00DE440D">
        <w:rPr>
          <w:rFonts w:cstheme="minorHAnsi"/>
          <w:b/>
          <w:bCs/>
          <w:shd w:val="clear" w:color="auto" w:fill="FFFFFF"/>
        </w:rPr>
        <w:t>Pytania z dnia 09.01.2024 r.</w:t>
      </w:r>
      <w:r w:rsidR="0005603E">
        <w:rPr>
          <w:rFonts w:cstheme="minorHAnsi"/>
          <w:b/>
          <w:bCs/>
          <w:shd w:val="clear" w:color="auto" w:fill="FFFFFF"/>
        </w:rPr>
        <w:t xml:space="preserve"> (Cześć 2.)</w:t>
      </w:r>
      <w:r w:rsidRPr="00DE440D">
        <w:rPr>
          <w:rFonts w:cstheme="minorHAnsi"/>
          <w:b/>
          <w:bCs/>
          <w:shd w:val="clear" w:color="auto" w:fill="FFFFFF"/>
        </w:rPr>
        <w:t>:</w:t>
      </w:r>
    </w:p>
    <w:p w14:paraId="4B55A107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</w:p>
    <w:p w14:paraId="51C65B19" w14:textId="72D077F0" w:rsidR="00FC2146" w:rsidRPr="00DE440D" w:rsidRDefault="001D6560" w:rsidP="00FC2146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DE440D">
        <w:rPr>
          <w:rFonts w:cstheme="minorHAnsi"/>
          <w:shd w:val="clear" w:color="auto" w:fill="FFFFFF"/>
        </w:rPr>
        <w:t>Zwracamy się z prośbą o udzielenie informacji, które z projektowanych systemów niskoprądowych: SSP, SIEĆ LAN, SYSTEM CCTV, inne nie wymienione</w:t>
      </w:r>
      <w:r w:rsidRPr="00DE440D">
        <w:rPr>
          <w:rFonts w:cstheme="minorHAnsi"/>
        </w:rPr>
        <w:br/>
      </w:r>
      <w:r w:rsidRPr="00DE440D">
        <w:rPr>
          <w:rFonts w:cstheme="minorHAnsi"/>
          <w:shd w:val="clear" w:color="auto" w:fill="FFFFFF"/>
        </w:rPr>
        <w:t>muszą być zintegrowane z już istniejącymi. W przypadku konieczności integracji należy podać dane takie jak marka i model , informacje o posiadanych licencjach wbudowanych systemów.</w:t>
      </w:r>
    </w:p>
    <w:p w14:paraId="6A62390E" w14:textId="5B04DDC5" w:rsidR="00FC2146" w:rsidRPr="00DE440D" w:rsidRDefault="00D46C4C" w:rsidP="00FC2146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>:</w:t>
      </w:r>
    </w:p>
    <w:p w14:paraId="443FFAA1" w14:textId="2950D923" w:rsidR="00D46C4C" w:rsidRPr="00DE440D" w:rsidRDefault="00360F23" w:rsidP="00FC2146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shd w:val="clear" w:color="auto" w:fill="FFFFFF"/>
        </w:rPr>
        <w:t xml:space="preserve">SSP, CCTV, SSW, system domofonowy należy przewidzieć i wykonać możliwość obsługi zdalnej- z portierni budynku istniejącego. Sieć LAN, w tym dostęp </w:t>
      </w:r>
      <w:proofErr w:type="spellStart"/>
      <w:r w:rsidRPr="00DE440D">
        <w:rPr>
          <w:rFonts w:cstheme="minorHAnsi"/>
          <w:shd w:val="clear" w:color="auto" w:fill="FFFFFF"/>
        </w:rPr>
        <w:t>WiFi</w:t>
      </w:r>
      <w:proofErr w:type="spellEnd"/>
      <w:r w:rsidRPr="00DE440D">
        <w:rPr>
          <w:rFonts w:cstheme="minorHAnsi"/>
          <w:shd w:val="clear" w:color="auto" w:fill="FFFFFF"/>
        </w:rPr>
        <w:t xml:space="preserve"> należy wykonać zgodnie z projektem i wytycznymi Centrum Informatyki Uniwersytetu Łódzkiego.</w:t>
      </w:r>
    </w:p>
    <w:p w14:paraId="017360B7" w14:textId="77777777" w:rsidR="00360F23" w:rsidRPr="00DE440D" w:rsidRDefault="00360F23" w:rsidP="00FC2146">
      <w:pPr>
        <w:pStyle w:val="Akapitzlist"/>
        <w:rPr>
          <w:rFonts w:cstheme="minorHAnsi"/>
          <w:shd w:val="clear" w:color="auto" w:fill="FFFFFF"/>
        </w:rPr>
      </w:pPr>
    </w:p>
    <w:p w14:paraId="5BA5A1EC" w14:textId="62E9C4CC" w:rsidR="001D6560" w:rsidRPr="00DE440D" w:rsidRDefault="001D6560" w:rsidP="00FC2146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DE440D">
        <w:rPr>
          <w:rFonts w:cstheme="minorHAnsi"/>
          <w:shd w:val="clear" w:color="auto" w:fill="FFFFFF"/>
        </w:rPr>
        <w:t xml:space="preserve">Zwracamy się z prośbą o udzielenie informacji czy w ramach utrzymania gwarancji Zamawiający pokryje koszt wykonania odpłatnych przeglądów i wymiany części eksploatacyjnych w umownym okresie gwarancji wbudowanych urządzeń i systemów zgodnie z projektem </w:t>
      </w:r>
      <w:proofErr w:type="spellStart"/>
      <w:r w:rsidRPr="00DE440D">
        <w:rPr>
          <w:rFonts w:cstheme="minorHAnsi"/>
          <w:shd w:val="clear" w:color="auto" w:fill="FFFFFF"/>
        </w:rPr>
        <w:t>br</w:t>
      </w:r>
      <w:proofErr w:type="spellEnd"/>
      <w:r w:rsidRPr="00DE440D">
        <w:rPr>
          <w:rFonts w:cstheme="minorHAnsi"/>
          <w:shd w:val="clear" w:color="auto" w:fill="FFFFFF"/>
        </w:rPr>
        <w:t>, elektrycznej i teletechnicznej.</w:t>
      </w:r>
    </w:p>
    <w:p w14:paraId="4B8B8E88" w14:textId="7E1C39B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>:</w:t>
      </w:r>
    </w:p>
    <w:p w14:paraId="400AFB79" w14:textId="7C95E278" w:rsidR="00FC2146" w:rsidRPr="00DE440D" w:rsidRDefault="00360F23" w:rsidP="00FC2146">
      <w:pPr>
        <w:pStyle w:val="Akapitzlist"/>
        <w:tabs>
          <w:tab w:val="left" w:pos="2977"/>
        </w:tabs>
        <w:spacing w:line="259" w:lineRule="auto"/>
        <w:rPr>
          <w:rFonts w:cstheme="minorHAnsi"/>
          <w:shd w:val="clear" w:color="auto" w:fill="FFFFFF"/>
        </w:rPr>
      </w:pPr>
      <w:r w:rsidRPr="00DE440D">
        <w:rPr>
          <w:rFonts w:cstheme="minorHAnsi"/>
          <w:shd w:val="clear" w:color="auto" w:fill="FFFFFF"/>
        </w:rPr>
        <w:t>Zamawiający pokryje koszt wymiany części eksploatacyjnych, koszt przeglądów będzie po stronie Wykonawcy.</w:t>
      </w:r>
    </w:p>
    <w:p w14:paraId="47F9B707" w14:textId="77777777" w:rsidR="00360F23" w:rsidRPr="00DE440D" w:rsidRDefault="00360F23" w:rsidP="00FC2146">
      <w:pPr>
        <w:pStyle w:val="Akapitzlist"/>
        <w:tabs>
          <w:tab w:val="left" w:pos="2977"/>
        </w:tabs>
        <w:spacing w:line="259" w:lineRule="auto"/>
        <w:rPr>
          <w:rFonts w:cstheme="minorHAnsi"/>
          <w:shd w:val="clear" w:color="auto" w:fill="FFFFFF"/>
        </w:rPr>
      </w:pPr>
    </w:p>
    <w:p w14:paraId="7598CF07" w14:textId="3F447360" w:rsidR="00E4517F" w:rsidRPr="00DE440D" w:rsidRDefault="00E4517F" w:rsidP="00FC2146">
      <w:pPr>
        <w:pStyle w:val="Akapitzlist"/>
        <w:numPr>
          <w:ilvl w:val="0"/>
          <w:numId w:val="3"/>
        </w:numPr>
        <w:tabs>
          <w:tab w:val="left" w:pos="2977"/>
        </w:tabs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3 ust. 2: Czy Zamawiający potwierdza, że za termin realizacji będzie uznane uzyskanie pozwoleń, nawet nieprawomocnych?</w:t>
      </w:r>
    </w:p>
    <w:p w14:paraId="024B26CC" w14:textId="0EEE3B18" w:rsidR="00E4517F" w:rsidRPr="00DE440D" w:rsidRDefault="00D46C4C" w:rsidP="00D46C4C">
      <w:pPr>
        <w:pStyle w:val="Akapitzlist"/>
        <w:rPr>
          <w:rFonts w:cstheme="minorHAnsi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  <w:r w:rsidRPr="00DE440D">
        <w:rPr>
          <w:rFonts w:cstheme="minorHAnsi"/>
          <w:shd w:val="clear" w:color="auto" w:fill="FFFFFF"/>
        </w:rPr>
        <w:br/>
      </w:r>
      <w:r w:rsidR="00E4517F" w:rsidRPr="00DE440D">
        <w:rPr>
          <w:rFonts w:cstheme="minorHAnsi"/>
        </w:rPr>
        <w:t xml:space="preserve">Zamawiający informuje, iż wszystkie pozwolenia odpowiednich instytucji musza być prawomocne. </w:t>
      </w:r>
    </w:p>
    <w:p w14:paraId="3C613018" w14:textId="77777777" w:rsidR="00D46C4C" w:rsidRPr="00DE440D" w:rsidRDefault="00D46C4C" w:rsidP="00D46C4C">
      <w:pPr>
        <w:pStyle w:val="Akapitzlist"/>
        <w:rPr>
          <w:rFonts w:cstheme="minorHAnsi"/>
        </w:rPr>
      </w:pPr>
    </w:p>
    <w:p w14:paraId="181C1F47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4 ust. 2: W związku z realizacją inwestycji na podstawie projektu powierzonego przez Zamawiającego prosimy o doprecyzowanie jakie prace projektowe zostały wskazane w tym postanowieniu lub wykreślenie obowiązków projektowych, jako objętych zobowiązaniem Autora Projektu w ramach Nadzoru Autorskiego.</w:t>
      </w:r>
    </w:p>
    <w:p w14:paraId="1D4EA8FD" w14:textId="5BE2A728" w:rsidR="002B5951" w:rsidRPr="00DE440D" w:rsidRDefault="00D46C4C" w:rsidP="00D46C4C">
      <w:pPr>
        <w:pStyle w:val="Akapitzlist"/>
        <w:rPr>
          <w:rFonts w:cstheme="minorHAnsi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>:</w:t>
      </w:r>
      <w:r w:rsidRPr="00DE440D">
        <w:rPr>
          <w:rFonts w:cstheme="minorHAnsi"/>
          <w:shd w:val="clear" w:color="auto" w:fill="FFFFFF"/>
        </w:rPr>
        <w:br/>
      </w:r>
      <w:r w:rsidR="00E4517F" w:rsidRPr="00DE440D">
        <w:rPr>
          <w:rFonts w:cstheme="minorHAnsi"/>
        </w:rPr>
        <w:t>W zakresie Wykonawcy są wszystkie prace projektowe</w:t>
      </w:r>
      <w:r w:rsidR="002B5951" w:rsidRPr="00DE440D">
        <w:rPr>
          <w:rFonts w:cstheme="minorHAnsi"/>
        </w:rPr>
        <w:t xml:space="preserve"> związane z prawidłowym wykonaniem robót </w:t>
      </w:r>
      <w:r w:rsidR="00E4517F" w:rsidRPr="00DE440D">
        <w:rPr>
          <w:rFonts w:cstheme="minorHAnsi"/>
        </w:rPr>
        <w:t>niezbędn</w:t>
      </w:r>
      <w:r w:rsidR="002B5951" w:rsidRPr="00DE440D">
        <w:rPr>
          <w:rFonts w:cstheme="minorHAnsi"/>
        </w:rPr>
        <w:t>ych</w:t>
      </w:r>
      <w:r w:rsidR="00E4517F" w:rsidRPr="00DE440D">
        <w:rPr>
          <w:rFonts w:cstheme="minorHAnsi"/>
        </w:rPr>
        <w:t xml:space="preserve"> do realizacji zadania, które nie zostały ujęte w załączonej dokumentacji projektowej, </w:t>
      </w:r>
      <w:r w:rsidR="002B5951" w:rsidRPr="00DE440D">
        <w:rPr>
          <w:rFonts w:cstheme="minorHAnsi"/>
        </w:rPr>
        <w:t xml:space="preserve">są to </w:t>
      </w:r>
      <w:r w:rsidR="00E4517F" w:rsidRPr="00DE440D">
        <w:rPr>
          <w:rFonts w:cstheme="minorHAnsi"/>
        </w:rPr>
        <w:t>m.in. projekty warsztatowe</w:t>
      </w:r>
      <w:r w:rsidR="002B5951" w:rsidRPr="00DE440D">
        <w:rPr>
          <w:rFonts w:cstheme="minorHAnsi"/>
        </w:rPr>
        <w:t xml:space="preserve">, dokumentacja technologiczna, szkice </w:t>
      </w:r>
      <w:r w:rsidR="00E84C5F" w:rsidRPr="00DE440D">
        <w:rPr>
          <w:rFonts w:cstheme="minorHAnsi"/>
        </w:rPr>
        <w:t>i</w:t>
      </w:r>
      <w:r w:rsidR="002B5951" w:rsidRPr="00DE440D">
        <w:rPr>
          <w:rFonts w:cstheme="minorHAnsi"/>
        </w:rPr>
        <w:t xml:space="preserve"> uzgodnienia. Opracowany projekt zawiera wszystkie niezbędne rozwiązania dla prawidłowego wykonania robót budowalnych stanowiących przedmiot umowy, ale nie opisuje wszystkich szczegółów wykonawczych. Projekt nie obejmuje wszystkich szczegółów realizacyjnych i nie stanowi projektowej dokumentacji warsztatowej, która jest w zakresie Wykonawcy prac.</w:t>
      </w:r>
    </w:p>
    <w:p w14:paraId="43F7D370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</w:p>
    <w:p w14:paraId="3C284998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par.4 ust.4: Prosimy o wykreślenie słowa „zasygnalizowanych”. Zgodnie z normami ustawy PZP opis przedmiotu zamówienia winien być jednoznaczny i wyczerpujący.</w:t>
      </w:r>
    </w:p>
    <w:p w14:paraId="4C081959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709C2575" w14:textId="3ECCA5F9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2AE65664" w14:textId="77777777" w:rsidR="00D46C4C" w:rsidRPr="00DE440D" w:rsidRDefault="00D46C4C" w:rsidP="00D46C4C">
      <w:pPr>
        <w:pStyle w:val="Akapitzlist"/>
        <w:rPr>
          <w:rFonts w:cstheme="minorHAnsi"/>
        </w:rPr>
      </w:pPr>
    </w:p>
    <w:p w14:paraId="3155E028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5 pkt 1) W jakim terminie od zawarcia umowy zostanie wydany plac budowy?</w:t>
      </w:r>
    </w:p>
    <w:p w14:paraId="099B14C9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468532AD" w14:textId="04D56547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lastRenderedPageBreak/>
        <w:t>Plac budowy zostanie przekazany niezwłocznie po zawarciu umowy.</w:t>
      </w:r>
    </w:p>
    <w:p w14:paraId="4A130FCA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</w:p>
    <w:p w14:paraId="7EF5F002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5: prosimy o potwierdzenie, że w ramach nadzoru inwestorskiego Zamawiający zapewnia również Nadzór Autorski.</w:t>
      </w:r>
    </w:p>
    <w:p w14:paraId="671C180E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3C0582C6" w14:textId="21EEF43A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Zamawiający potwierdza, iż zapewnia Nadzór Autorski.</w:t>
      </w:r>
    </w:p>
    <w:p w14:paraId="448A3E2A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</w:p>
    <w:p w14:paraId="3A76BE1F" w14:textId="006A12E2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17 ust.5: prosimy o uzupełnienie postanowienie o praw</w:t>
      </w:r>
      <w:r w:rsidR="00957FC3" w:rsidRPr="00DE440D">
        <w:rPr>
          <w:rFonts w:cstheme="minorHAnsi"/>
        </w:rPr>
        <w:t xml:space="preserve">o </w:t>
      </w:r>
      <w:r w:rsidRPr="00DE440D">
        <w:rPr>
          <w:rFonts w:cstheme="minorHAnsi"/>
        </w:rPr>
        <w:t>Wykonawcy do rozszerzenia kadry.</w:t>
      </w:r>
    </w:p>
    <w:p w14:paraId="61A2F9DD" w14:textId="77777777" w:rsidR="00AD591A" w:rsidRPr="00DE440D" w:rsidRDefault="00D46C4C" w:rsidP="00AD591A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14C2F839" w14:textId="5187B0FA" w:rsidR="00AD591A" w:rsidRPr="00DE440D" w:rsidRDefault="00E84C5F" w:rsidP="00AD591A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shd w:val="clear" w:color="auto" w:fill="FFFFFF"/>
        </w:rPr>
        <w:t>Wykonawca na każdym etapie budowy może wnieść zmiany personalne lub rozsze</w:t>
      </w:r>
      <w:r w:rsidR="00DE440D" w:rsidRPr="00DE440D">
        <w:rPr>
          <w:rFonts w:cstheme="minorHAnsi"/>
          <w:shd w:val="clear" w:color="auto" w:fill="FFFFFF"/>
        </w:rPr>
        <w:t>rz</w:t>
      </w:r>
      <w:r w:rsidRPr="00DE440D">
        <w:rPr>
          <w:rFonts w:cstheme="minorHAnsi"/>
          <w:shd w:val="clear" w:color="auto" w:fill="FFFFFF"/>
        </w:rPr>
        <w:t>yć kadrę.</w:t>
      </w:r>
    </w:p>
    <w:p w14:paraId="1A42647C" w14:textId="77777777" w:rsidR="00E84C5F" w:rsidRPr="00DE440D" w:rsidRDefault="00E84C5F" w:rsidP="00AD591A">
      <w:pPr>
        <w:pStyle w:val="Akapitzlist"/>
        <w:rPr>
          <w:rFonts w:cstheme="minorHAnsi"/>
          <w:shd w:val="clear" w:color="auto" w:fill="FFFFFF"/>
        </w:rPr>
      </w:pPr>
    </w:p>
    <w:p w14:paraId="5B9375F4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 xml:space="preserve">Dot. par. 19 ust. 1, pkt 1) </w:t>
      </w:r>
      <w:proofErr w:type="spellStart"/>
      <w:r w:rsidRPr="00DE440D">
        <w:rPr>
          <w:rFonts w:cstheme="minorHAnsi"/>
        </w:rPr>
        <w:t>ppkt</w:t>
      </w:r>
      <w:proofErr w:type="spellEnd"/>
      <w:r w:rsidRPr="00DE440D">
        <w:rPr>
          <w:rFonts w:cstheme="minorHAnsi"/>
        </w:rPr>
        <w:t xml:space="preserve"> a) Prosimy o zmianę wymiaru kary na 0,02%, co będzie karą dotkliwą i wystarczającą, jednak pozwoli na ograniczenie </w:t>
      </w:r>
      <w:proofErr w:type="spellStart"/>
      <w:r w:rsidRPr="00DE440D">
        <w:rPr>
          <w:rFonts w:cstheme="minorHAnsi"/>
        </w:rPr>
        <w:t>ryzyk</w:t>
      </w:r>
      <w:proofErr w:type="spellEnd"/>
      <w:r w:rsidRPr="00DE440D">
        <w:rPr>
          <w:rFonts w:cstheme="minorHAnsi"/>
        </w:rPr>
        <w:t>, niezbędnych do ujęcia w cenie.</w:t>
      </w:r>
    </w:p>
    <w:p w14:paraId="3A3BB36D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4320FE10" w14:textId="0B223443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1FB01B48" w14:textId="77777777" w:rsidR="00D46C4C" w:rsidRPr="00DE440D" w:rsidRDefault="00D46C4C" w:rsidP="00D46C4C">
      <w:pPr>
        <w:pStyle w:val="Akapitzlist"/>
        <w:rPr>
          <w:rFonts w:cstheme="minorHAnsi"/>
        </w:rPr>
      </w:pPr>
    </w:p>
    <w:p w14:paraId="63BF7F48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 xml:space="preserve">Dot. par. 19 ust. 1, pkt 1) </w:t>
      </w:r>
      <w:proofErr w:type="spellStart"/>
      <w:r w:rsidRPr="00DE440D">
        <w:rPr>
          <w:rFonts w:cstheme="minorHAnsi"/>
        </w:rPr>
        <w:t>ppkt</w:t>
      </w:r>
      <w:proofErr w:type="spellEnd"/>
      <w:r w:rsidRPr="00DE440D">
        <w:rPr>
          <w:rFonts w:cstheme="minorHAnsi"/>
        </w:rPr>
        <w:t xml:space="preserve"> b) Prosimy o zmianę wymiaru kary na 0,05%, co będzie karą dotkliwą i wystarczającą, jednak pozwoli na ograniczenie </w:t>
      </w:r>
      <w:proofErr w:type="spellStart"/>
      <w:r w:rsidRPr="00DE440D">
        <w:rPr>
          <w:rFonts w:cstheme="minorHAnsi"/>
        </w:rPr>
        <w:t>ryzyk</w:t>
      </w:r>
      <w:proofErr w:type="spellEnd"/>
      <w:r w:rsidRPr="00DE440D">
        <w:rPr>
          <w:rFonts w:cstheme="minorHAnsi"/>
        </w:rPr>
        <w:t>, niezbędnych do ujęcia w cenie.</w:t>
      </w:r>
    </w:p>
    <w:p w14:paraId="4D1C73A6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4482D455" w14:textId="3A4A3D3F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6E1B5205" w14:textId="77777777" w:rsidR="00D46C4C" w:rsidRPr="00DE440D" w:rsidRDefault="00D46C4C" w:rsidP="00D46C4C">
      <w:pPr>
        <w:pStyle w:val="Akapitzlist"/>
        <w:rPr>
          <w:rFonts w:cstheme="minorHAnsi"/>
        </w:rPr>
      </w:pPr>
    </w:p>
    <w:p w14:paraId="6A189F49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 xml:space="preserve">Dot. par. 19 ust. 1, pkt 2) </w:t>
      </w:r>
      <w:proofErr w:type="spellStart"/>
      <w:r w:rsidRPr="00DE440D">
        <w:rPr>
          <w:rFonts w:cstheme="minorHAnsi"/>
        </w:rPr>
        <w:t>ppkt</w:t>
      </w:r>
      <w:proofErr w:type="spellEnd"/>
      <w:r w:rsidRPr="00DE440D">
        <w:rPr>
          <w:rFonts w:cstheme="minorHAnsi"/>
        </w:rPr>
        <w:t xml:space="preserve"> a) Prosimy o zmianę wymiaru kary na 0,02%, co będzie karą dotkliwą i wystarczającą, jednak pozwoli na ograniczenie </w:t>
      </w:r>
      <w:proofErr w:type="spellStart"/>
      <w:r w:rsidRPr="00DE440D">
        <w:rPr>
          <w:rFonts w:cstheme="minorHAnsi"/>
        </w:rPr>
        <w:t>ryzyk</w:t>
      </w:r>
      <w:proofErr w:type="spellEnd"/>
      <w:r w:rsidRPr="00DE440D">
        <w:rPr>
          <w:rFonts w:cstheme="minorHAnsi"/>
        </w:rPr>
        <w:t>, niezbędnych do ujęcia w cenie.</w:t>
      </w:r>
    </w:p>
    <w:p w14:paraId="0CC1BCEE" w14:textId="77777777" w:rsidR="00D46C4C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4DA3AEA0" w14:textId="1E826DF9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7B78D6D6" w14:textId="77777777" w:rsidR="00D46C4C" w:rsidRPr="00DE440D" w:rsidRDefault="00D46C4C" w:rsidP="00D46C4C">
      <w:pPr>
        <w:pStyle w:val="Akapitzlist"/>
        <w:spacing w:line="259" w:lineRule="auto"/>
        <w:rPr>
          <w:rFonts w:cstheme="minorHAnsi"/>
        </w:rPr>
      </w:pPr>
    </w:p>
    <w:p w14:paraId="105F1D91" w14:textId="7F79B745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19 ust.4. Prosimy o zmianę maksymalnego wymiaru kar do 20%.</w:t>
      </w:r>
    </w:p>
    <w:p w14:paraId="619EBE8D" w14:textId="77777777" w:rsidR="00AD591A" w:rsidRPr="00DE440D" w:rsidRDefault="00D46C4C" w:rsidP="00D46C4C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2BFDF86D" w14:textId="16B96685" w:rsidR="00E4517F" w:rsidRPr="00DE440D" w:rsidRDefault="00E4517F" w:rsidP="00D46C4C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118ABDE6" w14:textId="77777777" w:rsidR="00D46C4C" w:rsidRPr="00DE440D" w:rsidRDefault="00D46C4C" w:rsidP="00D46C4C">
      <w:pPr>
        <w:pStyle w:val="Akapitzlist"/>
        <w:rPr>
          <w:rFonts w:cstheme="minorHAnsi"/>
        </w:rPr>
      </w:pPr>
    </w:p>
    <w:p w14:paraId="493042A4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22 ust.3 Wykonawca wnosi o korektę i uzupełnienie zapisu poprzez zdefiniowanie, że dniem obliczania wartości zmiany jest dzień wniosku, a nie jego sformalizowania. Nie sposób jest zdefiniować czasu trwania procedur związanych z uzgodnieniem wprowadzanych zmian.</w:t>
      </w:r>
    </w:p>
    <w:p w14:paraId="7D95F27C" w14:textId="77777777" w:rsidR="00AD591A" w:rsidRPr="00DE440D" w:rsidRDefault="00D46C4C" w:rsidP="00AD591A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22CA9A60" w14:textId="38891275" w:rsidR="00FC2146" w:rsidRPr="00DE440D" w:rsidRDefault="00FC2146" w:rsidP="00AD591A">
      <w:pPr>
        <w:pStyle w:val="Akapitzlist"/>
        <w:rPr>
          <w:rFonts w:cstheme="minorHAnsi"/>
        </w:rPr>
      </w:pPr>
      <w:r w:rsidRPr="00DE440D">
        <w:rPr>
          <w:rFonts w:cstheme="minorHAnsi"/>
        </w:rPr>
        <w:t xml:space="preserve">Zapis pozostaje bez zmian. </w:t>
      </w:r>
    </w:p>
    <w:p w14:paraId="51FB5569" w14:textId="77777777" w:rsidR="00DE440D" w:rsidRPr="00DE440D" w:rsidRDefault="00DE440D" w:rsidP="00AD591A">
      <w:pPr>
        <w:pStyle w:val="Akapitzlist"/>
        <w:rPr>
          <w:rFonts w:cstheme="minorHAnsi"/>
          <w:shd w:val="clear" w:color="auto" w:fill="FFFFFF"/>
        </w:rPr>
      </w:pPr>
    </w:p>
    <w:p w14:paraId="5C6FDACF" w14:textId="77777777" w:rsidR="00E4517F" w:rsidRPr="00DE440D" w:rsidRDefault="00E4517F" w:rsidP="00FC2146">
      <w:pPr>
        <w:pStyle w:val="Akapitzlist"/>
        <w:numPr>
          <w:ilvl w:val="0"/>
          <w:numId w:val="3"/>
        </w:numPr>
        <w:spacing w:line="259" w:lineRule="auto"/>
        <w:rPr>
          <w:rFonts w:cstheme="minorHAnsi"/>
        </w:rPr>
      </w:pPr>
      <w:r w:rsidRPr="00DE440D">
        <w:rPr>
          <w:rFonts w:cstheme="minorHAnsi"/>
        </w:rPr>
        <w:t>Dot. par. 22 ust. 6: Wykonawca wnosi o uzupełnienie postanowienia, które pozwoli na urealnienie zasad waloryzowania wynagrodzenia w sytuacji, kiedy czas procedur od złożenia ofert do dnia rozpoczęcia robót nie jest możliwy do jednoznacznego określenia.</w:t>
      </w:r>
    </w:p>
    <w:p w14:paraId="508D6778" w14:textId="77777777" w:rsidR="00AD591A" w:rsidRPr="00DE440D" w:rsidRDefault="00AD591A" w:rsidP="00AD591A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768CC1C7" w14:textId="10F2E023" w:rsidR="00AD591A" w:rsidRPr="00DE440D" w:rsidRDefault="00FC2146" w:rsidP="00AD591A">
      <w:pPr>
        <w:pStyle w:val="Akapitzlist"/>
        <w:rPr>
          <w:rFonts w:cstheme="minorHAnsi"/>
        </w:rPr>
      </w:pPr>
      <w:r w:rsidRPr="00DE440D">
        <w:rPr>
          <w:rFonts w:cstheme="minorHAnsi"/>
        </w:rPr>
        <w:t>Zapis pozostaje bez zmian.</w:t>
      </w:r>
    </w:p>
    <w:p w14:paraId="04321826" w14:textId="77777777" w:rsidR="00AD591A" w:rsidRPr="00DE440D" w:rsidRDefault="00FC2146" w:rsidP="00AD591A">
      <w:pPr>
        <w:pStyle w:val="Akapitzlist"/>
        <w:rPr>
          <w:rFonts w:cstheme="minorHAnsi"/>
        </w:rPr>
      </w:pPr>
      <w:r w:rsidRPr="00DE440D">
        <w:rPr>
          <w:rFonts w:cstheme="minorHAnsi"/>
        </w:rPr>
        <w:t xml:space="preserve"> </w:t>
      </w:r>
    </w:p>
    <w:p w14:paraId="5B756E53" w14:textId="77777777" w:rsidR="001D6560" w:rsidRPr="00DE440D" w:rsidRDefault="001D6560" w:rsidP="001D6560">
      <w:pPr>
        <w:pStyle w:val="Akapitzlist"/>
        <w:rPr>
          <w:rFonts w:cstheme="minorHAnsi"/>
        </w:rPr>
      </w:pPr>
    </w:p>
    <w:p w14:paraId="5934D8FE" w14:textId="6A9CDF64" w:rsidR="001D6560" w:rsidRPr="00DE440D" w:rsidRDefault="001D6560" w:rsidP="00FC2146">
      <w:pPr>
        <w:pStyle w:val="Akapitzlist"/>
        <w:numPr>
          <w:ilvl w:val="0"/>
          <w:numId w:val="3"/>
        </w:numPr>
        <w:rPr>
          <w:rFonts w:cstheme="minorHAnsi"/>
        </w:rPr>
      </w:pPr>
      <w:r w:rsidRPr="00DE440D">
        <w:rPr>
          <w:rFonts w:cstheme="minorHAnsi"/>
          <w:shd w:val="clear" w:color="auto" w:fill="FFFFFF"/>
        </w:rPr>
        <w:lastRenderedPageBreak/>
        <w:t>W dokumentacji projektowej „</w:t>
      </w:r>
      <w:proofErr w:type="spellStart"/>
      <w:r w:rsidRPr="00DE440D">
        <w:rPr>
          <w:rFonts w:cstheme="minorHAnsi"/>
          <w:shd w:val="clear" w:color="auto" w:fill="FFFFFF"/>
        </w:rPr>
        <w:t>Opis_instalacji_elektrycznych_i_teletechnicznych</w:t>
      </w:r>
      <w:proofErr w:type="spellEnd"/>
      <w:r w:rsidRPr="00DE440D">
        <w:rPr>
          <w:rFonts w:cstheme="minorHAnsi"/>
          <w:shd w:val="clear" w:color="auto" w:fill="FFFFFF"/>
        </w:rPr>
        <w:t xml:space="preserve">” str. 56 jest zapis „System sygnalizacji pożaru tworzą, projektowana mikroprocesorowa centrala sygnalizacji pożaru (z możliwością komunikacji z </w:t>
      </w:r>
      <w:proofErr w:type="spellStart"/>
      <w:r w:rsidRPr="00DE440D">
        <w:rPr>
          <w:rFonts w:cstheme="minorHAnsi"/>
          <w:shd w:val="clear" w:color="auto" w:fill="FFFFFF"/>
        </w:rPr>
        <w:t>istn</w:t>
      </w:r>
      <w:proofErr w:type="spellEnd"/>
      <w:r w:rsidRPr="00DE440D">
        <w:rPr>
          <w:rFonts w:cstheme="minorHAnsi"/>
          <w:shd w:val="clear" w:color="auto" w:fill="FFFFFF"/>
        </w:rPr>
        <w:t>. centrala w sąsiednim budynku), projektowane współpracujące adresowalne elementy detekcyjne i kontrolno-sterujące”</w:t>
      </w:r>
      <w:r w:rsidRPr="00DE440D">
        <w:rPr>
          <w:rFonts w:cstheme="minorHAnsi"/>
        </w:rPr>
        <w:br/>
      </w:r>
      <w:r w:rsidRPr="00DE440D">
        <w:rPr>
          <w:rFonts w:cstheme="minorHAnsi"/>
          <w:shd w:val="clear" w:color="auto" w:fill="FFFFFF"/>
        </w:rPr>
        <w:t>zwracamy się o: przekazanie informacji o istniejącym systemie SSP z którym należy się zintegrować ( Marka , model, wyposażenie, Licencje) oraz wskazanie protokołu komunikacyjnego w jakim należy realizować komunikacje oraz zakresu integracji.</w:t>
      </w:r>
    </w:p>
    <w:p w14:paraId="26E20AE6" w14:textId="77777777" w:rsidR="00AD591A" w:rsidRPr="00DE440D" w:rsidRDefault="00AD591A" w:rsidP="00AD591A">
      <w:pPr>
        <w:pStyle w:val="Akapitzlist"/>
        <w:rPr>
          <w:rFonts w:cstheme="minorHAnsi"/>
          <w:shd w:val="clear" w:color="auto" w:fill="FFFFFF"/>
        </w:rPr>
      </w:pPr>
      <w:r w:rsidRPr="00DE440D">
        <w:rPr>
          <w:rFonts w:cstheme="minorHAnsi"/>
          <w:u w:val="single"/>
          <w:shd w:val="clear" w:color="auto" w:fill="FFFFFF"/>
        </w:rPr>
        <w:t>Odpowiedź Zamawiającego</w:t>
      </w:r>
      <w:r w:rsidRPr="00DE440D">
        <w:rPr>
          <w:rFonts w:cstheme="minorHAnsi"/>
          <w:shd w:val="clear" w:color="auto" w:fill="FFFFFF"/>
        </w:rPr>
        <w:t xml:space="preserve">: </w:t>
      </w:r>
    </w:p>
    <w:p w14:paraId="584D41CC" w14:textId="64D5D79C" w:rsidR="00AD591A" w:rsidRPr="00DE440D" w:rsidRDefault="00E84C5F" w:rsidP="00AD591A">
      <w:pPr>
        <w:pStyle w:val="Akapitzlist"/>
        <w:rPr>
          <w:rFonts w:cstheme="minorHAnsi"/>
        </w:rPr>
      </w:pPr>
      <w:r w:rsidRPr="00DE440D">
        <w:rPr>
          <w:rFonts w:cstheme="minorHAnsi"/>
          <w:shd w:val="clear" w:color="auto" w:fill="FFFFFF"/>
        </w:rPr>
        <w:t>Istniejąca centrala to Polon-Alfa CSP-35A. Z uwagi na jej wiek Zamawiający dopuszcza wykonanie panelu wyniesionego</w:t>
      </w:r>
      <w:r w:rsidR="00DE440D" w:rsidRPr="00DE440D">
        <w:rPr>
          <w:rFonts w:cstheme="minorHAnsi"/>
          <w:shd w:val="clear" w:color="auto" w:fill="FFFFFF"/>
        </w:rPr>
        <w:t>,</w:t>
      </w:r>
      <w:r w:rsidRPr="00DE440D">
        <w:rPr>
          <w:rFonts w:cstheme="minorHAnsi"/>
          <w:shd w:val="clear" w:color="auto" w:fill="FFFFFF"/>
        </w:rPr>
        <w:t xml:space="preserve"> obsługującego centralę pożarową nowego budynku z portierni budynku hali sportowej i basenu</w:t>
      </w:r>
    </w:p>
    <w:p w14:paraId="3885E12F" w14:textId="77777777" w:rsidR="001D6560" w:rsidRPr="00DE440D" w:rsidRDefault="001D6560">
      <w:pPr>
        <w:rPr>
          <w:rFonts w:cstheme="minorHAnsi"/>
        </w:rPr>
      </w:pPr>
    </w:p>
    <w:sectPr w:rsidR="001D6560" w:rsidRPr="00D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2A"/>
    <w:multiLevelType w:val="hybridMultilevel"/>
    <w:tmpl w:val="27F2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4E0"/>
    <w:multiLevelType w:val="hybridMultilevel"/>
    <w:tmpl w:val="A00201D2"/>
    <w:lvl w:ilvl="0" w:tplc="61A8E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201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978893">
    <w:abstractNumId w:val="1"/>
  </w:num>
  <w:num w:numId="3" w16cid:durableId="37666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60"/>
    <w:rsid w:val="0005603E"/>
    <w:rsid w:val="000B2441"/>
    <w:rsid w:val="001D6560"/>
    <w:rsid w:val="002B5951"/>
    <w:rsid w:val="00340EBA"/>
    <w:rsid w:val="00360F23"/>
    <w:rsid w:val="0052789D"/>
    <w:rsid w:val="0055666B"/>
    <w:rsid w:val="00957FC3"/>
    <w:rsid w:val="00AD591A"/>
    <w:rsid w:val="00D46C4C"/>
    <w:rsid w:val="00DE440D"/>
    <w:rsid w:val="00E4517F"/>
    <w:rsid w:val="00E84C5F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D8E5"/>
  <w15:chartTrackingRefBased/>
  <w15:docId w15:val="{E38E346A-0E68-4396-A34A-A278173E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560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7</cp:revision>
  <dcterms:created xsi:type="dcterms:W3CDTF">2024-01-10T09:52:00Z</dcterms:created>
  <dcterms:modified xsi:type="dcterms:W3CDTF">2024-01-10T13:05:00Z</dcterms:modified>
</cp:coreProperties>
</file>